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F7014">
      <w:pPr>
        <w:pStyle w:val="Default"/>
        <w:rPr>
          <w:rFonts w:cstheme="minorBidi"/>
          <w:sz w:val="44"/>
          <w:szCs w:val="44"/>
        </w:rPr>
      </w:pPr>
      <w:r>
        <w:rPr>
          <w:rFonts w:cstheme="minorBidi"/>
          <w:color w:val="236070"/>
          <w:sz w:val="44"/>
          <w:szCs w:val="44"/>
        </w:rPr>
        <w:t xml:space="preserve">AGENCIA DE PUBLICIDAD “GAMA” </w:t>
      </w:r>
    </w:p>
    <w:p w:rsidR="00000000" w:rsidRDefault="00AF7014">
      <w:pPr>
        <w:pStyle w:val="Default"/>
        <w:rPr>
          <w:rFonts w:cstheme="minorBidi"/>
          <w:sz w:val="28"/>
          <w:szCs w:val="28"/>
        </w:rPr>
      </w:pPr>
      <w:r>
        <w:rPr>
          <w:rFonts w:cstheme="minorBidi"/>
          <w:color w:val="236070"/>
          <w:sz w:val="28"/>
          <w:szCs w:val="28"/>
        </w:rPr>
        <w:t xml:space="preserve">AUTORES: </w:t>
      </w:r>
    </w:p>
    <w:p w:rsidR="00000000" w:rsidRDefault="00AF7014">
      <w:pPr>
        <w:pStyle w:val="Default"/>
        <w:rPr>
          <w:rFonts w:cstheme="minorBidi"/>
          <w:sz w:val="20"/>
          <w:szCs w:val="20"/>
        </w:rPr>
      </w:pPr>
      <w:r>
        <w:rPr>
          <w:rFonts w:cstheme="minorBidi"/>
          <w:sz w:val="20"/>
          <w:szCs w:val="20"/>
        </w:rPr>
        <w:t xml:space="preserve">CHRISTIAN OMAR ALEJANDRO TAPIA </w:t>
      </w:r>
    </w:p>
    <w:p w:rsidR="00000000" w:rsidRDefault="00AF7014">
      <w:pPr>
        <w:pStyle w:val="Default"/>
        <w:rPr>
          <w:rFonts w:cstheme="minorBidi"/>
          <w:sz w:val="20"/>
          <w:szCs w:val="20"/>
        </w:rPr>
      </w:pPr>
      <w:r>
        <w:rPr>
          <w:rFonts w:cstheme="minorBidi"/>
          <w:sz w:val="20"/>
          <w:szCs w:val="20"/>
        </w:rPr>
        <w:t xml:space="preserve">JUAN FRANCISCO LOAIZA ESPÍN </w:t>
      </w:r>
    </w:p>
    <w:p w:rsidR="00000000" w:rsidRDefault="00AF7014">
      <w:pPr>
        <w:pStyle w:val="Default"/>
        <w:rPr>
          <w:rFonts w:cstheme="minorBidi"/>
          <w:sz w:val="20"/>
          <w:szCs w:val="20"/>
        </w:rPr>
      </w:pPr>
      <w:r>
        <w:rPr>
          <w:rFonts w:cstheme="minorBidi"/>
          <w:sz w:val="20"/>
          <w:szCs w:val="20"/>
        </w:rPr>
        <w:t xml:space="preserve">MARCO GUSTAVO SEGOVIA MILÁN  </w:t>
      </w:r>
    </w:p>
    <w:p w:rsidR="00000000" w:rsidRDefault="00AF7014">
      <w:pPr>
        <w:pStyle w:val="Default"/>
        <w:rPr>
          <w:rFonts w:cstheme="minorBidi"/>
          <w:sz w:val="28"/>
          <w:szCs w:val="28"/>
        </w:rPr>
      </w:pPr>
      <w:r>
        <w:rPr>
          <w:rFonts w:cstheme="minorBidi"/>
          <w:color w:val="236070"/>
          <w:sz w:val="28"/>
          <w:szCs w:val="28"/>
        </w:rPr>
        <w:t xml:space="preserve">RESUMEN EJECUTIVO </w:t>
      </w:r>
    </w:p>
    <w:p w:rsidR="00000000" w:rsidRDefault="00AF7014">
      <w:pPr>
        <w:pStyle w:val="Default"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GAMA es una empresa “in house” de la Escuela Superior Polité</w:t>
      </w:r>
      <w:r>
        <w:rPr>
          <w:rFonts w:cstheme="minorBidi"/>
          <w:sz w:val="22"/>
          <w:szCs w:val="22"/>
        </w:rPr>
        <w:t xml:space="preserve">cnica del Litoral (ESPOL) que desea expandir sus actividades y conformarse como empresa privada, cuya actividad económica principal es ofrecer Servicios de Información y Comunicación / Publicidad. Las instalaciones de Gama están ubicadas en el Campus “Las </w:t>
      </w:r>
      <w:r>
        <w:rPr>
          <w:rFonts w:cstheme="minorBidi"/>
          <w:sz w:val="22"/>
          <w:szCs w:val="22"/>
        </w:rPr>
        <w:t xml:space="preserve">Peñas”, Malecón 100 y Loja de la ciudad de Guayaquil. </w:t>
      </w:r>
    </w:p>
    <w:p w:rsidR="00000000" w:rsidRDefault="00AF7014">
      <w:pPr>
        <w:pStyle w:val="Default"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Entre las ventajas comparativas del negocio se pueden mencionar que el personal responsable de los proyectos son profesionales del tercer y cuarto nivel, graduados está universidad, además de contar co</w:t>
      </w:r>
      <w:r>
        <w:rPr>
          <w:rFonts w:cstheme="minorBidi"/>
          <w:sz w:val="22"/>
          <w:szCs w:val="22"/>
        </w:rPr>
        <w:t xml:space="preserve">n el respaldo de la marca ESPOL. </w:t>
      </w:r>
    </w:p>
    <w:p w:rsidR="00000000" w:rsidRDefault="00AF7014">
      <w:pPr>
        <w:pStyle w:val="Default"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 xml:space="preserve">Entre las áreas tecnológicas especializadas atendidas por Gama se encuentran: </w:t>
      </w:r>
    </w:p>
    <w:p w:rsidR="00000000" w:rsidRDefault="00AF7014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t xml:space="preserve">Soluciones Informáticas y Web  </w:t>
      </w:r>
    </w:p>
    <w:p w:rsidR="00000000" w:rsidRDefault="00AF7014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t xml:space="preserve">Productos Multimedia y Animaciones </w:t>
      </w:r>
    </w:p>
    <w:p w:rsidR="00000000" w:rsidRDefault="00AF7014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t xml:space="preserve">Diseño Gráfico y Publicitario </w:t>
      </w:r>
    </w:p>
    <w:p w:rsidR="00000000" w:rsidRDefault="00AF7014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t xml:space="preserve">Producción Audiovisual </w:t>
      </w:r>
    </w:p>
    <w:p w:rsidR="00000000" w:rsidRDefault="00AF7014">
      <w:pPr>
        <w:pStyle w:val="Default"/>
        <w:rPr>
          <w:sz w:val="22"/>
          <w:szCs w:val="22"/>
        </w:rPr>
      </w:pPr>
    </w:p>
    <w:p w:rsidR="00000000" w:rsidRDefault="00AF701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Estos servicios</w:t>
      </w:r>
      <w:r>
        <w:rPr>
          <w:sz w:val="22"/>
          <w:szCs w:val="22"/>
        </w:rPr>
        <w:t xml:space="preserve"> ya están en operaciones desde 1995, tiempo desde el cual se han obtenido importantes clientes; sin embargo el objetivo de la empresa es dinamizar su cartera de proyectos y participar de manera sostenible en esta industria cada vez más competitiva pero con</w:t>
      </w:r>
      <w:r>
        <w:rPr>
          <w:sz w:val="22"/>
          <w:szCs w:val="22"/>
        </w:rPr>
        <w:t xml:space="preserve"> excelentes oportunidades de reconocimiento y crecimiento. </w:t>
      </w:r>
    </w:p>
    <w:p w:rsidR="00000000" w:rsidRDefault="00AF701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Debido a limitaciones de tiempo, la investigación de mercado se concentró en Entrevistas a Expertos y Grupos Focales, llegando a concluir que existe un mercado aún no explotado por las industrias </w:t>
      </w:r>
      <w:r>
        <w:rPr>
          <w:sz w:val="22"/>
          <w:szCs w:val="22"/>
        </w:rPr>
        <w:t xml:space="preserve">de comunicación y servicios informáticos: Las PYMES (pequeñas y medianas empresas), en donde Gama buscará de captar el 1% de la demanda potencial. </w:t>
      </w:r>
    </w:p>
    <w:p w:rsidR="00000000" w:rsidRDefault="00AF701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Se propone en el Plan de Negocios, los procedimientos para agilizar los trámites y negociaciones de los proy</w:t>
      </w:r>
      <w:r>
        <w:rPr>
          <w:sz w:val="22"/>
          <w:szCs w:val="22"/>
        </w:rPr>
        <w:t xml:space="preserve">ectos, dado que actualmente por ser un organismo dependiente de la parte administrativa de la ESPOL, se llega a entorpecer de manera burocrática e involuntaria el inicio y ejecución de dichos proyectos. </w:t>
      </w:r>
    </w:p>
    <w:p w:rsidR="00000000" w:rsidRDefault="00AF701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De acuerdo al Plan de Inversiones actual de Gama, su</w:t>
      </w:r>
      <w:r>
        <w:rPr>
          <w:sz w:val="22"/>
          <w:szCs w:val="22"/>
        </w:rPr>
        <w:t xml:space="preserve"> inventario de activos fijos oscila alrededor de USD 21.000 y su Capital de Trabajo requerido su aproxima a los USD 3.000. Se sugiere en el Análisis Económico, el volumen de proyectos asignados para cada área tecnológica, lo que garantizará la sustentabili</w:t>
      </w:r>
      <w:r>
        <w:rPr>
          <w:sz w:val="22"/>
          <w:szCs w:val="22"/>
        </w:rPr>
        <w:t xml:space="preserve">dad del negocio. El punto de equilibrio equivale al 75% de las ventas anuales (USD 204.000) y se obtiene un importante crecimiento en el patrimonio al final del quinto año proyectado, siendo tres veces superior al inicial. </w:t>
      </w:r>
    </w:p>
    <w:p w:rsidR="00000000" w:rsidRDefault="00AF701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Loa principales riesgos del nego</w:t>
      </w:r>
      <w:r>
        <w:rPr>
          <w:sz w:val="22"/>
          <w:szCs w:val="22"/>
        </w:rPr>
        <w:t xml:space="preserve">cio son aquellos que están asociados a los de la industria como obsolescencia de equipos en el mediano plazo, crecimiento del número de competidores y surgimiento de nuevas tecnologías. </w:t>
      </w:r>
    </w:p>
    <w:p w:rsidR="00000000" w:rsidRDefault="00AF701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Finalmente, la TIR del negocio tiene un rendimiento muy atractivo, si</w:t>
      </w:r>
      <w:r>
        <w:rPr>
          <w:sz w:val="22"/>
          <w:szCs w:val="22"/>
        </w:rPr>
        <w:t xml:space="preserve">endo superior al 38%, el VAN es mayor a USD 20.000 aún cuando la tasa de descuento utilizada fue el promedio de las utilizadas en el sector financiero privado (16% a agosto del 2009), y el Tiempo de Retorno es de 2,24 años. </w:t>
      </w:r>
    </w:p>
    <w:p w:rsidR="00000000" w:rsidRDefault="00AF701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00000" w:rsidRDefault="00AF701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00000" w:rsidRDefault="00AF701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F7014" w:rsidRDefault="00AF701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AF7014">
      <w:type w:val="continuous"/>
      <w:pgSz w:w="11907" w:h="16839"/>
      <w:pgMar w:top="1899" w:right="907" w:bottom="1380" w:left="10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1ECD77"/>
    <w:multiLevelType w:val="hybridMultilevel"/>
    <w:tmpl w:val="D3CDBA0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00DEA"/>
    <w:rsid w:val="00100DEA"/>
    <w:rsid w:val="00AF7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ESPAE</dc:creator>
  <cp:keywords/>
  <dc:description/>
  <cp:lastModifiedBy>silgivar</cp:lastModifiedBy>
  <cp:revision>2</cp:revision>
  <dcterms:created xsi:type="dcterms:W3CDTF">2010-05-19T16:37:00Z</dcterms:created>
  <dcterms:modified xsi:type="dcterms:W3CDTF">2010-05-19T16:37:00Z</dcterms:modified>
</cp:coreProperties>
</file>