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15E" w:rsidRDefault="0061615E" w:rsidP="004F0F31">
      <w:pPr>
        <w:pStyle w:val="BodyText"/>
        <w:ind w:left="2694" w:right="49" w:hanging="1985"/>
        <w:jc w:val="center"/>
        <w:rPr>
          <w:rFonts w:ascii="Century Gothic" w:hAnsi="Century Gothic" w:cs="Century Gothic"/>
          <w:b/>
          <w:bCs/>
        </w:rPr>
      </w:pPr>
      <w:r>
        <w:rPr>
          <w:rFonts w:ascii="Century Gothic" w:hAnsi="Century Gothic" w:cs="Century Gothic"/>
          <w:b/>
          <w:bCs/>
        </w:rPr>
        <w:t xml:space="preserve">RESOLUCIONES DE LA COMISIÓN ACADÉMICA ACORDADAS </w:t>
      </w:r>
    </w:p>
    <w:p w:rsidR="0061615E" w:rsidRPr="00CF6CC9" w:rsidRDefault="0061615E" w:rsidP="004F0F31">
      <w:pPr>
        <w:pStyle w:val="BodyText"/>
        <w:ind w:left="2694" w:right="49" w:hanging="1985"/>
        <w:jc w:val="center"/>
        <w:rPr>
          <w:rFonts w:ascii="Century Gothic" w:hAnsi="Century Gothic" w:cs="Century Gothic"/>
          <w:b/>
          <w:bCs/>
        </w:rPr>
      </w:pPr>
      <w:r>
        <w:rPr>
          <w:rFonts w:ascii="Century Gothic" w:hAnsi="Century Gothic" w:cs="Century Gothic"/>
          <w:b/>
          <w:bCs/>
        </w:rPr>
        <w:t>EL 30 DE NOVIEMBRE DE 2009</w:t>
      </w:r>
    </w:p>
    <w:p w:rsidR="0061615E" w:rsidRPr="00CF6CC9" w:rsidRDefault="0061615E" w:rsidP="004F0F31">
      <w:pPr>
        <w:pStyle w:val="BodyText"/>
        <w:ind w:left="2694" w:right="49" w:hanging="1985"/>
        <w:rPr>
          <w:rFonts w:ascii="Century Gothic" w:hAnsi="Century Gothic" w:cs="Century Gothic"/>
        </w:rPr>
      </w:pPr>
    </w:p>
    <w:p w:rsidR="0061615E" w:rsidRDefault="0061615E" w:rsidP="004F0F31">
      <w:pPr>
        <w:ind w:left="2694" w:right="49" w:hanging="1985"/>
        <w:jc w:val="both"/>
        <w:rPr>
          <w:rFonts w:ascii="Century Gothic" w:hAnsi="Century Gothic" w:cs="Century Gothic"/>
          <w:sz w:val="22"/>
          <w:szCs w:val="22"/>
        </w:rPr>
      </w:pPr>
      <w:r>
        <w:rPr>
          <w:rFonts w:ascii="Century Gothic" w:hAnsi="Century Gothic" w:cs="Century Gothic"/>
          <w:b/>
          <w:bCs/>
          <w:sz w:val="22"/>
          <w:szCs w:val="22"/>
        </w:rPr>
        <w:t>CAc-2009-457.-</w:t>
      </w:r>
      <w:r>
        <w:rPr>
          <w:rFonts w:ascii="Century Gothic" w:hAnsi="Century Gothic" w:cs="Century Gothic"/>
          <w:sz w:val="22"/>
          <w:szCs w:val="22"/>
        </w:rPr>
        <w:t xml:space="preserve"> </w:t>
      </w:r>
      <w:r>
        <w:rPr>
          <w:rFonts w:ascii="Century Gothic" w:hAnsi="Century Gothic" w:cs="Century Gothic"/>
          <w:sz w:val="22"/>
          <w:szCs w:val="22"/>
        </w:rPr>
        <w:tab/>
        <w:t>Aprobar el acta digital de la sesión celebrada por la Comisión Académica el 23 de noviembre de 2009.</w:t>
      </w:r>
    </w:p>
    <w:p w:rsidR="0061615E" w:rsidRDefault="0061615E" w:rsidP="004F0F31">
      <w:pPr>
        <w:ind w:left="2694" w:right="49" w:hanging="1985"/>
        <w:jc w:val="both"/>
        <w:rPr>
          <w:rFonts w:ascii="Century Gothic" w:hAnsi="Century Gothic" w:cs="Century Gothic"/>
          <w:b/>
          <w:bCs/>
          <w:sz w:val="22"/>
          <w:szCs w:val="22"/>
        </w:rPr>
      </w:pPr>
    </w:p>
    <w:p w:rsidR="0061615E" w:rsidRPr="00587819" w:rsidRDefault="0061615E" w:rsidP="004F0F31">
      <w:pPr>
        <w:ind w:left="2694" w:right="49" w:hanging="1985"/>
        <w:jc w:val="both"/>
        <w:rPr>
          <w:rFonts w:ascii="Century Gothic" w:hAnsi="Century Gothic" w:cs="Century Gothic"/>
          <w:sz w:val="22"/>
          <w:szCs w:val="22"/>
        </w:rPr>
      </w:pPr>
      <w:r>
        <w:rPr>
          <w:rFonts w:ascii="Century Gothic" w:hAnsi="Century Gothic" w:cs="Century Gothic"/>
          <w:b/>
          <w:bCs/>
          <w:sz w:val="22"/>
          <w:szCs w:val="22"/>
        </w:rPr>
        <w:t>CAc-2009-458.-</w:t>
      </w:r>
      <w:r>
        <w:rPr>
          <w:rFonts w:ascii="Century Gothic" w:hAnsi="Century Gothic" w:cs="Century Gothic"/>
          <w:sz w:val="22"/>
          <w:szCs w:val="22"/>
        </w:rPr>
        <w:t xml:space="preserve"> </w:t>
      </w:r>
      <w:r>
        <w:rPr>
          <w:rFonts w:ascii="Century Gothic" w:hAnsi="Century Gothic" w:cs="Century Gothic"/>
          <w:sz w:val="22"/>
          <w:szCs w:val="22"/>
        </w:rPr>
        <w:tab/>
      </w:r>
      <w:r w:rsidRPr="00A90593">
        <w:rPr>
          <w:rFonts w:ascii="Century Gothic" w:hAnsi="Century Gothic" w:cs="Century Gothic"/>
          <w:sz w:val="22"/>
          <w:szCs w:val="22"/>
        </w:rPr>
        <w:t xml:space="preserve">Aprobar </w:t>
      </w:r>
      <w:r>
        <w:rPr>
          <w:rFonts w:ascii="Century Gothic" w:hAnsi="Century Gothic" w:cs="Century Gothic"/>
          <w:sz w:val="22"/>
          <w:szCs w:val="22"/>
        </w:rPr>
        <w:t xml:space="preserve">el </w:t>
      </w:r>
      <w:r w:rsidRPr="00587819">
        <w:rPr>
          <w:rFonts w:ascii="Century Gothic" w:hAnsi="Century Gothic" w:cs="Century Gothic"/>
          <w:b/>
          <w:bCs/>
          <w:sz w:val="22"/>
          <w:szCs w:val="22"/>
        </w:rPr>
        <w:t>MODELO EDUCATIVO Y PEDAGÓGICO DE LA ESPOL</w:t>
      </w:r>
      <w:r>
        <w:rPr>
          <w:rFonts w:ascii="Century Gothic" w:hAnsi="Century Gothic" w:cs="Century Gothic"/>
          <w:b/>
          <w:bCs/>
          <w:sz w:val="22"/>
          <w:szCs w:val="22"/>
        </w:rPr>
        <w:t xml:space="preserve"> </w:t>
      </w:r>
      <w:r w:rsidRPr="005D086B">
        <w:rPr>
          <w:rFonts w:ascii="Century Gothic" w:hAnsi="Century Gothic" w:cs="Century Gothic"/>
          <w:sz w:val="22"/>
          <w:szCs w:val="22"/>
        </w:rPr>
        <w:t>que incluye las observaciones realizadas por los miembros de la Comisión Académica</w:t>
      </w:r>
      <w:r>
        <w:rPr>
          <w:rFonts w:ascii="Century Gothic" w:hAnsi="Century Gothic" w:cs="Century Gothic"/>
          <w:b/>
          <w:bCs/>
          <w:sz w:val="22"/>
          <w:szCs w:val="22"/>
        </w:rPr>
        <w:t xml:space="preserve">. </w:t>
      </w:r>
      <w:r w:rsidRPr="005D086B">
        <w:rPr>
          <w:rFonts w:ascii="Century Gothic" w:hAnsi="Century Gothic" w:cs="Century Gothic"/>
          <w:sz w:val="22"/>
          <w:szCs w:val="22"/>
        </w:rPr>
        <w:t>Este documento fue</w:t>
      </w:r>
      <w:r>
        <w:rPr>
          <w:rFonts w:ascii="Century Gothic" w:hAnsi="Century Gothic" w:cs="Century Gothic"/>
          <w:b/>
          <w:bCs/>
          <w:sz w:val="22"/>
          <w:szCs w:val="22"/>
        </w:rPr>
        <w:t xml:space="preserve"> </w:t>
      </w:r>
      <w:r w:rsidRPr="00587819">
        <w:rPr>
          <w:rFonts w:ascii="Century Gothic" w:hAnsi="Century Gothic" w:cs="Century Gothic"/>
          <w:sz w:val="22"/>
          <w:szCs w:val="22"/>
        </w:rPr>
        <w:t xml:space="preserve">elaborado por la Dra. Catherine Chiluiza G., Dra. Elena </w:t>
      </w:r>
      <w:r>
        <w:rPr>
          <w:rFonts w:ascii="Century Gothic" w:hAnsi="Century Gothic" w:cs="Century Gothic"/>
          <w:sz w:val="22"/>
          <w:szCs w:val="22"/>
        </w:rPr>
        <w:t>Fernández R., Ing. Jorge Flores Herrera e Ing. Mario Patiño Aroca, con la colaboración del Lcdo. Washington Macías, Ing. Lourdes Benítez  e Ing. Mariuxi León</w:t>
      </w:r>
    </w:p>
    <w:p w:rsidR="0061615E" w:rsidRDefault="0061615E" w:rsidP="004F0F31">
      <w:pPr>
        <w:ind w:left="2694" w:right="49" w:hanging="1985"/>
        <w:jc w:val="both"/>
        <w:rPr>
          <w:rFonts w:ascii="Century Gothic" w:hAnsi="Century Gothic" w:cs="Century Gothic"/>
          <w:sz w:val="22"/>
          <w:szCs w:val="22"/>
        </w:rPr>
      </w:pPr>
    </w:p>
    <w:p w:rsidR="0061615E" w:rsidRDefault="0061615E" w:rsidP="005D086B">
      <w:pPr>
        <w:ind w:left="2694" w:right="49" w:hanging="1985"/>
        <w:jc w:val="both"/>
        <w:rPr>
          <w:rFonts w:ascii="Century Gothic" w:hAnsi="Century Gothic" w:cs="Century Gothic"/>
          <w:sz w:val="22"/>
          <w:szCs w:val="22"/>
        </w:rPr>
      </w:pPr>
      <w:r>
        <w:rPr>
          <w:rFonts w:ascii="Century Gothic" w:hAnsi="Century Gothic" w:cs="Century Gothic"/>
          <w:b/>
          <w:bCs/>
          <w:sz w:val="22"/>
          <w:szCs w:val="22"/>
        </w:rPr>
        <w:t>CAc-2009-459.-</w:t>
      </w:r>
      <w:r>
        <w:rPr>
          <w:rFonts w:ascii="Century Gothic" w:hAnsi="Century Gothic" w:cs="Century Gothic"/>
          <w:sz w:val="22"/>
          <w:szCs w:val="22"/>
        </w:rPr>
        <w:t xml:space="preserve"> </w:t>
      </w:r>
      <w:r>
        <w:rPr>
          <w:rFonts w:ascii="Century Gothic" w:hAnsi="Century Gothic" w:cs="Century Gothic"/>
          <w:sz w:val="22"/>
          <w:szCs w:val="22"/>
        </w:rPr>
        <w:tab/>
        <w:t>Reconocer como de Cuarto Nivel, el título de Master of Science in Martine Safety Administration (Magister en Ciencias en Administración de Seguridad Marítima) obtenido por la M.Sc. Nadia Mercedes Mendieta Villalba  en World Maritime University, Malmo-Sweden; esto, en consideración a las atribuciones señaladas en el Estatuto de la ESPOL y en concordancia con el artículo 44 de la Ley de Educación Superior.</w:t>
      </w:r>
    </w:p>
    <w:p w:rsidR="0061615E" w:rsidRDefault="0061615E" w:rsidP="005D086B">
      <w:pPr>
        <w:ind w:left="2694" w:right="49" w:hanging="1985"/>
        <w:jc w:val="both"/>
        <w:rPr>
          <w:rFonts w:ascii="Century Gothic" w:hAnsi="Century Gothic" w:cs="Century Gothic"/>
          <w:sz w:val="22"/>
          <w:szCs w:val="22"/>
        </w:rPr>
      </w:pPr>
    </w:p>
    <w:p w:rsidR="0061615E" w:rsidRDefault="0061615E" w:rsidP="005D086B">
      <w:pPr>
        <w:ind w:left="2694" w:right="49"/>
        <w:jc w:val="both"/>
        <w:rPr>
          <w:rFonts w:ascii="Century Gothic" w:hAnsi="Century Gothic" w:cs="Century Gothic"/>
          <w:sz w:val="22"/>
          <w:szCs w:val="22"/>
        </w:rPr>
      </w:pPr>
      <w:r>
        <w:rPr>
          <w:rFonts w:ascii="Century Gothic" w:hAnsi="Century Gothic" w:cs="Century Gothic"/>
          <w:sz w:val="22"/>
          <w:szCs w:val="22"/>
        </w:rPr>
        <w:t>La M.Sc. Nadia Mercedes Mendieta Villalba deberá cancelar la tasa reglamentaria.</w:t>
      </w:r>
    </w:p>
    <w:p w:rsidR="0061615E" w:rsidRDefault="0061615E" w:rsidP="004F0F31">
      <w:pPr>
        <w:ind w:left="2694" w:right="49" w:hanging="1985"/>
        <w:jc w:val="both"/>
        <w:rPr>
          <w:rFonts w:ascii="Century Gothic" w:hAnsi="Century Gothic" w:cs="Century Gothic"/>
          <w:sz w:val="22"/>
          <w:szCs w:val="22"/>
        </w:rPr>
      </w:pPr>
    </w:p>
    <w:p w:rsidR="0061615E" w:rsidRDefault="0061615E" w:rsidP="00335F4D">
      <w:pPr>
        <w:ind w:left="2694" w:right="49" w:hanging="1985"/>
        <w:jc w:val="both"/>
        <w:rPr>
          <w:rFonts w:ascii="Century Gothic" w:hAnsi="Century Gothic" w:cs="Century Gothic"/>
          <w:sz w:val="22"/>
          <w:szCs w:val="22"/>
        </w:rPr>
      </w:pPr>
      <w:r>
        <w:rPr>
          <w:rFonts w:ascii="Century Gothic" w:hAnsi="Century Gothic" w:cs="Century Gothic"/>
          <w:b/>
          <w:bCs/>
          <w:sz w:val="22"/>
          <w:szCs w:val="22"/>
        </w:rPr>
        <w:t>CAc-2009-460.-</w:t>
      </w:r>
      <w:r>
        <w:rPr>
          <w:rFonts w:ascii="Century Gothic" w:hAnsi="Century Gothic" w:cs="Century Gothic"/>
          <w:sz w:val="22"/>
          <w:szCs w:val="22"/>
        </w:rPr>
        <w:t xml:space="preserve"> </w:t>
      </w:r>
      <w:r>
        <w:rPr>
          <w:rFonts w:ascii="Century Gothic" w:hAnsi="Century Gothic" w:cs="Century Gothic"/>
          <w:sz w:val="22"/>
          <w:szCs w:val="22"/>
        </w:rPr>
        <w:tab/>
        <w:t>Reconocer como de Cuarto Nivel, el título de Maestro en Ingeniería (Magíster en Ingeniería) obtenido por el M.Sc. Martiniano Antonio Sánchez Narváez, en la Universidad Nacional Autónoma de México; esto, en consideración a las atribuciones señaladas en el Estatuto de la ESPOL y en concordancia con el artículo 44 de la Ley de Educación Superior.</w:t>
      </w:r>
    </w:p>
    <w:p w:rsidR="0061615E" w:rsidRDefault="0061615E" w:rsidP="00335F4D">
      <w:pPr>
        <w:ind w:left="2694" w:right="49" w:hanging="1985"/>
        <w:jc w:val="both"/>
        <w:rPr>
          <w:rFonts w:ascii="Century Gothic" w:hAnsi="Century Gothic" w:cs="Century Gothic"/>
          <w:sz w:val="22"/>
          <w:szCs w:val="22"/>
        </w:rPr>
      </w:pPr>
    </w:p>
    <w:p w:rsidR="0061615E" w:rsidRDefault="0061615E" w:rsidP="00335F4D">
      <w:pPr>
        <w:ind w:left="2694" w:right="49"/>
        <w:jc w:val="both"/>
        <w:rPr>
          <w:rFonts w:ascii="Century Gothic" w:hAnsi="Century Gothic" w:cs="Century Gothic"/>
          <w:sz w:val="22"/>
          <w:szCs w:val="22"/>
        </w:rPr>
      </w:pPr>
      <w:r>
        <w:rPr>
          <w:rFonts w:ascii="Century Gothic" w:hAnsi="Century Gothic" w:cs="Century Gothic"/>
          <w:sz w:val="22"/>
          <w:szCs w:val="22"/>
        </w:rPr>
        <w:t>M.Sc. Martiniano Antonio Sánchez Narváez deberá cancelar la tasa reglamentaria.</w:t>
      </w:r>
    </w:p>
    <w:p w:rsidR="0061615E" w:rsidRDefault="0061615E" w:rsidP="004F0F31">
      <w:pPr>
        <w:ind w:left="2694" w:right="49" w:hanging="1985"/>
        <w:jc w:val="both"/>
        <w:rPr>
          <w:rFonts w:ascii="Century Gothic" w:hAnsi="Century Gothic" w:cs="Century Gothic"/>
          <w:sz w:val="22"/>
          <w:szCs w:val="22"/>
        </w:rPr>
      </w:pPr>
    </w:p>
    <w:p w:rsidR="0061615E" w:rsidRPr="005239F6" w:rsidRDefault="0061615E" w:rsidP="005239F6">
      <w:pPr>
        <w:ind w:left="2694" w:right="49" w:hanging="1985"/>
        <w:jc w:val="both"/>
        <w:rPr>
          <w:rFonts w:ascii="Century Gothic" w:hAnsi="Century Gothic" w:cs="Century Gothic"/>
          <w:sz w:val="22"/>
          <w:szCs w:val="22"/>
        </w:rPr>
      </w:pPr>
      <w:r>
        <w:rPr>
          <w:rFonts w:ascii="Century Gothic" w:hAnsi="Century Gothic" w:cs="Century Gothic"/>
          <w:b/>
          <w:bCs/>
          <w:sz w:val="22"/>
          <w:szCs w:val="22"/>
        </w:rPr>
        <w:t>CAc-2009-461.-</w:t>
      </w:r>
      <w:r>
        <w:rPr>
          <w:rFonts w:ascii="Century Gothic" w:hAnsi="Century Gothic" w:cs="Century Gothic"/>
          <w:sz w:val="22"/>
          <w:szCs w:val="22"/>
        </w:rPr>
        <w:t xml:space="preserve"> </w:t>
      </w:r>
      <w:r>
        <w:rPr>
          <w:rFonts w:ascii="Century Gothic" w:hAnsi="Century Gothic" w:cs="Century Gothic"/>
          <w:sz w:val="22"/>
          <w:szCs w:val="22"/>
        </w:rPr>
        <w:tab/>
        <w:t xml:space="preserve">Resolver que el contenido del Colloquium on Participant Centered Learning (GCPCL) del Harvard Business School-Excecutive Educación, aprobado por la Dra. Virginia Lasio Morello y realizado en Boston del 26 de julio al 3 de agosto de 2009,  sea equivalente a los talleres pedagógicos: </w:t>
      </w:r>
      <w:r w:rsidRPr="00335F4D">
        <w:rPr>
          <w:rFonts w:ascii="Century Gothic" w:hAnsi="Century Gothic" w:cs="Century Gothic"/>
          <w:sz w:val="22"/>
          <w:szCs w:val="22"/>
        </w:rPr>
        <w:t>Estra</w:t>
      </w:r>
      <w:r>
        <w:rPr>
          <w:rFonts w:ascii="Century Gothic" w:hAnsi="Century Gothic" w:cs="Century Gothic"/>
          <w:sz w:val="22"/>
          <w:szCs w:val="22"/>
        </w:rPr>
        <w:t>tegias de Aprendizaje, Como apr</w:t>
      </w:r>
      <w:r w:rsidRPr="00335F4D">
        <w:rPr>
          <w:rFonts w:ascii="Century Gothic" w:hAnsi="Century Gothic" w:cs="Century Gothic"/>
          <w:sz w:val="22"/>
          <w:szCs w:val="22"/>
        </w:rPr>
        <w:t>enden las personas y Diseño Microcurricular</w:t>
      </w:r>
      <w:r>
        <w:rPr>
          <w:rFonts w:ascii="Century Gothic" w:hAnsi="Century Gothic" w:cs="Century Gothic"/>
          <w:sz w:val="22"/>
          <w:szCs w:val="22"/>
        </w:rPr>
        <w:t>, que son válidos para Ascenso de Grado y Categoría de los profesores titulares.</w:t>
      </w:r>
    </w:p>
    <w:p w:rsidR="0061615E" w:rsidRPr="00335F4D" w:rsidRDefault="0061615E" w:rsidP="004F0F31">
      <w:pPr>
        <w:ind w:left="2694" w:right="49" w:hanging="1985"/>
        <w:jc w:val="both"/>
        <w:rPr>
          <w:rFonts w:ascii="Century Gothic" w:hAnsi="Century Gothic" w:cs="Century Gothic"/>
          <w:sz w:val="22"/>
          <w:szCs w:val="22"/>
        </w:rPr>
      </w:pPr>
    </w:p>
    <w:p w:rsidR="0061615E" w:rsidRDefault="0061615E" w:rsidP="004F0F31">
      <w:pPr>
        <w:ind w:left="2694" w:right="49" w:hanging="1985"/>
        <w:jc w:val="both"/>
        <w:rPr>
          <w:rFonts w:ascii="Century Gothic" w:hAnsi="Century Gothic" w:cs="Century Gothic"/>
          <w:sz w:val="22"/>
          <w:szCs w:val="22"/>
        </w:rPr>
      </w:pPr>
      <w:r>
        <w:rPr>
          <w:rFonts w:ascii="Century Gothic" w:hAnsi="Century Gothic" w:cs="Century Gothic"/>
          <w:b/>
          <w:bCs/>
          <w:sz w:val="22"/>
          <w:szCs w:val="22"/>
        </w:rPr>
        <w:t>CAc-2009-462.-</w:t>
      </w:r>
      <w:r>
        <w:rPr>
          <w:rFonts w:ascii="Century Gothic" w:hAnsi="Century Gothic" w:cs="Century Gothic"/>
          <w:sz w:val="22"/>
          <w:szCs w:val="22"/>
        </w:rPr>
        <w:t xml:space="preserve"> </w:t>
      </w:r>
      <w:r>
        <w:rPr>
          <w:rFonts w:ascii="Century Gothic" w:hAnsi="Century Gothic" w:cs="Century Gothic"/>
          <w:sz w:val="22"/>
          <w:szCs w:val="22"/>
        </w:rPr>
        <w:tab/>
        <w:t>Aprobar las áreas de Competencia de los profesores del programa de Tecnología en Electricidad, Electrónica y Telecomunicaciones, esto en consideración al pedido formulado por el Consejo Directivo del Instituto de Tecnologías.</w:t>
      </w:r>
    </w:p>
    <w:p w:rsidR="0061615E" w:rsidRDefault="0061615E" w:rsidP="005239F6">
      <w:pPr>
        <w:tabs>
          <w:tab w:val="left" w:pos="7603"/>
        </w:tabs>
        <w:ind w:left="2694" w:right="49" w:hanging="1985"/>
        <w:jc w:val="both"/>
        <w:rPr>
          <w:rFonts w:ascii="Century Gothic" w:hAnsi="Century Gothic" w:cs="Century Gothic"/>
          <w:sz w:val="22"/>
          <w:szCs w:val="22"/>
        </w:rPr>
      </w:pPr>
      <w:r>
        <w:rPr>
          <w:rFonts w:ascii="Century Gothic" w:hAnsi="Century Gothic" w:cs="Century Gothic"/>
          <w:sz w:val="22"/>
          <w:szCs w:val="22"/>
        </w:rPr>
        <w:tab/>
      </w:r>
      <w:r>
        <w:rPr>
          <w:rFonts w:ascii="Century Gothic" w:hAnsi="Century Gothic" w:cs="Century Gothic"/>
          <w:sz w:val="22"/>
          <w:szCs w:val="22"/>
        </w:rPr>
        <w:tab/>
      </w:r>
    </w:p>
    <w:p w:rsidR="0061615E" w:rsidRDefault="0061615E" w:rsidP="005239F6">
      <w:pPr>
        <w:ind w:left="2694" w:right="49" w:hanging="1985"/>
        <w:jc w:val="both"/>
        <w:rPr>
          <w:rFonts w:ascii="Century Gothic" w:hAnsi="Century Gothic" w:cs="Century Gothic"/>
          <w:sz w:val="22"/>
          <w:szCs w:val="22"/>
        </w:rPr>
      </w:pPr>
      <w:r>
        <w:rPr>
          <w:rFonts w:ascii="Century Gothic" w:hAnsi="Century Gothic" w:cs="Century Gothic"/>
          <w:b/>
          <w:bCs/>
          <w:sz w:val="22"/>
          <w:szCs w:val="22"/>
        </w:rPr>
        <w:t>CAc-2009-463.-</w:t>
      </w:r>
      <w:r>
        <w:rPr>
          <w:rFonts w:ascii="Century Gothic" w:hAnsi="Century Gothic" w:cs="Century Gothic"/>
          <w:sz w:val="22"/>
          <w:szCs w:val="22"/>
        </w:rPr>
        <w:t xml:space="preserve"> </w:t>
      </w:r>
      <w:r>
        <w:rPr>
          <w:rFonts w:ascii="Century Gothic" w:hAnsi="Century Gothic" w:cs="Century Gothic"/>
          <w:sz w:val="22"/>
          <w:szCs w:val="22"/>
        </w:rPr>
        <w:tab/>
        <w:t>Aprobar las áreas de Competencia de los profesores del programa de Tecnología en Mecánica, esto en consideración al pedido formulado por el Consejo Directivo del Instituto de Tecnologías.</w:t>
      </w:r>
    </w:p>
    <w:p w:rsidR="0061615E" w:rsidRDefault="0061615E" w:rsidP="005239F6">
      <w:pPr>
        <w:ind w:left="2694" w:right="49" w:hanging="1985"/>
        <w:jc w:val="both"/>
        <w:rPr>
          <w:rFonts w:ascii="Century Gothic" w:hAnsi="Century Gothic" w:cs="Century Gothic"/>
          <w:b/>
          <w:bCs/>
          <w:sz w:val="22"/>
          <w:szCs w:val="22"/>
        </w:rPr>
      </w:pPr>
    </w:p>
    <w:p w:rsidR="0061615E" w:rsidRDefault="0061615E" w:rsidP="005239F6">
      <w:pPr>
        <w:ind w:left="2694" w:right="49" w:hanging="1985"/>
        <w:jc w:val="both"/>
        <w:rPr>
          <w:rFonts w:ascii="Century Gothic" w:hAnsi="Century Gothic" w:cs="Century Gothic"/>
          <w:sz w:val="22"/>
          <w:szCs w:val="22"/>
        </w:rPr>
      </w:pPr>
      <w:r>
        <w:rPr>
          <w:rFonts w:ascii="Century Gothic" w:hAnsi="Century Gothic" w:cs="Century Gothic"/>
          <w:b/>
          <w:bCs/>
          <w:sz w:val="22"/>
          <w:szCs w:val="22"/>
        </w:rPr>
        <w:t>CAc-2009-464.-</w:t>
      </w:r>
      <w:r>
        <w:rPr>
          <w:rFonts w:ascii="Century Gothic" w:hAnsi="Century Gothic" w:cs="Century Gothic"/>
          <w:sz w:val="22"/>
          <w:szCs w:val="22"/>
        </w:rPr>
        <w:t xml:space="preserve"> </w:t>
      </w:r>
      <w:r>
        <w:rPr>
          <w:rFonts w:ascii="Century Gothic" w:hAnsi="Century Gothic" w:cs="Century Gothic"/>
          <w:sz w:val="22"/>
          <w:szCs w:val="22"/>
        </w:rPr>
        <w:tab/>
        <w:t>Aprobar las áreas de Competencia de los profesores del programa de Tecnología en Pesquería, esto en consideración al pedido formulado por el Consejo Directivo del Instituto de Tecnologías.</w:t>
      </w:r>
    </w:p>
    <w:p w:rsidR="0061615E" w:rsidRDefault="0061615E" w:rsidP="004F0F31">
      <w:pPr>
        <w:ind w:left="2694" w:right="49" w:hanging="1985"/>
        <w:jc w:val="both"/>
        <w:rPr>
          <w:rFonts w:ascii="Century Gothic" w:hAnsi="Century Gothic" w:cs="Century Gothic"/>
          <w:sz w:val="22"/>
          <w:szCs w:val="22"/>
        </w:rPr>
      </w:pPr>
    </w:p>
    <w:p w:rsidR="0061615E" w:rsidRDefault="0061615E" w:rsidP="004F0F31">
      <w:pPr>
        <w:ind w:left="2694" w:right="49" w:hanging="1985"/>
        <w:jc w:val="both"/>
        <w:rPr>
          <w:rFonts w:ascii="Century Gothic" w:hAnsi="Century Gothic" w:cs="Century Gothic"/>
          <w:sz w:val="22"/>
          <w:szCs w:val="22"/>
        </w:rPr>
      </w:pPr>
    </w:p>
    <w:p w:rsidR="0061615E" w:rsidRDefault="0061615E" w:rsidP="004F0F31">
      <w:pPr>
        <w:ind w:left="2694" w:right="49" w:hanging="1985"/>
        <w:jc w:val="both"/>
        <w:rPr>
          <w:rFonts w:ascii="Century Gothic" w:hAnsi="Century Gothic" w:cs="Century Gothic"/>
          <w:sz w:val="22"/>
          <w:szCs w:val="22"/>
        </w:rPr>
      </w:pPr>
    </w:p>
    <w:p w:rsidR="0061615E" w:rsidRPr="001B0876" w:rsidRDefault="0061615E" w:rsidP="00594A4B">
      <w:pPr>
        <w:ind w:left="2700" w:right="-441" w:hanging="1980"/>
        <w:jc w:val="center"/>
        <w:rPr>
          <w:rFonts w:ascii="Century Gothic" w:hAnsi="Century Gothic" w:cs="Century Gothic"/>
        </w:rPr>
      </w:pPr>
      <w:r w:rsidRPr="001B0876">
        <w:rPr>
          <w:rFonts w:ascii="Century Gothic" w:hAnsi="Century Gothic" w:cs="Century Gothic"/>
        </w:rPr>
        <w:t>&lt;&lt;&lt;&lt;&lt;&gt;&gt;&gt;&gt;&gt;</w:t>
      </w:r>
    </w:p>
    <w:p w:rsidR="0061615E" w:rsidRDefault="0061615E" w:rsidP="00594A4B">
      <w:pPr>
        <w:ind w:left="720" w:right="-441"/>
        <w:jc w:val="center"/>
        <w:rPr>
          <w:rFonts w:ascii="Century Gothic" w:hAnsi="Century Gothic" w:cs="Century Gothic"/>
        </w:rPr>
      </w:pPr>
    </w:p>
    <w:p w:rsidR="0061615E" w:rsidRPr="001D68CB" w:rsidRDefault="0061615E" w:rsidP="00594A4B">
      <w:pPr>
        <w:ind w:left="720" w:right="-441"/>
        <w:jc w:val="center"/>
        <w:rPr>
          <w:rFonts w:ascii="Century Gothic" w:hAnsi="Century Gothic" w:cs="Century Gothic"/>
        </w:rPr>
      </w:pPr>
      <w:r w:rsidRPr="001D68CB">
        <w:rPr>
          <w:rFonts w:ascii="Century Gothic" w:hAnsi="Century Gothic" w:cs="Century Gothic"/>
        </w:rPr>
        <w:t>Las resoluciones pueden consultarse en la dirección de INTERNET:</w:t>
      </w:r>
    </w:p>
    <w:p w:rsidR="0061615E" w:rsidRPr="001D68CB" w:rsidRDefault="0061615E" w:rsidP="00594A4B">
      <w:pPr>
        <w:ind w:left="720" w:right="-441"/>
        <w:jc w:val="center"/>
        <w:rPr>
          <w:rFonts w:ascii="Century Gothic" w:hAnsi="Century Gothic" w:cs="Century Gothic"/>
          <w:b/>
          <w:bCs/>
        </w:rPr>
      </w:pPr>
      <w:r w:rsidRPr="001D68CB">
        <w:rPr>
          <w:rFonts w:ascii="Century Gothic" w:hAnsi="Century Gothic" w:cs="Century Gothic"/>
          <w:b/>
          <w:bCs/>
        </w:rPr>
        <w:t>intranet.espol.edu.ec</w:t>
      </w:r>
    </w:p>
    <w:p w:rsidR="0061615E" w:rsidRDefault="0061615E" w:rsidP="00594A4B">
      <w:pPr>
        <w:ind w:right="562"/>
      </w:pPr>
    </w:p>
    <w:p w:rsidR="0061615E" w:rsidRDefault="0061615E" w:rsidP="00C654CE">
      <w:pPr>
        <w:ind w:left="2700" w:right="562" w:hanging="1980"/>
        <w:jc w:val="both"/>
        <w:rPr>
          <w:rFonts w:ascii="Century Gothic" w:hAnsi="Century Gothic" w:cs="Century Gothic"/>
          <w:sz w:val="22"/>
          <w:szCs w:val="22"/>
        </w:rPr>
      </w:pPr>
    </w:p>
    <w:p w:rsidR="0061615E" w:rsidRDefault="0061615E" w:rsidP="00C654CE">
      <w:pPr>
        <w:ind w:left="2700" w:right="562" w:hanging="1980"/>
        <w:jc w:val="both"/>
        <w:rPr>
          <w:rFonts w:ascii="Century Gothic" w:hAnsi="Century Gothic" w:cs="Century Gothic"/>
          <w:sz w:val="22"/>
          <w:szCs w:val="22"/>
        </w:rPr>
      </w:pPr>
    </w:p>
    <w:p w:rsidR="0061615E" w:rsidRDefault="0061615E" w:rsidP="00C654CE">
      <w:pPr>
        <w:ind w:left="2700" w:right="562" w:hanging="1980"/>
        <w:jc w:val="both"/>
        <w:rPr>
          <w:rFonts w:ascii="Century Gothic" w:hAnsi="Century Gothic" w:cs="Century Gothic"/>
          <w:sz w:val="22"/>
          <w:szCs w:val="22"/>
        </w:rPr>
      </w:pPr>
    </w:p>
    <w:p w:rsidR="0061615E" w:rsidRDefault="0061615E" w:rsidP="00C654CE">
      <w:pPr>
        <w:ind w:left="2700" w:right="562" w:hanging="1980"/>
        <w:jc w:val="both"/>
        <w:rPr>
          <w:rFonts w:ascii="Century Gothic" w:hAnsi="Century Gothic" w:cs="Century Gothic"/>
          <w:sz w:val="22"/>
          <w:szCs w:val="22"/>
        </w:rPr>
      </w:pPr>
    </w:p>
    <w:p w:rsidR="0061615E" w:rsidRDefault="0061615E" w:rsidP="00C654CE">
      <w:pPr>
        <w:ind w:left="2700" w:right="562" w:hanging="1980"/>
        <w:jc w:val="both"/>
        <w:rPr>
          <w:rFonts w:ascii="Century Gothic" w:hAnsi="Century Gothic" w:cs="Century Gothic"/>
          <w:sz w:val="22"/>
          <w:szCs w:val="22"/>
        </w:rPr>
      </w:pPr>
    </w:p>
    <w:p w:rsidR="0061615E" w:rsidRDefault="0061615E" w:rsidP="00C654CE">
      <w:pPr>
        <w:ind w:left="2700" w:right="562" w:hanging="1980"/>
        <w:jc w:val="both"/>
        <w:rPr>
          <w:rFonts w:ascii="Century Gothic" w:hAnsi="Century Gothic" w:cs="Century Gothic"/>
          <w:sz w:val="22"/>
          <w:szCs w:val="22"/>
        </w:rPr>
      </w:pPr>
    </w:p>
    <w:p w:rsidR="0061615E" w:rsidRDefault="0061615E" w:rsidP="00C654CE">
      <w:pPr>
        <w:ind w:left="2700" w:right="562" w:hanging="1980"/>
        <w:jc w:val="both"/>
        <w:rPr>
          <w:rFonts w:ascii="Century Gothic" w:hAnsi="Century Gothic" w:cs="Century Gothic"/>
          <w:sz w:val="22"/>
          <w:szCs w:val="22"/>
        </w:rPr>
      </w:pPr>
    </w:p>
    <w:p w:rsidR="0061615E" w:rsidRDefault="0061615E" w:rsidP="00C654CE">
      <w:pPr>
        <w:ind w:left="2700" w:right="562" w:hanging="1980"/>
        <w:jc w:val="both"/>
        <w:rPr>
          <w:rFonts w:ascii="Century Gothic" w:hAnsi="Century Gothic" w:cs="Century Gothic"/>
          <w:sz w:val="22"/>
          <w:szCs w:val="22"/>
        </w:rPr>
      </w:pPr>
    </w:p>
    <w:sectPr w:rsidR="0061615E" w:rsidSect="00C1401B">
      <w:headerReference w:type="default" r:id="rId7"/>
      <w:footerReference w:type="default" r:id="rId8"/>
      <w:pgSz w:w="12240" w:h="15840"/>
      <w:pgMar w:top="226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15E" w:rsidRDefault="0061615E">
      <w:r>
        <w:separator/>
      </w:r>
    </w:p>
  </w:endnote>
  <w:endnote w:type="continuationSeparator" w:id="1">
    <w:p w:rsidR="0061615E" w:rsidRDefault="006161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15E" w:rsidRPr="005239F6" w:rsidRDefault="0061615E" w:rsidP="005239F6">
    <w:pPr>
      <w:pStyle w:val="Footer"/>
      <w:jc w:val="center"/>
      <w:rPr>
        <w:rFonts w:ascii="Century Gothic" w:hAnsi="Century Gothic" w:cs="Century Gothic"/>
        <w:sz w:val="18"/>
        <w:szCs w:val="18"/>
      </w:rPr>
    </w:pPr>
    <w:r w:rsidRPr="005239F6">
      <w:rPr>
        <w:rFonts w:ascii="Century Gothic" w:hAnsi="Century Gothic" w:cs="Century Gothic"/>
        <w:sz w:val="18"/>
        <w:szCs w:val="18"/>
      </w:rPr>
      <w:t>RESOLUCIONES DE LA COMISIÓN ACADÉMICA ACORDADAS EL 30 DE NOVIEMBRE DE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15E" w:rsidRDefault="0061615E">
      <w:r>
        <w:separator/>
      </w:r>
    </w:p>
  </w:footnote>
  <w:footnote w:type="continuationSeparator" w:id="1">
    <w:p w:rsidR="0061615E" w:rsidRDefault="00616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15E" w:rsidRPr="005239F6" w:rsidRDefault="0061615E" w:rsidP="005239F6">
    <w:pPr>
      <w:pStyle w:val="Header"/>
      <w:framePr w:wrap="auto" w:vAnchor="text" w:hAnchor="page" w:x="10342" w:y="767"/>
      <w:rPr>
        <w:rStyle w:val="PageNumber"/>
        <w:rFonts w:ascii="Century Gothic" w:hAnsi="Century Gothic" w:cs="Century Gothic"/>
        <w:sz w:val="22"/>
        <w:szCs w:val="22"/>
      </w:rPr>
    </w:pPr>
    <w:r w:rsidRPr="005239F6">
      <w:rPr>
        <w:rStyle w:val="PageNumber"/>
        <w:rFonts w:ascii="Century Gothic" w:hAnsi="Century Gothic" w:cs="Century Gothic"/>
        <w:sz w:val="22"/>
        <w:szCs w:val="22"/>
      </w:rPr>
      <w:fldChar w:fldCharType="begin"/>
    </w:r>
    <w:r w:rsidRPr="005239F6">
      <w:rPr>
        <w:rStyle w:val="PageNumber"/>
        <w:rFonts w:ascii="Century Gothic" w:hAnsi="Century Gothic" w:cs="Century Gothic"/>
        <w:sz w:val="22"/>
        <w:szCs w:val="22"/>
      </w:rPr>
      <w:instrText xml:space="preserve">PAGE  </w:instrText>
    </w:r>
    <w:r w:rsidRPr="005239F6">
      <w:rPr>
        <w:rStyle w:val="PageNumber"/>
        <w:rFonts w:ascii="Century Gothic" w:hAnsi="Century Gothic" w:cs="Century Gothic"/>
        <w:sz w:val="22"/>
        <w:szCs w:val="22"/>
      </w:rPr>
      <w:fldChar w:fldCharType="separate"/>
    </w:r>
    <w:r>
      <w:rPr>
        <w:rStyle w:val="PageNumber"/>
        <w:rFonts w:ascii="Century Gothic" w:hAnsi="Century Gothic" w:cs="Century Gothic"/>
        <w:noProof/>
        <w:sz w:val="22"/>
        <w:szCs w:val="22"/>
      </w:rPr>
      <w:t>2</w:t>
    </w:r>
    <w:r w:rsidRPr="005239F6">
      <w:rPr>
        <w:rStyle w:val="PageNumber"/>
        <w:rFonts w:ascii="Century Gothic" w:hAnsi="Century Gothic" w:cs="Century Gothic"/>
        <w:sz w:val="22"/>
        <w:szCs w:val="22"/>
      </w:rPr>
      <w:fldChar w:fldCharType="end"/>
    </w:r>
  </w:p>
  <w:p w:rsidR="0061615E" w:rsidRDefault="0061615E" w:rsidP="005239F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4222"/>
    <w:multiLevelType w:val="hybridMultilevel"/>
    <w:tmpl w:val="931C2792"/>
    <w:lvl w:ilvl="0" w:tplc="0C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4CE"/>
    <w:rsid w:val="00151401"/>
    <w:rsid w:val="001B0876"/>
    <w:rsid w:val="001D68CB"/>
    <w:rsid w:val="00235B81"/>
    <w:rsid w:val="002B7064"/>
    <w:rsid w:val="003231C3"/>
    <w:rsid w:val="00335F4D"/>
    <w:rsid w:val="00364D63"/>
    <w:rsid w:val="00366AF6"/>
    <w:rsid w:val="004C1411"/>
    <w:rsid w:val="004F0F31"/>
    <w:rsid w:val="00522AD2"/>
    <w:rsid w:val="005239F6"/>
    <w:rsid w:val="00553CB4"/>
    <w:rsid w:val="00587819"/>
    <w:rsid w:val="00594A4B"/>
    <w:rsid w:val="005D086B"/>
    <w:rsid w:val="0061615E"/>
    <w:rsid w:val="00636199"/>
    <w:rsid w:val="00637BFA"/>
    <w:rsid w:val="00667630"/>
    <w:rsid w:val="006D71D7"/>
    <w:rsid w:val="00720784"/>
    <w:rsid w:val="00785E3D"/>
    <w:rsid w:val="007C5E24"/>
    <w:rsid w:val="00817257"/>
    <w:rsid w:val="008815A7"/>
    <w:rsid w:val="00904247"/>
    <w:rsid w:val="00A140C5"/>
    <w:rsid w:val="00A90593"/>
    <w:rsid w:val="00AA3DD3"/>
    <w:rsid w:val="00B9204D"/>
    <w:rsid w:val="00C04C31"/>
    <w:rsid w:val="00C1401B"/>
    <w:rsid w:val="00C23EF2"/>
    <w:rsid w:val="00C654CE"/>
    <w:rsid w:val="00CF5D0F"/>
    <w:rsid w:val="00CF6CC9"/>
    <w:rsid w:val="00D314E7"/>
    <w:rsid w:val="00DB2EE5"/>
    <w:rsid w:val="00DE02BE"/>
    <w:rsid w:val="00EB7D13"/>
    <w:rsid w:val="00EC4546"/>
    <w:rsid w:val="00EC4F17"/>
    <w:rsid w:val="00FA08AC"/>
    <w:rsid w:val="00FF300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C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654CE"/>
    <w:pPr>
      <w:jc w:val="both"/>
    </w:pPr>
    <w:rPr>
      <w:rFonts w:ascii="Tahoma" w:hAnsi="Tahoma" w:cs="Tahoma"/>
      <w:sz w:val="22"/>
      <w:szCs w:val="22"/>
    </w:rPr>
  </w:style>
  <w:style w:type="character" w:customStyle="1" w:styleId="BodyTextChar">
    <w:name w:val="Body Text Char"/>
    <w:basedOn w:val="DefaultParagraphFont"/>
    <w:link w:val="BodyText"/>
    <w:uiPriority w:val="99"/>
    <w:locked/>
    <w:rsid w:val="00C654CE"/>
    <w:rPr>
      <w:rFonts w:ascii="Tahoma" w:hAnsi="Tahoma" w:cs="Tahoma"/>
      <w:sz w:val="20"/>
      <w:szCs w:val="20"/>
      <w:lang w:val="es-ES" w:eastAsia="es-ES"/>
    </w:rPr>
  </w:style>
  <w:style w:type="paragraph" w:styleId="Header">
    <w:name w:val="header"/>
    <w:basedOn w:val="Normal"/>
    <w:link w:val="HeaderChar"/>
    <w:uiPriority w:val="99"/>
    <w:rsid w:val="005239F6"/>
    <w:pPr>
      <w:tabs>
        <w:tab w:val="center" w:pos="4252"/>
        <w:tab w:val="right" w:pos="8504"/>
      </w:tabs>
    </w:pPr>
  </w:style>
  <w:style w:type="character" w:customStyle="1" w:styleId="HeaderChar">
    <w:name w:val="Header Char"/>
    <w:basedOn w:val="DefaultParagraphFont"/>
    <w:link w:val="Header"/>
    <w:uiPriority w:val="99"/>
    <w:semiHidden/>
    <w:locked/>
    <w:rsid w:val="00364D63"/>
    <w:rPr>
      <w:rFonts w:ascii="Times New Roman" w:hAnsi="Times New Roman" w:cs="Times New Roman"/>
      <w:sz w:val="20"/>
      <w:szCs w:val="20"/>
    </w:rPr>
  </w:style>
  <w:style w:type="character" w:styleId="PageNumber">
    <w:name w:val="page number"/>
    <w:basedOn w:val="DefaultParagraphFont"/>
    <w:uiPriority w:val="99"/>
    <w:rsid w:val="005239F6"/>
  </w:style>
  <w:style w:type="paragraph" w:styleId="Footer">
    <w:name w:val="footer"/>
    <w:basedOn w:val="Normal"/>
    <w:link w:val="FooterChar"/>
    <w:uiPriority w:val="99"/>
    <w:rsid w:val="005239F6"/>
    <w:pPr>
      <w:tabs>
        <w:tab w:val="center" w:pos="4252"/>
        <w:tab w:val="right" w:pos="8504"/>
      </w:tabs>
    </w:pPr>
  </w:style>
  <w:style w:type="character" w:customStyle="1" w:styleId="FooterChar">
    <w:name w:val="Footer Char"/>
    <w:basedOn w:val="DefaultParagraphFont"/>
    <w:link w:val="Footer"/>
    <w:uiPriority w:val="99"/>
    <w:semiHidden/>
    <w:locked/>
    <w:rsid w:val="00364D63"/>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2</Pages>
  <Words>424</Words>
  <Characters>2335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DE LA COMISIÓN ACADÉMICA ACORDADAS </dc:title>
  <dc:subject/>
  <dc:creator>Armando</dc:creator>
  <cp:keywords/>
  <dc:description/>
  <cp:lastModifiedBy>cogavila</cp:lastModifiedBy>
  <cp:revision>6</cp:revision>
  <cp:lastPrinted>2009-12-02T16:55:00Z</cp:lastPrinted>
  <dcterms:created xsi:type="dcterms:W3CDTF">2009-11-30T21:25:00Z</dcterms:created>
  <dcterms:modified xsi:type="dcterms:W3CDTF">2009-12-02T20:05:00Z</dcterms:modified>
</cp:coreProperties>
</file>