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C75AF2" w:rsidRPr="00C75AF2" w:rsidTr="00C75AF2">
        <w:trPr>
          <w:tblCellSpacing w:w="0" w:type="dxa"/>
        </w:trPr>
        <w:tc>
          <w:tcPr>
            <w:tcW w:w="7485" w:type="dxa"/>
            <w:gridSpan w:val="2"/>
            <w:hideMark/>
          </w:tcPr>
          <w:p w:rsidR="00C75AF2" w:rsidRPr="00C75AF2" w:rsidRDefault="00C75AF2" w:rsidP="00C75AF2">
            <w:pPr>
              <w:spacing w:after="0" w:line="240" w:lineRule="auto"/>
              <w:rPr>
                <w:rFonts w:ascii="Times New Roman" w:eastAsia="Times New Roman" w:hAnsi="Times New Roman" w:cs="Times New Roman"/>
                <w:sz w:val="24"/>
                <w:szCs w:val="24"/>
                <w:lang w:eastAsia="es-ES"/>
              </w:rPr>
            </w:pPr>
            <w:r w:rsidRPr="00C75AF2">
              <w:rPr>
                <w:rFonts w:ascii="Verdana" w:eastAsia="Times New Roman" w:hAnsi="Verdana" w:cs="Times New Roman"/>
                <w:b/>
                <w:bCs/>
                <w:sz w:val="20"/>
                <w:szCs w:val="20"/>
                <w:lang w:eastAsia="es-ES"/>
              </w:rPr>
              <w:t>Resoluciones #055 - #065</w:t>
            </w:r>
          </w:p>
        </w:tc>
      </w:tr>
      <w:tr w:rsidR="00C75AF2" w:rsidRPr="00C75AF2" w:rsidTr="00C75AF2">
        <w:trPr>
          <w:tblCellSpacing w:w="0" w:type="dxa"/>
        </w:trPr>
        <w:tc>
          <w:tcPr>
            <w:tcW w:w="1245" w:type="dxa"/>
            <w:hideMark/>
          </w:tcPr>
          <w:p w:rsidR="00C75AF2" w:rsidRPr="00C75AF2" w:rsidRDefault="00C75AF2" w:rsidP="00C75AF2">
            <w:pPr>
              <w:spacing w:after="0" w:line="240" w:lineRule="auto"/>
              <w:rPr>
                <w:rFonts w:ascii="Times New Roman" w:eastAsia="Times New Roman" w:hAnsi="Times New Roman" w:cs="Times New Roman"/>
                <w:sz w:val="24"/>
                <w:szCs w:val="24"/>
                <w:lang w:eastAsia="es-ES"/>
              </w:rPr>
            </w:pPr>
          </w:p>
        </w:tc>
        <w:tc>
          <w:tcPr>
            <w:tcW w:w="6240" w:type="dxa"/>
            <w:hideMark/>
          </w:tcPr>
          <w:p w:rsidR="00C75AF2" w:rsidRPr="00C75AF2" w:rsidRDefault="00C75AF2" w:rsidP="00C75AF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75AF2" w:rsidRPr="00C75AF2" w:rsidRDefault="00C75AF2" w:rsidP="00C75AF2">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C75AF2" w:rsidRPr="00C75AF2" w:rsidTr="00C75AF2">
        <w:trPr>
          <w:trHeight w:val="15"/>
          <w:tblCellSpacing w:w="0" w:type="dxa"/>
        </w:trPr>
        <w:tc>
          <w:tcPr>
            <w:tcW w:w="15" w:type="dxa"/>
            <w:shd w:val="clear" w:color="auto" w:fill="000033"/>
            <w:hideMark/>
          </w:tcPr>
          <w:p w:rsidR="00C75AF2" w:rsidRPr="00C75AF2" w:rsidRDefault="00C75AF2" w:rsidP="00C75AF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C75AF2" w:rsidRPr="00C75AF2" w:rsidRDefault="00C75AF2" w:rsidP="00C75AF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C75AF2" w:rsidRPr="00C75AF2" w:rsidRDefault="00C75AF2" w:rsidP="00C75AF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C75AF2" w:rsidRPr="00C75AF2" w:rsidRDefault="00C75AF2" w:rsidP="00C75AF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75AF2" w:rsidRPr="00C75AF2" w:rsidTr="00C75AF2">
        <w:trPr>
          <w:tblCellSpacing w:w="0" w:type="dxa"/>
        </w:trPr>
        <w:tc>
          <w:tcPr>
            <w:tcW w:w="15" w:type="dxa"/>
            <w:shd w:val="clear" w:color="auto" w:fill="000033"/>
            <w:hideMark/>
          </w:tcPr>
          <w:p w:rsidR="00C75AF2" w:rsidRPr="00C75AF2" w:rsidRDefault="00C75AF2" w:rsidP="00C75AF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C75AF2" w:rsidRPr="00C75AF2">
              <w:trPr>
                <w:tblCellSpacing w:w="22" w:type="dxa"/>
              </w:trPr>
              <w:tc>
                <w:tcPr>
                  <w:tcW w:w="8145" w:type="dxa"/>
                  <w:hideMark/>
                </w:tcPr>
                <w:p w:rsidR="00C75AF2" w:rsidRPr="00C75AF2" w:rsidRDefault="00C75AF2" w:rsidP="00C75AF2">
                  <w:pPr>
                    <w:spacing w:after="0" w:line="240" w:lineRule="auto"/>
                    <w:ind w:left="720"/>
                    <w:rPr>
                      <w:rFonts w:ascii="Times New Roman" w:eastAsia="Times New Roman" w:hAnsi="Times New Roman" w:cs="Times New Roman"/>
                      <w:sz w:val="24"/>
                      <w:szCs w:val="24"/>
                      <w:lang w:eastAsia="es-ES"/>
                    </w:rPr>
                  </w:pPr>
                  <w:r w:rsidRPr="00C75AF2">
                    <w:rPr>
                      <w:rFonts w:ascii="Verdana" w:eastAsia="Times New Roman" w:hAnsi="Verdana" w:cs="Times New Roman"/>
                      <w:b/>
                      <w:bCs/>
                      <w:sz w:val="20"/>
                      <w:szCs w:val="20"/>
                      <w:lang w:eastAsia="es-ES"/>
                    </w:rPr>
                    <w:t>99-03-055</w:t>
                  </w:r>
                  <w:r w:rsidRPr="00C75AF2">
                    <w:rPr>
                      <w:rFonts w:ascii="Verdana" w:eastAsia="Times New Roman" w:hAnsi="Verdana" w:cs="Times New Roman"/>
                      <w:sz w:val="20"/>
                      <w:szCs w:val="20"/>
                      <w:lang w:eastAsia="es-ES"/>
                    </w:rPr>
                    <w:t>.- APROBAR el ACTA de la sesión celebrada por el CONSEJO POLITÉCNICO el día 23 de MARZO de 1999.</w:t>
                  </w:r>
                  <w:r w:rsidRPr="00C75AF2">
                    <w:rPr>
                      <w:rFonts w:ascii="Verdana" w:eastAsia="Times New Roman" w:hAnsi="Verdana" w:cs="Times New Roman"/>
                      <w:sz w:val="20"/>
                      <w:szCs w:val="20"/>
                      <w:lang w:eastAsia="es-ES"/>
                    </w:rPr>
                    <w:br/>
                  </w:r>
                  <w:r w:rsidRPr="00C75AF2">
                    <w:rPr>
                      <w:rFonts w:ascii="Verdana" w:eastAsia="Times New Roman" w:hAnsi="Verdana" w:cs="Times New Roman"/>
                      <w:sz w:val="20"/>
                      <w:szCs w:val="20"/>
                      <w:lang w:eastAsia="es-ES"/>
                    </w:rPr>
                    <w:br/>
                  </w:r>
                  <w:r w:rsidRPr="00C75AF2">
                    <w:rPr>
                      <w:rFonts w:ascii="Verdana" w:eastAsia="Times New Roman" w:hAnsi="Verdana" w:cs="Times New Roman"/>
                      <w:b/>
                      <w:bCs/>
                      <w:sz w:val="20"/>
                      <w:szCs w:val="20"/>
                      <w:lang w:eastAsia="es-ES"/>
                    </w:rPr>
                    <w:t>99-03-056.-</w:t>
                  </w:r>
                  <w:r w:rsidRPr="00C75AF2">
                    <w:rPr>
                      <w:rFonts w:ascii="Verdana" w:eastAsia="Times New Roman" w:hAnsi="Verdana" w:cs="Times New Roman"/>
                      <w:sz w:val="20"/>
                      <w:szCs w:val="20"/>
                      <w:lang w:eastAsia="es-ES"/>
                    </w:rPr>
                    <w:t xml:space="preserve"> Conocer y APROBAR las RESOLUCIONES tomadas por el CONSEJO de POSTGRADOS en sesión celebrada el día 1 de MARZO de 1999, a excepción de la Resolución No. C.P. 003-99, la que se la deja en suspenso.</w:t>
                  </w:r>
                  <w:r w:rsidRPr="00C75AF2">
                    <w:rPr>
                      <w:rFonts w:ascii="Verdana" w:eastAsia="Times New Roman" w:hAnsi="Verdana" w:cs="Times New Roman"/>
                      <w:sz w:val="20"/>
                      <w:szCs w:val="20"/>
                      <w:lang w:eastAsia="es-ES"/>
                    </w:rPr>
                    <w:br/>
                  </w:r>
                  <w:r w:rsidRPr="00C75AF2">
                    <w:rPr>
                      <w:rFonts w:ascii="Verdana" w:eastAsia="Times New Roman" w:hAnsi="Verdana" w:cs="Times New Roman"/>
                      <w:sz w:val="20"/>
                      <w:szCs w:val="20"/>
                      <w:lang w:eastAsia="es-ES"/>
                    </w:rPr>
                    <w:br/>
                  </w:r>
                  <w:r w:rsidRPr="00C75AF2">
                    <w:rPr>
                      <w:rFonts w:ascii="Verdana" w:eastAsia="Times New Roman" w:hAnsi="Verdana" w:cs="Times New Roman"/>
                      <w:b/>
                      <w:bCs/>
                      <w:sz w:val="20"/>
                      <w:szCs w:val="20"/>
                      <w:lang w:eastAsia="es-ES"/>
                    </w:rPr>
                    <w:t>99-03-057.-</w:t>
                  </w:r>
                  <w:r w:rsidRPr="00C75AF2">
                    <w:rPr>
                      <w:rFonts w:ascii="Verdana" w:eastAsia="Times New Roman" w:hAnsi="Verdana" w:cs="Times New Roman"/>
                      <w:sz w:val="20"/>
                      <w:szCs w:val="20"/>
                      <w:lang w:eastAsia="es-ES"/>
                    </w:rPr>
                    <w:t xml:space="preserve"> Conocer y APROBAR las RESOLUCIONES tomadas por la COMISIÓN de INGRESO en sesiones celebradas los días 12 y 24 de MARZO de 1999, con las siguientes modificaciones:</w:t>
                  </w:r>
                  <w:r w:rsidRPr="00C75AF2">
                    <w:rPr>
                      <w:rFonts w:ascii="Verdana" w:eastAsia="Times New Roman" w:hAnsi="Verdana" w:cs="Times New Roman"/>
                      <w:sz w:val="20"/>
                      <w:szCs w:val="20"/>
                      <w:lang w:eastAsia="es-ES"/>
                    </w:rPr>
                    <w:br/>
                  </w:r>
                  <w:r w:rsidRPr="00C75AF2">
                    <w:rPr>
                      <w:rFonts w:ascii="Verdana" w:eastAsia="Times New Roman" w:hAnsi="Verdana" w:cs="Times New Roman"/>
                      <w:sz w:val="20"/>
                      <w:szCs w:val="20"/>
                      <w:lang w:eastAsia="es-ES"/>
                    </w:rPr>
                    <w:br/>
                    <w:t>En la Resolución COMING-004-99, del 12 de MARZO de 1999, se elimina, en el segundo párrafo la expresión final, quedando la resolución como sigue:</w:t>
                  </w:r>
                  <w:r w:rsidRPr="00C75AF2">
                    <w:rPr>
                      <w:rFonts w:ascii="Verdana" w:eastAsia="Times New Roman" w:hAnsi="Verdana" w:cs="Times New Roman"/>
                      <w:sz w:val="20"/>
                      <w:szCs w:val="20"/>
                      <w:lang w:eastAsia="es-ES"/>
                    </w:rPr>
                    <w:br/>
                  </w:r>
                  <w:r w:rsidRPr="00C75AF2">
                    <w:rPr>
                      <w:rFonts w:ascii="Verdana" w:eastAsia="Times New Roman" w:hAnsi="Verdana" w:cs="Times New Roman"/>
                      <w:sz w:val="20"/>
                      <w:szCs w:val="20"/>
                      <w:lang w:eastAsia="es-ES"/>
                    </w:rPr>
                    <w:br/>
                    <w:t>"La ESPOL considera que el bachiller que ingresa debe poseer, además de los conocimientos fundamentales, un conjunto de habilidades y destrezas que le permitan desarrollar con éxito la opción profesional que haya tomado.</w:t>
                  </w:r>
                  <w:r w:rsidRPr="00C75AF2">
                    <w:rPr>
                      <w:rFonts w:ascii="Verdana" w:eastAsia="Times New Roman" w:hAnsi="Verdana" w:cs="Times New Roman"/>
                      <w:sz w:val="20"/>
                      <w:szCs w:val="20"/>
                      <w:lang w:eastAsia="es-ES"/>
                    </w:rPr>
                    <w:br/>
                  </w:r>
                  <w:r w:rsidRPr="00C75AF2">
                    <w:rPr>
                      <w:rFonts w:ascii="Verdana" w:eastAsia="Times New Roman" w:hAnsi="Verdana" w:cs="Times New Roman"/>
                      <w:sz w:val="20"/>
                      <w:szCs w:val="20"/>
                      <w:lang w:eastAsia="es-ES"/>
                    </w:rPr>
                    <w:br/>
                    <w:t>Para alcanzar este objetivo se aprueba la aplicación de la Prueba de Aptitud Académica para los estudiantes de las carreras tradicionales de Ingenierías y Tecnologías".</w:t>
                  </w:r>
                  <w:r w:rsidRPr="00C75AF2">
                    <w:rPr>
                      <w:rFonts w:ascii="Verdana" w:eastAsia="Times New Roman" w:hAnsi="Verdana" w:cs="Times New Roman"/>
                      <w:sz w:val="20"/>
                      <w:szCs w:val="20"/>
                      <w:lang w:eastAsia="es-ES"/>
                    </w:rPr>
                    <w:br/>
                  </w:r>
                  <w:r w:rsidRPr="00C75AF2">
                    <w:rPr>
                      <w:rFonts w:ascii="Verdana" w:eastAsia="Times New Roman" w:hAnsi="Verdana" w:cs="Times New Roman"/>
                      <w:sz w:val="20"/>
                      <w:szCs w:val="20"/>
                      <w:lang w:eastAsia="es-ES"/>
                    </w:rPr>
                    <w:br/>
                  </w:r>
                  <w:r w:rsidRPr="00C75AF2">
                    <w:rPr>
                      <w:rFonts w:ascii="Verdana" w:eastAsia="Times New Roman" w:hAnsi="Verdana" w:cs="Times New Roman"/>
                      <w:b/>
                      <w:bCs/>
                      <w:sz w:val="20"/>
                      <w:szCs w:val="20"/>
                      <w:lang w:eastAsia="es-ES"/>
                    </w:rPr>
                    <w:t>99-03-058.-</w:t>
                  </w:r>
                  <w:r w:rsidRPr="00C75AF2">
                    <w:rPr>
                      <w:rFonts w:ascii="Verdana" w:eastAsia="Times New Roman" w:hAnsi="Verdana" w:cs="Times New Roman"/>
                      <w:sz w:val="20"/>
                      <w:szCs w:val="20"/>
                      <w:lang w:eastAsia="es-ES"/>
                    </w:rPr>
                    <w:t xml:space="preserve"> CONOCER el INFORME presentado sobre los BECARIOS de la ESPOL, respecto al cual se dispone:</w:t>
                  </w:r>
                  <w:r w:rsidRPr="00C75AF2">
                    <w:rPr>
                      <w:rFonts w:ascii="Verdana" w:eastAsia="Times New Roman" w:hAnsi="Verdana" w:cs="Times New Roman"/>
                      <w:sz w:val="20"/>
                      <w:szCs w:val="20"/>
                      <w:lang w:eastAsia="es-ES"/>
                    </w:rPr>
                    <w:br/>
                  </w:r>
                  <w:r w:rsidRPr="00C75AF2">
                    <w:rPr>
                      <w:rFonts w:ascii="Verdana" w:eastAsia="Times New Roman" w:hAnsi="Verdana" w:cs="Times New Roman"/>
                      <w:sz w:val="20"/>
                      <w:szCs w:val="20"/>
                      <w:lang w:eastAsia="es-ES"/>
                    </w:rPr>
                    <w:br/>
                    <w:t>a. Autorizar el plazo señalado por el ICHE, que vence el 30 de abril de 1999 para que los becarios de dicha unidad académica, que han concluido sus estudios en el exterior, se reintegren a la Institución o que, de no hacerlo, se proceda a efectivar los términos contractuales respecto al cumplimiento de sus becas.</w:t>
                  </w:r>
                  <w:r w:rsidRPr="00C75AF2">
                    <w:rPr>
                      <w:rFonts w:ascii="Verdana" w:eastAsia="Times New Roman" w:hAnsi="Verdana" w:cs="Times New Roman"/>
                      <w:sz w:val="20"/>
                      <w:szCs w:val="20"/>
                      <w:lang w:eastAsia="es-ES"/>
                    </w:rPr>
                    <w:br/>
                  </w:r>
                  <w:r w:rsidRPr="00C75AF2">
                    <w:rPr>
                      <w:rFonts w:ascii="Verdana" w:eastAsia="Times New Roman" w:hAnsi="Verdana" w:cs="Times New Roman"/>
                      <w:sz w:val="20"/>
                      <w:szCs w:val="20"/>
                      <w:lang w:eastAsia="es-ES"/>
                    </w:rPr>
                    <w:br/>
                    <w:t>b. Que la Oficina de Relaciones Externas prepare una información más detallada y completa y actualizada respecto a la verdadera situación de todos los becarios de la ESPOL.</w:t>
                  </w:r>
                  <w:r w:rsidRPr="00C75AF2">
                    <w:rPr>
                      <w:rFonts w:ascii="Verdana" w:eastAsia="Times New Roman" w:hAnsi="Verdana" w:cs="Times New Roman"/>
                      <w:sz w:val="20"/>
                      <w:szCs w:val="20"/>
                      <w:lang w:eastAsia="es-ES"/>
                    </w:rPr>
                    <w:br/>
                  </w:r>
                  <w:r w:rsidRPr="00C75AF2">
                    <w:rPr>
                      <w:rFonts w:ascii="Verdana" w:eastAsia="Times New Roman" w:hAnsi="Verdana" w:cs="Times New Roman"/>
                      <w:sz w:val="20"/>
                      <w:szCs w:val="20"/>
                      <w:lang w:eastAsia="es-ES"/>
                    </w:rPr>
                    <w:br/>
                    <w:t>c. Que se elabore un instructivo que deba regir la actividad y control de los becarios, tanto en el procedimiento de selección y auspicios, como en el trámite previo a su salida al exterior, así como de las obligaciones de los becarios de presentar informes personales e institucionales de sus estudios y de las acciones que deban tomarse en el caso de incumplimiento como ser, entre otras, las de suspensión temporal del pago de sus becas.</w:t>
                  </w:r>
                  <w:r w:rsidRPr="00C75AF2">
                    <w:rPr>
                      <w:rFonts w:ascii="Verdana" w:eastAsia="Times New Roman" w:hAnsi="Verdana" w:cs="Times New Roman"/>
                      <w:sz w:val="20"/>
                      <w:szCs w:val="20"/>
                      <w:lang w:eastAsia="es-ES"/>
                    </w:rPr>
                    <w:br/>
                  </w:r>
                  <w:r w:rsidRPr="00C75AF2">
                    <w:rPr>
                      <w:rFonts w:ascii="Verdana" w:eastAsia="Times New Roman" w:hAnsi="Verdana" w:cs="Times New Roman"/>
                      <w:sz w:val="20"/>
                      <w:szCs w:val="20"/>
                      <w:lang w:eastAsia="es-ES"/>
                    </w:rPr>
                    <w:br/>
                    <w:t>En estos lineamiento se incluirá aquello que se haya sugerido o recomendado en el curso de la presente sesión.</w:t>
                  </w:r>
                  <w:r w:rsidRPr="00C75AF2">
                    <w:rPr>
                      <w:rFonts w:ascii="Verdana" w:eastAsia="Times New Roman" w:hAnsi="Verdana" w:cs="Times New Roman"/>
                      <w:sz w:val="20"/>
                      <w:szCs w:val="20"/>
                      <w:lang w:eastAsia="es-ES"/>
                    </w:rPr>
                    <w:br/>
                  </w:r>
                  <w:r w:rsidRPr="00C75AF2">
                    <w:rPr>
                      <w:rFonts w:ascii="Verdana" w:eastAsia="Times New Roman" w:hAnsi="Verdana" w:cs="Times New Roman"/>
                      <w:sz w:val="20"/>
                      <w:szCs w:val="20"/>
                      <w:lang w:eastAsia="es-ES"/>
                    </w:rPr>
                    <w:br/>
                  </w:r>
                  <w:r w:rsidRPr="00C75AF2">
                    <w:rPr>
                      <w:rFonts w:ascii="Verdana" w:eastAsia="Times New Roman" w:hAnsi="Verdana" w:cs="Times New Roman"/>
                      <w:b/>
                      <w:bCs/>
                      <w:sz w:val="20"/>
                      <w:szCs w:val="20"/>
                      <w:lang w:eastAsia="es-ES"/>
                    </w:rPr>
                    <w:t>99-03-059.-</w:t>
                  </w:r>
                  <w:r w:rsidRPr="00C75AF2">
                    <w:rPr>
                      <w:rFonts w:ascii="Verdana" w:eastAsia="Times New Roman" w:hAnsi="Verdana" w:cs="Times New Roman"/>
                      <w:sz w:val="20"/>
                      <w:szCs w:val="20"/>
                      <w:lang w:eastAsia="es-ES"/>
                    </w:rPr>
                    <w:t xml:space="preserve"> CONOCER el PROYECTO de PROPUESTA para INICIAR el PROCESO de CAMBIO en el SISTEMA de ESTUDIOS de la ESPOL, e iniciar un proceso de análisis del documento para la decisión definitiva.</w:t>
                  </w:r>
                  <w:r w:rsidRPr="00C75AF2">
                    <w:rPr>
                      <w:rFonts w:ascii="Verdana" w:eastAsia="Times New Roman" w:hAnsi="Verdana" w:cs="Times New Roman"/>
                      <w:sz w:val="20"/>
                      <w:szCs w:val="20"/>
                      <w:lang w:eastAsia="es-ES"/>
                    </w:rPr>
                    <w:br/>
                  </w:r>
                  <w:r w:rsidRPr="00C75AF2">
                    <w:rPr>
                      <w:rFonts w:ascii="Verdana" w:eastAsia="Times New Roman" w:hAnsi="Verdana" w:cs="Times New Roman"/>
                      <w:sz w:val="20"/>
                      <w:szCs w:val="20"/>
                      <w:lang w:eastAsia="es-ES"/>
                    </w:rPr>
                    <w:br/>
                    <w:t>Para este efecto, se designa una Comisión integrada por siete personas, que son el Vicerrector General, que la presidirá, tres representantes del Consejo Politécnico y tres profesores designados por el Rector.</w:t>
                  </w:r>
                  <w:r w:rsidRPr="00C75AF2">
                    <w:rPr>
                      <w:rFonts w:ascii="Verdana" w:eastAsia="Times New Roman" w:hAnsi="Verdana" w:cs="Times New Roman"/>
                      <w:sz w:val="20"/>
                      <w:szCs w:val="20"/>
                      <w:lang w:eastAsia="es-ES"/>
                    </w:rPr>
                    <w:br/>
                  </w:r>
                  <w:r w:rsidRPr="00C75AF2">
                    <w:rPr>
                      <w:rFonts w:ascii="Verdana" w:eastAsia="Times New Roman" w:hAnsi="Verdana" w:cs="Times New Roman"/>
                      <w:sz w:val="20"/>
                      <w:szCs w:val="20"/>
                      <w:lang w:eastAsia="es-ES"/>
                    </w:rPr>
                    <w:br/>
                  </w:r>
                  <w:r w:rsidRPr="00C75AF2">
                    <w:rPr>
                      <w:rFonts w:ascii="Verdana" w:eastAsia="Times New Roman" w:hAnsi="Verdana" w:cs="Times New Roman"/>
                      <w:b/>
                      <w:bCs/>
                      <w:sz w:val="20"/>
                      <w:szCs w:val="20"/>
                      <w:lang w:eastAsia="es-ES"/>
                    </w:rPr>
                    <w:lastRenderedPageBreak/>
                    <w:t>99-03-060.-</w:t>
                  </w:r>
                  <w:r w:rsidRPr="00C75AF2">
                    <w:rPr>
                      <w:rFonts w:ascii="Verdana" w:eastAsia="Times New Roman" w:hAnsi="Verdana" w:cs="Times New Roman"/>
                      <w:sz w:val="20"/>
                      <w:szCs w:val="20"/>
                      <w:lang w:eastAsia="es-ES"/>
                    </w:rPr>
                    <w:t xml:space="preserve"> DESIGNAR a los señores Dr. VICENTE RIOFRÍO TERÁN, Dr. HUGO ARIAS PALACIOS e Ing. EDUARDO RIVADENEIRA PAZMIÑO, delegados del Consejo Politécnico ante la COMISIÓN que analizará la propuesta para iniciar el PROCESO de CAMBIO en el SISTEMA de ESTUDIOS de la ESPOL.</w:t>
                  </w:r>
                  <w:r w:rsidRPr="00C75AF2">
                    <w:rPr>
                      <w:rFonts w:ascii="Verdana" w:eastAsia="Times New Roman" w:hAnsi="Verdana" w:cs="Times New Roman"/>
                      <w:sz w:val="20"/>
                      <w:szCs w:val="20"/>
                      <w:lang w:eastAsia="es-ES"/>
                    </w:rPr>
                    <w:br/>
                  </w:r>
                  <w:r w:rsidRPr="00C75AF2">
                    <w:rPr>
                      <w:rFonts w:ascii="Verdana" w:eastAsia="Times New Roman" w:hAnsi="Verdana" w:cs="Times New Roman"/>
                      <w:sz w:val="20"/>
                      <w:szCs w:val="20"/>
                      <w:lang w:eastAsia="es-ES"/>
                    </w:rPr>
                    <w:br/>
                  </w:r>
                  <w:r w:rsidRPr="00C75AF2">
                    <w:rPr>
                      <w:rFonts w:ascii="Verdana" w:eastAsia="Times New Roman" w:hAnsi="Verdana" w:cs="Times New Roman"/>
                      <w:b/>
                      <w:bCs/>
                      <w:sz w:val="20"/>
                      <w:szCs w:val="20"/>
                      <w:lang w:eastAsia="es-ES"/>
                    </w:rPr>
                    <w:t>99-03-061.-</w:t>
                  </w:r>
                  <w:r w:rsidRPr="00C75AF2">
                    <w:rPr>
                      <w:rFonts w:ascii="Verdana" w:eastAsia="Times New Roman" w:hAnsi="Verdana" w:cs="Times New Roman"/>
                      <w:sz w:val="20"/>
                      <w:szCs w:val="20"/>
                      <w:lang w:eastAsia="es-ES"/>
                    </w:rPr>
                    <w:t xml:space="preserve"> DISPONER que la COMISION integrada por los señores VICERRECTORES de la ESPOL, a quienes se agregará el Presidente de FEPOL, procedan con EFECTO RESOLUTIVO, a la REVISIÓN SEMESTRAL de los REGISTROS y su modalidad de pago; y de las TASAS que se fijan para FEPOL, L.D.P., Asociaciones Estudiantiles, Carnet Politécnico, Steaker, Actividades Culturales, Seguro Estudiantil, Biblioteca, Ayudas Sicológicas y Control Médico.</w:t>
                  </w:r>
                  <w:r w:rsidRPr="00C75AF2">
                    <w:rPr>
                      <w:rFonts w:ascii="Verdana" w:eastAsia="Times New Roman" w:hAnsi="Verdana" w:cs="Times New Roman"/>
                      <w:sz w:val="20"/>
                      <w:szCs w:val="20"/>
                      <w:lang w:eastAsia="es-ES"/>
                    </w:rPr>
                    <w:br/>
                  </w:r>
                  <w:r w:rsidRPr="00C75AF2">
                    <w:rPr>
                      <w:rFonts w:ascii="Verdana" w:eastAsia="Times New Roman" w:hAnsi="Verdana" w:cs="Times New Roman"/>
                      <w:sz w:val="20"/>
                      <w:szCs w:val="20"/>
                      <w:lang w:eastAsia="es-ES"/>
                    </w:rPr>
                    <w:br/>
                  </w:r>
                  <w:r w:rsidRPr="00C75AF2">
                    <w:rPr>
                      <w:rFonts w:ascii="Verdana" w:eastAsia="Times New Roman" w:hAnsi="Verdana" w:cs="Times New Roman"/>
                      <w:b/>
                      <w:bCs/>
                      <w:sz w:val="20"/>
                      <w:szCs w:val="20"/>
                      <w:lang w:eastAsia="es-ES"/>
                    </w:rPr>
                    <w:t>99-03-062.-</w:t>
                  </w:r>
                  <w:r w:rsidRPr="00C75AF2">
                    <w:rPr>
                      <w:rFonts w:ascii="Verdana" w:eastAsia="Times New Roman" w:hAnsi="Verdana" w:cs="Times New Roman"/>
                      <w:sz w:val="20"/>
                      <w:szCs w:val="20"/>
                      <w:lang w:eastAsia="es-ES"/>
                    </w:rPr>
                    <w:t xml:space="preserve"> DEJAR sin EFECTO, la RESOLUCIÓN No. 99-03-047 tomada por el CONSEJO POLITÉCNICO en sesión celebrada el día 16 de MARZO de 1999 y, en su lugar, AUTORIZAR al RECTOR de la ESPOL a que proceda a la ADQUISICIÓN de EQUIPOS destinados a la EJECUCIÓN del CONTRATO suscrito por la ESPOL con la Federación Ecuatoriana de Fútbol (F.E.F.), en la siguiente forma:</w:t>
                  </w:r>
                  <w:r w:rsidRPr="00C75AF2">
                    <w:rPr>
                      <w:rFonts w:ascii="Verdana" w:eastAsia="Times New Roman" w:hAnsi="Verdana" w:cs="Times New Roman"/>
                      <w:sz w:val="20"/>
                      <w:szCs w:val="20"/>
                      <w:lang w:eastAsia="es-ES"/>
                    </w:rPr>
                    <w:br/>
                  </w:r>
                  <w:r w:rsidRPr="00C75AF2">
                    <w:rPr>
                      <w:rFonts w:ascii="Verdana" w:eastAsia="Times New Roman" w:hAnsi="Verdana" w:cs="Times New Roman"/>
                      <w:sz w:val="20"/>
                      <w:szCs w:val="20"/>
                      <w:lang w:eastAsia="es-ES"/>
                    </w:rPr>
                    <w:br/>
                    <w:t>La adquisición que se autoriza deberá hacerse en función de las solicitudes de la Coordinadora del PROTCOM, desglosados así:</w:t>
                  </w:r>
                  <w:r w:rsidRPr="00C75AF2">
                    <w:rPr>
                      <w:rFonts w:ascii="Verdana" w:eastAsia="Times New Roman" w:hAnsi="Verdana" w:cs="Times New Roman"/>
                      <w:sz w:val="20"/>
                      <w:szCs w:val="20"/>
                      <w:lang w:eastAsia="es-ES"/>
                    </w:rPr>
                    <w:br/>
                  </w:r>
                  <w:r w:rsidRPr="00C75AF2">
                    <w:rPr>
                      <w:rFonts w:ascii="Verdana" w:eastAsia="Times New Roman" w:hAnsi="Verdana" w:cs="Times New Roman"/>
                      <w:sz w:val="20"/>
                      <w:szCs w:val="20"/>
                      <w:lang w:eastAsia="es-ES"/>
                    </w:rPr>
                    <w:br/>
                    <w:t>- Siete computadoras COMPAQ, de las características señaladas en el oficio PROTCOM-C-201-99 del 22 de febrero de 1999.</w:t>
                  </w:r>
                  <w:r w:rsidRPr="00C75AF2">
                    <w:rPr>
                      <w:rFonts w:ascii="Verdana" w:eastAsia="Times New Roman" w:hAnsi="Verdana" w:cs="Times New Roman"/>
                      <w:sz w:val="20"/>
                      <w:szCs w:val="20"/>
                      <w:lang w:eastAsia="es-ES"/>
                    </w:rPr>
                    <w:br/>
                  </w:r>
                  <w:r w:rsidRPr="00C75AF2">
                    <w:rPr>
                      <w:rFonts w:ascii="Verdana" w:eastAsia="Times New Roman" w:hAnsi="Verdana" w:cs="Times New Roman"/>
                      <w:sz w:val="20"/>
                      <w:szCs w:val="20"/>
                      <w:lang w:eastAsia="es-ES"/>
                    </w:rPr>
                    <w:br/>
                    <w:t>- Dos computadoras Multimedia COMPAQ y dos servidores COMPAQ, con las características indicadas en el oficio PROTCOM-C-202-99 de fecha 25 de enero de 1999.</w:t>
                  </w:r>
                  <w:r w:rsidRPr="00C75AF2">
                    <w:rPr>
                      <w:rFonts w:ascii="Verdana" w:eastAsia="Times New Roman" w:hAnsi="Verdana" w:cs="Times New Roman"/>
                      <w:sz w:val="20"/>
                      <w:szCs w:val="20"/>
                      <w:lang w:eastAsia="es-ES"/>
                    </w:rPr>
                    <w:br/>
                  </w:r>
                  <w:r w:rsidRPr="00C75AF2">
                    <w:rPr>
                      <w:rFonts w:ascii="Verdana" w:eastAsia="Times New Roman" w:hAnsi="Verdana" w:cs="Times New Roman"/>
                      <w:sz w:val="20"/>
                      <w:szCs w:val="20"/>
                      <w:lang w:eastAsia="es-ES"/>
                    </w:rPr>
                    <w:br/>
                    <w:t>- Una impresora Láser HP, una impresora Matricial EPSON 80 columnas, con Escáner HP 4100C, un HUB 3 COM 16 puertos ó 24, un Tape Back-Up HP y un UPS (3.000 V.A.), con las características dadas en el oficio PROTCOM-C-203-99 de fecha 29 de marzo de 1999.</w:t>
                  </w:r>
                  <w:r w:rsidRPr="00C75AF2">
                    <w:rPr>
                      <w:rFonts w:ascii="Verdana" w:eastAsia="Times New Roman" w:hAnsi="Verdana" w:cs="Times New Roman"/>
                      <w:sz w:val="20"/>
                      <w:szCs w:val="20"/>
                      <w:lang w:eastAsia="es-ES"/>
                    </w:rPr>
                    <w:br/>
                  </w:r>
                  <w:r w:rsidRPr="00C75AF2">
                    <w:rPr>
                      <w:rFonts w:ascii="Verdana" w:eastAsia="Times New Roman" w:hAnsi="Verdana" w:cs="Times New Roman"/>
                      <w:sz w:val="20"/>
                      <w:szCs w:val="20"/>
                      <w:lang w:eastAsia="es-ES"/>
                    </w:rPr>
                    <w:br/>
                  </w:r>
                  <w:r w:rsidRPr="00C75AF2">
                    <w:rPr>
                      <w:rFonts w:ascii="Verdana" w:eastAsia="Times New Roman" w:hAnsi="Verdana" w:cs="Times New Roman"/>
                      <w:b/>
                      <w:bCs/>
                      <w:sz w:val="20"/>
                      <w:szCs w:val="20"/>
                      <w:lang w:eastAsia="es-ES"/>
                    </w:rPr>
                    <w:t>99-03-063.-</w:t>
                  </w:r>
                  <w:r w:rsidRPr="00C75AF2">
                    <w:rPr>
                      <w:rFonts w:ascii="Verdana" w:eastAsia="Times New Roman" w:hAnsi="Verdana" w:cs="Times New Roman"/>
                      <w:sz w:val="20"/>
                      <w:szCs w:val="20"/>
                      <w:lang w:eastAsia="es-ES"/>
                    </w:rPr>
                    <w:t xml:space="preserve"> AUTORIZAR la ENTREGA de una AYUDA ECONÓMICA MENSUAL de 200 DÓLARES por SEIS MESES al Tecnólogo MARCOS MILLÁN TRAVERSO, quien realizará estudios en el área de Electrónica Industrial en Barranquilla, Colombia, como becario del Gobierno de la República Federal de Alemania.</w:t>
                  </w:r>
                  <w:r w:rsidRPr="00C75AF2">
                    <w:rPr>
                      <w:rFonts w:ascii="Verdana" w:eastAsia="Times New Roman" w:hAnsi="Verdana" w:cs="Times New Roman"/>
                      <w:sz w:val="20"/>
                      <w:szCs w:val="20"/>
                      <w:lang w:eastAsia="es-ES"/>
                    </w:rPr>
                    <w:br/>
                  </w:r>
                  <w:r w:rsidRPr="00C75AF2">
                    <w:rPr>
                      <w:rFonts w:ascii="Verdana" w:eastAsia="Times New Roman" w:hAnsi="Verdana" w:cs="Times New Roman"/>
                      <w:sz w:val="20"/>
                      <w:szCs w:val="20"/>
                      <w:lang w:eastAsia="es-ES"/>
                    </w:rPr>
                    <w:br/>
                    <w:t>Esta ayuda será entregada de los recursos autogenerados por el Instituto de Tecnologías o sus Programas.</w:t>
                  </w:r>
                  <w:r w:rsidRPr="00C75AF2">
                    <w:rPr>
                      <w:rFonts w:ascii="Verdana" w:eastAsia="Times New Roman" w:hAnsi="Verdana" w:cs="Times New Roman"/>
                      <w:sz w:val="20"/>
                      <w:szCs w:val="20"/>
                      <w:lang w:eastAsia="es-ES"/>
                    </w:rPr>
                    <w:br/>
                  </w:r>
                  <w:r w:rsidRPr="00C75AF2">
                    <w:rPr>
                      <w:rFonts w:ascii="Verdana" w:eastAsia="Times New Roman" w:hAnsi="Verdana" w:cs="Times New Roman"/>
                      <w:sz w:val="20"/>
                      <w:szCs w:val="20"/>
                      <w:lang w:eastAsia="es-ES"/>
                    </w:rPr>
                    <w:br/>
                  </w:r>
                  <w:r w:rsidRPr="00C75AF2">
                    <w:rPr>
                      <w:rFonts w:ascii="Verdana" w:eastAsia="Times New Roman" w:hAnsi="Verdana" w:cs="Times New Roman"/>
                      <w:b/>
                      <w:bCs/>
                      <w:sz w:val="20"/>
                      <w:szCs w:val="20"/>
                      <w:lang w:eastAsia="es-ES"/>
                    </w:rPr>
                    <w:t>99-03-064.-</w:t>
                  </w:r>
                  <w:r w:rsidRPr="00C75AF2">
                    <w:rPr>
                      <w:rFonts w:ascii="Verdana" w:eastAsia="Times New Roman" w:hAnsi="Verdana" w:cs="Times New Roman"/>
                      <w:sz w:val="20"/>
                      <w:szCs w:val="20"/>
                      <w:lang w:eastAsia="es-ES"/>
                    </w:rPr>
                    <w:t xml:space="preserve"> CONOCER el INFORME del RECTOR de la ESPOL sobre la CONSTITUCIÓN de la Asociación de Universidades y Escuelas Politécnicas Públicas del Ecuador (ASUEPPE), así como el documento inicial aprobado y las acciones inmediatas que han sido programadas.</w:t>
                  </w:r>
                  <w:r w:rsidRPr="00C75AF2">
                    <w:rPr>
                      <w:rFonts w:ascii="Verdana" w:eastAsia="Times New Roman" w:hAnsi="Verdana" w:cs="Times New Roman"/>
                      <w:sz w:val="20"/>
                      <w:szCs w:val="20"/>
                      <w:lang w:eastAsia="es-ES"/>
                    </w:rPr>
                    <w:br/>
                  </w:r>
                  <w:r w:rsidRPr="00C75AF2">
                    <w:rPr>
                      <w:rFonts w:ascii="Verdana" w:eastAsia="Times New Roman" w:hAnsi="Verdana" w:cs="Times New Roman"/>
                      <w:sz w:val="20"/>
                      <w:szCs w:val="20"/>
                      <w:lang w:eastAsia="es-ES"/>
                    </w:rPr>
                    <w:br/>
                  </w:r>
                  <w:r w:rsidRPr="00C75AF2">
                    <w:rPr>
                      <w:rFonts w:ascii="Verdana" w:eastAsia="Times New Roman" w:hAnsi="Verdana" w:cs="Times New Roman"/>
                      <w:b/>
                      <w:bCs/>
                      <w:sz w:val="20"/>
                      <w:szCs w:val="20"/>
                      <w:lang w:eastAsia="es-ES"/>
                    </w:rPr>
                    <w:t>99-03-065.-</w:t>
                  </w:r>
                  <w:r w:rsidRPr="00C75AF2">
                    <w:rPr>
                      <w:rFonts w:ascii="Verdana" w:eastAsia="Times New Roman" w:hAnsi="Verdana" w:cs="Times New Roman"/>
                      <w:sz w:val="20"/>
                      <w:szCs w:val="20"/>
                      <w:lang w:eastAsia="es-ES"/>
                    </w:rPr>
                    <w:t xml:space="preserve"> En VARIOS se CONOCEN distintos documentos, entre ellos, los que siguen:</w:t>
                  </w:r>
                  <w:r w:rsidRPr="00C75AF2">
                    <w:rPr>
                      <w:rFonts w:ascii="Verdana" w:eastAsia="Times New Roman" w:hAnsi="Verdana" w:cs="Times New Roman"/>
                      <w:sz w:val="20"/>
                      <w:szCs w:val="20"/>
                      <w:lang w:eastAsia="es-ES"/>
                    </w:rPr>
                    <w:br/>
                  </w:r>
                  <w:r w:rsidRPr="00C75AF2">
                    <w:rPr>
                      <w:rFonts w:ascii="Verdana" w:eastAsia="Times New Roman" w:hAnsi="Verdana" w:cs="Times New Roman"/>
                      <w:sz w:val="20"/>
                      <w:szCs w:val="20"/>
                      <w:lang w:eastAsia="es-ES"/>
                    </w:rPr>
                    <w:br/>
                    <w:t>- Publicación de la Flemish Interuniversity Council (V.L.I.R.) de Bélgica, sobre oportunidades de estudios avanzados en Flandes.</w:t>
                  </w:r>
                  <w:r w:rsidRPr="00C75AF2">
                    <w:rPr>
                      <w:rFonts w:ascii="Verdana" w:eastAsia="Times New Roman" w:hAnsi="Verdana" w:cs="Times New Roman"/>
                      <w:sz w:val="20"/>
                      <w:szCs w:val="20"/>
                      <w:lang w:eastAsia="es-ES"/>
                    </w:rPr>
                    <w:br/>
                  </w:r>
                  <w:r w:rsidRPr="00C75AF2">
                    <w:rPr>
                      <w:rFonts w:ascii="Verdana" w:eastAsia="Times New Roman" w:hAnsi="Verdana" w:cs="Times New Roman"/>
                      <w:sz w:val="20"/>
                      <w:szCs w:val="20"/>
                      <w:lang w:eastAsia="es-ES"/>
                    </w:rPr>
                    <w:br/>
                    <w:t xml:space="preserve">- Oficio del Director Internacional de Programas Internacionales de la </w:t>
                  </w:r>
                  <w:r w:rsidRPr="00C75AF2">
                    <w:rPr>
                      <w:rFonts w:ascii="Verdana" w:eastAsia="Times New Roman" w:hAnsi="Verdana" w:cs="Times New Roman"/>
                      <w:sz w:val="20"/>
                      <w:szCs w:val="20"/>
                      <w:lang w:eastAsia="es-ES"/>
                    </w:rPr>
                    <w:lastRenderedPageBreak/>
                    <w:t>Universidad de Florida sobre el proyecto para establecer un Campus en Guayaquil y las excelentes relaciones de dicha universidad con la ESPOL.</w:t>
                  </w:r>
                  <w:r w:rsidRPr="00C75AF2">
                    <w:rPr>
                      <w:rFonts w:ascii="Verdana" w:eastAsia="Times New Roman" w:hAnsi="Verdana" w:cs="Times New Roman"/>
                      <w:sz w:val="20"/>
                      <w:szCs w:val="20"/>
                      <w:lang w:eastAsia="es-ES"/>
                    </w:rPr>
                    <w:br/>
                  </w:r>
                  <w:r w:rsidRPr="00C75AF2">
                    <w:rPr>
                      <w:rFonts w:ascii="Verdana" w:eastAsia="Times New Roman" w:hAnsi="Verdana" w:cs="Times New Roman"/>
                      <w:sz w:val="20"/>
                      <w:szCs w:val="20"/>
                      <w:lang w:eastAsia="es-ES"/>
                    </w:rPr>
                    <w:br/>
                    <w:t xml:space="preserve">- Discurso del Presidente de Francia, Jacques Chirac, en el que hace interesantes consideraciones sobre la Deuda Externa. </w:t>
                  </w:r>
                </w:p>
              </w:tc>
            </w:tr>
          </w:tbl>
          <w:p w:rsidR="00C75AF2" w:rsidRPr="00C75AF2" w:rsidRDefault="00C75AF2" w:rsidP="00C75AF2">
            <w:pPr>
              <w:spacing w:after="0" w:line="240" w:lineRule="auto"/>
              <w:rPr>
                <w:rFonts w:ascii="Times New Roman" w:eastAsia="Times New Roman" w:hAnsi="Times New Roman" w:cs="Times New Roman"/>
                <w:sz w:val="24"/>
                <w:szCs w:val="24"/>
                <w:lang w:eastAsia="es-ES"/>
              </w:rPr>
            </w:pPr>
          </w:p>
        </w:tc>
        <w:tc>
          <w:tcPr>
            <w:tcW w:w="0" w:type="auto"/>
            <w:hideMark/>
          </w:tcPr>
          <w:p w:rsidR="00C75AF2" w:rsidRPr="00C75AF2" w:rsidRDefault="00C75AF2" w:rsidP="00C75AF2">
            <w:pPr>
              <w:spacing w:after="0" w:line="240" w:lineRule="auto"/>
              <w:rPr>
                <w:rFonts w:ascii="Times New Roman" w:eastAsia="Times New Roman" w:hAnsi="Times New Roman" w:cs="Times New Roman"/>
                <w:sz w:val="20"/>
                <w:szCs w:val="20"/>
                <w:lang w:eastAsia="es-ES"/>
              </w:rPr>
            </w:pPr>
          </w:p>
        </w:tc>
      </w:tr>
    </w:tbl>
    <w:p w:rsidR="00C75AF2" w:rsidRDefault="00C75AF2"/>
    <w:sectPr w:rsidR="00C75AF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75AF2"/>
    <w:rsid w:val="00C75A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5A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5A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743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4705</Characters>
  <Application>Microsoft Office Word</Application>
  <DocSecurity>0</DocSecurity>
  <Lines>39</Lines>
  <Paragraphs>11</Paragraphs>
  <ScaleCrop>false</ScaleCrop>
  <Company>ESPOL</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2010-12-07T15:14:00Z</dcterms:created>
  <dcterms:modified xsi:type="dcterms:W3CDTF">2010-12-07T15:26:00Z</dcterms:modified>
</cp:coreProperties>
</file>