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ANEXO A</w:t>
      </w: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NORMA INEN 157 </w:t>
      </w:r>
      <w:r>
        <w:rPr>
          <w:noProof/>
        </w:rPr>
        <w:drawing>
          <wp:inline distT="0" distB="0" distL="0" distR="0">
            <wp:extent cx="4288326" cy="6593305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238" t="17313" r="34289" b="7726"/>
                    <a:stretch/>
                  </pic:blipFill>
                  <pic:spPr bwMode="auto">
                    <a:xfrm>
                      <a:off x="0" y="0"/>
                      <a:ext cx="4324446" cy="66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jc w:val="center"/>
      </w:pPr>
    </w:p>
    <w:p w:rsidR="00C63B06" w:rsidRDefault="00C63B06" w:rsidP="00C63B06">
      <w:pPr>
        <w:jc w:val="center"/>
      </w:pPr>
      <w:r>
        <w:rPr>
          <w:noProof/>
        </w:rPr>
        <w:drawing>
          <wp:inline distT="0" distB="0" distL="0" distR="0">
            <wp:extent cx="4504824" cy="6802359"/>
            <wp:effectExtent l="19050" t="0" r="0" b="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500" t="19399" r="34941" b="9187"/>
                    <a:stretch/>
                  </pic:blipFill>
                  <pic:spPr bwMode="auto">
                    <a:xfrm>
                      <a:off x="0" y="0"/>
                      <a:ext cx="4552508" cy="687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jc w:val="center"/>
      </w:pPr>
    </w:p>
    <w:p w:rsidR="00C63B06" w:rsidRDefault="00C63B06" w:rsidP="00C63B0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193224" cy="6593305"/>
            <wp:effectExtent l="19050" t="0" r="0" b="0"/>
            <wp:docPr id="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175" t="18788" r="35035" b="8788"/>
                    <a:stretch/>
                  </pic:blipFill>
                  <pic:spPr bwMode="auto">
                    <a:xfrm>
                      <a:off x="0" y="0"/>
                      <a:ext cx="4240031" cy="6666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Pr="00176C8F" w:rsidRDefault="00C63B06" w:rsidP="00C63B06">
      <w:pPr>
        <w:jc w:val="center"/>
      </w:pPr>
      <w:r>
        <w:rPr>
          <w:rFonts w:ascii="Arial" w:hAnsi="Arial" w:cs="Arial"/>
          <w:b/>
          <w:sz w:val="32"/>
          <w:szCs w:val="32"/>
        </w:rPr>
        <w:lastRenderedPageBreak/>
        <w:t>ANEXO B</w:t>
      </w:r>
    </w:p>
    <w:p w:rsidR="00C63B06" w:rsidRPr="00176C8F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NORMA CODEX  </w:t>
      </w:r>
      <w:r>
        <w:rPr>
          <w:noProof/>
          <w:lang w:val="es-EC"/>
        </w:rPr>
        <w:drawing>
          <wp:inline distT="0" distB="0" distL="0" distR="0">
            <wp:extent cx="4264660" cy="6115050"/>
            <wp:effectExtent l="19050" t="0" r="254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61" t="12788" r="33916" b="17378"/>
                    <a:stretch/>
                  </pic:blipFill>
                  <pic:spPr bwMode="auto">
                    <a:xfrm>
                      <a:off x="0" y="0"/>
                      <a:ext cx="4264660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  <w:r>
        <w:rPr>
          <w:noProof/>
        </w:rPr>
        <w:drawing>
          <wp:inline distT="0" distB="0" distL="0" distR="0">
            <wp:extent cx="4011577" cy="6882063"/>
            <wp:effectExtent l="19050" t="0" r="7973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648" t="12212" r="34126" b="4950"/>
                    <a:stretch/>
                  </pic:blipFill>
                  <pic:spPr bwMode="auto">
                    <a:xfrm>
                      <a:off x="0" y="0"/>
                      <a:ext cx="4018833" cy="68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pStyle w:val="Default"/>
        <w:rPr>
          <w:sz w:val="13"/>
          <w:szCs w:val="13"/>
        </w:rPr>
      </w:pPr>
    </w:p>
    <w:p w:rsidR="00C63B06" w:rsidRDefault="00C63B06" w:rsidP="00C63B06">
      <w:pPr>
        <w:pStyle w:val="Default"/>
        <w:rPr>
          <w:sz w:val="13"/>
          <w:szCs w:val="13"/>
        </w:rPr>
      </w:pPr>
    </w:p>
    <w:p w:rsidR="00C63B06" w:rsidRDefault="00C63B06" w:rsidP="00C63B06">
      <w:pPr>
        <w:pStyle w:val="Default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  <w:r>
        <w:rPr>
          <w:noProof/>
        </w:rPr>
        <w:drawing>
          <wp:inline distT="0" distB="0" distL="0" distR="0">
            <wp:extent cx="3873467" cy="6629861"/>
            <wp:effectExtent l="1905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931" t="12463" r="34142" b="5639"/>
                    <a:stretch/>
                  </pic:blipFill>
                  <pic:spPr bwMode="auto">
                    <a:xfrm>
                      <a:off x="0" y="0"/>
                      <a:ext cx="3882117" cy="664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</w:p>
    <w:p w:rsidR="00C63B06" w:rsidRDefault="00C63B06" w:rsidP="00C63B06">
      <w:pPr>
        <w:pStyle w:val="Default"/>
        <w:rPr>
          <w:sz w:val="13"/>
          <w:szCs w:val="13"/>
        </w:rPr>
      </w:pPr>
    </w:p>
    <w:p w:rsidR="00C63B06" w:rsidRDefault="00C63B06" w:rsidP="00C63B06">
      <w:pPr>
        <w:pStyle w:val="Default"/>
        <w:jc w:val="center"/>
        <w:rPr>
          <w:sz w:val="13"/>
          <w:szCs w:val="13"/>
        </w:rPr>
      </w:pPr>
      <w:r>
        <w:rPr>
          <w:noProof/>
        </w:rPr>
        <w:drawing>
          <wp:inline distT="0" distB="0" distL="0" distR="0">
            <wp:extent cx="3734996" cy="5775158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257" t="12732" r="34466" b="14836"/>
                    <a:stretch/>
                  </pic:blipFill>
                  <pic:spPr bwMode="auto">
                    <a:xfrm>
                      <a:off x="0" y="0"/>
                      <a:ext cx="3750376" cy="579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B06" w:rsidRDefault="00C63B06" w:rsidP="00C63B06">
      <w:pPr>
        <w:spacing w:line="480" w:lineRule="auto"/>
        <w:ind w:left="1985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C63B06" w:rsidRDefault="00C63B06" w:rsidP="00C63B06">
      <w:pPr>
        <w:spacing w:line="480" w:lineRule="auto"/>
        <w:ind w:left="1985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C63B06" w:rsidRDefault="00C63B06" w:rsidP="00C63B06">
      <w:pPr>
        <w:spacing w:line="480" w:lineRule="auto"/>
        <w:ind w:left="1985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ANEXO C</w:t>
      </w:r>
    </w:p>
    <w:p w:rsidR="00C63B06" w:rsidRPr="00505123" w:rsidRDefault="00C63B06" w:rsidP="00C63B0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SECADO DE FRÉJOL</w:t>
      </w: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840"/>
        <w:gridCol w:w="1720"/>
        <w:gridCol w:w="1200"/>
        <w:gridCol w:w="3100"/>
        <w:gridCol w:w="1200"/>
      </w:tblGrid>
      <w:tr w:rsidR="00C63B06" w:rsidRPr="002D744E" w:rsidTr="006D7160">
        <w:trPr>
          <w:trHeight w:val="300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Tiempo  (minutos)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Temperatura (°C)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Velocidad </w:t>
            </w:r>
          </w:p>
        </w:tc>
        <w:tc>
          <w:tcPr>
            <w:tcW w:w="3100" w:type="dxa"/>
            <w:tcBorders>
              <w:top w:val="single" w:sz="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Humedad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Peso (g)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single" w:sz="18" w:space="0" w:color="auto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58,0</w:t>
            </w:r>
          </w:p>
        </w:tc>
        <w:tc>
          <w:tcPr>
            <w:tcW w:w="1200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0,58</w:t>
            </w:r>
          </w:p>
        </w:tc>
        <w:tc>
          <w:tcPr>
            <w:tcW w:w="310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00" w:type="dxa"/>
            <w:tcBorders>
              <w:top w:val="single" w:sz="1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1350,0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56,7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1323,6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57,0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1288,0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57,3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1266,0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56,4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1241,8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57,6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1217,7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59,4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1189,6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59,5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1152,0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1130,4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1108,7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1087,5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61,3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1057,1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58,3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1029,7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57,6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1006,0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979,3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961,9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938,8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922,7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907,0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58,8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887,3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58,0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874,3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829,7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767,0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57,6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682,2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660,1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57,4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641,7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58,4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628,1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56,9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620,7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53,9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613,6</w:t>
            </w:r>
          </w:p>
        </w:tc>
      </w:tr>
      <w:tr w:rsidR="00C63B06" w:rsidRPr="002D744E" w:rsidTr="006D7160">
        <w:trPr>
          <w:trHeight w:val="300"/>
        </w:trPr>
        <w:tc>
          <w:tcPr>
            <w:tcW w:w="1840" w:type="dxa"/>
            <w:tcBorders>
              <w:top w:val="nil"/>
              <w:left w:val="single" w:sz="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604,5</w:t>
            </w:r>
          </w:p>
        </w:tc>
      </w:tr>
      <w:tr w:rsidR="00C63B06" w:rsidRPr="002D744E" w:rsidTr="006D7160">
        <w:trPr>
          <w:trHeight w:val="315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720" w:type="dxa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47,2</w:t>
            </w:r>
          </w:p>
        </w:tc>
        <w:tc>
          <w:tcPr>
            <w:tcW w:w="1200" w:type="dxa"/>
            <w:tcBorders>
              <w:top w:val="nil"/>
              <w:left w:val="single" w:sz="1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2D744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D744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598,8</w:t>
            </w:r>
          </w:p>
        </w:tc>
      </w:tr>
    </w:tbl>
    <w:p w:rsidR="00C63B06" w:rsidRDefault="00C63B06" w:rsidP="00C63B06">
      <w:pPr>
        <w:spacing w:line="480" w:lineRule="auto"/>
        <w:ind w:left="1985"/>
        <w:jc w:val="both"/>
        <w:rPr>
          <w:rFonts w:ascii="Arial" w:hAnsi="Arial" w:cs="Arial"/>
          <w:sz w:val="24"/>
          <w:szCs w:val="24"/>
          <w:lang w:val="es-ES" w:eastAsia="es-ES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ANEXO D</w:t>
      </w: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BALANCE NUTRICIONAL DE PAN DE FRÉJOL</w:t>
      </w: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0468" w:type="dxa"/>
        <w:tblInd w:w="-801" w:type="dxa"/>
        <w:tblCellMar>
          <w:left w:w="70" w:type="dxa"/>
          <w:right w:w="70" w:type="dxa"/>
        </w:tblCellMar>
        <w:tblLook w:val="04A0"/>
      </w:tblPr>
      <w:tblGrid>
        <w:gridCol w:w="1784"/>
        <w:gridCol w:w="835"/>
        <w:gridCol w:w="943"/>
        <w:gridCol w:w="1335"/>
        <w:gridCol w:w="768"/>
        <w:gridCol w:w="1089"/>
        <w:gridCol w:w="768"/>
        <w:gridCol w:w="1089"/>
        <w:gridCol w:w="768"/>
        <w:gridCol w:w="1089"/>
      </w:tblGrid>
      <w:tr w:rsidR="00C63B06" w:rsidRPr="0074229E" w:rsidTr="006D7160">
        <w:trPr>
          <w:trHeight w:val="193"/>
        </w:trPr>
        <w:tc>
          <w:tcPr>
            <w:tcW w:w="17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Ingrediente</w:t>
            </w:r>
          </w:p>
        </w:tc>
        <w:tc>
          <w:tcPr>
            <w:tcW w:w="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Masa 100g</w:t>
            </w:r>
          </w:p>
        </w:tc>
        <w:tc>
          <w:tcPr>
            <w:tcW w:w="227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Carbohidratos</w:t>
            </w:r>
          </w:p>
        </w:tc>
        <w:tc>
          <w:tcPr>
            <w:tcW w:w="185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Proteínas</w:t>
            </w:r>
          </w:p>
        </w:tc>
        <w:tc>
          <w:tcPr>
            <w:tcW w:w="185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Grasas</w:t>
            </w:r>
          </w:p>
        </w:tc>
        <w:tc>
          <w:tcPr>
            <w:tcW w:w="185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Agua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Totales</w:t>
            </w:r>
          </w:p>
        </w:tc>
        <w:tc>
          <w:tcPr>
            <w:tcW w:w="185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Totales</w:t>
            </w:r>
          </w:p>
        </w:tc>
        <w:tc>
          <w:tcPr>
            <w:tcW w:w="185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Tabla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Tabla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Tabla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Formula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Tabla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Formula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Harina /</w:t>
            </w: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Trigo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40,71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74,1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30,17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0,94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5,41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Harina / Fréjol 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10,18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73,1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7,44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15,04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0,73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Azúcar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4,07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99,7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4,06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Sal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Grasa Vegetal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5,09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5,09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Huevo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2,54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0,31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73,7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1,88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Levadura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1,02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0,13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0,73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Agua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35,37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35,37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TOTAL 100 g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41,86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6,62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6,40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44,13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Kcal </w:t>
            </w:r>
          </w:p>
        </w:tc>
        <w:tc>
          <w:tcPr>
            <w:tcW w:w="17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63B06" w:rsidRPr="0074229E" w:rsidTr="006D7160">
        <w:trPr>
          <w:trHeight w:val="202"/>
        </w:trPr>
        <w:tc>
          <w:tcPr>
            <w:tcW w:w="17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Kcal Totales</w:t>
            </w:r>
          </w:p>
        </w:tc>
        <w:tc>
          <w:tcPr>
            <w:tcW w:w="759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4229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63B06" w:rsidRPr="0074229E" w:rsidRDefault="00C63B06" w:rsidP="006D71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4229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251</w:t>
            </w:r>
          </w:p>
        </w:tc>
      </w:tr>
    </w:tbl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rPr>
          <w:lang w:val="es-ES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ANEXO E</w:t>
      </w:r>
    </w:p>
    <w:p w:rsidR="00C63B06" w:rsidRPr="00C11936" w:rsidRDefault="00C63B06" w:rsidP="00C63B0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HOJA DE EVALUACIÓN SENSORIAL</w:t>
      </w:r>
    </w:p>
    <w:p w:rsidR="00C63B06" w:rsidRDefault="00C63B06" w:rsidP="00C63B06">
      <w:pPr>
        <w:rPr>
          <w:lang w:val="es-ES"/>
        </w:rPr>
      </w:pPr>
    </w:p>
    <w:p w:rsidR="00C63B06" w:rsidRPr="00176C8F" w:rsidRDefault="00C63B06" w:rsidP="00C63B06">
      <w:pPr>
        <w:spacing w:line="48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Nombre</w:t>
      </w:r>
      <w:proofErr w:type="gramStart"/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:_</w:t>
      </w:r>
      <w:proofErr w:type="gramEnd"/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_____________________</w:t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     Fecha:____________________________</w:t>
      </w:r>
    </w:p>
    <w:p w:rsidR="00C63B06" w:rsidRPr="00176C8F" w:rsidRDefault="00C63B06" w:rsidP="00C63B06">
      <w:pPr>
        <w:spacing w:line="48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>Producto: Pan con Harina de Fréjol</w:t>
      </w:r>
    </w:p>
    <w:p w:rsidR="00C63B06" w:rsidRPr="00176C8F" w:rsidRDefault="00C63B06" w:rsidP="00C63B06">
      <w:pPr>
        <w:spacing w:line="480" w:lineRule="auto"/>
        <w:jc w:val="center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>Calificación de Esponjosidad</w:t>
      </w:r>
    </w:p>
    <w:p w:rsidR="00C63B06" w:rsidRPr="00176C8F" w:rsidRDefault="00C63B06" w:rsidP="00C63B06">
      <w:pPr>
        <w:spacing w:line="480" w:lineRule="auto"/>
        <w:jc w:val="center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Oprima con los dedos cada una de las muestras de pan que tiene ante usted, y después pruébelas, e indique el grado de esponjosidad de cada una de acuerdo a la siguiente escala:</w:t>
      </w:r>
    </w:p>
    <w:p w:rsidR="00C63B06" w:rsidRPr="00176C8F" w:rsidRDefault="00C63B06" w:rsidP="00C63B06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76C8F">
        <w:rPr>
          <w:rFonts w:ascii="Arial" w:eastAsia="Times New Roman" w:hAnsi="Arial" w:cs="Arial"/>
          <w:sz w:val="20"/>
          <w:szCs w:val="20"/>
          <w:lang w:eastAsia="es-ES"/>
        </w:rPr>
        <w:t>Casi Esponjoso</w:t>
      </w:r>
    </w:p>
    <w:p w:rsidR="00C63B06" w:rsidRPr="00176C8F" w:rsidRDefault="00C63B06" w:rsidP="00C63B06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76C8F">
        <w:rPr>
          <w:rFonts w:ascii="Arial" w:eastAsia="Times New Roman" w:hAnsi="Arial" w:cs="Arial"/>
          <w:sz w:val="20"/>
          <w:szCs w:val="20"/>
          <w:lang w:eastAsia="es-ES"/>
        </w:rPr>
        <w:t>Ligeramente Esponjoso</w:t>
      </w:r>
    </w:p>
    <w:p w:rsidR="00C63B06" w:rsidRPr="00176C8F" w:rsidRDefault="00C63B06" w:rsidP="00C63B06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76C8F">
        <w:rPr>
          <w:rFonts w:ascii="Arial" w:eastAsia="Times New Roman" w:hAnsi="Arial" w:cs="Arial"/>
          <w:sz w:val="20"/>
          <w:szCs w:val="20"/>
          <w:lang w:eastAsia="es-ES"/>
        </w:rPr>
        <w:t>Moderadamente esponjoso</w:t>
      </w:r>
    </w:p>
    <w:p w:rsidR="00C63B06" w:rsidRPr="00176C8F" w:rsidRDefault="00C63B06" w:rsidP="00C63B06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76C8F">
        <w:rPr>
          <w:rFonts w:ascii="Arial" w:eastAsia="Times New Roman" w:hAnsi="Arial" w:cs="Arial"/>
          <w:sz w:val="20"/>
          <w:szCs w:val="20"/>
          <w:lang w:eastAsia="es-ES"/>
        </w:rPr>
        <w:t>Esponjoso</w:t>
      </w:r>
    </w:p>
    <w:p w:rsidR="00C63B06" w:rsidRPr="00176C8F" w:rsidRDefault="00C63B06" w:rsidP="00C63B06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176C8F">
        <w:rPr>
          <w:rFonts w:ascii="Arial" w:eastAsia="Times New Roman" w:hAnsi="Arial" w:cs="Arial"/>
          <w:sz w:val="20"/>
          <w:szCs w:val="20"/>
          <w:lang w:eastAsia="es-ES"/>
        </w:rPr>
        <w:t>Muy esponjoso</w:t>
      </w:r>
    </w:p>
    <w:p w:rsidR="00C63B06" w:rsidRPr="00176C8F" w:rsidRDefault="00C63B06" w:rsidP="00C63B06">
      <w:pPr>
        <w:spacing w:line="480" w:lineRule="auto"/>
        <w:ind w:left="708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INDIQUE PARA CADA MESTRA EL NÚMERO CORRESPONDIENTE</w:t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  <w:t xml:space="preserve"> DE LA ESCALA</w:t>
      </w:r>
    </w:p>
    <w:p w:rsidR="00C63B06" w:rsidRPr="00176C8F" w:rsidRDefault="00C63B06" w:rsidP="00C63B06">
      <w:pPr>
        <w:spacing w:line="240" w:lineRule="auto"/>
        <w:ind w:left="708"/>
        <w:rPr>
          <w:rFonts w:ascii="Arial" w:eastAsia="Times New Roman" w:hAnsi="Arial" w:cs="Arial"/>
          <w:b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>Clave</w:t>
      </w: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b/>
          <w:sz w:val="20"/>
          <w:szCs w:val="20"/>
          <w:lang w:val="es-ES" w:eastAsia="es-ES"/>
        </w:rPr>
        <w:tab/>
        <w:t>Calificación</w:t>
      </w:r>
    </w:p>
    <w:p w:rsidR="00C63B06" w:rsidRPr="00176C8F" w:rsidRDefault="00C63B06" w:rsidP="00C63B06">
      <w:pPr>
        <w:spacing w:line="240" w:lineRule="auto"/>
        <w:ind w:left="708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2581</w:t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  <w:t>__________</w:t>
      </w:r>
    </w:p>
    <w:p w:rsidR="00C63B06" w:rsidRPr="00176C8F" w:rsidRDefault="00C63B06" w:rsidP="00C63B06">
      <w:pPr>
        <w:spacing w:line="240" w:lineRule="auto"/>
        <w:ind w:left="708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4475</w:t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</w: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ab/>
        <w:t>__________</w:t>
      </w:r>
    </w:p>
    <w:p w:rsidR="00C63B06" w:rsidRPr="00176C8F" w:rsidRDefault="00C63B06" w:rsidP="00C63B06">
      <w:pPr>
        <w:spacing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Comentarios</w:t>
      </w:r>
      <w:proofErr w:type="gramStart"/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:_</w:t>
      </w:r>
      <w:proofErr w:type="gramEnd"/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___________________________________________________________________________________________________________________</w:t>
      </w:r>
    </w:p>
    <w:p w:rsidR="00C63B06" w:rsidRPr="00176C8F" w:rsidRDefault="00C63B06" w:rsidP="00C63B06">
      <w:pPr>
        <w:spacing w:line="240" w:lineRule="auto"/>
        <w:jc w:val="center"/>
        <w:rPr>
          <w:sz w:val="20"/>
          <w:szCs w:val="20"/>
        </w:rPr>
      </w:pPr>
      <w:r w:rsidRPr="00176C8F">
        <w:rPr>
          <w:rFonts w:ascii="Arial" w:eastAsia="Times New Roman" w:hAnsi="Arial" w:cs="Arial"/>
          <w:sz w:val="20"/>
          <w:szCs w:val="20"/>
          <w:lang w:val="es-ES" w:eastAsia="es-ES"/>
        </w:rPr>
        <w:t>MUCHAS GR</w:t>
      </w:r>
      <w:r w:rsidRPr="00176C8F">
        <w:rPr>
          <w:rFonts w:ascii="Arial" w:hAnsi="Arial" w:cs="Arial"/>
          <w:sz w:val="20"/>
          <w:szCs w:val="20"/>
        </w:rPr>
        <w:t>ACIAS</w:t>
      </w: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ANEXO F</w:t>
      </w:r>
    </w:p>
    <w:p w:rsidR="00C63B06" w:rsidRPr="00C11936" w:rsidRDefault="00C63B06" w:rsidP="00C63B06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C63B06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ANALISIS CON MINITAB 16 DE LA EVALUACION SENSORIAL</w:t>
      </w:r>
    </w:p>
    <w:p w:rsidR="00C63B06" w:rsidRPr="003408C2" w:rsidRDefault="00C63B06" w:rsidP="00C63B06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63B06" w:rsidRDefault="00C63B06" w:rsidP="00C63B06">
      <w:pPr>
        <w:jc w:val="both"/>
        <w:rPr>
          <w:rFonts w:ascii="Arial" w:hAnsi="Arial" w:cs="Arial"/>
          <w:sz w:val="24"/>
          <w:szCs w:val="24"/>
        </w:rPr>
      </w:pPr>
      <w:r w:rsidRPr="00A5266D">
        <w:rPr>
          <w:rFonts w:ascii="Arial" w:hAnsi="Arial" w:cs="Arial"/>
          <w:sz w:val="24"/>
          <w:szCs w:val="24"/>
        </w:rPr>
        <w:t>Para determinar los datos de la evaluación sensorial se utilizó el software MINITAB 16</w:t>
      </w:r>
    </w:p>
    <w:p w:rsidR="00C63B06" w:rsidRDefault="00C63B06" w:rsidP="00C63B06">
      <w:pPr>
        <w:jc w:val="center"/>
        <w:rPr>
          <w:rFonts w:ascii="Arial" w:hAnsi="Arial" w:cs="Arial"/>
          <w:sz w:val="24"/>
          <w:szCs w:val="24"/>
        </w:rPr>
      </w:pPr>
      <w:r>
        <w:object w:dxaOrig="864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4in" o:ole="">
            <v:imagedata r:id="rId14" o:title=""/>
          </v:shape>
          <o:OLEObject Type="Embed" ProgID="MtbGraph.Document.16" ShapeID="_x0000_i1025" DrawAspect="Content" ObjectID="_1379839333" r:id="rId15"/>
        </w:object>
      </w:r>
    </w:p>
    <w:p w:rsidR="00C63B06" w:rsidRDefault="00C63B06" w:rsidP="00C63B06">
      <w:pPr>
        <w:rPr>
          <w:rFonts w:ascii="Arial" w:hAnsi="Arial" w:cs="Arial"/>
          <w:sz w:val="24"/>
          <w:szCs w:val="24"/>
        </w:rPr>
      </w:pPr>
    </w:p>
    <w:p w:rsidR="00C63B06" w:rsidRPr="003408C2" w:rsidRDefault="00C63B06" w:rsidP="00C63B06">
      <w:pPr>
        <w:tabs>
          <w:tab w:val="left" w:pos="975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3408C2">
        <w:rPr>
          <w:rFonts w:ascii="Arial" w:hAnsi="Arial" w:cs="Arial"/>
          <w:b/>
          <w:sz w:val="24"/>
          <w:szCs w:val="24"/>
        </w:rPr>
        <w:t>Prueba de hipótesis</w:t>
      </w:r>
    </w:p>
    <w:p w:rsidR="00C63B06" w:rsidRDefault="00C63B06" w:rsidP="00C63B06">
      <w:pPr>
        <w:tabs>
          <w:tab w:val="left" w:pos="975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</w:t>
      </w:r>
      <w:r w:rsidRPr="003408C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Los datos siguen una distribución normal</w:t>
      </w:r>
    </w:p>
    <w:p w:rsidR="00C63B06" w:rsidRDefault="00C63B06" w:rsidP="00C63B06">
      <w:pPr>
        <w:tabs>
          <w:tab w:val="left" w:pos="975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lastRenderedPageBreak/>
        <w:t>Hb</w:t>
      </w:r>
      <w:proofErr w:type="spellEnd"/>
      <w:r w:rsidRPr="003408C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Los satos no siguen una distribución normal</w:t>
      </w:r>
    </w:p>
    <w:p w:rsidR="00C63B06" w:rsidRDefault="00C63B06" w:rsidP="00C63B06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un valor p menor a 0.05 (p=0.005</w:t>
      </w:r>
      <w:r w:rsidRPr="00FC64E7">
        <w:rPr>
          <w:rFonts w:ascii="Arial" w:hAnsi="Arial" w:cs="Arial"/>
          <w:sz w:val="24"/>
          <w:szCs w:val="24"/>
        </w:rPr>
        <w:t>) existe evidencia estadística su</w:t>
      </w:r>
      <w:r>
        <w:rPr>
          <w:rFonts w:ascii="Arial" w:hAnsi="Arial" w:cs="Arial"/>
          <w:sz w:val="24"/>
          <w:szCs w:val="24"/>
        </w:rPr>
        <w:t xml:space="preserve">ficiente para </w:t>
      </w:r>
      <w:r w:rsidRPr="00FC64E7">
        <w:rPr>
          <w:rFonts w:ascii="Arial" w:hAnsi="Arial" w:cs="Arial"/>
          <w:sz w:val="24"/>
          <w:szCs w:val="24"/>
        </w:rPr>
        <w:t>rechazar</w:t>
      </w:r>
      <w:r>
        <w:rPr>
          <w:rFonts w:ascii="Arial" w:hAnsi="Arial" w:cs="Arial"/>
          <w:sz w:val="24"/>
          <w:szCs w:val="24"/>
        </w:rPr>
        <w:t xml:space="preserve"> Ho a favor de </w:t>
      </w:r>
      <w:proofErr w:type="spellStart"/>
      <w:r>
        <w:rPr>
          <w:rFonts w:ascii="Arial" w:hAnsi="Arial" w:cs="Arial"/>
          <w:sz w:val="24"/>
          <w:szCs w:val="24"/>
        </w:rPr>
        <w:t>Hi</w:t>
      </w:r>
      <w:proofErr w:type="spellEnd"/>
      <w:r>
        <w:rPr>
          <w:rFonts w:ascii="Arial" w:hAnsi="Arial" w:cs="Arial"/>
          <w:sz w:val="24"/>
          <w:szCs w:val="24"/>
        </w:rPr>
        <w:t>, es decir que los datos no siguen una distribución normal.</w:t>
      </w:r>
    </w:p>
    <w:p w:rsidR="00C63B06" w:rsidRDefault="00C63B06" w:rsidP="00C63B06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lo tanto se hará uso de estadística no </w:t>
      </w:r>
      <w:proofErr w:type="spellStart"/>
      <w:r>
        <w:rPr>
          <w:rFonts w:ascii="Arial" w:hAnsi="Arial" w:cs="Arial"/>
          <w:sz w:val="24"/>
          <w:szCs w:val="24"/>
        </w:rPr>
        <w:t>paramétrica</w:t>
      </w:r>
      <w:proofErr w:type="spellEnd"/>
      <w:r>
        <w:rPr>
          <w:rFonts w:ascii="Arial" w:hAnsi="Arial" w:cs="Arial"/>
          <w:sz w:val="24"/>
          <w:szCs w:val="24"/>
        </w:rPr>
        <w:t xml:space="preserve"> para encontrar diferencia significativa entre las muestras comparando las medianas</w:t>
      </w:r>
    </w:p>
    <w:p w:rsidR="00C63B06" w:rsidRPr="008B5957" w:rsidRDefault="00C63B06" w:rsidP="00C63B06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C2137">
        <w:rPr>
          <w:rFonts w:ascii="Arial" w:hAnsi="Arial" w:cs="Arial"/>
          <w:b/>
          <w:sz w:val="24"/>
          <w:szCs w:val="24"/>
        </w:rPr>
        <w:t>Ha</w:t>
      </w:r>
      <w:proofErr w:type="gramStart"/>
      <w:r w:rsidRPr="009C21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no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hay diferencia significativa entre el uso o no del mejorador en el pan(</w:t>
      </w:r>
      <w:r w:rsidRPr="008B5957">
        <w:rPr>
          <w:rFonts w:ascii="Arial" w:hAnsi="Arial" w:cs="Arial"/>
          <w:sz w:val="24"/>
          <w:szCs w:val="24"/>
        </w:rPr>
        <w:t>La mediana de la muestra 1 es igual a la mediana de la muestra 2</w:t>
      </w:r>
      <w:r>
        <w:rPr>
          <w:rFonts w:ascii="Arial" w:hAnsi="Arial" w:cs="Arial"/>
          <w:sz w:val="24"/>
          <w:szCs w:val="24"/>
        </w:rPr>
        <w:t>).</w:t>
      </w:r>
    </w:p>
    <w:p w:rsidR="00C63B06" w:rsidRPr="008B5957" w:rsidRDefault="00C63B06" w:rsidP="00C63B06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C2137">
        <w:rPr>
          <w:rFonts w:ascii="Arial" w:hAnsi="Arial" w:cs="Arial"/>
          <w:b/>
          <w:sz w:val="24"/>
          <w:szCs w:val="24"/>
        </w:rPr>
        <w:t>Hb</w:t>
      </w:r>
      <w:proofErr w:type="gramStart"/>
      <w:r w:rsidRPr="009C213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si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hay diferencia significativa entre el uso del mejorador en el pan (</w:t>
      </w:r>
      <w:r w:rsidRPr="008B5957">
        <w:rPr>
          <w:rFonts w:ascii="Arial" w:hAnsi="Arial" w:cs="Arial"/>
          <w:sz w:val="24"/>
          <w:szCs w:val="24"/>
        </w:rPr>
        <w:t>La mediana de la muestra 1no es igual a la mediana de la muestra 2</w:t>
      </w:r>
      <w:r>
        <w:rPr>
          <w:rFonts w:ascii="Arial" w:hAnsi="Arial" w:cs="Arial"/>
          <w:sz w:val="24"/>
          <w:szCs w:val="24"/>
        </w:rPr>
        <w:t>).</w:t>
      </w:r>
    </w:p>
    <w:p w:rsidR="00C63B06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bCs/>
          <w:sz w:val="24"/>
          <w:szCs w:val="24"/>
        </w:rPr>
      </w:pPr>
      <w:r w:rsidRPr="003408C2">
        <w:rPr>
          <w:rFonts w:ascii="Arial" w:hAnsi="Arial" w:cs="Arial"/>
          <w:b/>
          <w:bCs/>
          <w:sz w:val="24"/>
          <w:szCs w:val="24"/>
        </w:rPr>
        <w:t>Prueba de Mann-</w:t>
      </w:r>
      <w:proofErr w:type="spellStart"/>
      <w:r w:rsidRPr="003408C2">
        <w:rPr>
          <w:rFonts w:ascii="Arial" w:hAnsi="Arial" w:cs="Arial"/>
          <w:b/>
          <w:bCs/>
          <w:sz w:val="24"/>
          <w:szCs w:val="24"/>
        </w:rPr>
        <w:t>Whitney</w:t>
      </w:r>
      <w:proofErr w:type="spellEnd"/>
      <w:r w:rsidRPr="003408C2">
        <w:rPr>
          <w:rFonts w:ascii="Arial" w:hAnsi="Arial" w:cs="Arial"/>
          <w:b/>
          <w:bCs/>
          <w:sz w:val="24"/>
          <w:szCs w:val="24"/>
        </w:rPr>
        <w:t xml:space="preserve"> e IC: muestra 1. </w:t>
      </w:r>
      <w:proofErr w:type="gramStart"/>
      <w:r w:rsidRPr="003408C2">
        <w:rPr>
          <w:rFonts w:ascii="Arial" w:hAnsi="Arial" w:cs="Arial"/>
          <w:b/>
          <w:bCs/>
          <w:sz w:val="24"/>
          <w:szCs w:val="24"/>
        </w:rPr>
        <w:t>muestra</w:t>
      </w:r>
      <w:proofErr w:type="gramEnd"/>
      <w:r w:rsidRPr="003408C2">
        <w:rPr>
          <w:rFonts w:ascii="Arial" w:hAnsi="Arial" w:cs="Arial"/>
          <w:b/>
          <w:bCs/>
          <w:sz w:val="24"/>
          <w:szCs w:val="24"/>
        </w:rPr>
        <w:t xml:space="preserve"> 2 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408C2">
        <w:rPr>
          <w:rFonts w:ascii="Arial" w:hAnsi="Arial" w:cs="Arial"/>
          <w:sz w:val="24"/>
          <w:szCs w:val="24"/>
        </w:rPr>
        <w:t>N  Mediana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ind w:left="708" w:firstLine="708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>Muestra 1  30   4,0000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ind w:left="708" w:firstLine="708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>Muestra 2  30   4,0000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>La estimación del punto para ETA1-ETA2 es 0,0000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>95,2 El porcentaje IC para ETA1-ETA2 es (-1,0003.-0,0000)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>W = 798,0</w:t>
      </w:r>
    </w:p>
    <w:p w:rsidR="00C63B06" w:rsidRPr="003408C2" w:rsidRDefault="00C63B06" w:rsidP="00C63B06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lastRenderedPageBreak/>
        <w:t>Prueba de ETA1 = ETA2 vs. ETA1 no es = ETA2 es significativa en 0,0850</w:t>
      </w:r>
    </w:p>
    <w:p w:rsidR="00C63B06" w:rsidRPr="003408C2" w:rsidRDefault="00C63B06" w:rsidP="00C63B06">
      <w:pPr>
        <w:tabs>
          <w:tab w:val="left" w:pos="975"/>
        </w:tabs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3408C2">
        <w:rPr>
          <w:rFonts w:ascii="Arial" w:hAnsi="Arial" w:cs="Arial"/>
          <w:sz w:val="24"/>
          <w:szCs w:val="24"/>
        </w:rPr>
        <w:t xml:space="preserve">Con un valor p mayor a 0.05 (p = 0.0850) existe evidencia estadística suficiente para no rechazar Ho a favor de </w:t>
      </w:r>
      <w:proofErr w:type="spellStart"/>
      <w:r w:rsidRPr="003408C2">
        <w:rPr>
          <w:rFonts w:ascii="Arial" w:hAnsi="Arial" w:cs="Arial"/>
          <w:sz w:val="24"/>
          <w:szCs w:val="24"/>
        </w:rPr>
        <w:t>Hi</w:t>
      </w:r>
      <w:proofErr w:type="spellEnd"/>
      <w:r w:rsidRPr="003408C2">
        <w:rPr>
          <w:rFonts w:ascii="Arial" w:hAnsi="Arial" w:cs="Arial"/>
          <w:sz w:val="24"/>
          <w:szCs w:val="24"/>
        </w:rPr>
        <w:t>, por lo tanto no existe diferencia significativa entre las muestras.</w:t>
      </w:r>
    </w:p>
    <w:p w:rsidR="00C63B06" w:rsidRDefault="00C63B06" w:rsidP="00C63B06">
      <w:pPr>
        <w:tabs>
          <w:tab w:val="left" w:pos="975"/>
        </w:tabs>
        <w:jc w:val="both"/>
        <w:rPr>
          <w:rFonts w:ascii="Arial" w:hAnsi="Arial" w:cs="Arial"/>
          <w:sz w:val="24"/>
          <w:szCs w:val="24"/>
        </w:rPr>
      </w:pPr>
    </w:p>
    <w:p w:rsidR="00C63B06" w:rsidRPr="007A3674" w:rsidRDefault="00C63B06" w:rsidP="00C63B06">
      <w:pPr>
        <w:tabs>
          <w:tab w:val="left" w:pos="975"/>
        </w:tabs>
        <w:jc w:val="center"/>
        <w:rPr>
          <w:rFonts w:ascii="Arial" w:hAnsi="Arial" w:cs="Arial"/>
          <w:sz w:val="24"/>
          <w:szCs w:val="24"/>
        </w:rPr>
      </w:pPr>
      <w:r>
        <w:object w:dxaOrig="8640" w:dyaOrig="5760">
          <v:shape id="_x0000_i1026" type="#_x0000_t75" style="width:6in;height:4in" o:ole="">
            <v:imagedata r:id="rId16" o:title=""/>
          </v:shape>
          <o:OLEObject Type="Embed" ProgID="MtbGraph.Document.16" ShapeID="_x0000_i1026" DrawAspect="Content" ObjectID="_1379839334" r:id="rId17"/>
        </w:object>
      </w:r>
    </w:p>
    <w:p w:rsidR="00C63B06" w:rsidRDefault="00C63B06" w:rsidP="00C63B06">
      <w:pPr>
        <w:spacing w:line="240" w:lineRule="auto"/>
        <w:jc w:val="center"/>
      </w:pPr>
    </w:p>
    <w:p w:rsidR="00C63B06" w:rsidRDefault="00C63B06" w:rsidP="00C63B06">
      <w:pPr>
        <w:spacing w:line="240" w:lineRule="auto"/>
        <w:jc w:val="center"/>
      </w:pPr>
    </w:p>
    <w:p w:rsidR="00C63B06" w:rsidRDefault="00C63B06" w:rsidP="00C63B06">
      <w:pPr>
        <w:spacing w:line="240" w:lineRule="auto"/>
        <w:jc w:val="center"/>
      </w:pPr>
    </w:p>
    <w:p w:rsidR="00C63B06" w:rsidRDefault="00C63B06" w:rsidP="00C63B06">
      <w:pPr>
        <w:pStyle w:val="Sinespaciado"/>
        <w:rPr>
          <w:rFonts w:asciiTheme="minorHAnsi" w:eastAsiaTheme="minorHAnsi" w:hAnsiTheme="minorHAnsi" w:cstheme="minorBidi"/>
          <w:lang w:val="es-ES_tradnl"/>
        </w:rPr>
      </w:pPr>
    </w:p>
    <w:p w:rsidR="00C63B06" w:rsidRDefault="00C63B06" w:rsidP="00C63B06">
      <w:pPr>
        <w:pStyle w:val="Sinespaciado"/>
        <w:rPr>
          <w:rFonts w:asciiTheme="minorHAnsi" w:eastAsiaTheme="minorHAnsi" w:hAnsiTheme="minorHAnsi" w:cstheme="minorBidi"/>
          <w:lang w:val="es-ES_tradnl"/>
        </w:rPr>
      </w:pPr>
    </w:p>
    <w:p w:rsidR="00C63B06" w:rsidRPr="005A2838" w:rsidRDefault="00C63B06" w:rsidP="00C63B06">
      <w:pPr>
        <w:pStyle w:val="Sinespaciado"/>
        <w:jc w:val="center"/>
        <w:rPr>
          <w:rFonts w:ascii="Arial" w:hAnsi="Arial" w:cs="Arial"/>
          <w:b/>
          <w:sz w:val="32"/>
          <w:szCs w:val="32"/>
          <w:lang w:val="es-EC"/>
        </w:rPr>
      </w:pPr>
      <w:r w:rsidRPr="005A2838">
        <w:rPr>
          <w:rFonts w:ascii="Arial" w:hAnsi="Arial" w:cs="Arial"/>
          <w:b/>
          <w:sz w:val="32"/>
          <w:szCs w:val="32"/>
          <w:lang w:val="es-EC"/>
        </w:rPr>
        <w:lastRenderedPageBreak/>
        <w:t>BIBLIOGRAFIA</w:t>
      </w:r>
    </w:p>
    <w:p w:rsidR="00C63B06" w:rsidRDefault="00C63B06" w:rsidP="00C63B06">
      <w:pPr>
        <w:spacing w:line="240" w:lineRule="auto"/>
        <w:jc w:val="center"/>
      </w:pPr>
    </w:p>
    <w:p w:rsidR="00C63B06" w:rsidRPr="00A24B34" w:rsidRDefault="00C63B06" w:rsidP="00C63B06">
      <w:pPr>
        <w:pStyle w:val="Textoindependiente"/>
        <w:jc w:val="both"/>
        <w:rPr>
          <w:szCs w:val="20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Reina C.; </w:t>
      </w:r>
      <w:proofErr w:type="spellStart"/>
      <w:r w:rsidRPr="00176C8F">
        <w:rPr>
          <w:rFonts w:ascii="Arial" w:hAnsi="Arial" w:cs="Arial"/>
        </w:rPr>
        <w:t>Solorzano</w:t>
      </w:r>
      <w:proofErr w:type="spellEnd"/>
      <w:r w:rsidRPr="00176C8F">
        <w:rPr>
          <w:rFonts w:ascii="Arial" w:hAnsi="Arial" w:cs="Arial"/>
        </w:rPr>
        <w:t>, D. Evaluación de Perdidas Post-cosecha del Frijol (</w:t>
      </w:r>
      <w:proofErr w:type="spellStart"/>
      <w:r w:rsidRPr="00176C8F">
        <w:rPr>
          <w:rFonts w:ascii="Arial" w:hAnsi="Arial" w:cs="Arial"/>
        </w:rPr>
        <w:t>PhaseolusVulgaris</w:t>
      </w:r>
      <w:proofErr w:type="spellEnd"/>
      <w:r w:rsidRPr="00176C8F">
        <w:rPr>
          <w:rFonts w:ascii="Arial" w:hAnsi="Arial" w:cs="Arial"/>
        </w:rPr>
        <w:t xml:space="preserve"> l). Que se comercializa en la ciudad de Neiva. Neiva, Colombia. 1998. Páginas 2-4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Fernández, P.; </w:t>
      </w:r>
      <w:proofErr w:type="spellStart"/>
      <w:r w:rsidRPr="00176C8F">
        <w:rPr>
          <w:rFonts w:ascii="Arial" w:hAnsi="Arial" w:cs="Arial"/>
        </w:rPr>
        <w:t>Monar</w:t>
      </w:r>
      <w:proofErr w:type="spellEnd"/>
      <w:r w:rsidRPr="00176C8F">
        <w:rPr>
          <w:rFonts w:ascii="Arial" w:hAnsi="Arial" w:cs="Arial"/>
        </w:rPr>
        <w:t xml:space="preserve">, C. Efecto de la </w:t>
      </w:r>
      <w:proofErr w:type="spellStart"/>
      <w:r>
        <w:rPr>
          <w:rFonts w:ascii="Arial" w:hAnsi="Arial" w:cs="Arial"/>
        </w:rPr>
        <w:t>Fertizació</w:t>
      </w:r>
      <w:r w:rsidRPr="00176C8F"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Quím</w:t>
      </w:r>
      <w:r w:rsidRPr="00176C8F">
        <w:rPr>
          <w:rFonts w:ascii="Arial" w:hAnsi="Arial" w:cs="Arial"/>
        </w:rPr>
        <w:t>ica y Orgánica en Cinco Líneas promisorias de Frejol arbustivo (</w:t>
      </w:r>
      <w:proofErr w:type="spellStart"/>
      <w:r w:rsidRPr="00176C8F">
        <w:rPr>
          <w:rFonts w:ascii="Arial" w:hAnsi="Arial" w:cs="Arial"/>
        </w:rPr>
        <w:t>Phaseolus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Pr="00176C8F">
        <w:rPr>
          <w:rFonts w:ascii="Arial" w:hAnsi="Arial" w:cs="Arial"/>
        </w:rPr>
        <w:t>ulgaris</w:t>
      </w:r>
      <w:proofErr w:type="spellEnd"/>
      <w:r w:rsidRPr="00176C8F">
        <w:rPr>
          <w:rFonts w:ascii="Arial" w:hAnsi="Arial" w:cs="Arial"/>
        </w:rPr>
        <w:t xml:space="preserve"> L.) Guaranda - Ecuador 2008. 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>Producción de Frijol en México. Disponible en: http://www.plusformacion.com/Recursos/r/Produccion-Frijol-Mexico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Serrano, J.; </w:t>
      </w:r>
      <w:proofErr w:type="spellStart"/>
      <w:r w:rsidRPr="00176C8F">
        <w:rPr>
          <w:rFonts w:ascii="Arial" w:hAnsi="Arial" w:cs="Arial"/>
        </w:rPr>
        <w:t>Goñi</w:t>
      </w:r>
      <w:proofErr w:type="spellEnd"/>
      <w:r w:rsidRPr="00176C8F">
        <w:rPr>
          <w:rFonts w:ascii="Arial" w:hAnsi="Arial" w:cs="Arial"/>
        </w:rPr>
        <w:t>, I. Papel del frijol (</w:t>
      </w:r>
      <w:proofErr w:type="spellStart"/>
      <w:r w:rsidRPr="00176C8F">
        <w:rPr>
          <w:rFonts w:ascii="Arial" w:hAnsi="Arial" w:cs="Arial"/>
        </w:rPr>
        <w:t>Phaseolus</w:t>
      </w:r>
      <w:proofErr w:type="spellEnd"/>
      <w:r w:rsidRPr="00176C8F">
        <w:rPr>
          <w:rFonts w:ascii="Arial" w:hAnsi="Arial" w:cs="Arial"/>
        </w:rPr>
        <w:t xml:space="preserve"> </w:t>
      </w:r>
      <w:proofErr w:type="spellStart"/>
      <w:r w:rsidRPr="00176C8F">
        <w:rPr>
          <w:rFonts w:ascii="Arial" w:hAnsi="Arial" w:cs="Arial"/>
        </w:rPr>
        <w:t>vulgaris</w:t>
      </w:r>
      <w:proofErr w:type="spellEnd"/>
      <w:r w:rsidRPr="00176C8F">
        <w:rPr>
          <w:rFonts w:ascii="Arial" w:hAnsi="Arial" w:cs="Arial"/>
        </w:rPr>
        <w:t xml:space="preserve"> L). En el Estado Nutricional de la Población Guatemalteca. Madrid-España, 2003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>Mederos, Y. Indicadores De La Calidad En El Grano De Frijol (</w:t>
      </w:r>
      <w:proofErr w:type="spellStart"/>
      <w:r w:rsidRPr="00176C8F">
        <w:rPr>
          <w:rFonts w:ascii="Arial" w:hAnsi="Arial" w:cs="Arial"/>
        </w:rPr>
        <w:t>PhaseolusVulgaris</w:t>
      </w:r>
      <w:proofErr w:type="spellEnd"/>
      <w:r w:rsidRPr="00176C8F">
        <w:rPr>
          <w:rFonts w:ascii="Arial" w:hAnsi="Arial" w:cs="Arial"/>
        </w:rPr>
        <w:t xml:space="preserve"> L.). La Habana, Cuba, 2006.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Mesas J.M; Alegre M. El Pan y su Proceso de Elaboración. Reynosa - </w:t>
      </w:r>
      <w:proofErr w:type="spellStart"/>
      <w:r w:rsidRPr="00176C8F">
        <w:rPr>
          <w:rFonts w:ascii="Arial" w:hAnsi="Arial" w:cs="Arial"/>
        </w:rPr>
        <w:t>Mexico</w:t>
      </w:r>
      <w:proofErr w:type="spellEnd"/>
      <w:r w:rsidRPr="00176C8F">
        <w:rPr>
          <w:rFonts w:ascii="Arial" w:hAnsi="Arial" w:cs="Arial"/>
        </w:rPr>
        <w:t>, 2002.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 w:rsidRPr="00176C8F">
        <w:rPr>
          <w:rFonts w:ascii="Arial" w:hAnsi="Arial" w:cs="Arial"/>
        </w:rPr>
        <w:t>Banwart</w:t>
      </w:r>
      <w:proofErr w:type="spellEnd"/>
      <w:r w:rsidRPr="00176C8F">
        <w:rPr>
          <w:rFonts w:ascii="Arial" w:hAnsi="Arial" w:cs="Arial"/>
        </w:rPr>
        <w:t xml:space="preserve"> George J (1990). </w:t>
      </w:r>
      <w:proofErr w:type="spellStart"/>
      <w:r w:rsidRPr="00176C8F">
        <w:rPr>
          <w:rFonts w:ascii="Arial" w:hAnsi="Arial" w:cs="Arial"/>
        </w:rPr>
        <w:t>MicrobiologíaBásica</w:t>
      </w:r>
      <w:proofErr w:type="spellEnd"/>
      <w:r w:rsidRPr="00176C8F">
        <w:rPr>
          <w:rFonts w:ascii="Arial" w:hAnsi="Arial" w:cs="Arial"/>
        </w:rPr>
        <w:t xml:space="preserve"> de los Alimentos. Editorial </w:t>
      </w:r>
      <w:proofErr w:type="spellStart"/>
      <w:r w:rsidRPr="00176C8F">
        <w:rPr>
          <w:rFonts w:ascii="Arial" w:hAnsi="Arial" w:cs="Arial"/>
        </w:rPr>
        <w:t>Bellaterra</w:t>
      </w:r>
      <w:proofErr w:type="spellEnd"/>
      <w:r w:rsidRPr="00176C8F">
        <w:rPr>
          <w:rFonts w:ascii="Arial" w:hAnsi="Arial" w:cs="Arial"/>
        </w:rPr>
        <w:t>. Madrid-España.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Stanley P. </w:t>
      </w:r>
      <w:proofErr w:type="spellStart"/>
      <w:r w:rsidRPr="00176C8F">
        <w:rPr>
          <w:rFonts w:ascii="Arial" w:hAnsi="Arial" w:cs="Arial"/>
        </w:rPr>
        <w:t>Canvian</w:t>
      </w:r>
      <w:proofErr w:type="spellEnd"/>
      <w:r w:rsidRPr="00176C8F">
        <w:rPr>
          <w:rFonts w:ascii="Arial" w:hAnsi="Arial" w:cs="Arial"/>
        </w:rPr>
        <w:t xml:space="preserve"> y Linda S. Young (1996). FABRICACION DEL PAN. Editorial </w:t>
      </w:r>
      <w:proofErr w:type="spellStart"/>
      <w:r w:rsidRPr="00176C8F">
        <w:rPr>
          <w:rFonts w:ascii="Arial" w:hAnsi="Arial" w:cs="Arial"/>
        </w:rPr>
        <w:t>Acribia</w:t>
      </w:r>
      <w:proofErr w:type="spellEnd"/>
      <w:r w:rsidRPr="00176C8F">
        <w:rPr>
          <w:rFonts w:ascii="Arial" w:hAnsi="Arial" w:cs="Arial"/>
        </w:rPr>
        <w:t>. Zaragoza- España.  Páginas: 7, 17, 21 – 49, 229 – 244, 283 – 292.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>Calaveras, J. Tratado de Panificación y Bollería. AMV Ediciones. Primera Edición. Madrid – España. 1996. Páginas: 53 – 55.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proofErr w:type="spellStart"/>
      <w:r w:rsidRPr="00176C8F">
        <w:rPr>
          <w:rFonts w:ascii="Arial" w:hAnsi="Arial" w:cs="Arial"/>
        </w:rPr>
        <w:t>Quaglia</w:t>
      </w:r>
      <w:proofErr w:type="spellEnd"/>
      <w:r w:rsidRPr="00176C8F">
        <w:rPr>
          <w:rFonts w:ascii="Arial" w:hAnsi="Arial" w:cs="Arial"/>
        </w:rPr>
        <w:t xml:space="preserve">, G. Ciencia y Tecnología de la Panificación. Editorial </w:t>
      </w:r>
      <w:proofErr w:type="spellStart"/>
      <w:r w:rsidRPr="00176C8F">
        <w:rPr>
          <w:rFonts w:ascii="Arial" w:hAnsi="Arial" w:cs="Arial"/>
        </w:rPr>
        <w:t>Acribia</w:t>
      </w:r>
      <w:proofErr w:type="spellEnd"/>
      <w:r w:rsidRPr="00176C8F">
        <w:rPr>
          <w:rFonts w:ascii="Arial" w:hAnsi="Arial" w:cs="Arial"/>
        </w:rPr>
        <w:t xml:space="preserve"> S.A. Segunda Edición. Zaragoza – España. Páginas: 238-254.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</w:rPr>
        <w:t xml:space="preserve">Sánchez, M. Procesos de Elaboración de Alimentos y </w:t>
      </w:r>
      <w:proofErr w:type="spellStart"/>
      <w:r w:rsidRPr="00176C8F">
        <w:rPr>
          <w:rFonts w:ascii="Arial" w:hAnsi="Arial" w:cs="Arial"/>
        </w:rPr>
        <w:t>BebidasEdiciones</w:t>
      </w:r>
      <w:proofErr w:type="spellEnd"/>
      <w:r w:rsidRPr="00176C8F">
        <w:rPr>
          <w:rFonts w:ascii="Arial" w:hAnsi="Arial" w:cs="Arial"/>
        </w:rPr>
        <w:t xml:space="preserve"> </w:t>
      </w:r>
      <w:proofErr w:type="spellStart"/>
      <w:r w:rsidRPr="00176C8F">
        <w:rPr>
          <w:rFonts w:ascii="Arial" w:hAnsi="Arial" w:cs="Arial"/>
        </w:rPr>
        <w:t>Mundi</w:t>
      </w:r>
      <w:proofErr w:type="spellEnd"/>
      <w:r w:rsidRPr="00176C8F">
        <w:rPr>
          <w:rFonts w:ascii="Arial" w:hAnsi="Arial" w:cs="Arial"/>
        </w:rPr>
        <w:t>-Prensa. Segunda Edición Corregida. Madrid, España. 2003. Páginas: 110 – 116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  <w:lang w:val="es-ES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176C8F">
        <w:rPr>
          <w:rFonts w:ascii="Arial" w:hAnsi="Arial" w:cs="Arial"/>
          <w:lang w:val="es-ES"/>
        </w:rPr>
        <w:t xml:space="preserve">Gallego, M. Manual De Buenas Prácticas De Fabricación En Una Industria Elaboradora De Pan, Pan Especial Y Productos De Pastelería Biológicos. </w:t>
      </w:r>
      <w:r w:rsidRPr="00176C8F">
        <w:rPr>
          <w:rFonts w:ascii="Arial" w:hAnsi="Arial" w:cs="Arial"/>
        </w:rPr>
        <w:t>Girona 2004. PAGINAS: 110 -124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 w:rsidRPr="00176C8F">
        <w:rPr>
          <w:rFonts w:ascii="Arial" w:hAnsi="Arial" w:cs="Arial"/>
          <w:lang w:val="en-US"/>
        </w:rPr>
        <w:t xml:space="preserve">Association </w:t>
      </w:r>
      <w:proofErr w:type="spellStart"/>
      <w:r w:rsidRPr="00176C8F">
        <w:rPr>
          <w:rFonts w:ascii="Arial" w:hAnsi="Arial" w:cs="Arial"/>
          <w:lang w:val="en-US"/>
        </w:rPr>
        <w:t>ofOfficial</w:t>
      </w:r>
      <w:proofErr w:type="spellEnd"/>
      <w:r w:rsidRPr="00176C8F">
        <w:rPr>
          <w:rFonts w:ascii="Arial" w:hAnsi="Arial" w:cs="Arial"/>
          <w:lang w:val="en-US"/>
        </w:rPr>
        <w:t xml:space="preserve"> Analytical Chemist (AOAC). Official Methods of Analysis. 18vaEdición. </w:t>
      </w:r>
      <w:r w:rsidRPr="00176C8F">
        <w:rPr>
          <w:rFonts w:ascii="Arial" w:hAnsi="Arial" w:cs="Arial"/>
          <w:lang w:val="es-ES"/>
        </w:rPr>
        <w:t>2005. Disponible en: www.eoma.aoac.org/methods/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  <w:lang w:val="es-ES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 w:rsidRPr="00176C8F">
        <w:rPr>
          <w:rFonts w:ascii="Arial" w:hAnsi="Arial" w:cs="Arial"/>
          <w:lang w:val="es-ES"/>
        </w:rPr>
        <w:t>(14)</w:t>
      </w:r>
      <w:r w:rsidRPr="00176C8F">
        <w:rPr>
          <w:rFonts w:ascii="Arial" w:hAnsi="Arial" w:cs="Arial"/>
          <w:lang w:val="es-ES"/>
        </w:rPr>
        <w:tab/>
        <w:t xml:space="preserve">Tecnología de los alimentos   - Deshidratación: secado y liofilización en : </w:t>
      </w:r>
      <w:r w:rsidRPr="00176C8F">
        <w:rPr>
          <w:rFonts w:ascii="Arial" w:hAnsi="Arial" w:cs="Arial"/>
          <w:lang w:val="es-ES"/>
        </w:rPr>
        <w:lastRenderedPageBreak/>
        <w:t xml:space="preserve">www.itescam.edu.mx/principal/sylabus/fpdb/recursos/r46891.PDF Paginas: 3 - 5,  12 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  <w:lang w:val="es-ES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 w:rsidRPr="00176C8F">
        <w:rPr>
          <w:rFonts w:ascii="Arial" w:hAnsi="Arial" w:cs="Arial"/>
          <w:lang w:val="es-ES"/>
        </w:rPr>
        <w:t>Institución o autor del libro. Especificador de Color PANTONE 1000/MATE. Ciudad, País. Páginas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  <w:lang w:val="es-ES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proofErr w:type="spellStart"/>
      <w:r w:rsidRPr="00176C8F">
        <w:rPr>
          <w:rFonts w:ascii="Arial" w:hAnsi="Arial" w:cs="Arial"/>
          <w:lang w:val="es-ES"/>
        </w:rPr>
        <w:t>Andalzúa</w:t>
      </w:r>
      <w:proofErr w:type="spellEnd"/>
      <w:r w:rsidRPr="00176C8F">
        <w:rPr>
          <w:rFonts w:ascii="Arial" w:hAnsi="Arial" w:cs="Arial"/>
          <w:lang w:val="es-ES"/>
        </w:rPr>
        <w:t xml:space="preserve"> – Morales, Antonio. La evaluación sensorial de los alimentos en la teoría y la práctica. Editorial </w:t>
      </w:r>
      <w:proofErr w:type="spellStart"/>
      <w:r w:rsidRPr="00176C8F">
        <w:rPr>
          <w:rFonts w:ascii="Arial" w:hAnsi="Arial" w:cs="Arial"/>
          <w:lang w:val="es-ES"/>
        </w:rPr>
        <w:t>Acribia</w:t>
      </w:r>
      <w:proofErr w:type="spellEnd"/>
      <w:r w:rsidRPr="00176C8F">
        <w:rPr>
          <w:rFonts w:ascii="Arial" w:hAnsi="Arial" w:cs="Arial"/>
          <w:lang w:val="es-ES"/>
        </w:rPr>
        <w:t xml:space="preserve"> S.A. Zaragoza – España. 1994. Páginas: 70 – 74, 85 – 87.</w:t>
      </w:r>
    </w:p>
    <w:p w:rsidR="00C63B06" w:rsidRPr="00176C8F" w:rsidRDefault="00C63B06" w:rsidP="00C63B06">
      <w:pPr>
        <w:pStyle w:val="Textoindependiente"/>
        <w:jc w:val="both"/>
        <w:rPr>
          <w:rFonts w:ascii="Arial" w:hAnsi="Arial" w:cs="Arial"/>
          <w:lang w:val="es-ES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proofErr w:type="spellStart"/>
      <w:r w:rsidRPr="00176C8F">
        <w:rPr>
          <w:rFonts w:ascii="Arial" w:hAnsi="Arial" w:cs="Arial"/>
          <w:lang w:val="es-ES"/>
        </w:rPr>
        <w:t>Casp</w:t>
      </w:r>
      <w:proofErr w:type="spellEnd"/>
      <w:r w:rsidRPr="00176C8F">
        <w:rPr>
          <w:rFonts w:ascii="Arial" w:hAnsi="Arial" w:cs="Arial"/>
          <w:lang w:val="es-ES"/>
        </w:rPr>
        <w:t xml:space="preserve">, Ana. José Abril. Procesos de Conservación de Alimentos. Ediciones </w:t>
      </w:r>
      <w:proofErr w:type="spellStart"/>
      <w:r w:rsidRPr="00176C8F">
        <w:rPr>
          <w:rFonts w:ascii="Arial" w:hAnsi="Arial" w:cs="Arial"/>
          <w:lang w:val="es-ES"/>
        </w:rPr>
        <w:t>Mundi</w:t>
      </w:r>
      <w:proofErr w:type="spellEnd"/>
      <w:r w:rsidRPr="00176C8F">
        <w:rPr>
          <w:rFonts w:ascii="Arial" w:hAnsi="Arial" w:cs="Arial"/>
          <w:lang w:val="es-ES"/>
        </w:rPr>
        <w:t>-Prensa. Segunda Edición Corregida. Madrid, España. 2003. Páginas: 325 – 334, 340 – 347</w:t>
      </w:r>
    </w:p>
    <w:p w:rsidR="00C63B06" w:rsidRPr="00176C8F" w:rsidRDefault="00C63B06" w:rsidP="00C63B06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C63B06" w:rsidRPr="00176C8F" w:rsidRDefault="00C63B06" w:rsidP="00C63B06">
      <w:pPr>
        <w:pStyle w:val="Textoindependiente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 w:rsidRPr="00176C8F">
        <w:rPr>
          <w:rFonts w:ascii="Arial" w:hAnsi="Arial" w:cs="Arial"/>
          <w:color w:val="000000" w:themeColor="text1"/>
        </w:rPr>
        <w:t>Servicio de Información Agropecuaria del Ministerio de Agricultura y Ganadería del Ecuador (SICA).</w:t>
      </w:r>
    </w:p>
    <w:p w:rsidR="00C63B06" w:rsidRPr="003408C2" w:rsidRDefault="00C63B06" w:rsidP="00C63B06">
      <w:pPr>
        <w:spacing w:line="240" w:lineRule="auto"/>
        <w:jc w:val="center"/>
      </w:pPr>
    </w:p>
    <w:p w:rsidR="00991B72" w:rsidRDefault="00C63B06"/>
    <w:sectPr w:rsidR="00991B72" w:rsidSect="001A6B1A">
      <w:headerReference w:type="default" r:id="rId18"/>
      <w:pgSz w:w="12240" w:h="15840"/>
      <w:pgMar w:top="2268" w:right="136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B06" w:rsidRDefault="00C63B06" w:rsidP="00C63B06">
      <w:pPr>
        <w:spacing w:after="0" w:line="240" w:lineRule="auto"/>
      </w:pPr>
      <w:r>
        <w:separator/>
      </w:r>
    </w:p>
  </w:endnote>
  <w:endnote w:type="continuationSeparator" w:id="1">
    <w:p w:rsidR="00C63B06" w:rsidRDefault="00C63B06" w:rsidP="00C6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B06" w:rsidRDefault="00C63B06" w:rsidP="00C63B06">
      <w:pPr>
        <w:spacing w:after="0" w:line="240" w:lineRule="auto"/>
      </w:pPr>
      <w:r>
        <w:separator/>
      </w:r>
    </w:p>
  </w:footnote>
  <w:footnote w:type="continuationSeparator" w:id="1">
    <w:p w:rsidR="00C63B06" w:rsidRDefault="00C63B06" w:rsidP="00C63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386" w:rsidRDefault="00C63B06" w:rsidP="00C63B06">
    <w:pPr>
      <w:pStyle w:val="Encabezado"/>
      <w:jc w:val="center"/>
    </w:pPr>
  </w:p>
  <w:p w:rsidR="00A25386" w:rsidRDefault="00C63B0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558FC"/>
    <w:multiLevelType w:val="hybridMultilevel"/>
    <w:tmpl w:val="2258D4FA"/>
    <w:lvl w:ilvl="0" w:tplc="CD6C3B5E">
      <w:start w:val="1"/>
      <w:numFmt w:val="decimal"/>
      <w:lvlText w:val="[%1]"/>
      <w:lvlJc w:val="left"/>
      <w:pPr>
        <w:ind w:left="720" w:hanging="360"/>
      </w:pPr>
      <w:rPr>
        <w:rFonts w:hint="eastAsia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53C2B"/>
    <w:multiLevelType w:val="hybridMultilevel"/>
    <w:tmpl w:val="9A6A4558"/>
    <w:lvl w:ilvl="0" w:tplc="42CCF11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3915" w:hanging="360"/>
      </w:pPr>
    </w:lvl>
    <w:lvl w:ilvl="2" w:tplc="300A001B" w:tentative="1">
      <w:start w:val="1"/>
      <w:numFmt w:val="lowerRoman"/>
      <w:lvlText w:val="%3."/>
      <w:lvlJc w:val="right"/>
      <w:pPr>
        <w:ind w:left="4635" w:hanging="180"/>
      </w:pPr>
    </w:lvl>
    <w:lvl w:ilvl="3" w:tplc="300A000F" w:tentative="1">
      <w:start w:val="1"/>
      <w:numFmt w:val="decimal"/>
      <w:lvlText w:val="%4."/>
      <w:lvlJc w:val="left"/>
      <w:pPr>
        <w:ind w:left="5355" w:hanging="360"/>
      </w:pPr>
    </w:lvl>
    <w:lvl w:ilvl="4" w:tplc="300A0019" w:tentative="1">
      <w:start w:val="1"/>
      <w:numFmt w:val="lowerLetter"/>
      <w:lvlText w:val="%5."/>
      <w:lvlJc w:val="left"/>
      <w:pPr>
        <w:ind w:left="6075" w:hanging="360"/>
      </w:pPr>
    </w:lvl>
    <w:lvl w:ilvl="5" w:tplc="300A001B" w:tentative="1">
      <w:start w:val="1"/>
      <w:numFmt w:val="lowerRoman"/>
      <w:lvlText w:val="%6."/>
      <w:lvlJc w:val="right"/>
      <w:pPr>
        <w:ind w:left="6795" w:hanging="180"/>
      </w:pPr>
    </w:lvl>
    <w:lvl w:ilvl="6" w:tplc="300A000F" w:tentative="1">
      <w:start w:val="1"/>
      <w:numFmt w:val="decimal"/>
      <w:lvlText w:val="%7."/>
      <w:lvlJc w:val="left"/>
      <w:pPr>
        <w:ind w:left="7515" w:hanging="360"/>
      </w:pPr>
    </w:lvl>
    <w:lvl w:ilvl="7" w:tplc="300A0019" w:tentative="1">
      <w:start w:val="1"/>
      <w:numFmt w:val="lowerLetter"/>
      <w:lvlText w:val="%8."/>
      <w:lvlJc w:val="left"/>
      <w:pPr>
        <w:ind w:left="8235" w:hanging="360"/>
      </w:pPr>
    </w:lvl>
    <w:lvl w:ilvl="8" w:tplc="300A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3B06"/>
    <w:rsid w:val="002932D8"/>
    <w:rsid w:val="002F5A3F"/>
    <w:rsid w:val="0097043D"/>
    <w:rsid w:val="00C63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B06"/>
    <w:rPr>
      <w:rFonts w:eastAsiaTheme="minorEastAsia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63B06"/>
    <w:pPr>
      <w:spacing w:after="0" w:line="240" w:lineRule="auto"/>
    </w:pPr>
    <w:rPr>
      <w:rFonts w:ascii="Calibri" w:eastAsia="Calibri" w:hAnsi="Calibri" w:cs="Times New Roman"/>
      <w:lang w:val="es-ES" w:eastAsia="es-EC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3B06"/>
    <w:rPr>
      <w:rFonts w:ascii="Calibri" w:eastAsia="Calibri" w:hAnsi="Calibri" w:cs="Times New Roman"/>
      <w:lang w:val="es-ES" w:eastAsia="es-EC"/>
    </w:rPr>
  </w:style>
  <w:style w:type="paragraph" w:styleId="Prrafodelista">
    <w:name w:val="List Paragraph"/>
    <w:basedOn w:val="Normal"/>
    <w:uiPriority w:val="34"/>
    <w:qFormat/>
    <w:rsid w:val="00C63B06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63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63B06"/>
    <w:rPr>
      <w:rFonts w:ascii="Times New Roman" w:eastAsia="Times New Roman" w:hAnsi="Times New Roman" w:cs="Times New Roman"/>
      <w:color w:val="000000"/>
      <w:sz w:val="24"/>
      <w:szCs w:val="24"/>
      <w:lang w:eastAsia="es-EC"/>
    </w:rPr>
  </w:style>
  <w:style w:type="paragraph" w:customStyle="1" w:styleId="Default">
    <w:name w:val="Default"/>
    <w:rsid w:val="00C63B0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EC"/>
    </w:rPr>
  </w:style>
  <w:style w:type="paragraph" w:styleId="Encabezado">
    <w:name w:val="header"/>
    <w:basedOn w:val="Normal"/>
    <w:link w:val="EncabezadoCar"/>
    <w:uiPriority w:val="99"/>
    <w:unhideWhenUsed/>
    <w:rsid w:val="00C63B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B06"/>
    <w:rPr>
      <w:rFonts w:eastAsiaTheme="minorEastAsia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3B06"/>
    <w:rPr>
      <w:rFonts w:ascii="Tahoma" w:eastAsiaTheme="minorEastAsia" w:hAnsi="Tahoma" w:cs="Tahoma"/>
      <w:sz w:val="16"/>
      <w:szCs w:val="16"/>
      <w:lang w:eastAsia="es-EC"/>
    </w:rPr>
  </w:style>
  <w:style w:type="paragraph" w:styleId="Piedepgina">
    <w:name w:val="footer"/>
    <w:basedOn w:val="Normal"/>
    <w:link w:val="PiedepginaCar"/>
    <w:uiPriority w:val="99"/>
    <w:semiHidden/>
    <w:unhideWhenUsed/>
    <w:rsid w:val="00C63B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3B06"/>
    <w:rPr>
      <w:rFonts w:eastAsiaTheme="minorEastAsia"/>
      <w:lang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961</Words>
  <Characters>5290</Characters>
  <Application>Microsoft Office Word</Application>
  <DocSecurity>0</DocSecurity>
  <Lines>44</Lines>
  <Paragraphs>12</Paragraphs>
  <ScaleCrop>false</ScaleCrop>
  <Company/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todhiba</dc:creator>
  <cp:lastModifiedBy>todhiba</cp:lastModifiedBy>
  <cp:revision>1</cp:revision>
  <dcterms:created xsi:type="dcterms:W3CDTF">2011-10-11T16:41:00Z</dcterms:created>
  <dcterms:modified xsi:type="dcterms:W3CDTF">2011-10-11T16:56:00Z</dcterms:modified>
</cp:coreProperties>
</file>