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8D" w:rsidRPr="00B2724A" w:rsidRDefault="0057698D" w:rsidP="00495788">
      <w:pPr>
        <w:rPr>
          <w:rFonts w:ascii="Century Gothic" w:hAnsi="Century Gothic" w:cs="Century Gothic"/>
          <w:b/>
          <w:bCs/>
          <w:sz w:val="22"/>
          <w:szCs w:val="22"/>
        </w:rPr>
      </w:pPr>
      <w:r w:rsidRPr="003B3FF2">
        <w:rPr>
          <w:rFonts w:ascii="Century Gothic" w:hAnsi="Century Gothic" w:cs="Century Gothic"/>
          <w:b/>
          <w:bCs/>
          <w:sz w:val="22"/>
          <w:szCs w:val="22"/>
        </w:rPr>
        <w:t>RESOLUCIONES TOMADAS POR LA COMISIÓN ACADÉMICA EN SESIÓN</w:t>
      </w:r>
      <w:r w:rsidRPr="00B2724A">
        <w:rPr>
          <w:rFonts w:ascii="Century Gothic" w:hAnsi="Century Gothic" w:cs="Century Gothic"/>
          <w:b/>
          <w:bCs/>
          <w:sz w:val="22"/>
          <w:szCs w:val="22"/>
        </w:rPr>
        <w:t xml:space="preserve"> REALIZADA  EL </w:t>
      </w:r>
      <w:r w:rsidR="00C64807">
        <w:rPr>
          <w:rFonts w:ascii="Century Gothic" w:hAnsi="Century Gothic" w:cs="Century Gothic"/>
          <w:b/>
          <w:bCs/>
          <w:sz w:val="22"/>
          <w:szCs w:val="22"/>
        </w:rPr>
        <w:t>1 DE NOVIEMBRE</w:t>
      </w:r>
      <w:r w:rsidRPr="00B2724A">
        <w:rPr>
          <w:rFonts w:ascii="Century Gothic" w:hAnsi="Century Gothic" w:cs="Century Gothic"/>
          <w:b/>
          <w:bCs/>
          <w:sz w:val="22"/>
          <w:szCs w:val="22"/>
        </w:rPr>
        <w:t xml:space="preserve"> DE  2012</w:t>
      </w:r>
    </w:p>
    <w:p w:rsidR="0057698D" w:rsidRPr="00B2724A" w:rsidRDefault="0057698D" w:rsidP="00495788">
      <w:pPr>
        <w:rPr>
          <w:rFonts w:ascii="Century Gothic" w:hAnsi="Century Gothic" w:cs="Century Gothic"/>
          <w:b/>
          <w:bCs/>
          <w:sz w:val="22"/>
          <w:szCs w:val="22"/>
        </w:rPr>
      </w:pPr>
    </w:p>
    <w:p w:rsidR="0057698D" w:rsidRPr="00B2724A" w:rsidRDefault="0057698D" w:rsidP="00495788">
      <w:pPr>
        <w:rPr>
          <w:rFonts w:ascii="Century Gothic" w:hAnsi="Century Gothic" w:cs="Century Gothic"/>
          <w:b/>
          <w:bCs/>
          <w:sz w:val="22"/>
          <w:szCs w:val="22"/>
        </w:rPr>
      </w:pPr>
    </w:p>
    <w:p w:rsidR="0057698D" w:rsidRPr="00B2724A" w:rsidRDefault="0057698D" w:rsidP="00FB6B8C">
      <w:pPr>
        <w:ind w:left="2694" w:hanging="1985"/>
        <w:jc w:val="both"/>
        <w:rPr>
          <w:rFonts w:ascii="Century Gothic" w:hAnsi="Century Gothic" w:cs="Century Gothic"/>
          <w:bCs/>
          <w:sz w:val="22"/>
          <w:szCs w:val="22"/>
        </w:rPr>
      </w:pPr>
      <w:r w:rsidRPr="00B2724A">
        <w:rPr>
          <w:rFonts w:ascii="Century Gothic" w:hAnsi="Century Gothic" w:cs="Century Gothic"/>
          <w:b/>
          <w:bCs/>
          <w:sz w:val="22"/>
          <w:szCs w:val="22"/>
        </w:rPr>
        <w:t>CAc-2012-</w:t>
      </w:r>
      <w:r w:rsidR="00C64807">
        <w:rPr>
          <w:rFonts w:ascii="Century Gothic" w:hAnsi="Century Gothic" w:cs="Century Gothic"/>
          <w:b/>
          <w:bCs/>
          <w:sz w:val="22"/>
          <w:szCs w:val="22"/>
        </w:rPr>
        <w:t>215</w:t>
      </w:r>
      <w:r w:rsidRPr="00B2724A">
        <w:rPr>
          <w:rFonts w:ascii="Century Gothic" w:hAnsi="Century Gothic" w:cs="Century Gothic"/>
          <w:b/>
          <w:bCs/>
          <w:sz w:val="22"/>
          <w:szCs w:val="22"/>
        </w:rPr>
        <w:t xml:space="preserve">.- </w:t>
      </w:r>
      <w:r w:rsidRPr="00B2724A">
        <w:rPr>
          <w:rFonts w:ascii="Century Gothic" w:hAnsi="Century Gothic" w:cs="Century Gothic"/>
          <w:b/>
          <w:bCs/>
          <w:sz w:val="22"/>
          <w:szCs w:val="22"/>
        </w:rPr>
        <w:tab/>
      </w:r>
      <w:r w:rsidR="005941CC" w:rsidRPr="00B2724A">
        <w:rPr>
          <w:rFonts w:ascii="Century Gothic" w:hAnsi="Century Gothic" w:cs="Century Gothic"/>
          <w:bCs/>
          <w:sz w:val="22"/>
          <w:szCs w:val="22"/>
        </w:rPr>
        <w:t xml:space="preserve">Aprobar el acta digital de la sesión celebrada por la Comisión Académica el </w:t>
      </w:r>
      <w:r w:rsidR="00C64807">
        <w:rPr>
          <w:rFonts w:ascii="Century Gothic" w:hAnsi="Century Gothic" w:cs="Century Gothic"/>
          <w:bCs/>
          <w:sz w:val="22"/>
          <w:szCs w:val="22"/>
        </w:rPr>
        <w:t>29</w:t>
      </w:r>
      <w:r w:rsidR="00A57CBC">
        <w:rPr>
          <w:rFonts w:ascii="Century Gothic" w:hAnsi="Century Gothic" w:cs="Century Gothic"/>
          <w:bCs/>
          <w:sz w:val="22"/>
          <w:szCs w:val="22"/>
        </w:rPr>
        <w:t xml:space="preserve"> de octu</w:t>
      </w:r>
      <w:r w:rsidR="00702575">
        <w:rPr>
          <w:rFonts w:ascii="Century Gothic" w:hAnsi="Century Gothic" w:cs="Century Gothic"/>
          <w:bCs/>
          <w:sz w:val="22"/>
          <w:szCs w:val="22"/>
        </w:rPr>
        <w:t>bre</w:t>
      </w:r>
      <w:r w:rsidR="005941CC" w:rsidRPr="00B2724A">
        <w:rPr>
          <w:rFonts w:ascii="Century Gothic" w:hAnsi="Century Gothic" w:cs="Century Gothic"/>
          <w:bCs/>
          <w:sz w:val="22"/>
          <w:szCs w:val="22"/>
        </w:rPr>
        <w:t xml:space="preserve"> de 2012.</w:t>
      </w:r>
    </w:p>
    <w:p w:rsidR="005941CC" w:rsidRPr="00B2724A" w:rsidRDefault="005941CC" w:rsidP="003B3FF2">
      <w:pPr>
        <w:ind w:left="2694" w:hanging="1985"/>
        <w:jc w:val="both"/>
        <w:rPr>
          <w:rFonts w:ascii="Century Gothic" w:hAnsi="Century Gothic" w:cs="Century Gothic"/>
          <w:b/>
          <w:bCs/>
          <w:sz w:val="22"/>
          <w:szCs w:val="22"/>
        </w:rPr>
      </w:pPr>
    </w:p>
    <w:p w:rsidR="00D77409" w:rsidRPr="00C64807" w:rsidRDefault="005941CC" w:rsidP="00C64807">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w:t>
      </w:r>
      <w:r w:rsidR="00C64807">
        <w:rPr>
          <w:rFonts w:ascii="Century Gothic" w:hAnsi="Century Gothic" w:cs="Century Gothic"/>
          <w:b/>
          <w:bCs/>
          <w:sz w:val="22"/>
          <w:szCs w:val="22"/>
        </w:rPr>
        <w:t>216</w:t>
      </w:r>
      <w:r w:rsidR="00C47B4A">
        <w:rPr>
          <w:rFonts w:ascii="Century Gothic" w:hAnsi="Century Gothic" w:cs="Century Gothic"/>
          <w:b/>
          <w:bCs/>
          <w:sz w:val="22"/>
          <w:szCs w:val="22"/>
        </w:rPr>
        <w:t>.</w:t>
      </w:r>
      <w:r w:rsidR="00C64807" w:rsidRPr="003B3FF2">
        <w:rPr>
          <w:rFonts w:ascii="Century Gothic" w:hAnsi="Century Gothic" w:cs="Century Gothic"/>
          <w:b/>
          <w:bCs/>
          <w:sz w:val="22"/>
          <w:szCs w:val="22"/>
        </w:rPr>
        <w:t xml:space="preserve"> </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00C64807" w:rsidRPr="00C64807">
        <w:rPr>
          <w:rFonts w:ascii="Century Gothic" w:hAnsi="Century Gothic" w:cs="Century Gothic"/>
          <w:bCs/>
          <w:sz w:val="22"/>
          <w:szCs w:val="22"/>
        </w:rPr>
        <w:t xml:space="preserve">Se analiza </w:t>
      </w:r>
      <w:r w:rsidR="00C47B4A">
        <w:rPr>
          <w:rFonts w:ascii="Century Gothic" w:hAnsi="Century Gothic" w:cs="Century Gothic"/>
          <w:bCs/>
          <w:sz w:val="22"/>
          <w:szCs w:val="22"/>
        </w:rPr>
        <w:t>cada</w:t>
      </w:r>
      <w:r w:rsidR="00AD73C7">
        <w:rPr>
          <w:rFonts w:ascii="Century Gothic" w:hAnsi="Century Gothic" w:cs="Century Gothic"/>
          <w:bCs/>
          <w:sz w:val="22"/>
          <w:szCs w:val="22"/>
        </w:rPr>
        <w:t xml:space="preserve"> </w:t>
      </w:r>
      <w:r w:rsidR="00C64807" w:rsidRPr="00C64807">
        <w:rPr>
          <w:rFonts w:ascii="Century Gothic" w:hAnsi="Century Gothic" w:cs="Century Gothic"/>
          <w:bCs/>
          <w:sz w:val="22"/>
          <w:szCs w:val="22"/>
        </w:rPr>
        <w:t>uno a uno</w:t>
      </w:r>
      <w:r w:rsidR="00C64807">
        <w:rPr>
          <w:rFonts w:ascii="Century Gothic" w:hAnsi="Century Gothic" w:cs="Century Gothic"/>
          <w:bCs/>
          <w:sz w:val="22"/>
          <w:szCs w:val="22"/>
        </w:rPr>
        <w:t xml:space="preserve"> los indicadores del Modelo Nacional de Evaluación Institucional, respecto al cual se toman decisiones para su inmed</w:t>
      </w:r>
      <w:r w:rsidR="00AD73C7">
        <w:rPr>
          <w:rFonts w:ascii="Century Gothic" w:hAnsi="Century Gothic" w:cs="Century Gothic"/>
          <w:bCs/>
          <w:sz w:val="22"/>
          <w:szCs w:val="22"/>
        </w:rPr>
        <w:t>iata implementación en cada una de las unidades académicas y administrativas, tomando en cuenta las observaciones efectuadas por los asistentes  a esta sesión de Comisión Académica Ampliada y con las siguientes disposiciones</w:t>
      </w:r>
    </w:p>
    <w:p w:rsidR="00D77409" w:rsidRPr="00C64807" w:rsidRDefault="00D77409" w:rsidP="00D77409">
      <w:pPr>
        <w:ind w:left="2694" w:hanging="1985"/>
        <w:jc w:val="left"/>
        <w:rPr>
          <w:rFonts w:ascii="Century Gothic" w:hAnsi="Century Gothic"/>
          <w:bCs/>
          <w:sz w:val="22"/>
          <w:szCs w:val="22"/>
        </w:rPr>
      </w:pPr>
    </w:p>
    <w:p w:rsidR="002F3042" w:rsidRDefault="002F3042" w:rsidP="004A5DAB">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Que las Unidades Académicas y la Unidad de Administración del Talento Humano verifiquen que los profesores titulares y contratados tengan registrado su título de posgrado en la SENESCYT.</w:t>
      </w:r>
    </w:p>
    <w:p w:rsidR="002F3042" w:rsidRDefault="002F3042" w:rsidP="002F3042">
      <w:pPr>
        <w:pStyle w:val="Prrafodelista"/>
        <w:tabs>
          <w:tab w:val="left" w:pos="2760"/>
        </w:tabs>
        <w:ind w:left="3064"/>
        <w:jc w:val="both"/>
        <w:rPr>
          <w:rFonts w:ascii="Century Gothic" w:hAnsi="Century Gothic" w:cs="Century Gothic"/>
          <w:bCs/>
          <w:sz w:val="22"/>
          <w:szCs w:val="22"/>
        </w:rPr>
      </w:pPr>
    </w:p>
    <w:p w:rsidR="002F3042" w:rsidRDefault="002F3042" w:rsidP="002F3042">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Que las Unidades Académicas</w:t>
      </w:r>
      <w:r w:rsidR="00936732">
        <w:rPr>
          <w:rFonts w:ascii="Century Gothic" w:hAnsi="Century Gothic" w:cs="Century Gothic"/>
          <w:bCs/>
          <w:sz w:val="22"/>
          <w:szCs w:val="22"/>
        </w:rPr>
        <w:t xml:space="preserve"> envíen</w:t>
      </w:r>
      <w:r w:rsidR="0004438D">
        <w:rPr>
          <w:rFonts w:ascii="Century Gothic" w:hAnsi="Century Gothic" w:cs="Century Gothic"/>
          <w:bCs/>
          <w:sz w:val="22"/>
          <w:szCs w:val="22"/>
        </w:rPr>
        <w:t xml:space="preserve"> </w:t>
      </w:r>
      <w:r w:rsidR="0004438D" w:rsidRPr="00936732">
        <w:rPr>
          <w:rFonts w:ascii="Century Gothic" w:hAnsi="Century Gothic" w:cs="Century Gothic"/>
          <w:bCs/>
          <w:sz w:val="22"/>
          <w:szCs w:val="22"/>
        </w:rPr>
        <w:t>a la Unidad de Administración del Talento Humano</w:t>
      </w:r>
      <w:r w:rsidR="00936732">
        <w:rPr>
          <w:rFonts w:ascii="Century Gothic" w:hAnsi="Century Gothic" w:cs="Century Gothic"/>
          <w:bCs/>
          <w:sz w:val="22"/>
          <w:szCs w:val="22"/>
        </w:rPr>
        <w:t xml:space="preserve"> la documentación original y completa y demás documentos probatorios de los</w:t>
      </w:r>
      <w:r w:rsidR="0004438D">
        <w:rPr>
          <w:rFonts w:ascii="Century Gothic" w:hAnsi="Century Gothic" w:cs="Century Gothic"/>
          <w:bCs/>
          <w:sz w:val="22"/>
          <w:szCs w:val="22"/>
        </w:rPr>
        <w:t xml:space="preserve"> Concursos de Méritos efectuados</w:t>
      </w:r>
      <w:r w:rsidR="00F027E6" w:rsidRPr="00936732">
        <w:rPr>
          <w:rFonts w:ascii="Century Gothic" w:hAnsi="Century Gothic" w:cs="Century Gothic"/>
          <w:bCs/>
          <w:sz w:val="22"/>
          <w:szCs w:val="22"/>
        </w:rPr>
        <w:t>, principalmente de los realizados a partir de octubre de 2010</w:t>
      </w:r>
      <w:r w:rsidRPr="00936732">
        <w:rPr>
          <w:rFonts w:ascii="Century Gothic" w:hAnsi="Century Gothic" w:cs="Century Gothic"/>
          <w:bCs/>
          <w:sz w:val="22"/>
          <w:szCs w:val="22"/>
        </w:rPr>
        <w:t>.</w:t>
      </w:r>
    </w:p>
    <w:p w:rsidR="00936732" w:rsidRPr="00936732" w:rsidRDefault="00936732" w:rsidP="00936732">
      <w:pPr>
        <w:pStyle w:val="Prrafodelista"/>
        <w:rPr>
          <w:rFonts w:ascii="Century Gothic" w:hAnsi="Century Gothic" w:cs="Century Gothic"/>
          <w:bCs/>
          <w:sz w:val="22"/>
          <w:szCs w:val="22"/>
        </w:rPr>
      </w:pPr>
    </w:p>
    <w:p w:rsidR="00936732" w:rsidRPr="007854BD" w:rsidRDefault="00936732" w:rsidP="002F3042">
      <w:pPr>
        <w:pStyle w:val="Prrafodelista"/>
        <w:numPr>
          <w:ilvl w:val="0"/>
          <w:numId w:val="18"/>
        </w:numPr>
        <w:tabs>
          <w:tab w:val="left" w:pos="2760"/>
        </w:tabs>
        <w:jc w:val="both"/>
        <w:rPr>
          <w:rFonts w:ascii="Century Gothic" w:hAnsi="Century Gothic" w:cs="Century Gothic"/>
          <w:bCs/>
          <w:sz w:val="22"/>
          <w:szCs w:val="22"/>
        </w:rPr>
      </w:pPr>
      <w:r w:rsidRPr="007854BD">
        <w:rPr>
          <w:rFonts w:ascii="Century Gothic" w:hAnsi="Century Gothic" w:cs="Century Gothic"/>
          <w:bCs/>
          <w:sz w:val="22"/>
          <w:szCs w:val="22"/>
        </w:rPr>
        <w:t>Que la ESPOL realice un pronunciamiento con respect</w:t>
      </w:r>
      <w:r w:rsidR="00627062" w:rsidRPr="007854BD">
        <w:rPr>
          <w:rFonts w:ascii="Century Gothic" w:hAnsi="Century Gothic" w:cs="Century Gothic"/>
          <w:bCs/>
          <w:sz w:val="22"/>
          <w:szCs w:val="22"/>
        </w:rPr>
        <w:t>o</w:t>
      </w:r>
      <w:r w:rsidRPr="007854BD">
        <w:rPr>
          <w:rFonts w:ascii="Century Gothic" w:hAnsi="Century Gothic" w:cs="Century Gothic"/>
          <w:bCs/>
          <w:sz w:val="22"/>
          <w:szCs w:val="22"/>
        </w:rPr>
        <w:t xml:space="preserve"> a los profesores que </w:t>
      </w:r>
      <w:r w:rsidR="007854BD" w:rsidRPr="007854BD">
        <w:rPr>
          <w:rFonts w:ascii="Century Gothic" w:hAnsi="Century Gothic" w:cs="Century Gothic"/>
          <w:bCs/>
          <w:sz w:val="22"/>
          <w:szCs w:val="22"/>
        </w:rPr>
        <w:t xml:space="preserve">hayan hecho o </w:t>
      </w:r>
      <w:r w:rsidRPr="007854BD">
        <w:rPr>
          <w:rFonts w:ascii="Century Gothic" w:hAnsi="Century Gothic" w:cs="Century Gothic"/>
          <w:bCs/>
          <w:sz w:val="22"/>
          <w:szCs w:val="22"/>
        </w:rPr>
        <w:t>estén haciendo su doctorado en universidades que no estén contemplad</w:t>
      </w:r>
      <w:r w:rsidR="007854BD" w:rsidRPr="007854BD">
        <w:rPr>
          <w:rFonts w:ascii="Century Gothic" w:hAnsi="Century Gothic" w:cs="Century Gothic"/>
          <w:bCs/>
          <w:sz w:val="22"/>
          <w:szCs w:val="22"/>
        </w:rPr>
        <w:t>as en el listado de la SENESCYT, pudiendo ser uno de los criterios para incluir en esa lista que la Universidad este acreditada en el país de origen.</w:t>
      </w:r>
    </w:p>
    <w:p w:rsidR="002F3042" w:rsidRPr="002F3042" w:rsidRDefault="002F3042" w:rsidP="002F3042">
      <w:pPr>
        <w:tabs>
          <w:tab w:val="left" w:pos="2760"/>
        </w:tabs>
        <w:ind w:left="0"/>
        <w:jc w:val="both"/>
        <w:rPr>
          <w:rFonts w:ascii="Century Gothic" w:hAnsi="Century Gothic" w:cs="Century Gothic"/>
          <w:bCs/>
          <w:sz w:val="22"/>
          <w:szCs w:val="22"/>
        </w:rPr>
      </w:pPr>
    </w:p>
    <w:p w:rsidR="00FC3783" w:rsidRDefault="002F3042" w:rsidP="004A5DAB">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 xml:space="preserve">Que la Secretaría de </w:t>
      </w:r>
      <w:r w:rsidR="007854BD">
        <w:rPr>
          <w:rFonts w:ascii="Century Gothic" w:hAnsi="Century Gothic" w:cs="Century Gothic"/>
          <w:bCs/>
          <w:sz w:val="22"/>
          <w:szCs w:val="22"/>
        </w:rPr>
        <w:t xml:space="preserve">la </w:t>
      </w:r>
      <w:r>
        <w:rPr>
          <w:rFonts w:ascii="Century Gothic" w:hAnsi="Century Gothic" w:cs="Century Gothic"/>
          <w:bCs/>
          <w:sz w:val="22"/>
          <w:szCs w:val="22"/>
        </w:rPr>
        <w:t xml:space="preserve">Comisión Académica </w:t>
      </w:r>
      <w:r w:rsidR="00FC3783">
        <w:rPr>
          <w:rFonts w:ascii="Century Gothic" w:hAnsi="Century Gothic" w:cs="Century Gothic"/>
          <w:bCs/>
          <w:sz w:val="22"/>
          <w:szCs w:val="22"/>
        </w:rPr>
        <w:t xml:space="preserve">prepare la información correspondiente en lo </w:t>
      </w:r>
      <w:r w:rsidR="00936732">
        <w:rPr>
          <w:rFonts w:ascii="Century Gothic" w:hAnsi="Century Gothic" w:cs="Century Gothic"/>
          <w:bCs/>
          <w:sz w:val="22"/>
          <w:szCs w:val="22"/>
        </w:rPr>
        <w:t>referente</w:t>
      </w:r>
      <w:r w:rsidR="00FC3783">
        <w:rPr>
          <w:rFonts w:ascii="Century Gothic" w:hAnsi="Century Gothic" w:cs="Century Gothic"/>
          <w:bCs/>
          <w:sz w:val="22"/>
          <w:szCs w:val="22"/>
        </w:rPr>
        <w:t xml:space="preserve"> a </w:t>
      </w:r>
      <w:r w:rsidR="007854BD">
        <w:rPr>
          <w:rFonts w:ascii="Century Gothic" w:hAnsi="Century Gothic" w:cs="Century Gothic"/>
          <w:bCs/>
          <w:sz w:val="22"/>
          <w:szCs w:val="22"/>
        </w:rPr>
        <w:t>la aplicación de la Evaluación D</w:t>
      </w:r>
      <w:r w:rsidR="00FC3783">
        <w:rPr>
          <w:rFonts w:ascii="Century Gothic" w:hAnsi="Century Gothic" w:cs="Century Gothic"/>
          <w:bCs/>
          <w:sz w:val="22"/>
          <w:szCs w:val="22"/>
        </w:rPr>
        <w:t>ocente, teniendo en cuenta que no se aplica la evaluación por pares.</w:t>
      </w:r>
    </w:p>
    <w:p w:rsidR="00FC3783" w:rsidRPr="00FC3783" w:rsidRDefault="00FC3783" w:rsidP="00FC3783">
      <w:pPr>
        <w:pStyle w:val="Prrafodelista"/>
        <w:rPr>
          <w:rFonts w:ascii="Century Gothic" w:hAnsi="Century Gothic" w:cs="Century Gothic"/>
          <w:bCs/>
          <w:sz w:val="22"/>
          <w:szCs w:val="22"/>
        </w:rPr>
      </w:pPr>
    </w:p>
    <w:p w:rsidR="00FC3783" w:rsidRDefault="00FC3783" w:rsidP="004A5DAB">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Que la Secretaría Técnica-Académica y el Centro de Servicios Informáticos preparen la información correspondiente al numeral 16 de los indicadores que se relaciona a la eficiencia terminal de pregrado.</w:t>
      </w:r>
    </w:p>
    <w:p w:rsidR="002E779B" w:rsidRPr="002E779B" w:rsidRDefault="002E779B" w:rsidP="002E779B">
      <w:pPr>
        <w:pStyle w:val="Prrafodelista"/>
        <w:rPr>
          <w:rFonts w:ascii="Century Gothic" w:hAnsi="Century Gothic" w:cs="Century Gothic"/>
          <w:bCs/>
          <w:sz w:val="22"/>
          <w:szCs w:val="22"/>
        </w:rPr>
      </w:pPr>
    </w:p>
    <w:p w:rsidR="002E779B" w:rsidRDefault="00F37561" w:rsidP="004A5DAB">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Solicitar que</w:t>
      </w:r>
      <w:r w:rsidR="007854BD">
        <w:rPr>
          <w:rFonts w:ascii="Century Gothic" w:hAnsi="Century Gothic" w:cs="Century Gothic"/>
          <w:bCs/>
          <w:sz w:val="22"/>
          <w:szCs w:val="22"/>
        </w:rPr>
        <w:t>, como proyecto piloto,</w:t>
      </w:r>
      <w:r>
        <w:rPr>
          <w:rFonts w:ascii="Century Gothic" w:hAnsi="Century Gothic" w:cs="Century Gothic"/>
          <w:bCs/>
          <w:sz w:val="22"/>
          <w:szCs w:val="22"/>
        </w:rPr>
        <w:t xml:space="preserve"> las carreras de Ingeniería Electricidad, Ingeniería Mecánica </w:t>
      </w:r>
      <w:proofErr w:type="gramStart"/>
      <w:r w:rsidR="00444891">
        <w:rPr>
          <w:rFonts w:ascii="Century Gothic" w:hAnsi="Century Gothic" w:cs="Century Gothic"/>
          <w:bCs/>
          <w:sz w:val="22"/>
          <w:szCs w:val="22"/>
        </w:rPr>
        <w:t>y</w:t>
      </w:r>
      <w:proofErr w:type="gramEnd"/>
      <w:r w:rsidR="00444891">
        <w:rPr>
          <w:rFonts w:ascii="Century Gothic" w:hAnsi="Century Gothic" w:cs="Century Gothic"/>
          <w:bCs/>
          <w:sz w:val="22"/>
          <w:szCs w:val="22"/>
        </w:rPr>
        <w:t xml:space="preserve"> </w:t>
      </w:r>
      <w:r w:rsidR="00444891">
        <w:rPr>
          <w:rFonts w:ascii="Century Gothic" w:hAnsi="Century Gothic" w:cs="Century Gothic"/>
          <w:bCs/>
          <w:sz w:val="22"/>
          <w:szCs w:val="22"/>
        </w:rPr>
        <w:lastRenderedPageBreak/>
        <w:t xml:space="preserve">Ingeniería en Auditoria </w:t>
      </w:r>
      <w:r>
        <w:rPr>
          <w:rFonts w:ascii="Century Gothic" w:hAnsi="Century Gothic" w:cs="Century Gothic"/>
          <w:bCs/>
          <w:sz w:val="22"/>
          <w:szCs w:val="22"/>
        </w:rPr>
        <w:t xml:space="preserve"> </w:t>
      </w:r>
      <w:r w:rsidR="00444891">
        <w:rPr>
          <w:rFonts w:ascii="Century Gothic" w:hAnsi="Century Gothic" w:cs="Century Gothic"/>
          <w:bCs/>
          <w:sz w:val="22"/>
          <w:szCs w:val="22"/>
        </w:rPr>
        <w:t xml:space="preserve">y Contaduría Pública Autorizada </w:t>
      </w:r>
      <w:r>
        <w:rPr>
          <w:rFonts w:ascii="Century Gothic" w:hAnsi="Century Gothic" w:cs="Century Gothic"/>
          <w:bCs/>
          <w:sz w:val="22"/>
          <w:szCs w:val="22"/>
        </w:rPr>
        <w:t>realicen el estudio de la cohorte</w:t>
      </w:r>
      <w:r w:rsidR="00444891">
        <w:rPr>
          <w:rFonts w:ascii="Century Gothic" w:hAnsi="Century Gothic" w:cs="Century Gothic"/>
          <w:bCs/>
          <w:sz w:val="22"/>
          <w:szCs w:val="22"/>
        </w:rPr>
        <w:t xml:space="preserve"> que ingresó a la ESPOL en el año 2006.</w:t>
      </w:r>
    </w:p>
    <w:p w:rsidR="00444891" w:rsidRPr="00444891" w:rsidRDefault="00444891" w:rsidP="00444891">
      <w:pPr>
        <w:pStyle w:val="Prrafodelista"/>
        <w:rPr>
          <w:rFonts w:ascii="Century Gothic" w:hAnsi="Century Gothic" w:cs="Century Gothic"/>
          <w:bCs/>
          <w:sz w:val="22"/>
          <w:szCs w:val="22"/>
        </w:rPr>
      </w:pPr>
    </w:p>
    <w:p w:rsidR="00444891" w:rsidRDefault="00444891" w:rsidP="004A5DAB">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Solicitar a las Unidades Académicas realicen un estudio de la cohorte que ingresó en el año 2009 en sus respectivos Programas de Postgrado.</w:t>
      </w:r>
    </w:p>
    <w:p w:rsidR="00FC3783" w:rsidRPr="00FC3783" w:rsidRDefault="00FC3783" w:rsidP="00FC3783">
      <w:pPr>
        <w:pStyle w:val="Prrafodelista"/>
        <w:rPr>
          <w:rFonts w:ascii="Century Gothic" w:hAnsi="Century Gothic" w:cs="Century Gothic"/>
          <w:bCs/>
          <w:sz w:val="22"/>
          <w:szCs w:val="22"/>
        </w:rPr>
      </w:pPr>
    </w:p>
    <w:p w:rsidR="00FC3783" w:rsidRDefault="00FC3783" w:rsidP="004A5DAB">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 xml:space="preserve">Que la Facultad de Investigación y Posgrado prepare la información necesaria para medir la eficiencia terminal de posgrado de acuerdo a lo señalado en </w:t>
      </w:r>
      <w:r w:rsidR="004612D7">
        <w:rPr>
          <w:rFonts w:ascii="Century Gothic" w:hAnsi="Century Gothic" w:cs="Century Gothic"/>
          <w:bCs/>
          <w:sz w:val="22"/>
          <w:szCs w:val="22"/>
        </w:rPr>
        <w:t>el indicador 17</w:t>
      </w:r>
      <w:r>
        <w:rPr>
          <w:rFonts w:ascii="Century Gothic" w:hAnsi="Century Gothic" w:cs="Century Gothic"/>
          <w:bCs/>
          <w:sz w:val="22"/>
          <w:szCs w:val="22"/>
        </w:rPr>
        <w:t>.</w:t>
      </w:r>
    </w:p>
    <w:p w:rsidR="00FC3783" w:rsidRPr="00FC3783" w:rsidRDefault="00FC3783" w:rsidP="00FC3783">
      <w:pPr>
        <w:pStyle w:val="Prrafodelista"/>
        <w:rPr>
          <w:rFonts w:ascii="Century Gothic" w:hAnsi="Century Gothic" w:cs="Century Gothic"/>
          <w:bCs/>
          <w:sz w:val="22"/>
          <w:szCs w:val="22"/>
        </w:rPr>
      </w:pPr>
    </w:p>
    <w:p w:rsidR="00FC3783" w:rsidRPr="007854BD" w:rsidRDefault="00FC3783" w:rsidP="004A5DAB">
      <w:pPr>
        <w:pStyle w:val="Prrafodelista"/>
        <w:numPr>
          <w:ilvl w:val="0"/>
          <w:numId w:val="18"/>
        </w:numPr>
        <w:tabs>
          <w:tab w:val="left" w:pos="2760"/>
        </w:tabs>
        <w:jc w:val="both"/>
        <w:rPr>
          <w:rFonts w:ascii="Century Gothic" w:hAnsi="Century Gothic" w:cs="Century Gothic"/>
          <w:bCs/>
          <w:sz w:val="22"/>
          <w:szCs w:val="22"/>
        </w:rPr>
      </w:pPr>
      <w:r w:rsidRPr="007854BD">
        <w:rPr>
          <w:rFonts w:ascii="Century Gothic" w:hAnsi="Century Gothic" w:cs="Century Gothic"/>
          <w:bCs/>
          <w:sz w:val="22"/>
          <w:szCs w:val="22"/>
        </w:rPr>
        <w:t xml:space="preserve">Que </w:t>
      </w:r>
      <w:r w:rsidR="004612D7" w:rsidRPr="007854BD">
        <w:rPr>
          <w:rFonts w:ascii="Century Gothic" w:hAnsi="Century Gothic" w:cs="Century Gothic"/>
          <w:bCs/>
          <w:sz w:val="22"/>
          <w:szCs w:val="22"/>
        </w:rPr>
        <w:t xml:space="preserve">la </w:t>
      </w:r>
      <w:r w:rsidRPr="007854BD">
        <w:rPr>
          <w:rFonts w:ascii="Century Gothic" w:hAnsi="Century Gothic" w:cs="Century Gothic"/>
          <w:bCs/>
          <w:sz w:val="22"/>
          <w:szCs w:val="22"/>
        </w:rPr>
        <w:t xml:space="preserve">Secretaría Técnica-Académica y el Centro de Servicios Informáticos </w:t>
      </w:r>
      <w:r w:rsidR="004612D7" w:rsidRPr="007854BD">
        <w:rPr>
          <w:rFonts w:ascii="Century Gothic" w:hAnsi="Century Gothic" w:cs="Century Gothic"/>
          <w:bCs/>
          <w:sz w:val="22"/>
          <w:szCs w:val="22"/>
        </w:rPr>
        <w:t>realicen el cálculo del indicador Tasa de retención inicial pregrado considerando los estudiantes registrados al 1er termino académico  de 2011 y al 1er termino académico 2012 con respecto a los estudiantes que se encontraban registrados dos años antes en cada caso.</w:t>
      </w:r>
    </w:p>
    <w:p w:rsidR="00FC3783" w:rsidRPr="00FC3783" w:rsidRDefault="00FC3783" w:rsidP="00FC3783">
      <w:pPr>
        <w:pStyle w:val="Prrafodelista"/>
        <w:rPr>
          <w:rFonts w:ascii="Century Gothic" w:hAnsi="Century Gothic" w:cs="Century Gothic"/>
          <w:bCs/>
          <w:sz w:val="22"/>
          <w:szCs w:val="22"/>
        </w:rPr>
      </w:pPr>
    </w:p>
    <w:p w:rsidR="00D5582B" w:rsidRPr="007854BD" w:rsidRDefault="00D5582B" w:rsidP="004A5DAB">
      <w:pPr>
        <w:pStyle w:val="Prrafodelista"/>
        <w:numPr>
          <w:ilvl w:val="0"/>
          <w:numId w:val="18"/>
        </w:numPr>
        <w:tabs>
          <w:tab w:val="left" w:pos="2760"/>
        </w:tabs>
        <w:jc w:val="both"/>
        <w:rPr>
          <w:rFonts w:ascii="Century Gothic" w:hAnsi="Century Gothic" w:cs="Century Gothic"/>
          <w:bCs/>
          <w:sz w:val="22"/>
          <w:szCs w:val="22"/>
        </w:rPr>
      </w:pPr>
      <w:r w:rsidRPr="007854BD">
        <w:rPr>
          <w:rFonts w:ascii="Century Gothic" w:hAnsi="Century Gothic" w:cs="Century Gothic"/>
          <w:bCs/>
          <w:sz w:val="22"/>
          <w:szCs w:val="22"/>
        </w:rPr>
        <w:t xml:space="preserve">Que las Unidades Académicas revisen y establezcan las áreas de competencia de sus profesores, </w:t>
      </w:r>
      <w:r w:rsidR="007854BD" w:rsidRPr="007854BD">
        <w:rPr>
          <w:rFonts w:ascii="Century Gothic" w:hAnsi="Century Gothic" w:cs="Century Gothic"/>
          <w:bCs/>
          <w:sz w:val="22"/>
          <w:szCs w:val="22"/>
        </w:rPr>
        <w:t xml:space="preserve">porque </w:t>
      </w:r>
      <w:r w:rsidRPr="007854BD">
        <w:rPr>
          <w:rFonts w:ascii="Century Gothic" w:hAnsi="Century Gothic" w:cs="Century Gothic"/>
          <w:bCs/>
          <w:sz w:val="22"/>
          <w:szCs w:val="22"/>
        </w:rPr>
        <w:t xml:space="preserve">es necesario que el docente tenga el 60% de sus horas de docencia  en un área afín  a su título </w:t>
      </w:r>
      <w:r w:rsidR="004612D7" w:rsidRPr="007854BD">
        <w:rPr>
          <w:rFonts w:ascii="Century Gothic" w:hAnsi="Century Gothic" w:cs="Century Gothic"/>
          <w:bCs/>
          <w:sz w:val="22"/>
          <w:szCs w:val="22"/>
        </w:rPr>
        <w:t>de cuarto nivel. Con respecto a este aspecto recomendar al  CEAACES se considere la experiencia de los docentes para la evaluación de las materias en el área afín.</w:t>
      </w:r>
    </w:p>
    <w:p w:rsidR="00D5582B" w:rsidRPr="00D5582B" w:rsidRDefault="00D5582B" w:rsidP="00D5582B">
      <w:pPr>
        <w:pStyle w:val="Prrafodelista"/>
        <w:rPr>
          <w:rFonts w:ascii="Century Gothic" w:hAnsi="Century Gothic" w:cs="Century Gothic"/>
          <w:bCs/>
          <w:sz w:val="22"/>
          <w:szCs w:val="22"/>
        </w:rPr>
      </w:pPr>
    </w:p>
    <w:p w:rsidR="00523E40" w:rsidRDefault="00537FB8" w:rsidP="004A5DAB">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Que la Facultad de Investigación y Posgrado, de acuerdo al indicador 22 de la producción per cápita, recopile  la informaci</w:t>
      </w:r>
      <w:r w:rsidR="00523E40">
        <w:rPr>
          <w:rFonts w:ascii="Century Gothic" w:hAnsi="Century Gothic" w:cs="Century Gothic"/>
          <w:bCs/>
          <w:sz w:val="22"/>
          <w:szCs w:val="22"/>
        </w:rPr>
        <w:t>ón de los profesores de l</w:t>
      </w:r>
      <w:r>
        <w:rPr>
          <w:rFonts w:ascii="Century Gothic" w:hAnsi="Century Gothic" w:cs="Century Gothic"/>
          <w:bCs/>
          <w:sz w:val="22"/>
          <w:szCs w:val="22"/>
        </w:rPr>
        <w:t>os tres últimos años , sobre el número de artículos  científico</w:t>
      </w:r>
      <w:r w:rsidR="00523E40">
        <w:rPr>
          <w:rFonts w:ascii="Century Gothic" w:hAnsi="Century Gothic" w:cs="Century Gothic"/>
          <w:bCs/>
          <w:sz w:val="22"/>
          <w:szCs w:val="22"/>
        </w:rPr>
        <w:t>s publicados o aceptados para su publicación en revistas indexadas 2010-2012.</w:t>
      </w:r>
    </w:p>
    <w:p w:rsidR="00523E40" w:rsidRPr="00523E40" w:rsidRDefault="00523E40" w:rsidP="00523E40">
      <w:pPr>
        <w:pStyle w:val="Prrafodelista"/>
        <w:rPr>
          <w:rFonts w:ascii="Century Gothic" w:hAnsi="Century Gothic" w:cs="Century Gothic"/>
          <w:bCs/>
          <w:sz w:val="22"/>
          <w:szCs w:val="22"/>
        </w:rPr>
      </w:pPr>
    </w:p>
    <w:p w:rsidR="00491E02" w:rsidRPr="00094213" w:rsidRDefault="00523E40" w:rsidP="00491E02">
      <w:pPr>
        <w:pStyle w:val="Prrafodelista"/>
        <w:numPr>
          <w:ilvl w:val="0"/>
          <w:numId w:val="18"/>
        </w:numPr>
        <w:tabs>
          <w:tab w:val="left" w:pos="2760"/>
        </w:tabs>
        <w:jc w:val="both"/>
        <w:rPr>
          <w:rFonts w:ascii="Century Gothic" w:hAnsi="Century Gothic" w:cs="Century Gothic"/>
          <w:bCs/>
          <w:sz w:val="22"/>
          <w:szCs w:val="22"/>
        </w:rPr>
      </w:pPr>
      <w:r>
        <w:rPr>
          <w:rFonts w:ascii="Century Gothic" w:hAnsi="Century Gothic" w:cs="Century Gothic"/>
          <w:bCs/>
          <w:sz w:val="22"/>
          <w:szCs w:val="22"/>
        </w:rPr>
        <w:t xml:space="preserve">Solicitar a los señores profesores de la Institución que carguen sus artículos indexados  desde SCOPUS con el nombre estandarizado de ESPOL a la página </w:t>
      </w:r>
      <w:r w:rsidR="00E91F5A">
        <w:rPr>
          <w:rFonts w:ascii="Century Gothic" w:hAnsi="Century Gothic" w:cs="Century Gothic"/>
          <w:b/>
          <w:bCs/>
          <w:sz w:val="22"/>
          <w:szCs w:val="22"/>
        </w:rPr>
        <w:t>www. e</w:t>
      </w:r>
      <w:r w:rsidRPr="00523E40">
        <w:rPr>
          <w:rFonts w:ascii="Century Gothic" w:hAnsi="Century Gothic" w:cs="Century Gothic"/>
          <w:b/>
          <w:bCs/>
          <w:sz w:val="22"/>
          <w:szCs w:val="22"/>
        </w:rPr>
        <w:t>spol.edu.ec/autor.</w:t>
      </w:r>
      <w:r w:rsidR="00537FB8" w:rsidRPr="00523E40">
        <w:rPr>
          <w:rFonts w:ascii="Century Gothic" w:hAnsi="Century Gothic" w:cs="Century Gothic"/>
          <w:b/>
          <w:bCs/>
          <w:sz w:val="22"/>
          <w:szCs w:val="22"/>
        </w:rPr>
        <w:t xml:space="preserve"> </w:t>
      </w:r>
    </w:p>
    <w:p w:rsidR="00491E02" w:rsidRPr="00094213" w:rsidRDefault="00491E02" w:rsidP="00491E02">
      <w:pPr>
        <w:pStyle w:val="Prrafodelista"/>
        <w:rPr>
          <w:rFonts w:ascii="Century Gothic" w:hAnsi="Century Gothic" w:cs="Century Gothic"/>
          <w:bCs/>
          <w:sz w:val="22"/>
          <w:szCs w:val="22"/>
        </w:rPr>
      </w:pPr>
    </w:p>
    <w:p w:rsidR="00683063" w:rsidRPr="007854BD" w:rsidRDefault="00DA46FF" w:rsidP="00491E02">
      <w:pPr>
        <w:pStyle w:val="Prrafodelista"/>
        <w:numPr>
          <w:ilvl w:val="0"/>
          <w:numId w:val="18"/>
        </w:numPr>
        <w:tabs>
          <w:tab w:val="left" w:pos="2760"/>
        </w:tabs>
        <w:jc w:val="both"/>
        <w:rPr>
          <w:rFonts w:ascii="Century Gothic" w:hAnsi="Century Gothic" w:cs="Century Gothic"/>
          <w:b/>
          <w:bCs/>
          <w:sz w:val="22"/>
          <w:szCs w:val="22"/>
        </w:rPr>
      </w:pPr>
      <w:r w:rsidRPr="00094213">
        <w:rPr>
          <w:rFonts w:ascii="Century Gothic" w:hAnsi="Century Gothic" w:cs="Century Gothic"/>
          <w:bCs/>
          <w:sz w:val="22"/>
          <w:szCs w:val="22"/>
        </w:rPr>
        <w:t>De acuerdo al indic</w:t>
      </w:r>
      <w:r>
        <w:rPr>
          <w:rFonts w:ascii="Century Gothic" w:hAnsi="Century Gothic" w:cs="Century Gothic"/>
          <w:bCs/>
          <w:sz w:val="22"/>
          <w:szCs w:val="22"/>
        </w:rPr>
        <w:t>ador 25</w:t>
      </w:r>
      <w:r w:rsidR="00C47B4A" w:rsidRPr="00491E02">
        <w:rPr>
          <w:rFonts w:ascii="Century Gothic" w:hAnsi="Century Gothic" w:cs="Century Gothic"/>
          <w:bCs/>
          <w:sz w:val="22"/>
          <w:szCs w:val="22"/>
        </w:rPr>
        <w:t xml:space="preserve"> </w:t>
      </w:r>
      <w:r>
        <w:rPr>
          <w:rFonts w:ascii="Century Gothic" w:hAnsi="Century Gothic" w:cs="Century Gothic"/>
          <w:bCs/>
          <w:sz w:val="22"/>
          <w:szCs w:val="22"/>
        </w:rPr>
        <w:t>“L</w:t>
      </w:r>
      <w:r w:rsidR="00C47B4A" w:rsidRPr="00491E02">
        <w:rPr>
          <w:rFonts w:ascii="Century Gothic" w:hAnsi="Century Gothic" w:cs="Century Gothic"/>
          <w:bCs/>
          <w:sz w:val="22"/>
          <w:szCs w:val="22"/>
        </w:rPr>
        <w:t>ibros revisados por pares</w:t>
      </w:r>
      <w:r>
        <w:rPr>
          <w:rFonts w:ascii="Century Gothic" w:hAnsi="Century Gothic" w:cs="Century Gothic"/>
          <w:bCs/>
          <w:sz w:val="22"/>
          <w:szCs w:val="22"/>
        </w:rPr>
        <w:t>”</w:t>
      </w:r>
      <w:r w:rsidR="00C47B4A" w:rsidRPr="00491E02">
        <w:rPr>
          <w:rFonts w:ascii="Century Gothic" w:hAnsi="Century Gothic" w:cs="Century Gothic"/>
          <w:bCs/>
          <w:sz w:val="22"/>
          <w:szCs w:val="22"/>
        </w:rPr>
        <w:t xml:space="preserve">, </w:t>
      </w:r>
      <w:r>
        <w:rPr>
          <w:rFonts w:ascii="Century Gothic" w:hAnsi="Century Gothic" w:cs="Century Gothic"/>
          <w:bCs/>
          <w:sz w:val="22"/>
          <w:szCs w:val="22"/>
        </w:rPr>
        <w:t>solicitar a</w:t>
      </w:r>
      <w:r w:rsidR="00C47B4A" w:rsidRPr="00491E02">
        <w:rPr>
          <w:rFonts w:ascii="Century Gothic" w:hAnsi="Century Gothic" w:cs="Century Gothic"/>
          <w:bCs/>
          <w:sz w:val="22"/>
          <w:szCs w:val="22"/>
        </w:rPr>
        <w:t xml:space="preserve"> las Unidades Académicas y la Facultad de Investigación y Posgrado  recopilen la información de libros revisados por pares publicados en los últimos tres años.</w:t>
      </w:r>
      <w:r>
        <w:rPr>
          <w:rFonts w:ascii="Century Gothic" w:hAnsi="Century Gothic" w:cs="Century Gothic"/>
          <w:bCs/>
          <w:sz w:val="22"/>
          <w:szCs w:val="22"/>
        </w:rPr>
        <w:t xml:space="preserve"> </w:t>
      </w:r>
      <w:r w:rsidRPr="007854BD">
        <w:rPr>
          <w:rFonts w:ascii="Century Gothic" w:hAnsi="Century Gothic" w:cs="Century Gothic"/>
          <w:bCs/>
          <w:sz w:val="22"/>
          <w:szCs w:val="22"/>
        </w:rPr>
        <w:t>Sobre este mismo indicador solic</w:t>
      </w:r>
      <w:r w:rsidR="007854BD" w:rsidRPr="007854BD">
        <w:rPr>
          <w:rFonts w:ascii="Century Gothic" w:hAnsi="Century Gothic" w:cs="Century Gothic"/>
          <w:bCs/>
          <w:sz w:val="22"/>
          <w:szCs w:val="22"/>
        </w:rPr>
        <w:t xml:space="preserve">itar a la Unidad de </w:t>
      </w:r>
      <w:r w:rsidR="00094213">
        <w:rPr>
          <w:rFonts w:ascii="Century Gothic" w:hAnsi="Century Gothic" w:cs="Century Gothic"/>
          <w:bCs/>
          <w:sz w:val="22"/>
          <w:szCs w:val="22"/>
        </w:rPr>
        <w:t xml:space="preserve">Coordinación Académica y </w:t>
      </w:r>
      <w:r w:rsidR="00094213">
        <w:rPr>
          <w:rFonts w:ascii="Century Gothic" w:hAnsi="Century Gothic" w:cs="Century Gothic"/>
          <w:bCs/>
          <w:sz w:val="22"/>
          <w:szCs w:val="22"/>
        </w:rPr>
        <w:lastRenderedPageBreak/>
        <w:t xml:space="preserve">de </w:t>
      </w:r>
      <w:r w:rsidR="007854BD" w:rsidRPr="007854BD">
        <w:rPr>
          <w:rFonts w:ascii="Century Gothic" w:hAnsi="Century Gothic" w:cs="Century Gothic"/>
          <w:bCs/>
          <w:sz w:val="22"/>
          <w:szCs w:val="22"/>
        </w:rPr>
        <w:t xml:space="preserve">Planificación </w:t>
      </w:r>
      <w:r w:rsidR="003E682F">
        <w:rPr>
          <w:rFonts w:ascii="Century Gothic" w:hAnsi="Century Gothic" w:cs="Century Gothic"/>
          <w:bCs/>
          <w:sz w:val="22"/>
          <w:szCs w:val="22"/>
        </w:rPr>
        <w:t xml:space="preserve">Estratégica </w:t>
      </w:r>
      <w:r w:rsidR="00454B2F" w:rsidRPr="007854BD">
        <w:rPr>
          <w:rFonts w:ascii="Century Gothic" w:hAnsi="Century Gothic" w:cs="Century Gothic"/>
          <w:bCs/>
          <w:sz w:val="22"/>
          <w:szCs w:val="22"/>
        </w:rPr>
        <w:t>sobre la aplicación del Reglamento para la Calificación e Incentivo de Obras Escritas por Profesores de la ESPOL (2422)</w:t>
      </w:r>
    </w:p>
    <w:p w:rsidR="00C47B4A" w:rsidRPr="00C47B4A" w:rsidRDefault="00C47B4A" w:rsidP="00C47B4A">
      <w:pPr>
        <w:pStyle w:val="Prrafodelista"/>
        <w:ind w:left="2694" w:hanging="1974"/>
        <w:rPr>
          <w:rFonts w:ascii="Century Gothic" w:hAnsi="Century Gothic" w:cs="Century Gothic"/>
          <w:bCs/>
          <w:sz w:val="22"/>
          <w:szCs w:val="22"/>
        </w:rPr>
      </w:pPr>
    </w:p>
    <w:p w:rsidR="00C47B4A" w:rsidRDefault="00C47B4A" w:rsidP="00C47B4A">
      <w:pPr>
        <w:pStyle w:val="Prrafodelista"/>
        <w:numPr>
          <w:ilvl w:val="0"/>
          <w:numId w:val="18"/>
        </w:numPr>
        <w:tabs>
          <w:tab w:val="left" w:pos="2760"/>
        </w:tabs>
        <w:jc w:val="both"/>
        <w:rPr>
          <w:rFonts w:ascii="Century Gothic" w:hAnsi="Century Gothic" w:cs="Century Gothic"/>
          <w:bCs/>
          <w:sz w:val="22"/>
          <w:szCs w:val="22"/>
        </w:rPr>
      </w:pPr>
      <w:r w:rsidRPr="004A5DAB">
        <w:rPr>
          <w:rFonts w:ascii="Century Gothic" w:hAnsi="Century Gothic" w:cs="Century Gothic"/>
          <w:bCs/>
          <w:sz w:val="22"/>
          <w:szCs w:val="22"/>
        </w:rPr>
        <w:t xml:space="preserve">Que las Unidades Académicas informen </w:t>
      </w:r>
      <w:r w:rsidR="00F65DE2" w:rsidRPr="00A25F78">
        <w:rPr>
          <w:rFonts w:ascii="Century Gothic" w:hAnsi="Century Gothic" w:cs="Century Gothic"/>
          <w:bCs/>
          <w:sz w:val="22"/>
          <w:szCs w:val="22"/>
        </w:rPr>
        <w:t xml:space="preserve">a esta Comisión en el lapso de dos semanas </w:t>
      </w:r>
      <w:r w:rsidRPr="00A25F78">
        <w:rPr>
          <w:rFonts w:ascii="Century Gothic" w:hAnsi="Century Gothic" w:cs="Century Gothic"/>
          <w:bCs/>
          <w:sz w:val="22"/>
          <w:szCs w:val="22"/>
        </w:rPr>
        <w:t>sobre el estado en que se encuentra la implementación del sistema</w:t>
      </w:r>
      <w:r w:rsidRPr="004A5DAB">
        <w:rPr>
          <w:rFonts w:ascii="Century Gothic" w:hAnsi="Century Gothic" w:cs="Century Gothic"/>
          <w:bCs/>
          <w:sz w:val="22"/>
          <w:szCs w:val="22"/>
        </w:rPr>
        <w:t xml:space="preserve"> de seguimiento a los egres</w:t>
      </w:r>
      <w:r>
        <w:rPr>
          <w:rFonts w:ascii="Century Gothic" w:hAnsi="Century Gothic" w:cs="Century Gothic"/>
          <w:bCs/>
          <w:sz w:val="22"/>
          <w:szCs w:val="22"/>
        </w:rPr>
        <w:t>ados de cada una de las</w:t>
      </w:r>
      <w:r w:rsidR="00F65DE2">
        <w:rPr>
          <w:rFonts w:ascii="Century Gothic" w:hAnsi="Century Gothic" w:cs="Century Gothic"/>
          <w:bCs/>
          <w:sz w:val="22"/>
          <w:szCs w:val="22"/>
        </w:rPr>
        <w:t xml:space="preserve"> </w:t>
      </w:r>
      <w:r>
        <w:rPr>
          <w:rFonts w:ascii="Century Gothic" w:hAnsi="Century Gothic" w:cs="Century Gothic"/>
          <w:bCs/>
          <w:sz w:val="22"/>
          <w:szCs w:val="22"/>
        </w:rPr>
        <w:t>carrera, de acuerdo al indicador 26.</w:t>
      </w:r>
    </w:p>
    <w:p w:rsidR="00C47B4A" w:rsidRPr="00C47B4A" w:rsidRDefault="00C47B4A" w:rsidP="00C47B4A">
      <w:pPr>
        <w:pStyle w:val="Prrafodelista"/>
        <w:rPr>
          <w:rFonts w:ascii="Century Gothic" w:hAnsi="Century Gothic" w:cs="Century Gothic"/>
          <w:bCs/>
          <w:sz w:val="22"/>
          <w:szCs w:val="22"/>
        </w:rPr>
      </w:pPr>
    </w:p>
    <w:p w:rsidR="00454B2F" w:rsidRDefault="00C47B4A" w:rsidP="00454B2F">
      <w:pPr>
        <w:pStyle w:val="Prrafodelista"/>
        <w:numPr>
          <w:ilvl w:val="0"/>
          <w:numId w:val="18"/>
        </w:numPr>
        <w:tabs>
          <w:tab w:val="left" w:pos="2760"/>
        </w:tabs>
        <w:jc w:val="both"/>
        <w:rPr>
          <w:rFonts w:ascii="Century Gothic" w:hAnsi="Century Gothic" w:cs="Century Gothic"/>
          <w:bCs/>
          <w:sz w:val="22"/>
          <w:szCs w:val="22"/>
        </w:rPr>
      </w:pPr>
      <w:r w:rsidRPr="00C47B4A">
        <w:rPr>
          <w:rFonts w:ascii="Century Gothic" w:hAnsi="Century Gothic" w:cs="Century Gothic"/>
          <w:bCs/>
          <w:sz w:val="22"/>
          <w:szCs w:val="22"/>
        </w:rPr>
        <w:t xml:space="preserve">Que la Secretaría Técnica-Académica y </w:t>
      </w:r>
      <w:r w:rsidR="00A25F78">
        <w:rPr>
          <w:rFonts w:ascii="Century Gothic" w:hAnsi="Century Gothic" w:cs="Century Gothic"/>
          <w:bCs/>
          <w:sz w:val="22"/>
          <w:szCs w:val="22"/>
        </w:rPr>
        <w:t xml:space="preserve">la </w:t>
      </w:r>
      <w:r w:rsidRPr="00C47B4A">
        <w:rPr>
          <w:rFonts w:ascii="Century Gothic" w:hAnsi="Century Gothic" w:cs="Century Gothic"/>
          <w:bCs/>
          <w:sz w:val="22"/>
          <w:szCs w:val="22"/>
        </w:rPr>
        <w:t>Secretaría Administrativa, revisen la vigencia de los reglamentos de la ESPOL relacionados al área académica y que conformarían la reglamentación del régimen académico, indicador 33 del Régimen Académico.</w:t>
      </w:r>
    </w:p>
    <w:p w:rsidR="00454B2F" w:rsidRPr="00454B2F" w:rsidRDefault="00454B2F" w:rsidP="00454B2F">
      <w:pPr>
        <w:pStyle w:val="Prrafodelista"/>
        <w:rPr>
          <w:rFonts w:ascii="Century Gothic" w:hAnsi="Century Gothic" w:cs="Century Gothic"/>
          <w:bCs/>
          <w:sz w:val="22"/>
          <w:szCs w:val="22"/>
        </w:rPr>
      </w:pPr>
    </w:p>
    <w:p w:rsidR="00454B2F" w:rsidRPr="00A25F78" w:rsidRDefault="00454B2F" w:rsidP="00454B2F">
      <w:pPr>
        <w:pStyle w:val="Prrafodelista"/>
        <w:numPr>
          <w:ilvl w:val="0"/>
          <w:numId w:val="18"/>
        </w:numPr>
        <w:tabs>
          <w:tab w:val="left" w:pos="2760"/>
        </w:tabs>
        <w:jc w:val="both"/>
        <w:rPr>
          <w:rFonts w:ascii="Century Gothic" w:hAnsi="Century Gothic" w:cs="Century Gothic"/>
          <w:bCs/>
          <w:sz w:val="22"/>
          <w:szCs w:val="22"/>
        </w:rPr>
      </w:pPr>
      <w:r w:rsidRPr="00A25F78">
        <w:rPr>
          <w:rFonts w:ascii="Century Gothic" w:hAnsi="Century Gothic" w:cs="Century Gothic"/>
          <w:bCs/>
          <w:sz w:val="22"/>
          <w:szCs w:val="22"/>
        </w:rPr>
        <w:t>Solicitar a la Unidad de Mantenimiento de Instalaciones planifique la realización de los requerimientos de adecuación de las aulas de la Institución, considerando lo solicitado en el indicador 39 sobre Calidad de Aulas.</w:t>
      </w:r>
    </w:p>
    <w:p w:rsidR="00C47B4A" w:rsidRPr="00C47B4A" w:rsidRDefault="00C47B4A" w:rsidP="00C47B4A">
      <w:pPr>
        <w:pStyle w:val="Prrafodelista"/>
        <w:rPr>
          <w:rFonts w:ascii="Century Gothic" w:hAnsi="Century Gothic" w:cs="Century Gothic"/>
          <w:bCs/>
          <w:sz w:val="22"/>
          <w:szCs w:val="22"/>
        </w:rPr>
      </w:pPr>
    </w:p>
    <w:p w:rsidR="00C47B4A" w:rsidRPr="00511EB7" w:rsidRDefault="00C47B4A" w:rsidP="00C47B4A">
      <w:pPr>
        <w:pStyle w:val="Prrafodelista"/>
        <w:numPr>
          <w:ilvl w:val="0"/>
          <w:numId w:val="18"/>
        </w:numPr>
        <w:tabs>
          <w:tab w:val="left" w:pos="2760"/>
        </w:tabs>
        <w:jc w:val="both"/>
        <w:rPr>
          <w:rFonts w:ascii="Century Gothic" w:hAnsi="Century Gothic" w:cs="Century Gothic"/>
          <w:bCs/>
          <w:sz w:val="22"/>
          <w:szCs w:val="22"/>
        </w:rPr>
      </w:pPr>
      <w:r w:rsidRPr="00511EB7">
        <w:rPr>
          <w:rFonts w:ascii="Century Gothic" w:hAnsi="Century Gothic" w:cs="Century Gothic"/>
          <w:bCs/>
          <w:sz w:val="22"/>
          <w:szCs w:val="22"/>
        </w:rPr>
        <w:t>En lo que respecta a la Conectividad</w:t>
      </w:r>
      <w:r w:rsidR="00F65DE2" w:rsidRPr="00511EB7">
        <w:rPr>
          <w:rFonts w:ascii="Century Gothic" w:hAnsi="Century Gothic" w:cs="Century Gothic"/>
          <w:bCs/>
          <w:sz w:val="22"/>
          <w:szCs w:val="22"/>
        </w:rPr>
        <w:t>,</w:t>
      </w:r>
      <w:r w:rsidRPr="00511EB7">
        <w:rPr>
          <w:rFonts w:ascii="Century Gothic" w:hAnsi="Century Gothic" w:cs="Century Gothic"/>
          <w:bCs/>
          <w:sz w:val="22"/>
          <w:szCs w:val="22"/>
        </w:rPr>
        <w:t xml:space="preserve"> indicador 38, </w:t>
      </w:r>
      <w:r w:rsidR="00F65DE2" w:rsidRPr="00511EB7">
        <w:rPr>
          <w:rFonts w:ascii="Century Gothic" w:hAnsi="Century Gothic" w:cs="Century Gothic"/>
          <w:bCs/>
          <w:sz w:val="22"/>
          <w:szCs w:val="22"/>
        </w:rPr>
        <w:t xml:space="preserve">el cual se encuentra en estado de construcción por parte del CEAACES solicitar al </w:t>
      </w:r>
      <w:r w:rsidRPr="00511EB7">
        <w:rPr>
          <w:rFonts w:ascii="Century Gothic" w:hAnsi="Century Gothic" w:cs="Century Gothic"/>
          <w:bCs/>
          <w:sz w:val="22"/>
          <w:szCs w:val="22"/>
        </w:rPr>
        <w:t xml:space="preserve">Centro de Tecnologías de Información (CTI) </w:t>
      </w:r>
      <w:r w:rsidR="00F65DE2" w:rsidRPr="00511EB7">
        <w:rPr>
          <w:rFonts w:ascii="Century Gothic" w:hAnsi="Century Gothic" w:cs="Century Gothic"/>
          <w:bCs/>
          <w:sz w:val="22"/>
          <w:szCs w:val="22"/>
        </w:rPr>
        <w:t>cual sería su recomendación para medir este indicador e informar al CEAACES.</w:t>
      </w:r>
    </w:p>
    <w:p w:rsidR="00C47B4A" w:rsidRPr="00683063" w:rsidRDefault="00C47B4A" w:rsidP="00C47B4A">
      <w:pPr>
        <w:pStyle w:val="Prrafodelista"/>
        <w:rPr>
          <w:rFonts w:ascii="Century Gothic" w:hAnsi="Century Gothic" w:cs="Century Gothic"/>
          <w:bCs/>
          <w:sz w:val="22"/>
          <w:szCs w:val="22"/>
        </w:rPr>
      </w:pPr>
    </w:p>
    <w:p w:rsidR="00C47B4A" w:rsidRPr="004A5DAB" w:rsidRDefault="00C47B4A" w:rsidP="00C47B4A">
      <w:pPr>
        <w:pStyle w:val="Prrafodelista"/>
        <w:ind w:left="2694" w:hanging="1974"/>
        <w:jc w:val="both"/>
        <w:rPr>
          <w:rFonts w:ascii="Century Gothic" w:hAnsi="Century Gothic" w:cs="Century Gothic"/>
          <w:bCs/>
          <w:sz w:val="22"/>
          <w:szCs w:val="22"/>
        </w:rPr>
      </w:pPr>
      <w:r w:rsidRPr="003B3FF2">
        <w:rPr>
          <w:rFonts w:ascii="Century Gothic" w:hAnsi="Century Gothic" w:cs="Century Gothic"/>
          <w:b/>
          <w:bCs/>
          <w:sz w:val="22"/>
          <w:szCs w:val="22"/>
        </w:rPr>
        <w:t>CAc-2012-</w:t>
      </w:r>
      <w:r w:rsidR="00491E02">
        <w:rPr>
          <w:rFonts w:ascii="Century Gothic" w:hAnsi="Century Gothic" w:cs="Century Gothic"/>
          <w:b/>
          <w:bCs/>
          <w:sz w:val="22"/>
          <w:szCs w:val="22"/>
        </w:rPr>
        <w:t>217</w:t>
      </w:r>
      <w:r>
        <w:rPr>
          <w:rFonts w:ascii="Century Gothic" w:hAnsi="Century Gothic" w:cs="Century Gothic"/>
          <w:b/>
          <w:bCs/>
          <w:sz w:val="22"/>
          <w:szCs w:val="22"/>
        </w:rPr>
        <w:t>.</w:t>
      </w:r>
      <w:r w:rsidRPr="003B3FF2">
        <w:rPr>
          <w:rFonts w:ascii="Century Gothic" w:hAnsi="Century Gothic" w:cs="Century Gothic"/>
          <w:b/>
          <w:bCs/>
          <w:sz w:val="22"/>
          <w:szCs w:val="22"/>
        </w:rPr>
        <w:t xml:space="preserve"> -</w:t>
      </w:r>
      <w:r w:rsidRPr="003B3FF2">
        <w:rPr>
          <w:rFonts w:ascii="Century Gothic" w:hAnsi="Century Gothic" w:cs="Century Gothic"/>
          <w:b/>
          <w:bCs/>
          <w:sz w:val="22"/>
          <w:szCs w:val="22"/>
        </w:rPr>
        <w:tab/>
      </w:r>
      <w:r w:rsidR="00491E02">
        <w:rPr>
          <w:rFonts w:ascii="Century Gothic" w:hAnsi="Century Gothic" w:cs="Century Gothic"/>
          <w:bCs/>
          <w:sz w:val="22"/>
          <w:szCs w:val="22"/>
        </w:rPr>
        <w:t>Exhortar a las Unidades Académica</w:t>
      </w:r>
      <w:r w:rsidR="00D76BC5">
        <w:rPr>
          <w:rFonts w:ascii="Century Gothic" w:hAnsi="Century Gothic" w:cs="Century Gothic"/>
          <w:bCs/>
          <w:sz w:val="22"/>
          <w:szCs w:val="22"/>
        </w:rPr>
        <w:t>s</w:t>
      </w:r>
      <w:r w:rsidR="00491E02">
        <w:rPr>
          <w:rFonts w:ascii="Century Gothic" w:hAnsi="Century Gothic" w:cs="Century Gothic"/>
          <w:bCs/>
          <w:sz w:val="22"/>
          <w:szCs w:val="22"/>
        </w:rPr>
        <w:t xml:space="preserve"> y Administrativas de la Institución para que de manera inmediata se inicie el trabajo de recopilación de la información que corresponde a cada uno</w:t>
      </w:r>
      <w:r w:rsidR="00F65DE2">
        <w:rPr>
          <w:rFonts w:ascii="Century Gothic" w:hAnsi="Century Gothic" w:cs="Century Gothic"/>
          <w:bCs/>
          <w:sz w:val="22"/>
          <w:szCs w:val="22"/>
        </w:rPr>
        <w:t xml:space="preserve"> de los indicadores</w:t>
      </w:r>
      <w:r w:rsidR="00491E02">
        <w:rPr>
          <w:rFonts w:ascii="Century Gothic" w:hAnsi="Century Gothic" w:cs="Century Gothic"/>
          <w:bCs/>
          <w:sz w:val="22"/>
          <w:szCs w:val="22"/>
        </w:rPr>
        <w:t xml:space="preserve"> que constan en el documento “Estructura de Indicadores, Modelo Institucional” que se adjunta a la presente.</w:t>
      </w:r>
      <w:r w:rsidR="00F65DE2">
        <w:rPr>
          <w:rFonts w:ascii="Century Gothic" w:hAnsi="Century Gothic" w:cs="Century Gothic"/>
          <w:bCs/>
          <w:sz w:val="22"/>
          <w:szCs w:val="22"/>
        </w:rPr>
        <w:t xml:space="preserve"> </w:t>
      </w:r>
    </w:p>
    <w:p w:rsidR="00C64807" w:rsidRPr="00C47B4A" w:rsidRDefault="00C64807" w:rsidP="00C47B4A">
      <w:pPr>
        <w:ind w:left="2694" w:hanging="1974"/>
        <w:jc w:val="both"/>
        <w:rPr>
          <w:rFonts w:ascii="Century Gothic" w:hAnsi="Century Gothic" w:cs="Century Gothic"/>
          <w:bCs/>
          <w:sz w:val="22"/>
          <w:szCs w:val="22"/>
        </w:rPr>
      </w:pPr>
    </w:p>
    <w:p w:rsidR="00C64807" w:rsidRDefault="004A5DAB" w:rsidP="00C64807">
      <w:pPr>
        <w:ind w:left="2694" w:hanging="1985"/>
        <w:jc w:val="both"/>
        <w:rPr>
          <w:rFonts w:ascii="Century Gothic" w:hAnsi="Century Gothic" w:cs="Century Gothic"/>
          <w:b/>
          <w:bCs/>
          <w:sz w:val="22"/>
          <w:szCs w:val="22"/>
        </w:rPr>
      </w:pPr>
      <w:r w:rsidRPr="003B3FF2">
        <w:rPr>
          <w:rFonts w:ascii="Century Gothic" w:hAnsi="Century Gothic" w:cs="Century Gothic"/>
          <w:b/>
          <w:bCs/>
          <w:sz w:val="22"/>
          <w:szCs w:val="22"/>
        </w:rPr>
        <w:t>CAc-2012-</w:t>
      </w:r>
      <w:r w:rsidR="00491E02">
        <w:rPr>
          <w:rFonts w:ascii="Century Gothic" w:hAnsi="Century Gothic" w:cs="Century Gothic"/>
          <w:b/>
          <w:bCs/>
          <w:sz w:val="22"/>
          <w:szCs w:val="22"/>
        </w:rPr>
        <w:t>218</w:t>
      </w:r>
      <w:r w:rsidRPr="003B3FF2">
        <w:rPr>
          <w:rFonts w:ascii="Century Gothic" w:hAnsi="Century Gothic" w:cs="Century Gothic"/>
          <w:b/>
          <w:bCs/>
          <w:sz w:val="22"/>
          <w:szCs w:val="22"/>
        </w:rPr>
        <w:t xml:space="preserve"> </w:t>
      </w:r>
      <w:r w:rsidR="00AD73C7">
        <w:rPr>
          <w:rFonts w:ascii="Century Gothic" w:hAnsi="Century Gothic" w:cs="Century Gothic"/>
          <w:b/>
          <w:bCs/>
          <w:sz w:val="22"/>
          <w:szCs w:val="22"/>
        </w:rPr>
        <w:t>.</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Pr>
          <w:rFonts w:ascii="Century Gothic" w:hAnsi="Century Gothic" w:cs="Century Gothic"/>
          <w:bCs/>
          <w:sz w:val="22"/>
          <w:szCs w:val="22"/>
        </w:rPr>
        <w:t xml:space="preserve">Dejar pendiente la resolución sobre el pedido formulado por el Programa de Tecnología en Alimentos para que se incluya </w:t>
      </w:r>
      <w:r w:rsidR="00AD73C7">
        <w:rPr>
          <w:rFonts w:ascii="Century Gothic" w:hAnsi="Century Gothic" w:cs="Century Gothic"/>
          <w:bCs/>
          <w:sz w:val="22"/>
          <w:szCs w:val="22"/>
        </w:rPr>
        <w:t xml:space="preserve"> </w:t>
      </w:r>
      <w:r>
        <w:rPr>
          <w:rFonts w:ascii="Century Gothic" w:hAnsi="Century Gothic" w:cs="Century Gothic"/>
          <w:bCs/>
          <w:sz w:val="22"/>
          <w:szCs w:val="22"/>
        </w:rPr>
        <w:t>la materia Fundamentos de Anatomía en la malla curricular de Licenciatura en Nutrición, eliminando en cambio la materia Física.</w:t>
      </w:r>
    </w:p>
    <w:p w:rsidR="00C64807" w:rsidRDefault="00C64807" w:rsidP="00C64807">
      <w:pPr>
        <w:ind w:left="2694" w:hanging="1985"/>
        <w:jc w:val="both"/>
        <w:rPr>
          <w:rFonts w:ascii="Century Gothic" w:hAnsi="Century Gothic" w:cs="Century Gothic"/>
          <w:b/>
          <w:bCs/>
          <w:sz w:val="22"/>
          <w:szCs w:val="22"/>
        </w:rPr>
      </w:pPr>
    </w:p>
    <w:p w:rsidR="00C64807" w:rsidRDefault="00C64807" w:rsidP="00C64807">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sidR="00491E02">
        <w:rPr>
          <w:rFonts w:ascii="Century Gothic" w:hAnsi="Century Gothic" w:cs="Century Gothic"/>
          <w:b/>
          <w:bCs/>
          <w:sz w:val="22"/>
          <w:szCs w:val="22"/>
        </w:rPr>
        <w:t>219</w:t>
      </w:r>
      <w:r w:rsidRPr="003B3FF2">
        <w:rPr>
          <w:rFonts w:ascii="Century Gothic" w:hAnsi="Century Gothic" w:cs="Century Gothic"/>
          <w:b/>
          <w:bCs/>
          <w:sz w:val="22"/>
          <w:szCs w:val="22"/>
        </w:rPr>
        <w:t xml:space="preserve"> </w:t>
      </w:r>
      <w:r w:rsidR="00AD73C7">
        <w:rPr>
          <w:rFonts w:ascii="Century Gothic" w:hAnsi="Century Gothic" w:cs="Century Gothic"/>
          <w:b/>
          <w:bCs/>
          <w:sz w:val="22"/>
          <w:szCs w:val="22"/>
        </w:rPr>
        <w:t>.</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004A5DAB" w:rsidRPr="00AD73C7">
        <w:rPr>
          <w:rFonts w:ascii="Century Gothic" w:hAnsi="Century Gothic" w:cs="Century Gothic"/>
          <w:bCs/>
          <w:sz w:val="22"/>
          <w:szCs w:val="22"/>
        </w:rPr>
        <w:t xml:space="preserve">Dejar pendiente </w:t>
      </w:r>
      <w:r w:rsidR="00AD73C7" w:rsidRPr="00AD73C7">
        <w:rPr>
          <w:rFonts w:ascii="Century Gothic" w:hAnsi="Century Gothic" w:cs="Century Gothic"/>
          <w:bCs/>
          <w:sz w:val="22"/>
          <w:szCs w:val="22"/>
        </w:rPr>
        <w:t>para una próxima sesión el pedido formulado por el Consejo Directivo de la Facultad de Ingeniería Marítima, Ciencias Biológicas, Oceánicas y Recursos Naturales</w:t>
      </w:r>
      <w:r w:rsidR="00AD73C7">
        <w:rPr>
          <w:rFonts w:ascii="Century Gothic" w:hAnsi="Century Gothic" w:cs="Century Gothic"/>
          <w:bCs/>
          <w:sz w:val="22"/>
          <w:szCs w:val="22"/>
        </w:rPr>
        <w:t xml:space="preserve">, para que se establezcan normas o procedimientos para el ingreso a la ESPOL y </w:t>
      </w:r>
      <w:r w:rsidR="00AD73C7">
        <w:rPr>
          <w:rFonts w:ascii="Century Gothic" w:hAnsi="Century Gothic" w:cs="Century Gothic"/>
          <w:bCs/>
          <w:sz w:val="22"/>
          <w:szCs w:val="22"/>
        </w:rPr>
        <w:lastRenderedPageBreak/>
        <w:t>convalidación de materias de estudiantes provenientes de universidades ubicados en las categoría C y D.</w:t>
      </w:r>
    </w:p>
    <w:p w:rsidR="00AD73C7" w:rsidRDefault="00AD73C7" w:rsidP="00C64807">
      <w:pPr>
        <w:ind w:left="2694" w:hanging="1985"/>
        <w:jc w:val="both"/>
        <w:rPr>
          <w:rFonts w:ascii="Century Gothic" w:hAnsi="Century Gothic" w:cs="Century Gothic"/>
          <w:b/>
          <w:bCs/>
          <w:sz w:val="22"/>
          <w:szCs w:val="22"/>
        </w:rPr>
      </w:pPr>
    </w:p>
    <w:p w:rsidR="00AD73C7" w:rsidRPr="00AD73C7" w:rsidRDefault="00AD73C7" w:rsidP="00C64807">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w:t>
      </w:r>
      <w:r w:rsidR="00491E02">
        <w:rPr>
          <w:rFonts w:ascii="Century Gothic" w:hAnsi="Century Gothic" w:cs="Century Gothic"/>
          <w:b/>
          <w:bCs/>
          <w:sz w:val="22"/>
          <w:szCs w:val="22"/>
        </w:rPr>
        <w:t>220</w:t>
      </w:r>
      <w:r w:rsidRPr="003B3FF2">
        <w:rPr>
          <w:rFonts w:ascii="Century Gothic" w:hAnsi="Century Gothic" w:cs="Century Gothic"/>
          <w:b/>
          <w:bCs/>
          <w:sz w:val="22"/>
          <w:szCs w:val="22"/>
        </w:rPr>
        <w:t xml:space="preserve"> </w:t>
      </w:r>
      <w:r>
        <w:rPr>
          <w:rFonts w:ascii="Century Gothic" w:hAnsi="Century Gothic" w:cs="Century Gothic"/>
          <w:b/>
          <w:bCs/>
          <w:sz w:val="22"/>
          <w:szCs w:val="22"/>
        </w:rPr>
        <w:t>.</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Pr>
          <w:rFonts w:ascii="Century Gothic" w:hAnsi="Century Gothic" w:cs="Century Gothic"/>
          <w:bCs/>
          <w:sz w:val="22"/>
          <w:szCs w:val="22"/>
        </w:rPr>
        <w:t xml:space="preserve">Recomendar que se conceda licencia con sueldo a medio tiempo al Dr. Edgar Izquierdo </w:t>
      </w:r>
      <w:r w:rsidR="00845EDD">
        <w:rPr>
          <w:rFonts w:ascii="Century Gothic" w:hAnsi="Century Gothic" w:cs="Century Gothic"/>
          <w:bCs/>
          <w:sz w:val="22"/>
          <w:szCs w:val="22"/>
        </w:rPr>
        <w:t>Orellana, durante el II Término del año lectivo 2012-2013 para continuar y concluir con el estudio  de investigación dentro del proyecto “International Study of Entrepreneurship Education Outcomes (ISEEO) en la Universidad McMaster de Canadá, prolongando de esta manera la licencia concedida durante el I Término del año lectivo 2012-2013; esto, en concordancia con el pedido que hace el Consejo Directivo de la Facultad de Ingeniería en Electricidad y Computación.</w:t>
      </w:r>
    </w:p>
    <w:p w:rsidR="00D77409" w:rsidRDefault="00D77409" w:rsidP="00D77409">
      <w:pPr>
        <w:ind w:left="2694" w:hanging="1985"/>
        <w:jc w:val="left"/>
        <w:rPr>
          <w:rFonts w:ascii="Century Gothic" w:hAnsi="Century Gothic"/>
          <w:bCs/>
          <w:sz w:val="22"/>
          <w:szCs w:val="22"/>
        </w:rPr>
      </w:pPr>
    </w:p>
    <w:p w:rsidR="00D77409" w:rsidRDefault="0001527E" w:rsidP="0001527E">
      <w:pPr>
        <w:ind w:left="2694" w:hanging="1985"/>
        <w:jc w:val="both"/>
        <w:rPr>
          <w:rFonts w:ascii="Century Gothic" w:hAnsi="Century Gothic" w:cs="Century Gothic"/>
          <w:bCs/>
          <w:sz w:val="22"/>
          <w:szCs w:val="22"/>
        </w:rPr>
      </w:pPr>
      <w:r w:rsidRPr="003B3FF2">
        <w:rPr>
          <w:rFonts w:ascii="Century Gothic" w:hAnsi="Century Gothic" w:cs="Century Gothic"/>
          <w:b/>
          <w:bCs/>
          <w:sz w:val="22"/>
          <w:szCs w:val="22"/>
        </w:rPr>
        <w:t>CAc-2012-</w:t>
      </w:r>
      <w:r w:rsidR="00491E02">
        <w:rPr>
          <w:rFonts w:ascii="Century Gothic" w:hAnsi="Century Gothic" w:cs="Century Gothic"/>
          <w:b/>
          <w:bCs/>
          <w:sz w:val="22"/>
          <w:szCs w:val="22"/>
        </w:rPr>
        <w:t>221</w:t>
      </w:r>
      <w:r w:rsidRPr="003B3FF2">
        <w:rPr>
          <w:rFonts w:ascii="Century Gothic" w:hAnsi="Century Gothic" w:cs="Century Gothic"/>
          <w:b/>
          <w:bCs/>
          <w:sz w:val="22"/>
          <w:szCs w:val="22"/>
        </w:rPr>
        <w:t xml:space="preserve"> </w:t>
      </w:r>
      <w:r>
        <w:rPr>
          <w:rFonts w:ascii="Century Gothic" w:hAnsi="Century Gothic" w:cs="Century Gothic"/>
          <w:b/>
          <w:bCs/>
          <w:sz w:val="22"/>
          <w:szCs w:val="22"/>
        </w:rPr>
        <w:t>.</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Pr>
          <w:rFonts w:ascii="Century Gothic" w:hAnsi="Century Gothic" w:cs="Century Gothic"/>
          <w:bCs/>
          <w:sz w:val="22"/>
          <w:szCs w:val="22"/>
        </w:rPr>
        <w:t>Que la solicitud formulada por el Econ. Federico Bocca Ruiz para que se conceda licencia a tiempo completo por un período de 6 meses, contados a partir del 1 de febrero de 2013, para finalizar su Tesis doctoral  del programa semipresencial  “Doctor Philosophy Degree in Business Administration” en la Universidad de Tulane, pase a informe previo de la Oficina de Relaciones Externas.</w:t>
      </w:r>
    </w:p>
    <w:p w:rsidR="0001527E" w:rsidRDefault="0001527E" w:rsidP="0001527E">
      <w:pPr>
        <w:ind w:left="2694" w:hanging="1985"/>
        <w:jc w:val="both"/>
        <w:rPr>
          <w:rFonts w:ascii="Century Gothic" w:hAnsi="Century Gothic"/>
          <w:bCs/>
          <w:sz w:val="22"/>
          <w:szCs w:val="22"/>
        </w:rPr>
      </w:pPr>
    </w:p>
    <w:p w:rsidR="0001527E" w:rsidRPr="00B97DBE" w:rsidRDefault="0001527E" w:rsidP="0001527E">
      <w:pPr>
        <w:ind w:left="2694" w:hanging="1985"/>
        <w:jc w:val="both"/>
        <w:rPr>
          <w:rFonts w:ascii="Century Gothic" w:hAnsi="Century Gothic"/>
          <w:bCs/>
          <w:sz w:val="22"/>
          <w:szCs w:val="22"/>
        </w:rPr>
      </w:pPr>
      <w:r w:rsidRPr="003B3FF2">
        <w:rPr>
          <w:rFonts w:ascii="Century Gothic" w:hAnsi="Century Gothic" w:cs="Century Gothic"/>
          <w:b/>
          <w:bCs/>
          <w:sz w:val="22"/>
          <w:szCs w:val="22"/>
        </w:rPr>
        <w:t>CAc-2012-</w:t>
      </w:r>
      <w:r w:rsidR="00491E02">
        <w:rPr>
          <w:rFonts w:ascii="Century Gothic" w:hAnsi="Century Gothic" w:cs="Century Gothic"/>
          <w:b/>
          <w:bCs/>
          <w:sz w:val="22"/>
          <w:szCs w:val="22"/>
        </w:rPr>
        <w:t>222</w:t>
      </w:r>
      <w:r w:rsidRPr="003B3FF2">
        <w:rPr>
          <w:rFonts w:ascii="Century Gothic" w:hAnsi="Century Gothic" w:cs="Century Gothic"/>
          <w:b/>
          <w:bCs/>
          <w:sz w:val="22"/>
          <w:szCs w:val="22"/>
        </w:rPr>
        <w:t xml:space="preserve"> </w:t>
      </w:r>
      <w:r>
        <w:rPr>
          <w:rFonts w:ascii="Century Gothic" w:hAnsi="Century Gothic" w:cs="Century Gothic"/>
          <w:b/>
          <w:bCs/>
          <w:sz w:val="22"/>
          <w:szCs w:val="22"/>
        </w:rPr>
        <w:t>.</w:t>
      </w:r>
      <w:r w:rsidRPr="003B3FF2">
        <w:rPr>
          <w:rFonts w:ascii="Century Gothic" w:hAnsi="Century Gothic" w:cs="Century Gothic"/>
          <w:b/>
          <w:bCs/>
          <w:sz w:val="22"/>
          <w:szCs w:val="22"/>
        </w:rPr>
        <w:t>-</w:t>
      </w:r>
      <w:r w:rsidRPr="003B3FF2">
        <w:rPr>
          <w:rFonts w:ascii="Century Gothic" w:hAnsi="Century Gothic" w:cs="Century Gothic"/>
          <w:b/>
          <w:bCs/>
          <w:sz w:val="22"/>
          <w:szCs w:val="22"/>
        </w:rPr>
        <w:tab/>
      </w:r>
      <w:r w:rsidR="00C5495F">
        <w:rPr>
          <w:rFonts w:ascii="Century Gothic" w:hAnsi="Century Gothic" w:cs="Century Gothic"/>
          <w:bCs/>
          <w:sz w:val="22"/>
          <w:szCs w:val="22"/>
        </w:rPr>
        <w:t>Recomendar al señor Rector que autorice la</w:t>
      </w:r>
      <w:r w:rsidR="00B97DBE" w:rsidRPr="00B97DBE">
        <w:rPr>
          <w:rFonts w:ascii="Century Gothic" w:hAnsi="Century Gothic" w:cs="Century Gothic"/>
          <w:bCs/>
          <w:sz w:val="22"/>
          <w:szCs w:val="22"/>
        </w:rPr>
        <w:t xml:space="preserve"> licencia </w:t>
      </w:r>
      <w:r w:rsidR="00B97DBE">
        <w:rPr>
          <w:rFonts w:ascii="Century Gothic" w:hAnsi="Century Gothic" w:cs="Century Gothic"/>
          <w:bCs/>
          <w:sz w:val="22"/>
          <w:szCs w:val="22"/>
        </w:rPr>
        <w:t xml:space="preserve">sin remuneración </w:t>
      </w:r>
      <w:r w:rsidR="00B97DBE" w:rsidRPr="00B97DBE">
        <w:rPr>
          <w:rFonts w:ascii="Century Gothic" w:hAnsi="Century Gothic" w:cs="Century Gothic"/>
          <w:bCs/>
          <w:sz w:val="22"/>
          <w:szCs w:val="22"/>
        </w:rPr>
        <w:t>por el período del 3 al 14 de diciembre</w:t>
      </w:r>
      <w:r w:rsidR="00B97DBE">
        <w:rPr>
          <w:rFonts w:ascii="Century Gothic" w:hAnsi="Century Gothic" w:cs="Century Gothic"/>
          <w:bCs/>
          <w:sz w:val="22"/>
          <w:szCs w:val="22"/>
        </w:rPr>
        <w:t xml:space="preserve"> de 2012 solicita</w:t>
      </w:r>
      <w:r w:rsidR="005200BE">
        <w:rPr>
          <w:rFonts w:ascii="Century Gothic" w:hAnsi="Century Gothic" w:cs="Century Gothic"/>
          <w:bCs/>
          <w:sz w:val="22"/>
          <w:szCs w:val="22"/>
        </w:rPr>
        <w:t>da</w:t>
      </w:r>
      <w:r w:rsidR="00B97DBE">
        <w:rPr>
          <w:rFonts w:ascii="Century Gothic" w:hAnsi="Century Gothic" w:cs="Century Gothic"/>
          <w:bCs/>
          <w:sz w:val="22"/>
          <w:szCs w:val="22"/>
        </w:rPr>
        <w:t xml:space="preserve"> a la ESPOL por el Consejo de Evaluación, Acreditación</w:t>
      </w:r>
      <w:r w:rsidR="005200BE">
        <w:rPr>
          <w:rFonts w:ascii="Century Gothic" w:hAnsi="Century Gothic" w:cs="Century Gothic"/>
          <w:bCs/>
          <w:sz w:val="22"/>
          <w:szCs w:val="22"/>
        </w:rPr>
        <w:t xml:space="preserve"> y Aseguramiento de la Calidad de la Educación Superior (CEAACES), </w:t>
      </w:r>
      <w:r w:rsidR="003E682F">
        <w:rPr>
          <w:rFonts w:ascii="Century Gothic" w:hAnsi="Century Gothic" w:cs="Century Gothic"/>
          <w:bCs/>
          <w:sz w:val="22"/>
          <w:szCs w:val="22"/>
        </w:rPr>
        <w:t xml:space="preserve">para que los docentes de la Facultad de Economía y Negocios, Dra. María Luisa Granda  y la Dra. </w:t>
      </w:r>
      <w:proofErr w:type="spellStart"/>
      <w:r w:rsidR="003E682F">
        <w:rPr>
          <w:rFonts w:ascii="Century Gothic" w:hAnsi="Century Gothic" w:cs="Century Gothic"/>
          <w:bCs/>
          <w:sz w:val="22"/>
          <w:szCs w:val="22"/>
        </w:rPr>
        <w:t>Heidy</w:t>
      </w:r>
      <w:proofErr w:type="spellEnd"/>
      <w:r w:rsidR="003E682F">
        <w:rPr>
          <w:rFonts w:ascii="Century Gothic" w:hAnsi="Century Gothic" w:cs="Century Gothic"/>
          <w:bCs/>
          <w:sz w:val="22"/>
          <w:szCs w:val="22"/>
        </w:rPr>
        <w:t xml:space="preserve"> </w:t>
      </w:r>
      <w:proofErr w:type="spellStart"/>
      <w:r w:rsidR="003E682F">
        <w:rPr>
          <w:rFonts w:ascii="Century Gothic" w:hAnsi="Century Gothic" w:cs="Century Gothic"/>
          <w:bCs/>
          <w:sz w:val="22"/>
          <w:szCs w:val="22"/>
        </w:rPr>
        <w:t>Pazmiño</w:t>
      </w:r>
      <w:proofErr w:type="spellEnd"/>
      <w:r w:rsidR="003E682F">
        <w:rPr>
          <w:rFonts w:ascii="Century Gothic" w:hAnsi="Century Gothic" w:cs="Century Gothic"/>
          <w:bCs/>
          <w:sz w:val="22"/>
          <w:szCs w:val="22"/>
        </w:rPr>
        <w:t xml:space="preserve"> Franco continúen en el trabajo de Evaluación que realiza ese Organismo.</w:t>
      </w:r>
    </w:p>
    <w:p w:rsidR="005200BE" w:rsidRDefault="005200BE" w:rsidP="0001527E">
      <w:pPr>
        <w:ind w:left="2694" w:hanging="1985"/>
        <w:jc w:val="both"/>
        <w:rPr>
          <w:rFonts w:ascii="Century Gothic" w:hAnsi="Century Gothic" w:cs="Century Gothic"/>
          <w:b/>
          <w:bCs/>
          <w:sz w:val="22"/>
          <w:szCs w:val="22"/>
        </w:rPr>
      </w:pPr>
    </w:p>
    <w:p w:rsidR="00D77409" w:rsidRDefault="00D77409" w:rsidP="0001527E">
      <w:pPr>
        <w:ind w:left="2694" w:hanging="1985"/>
        <w:jc w:val="both"/>
        <w:rPr>
          <w:rFonts w:ascii="Century Gothic" w:hAnsi="Century Gothic"/>
          <w:bCs/>
          <w:sz w:val="22"/>
          <w:szCs w:val="22"/>
        </w:rPr>
      </w:pPr>
    </w:p>
    <w:p w:rsidR="00D77409" w:rsidRDefault="00C5495F" w:rsidP="00C5495F">
      <w:pPr>
        <w:ind w:left="2694" w:hanging="1985"/>
        <w:rPr>
          <w:rFonts w:ascii="Century Gothic" w:hAnsi="Century Gothic"/>
          <w:bCs/>
          <w:sz w:val="22"/>
          <w:szCs w:val="22"/>
        </w:rPr>
      </w:pPr>
      <w:r>
        <w:rPr>
          <w:rFonts w:ascii="Century Gothic" w:hAnsi="Century Gothic"/>
          <w:bCs/>
          <w:sz w:val="22"/>
          <w:szCs w:val="22"/>
        </w:rPr>
        <w:t>&lt;&lt;&lt;&lt;&lt;&lt;&gt;&gt;&gt;&gt;&gt;&gt;</w:t>
      </w: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D77409" w:rsidRDefault="00D77409" w:rsidP="00D77409">
      <w:pPr>
        <w:ind w:left="2694" w:hanging="1985"/>
        <w:jc w:val="left"/>
        <w:rPr>
          <w:rFonts w:ascii="Century Gothic" w:hAnsi="Century Gothic"/>
          <w:bCs/>
          <w:sz w:val="22"/>
          <w:szCs w:val="22"/>
        </w:rPr>
      </w:pPr>
    </w:p>
    <w:p w:rsidR="003B3FF2" w:rsidRDefault="003B3FF2" w:rsidP="003B3FF2">
      <w:pPr>
        <w:ind w:left="2694" w:hanging="1985"/>
        <w:rPr>
          <w:rFonts w:ascii="Century Gothic" w:hAnsi="Century Gothic"/>
          <w:bCs/>
          <w:sz w:val="22"/>
          <w:szCs w:val="22"/>
        </w:rPr>
      </w:pPr>
    </w:p>
    <w:p w:rsidR="0037354A" w:rsidRDefault="0037354A" w:rsidP="0037354A">
      <w:pPr>
        <w:ind w:left="2694" w:hanging="1985"/>
        <w:jc w:val="both"/>
        <w:rPr>
          <w:rFonts w:ascii="Century Gothic" w:hAnsi="Century Gothic"/>
          <w:bCs/>
          <w:sz w:val="22"/>
          <w:szCs w:val="22"/>
        </w:rPr>
      </w:pPr>
    </w:p>
    <w:sectPr w:rsidR="0037354A" w:rsidSect="00722AC1">
      <w:headerReference w:type="default" r:id="rId8"/>
      <w:footerReference w:type="default" r:id="rId9"/>
      <w:pgSz w:w="11906" w:h="16838"/>
      <w:pgMar w:top="2552" w:right="127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9EA" w:rsidRDefault="007579EA">
      <w:r>
        <w:separator/>
      </w:r>
    </w:p>
  </w:endnote>
  <w:endnote w:type="continuationSeparator" w:id="0">
    <w:p w:rsidR="007579EA" w:rsidRDefault="00757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FF" w:rsidRPr="001C4C48" w:rsidRDefault="00DA46FF" w:rsidP="001C4C48">
    <w:pPr>
      <w:pStyle w:val="Piedepgina"/>
      <w:rPr>
        <w:rFonts w:ascii="Century Gothic" w:hAnsi="Century Gothic"/>
      </w:rPr>
    </w:pPr>
    <w:r w:rsidRPr="001C4C48">
      <w:rPr>
        <w:rFonts w:ascii="Century Gothic" w:hAnsi="Century Gothic"/>
      </w:rPr>
      <w:t>Resoluciones de Comisión Académica acordadas el</w:t>
    </w:r>
    <w:r>
      <w:rPr>
        <w:rFonts w:ascii="Century Gothic" w:hAnsi="Century Gothic"/>
      </w:rPr>
      <w:t xml:space="preserve"> </w:t>
    </w:r>
    <w:r w:rsidRPr="001C4C48">
      <w:rPr>
        <w:rFonts w:ascii="Century Gothic" w:hAnsi="Century Gothic"/>
      </w:rPr>
      <w:t xml:space="preserve"> </w:t>
    </w:r>
    <w:r>
      <w:rPr>
        <w:rFonts w:ascii="Century Gothic" w:hAnsi="Century Gothic"/>
      </w:rPr>
      <w:t xml:space="preserve">1 de noviembre </w:t>
    </w:r>
    <w:r w:rsidRPr="001C4C48">
      <w:rPr>
        <w:rFonts w:ascii="Century Gothic" w:hAnsi="Century Gothic"/>
      </w:rPr>
      <w:t>de 2012</w:t>
    </w:r>
  </w:p>
  <w:p w:rsidR="00DA46FF" w:rsidRPr="00D62522" w:rsidRDefault="00DA46FF" w:rsidP="00D62522">
    <w:pPr>
      <w:pStyle w:val="Piedepgina"/>
      <w:rPr>
        <w:rFonts w:ascii="Century Gothic" w:hAnsi="Century Gothic"/>
        <w:sz w:val="18"/>
        <w:szCs w:val="18"/>
      </w:rPr>
    </w:pPr>
  </w:p>
  <w:p w:rsidR="00DA46FF" w:rsidRDefault="00DA46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9EA" w:rsidRDefault="007579EA">
      <w:r>
        <w:separator/>
      </w:r>
    </w:p>
  </w:footnote>
  <w:footnote w:type="continuationSeparator" w:id="0">
    <w:p w:rsidR="007579EA" w:rsidRDefault="00757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6FF" w:rsidRDefault="0049706F" w:rsidP="001A5C7E">
    <w:pPr>
      <w:pStyle w:val="Encabezado"/>
      <w:framePr w:wrap="auto" w:vAnchor="text" w:hAnchor="page" w:x="10231" w:y="492"/>
      <w:ind w:left="0"/>
      <w:jc w:val="both"/>
      <w:rPr>
        <w:rStyle w:val="Nmerodepgina"/>
      </w:rPr>
    </w:pPr>
    <w:r>
      <w:rPr>
        <w:rStyle w:val="Nmerodepgina"/>
      </w:rPr>
      <w:fldChar w:fldCharType="begin"/>
    </w:r>
    <w:r w:rsidR="00DA46FF">
      <w:rPr>
        <w:rStyle w:val="Nmerodepgina"/>
      </w:rPr>
      <w:instrText xml:space="preserve">PAGE  </w:instrText>
    </w:r>
    <w:r>
      <w:rPr>
        <w:rStyle w:val="Nmerodepgina"/>
      </w:rPr>
      <w:fldChar w:fldCharType="separate"/>
    </w:r>
    <w:r w:rsidR="00094213">
      <w:rPr>
        <w:rStyle w:val="Nmerodepgina"/>
        <w:noProof/>
      </w:rPr>
      <w:t>4</w:t>
    </w:r>
    <w:r>
      <w:rPr>
        <w:rStyle w:val="Nmerodepgina"/>
      </w:rPr>
      <w:fldChar w:fldCharType="end"/>
    </w:r>
  </w:p>
  <w:p w:rsidR="00DA46FF" w:rsidRDefault="00DA46FF" w:rsidP="004A77F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5853"/>
    <w:multiLevelType w:val="hybridMultilevel"/>
    <w:tmpl w:val="7444C730"/>
    <w:lvl w:ilvl="0" w:tplc="4DA084F0">
      <w:start w:val="1"/>
      <w:numFmt w:val="lowerLetter"/>
      <w:lvlText w:val="%1)"/>
      <w:lvlJc w:val="left"/>
      <w:pPr>
        <w:ind w:left="3424" w:hanging="360"/>
      </w:pPr>
      <w:rPr>
        <w:rFonts w:hint="default"/>
      </w:rPr>
    </w:lvl>
    <w:lvl w:ilvl="1" w:tplc="0C0A0019" w:tentative="1">
      <w:start w:val="1"/>
      <w:numFmt w:val="lowerLetter"/>
      <w:lvlText w:val="%2."/>
      <w:lvlJc w:val="left"/>
      <w:pPr>
        <w:ind w:left="4144" w:hanging="360"/>
      </w:pPr>
    </w:lvl>
    <w:lvl w:ilvl="2" w:tplc="0C0A001B" w:tentative="1">
      <w:start w:val="1"/>
      <w:numFmt w:val="lowerRoman"/>
      <w:lvlText w:val="%3."/>
      <w:lvlJc w:val="right"/>
      <w:pPr>
        <w:ind w:left="4864" w:hanging="180"/>
      </w:pPr>
    </w:lvl>
    <w:lvl w:ilvl="3" w:tplc="0C0A000F" w:tentative="1">
      <w:start w:val="1"/>
      <w:numFmt w:val="decimal"/>
      <w:lvlText w:val="%4."/>
      <w:lvlJc w:val="left"/>
      <w:pPr>
        <w:ind w:left="5584" w:hanging="360"/>
      </w:pPr>
    </w:lvl>
    <w:lvl w:ilvl="4" w:tplc="0C0A0019" w:tentative="1">
      <w:start w:val="1"/>
      <w:numFmt w:val="lowerLetter"/>
      <w:lvlText w:val="%5."/>
      <w:lvlJc w:val="left"/>
      <w:pPr>
        <w:ind w:left="6304" w:hanging="360"/>
      </w:pPr>
    </w:lvl>
    <w:lvl w:ilvl="5" w:tplc="0C0A001B" w:tentative="1">
      <w:start w:val="1"/>
      <w:numFmt w:val="lowerRoman"/>
      <w:lvlText w:val="%6."/>
      <w:lvlJc w:val="right"/>
      <w:pPr>
        <w:ind w:left="7024" w:hanging="180"/>
      </w:pPr>
    </w:lvl>
    <w:lvl w:ilvl="6" w:tplc="0C0A000F" w:tentative="1">
      <w:start w:val="1"/>
      <w:numFmt w:val="decimal"/>
      <w:lvlText w:val="%7."/>
      <w:lvlJc w:val="left"/>
      <w:pPr>
        <w:ind w:left="7744" w:hanging="360"/>
      </w:pPr>
    </w:lvl>
    <w:lvl w:ilvl="7" w:tplc="0C0A0019" w:tentative="1">
      <w:start w:val="1"/>
      <w:numFmt w:val="lowerLetter"/>
      <w:lvlText w:val="%8."/>
      <w:lvlJc w:val="left"/>
      <w:pPr>
        <w:ind w:left="8464" w:hanging="360"/>
      </w:pPr>
    </w:lvl>
    <w:lvl w:ilvl="8" w:tplc="0C0A001B" w:tentative="1">
      <w:start w:val="1"/>
      <w:numFmt w:val="lowerRoman"/>
      <w:lvlText w:val="%9."/>
      <w:lvlJc w:val="right"/>
      <w:pPr>
        <w:ind w:left="9184" w:hanging="180"/>
      </w:pPr>
    </w:lvl>
  </w:abstractNum>
  <w:abstractNum w:abstractNumId="1">
    <w:nsid w:val="22CD435E"/>
    <w:multiLevelType w:val="hybridMultilevel"/>
    <w:tmpl w:val="455A1CBA"/>
    <w:lvl w:ilvl="0" w:tplc="8062D620">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2">
    <w:nsid w:val="27233186"/>
    <w:multiLevelType w:val="hybridMultilevel"/>
    <w:tmpl w:val="1F904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4C43C7"/>
    <w:multiLevelType w:val="hybridMultilevel"/>
    <w:tmpl w:val="FF982494"/>
    <w:lvl w:ilvl="0" w:tplc="DCCE44A0">
      <w:start w:val="1"/>
      <w:numFmt w:val="lowerLetter"/>
      <w:lvlText w:val="%1)"/>
      <w:lvlJc w:val="left"/>
      <w:pPr>
        <w:ind w:left="2844" w:hanging="360"/>
      </w:pPr>
      <w:rPr>
        <w:rFonts w:hint="default"/>
      </w:r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4">
    <w:nsid w:val="2E7B731B"/>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5">
    <w:nsid w:val="312D3C02"/>
    <w:multiLevelType w:val="hybridMultilevel"/>
    <w:tmpl w:val="6F64C3B8"/>
    <w:lvl w:ilvl="0" w:tplc="CB8C49FA">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6">
    <w:nsid w:val="45911DD5"/>
    <w:multiLevelType w:val="hybridMultilevel"/>
    <w:tmpl w:val="415CDD6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46DE0367"/>
    <w:multiLevelType w:val="hybridMultilevel"/>
    <w:tmpl w:val="F8767A9C"/>
    <w:lvl w:ilvl="0" w:tplc="174C2746">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8">
    <w:nsid w:val="51BA0ED3"/>
    <w:multiLevelType w:val="hybridMultilevel"/>
    <w:tmpl w:val="A218DCCC"/>
    <w:lvl w:ilvl="0" w:tplc="073CD77E">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9">
    <w:nsid w:val="527B6D2E"/>
    <w:multiLevelType w:val="hybridMultilevel"/>
    <w:tmpl w:val="765E84D2"/>
    <w:lvl w:ilvl="0" w:tplc="FB962E10">
      <w:start w:val="1"/>
      <w:numFmt w:val="bullet"/>
      <w:lvlText w:val=""/>
      <w:lvlJc w:val="left"/>
      <w:pPr>
        <w:tabs>
          <w:tab w:val="num" w:pos="5040"/>
        </w:tabs>
        <w:ind w:left="50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2955E4"/>
    <w:multiLevelType w:val="hybridMultilevel"/>
    <w:tmpl w:val="1E88C402"/>
    <w:lvl w:ilvl="0" w:tplc="1340C7F8">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1">
    <w:nsid w:val="58673FFB"/>
    <w:multiLevelType w:val="hybridMultilevel"/>
    <w:tmpl w:val="301E7360"/>
    <w:lvl w:ilvl="0" w:tplc="3C226034">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2">
    <w:nsid w:val="606707D3"/>
    <w:multiLevelType w:val="hybridMultilevel"/>
    <w:tmpl w:val="7B6422EE"/>
    <w:lvl w:ilvl="0" w:tplc="5A6072B2">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13">
    <w:nsid w:val="61D14867"/>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14">
    <w:nsid w:val="71285C5F"/>
    <w:multiLevelType w:val="hybridMultilevel"/>
    <w:tmpl w:val="FAA88404"/>
    <w:lvl w:ilvl="0" w:tplc="E1A4F3FE">
      <w:start w:val="1"/>
      <w:numFmt w:val="lowerLetter"/>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5">
    <w:nsid w:val="78F360CF"/>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16">
    <w:nsid w:val="78FD6766"/>
    <w:multiLevelType w:val="hybridMultilevel"/>
    <w:tmpl w:val="DFC2AB66"/>
    <w:lvl w:ilvl="0" w:tplc="E124AC34">
      <w:start w:val="1"/>
      <w:numFmt w:val="lowerLetter"/>
      <w:lvlText w:val="%1)"/>
      <w:lvlJc w:val="left"/>
      <w:pPr>
        <w:ind w:left="3064" w:hanging="360"/>
      </w:pPr>
      <w:rPr>
        <w:rFonts w:cs="Century Gothic" w:hint="default"/>
        <w:b/>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17">
    <w:nsid w:val="79046F45"/>
    <w:multiLevelType w:val="hybridMultilevel"/>
    <w:tmpl w:val="85E63166"/>
    <w:lvl w:ilvl="0" w:tplc="36189E8A">
      <w:start w:val="1"/>
      <w:numFmt w:val="lowerLetter"/>
      <w:lvlText w:val="%1)"/>
      <w:lvlJc w:val="left"/>
      <w:pPr>
        <w:ind w:left="3064" w:hanging="360"/>
      </w:pPr>
      <w:rPr>
        <w:rFonts w:hint="default"/>
      </w:rPr>
    </w:lvl>
    <w:lvl w:ilvl="1" w:tplc="0C0A0019">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num w:numId="1">
    <w:abstractNumId w:val="5"/>
  </w:num>
  <w:num w:numId="2">
    <w:abstractNumId w:val="0"/>
  </w:num>
  <w:num w:numId="3">
    <w:abstractNumId w:val="14"/>
  </w:num>
  <w:num w:numId="4">
    <w:abstractNumId w:val="7"/>
  </w:num>
  <w:num w:numId="5">
    <w:abstractNumId w:val="11"/>
  </w:num>
  <w:num w:numId="6">
    <w:abstractNumId w:val="10"/>
  </w:num>
  <w:num w:numId="7">
    <w:abstractNumId w:val="3"/>
  </w:num>
  <w:num w:numId="8">
    <w:abstractNumId w:val="2"/>
  </w:num>
  <w:num w:numId="9">
    <w:abstractNumId w:val="13"/>
  </w:num>
  <w:num w:numId="10">
    <w:abstractNumId w:val="15"/>
  </w:num>
  <w:num w:numId="11">
    <w:abstractNumId w:val="9"/>
  </w:num>
  <w:num w:numId="12">
    <w:abstractNumId w:val="4"/>
  </w:num>
  <w:num w:numId="13">
    <w:abstractNumId w:val="16"/>
  </w:num>
  <w:num w:numId="14">
    <w:abstractNumId w:val="1"/>
  </w:num>
  <w:num w:numId="15">
    <w:abstractNumId w:val="12"/>
  </w:num>
  <w:num w:numId="16">
    <w:abstractNumId w:val="8"/>
  </w:num>
  <w:num w:numId="17">
    <w:abstractNumId w:val="6"/>
  </w:num>
  <w:num w:numId="18">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74D0E"/>
    <w:rsid w:val="00001D1E"/>
    <w:rsid w:val="0000363D"/>
    <w:rsid w:val="000104E9"/>
    <w:rsid w:val="000120B1"/>
    <w:rsid w:val="0001527E"/>
    <w:rsid w:val="000162C3"/>
    <w:rsid w:val="00017724"/>
    <w:rsid w:val="00031986"/>
    <w:rsid w:val="0003400B"/>
    <w:rsid w:val="0003471C"/>
    <w:rsid w:val="00037AEA"/>
    <w:rsid w:val="0004438D"/>
    <w:rsid w:val="0004482A"/>
    <w:rsid w:val="000647FB"/>
    <w:rsid w:val="00083EF8"/>
    <w:rsid w:val="000842BD"/>
    <w:rsid w:val="00090D90"/>
    <w:rsid w:val="0009335B"/>
    <w:rsid w:val="00094213"/>
    <w:rsid w:val="00096C73"/>
    <w:rsid w:val="000A1323"/>
    <w:rsid w:val="000A5541"/>
    <w:rsid w:val="000A7C51"/>
    <w:rsid w:val="000C0709"/>
    <w:rsid w:val="000C2C72"/>
    <w:rsid w:val="000C5C0B"/>
    <w:rsid w:val="000E0E9F"/>
    <w:rsid w:val="000E3C58"/>
    <w:rsid w:val="000E6171"/>
    <w:rsid w:val="000E703C"/>
    <w:rsid w:val="000F154D"/>
    <w:rsid w:val="000F18E0"/>
    <w:rsid w:val="000F590F"/>
    <w:rsid w:val="000F602E"/>
    <w:rsid w:val="000F7376"/>
    <w:rsid w:val="0010525B"/>
    <w:rsid w:val="0010556D"/>
    <w:rsid w:val="001057C9"/>
    <w:rsid w:val="00120E19"/>
    <w:rsid w:val="0012523E"/>
    <w:rsid w:val="00125585"/>
    <w:rsid w:val="00126B2D"/>
    <w:rsid w:val="00131024"/>
    <w:rsid w:val="00137863"/>
    <w:rsid w:val="00144E25"/>
    <w:rsid w:val="00155FA1"/>
    <w:rsid w:val="00157EA9"/>
    <w:rsid w:val="00163CDE"/>
    <w:rsid w:val="00164142"/>
    <w:rsid w:val="00164152"/>
    <w:rsid w:val="00171515"/>
    <w:rsid w:val="00177B7E"/>
    <w:rsid w:val="0018516B"/>
    <w:rsid w:val="00186C32"/>
    <w:rsid w:val="00187671"/>
    <w:rsid w:val="00197262"/>
    <w:rsid w:val="001A5C7E"/>
    <w:rsid w:val="001A662B"/>
    <w:rsid w:val="001A66B1"/>
    <w:rsid w:val="001A74BE"/>
    <w:rsid w:val="001B2C45"/>
    <w:rsid w:val="001C4C48"/>
    <w:rsid w:val="001C621B"/>
    <w:rsid w:val="001D2CB7"/>
    <w:rsid w:val="001D32DA"/>
    <w:rsid w:val="001E1F9E"/>
    <w:rsid w:val="001E4871"/>
    <w:rsid w:val="001E50C8"/>
    <w:rsid w:val="001E6A7E"/>
    <w:rsid w:val="001E75B4"/>
    <w:rsid w:val="001F082E"/>
    <w:rsid w:val="001F21F1"/>
    <w:rsid w:val="00216DA3"/>
    <w:rsid w:val="00221365"/>
    <w:rsid w:val="002229E2"/>
    <w:rsid w:val="0022394B"/>
    <w:rsid w:val="0022566B"/>
    <w:rsid w:val="002264EE"/>
    <w:rsid w:val="00226C98"/>
    <w:rsid w:val="00227737"/>
    <w:rsid w:val="00230E60"/>
    <w:rsid w:val="00245520"/>
    <w:rsid w:val="00247171"/>
    <w:rsid w:val="00253B13"/>
    <w:rsid w:val="00256214"/>
    <w:rsid w:val="0026475F"/>
    <w:rsid w:val="00264B66"/>
    <w:rsid w:val="002745FF"/>
    <w:rsid w:val="0027486D"/>
    <w:rsid w:val="00276F1A"/>
    <w:rsid w:val="00292745"/>
    <w:rsid w:val="00293790"/>
    <w:rsid w:val="00295433"/>
    <w:rsid w:val="002963A1"/>
    <w:rsid w:val="002A49D3"/>
    <w:rsid w:val="002A4C9D"/>
    <w:rsid w:val="002B332C"/>
    <w:rsid w:val="002B4363"/>
    <w:rsid w:val="002C40F9"/>
    <w:rsid w:val="002D0C93"/>
    <w:rsid w:val="002D2950"/>
    <w:rsid w:val="002D2BA3"/>
    <w:rsid w:val="002D4658"/>
    <w:rsid w:val="002D540D"/>
    <w:rsid w:val="002D5994"/>
    <w:rsid w:val="002D7FC2"/>
    <w:rsid w:val="002E1590"/>
    <w:rsid w:val="002E5EEA"/>
    <w:rsid w:val="002E712C"/>
    <w:rsid w:val="002E779B"/>
    <w:rsid w:val="002F0614"/>
    <w:rsid w:val="002F1487"/>
    <w:rsid w:val="002F3042"/>
    <w:rsid w:val="002F5558"/>
    <w:rsid w:val="002F5E1D"/>
    <w:rsid w:val="002F7BE1"/>
    <w:rsid w:val="00300031"/>
    <w:rsid w:val="00302298"/>
    <w:rsid w:val="00304155"/>
    <w:rsid w:val="003051E0"/>
    <w:rsid w:val="00305862"/>
    <w:rsid w:val="003067A0"/>
    <w:rsid w:val="00312A66"/>
    <w:rsid w:val="00320A31"/>
    <w:rsid w:val="00321B10"/>
    <w:rsid w:val="003267F2"/>
    <w:rsid w:val="003330E9"/>
    <w:rsid w:val="00333273"/>
    <w:rsid w:val="0034194A"/>
    <w:rsid w:val="00355A19"/>
    <w:rsid w:val="00357825"/>
    <w:rsid w:val="00371A60"/>
    <w:rsid w:val="003728C0"/>
    <w:rsid w:val="0037354A"/>
    <w:rsid w:val="00375F28"/>
    <w:rsid w:val="00377E0E"/>
    <w:rsid w:val="00381E49"/>
    <w:rsid w:val="00383898"/>
    <w:rsid w:val="00386029"/>
    <w:rsid w:val="00386DB6"/>
    <w:rsid w:val="00387717"/>
    <w:rsid w:val="00391685"/>
    <w:rsid w:val="00393442"/>
    <w:rsid w:val="00393F16"/>
    <w:rsid w:val="0039442F"/>
    <w:rsid w:val="003A1606"/>
    <w:rsid w:val="003A2AE6"/>
    <w:rsid w:val="003A366F"/>
    <w:rsid w:val="003A5618"/>
    <w:rsid w:val="003B13A4"/>
    <w:rsid w:val="003B1636"/>
    <w:rsid w:val="003B3FF2"/>
    <w:rsid w:val="003B5B2B"/>
    <w:rsid w:val="003B7F02"/>
    <w:rsid w:val="003C569D"/>
    <w:rsid w:val="003D62D2"/>
    <w:rsid w:val="003D7810"/>
    <w:rsid w:val="003E10C3"/>
    <w:rsid w:val="003E4A78"/>
    <w:rsid w:val="003E5CB3"/>
    <w:rsid w:val="003E682F"/>
    <w:rsid w:val="003F408D"/>
    <w:rsid w:val="00401775"/>
    <w:rsid w:val="004036BF"/>
    <w:rsid w:val="00411EED"/>
    <w:rsid w:val="00423467"/>
    <w:rsid w:val="004309C4"/>
    <w:rsid w:val="004325DD"/>
    <w:rsid w:val="0043468C"/>
    <w:rsid w:val="00444891"/>
    <w:rsid w:val="0044586C"/>
    <w:rsid w:val="0044677E"/>
    <w:rsid w:val="00447EC0"/>
    <w:rsid w:val="00454B2F"/>
    <w:rsid w:val="00460462"/>
    <w:rsid w:val="004612D7"/>
    <w:rsid w:val="0047184E"/>
    <w:rsid w:val="00472D52"/>
    <w:rsid w:val="00480C8D"/>
    <w:rsid w:val="00486568"/>
    <w:rsid w:val="00491D66"/>
    <w:rsid w:val="00491E02"/>
    <w:rsid w:val="00492075"/>
    <w:rsid w:val="00495788"/>
    <w:rsid w:val="0049706F"/>
    <w:rsid w:val="00497729"/>
    <w:rsid w:val="004A20C0"/>
    <w:rsid w:val="004A451C"/>
    <w:rsid w:val="004A5DAB"/>
    <w:rsid w:val="004A60AF"/>
    <w:rsid w:val="004A77F2"/>
    <w:rsid w:val="004B159F"/>
    <w:rsid w:val="004B1BBD"/>
    <w:rsid w:val="004B2825"/>
    <w:rsid w:val="004B4478"/>
    <w:rsid w:val="004C0184"/>
    <w:rsid w:val="004C0627"/>
    <w:rsid w:val="004C43C8"/>
    <w:rsid w:val="004C5635"/>
    <w:rsid w:val="004F228B"/>
    <w:rsid w:val="004F2E72"/>
    <w:rsid w:val="00504B98"/>
    <w:rsid w:val="00506373"/>
    <w:rsid w:val="00506BAD"/>
    <w:rsid w:val="00511EB7"/>
    <w:rsid w:val="005145E3"/>
    <w:rsid w:val="00514926"/>
    <w:rsid w:val="00515170"/>
    <w:rsid w:val="00516C3A"/>
    <w:rsid w:val="00516C53"/>
    <w:rsid w:val="0051734A"/>
    <w:rsid w:val="005200BE"/>
    <w:rsid w:val="005210B6"/>
    <w:rsid w:val="00522317"/>
    <w:rsid w:val="00523E40"/>
    <w:rsid w:val="0052684F"/>
    <w:rsid w:val="0052689D"/>
    <w:rsid w:val="005335FB"/>
    <w:rsid w:val="005357F7"/>
    <w:rsid w:val="00536D1D"/>
    <w:rsid w:val="00537B19"/>
    <w:rsid w:val="00537FB8"/>
    <w:rsid w:val="0054442E"/>
    <w:rsid w:val="00545E9E"/>
    <w:rsid w:val="005475AB"/>
    <w:rsid w:val="00550620"/>
    <w:rsid w:val="00562FB0"/>
    <w:rsid w:val="005635BE"/>
    <w:rsid w:val="005761B7"/>
    <w:rsid w:val="0057698D"/>
    <w:rsid w:val="00581910"/>
    <w:rsid w:val="00581AFE"/>
    <w:rsid w:val="00590F5D"/>
    <w:rsid w:val="005941CC"/>
    <w:rsid w:val="005A2A14"/>
    <w:rsid w:val="005A7C87"/>
    <w:rsid w:val="005B2F9C"/>
    <w:rsid w:val="005C6134"/>
    <w:rsid w:val="005C6C89"/>
    <w:rsid w:val="005E23FC"/>
    <w:rsid w:val="005E3A6B"/>
    <w:rsid w:val="005F175D"/>
    <w:rsid w:val="005F79D0"/>
    <w:rsid w:val="00604B69"/>
    <w:rsid w:val="00605194"/>
    <w:rsid w:val="00607514"/>
    <w:rsid w:val="00615C5D"/>
    <w:rsid w:val="00616122"/>
    <w:rsid w:val="00616374"/>
    <w:rsid w:val="00622084"/>
    <w:rsid w:val="00625893"/>
    <w:rsid w:val="00627062"/>
    <w:rsid w:val="0063712A"/>
    <w:rsid w:val="00640078"/>
    <w:rsid w:val="0064723B"/>
    <w:rsid w:val="00650BD7"/>
    <w:rsid w:val="006527FC"/>
    <w:rsid w:val="00654C32"/>
    <w:rsid w:val="0065606C"/>
    <w:rsid w:val="00657189"/>
    <w:rsid w:val="006572FB"/>
    <w:rsid w:val="00660E63"/>
    <w:rsid w:val="00663030"/>
    <w:rsid w:val="006639DC"/>
    <w:rsid w:val="00666582"/>
    <w:rsid w:val="00675DB2"/>
    <w:rsid w:val="00683063"/>
    <w:rsid w:val="0068394A"/>
    <w:rsid w:val="00685122"/>
    <w:rsid w:val="00686213"/>
    <w:rsid w:val="00687E17"/>
    <w:rsid w:val="00693B5A"/>
    <w:rsid w:val="00694F9E"/>
    <w:rsid w:val="006A0CFD"/>
    <w:rsid w:val="006A4CC0"/>
    <w:rsid w:val="006A4D06"/>
    <w:rsid w:val="006B2EA2"/>
    <w:rsid w:val="006B3509"/>
    <w:rsid w:val="006B5977"/>
    <w:rsid w:val="006B7E04"/>
    <w:rsid w:val="006C431A"/>
    <w:rsid w:val="006C6C39"/>
    <w:rsid w:val="006D1E34"/>
    <w:rsid w:val="006D292C"/>
    <w:rsid w:val="006D2B5D"/>
    <w:rsid w:val="006E374E"/>
    <w:rsid w:val="006E64CA"/>
    <w:rsid w:val="006F0FC2"/>
    <w:rsid w:val="006F566A"/>
    <w:rsid w:val="006F5D96"/>
    <w:rsid w:val="00700B77"/>
    <w:rsid w:val="00702575"/>
    <w:rsid w:val="00704D8A"/>
    <w:rsid w:val="007109E0"/>
    <w:rsid w:val="0071161C"/>
    <w:rsid w:val="0071684D"/>
    <w:rsid w:val="00722AC1"/>
    <w:rsid w:val="00726863"/>
    <w:rsid w:val="0073135F"/>
    <w:rsid w:val="00737FE7"/>
    <w:rsid w:val="00740F30"/>
    <w:rsid w:val="007421A9"/>
    <w:rsid w:val="00754502"/>
    <w:rsid w:val="007579EA"/>
    <w:rsid w:val="00761F07"/>
    <w:rsid w:val="007719D1"/>
    <w:rsid w:val="00777D4E"/>
    <w:rsid w:val="00784F94"/>
    <w:rsid w:val="007854BD"/>
    <w:rsid w:val="00786FC1"/>
    <w:rsid w:val="00790101"/>
    <w:rsid w:val="00790810"/>
    <w:rsid w:val="00797B55"/>
    <w:rsid w:val="007A7D30"/>
    <w:rsid w:val="007B28B8"/>
    <w:rsid w:val="007B3033"/>
    <w:rsid w:val="007C086C"/>
    <w:rsid w:val="007D3885"/>
    <w:rsid w:val="007D3D8C"/>
    <w:rsid w:val="007E2BDA"/>
    <w:rsid w:val="007E4489"/>
    <w:rsid w:val="007F0CA0"/>
    <w:rsid w:val="007F350E"/>
    <w:rsid w:val="007F48DB"/>
    <w:rsid w:val="007F5D6E"/>
    <w:rsid w:val="007F5D8B"/>
    <w:rsid w:val="00817504"/>
    <w:rsid w:val="008304D4"/>
    <w:rsid w:val="0083476A"/>
    <w:rsid w:val="008405D6"/>
    <w:rsid w:val="00845EDD"/>
    <w:rsid w:val="00851A8A"/>
    <w:rsid w:val="008520CE"/>
    <w:rsid w:val="008579C6"/>
    <w:rsid w:val="00863A5B"/>
    <w:rsid w:val="00875BB3"/>
    <w:rsid w:val="00881A21"/>
    <w:rsid w:val="00882469"/>
    <w:rsid w:val="00884E47"/>
    <w:rsid w:val="00894088"/>
    <w:rsid w:val="00897B37"/>
    <w:rsid w:val="008A4869"/>
    <w:rsid w:val="008A6876"/>
    <w:rsid w:val="008B3CCF"/>
    <w:rsid w:val="008C32C5"/>
    <w:rsid w:val="008C455D"/>
    <w:rsid w:val="008C7229"/>
    <w:rsid w:val="008C7A76"/>
    <w:rsid w:val="008D7340"/>
    <w:rsid w:val="008E3AD7"/>
    <w:rsid w:val="008E5ABF"/>
    <w:rsid w:val="008E780E"/>
    <w:rsid w:val="008F2ADF"/>
    <w:rsid w:val="00906EAD"/>
    <w:rsid w:val="00914D6E"/>
    <w:rsid w:val="00922000"/>
    <w:rsid w:val="009354CC"/>
    <w:rsid w:val="00936732"/>
    <w:rsid w:val="00943F92"/>
    <w:rsid w:val="00944040"/>
    <w:rsid w:val="00944473"/>
    <w:rsid w:val="00947773"/>
    <w:rsid w:val="00952511"/>
    <w:rsid w:val="00952BC9"/>
    <w:rsid w:val="0096306F"/>
    <w:rsid w:val="00967F01"/>
    <w:rsid w:val="00972B48"/>
    <w:rsid w:val="00976583"/>
    <w:rsid w:val="00984153"/>
    <w:rsid w:val="00984D87"/>
    <w:rsid w:val="00985C85"/>
    <w:rsid w:val="00994B03"/>
    <w:rsid w:val="00994D38"/>
    <w:rsid w:val="00997867"/>
    <w:rsid w:val="009A00B3"/>
    <w:rsid w:val="009A0A82"/>
    <w:rsid w:val="009A2646"/>
    <w:rsid w:val="009A6C30"/>
    <w:rsid w:val="009A6CC6"/>
    <w:rsid w:val="009C2254"/>
    <w:rsid w:val="009D32E2"/>
    <w:rsid w:val="009E4176"/>
    <w:rsid w:val="009E5E62"/>
    <w:rsid w:val="009F63C4"/>
    <w:rsid w:val="00A045EB"/>
    <w:rsid w:val="00A04904"/>
    <w:rsid w:val="00A0622B"/>
    <w:rsid w:val="00A15ED7"/>
    <w:rsid w:val="00A17021"/>
    <w:rsid w:val="00A177E2"/>
    <w:rsid w:val="00A2413F"/>
    <w:rsid w:val="00A24DDC"/>
    <w:rsid w:val="00A25296"/>
    <w:rsid w:val="00A25F78"/>
    <w:rsid w:val="00A27521"/>
    <w:rsid w:val="00A3115C"/>
    <w:rsid w:val="00A33F6A"/>
    <w:rsid w:val="00A34A04"/>
    <w:rsid w:val="00A52B29"/>
    <w:rsid w:val="00A55201"/>
    <w:rsid w:val="00A5586C"/>
    <w:rsid w:val="00A57CBC"/>
    <w:rsid w:val="00A63DE2"/>
    <w:rsid w:val="00A63E41"/>
    <w:rsid w:val="00A63F68"/>
    <w:rsid w:val="00A6544D"/>
    <w:rsid w:val="00A67BA6"/>
    <w:rsid w:val="00A67CF2"/>
    <w:rsid w:val="00A72A32"/>
    <w:rsid w:val="00A75039"/>
    <w:rsid w:val="00A82553"/>
    <w:rsid w:val="00A82CDE"/>
    <w:rsid w:val="00A83839"/>
    <w:rsid w:val="00A93FBA"/>
    <w:rsid w:val="00A97AD0"/>
    <w:rsid w:val="00AA5FC2"/>
    <w:rsid w:val="00AB181E"/>
    <w:rsid w:val="00AB344B"/>
    <w:rsid w:val="00AB51CB"/>
    <w:rsid w:val="00AB5800"/>
    <w:rsid w:val="00AC1390"/>
    <w:rsid w:val="00AD16AC"/>
    <w:rsid w:val="00AD2033"/>
    <w:rsid w:val="00AD735E"/>
    <w:rsid w:val="00AD73C7"/>
    <w:rsid w:val="00AE148C"/>
    <w:rsid w:val="00AE2CB1"/>
    <w:rsid w:val="00AE4AE2"/>
    <w:rsid w:val="00AE7492"/>
    <w:rsid w:val="00AF2CDF"/>
    <w:rsid w:val="00AF79CE"/>
    <w:rsid w:val="00B04B7F"/>
    <w:rsid w:val="00B05194"/>
    <w:rsid w:val="00B07C6E"/>
    <w:rsid w:val="00B2272D"/>
    <w:rsid w:val="00B23012"/>
    <w:rsid w:val="00B2369A"/>
    <w:rsid w:val="00B24CC3"/>
    <w:rsid w:val="00B2724A"/>
    <w:rsid w:val="00B40995"/>
    <w:rsid w:val="00B43367"/>
    <w:rsid w:val="00B45F6B"/>
    <w:rsid w:val="00B52D25"/>
    <w:rsid w:val="00B52ECC"/>
    <w:rsid w:val="00B565B6"/>
    <w:rsid w:val="00B650CF"/>
    <w:rsid w:val="00B70314"/>
    <w:rsid w:val="00B70538"/>
    <w:rsid w:val="00B73252"/>
    <w:rsid w:val="00B75AD4"/>
    <w:rsid w:val="00B90BD3"/>
    <w:rsid w:val="00B923A5"/>
    <w:rsid w:val="00B97DBE"/>
    <w:rsid w:val="00BA1511"/>
    <w:rsid w:val="00BA4CC1"/>
    <w:rsid w:val="00BA7469"/>
    <w:rsid w:val="00BB0A01"/>
    <w:rsid w:val="00BB7EA3"/>
    <w:rsid w:val="00BC1E2E"/>
    <w:rsid w:val="00BC3462"/>
    <w:rsid w:val="00BC6FEE"/>
    <w:rsid w:val="00BC7D9F"/>
    <w:rsid w:val="00BD67BF"/>
    <w:rsid w:val="00BE226F"/>
    <w:rsid w:val="00BE51EA"/>
    <w:rsid w:val="00BF4719"/>
    <w:rsid w:val="00C035A8"/>
    <w:rsid w:val="00C10302"/>
    <w:rsid w:val="00C21939"/>
    <w:rsid w:val="00C22299"/>
    <w:rsid w:val="00C24B2D"/>
    <w:rsid w:val="00C342B9"/>
    <w:rsid w:val="00C35BCF"/>
    <w:rsid w:val="00C36AFB"/>
    <w:rsid w:val="00C36BC0"/>
    <w:rsid w:val="00C36D3A"/>
    <w:rsid w:val="00C40361"/>
    <w:rsid w:val="00C42FBB"/>
    <w:rsid w:val="00C4414C"/>
    <w:rsid w:val="00C47B4A"/>
    <w:rsid w:val="00C5495F"/>
    <w:rsid w:val="00C64807"/>
    <w:rsid w:val="00C65796"/>
    <w:rsid w:val="00C65ACB"/>
    <w:rsid w:val="00C73629"/>
    <w:rsid w:val="00C84C5C"/>
    <w:rsid w:val="00C87A3E"/>
    <w:rsid w:val="00C9172A"/>
    <w:rsid w:val="00C93FF4"/>
    <w:rsid w:val="00CA31A0"/>
    <w:rsid w:val="00CB0F7F"/>
    <w:rsid w:val="00CC0A2F"/>
    <w:rsid w:val="00CC40FD"/>
    <w:rsid w:val="00CE23DC"/>
    <w:rsid w:val="00CE56F0"/>
    <w:rsid w:val="00CF101E"/>
    <w:rsid w:val="00D00210"/>
    <w:rsid w:val="00D03634"/>
    <w:rsid w:val="00D05325"/>
    <w:rsid w:val="00D055CE"/>
    <w:rsid w:val="00D07CF2"/>
    <w:rsid w:val="00D121F2"/>
    <w:rsid w:val="00D141CD"/>
    <w:rsid w:val="00D30AD4"/>
    <w:rsid w:val="00D31497"/>
    <w:rsid w:val="00D3449A"/>
    <w:rsid w:val="00D412DD"/>
    <w:rsid w:val="00D4687D"/>
    <w:rsid w:val="00D46AF0"/>
    <w:rsid w:val="00D53092"/>
    <w:rsid w:val="00D5582B"/>
    <w:rsid w:val="00D5677D"/>
    <w:rsid w:val="00D56B4E"/>
    <w:rsid w:val="00D56CB4"/>
    <w:rsid w:val="00D577FB"/>
    <w:rsid w:val="00D57A52"/>
    <w:rsid w:val="00D604A1"/>
    <w:rsid w:val="00D62522"/>
    <w:rsid w:val="00D66153"/>
    <w:rsid w:val="00D74D0E"/>
    <w:rsid w:val="00D76BC5"/>
    <w:rsid w:val="00D77409"/>
    <w:rsid w:val="00D776CD"/>
    <w:rsid w:val="00D81E0A"/>
    <w:rsid w:val="00D847B6"/>
    <w:rsid w:val="00D953E2"/>
    <w:rsid w:val="00DA2BEA"/>
    <w:rsid w:val="00DA46FF"/>
    <w:rsid w:val="00DA59E7"/>
    <w:rsid w:val="00DB450B"/>
    <w:rsid w:val="00DB4848"/>
    <w:rsid w:val="00DB4DAD"/>
    <w:rsid w:val="00DC2F51"/>
    <w:rsid w:val="00DC7A92"/>
    <w:rsid w:val="00DD0F59"/>
    <w:rsid w:val="00DD7AA6"/>
    <w:rsid w:val="00DE067B"/>
    <w:rsid w:val="00DE3C0B"/>
    <w:rsid w:val="00DE4754"/>
    <w:rsid w:val="00DE48F4"/>
    <w:rsid w:val="00DE6028"/>
    <w:rsid w:val="00DE682C"/>
    <w:rsid w:val="00DF07EF"/>
    <w:rsid w:val="00DF2DC8"/>
    <w:rsid w:val="00DF699E"/>
    <w:rsid w:val="00DF73EA"/>
    <w:rsid w:val="00DF7916"/>
    <w:rsid w:val="00E00454"/>
    <w:rsid w:val="00E0502C"/>
    <w:rsid w:val="00E119C5"/>
    <w:rsid w:val="00E11FAA"/>
    <w:rsid w:val="00E13FBA"/>
    <w:rsid w:val="00E16C57"/>
    <w:rsid w:val="00E21F47"/>
    <w:rsid w:val="00E32B99"/>
    <w:rsid w:val="00E364E6"/>
    <w:rsid w:val="00E4007B"/>
    <w:rsid w:val="00E41656"/>
    <w:rsid w:val="00E41DB9"/>
    <w:rsid w:val="00E535AC"/>
    <w:rsid w:val="00E53750"/>
    <w:rsid w:val="00E554B9"/>
    <w:rsid w:val="00E65D19"/>
    <w:rsid w:val="00E71070"/>
    <w:rsid w:val="00E718BA"/>
    <w:rsid w:val="00E74C7B"/>
    <w:rsid w:val="00E76A7A"/>
    <w:rsid w:val="00E91F5A"/>
    <w:rsid w:val="00E931D0"/>
    <w:rsid w:val="00E95A7D"/>
    <w:rsid w:val="00E96C2D"/>
    <w:rsid w:val="00EA09D9"/>
    <w:rsid w:val="00EA7FC8"/>
    <w:rsid w:val="00EB372C"/>
    <w:rsid w:val="00EB42C2"/>
    <w:rsid w:val="00EC0AC4"/>
    <w:rsid w:val="00EC4E85"/>
    <w:rsid w:val="00EC64F3"/>
    <w:rsid w:val="00ED2C19"/>
    <w:rsid w:val="00EE0A18"/>
    <w:rsid w:val="00EE2D91"/>
    <w:rsid w:val="00EE65ED"/>
    <w:rsid w:val="00EF0B17"/>
    <w:rsid w:val="00EF216B"/>
    <w:rsid w:val="00EF4EEC"/>
    <w:rsid w:val="00EF692E"/>
    <w:rsid w:val="00F0088F"/>
    <w:rsid w:val="00F01217"/>
    <w:rsid w:val="00F027E6"/>
    <w:rsid w:val="00F066A7"/>
    <w:rsid w:val="00F10AE4"/>
    <w:rsid w:val="00F10C15"/>
    <w:rsid w:val="00F1192E"/>
    <w:rsid w:val="00F1207F"/>
    <w:rsid w:val="00F16379"/>
    <w:rsid w:val="00F21026"/>
    <w:rsid w:val="00F31C0A"/>
    <w:rsid w:val="00F37561"/>
    <w:rsid w:val="00F472A0"/>
    <w:rsid w:val="00F52229"/>
    <w:rsid w:val="00F65DE2"/>
    <w:rsid w:val="00F6743D"/>
    <w:rsid w:val="00F71629"/>
    <w:rsid w:val="00F747DF"/>
    <w:rsid w:val="00F77F27"/>
    <w:rsid w:val="00F812D4"/>
    <w:rsid w:val="00F967E6"/>
    <w:rsid w:val="00FA31E6"/>
    <w:rsid w:val="00FB1208"/>
    <w:rsid w:val="00FB19A7"/>
    <w:rsid w:val="00FB6B8C"/>
    <w:rsid w:val="00FC3783"/>
    <w:rsid w:val="00FC4310"/>
    <w:rsid w:val="00FE022F"/>
    <w:rsid w:val="00FE0819"/>
    <w:rsid w:val="00FE0EA4"/>
    <w:rsid w:val="00FE3189"/>
    <w:rsid w:val="00FE4C01"/>
    <w:rsid w:val="00FE570F"/>
    <w:rsid w:val="00FF1D46"/>
    <w:rsid w:val="00FF348B"/>
    <w:rsid w:val="00FF76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ind w:left="567"/>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0E"/>
    <w:rPr>
      <w:rFonts w:ascii="Times New Roman" w:eastAsia="Times New Roman" w:hAnsi="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D74D0E"/>
    <w:pPr>
      <w:widowControl w:val="0"/>
      <w:autoSpaceDE w:val="0"/>
      <w:autoSpaceDN w:val="0"/>
      <w:adjustRightInd w:val="0"/>
    </w:pPr>
    <w:rPr>
      <w:rFonts w:ascii="Times New Roman" w:eastAsia="Times New Roman" w:hAnsi="Times New Roman"/>
      <w:sz w:val="24"/>
      <w:szCs w:val="24"/>
      <w:lang w:val="es-EC" w:eastAsia="es-EC"/>
    </w:rPr>
  </w:style>
  <w:style w:type="paragraph" w:styleId="Encabezado">
    <w:name w:val="header"/>
    <w:basedOn w:val="Normal"/>
    <w:link w:val="EncabezadoCar"/>
    <w:uiPriority w:val="99"/>
    <w:rsid w:val="004A77F2"/>
    <w:pPr>
      <w:tabs>
        <w:tab w:val="center" w:pos="4252"/>
        <w:tab w:val="right" w:pos="8504"/>
      </w:tabs>
    </w:pPr>
  </w:style>
  <w:style w:type="character" w:customStyle="1" w:styleId="EncabezadoCar">
    <w:name w:val="Encabezado Car"/>
    <w:basedOn w:val="Fuentedeprrafopredeter"/>
    <w:link w:val="Encabezado"/>
    <w:uiPriority w:val="99"/>
    <w:semiHidden/>
    <w:locked/>
    <w:rsid w:val="00083EF8"/>
    <w:rPr>
      <w:rFonts w:ascii="Times New Roman" w:hAnsi="Times New Roman" w:cs="Times New Roman"/>
      <w:sz w:val="20"/>
      <w:szCs w:val="20"/>
    </w:rPr>
  </w:style>
  <w:style w:type="character" w:styleId="Nmerodepgina">
    <w:name w:val="page number"/>
    <w:basedOn w:val="Fuentedeprrafopredeter"/>
    <w:uiPriority w:val="99"/>
    <w:rsid w:val="004A77F2"/>
  </w:style>
  <w:style w:type="table" w:styleId="Tablaconcuadrcula">
    <w:name w:val="Table Grid"/>
    <w:basedOn w:val="Tablanormal"/>
    <w:uiPriority w:val="99"/>
    <w:locked/>
    <w:rsid w:val="00B705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CC6"/>
    <w:pPr>
      <w:ind w:left="720"/>
    </w:pPr>
  </w:style>
  <w:style w:type="paragraph" w:customStyle="1" w:styleId="Prrafodelista1">
    <w:name w:val="Párrafo de lista1"/>
    <w:basedOn w:val="Normal"/>
    <w:rsid w:val="006F5D96"/>
    <w:pPr>
      <w:ind w:left="708"/>
    </w:pPr>
    <w:rPr>
      <w:rFonts w:eastAsia="Calibri"/>
      <w:lang w:val="es-ES_tradnl"/>
    </w:rPr>
  </w:style>
  <w:style w:type="paragraph" w:customStyle="1" w:styleId="Sinespaciado1">
    <w:name w:val="Sin espaciado1"/>
    <w:rsid w:val="006F5D96"/>
    <w:rPr>
      <w:lang w:val="es-EC"/>
    </w:rPr>
  </w:style>
  <w:style w:type="paragraph" w:customStyle="1" w:styleId="Default">
    <w:name w:val="Default"/>
    <w:rsid w:val="00157EA9"/>
    <w:pPr>
      <w:autoSpaceDE w:val="0"/>
      <w:autoSpaceDN w:val="0"/>
      <w:adjustRightInd w:val="0"/>
    </w:pPr>
    <w:rPr>
      <w:rFonts w:ascii="Century Gothic" w:eastAsia="Times New Roman" w:hAnsi="Century Gothic" w:cs="Century Gothic"/>
      <w:color w:val="000000"/>
      <w:sz w:val="24"/>
      <w:szCs w:val="24"/>
      <w:lang w:val="es-ES" w:eastAsia="es-ES"/>
    </w:rPr>
  </w:style>
  <w:style w:type="paragraph" w:styleId="Textodeglobo">
    <w:name w:val="Balloon Text"/>
    <w:basedOn w:val="Normal"/>
    <w:link w:val="TextodegloboCar"/>
    <w:uiPriority w:val="99"/>
    <w:semiHidden/>
    <w:unhideWhenUsed/>
    <w:rsid w:val="009630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06F"/>
    <w:rPr>
      <w:rFonts w:ascii="Tahoma" w:eastAsia="Times New Roman" w:hAnsi="Tahoma" w:cs="Tahoma"/>
      <w:sz w:val="16"/>
      <w:szCs w:val="16"/>
      <w:lang w:val="es-ES" w:eastAsia="es-ES"/>
    </w:rPr>
  </w:style>
  <w:style w:type="character" w:customStyle="1" w:styleId="apple-style-span">
    <w:name w:val="apple-style-span"/>
    <w:basedOn w:val="Fuentedeprrafopredeter"/>
    <w:rsid w:val="00E76A7A"/>
  </w:style>
  <w:style w:type="table" w:styleId="Listamedia1-nfasis5">
    <w:name w:val="Medium List 1 Accent 5"/>
    <w:basedOn w:val="Tablanormal"/>
    <w:uiPriority w:val="65"/>
    <w:rsid w:val="00423467"/>
    <w:rPr>
      <w:rFonts w:asciiTheme="minorHAnsi" w:eastAsiaTheme="minorHAnsi" w:hAnsiTheme="minorHAnsi" w:cstheme="minorBidi"/>
      <w:color w:val="000000" w:themeColor="text1"/>
      <w:lang w:val="es-EC"/>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Piedepgina">
    <w:name w:val="footer"/>
    <w:basedOn w:val="Normal"/>
    <w:link w:val="PiedepginaCar"/>
    <w:uiPriority w:val="99"/>
    <w:unhideWhenUsed/>
    <w:rsid w:val="002B4363"/>
    <w:pPr>
      <w:tabs>
        <w:tab w:val="center" w:pos="4252"/>
        <w:tab w:val="right" w:pos="8504"/>
      </w:tabs>
    </w:pPr>
  </w:style>
  <w:style w:type="character" w:customStyle="1" w:styleId="PiedepginaCar">
    <w:name w:val="Pie de página Car"/>
    <w:basedOn w:val="Fuentedeprrafopredeter"/>
    <w:link w:val="Piedepgina"/>
    <w:uiPriority w:val="99"/>
    <w:rsid w:val="002B4363"/>
    <w:rPr>
      <w:rFonts w:ascii="Times New Roman" w:eastAsia="Times New Roman" w:hAnsi="Times New Roman"/>
      <w:sz w:val="20"/>
      <w:szCs w:val="20"/>
      <w:lang w:val="es-ES" w:eastAsia="es-ES"/>
    </w:rPr>
  </w:style>
  <w:style w:type="paragraph" w:styleId="NormalWeb">
    <w:name w:val="Normal (Web)"/>
    <w:basedOn w:val="Normal"/>
    <w:rsid w:val="00740F30"/>
    <w:pPr>
      <w:spacing w:before="100" w:beforeAutospacing="1" w:after="100" w:afterAutospacing="1"/>
    </w:pPr>
    <w:rPr>
      <w:color w:val="000000"/>
      <w:sz w:val="24"/>
      <w:szCs w:val="24"/>
    </w:rPr>
  </w:style>
  <w:style w:type="character" w:styleId="Hipervnculo">
    <w:name w:val="Hyperlink"/>
    <w:basedOn w:val="Fuentedeprrafopredeter"/>
    <w:uiPriority w:val="99"/>
    <w:semiHidden/>
    <w:unhideWhenUsed/>
    <w:rsid w:val="000C5C0B"/>
    <w:rPr>
      <w:color w:val="0000FF"/>
      <w:u w:val="single"/>
    </w:rPr>
  </w:style>
  <w:style w:type="paragraph" w:styleId="Textodebloque">
    <w:name w:val="Block Text"/>
    <w:basedOn w:val="Normal"/>
    <w:rsid w:val="00514926"/>
    <w:pPr>
      <w:autoSpaceDE w:val="0"/>
      <w:autoSpaceDN w:val="0"/>
      <w:spacing w:line="360" w:lineRule="auto"/>
      <w:ind w:left="851" w:right="-143"/>
      <w:jc w:val="both"/>
    </w:pPr>
    <w:rPr>
      <w:rFonts w:ascii="Century Gothic" w:hAnsi="Century Gothic" w:cs="Century Gothic"/>
      <w:b/>
      <w:bCs/>
      <w:sz w:val="22"/>
      <w:szCs w:val="22"/>
    </w:rPr>
  </w:style>
</w:styles>
</file>

<file path=word/webSettings.xml><?xml version="1.0" encoding="utf-8"?>
<w:webSettings xmlns:r="http://schemas.openxmlformats.org/officeDocument/2006/relationships" xmlns:w="http://schemas.openxmlformats.org/wordprocessingml/2006/main">
  <w:divs>
    <w:div w:id="202456">
      <w:bodyDiv w:val="1"/>
      <w:marLeft w:val="0"/>
      <w:marRight w:val="0"/>
      <w:marTop w:val="0"/>
      <w:marBottom w:val="0"/>
      <w:divBdr>
        <w:top w:val="none" w:sz="0" w:space="0" w:color="auto"/>
        <w:left w:val="none" w:sz="0" w:space="0" w:color="auto"/>
        <w:bottom w:val="none" w:sz="0" w:space="0" w:color="auto"/>
        <w:right w:val="none" w:sz="0" w:space="0" w:color="auto"/>
      </w:divBdr>
    </w:div>
    <w:div w:id="170923150">
      <w:marLeft w:val="0"/>
      <w:marRight w:val="0"/>
      <w:marTop w:val="0"/>
      <w:marBottom w:val="0"/>
      <w:divBdr>
        <w:top w:val="none" w:sz="0" w:space="0" w:color="auto"/>
        <w:left w:val="none" w:sz="0" w:space="0" w:color="auto"/>
        <w:bottom w:val="none" w:sz="0" w:space="0" w:color="auto"/>
        <w:right w:val="none" w:sz="0" w:space="0" w:color="auto"/>
      </w:divBdr>
    </w:div>
    <w:div w:id="276331928">
      <w:bodyDiv w:val="1"/>
      <w:marLeft w:val="0"/>
      <w:marRight w:val="0"/>
      <w:marTop w:val="0"/>
      <w:marBottom w:val="0"/>
      <w:divBdr>
        <w:top w:val="none" w:sz="0" w:space="0" w:color="auto"/>
        <w:left w:val="none" w:sz="0" w:space="0" w:color="auto"/>
        <w:bottom w:val="none" w:sz="0" w:space="0" w:color="auto"/>
        <w:right w:val="none" w:sz="0" w:space="0" w:color="auto"/>
      </w:divBdr>
    </w:div>
    <w:div w:id="310599702">
      <w:bodyDiv w:val="1"/>
      <w:marLeft w:val="0"/>
      <w:marRight w:val="0"/>
      <w:marTop w:val="0"/>
      <w:marBottom w:val="0"/>
      <w:divBdr>
        <w:top w:val="none" w:sz="0" w:space="0" w:color="auto"/>
        <w:left w:val="none" w:sz="0" w:space="0" w:color="auto"/>
        <w:bottom w:val="none" w:sz="0" w:space="0" w:color="auto"/>
        <w:right w:val="none" w:sz="0" w:space="0" w:color="auto"/>
      </w:divBdr>
    </w:div>
    <w:div w:id="491682660">
      <w:bodyDiv w:val="1"/>
      <w:marLeft w:val="0"/>
      <w:marRight w:val="0"/>
      <w:marTop w:val="0"/>
      <w:marBottom w:val="0"/>
      <w:divBdr>
        <w:top w:val="none" w:sz="0" w:space="0" w:color="auto"/>
        <w:left w:val="none" w:sz="0" w:space="0" w:color="auto"/>
        <w:bottom w:val="none" w:sz="0" w:space="0" w:color="auto"/>
        <w:right w:val="none" w:sz="0" w:space="0" w:color="auto"/>
      </w:divBdr>
    </w:div>
    <w:div w:id="1043481870">
      <w:bodyDiv w:val="1"/>
      <w:marLeft w:val="0"/>
      <w:marRight w:val="0"/>
      <w:marTop w:val="0"/>
      <w:marBottom w:val="0"/>
      <w:divBdr>
        <w:top w:val="none" w:sz="0" w:space="0" w:color="auto"/>
        <w:left w:val="none" w:sz="0" w:space="0" w:color="auto"/>
        <w:bottom w:val="none" w:sz="0" w:space="0" w:color="auto"/>
        <w:right w:val="none" w:sz="0" w:space="0" w:color="auto"/>
      </w:divBdr>
    </w:div>
    <w:div w:id="1138185234">
      <w:bodyDiv w:val="1"/>
      <w:marLeft w:val="0"/>
      <w:marRight w:val="0"/>
      <w:marTop w:val="0"/>
      <w:marBottom w:val="0"/>
      <w:divBdr>
        <w:top w:val="none" w:sz="0" w:space="0" w:color="auto"/>
        <w:left w:val="none" w:sz="0" w:space="0" w:color="auto"/>
        <w:bottom w:val="none" w:sz="0" w:space="0" w:color="auto"/>
        <w:right w:val="none" w:sz="0" w:space="0" w:color="auto"/>
      </w:divBdr>
    </w:div>
    <w:div w:id="1469206395">
      <w:bodyDiv w:val="1"/>
      <w:marLeft w:val="0"/>
      <w:marRight w:val="0"/>
      <w:marTop w:val="0"/>
      <w:marBottom w:val="0"/>
      <w:divBdr>
        <w:top w:val="none" w:sz="0" w:space="0" w:color="auto"/>
        <w:left w:val="none" w:sz="0" w:space="0" w:color="auto"/>
        <w:bottom w:val="none" w:sz="0" w:space="0" w:color="auto"/>
        <w:right w:val="none" w:sz="0" w:space="0" w:color="auto"/>
      </w:divBdr>
      <w:divsChild>
        <w:div w:id="397291949">
          <w:marLeft w:val="0"/>
          <w:marRight w:val="0"/>
          <w:marTop w:val="0"/>
          <w:marBottom w:val="0"/>
          <w:divBdr>
            <w:top w:val="single" w:sz="6" w:space="6" w:color="CCCCCC"/>
            <w:left w:val="none" w:sz="0" w:space="0" w:color="auto"/>
            <w:bottom w:val="single" w:sz="6" w:space="6" w:color="CCCCCC"/>
            <w:right w:val="none" w:sz="0" w:space="0" w:color="auto"/>
          </w:divBdr>
          <w:divsChild>
            <w:div w:id="567227536">
              <w:marLeft w:val="0"/>
              <w:marRight w:val="0"/>
              <w:marTop w:val="0"/>
              <w:marBottom w:val="0"/>
              <w:divBdr>
                <w:top w:val="none" w:sz="0" w:space="0" w:color="auto"/>
                <w:left w:val="none" w:sz="0" w:space="0" w:color="auto"/>
                <w:bottom w:val="none" w:sz="0" w:space="0" w:color="auto"/>
                <w:right w:val="none" w:sz="0" w:space="0" w:color="auto"/>
              </w:divBdr>
              <w:divsChild>
                <w:div w:id="368261452">
                  <w:marLeft w:val="0"/>
                  <w:marRight w:val="0"/>
                  <w:marTop w:val="0"/>
                  <w:marBottom w:val="0"/>
                  <w:divBdr>
                    <w:top w:val="none" w:sz="0" w:space="0" w:color="auto"/>
                    <w:left w:val="none" w:sz="0" w:space="0" w:color="auto"/>
                    <w:bottom w:val="none" w:sz="0" w:space="0" w:color="auto"/>
                    <w:right w:val="none" w:sz="0" w:space="0" w:color="auto"/>
                  </w:divBdr>
                  <w:divsChild>
                    <w:div w:id="1863471023">
                      <w:marLeft w:val="0"/>
                      <w:marRight w:val="0"/>
                      <w:marTop w:val="0"/>
                      <w:marBottom w:val="0"/>
                      <w:divBdr>
                        <w:top w:val="none" w:sz="0" w:space="0" w:color="auto"/>
                        <w:left w:val="none" w:sz="0" w:space="0" w:color="auto"/>
                        <w:bottom w:val="none" w:sz="0" w:space="0" w:color="auto"/>
                        <w:right w:val="none" w:sz="0" w:space="0" w:color="auto"/>
                      </w:divBdr>
                      <w:divsChild>
                        <w:div w:id="1914269465">
                          <w:marLeft w:val="0"/>
                          <w:marRight w:val="0"/>
                          <w:marTop w:val="0"/>
                          <w:marBottom w:val="0"/>
                          <w:divBdr>
                            <w:top w:val="none" w:sz="0" w:space="0" w:color="auto"/>
                            <w:left w:val="none" w:sz="0" w:space="0" w:color="auto"/>
                            <w:bottom w:val="none" w:sz="0" w:space="0" w:color="auto"/>
                            <w:right w:val="none" w:sz="0" w:space="0" w:color="auto"/>
                          </w:divBdr>
                        </w:div>
                        <w:div w:id="384985762">
                          <w:marLeft w:val="0"/>
                          <w:marRight w:val="0"/>
                          <w:marTop w:val="0"/>
                          <w:marBottom w:val="0"/>
                          <w:divBdr>
                            <w:top w:val="none" w:sz="0" w:space="0" w:color="auto"/>
                            <w:left w:val="none" w:sz="0" w:space="0" w:color="auto"/>
                            <w:bottom w:val="none" w:sz="0" w:space="0" w:color="auto"/>
                            <w:right w:val="none" w:sz="0" w:space="0" w:color="auto"/>
                          </w:divBdr>
                          <w:divsChild>
                            <w:div w:id="689449452">
                              <w:marLeft w:val="0"/>
                              <w:marRight w:val="0"/>
                              <w:marTop w:val="0"/>
                              <w:marBottom w:val="0"/>
                              <w:divBdr>
                                <w:top w:val="none" w:sz="0" w:space="0" w:color="auto"/>
                                <w:left w:val="none" w:sz="0" w:space="0" w:color="auto"/>
                                <w:bottom w:val="none" w:sz="0" w:space="0" w:color="auto"/>
                                <w:right w:val="none" w:sz="0" w:space="0" w:color="auto"/>
                              </w:divBdr>
                            </w:div>
                            <w:div w:id="1264920253">
                              <w:marLeft w:val="0"/>
                              <w:marRight w:val="0"/>
                              <w:marTop w:val="0"/>
                              <w:marBottom w:val="0"/>
                              <w:divBdr>
                                <w:top w:val="none" w:sz="0" w:space="0" w:color="auto"/>
                                <w:left w:val="none" w:sz="0" w:space="0" w:color="auto"/>
                                <w:bottom w:val="none" w:sz="0" w:space="0" w:color="auto"/>
                                <w:right w:val="none" w:sz="0" w:space="0" w:color="auto"/>
                              </w:divBdr>
                            </w:div>
                            <w:div w:id="424040412">
                              <w:marLeft w:val="0"/>
                              <w:marRight w:val="0"/>
                              <w:marTop w:val="0"/>
                              <w:marBottom w:val="0"/>
                              <w:divBdr>
                                <w:top w:val="none" w:sz="0" w:space="0" w:color="auto"/>
                                <w:left w:val="none" w:sz="0" w:space="0" w:color="auto"/>
                                <w:bottom w:val="none" w:sz="0" w:space="0" w:color="auto"/>
                                <w:right w:val="none" w:sz="0" w:space="0" w:color="auto"/>
                              </w:divBdr>
                              <w:divsChild>
                                <w:div w:id="895165552">
                                  <w:marLeft w:val="0"/>
                                  <w:marRight w:val="0"/>
                                  <w:marTop w:val="0"/>
                                  <w:marBottom w:val="0"/>
                                  <w:divBdr>
                                    <w:top w:val="none" w:sz="0" w:space="0" w:color="auto"/>
                                    <w:left w:val="none" w:sz="0" w:space="0" w:color="auto"/>
                                    <w:bottom w:val="none" w:sz="0" w:space="0" w:color="auto"/>
                                    <w:right w:val="none" w:sz="0" w:space="0" w:color="auto"/>
                                  </w:divBdr>
                                </w:div>
                                <w:div w:id="2010667714">
                                  <w:marLeft w:val="0"/>
                                  <w:marRight w:val="0"/>
                                  <w:marTop w:val="0"/>
                                  <w:marBottom w:val="0"/>
                                  <w:divBdr>
                                    <w:top w:val="none" w:sz="0" w:space="0" w:color="auto"/>
                                    <w:left w:val="none" w:sz="0" w:space="0" w:color="auto"/>
                                    <w:bottom w:val="none" w:sz="0" w:space="0" w:color="auto"/>
                                    <w:right w:val="none" w:sz="0" w:space="0" w:color="auto"/>
                                  </w:divBdr>
                                </w:div>
                                <w:div w:id="1548368472">
                                  <w:marLeft w:val="0"/>
                                  <w:marRight w:val="0"/>
                                  <w:marTop w:val="0"/>
                                  <w:marBottom w:val="0"/>
                                  <w:divBdr>
                                    <w:top w:val="none" w:sz="0" w:space="0" w:color="auto"/>
                                    <w:left w:val="none" w:sz="0" w:space="0" w:color="auto"/>
                                    <w:bottom w:val="none" w:sz="0" w:space="0" w:color="auto"/>
                                    <w:right w:val="none" w:sz="0" w:space="0" w:color="auto"/>
                                  </w:divBdr>
                                </w:div>
                                <w:div w:id="1840346808">
                                  <w:marLeft w:val="0"/>
                                  <w:marRight w:val="0"/>
                                  <w:marTop w:val="0"/>
                                  <w:marBottom w:val="0"/>
                                  <w:divBdr>
                                    <w:top w:val="none" w:sz="0" w:space="0" w:color="auto"/>
                                    <w:left w:val="none" w:sz="0" w:space="0" w:color="auto"/>
                                    <w:bottom w:val="none" w:sz="0" w:space="0" w:color="auto"/>
                                    <w:right w:val="none" w:sz="0" w:space="0" w:color="auto"/>
                                  </w:divBdr>
                                </w:div>
                              </w:divsChild>
                            </w:div>
                            <w:div w:id="73430769">
                              <w:marLeft w:val="0"/>
                              <w:marRight w:val="0"/>
                              <w:marTop w:val="0"/>
                              <w:marBottom w:val="0"/>
                              <w:divBdr>
                                <w:top w:val="none" w:sz="0" w:space="0" w:color="auto"/>
                                <w:left w:val="none" w:sz="0" w:space="0" w:color="auto"/>
                                <w:bottom w:val="none" w:sz="0" w:space="0" w:color="auto"/>
                                <w:right w:val="none" w:sz="0" w:space="0" w:color="auto"/>
                              </w:divBdr>
                              <w:divsChild>
                                <w:div w:id="1204056209">
                                  <w:marLeft w:val="0"/>
                                  <w:marRight w:val="0"/>
                                  <w:marTop w:val="0"/>
                                  <w:marBottom w:val="0"/>
                                  <w:divBdr>
                                    <w:top w:val="none" w:sz="0" w:space="0" w:color="auto"/>
                                    <w:left w:val="none" w:sz="0" w:space="0" w:color="auto"/>
                                    <w:bottom w:val="none" w:sz="0" w:space="0" w:color="auto"/>
                                    <w:right w:val="none" w:sz="0" w:space="0" w:color="auto"/>
                                  </w:divBdr>
                                </w:div>
                                <w:div w:id="444928525">
                                  <w:marLeft w:val="0"/>
                                  <w:marRight w:val="0"/>
                                  <w:marTop w:val="0"/>
                                  <w:marBottom w:val="0"/>
                                  <w:divBdr>
                                    <w:top w:val="none" w:sz="0" w:space="0" w:color="auto"/>
                                    <w:left w:val="none" w:sz="0" w:space="0" w:color="auto"/>
                                    <w:bottom w:val="none" w:sz="0" w:space="0" w:color="auto"/>
                                    <w:right w:val="none" w:sz="0" w:space="0" w:color="auto"/>
                                  </w:divBdr>
                                </w:div>
                              </w:divsChild>
                            </w:div>
                            <w:div w:id="897134520">
                              <w:marLeft w:val="0"/>
                              <w:marRight w:val="0"/>
                              <w:marTop w:val="0"/>
                              <w:marBottom w:val="0"/>
                              <w:divBdr>
                                <w:top w:val="none" w:sz="0" w:space="0" w:color="auto"/>
                                <w:left w:val="none" w:sz="0" w:space="0" w:color="auto"/>
                                <w:bottom w:val="none" w:sz="0" w:space="0" w:color="auto"/>
                                <w:right w:val="none" w:sz="0" w:space="0" w:color="auto"/>
                              </w:divBdr>
                            </w:div>
                            <w:div w:id="1947229311">
                              <w:marLeft w:val="0"/>
                              <w:marRight w:val="0"/>
                              <w:marTop w:val="0"/>
                              <w:marBottom w:val="0"/>
                              <w:divBdr>
                                <w:top w:val="none" w:sz="0" w:space="0" w:color="auto"/>
                                <w:left w:val="none" w:sz="0" w:space="0" w:color="auto"/>
                                <w:bottom w:val="none" w:sz="0" w:space="0" w:color="auto"/>
                                <w:right w:val="none" w:sz="0" w:space="0" w:color="auto"/>
                              </w:divBdr>
                              <w:divsChild>
                                <w:div w:id="902332099">
                                  <w:marLeft w:val="0"/>
                                  <w:marRight w:val="0"/>
                                  <w:marTop w:val="0"/>
                                  <w:marBottom w:val="0"/>
                                  <w:divBdr>
                                    <w:top w:val="none" w:sz="0" w:space="0" w:color="auto"/>
                                    <w:left w:val="none" w:sz="0" w:space="0" w:color="auto"/>
                                    <w:bottom w:val="none" w:sz="0" w:space="0" w:color="auto"/>
                                    <w:right w:val="none" w:sz="0" w:space="0" w:color="auto"/>
                                  </w:divBdr>
                                </w:div>
                                <w:div w:id="950744621">
                                  <w:marLeft w:val="0"/>
                                  <w:marRight w:val="0"/>
                                  <w:marTop w:val="0"/>
                                  <w:marBottom w:val="0"/>
                                  <w:divBdr>
                                    <w:top w:val="none" w:sz="0" w:space="0" w:color="auto"/>
                                    <w:left w:val="none" w:sz="0" w:space="0" w:color="auto"/>
                                    <w:bottom w:val="none" w:sz="0" w:space="0" w:color="auto"/>
                                    <w:right w:val="none" w:sz="0" w:space="0" w:color="auto"/>
                                  </w:divBdr>
                                </w:div>
                                <w:div w:id="46078258">
                                  <w:marLeft w:val="0"/>
                                  <w:marRight w:val="0"/>
                                  <w:marTop w:val="0"/>
                                  <w:marBottom w:val="0"/>
                                  <w:divBdr>
                                    <w:top w:val="none" w:sz="0" w:space="0" w:color="auto"/>
                                    <w:left w:val="none" w:sz="0" w:space="0" w:color="auto"/>
                                    <w:bottom w:val="none" w:sz="0" w:space="0" w:color="auto"/>
                                    <w:right w:val="none" w:sz="0" w:space="0" w:color="auto"/>
                                  </w:divBdr>
                                </w:div>
                                <w:div w:id="818887579">
                                  <w:marLeft w:val="0"/>
                                  <w:marRight w:val="0"/>
                                  <w:marTop w:val="0"/>
                                  <w:marBottom w:val="0"/>
                                  <w:divBdr>
                                    <w:top w:val="none" w:sz="0" w:space="0" w:color="auto"/>
                                    <w:left w:val="none" w:sz="0" w:space="0" w:color="auto"/>
                                    <w:bottom w:val="none" w:sz="0" w:space="0" w:color="auto"/>
                                    <w:right w:val="none" w:sz="0" w:space="0" w:color="auto"/>
                                  </w:divBdr>
                                </w:div>
                                <w:div w:id="867721616">
                                  <w:marLeft w:val="0"/>
                                  <w:marRight w:val="0"/>
                                  <w:marTop w:val="0"/>
                                  <w:marBottom w:val="0"/>
                                  <w:divBdr>
                                    <w:top w:val="none" w:sz="0" w:space="0" w:color="auto"/>
                                    <w:left w:val="none" w:sz="0" w:space="0" w:color="auto"/>
                                    <w:bottom w:val="none" w:sz="0" w:space="0" w:color="auto"/>
                                    <w:right w:val="none" w:sz="0" w:space="0" w:color="auto"/>
                                  </w:divBdr>
                                </w:div>
                                <w:div w:id="1878003278">
                                  <w:marLeft w:val="0"/>
                                  <w:marRight w:val="0"/>
                                  <w:marTop w:val="0"/>
                                  <w:marBottom w:val="0"/>
                                  <w:divBdr>
                                    <w:top w:val="none" w:sz="0" w:space="0" w:color="auto"/>
                                    <w:left w:val="none" w:sz="0" w:space="0" w:color="auto"/>
                                    <w:bottom w:val="none" w:sz="0" w:space="0" w:color="auto"/>
                                    <w:right w:val="none" w:sz="0" w:space="0" w:color="auto"/>
                                  </w:divBdr>
                                </w:div>
                                <w:div w:id="1620647364">
                                  <w:marLeft w:val="0"/>
                                  <w:marRight w:val="0"/>
                                  <w:marTop w:val="0"/>
                                  <w:marBottom w:val="0"/>
                                  <w:divBdr>
                                    <w:top w:val="none" w:sz="0" w:space="0" w:color="auto"/>
                                    <w:left w:val="none" w:sz="0" w:space="0" w:color="auto"/>
                                    <w:bottom w:val="none" w:sz="0" w:space="0" w:color="auto"/>
                                    <w:right w:val="none" w:sz="0" w:space="0" w:color="auto"/>
                                  </w:divBdr>
                                </w:div>
                                <w:div w:id="2120563727">
                                  <w:marLeft w:val="0"/>
                                  <w:marRight w:val="0"/>
                                  <w:marTop w:val="0"/>
                                  <w:marBottom w:val="0"/>
                                  <w:divBdr>
                                    <w:top w:val="none" w:sz="0" w:space="0" w:color="auto"/>
                                    <w:left w:val="none" w:sz="0" w:space="0" w:color="auto"/>
                                    <w:bottom w:val="none" w:sz="0" w:space="0" w:color="auto"/>
                                    <w:right w:val="none" w:sz="0" w:space="0" w:color="auto"/>
                                  </w:divBdr>
                                </w:div>
                                <w:div w:id="624888608">
                                  <w:marLeft w:val="0"/>
                                  <w:marRight w:val="0"/>
                                  <w:marTop w:val="0"/>
                                  <w:marBottom w:val="0"/>
                                  <w:divBdr>
                                    <w:top w:val="none" w:sz="0" w:space="0" w:color="auto"/>
                                    <w:left w:val="none" w:sz="0" w:space="0" w:color="auto"/>
                                    <w:bottom w:val="none" w:sz="0" w:space="0" w:color="auto"/>
                                    <w:right w:val="none" w:sz="0" w:space="0" w:color="auto"/>
                                  </w:divBdr>
                                </w:div>
                                <w:div w:id="1396314113">
                                  <w:marLeft w:val="0"/>
                                  <w:marRight w:val="0"/>
                                  <w:marTop w:val="0"/>
                                  <w:marBottom w:val="0"/>
                                  <w:divBdr>
                                    <w:top w:val="none" w:sz="0" w:space="0" w:color="auto"/>
                                    <w:left w:val="none" w:sz="0" w:space="0" w:color="auto"/>
                                    <w:bottom w:val="none" w:sz="0" w:space="0" w:color="auto"/>
                                    <w:right w:val="none" w:sz="0" w:space="0" w:color="auto"/>
                                  </w:divBdr>
                                </w:div>
                                <w:div w:id="2078744434">
                                  <w:marLeft w:val="0"/>
                                  <w:marRight w:val="0"/>
                                  <w:marTop w:val="0"/>
                                  <w:marBottom w:val="0"/>
                                  <w:divBdr>
                                    <w:top w:val="none" w:sz="0" w:space="0" w:color="auto"/>
                                    <w:left w:val="none" w:sz="0" w:space="0" w:color="auto"/>
                                    <w:bottom w:val="none" w:sz="0" w:space="0" w:color="auto"/>
                                    <w:right w:val="none" w:sz="0" w:space="0" w:color="auto"/>
                                  </w:divBdr>
                                </w:div>
                                <w:div w:id="2048525939">
                                  <w:marLeft w:val="0"/>
                                  <w:marRight w:val="0"/>
                                  <w:marTop w:val="0"/>
                                  <w:marBottom w:val="0"/>
                                  <w:divBdr>
                                    <w:top w:val="none" w:sz="0" w:space="0" w:color="auto"/>
                                    <w:left w:val="none" w:sz="0" w:space="0" w:color="auto"/>
                                    <w:bottom w:val="none" w:sz="0" w:space="0" w:color="auto"/>
                                    <w:right w:val="none" w:sz="0" w:space="0" w:color="auto"/>
                                  </w:divBdr>
                                </w:div>
                                <w:div w:id="1784032778">
                                  <w:marLeft w:val="0"/>
                                  <w:marRight w:val="0"/>
                                  <w:marTop w:val="0"/>
                                  <w:marBottom w:val="0"/>
                                  <w:divBdr>
                                    <w:top w:val="none" w:sz="0" w:space="0" w:color="auto"/>
                                    <w:left w:val="none" w:sz="0" w:space="0" w:color="auto"/>
                                    <w:bottom w:val="none" w:sz="0" w:space="0" w:color="auto"/>
                                    <w:right w:val="none" w:sz="0" w:space="0" w:color="auto"/>
                                  </w:divBdr>
                                </w:div>
                                <w:div w:id="1517622655">
                                  <w:marLeft w:val="0"/>
                                  <w:marRight w:val="0"/>
                                  <w:marTop w:val="0"/>
                                  <w:marBottom w:val="0"/>
                                  <w:divBdr>
                                    <w:top w:val="none" w:sz="0" w:space="0" w:color="auto"/>
                                    <w:left w:val="none" w:sz="0" w:space="0" w:color="auto"/>
                                    <w:bottom w:val="none" w:sz="0" w:space="0" w:color="auto"/>
                                    <w:right w:val="none" w:sz="0" w:space="0" w:color="auto"/>
                                  </w:divBdr>
                                </w:div>
                                <w:div w:id="1173451641">
                                  <w:marLeft w:val="0"/>
                                  <w:marRight w:val="0"/>
                                  <w:marTop w:val="0"/>
                                  <w:marBottom w:val="0"/>
                                  <w:divBdr>
                                    <w:top w:val="none" w:sz="0" w:space="0" w:color="auto"/>
                                    <w:left w:val="none" w:sz="0" w:space="0" w:color="auto"/>
                                    <w:bottom w:val="none" w:sz="0" w:space="0" w:color="auto"/>
                                    <w:right w:val="none" w:sz="0" w:space="0" w:color="auto"/>
                                  </w:divBdr>
                                </w:div>
                                <w:div w:id="232737920">
                                  <w:marLeft w:val="0"/>
                                  <w:marRight w:val="0"/>
                                  <w:marTop w:val="0"/>
                                  <w:marBottom w:val="0"/>
                                  <w:divBdr>
                                    <w:top w:val="none" w:sz="0" w:space="0" w:color="auto"/>
                                    <w:left w:val="none" w:sz="0" w:space="0" w:color="auto"/>
                                    <w:bottom w:val="none" w:sz="0" w:space="0" w:color="auto"/>
                                    <w:right w:val="none" w:sz="0" w:space="0" w:color="auto"/>
                                  </w:divBdr>
                                </w:div>
                                <w:div w:id="1781148345">
                                  <w:marLeft w:val="0"/>
                                  <w:marRight w:val="0"/>
                                  <w:marTop w:val="0"/>
                                  <w:marBottom w:val="0"/>
                                  <w:divBdr>
                                    <w:top w:val="none" w:sz="0" w:space="0" w:color="auto"/>
                                    <w:left w:val="none" w:sz="0" w:space="0" w:color="auto"/>
                                    <w:bottom w:val="none" w:sz="0" w:space="0" w:color="auto"/>
                                    <w:right w:val="none" w:sz="0" w:space="0" w:color="auto"/>
                                  </w:divBdr>
                                </w:div>
                                <w:div w:id="115606643">
                                  <w:marLeft w:val="0"/>
                                  <w:marRight w:val="0"/>
                                  <w:marTop w:val="0"/>
                                  <w:marBottom w:val="0"/>
                                  <w:divBdr>
                                    <w:top w:val="none" w:sz="0" w:space="0" w:color="auto"/>
                                    <w:left w:val="none" w:sz="0" w:space="0" w:color="auto"/>
                                    <w:bottom w:val="none" w:sz="0" w:space="0" w:color="auto"/>
                                    <w:right w:val="none" w:sz="0" w:space="0" w:color="auto"/>
                                  </w:divBdr>
                                </w:div>
                                <w:div w:id="649137837">
                                  <w:marLeft w:val="0"/>
                                  <w:marRight w:val="0"/>
                                  <w:marTop w:val="0"/>
                                  <w:marBottom w:val="0"/>
                                  <w:divBdr>
                                    <w:top w:val="none" w:sz="0" w:space="0" w:color="auto"/>
                                    <w:left w:val="none" w:sz="0" w:space="0" w:color="auto"/>
                                    <w:bottom w:val="none" w:sz="0" w:space="0" w:color="auto"/>
                                    <w:right w:val="none" w:sz="0" w:space="0" w:color="auto"/>
                                  </w:divBdr>
                                </w:div>
                                <w:div w:id="26218855">
                                  <w:marLeft w:val="0"/>
                                  <w:marRight w:val="0"/>
                                  <w:marTop w:val="0"/>
                                  <w:marBottom w:val="0"/>
                                  <w:divBdr>
                                    <w:top w:val="none" w:sz="0" w:space="0" w:color="auto"/>
                                    <w:left w:val="none" w:sz="0" w:space="0" w:color="auto"/>
                                    <w:bottom w:val="none" w:sz="0" w:space="0" w:color="auto"/>
                                    <w:right w:val="none" w:sz="0" w:space="0" w:color="auto"/>
                                  </w:divBdr>
                                </w:div>
                                <w:div w:id="532350564">
                                  <w:marLeft w:val="0"/>
                                  <w:marRight w:val="0"/>
                                  <w:marTop w:val="0"/>
                                  <w:marBottom w:val="0"/>
                                  <w:divBdr>
                                    <w:top w:val="none" w:sz="0" w:space="0" w:color="auto"/>
                                    <w:left w:val="none" w:sz="0" w:space="0" w:color="auto"/>
                                    <w:bottom w:val="none" w:sz="0" w:space="0" w:color="auto"/>
                                    <w:right w:val="none" w:sz="0" w:space="0" w:color="auto"/>
                                  </w:divBdr>
                                </w:div>
                                <w:div w:id="751049551">
                                  <w:marLeft w:val="0"/>
                                  <w:marRight w:val="0"/>
                                  <w:marTop w:val="0"/>
                                  <w:marBottom w:val="0"/>
                                  <w:divBdr>
                                    <w:top w:val="none" w:sz="0" w:space="0" w:color="auto"/>
                                    <w:left w:val="none" w:sz="0" w:space="0" w:color="auto"/>
                                    <w:bottom w:val="none" w:sz="0" w:space="0" w:color="auto"/>
                                    <w:right w:val="none" w:sz="0" w:space="0" w:color="auto"/>
                                  </w:divBdr>
                                </w:div>
                                <w:div w:id="848057335">
                                  <w:marLeft w:val="0"/>
                                  <w:marRight w:val="0"/>
                                  <w:marTop w:val="0"/>
                                  <w:marBottom w:val="0"/>
                                  <w:divBdr>
                                    <w:top w:val="none" w:sz="0" w:space="0" w:color="auto"/>
                                    <w:left w:val="none" w:sz="0" w:space="0" w:color="auto"/>
                                    <w:bottom w:val="none" w:sz="0" w:space="0" w:color="auto"/>
                                    <w:right w:val="none" w:sz="0" w:space="0" w:color="auto"/>
                                  </w:divBdr>
                                </w:div>
                                <w:div w:id="1085149335">
                                  <w:marLeft w:val="0"/>
                                  <w:marRight w:val="0"/>
                                  <w:marTop w:val="0"/>
                                  <w:marBottom w:val="0"/>
                                  <w:divBdr>
                                    <w:top w:val="none" w:sz="0" w:space="0" w:color="auto"/>
                                    <w:left w:val="none" w:sz="0" w:space="0" w:color="auto"/>
                                    <w:bottom w:val="none" w:sz="0" w:space="0" w:color="auto"/>
                                    <w:right w:val="none" w:sz="0" w:space="0" w:color="auto"/>
                                  </w:divBdr>
                                </w:div>
                                <w:div w:id="139007060">
                                  <w:marLeft w:val="0"/>
                                  <w:marRight w:val="0"/>
                                  <w:marTop w:val="0"/>
                                  <w:marBottom w:val="0"/>
                                  <w:divBdr>
                                    <w:top w:val="none" w:sz="0" w:space="0" w:color="auto"/>
                                    <w:left w:val="none" w:sz="0" w:space="0" w:color="auto"/>
                                    <w:bottom w:val="none" w:sz="0" w:space="0" w:color="auto"/>
                                    <w:right w:val="none" w:sz="0" w:space="0" w:color="auto"/>
                                  </w:divBdr>
                                </w:div>
                                <w:div w:id="1577743476">
                                  <w:marLeft w:val="0"/>
                                  <w:marRight w:val="0"/>
                                  <w:marTop w:val="0"/>
                                  <w:marBottom w:val="0"/>
                                  <w:divBdr>
                                    <w:top w:val="none" w:sz="0" w:space="0" w:color="auto"/>
                                    <w:left w:val="none" w:sz="0" w:space="0" w:color="auto"/>
                                    <w:bottom w:val="none" w:sz="0" w:space="0" w:color="auto"/>
                                    <w:right w:val="none" w:sz="0" w:space="0" w:color="auto"/>
                                  </w:divBdr>
                                </w:div>
                                <w:div w:id="526913221">
                                  <w:marLeft w:val="0"/>
                                  <w:marRight w:val="0"/>
                                  <w:marTop w:val="0"/>
                                  <w:marBottom w:val="0"/>
                                  <w:divBdr>
                                    <w:top w:val="none" w:sz="0" w:space="0" w:color="auto"/>
                                    <w:left w:val="none" w:sz="0" w:space="0" w:color="auto"/>
                                    <w:bottom w:val="none" w:sz="0" w:space="0" w:color="auto"/>
                                    <w:right w:val="none" w:sz="0" w:space="0" w:color="auto"/>
                                  </w:divBdr>
                                </w:div>
                                <w:div w:id="871958115">
                                  <w:marLeft w:val="0"/>
                                  <w:marRight w:val="0"/>
                                  <w:marTop w:val="0"/>
                                  <w:marBottom w:val="0"/>
                                  <w:divBdr>
                                    <w:top w:val="none" w:sz="0" w:space="0" w:color="auto"/>
                                    <w:left w:val="none" w:sz="0" w:space="0" w:color="auto"/>
                                    <w:bottom w:val="none" w:sz="0" w:space="0" w:color="auto"/>
                                    <w:right w:val="none" w:sz="0" w:space="0" w:color="auto"/>
                                  </w:divBdr>
                                </w:div>
                                <w:div w:id="2083676717">
                                  <w:marLeft w:val="0"/>
                                  <w:marRight w:val="0"/>
                                  <w:marTop w:val="0"/>
                                  <w:marBottom w:val="0"/>
                                  <w:divBdr>
                                    <w:top w:val="none" w:sz="0" w:space="0" w:color="auto"/>
                                    <w:left w:val="none" w:sz="0" w:space="0" w:color="auto"/>
                                    <w:bottom w:val="none" w:sz="0" w:space="0" w:color="auto"/>
                                    <w:right w:val="none" w:sz="0" w:space="0" w:color="auto"/>
                                  </w:divBdr>
                                </w:div>
                              </w:divsChild>
                            </w:div>
                            <w:div w:id="2165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F2039-621F-4BE8-BCB0-96BA8B9E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1119</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Cesar Gavilanes Paredes</cp:lastModifiedBy>
  <cp:revision>25</cp:revision>
  <cp:lastPrinted>2012-11-07T15:47:00Z</cp:lastPrinted>
  <dcterms:created xsi:type="dcterms:W3CDTF">2012-11-07T18:56:00Z</dcterms:created>
  <dcterms:modified xsi:type="dcterms:W3CDTF">2012-11-08T17:01:00Z</dcterms:modified>
</cp:coreProperties>
</file>