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E4D13">
      <w:pPr>
        <w:pStyle w:val="Default"/>
      </w:pPr>
    </w:p>
    <w:p w:rsidR="00000000" w:rsidRDefault="002E4D13">
      <w:pPr>
        <w:pStyle w:val="CM26"/>
        <w:spacing w:after="283" w:line="276" w:lineRule="atLeast"/>
        <w:jc w:val="both"/>
        <w:rPr>
          <w:rFonts w:cs="MEBOFJ+TimesNewRoman,Bold"/>
          <w:color w:val="000000"/>
          <w:sz w:val="23"/>
          <w:szCs w:val="23"/>
        </w:rPr>
      </w:pPr>
      <w:r>
        <w:t xml:space="preserve"> </w:t>
      </w:r>
      <w:r>
        <w:rPr>
          <w:rFonts w:cs="MEBOFJ+TimesNewRoman,Bold"/>
          <w:b/>
          <w:bCs/>
          <w:color w:val="000000"/>
          <w:sz w:val="23"/>
          <w:szCs w:val="23"/>
        </w:rPr>
        <w:t xml:space="preserve">ANÁLISIS ESTADÍSTICO DE LOS SERVICIOS QUE PRESTA EL SISTEMA TRANSACCIONAL DE UNA RED DE CAJEROS AUTOMÁTICOS EN LA CIUDAD DE GUAYAQUIL PERÍODO: 2003 - 2004 </w:t>
      </w:r>
    </w:p>
    <w:p w:rsidR="00000000" w:rsidRDefault="002E4D13">
      <w:pPr>
        <w:pStyle w:val="CM27"/>
        <w:spacing w:after="225"/>
        <w:ind w:left="1072"/>
        <w:jc w:val="both"/>
        <w:rPr>
          <w:rFonts w:cs="MEBOFJ+TimesNewRoman,Bold"/>
          <w:color w:val="000000"/>
          <w:sz w:val="22"/>
          <w:szCs w:val="22"/>
        </w:rPr>
      </w:pPr>
      <w:r>
        <w:rPr>
          <w:rFonts w:cs="MEBOFJ+TimesNewRoman,Bold"/>
          <w:b/>
          <w:bCs/>
          <w:color w:val="000000"/>
          <w:sz w:val="22"/>
          <w:szCs w:val="22"/>
        </w:rPr>
        <w:t>Christian Efraín Cepeda Galarza</w:t>
      </w:r>
      <w:r>
        <w:rPr>
          <w:rFonts w:cs="MEBOFJ+TimesNewRoman,Bold"/>
          <w:b/>
          <w:bCs/>
          <w:color w:val="000000"/>
          <w:position w:val="10"/>
          <w:sz w:val="22"/>
          <w:szCs w:val="22"/>
          <w:vertAlign w:val="superscript"/>
        </w:rPr>
        <w:t>1</w:t>
      </w:r>
      <w:r>
        <w:rPr>
          <w:rFonts w:cs="MEBOFJ+TimesNewRoman,Bold"/>
          <w:b/>
          <w:bCs/>
          <w:color w:val="000000"/>
          <w:sz w:val="22"/>
          <w:szCs w:val="22"/>
        </w:rPr>
        <w:t>, Mat. Fernando Sandoya</w:t>
      </w:r>
      <w:r>
        <w:rPr>
          <w:rFonts w:cs="MEBOFJ+TimesNewRoman,Bold"/>
          <w:b/>
          <w:bCs/>
          <w:color w:val="000000"/>
          <w:position w:val="10"/>
          <w:sz w:val="22"/>
          <w:szCs w:val="22"/>
          <w:vertAlign w:val="superscript"/>
        </w:rPr>
        <w:t xml:space="preserve">2 </w:t>
      </w:r>
    </w:p>
    <w:p w:rsidR="00000000" w:rsidRDefault="002E4D13">
      <w:pPr>
        <w:pStyle w:val="Default"/>
        <w:spacing w:after="210" w:line="253" w:lineRule="atLeast"/>
        <w:rPr>
          <w:sz w:val="22"/>
          <w:szCs w:val="22"/>
        </w:rPr>
      </w:pPr>
      <w:r>
        <w:rPr>
          <w:b/>
          <w:bCs/>
          <w:position w:val="10"/>
          <w:sz w:val="22"/>
          <w:szCs w:val="22"/>
          <w:vertAlign w:val="superscript"/>
        </w:rPr>
        <w:t>1</w:t>
      </w:r>
      <w:r>
        <w:rPr>
          <w:b/>
          <w:bCs/>
          <w:sz w:val="22"/>
          <w:szCs w:val="22"/>
        </w:rPr>
        <w:t xml:space="preserve">Ingeniero en Estadística Informática; (e-mail: </w:t>
      </w:r>
      <w:r>
        <w:rPr>
          <w:b/>
          <w:bCs/>
          <w:color w:val="0000FF"/>
          <w:sz w:val="22"/>
          <w:szCs w:val="22"/>
          <w:u w:val="single"/>
        </w:rPr>
        <w:t>ccepeda@banred.fin.ec</w:t>
      </w:r>
      <w:r>
        <w:rPr>
          <w:b/>
          <w:bCs/>
          <w:sz w:val="22"/>
          <w:szCs w:val="22"/>
        </w:rPr>
        <w:t>);</w:t>
      </w:r>
      <w:r>
        <w:rPr>
          <w:b/>
          <w:bCs/>
          <w:position w:val="10"/>
          <w:sz w:val="22"/>
          <w:szCs w:val="22"/>
          <w:vertAlign w:val="superscript"/>
        </w:rPr>
        <w:t>2</w:t>
      </w:r>
      <w:r>
        <w:rPr>
          <w:b/>
          <w:bCs/>
          <w:sz w:val="22"/>
          <w:szCs w:val="22"/>
        </w:rPr>
        <w:t>Matemático, Escuela Superior Politécnica del Litoral. Master en Investigación de Operaciones, Escuela Politécnica Nacional Quito. Master en Gestión Logística,</w:t>
      </w:r>
      <w:r>
        <w:rPr>
          <w:b/>
          <w:bCs/>
          <w:sz w:val="22"/>
          <w:szCs w:val="22"/>
        </w:rPr>
        <w:t xml:space="preserve"> Escuela de Organización Industrial, Madrid. Profesor de ESPOL; (e-mail: </w:t>
      </w:r>
      <w:r>
        <w:rPr>
          <w:b/>
          <w:bCs/>
          <w:color w:val="0000FF"/>
          <w:sz w:val="22"/>
          <w:szCs w:val="22"/>
          <w:u w:val="single"/>
        </w:rPr>
        <w:t>fsandoya@espol.edu.ec</w:t>
      </w:r>
      <w:r>
        <w:rPr>
          <w:b/>
          <w:bCs/>
          <w:sz w:val="22"/>
          <w:szCs w:val="22"/>
        </w:rPr>
        <w:t xml:space="preserve">). </w:t>
      </w:r>
    </w:p>
    <w:p w:rsidR="00000000" w:rsidRDefault="002E4D13">
      <w:pPr>
        <w:pStyle w:val="CM27"/>
        <w:spacing w:after="225" w:line="231" w:lineRule="atLeast"/>
        <w:ind w:left="840" w:right="907"/>
        <w:jc w:val="both"/>
        <w:rPr>
          <w:rFonts w:ascii="MEBOJJ+TimesNewRoman,Italic" w:hAnsi="MEBOJJ+TimesNewRoman,Italic" w:cs="MEBOJJ+TimesNewRoman,Italic"/>
          <w:color w:val="000000"/>
          <w:sz w:val="20"/>
          <w:szCs w:val="20"/>
        </w:rPr>
      </w:pPr>
      <w:r>
        <w:rPr>
          <w:rFonts w:ascii="MEBOHJ+TimesNewRoman,BoldItalic" w:hAnsi="MEBOHJ+TimesNewRoman,BoldItalic" w:cs="MEBOHJ+TimesNewRoman,BoldItalic"/>
          <w:b/>
          <w:bCs/>
          <w:color w:val="000000"/>
          <w:sz w:val="23"/>
          <w:szCs w:val="23"/>
        </w:rPr>
        <w:t>Resumen</w:t>
      </w:r>
      <w:r>
        <w:rPr>
          <w:rFonts w:ascii="MEBOHJ+TimesNewRoman,BoldItalic" w:hAnsi="MEBOHJ+TimesNewRoman,BoldItalic" w:cs="MEBOHJ+TimesNewRoman,BoldItalic"/>
          <w:b/>
          <w:bCs/>
          <w:color w:val="FF00FF"/>
          <w:sz w:val="16"/>
          <w:szCs w:val="16"/>
        </w:rPr>
        <w:t xml:space="preserve">. </w:t>
      </w:r>
      <w:r>
        <w:rPr>
          <w:rFonts w:ascii="MEBOJJ+TimesNewRoman,Italic" w:hAnsi="MEBOJJ+TimesNewRoman,Italic" w:cs="MEBOJJ+TimesNewRoman,Italic"/>
          <w:color w:val="000000"/>
          <w:sz w:val="20"/>
          <w:szCs w:val="20"/>
        </w:rPr>
        <w:t>El presente trabajo analiza ciertas características de  los servicios transaccionales que brinda la red más grande de cajeros automáticos en la ciuda</w:t>
      </w:r>
      <w:r>
        <w:rPr>
          <w:rFonts w:ascii="MEBOJJ+TimesNewRoman,Italic" w:hAnsi="MEBOJJ+TimesNewRoman,Italic" w:cs="MEBOJJ+TimesNewRoman,Italic"/>
          <w:color w:val="000000"/>
          <w:sz w:val="20"/>
          <w:szCs w:val="20"/>
        </w:rPr>
        <w:t xml:space="preserve">d de Guayaquil, para el análisis se cuenta con 2’893.894 transacciones efectuadas por los clientes de la red durante el período de estudio. </w:t>
      </w:r>
    </w:p>
    <w:p w:rsidR="00000000" w:rsidRDefault="002E4D13">
      <w:pPr>
        <w:pStyle w:val="CM27"/>
        <w:spacing w:after="225" w:line="231" w:lineRule="atLeast"/>
        <w:ind w:left="840" w:right="907"/>
        <w:jc w:val="both"/>
        <w:rPr>
          <w:rFonts w:ascii="MEBOJJ+TimesNewRoman,Italic" w:hAnsi="MEBOJJ+TimesNewRoman,Italic" w:cs="MEBOJJ+TimesNewRoman,Italic"/>
          <w:color w:val="000000"/>
          <w:sz w:val="20"/>
          <w:szCs w:val="20"/>
        </w:rPr>
      </w:pPr>
      <w:r>
        <w:rPr>
          <w:rFonts w:ascii="MEBOJJ+TimesNewRoman,Italic" w:hAnsi="MEBOJJ+TimesNewRoman,Italic" w:cs="MEBOJJ+TimesNewRoman,Italic"/>
          <w:color w:val="000000"/>
          <w:sz w:val="20"/>
          <w:szCs w:val="20"/>
        </w:rPr>
        <w:t>En la primera parte se muestra una breve reseña histórica acerca de la red más grande de cajeros automáticos, algun</w:t>
      </w:r>
      <w:r>
        <w:rPr>
          <w:rFonts w:ascii="MEBOJJ+TimesNewRoman,Italic" w:hAnsi="MEBOJJ+TimesNewRoman,Italic" w:cs="MEBOJJ+TimesNewRoman,Italic"/>
          <w:color w:val="000000"/>
          <w:sz w:val="20"/>
          <w:szCs w:val="20"/>
        </w:rPr>
        <w:t>os conceptos transaccionales como el menú transaccional que actualmente se brinda a los clientes de la red. En la segunda parte se presentan las variables como tipo de tarjeta, tipo de cuenta, día de transacción, hora de transacción, institución adquirente</w:t>
      </w:r>
      <w:r>
        <w:rPr>
          <w:rFonts w:ascii="MEBOJJ+TimesNewRoman,Italic" w:hAnsi="MEBOJJ+TimesNewRoman,Italic" w:cs="MEBOJJ+TimesNewRoman,Italic"/>
          <w:color w:val="000000"/>
          <w:sz w:val="20"/>
          <w:szCs w:val="20"/>
        </w:rPr>
        <w:t>, entre otras para el estudio univariado y multivariado, así como el estudio estadístico univariado de cada una de las variables de estudio. Finalmente en la tercera parte se presentan los estudios multivariados realizados como análisis de contingencia y a</w:t>
      </w:r>
      <w:r>
        <w:rPr>
          <w:rFonts w:ascii="MEBOJJ+TimesNewRoman,Italic" w:hAnsi="MEBOJJ+TimesNewRoman,Italic" w:cs="MEBOJJ+TimesNewRoman,Italic"/>
          <w:color w:val="000000"/>
          <w:sz w:val="20"/>
          <w:szCs w:val="20"/>
        </w:rPr>
        <w:t xml:space="preserve">nálisis de homogeneidad. </w:t>
      </w:r>
    </w:p>
    <w:p w:rsidR="00000000" w:rsidRDefault="002E4D13">
      <w:pPr>
        <w:pStyle w:val="CM27"/>
        <w:spacing w:after="225" w:line="231" w:lineRule="atLeast"/>
        <w:ind w:left="840" w:right="907"/>
        <w:jc w:val="both"/>
        <w:rPr>
          <w:rFonts w:ascii="MEBOJJ+TimesNewRoman,Italic" w:hAnsi="MEBOJJ+TimesNewRoman,Italic" w:cs="MEBOJJ+TimesNewRoman,Italic"/>
          <w:color w:val="000000"/>
          <w:sz w:val="20"/>
          <w:szCs w:val="20"/>
        </w:rPr>
      </w:pPr>
      <w:r>
        <w:rPr>
          <w:rFonts w:ascii="MEBOJJ+TimesNewRoman,Italic" w:hAnsi="MEBOJJ+TimesNewRoman,Italic" w:cs="MEBOJJ+TimesNewRoman,Italic"/>
          <w:color w:val="000000"/>
          <w:sz w:val="20"/>
          <w:szCs w:val="20"/>
        </w:rPr>
        <w:t xml:space="preserve">Los resultados obtenidos,  se reflejan en algunas conclusiones que se presentan en este trabajo. </w:t>
      </w:r>
    </w:p>
    <w:p w:rsidR="00000000" w:rsidRDefault="002E4D13">
      <w:pPr>
        <w:pStyle w:val="CM27"/>
        <w:spacing w:after="225" w:line="231" w:lineRule="atLeast"/>
        <w:ind w:left="840" w:right="907"/>
        <w:jc w:val="both"/>
        <w:rPr>
          <w:rFonts w:ascii="MEBOJJ+TimesNewRoman,Italic" w:hAnsi="MEBOJJ+TimesNewRoman,Italic" w:cs="MEBOJJ+TimesNewRoman,Italic"/>
          <w:color w:val="000000"/>
          <w:sz w:val="20"/>
          <w:szCs w:val="20"/>
        </w:rPr>
      </w:pPr>
      <w:r>
        <w:rPr>
          <w:rFonts w:ascii="MEBOHJ+TimesNewRoman,BoldItalic" w:hAnsi="MEBOHJ+TimesNewRoman,BoldItalic" w:cs="MEBOHJ+TimesNewRoman,BoldItalic"/>
          <w:b/>
          <w:bCs/>
          <w:color w:val="000000"/>
          <w:sz w:val="20"/>
          <w:szCs w:val="20"/>
        </w:rPr>
        <w:t xml:space="preserve">Summary. </w:t>
      </w:r>
      <w:r>
        <w:rPr>
          <w:rFonts w:ascii="MEBOJJ+TimesNewRoman,Italic" w:hAnsi="MEBOJJ+TimesNewRoman,Italic" w:cs="MEBOJJ+TimesNewRoman,Italic"/>
          <w:color w:val="000000"/>
          <w:sz w:val="20"/>
          <w:szCs w:val="20"/>
        </w:rPr>
        <w:t>The present work analyzes certain characteristics of the transaccionales services that the greatest network of automatic te</w:t>
      </w:r>
      <w:r>
        <w:rPr>
          <w:rFonts w:ascii="MEBOJJ+TimesNewRoman,Italic" w:hAnsi="MEBOJJ+TimesNewRoman,Italic" w:cs="MEBOJJ+TimesNewRoman,Italic"/>
          <w:color w:val="000000"/>
          <w:sz w:val="20"/>
          <w:szCs w:val="20"/>
        </w:rPr>
        <w:t xml:space="preserve">llers in the city of Guayaquil offers, for the analysis counts on 2'893.894 transactions carried out by the clients of the network during the period of study.  </w:t>
      </w:r>
    </w:p>
    <w:p w:rsidR="00000000" w:rsidRDefault="002E4D13">
      <w:pPr>
        <w:pStyle w:val="CM2"/>
        <w:spacing w:after="275"/>
        <w:ind w:left="840" w:right="907"/>
        <w:jc w:val="both"/>
        <w:rPr>
          <w:rFonts w:ascii="MEBOJJ+TimesNewRoman,Italic" w:hAnsi="MEBOJJ+TimesNewRoman,Italic" w:cs="MEBOJJ+TimesNewRoman,Italic"/>
          <w:color w:val="000000"/>
          <w:sz w:val="20"/>
          <w:szCs w:val="20"/>
        </w:rPr>
      </w:pPr>
      <w:r>
        <w:rPr>
          <w:rFonts w:ascii="MEBOJJ+TimesNewRoman,Italic" w:hAnsi="MEBOJJ+TimesNewRoman,Italic" w:cs="MEBOJJ+TimesNewRoman,Italic"/>
          <w:color w:val="000000"/>
          <w:sz w:val="20"/>
          <w:szCs w:val="20"/>
        </w:rPr>
        <w:t>In the first part a brief historical review is about the greatest network of automatic tellers,</w:t>
      </w:r>
      <w:r>
        <w:rPr>
          <w:rFonts w:ascii="MEBOJJ+TimesNewRoman,Italic" w:hAnsi="MEBOJJ+TimesNewRoman,Italic" w:cs="MEBOJJ+TimesNewRoman,Italic"/>
          <w:color w:val="000000"/>
          <w:sz w:val="20"/>
          <w:szCs w:val="20"/>
        </w:rPr>
        <w:t xml:space="preserve"> some transaccionales concepts like the transaccional menu that at the moment offers the clients of the network. In the second part the variables like type of card appear, type of account, day of transaction, hour of transaction, institution purchaser, amo</w:t>
      </w:r>
      <w:r>
        <w:rPr>
          <w:rFonts w:ascii="MEBOJJ+TimesNewRoman,Italic" w:hAnsi="MEBOJJ+TimesNewRoman,Italic" w:cs="MEBOJJ+TimesNewRoman,Italic"/>
          <w:color w:val="000000"/>
          <w:sz w:val="20"/>
          <w:szCs w:val="20"/>
        </w:rPr>
        <w:t xml:space="preserve">ng others for the univariado and multivaried study, as well as the univariado statistical study of each one of the study variables. Finally in the thrid part the studies multivaried made like analysis of contingency appear and analysis of homogeneity.  </w:t>
      </w:r>
    </w:p>
    <w:p w:rsidR="00000000" w:rsidRDefault="002E4D13">
      <w:pPr>
        <w:pStyle w:val="CM27"/>
        <w:spacing w:after="225" w:line="231" w:lineRule="atLeast"/>
        <w:ind w:left="840"/>
        <w:jc w:val="both"/>
        <w:rPr>
          <w:rFonts w:ascii="MEBOJJ+TimesNewRoman,Italic" w:hAnsi="MEBOJJ+TimesNewRoman,Italic" w:cs="MEBOJJ+TimesNewRoman,Italic"/>
          <w:color w:val="000000"/>
          <w:sz w:val="20"/>
          <w:szCs w:val="20"/>
        </w:rPr>
      </w:pPr>
      <w:r>
        <w:rPr>
          <w:rFonts w:ascii="MEBOJJ+TimesNewRoman,Italic" w:hAnsi="MEBOJJ+TimesNewRoman,Italic" w:cs="MEBOJJ+TimesNewRoman,Italic"/>
          <w:color w:val="000000"/>
          <w:sz w:val="20"/>
          <w:szCs w:val="20"/>
        </w:rPr>
        <w:t>Th</w:t>
      </w:r>
      <w:r>
        <w:rPr>
          <w:rFonts w:ascii="MEBOJJ+TimesNewRoman,Italic" w:hAnsi="MEBOJJ+TimesNewRoman,Italic" w:cs="MEBOJJ+TimesNewRoman,Italic"/>
          <w:color w:val="000000"/>
          <w:sz w:val="20"/>
          <w:szCs w:val="20"/>
        </w:rPr>
        <w:t xml:space="preserve">e obtained results, are reflected in some conclusions that appear in this work. </w:t>
      </w:r>
    </w:p>
    <w:p w:rsidR="00000000" w:rsidRDefault="002E4D13">
      <w:pPr>
        <w:pStyle w:val="Default"/>
        <w:rPr>
          <w:rFonts w:cstheme="minorBidi"/>
          <w:color w:val="auto"/>
        </w:rPr>
        <w:sectPr w:rsidR="00000000">
          <w:pgSz w:w="11900" w:h="17340"/>
          <w:pgMar w:top="1139" w:right="1113" w:bottom="668" w:left="1474" w:header="720" w:footer="720" w:gutter="0"/>
          <w:cols w:space="720"/>
          <w:noEndnote/>
        </w:sectPr>
      </w:pPr>
    </w:p>
    <w:p w:rsidR="00000000" w:rsidRDefault="002E4D13">
      <w:pPr>
        <w:pStyle w:val="Default"/>
        <w:spacing w:after="193" w:line="231" w:lineRule="atLeast"/>
        <w:jc w:val="center"/>
        <w:rPr>
          <w:color w:val="auto"/>
          <w:sz w:val="20"/>
          <w:szCs w:val="20"/>
        </w:rPr>
      </w:pPr>
      <w:r>
        <w:rPr>
          <w:b/>
          <w:bCs/>
          <w:color w:val="auto"/>
          <w:sz w:val="20"/>
          <w:szCs w:val="20"/>
        </w:rPr>
        <w:lastRenderedPageBreak/>
        <w:t xml:space="preserve">1. INTRODUCCIÓN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A continuación se presenta un breve resumen de la Tesis “Análisis Estadístico de los Servicios qu</w:t>
      </w:r>
      <w:r>
        <w:rPr>
          <w:rFonts w:ascii="MEBOED+TimesNewRoman" w:hAnsi="MEBOED+TimesNewRoman" w:cs="MEBOED+TimesNewRoman"/>
          <w:sz w:val="20"/>
          <w:szCs w:val="20"/>
        </w:rPr>
        <w:t xml:space="preserve">e presta el Servicio Transaccional de una Red de Cajeros Automáticos en la ciudad de Guayaquil”: </w:t>
      </w:r>
    </w:p>
    <w:p w:rsidR="00000000" w:rsidRDefault="002E4D13">
      <w:pPr>
        <w:pStyle w:val="CM27"/>
        <w:spacing w:after="225" w:line="231" w:lineRule="atLeast"/>
        <w:jc w:val="both"/>
        <w:rPr>
          <w:rFonts w:cs="MEBOFJ+TimesNewRoman,Bold"/>
          <w:sz w:val="20"/>
          <w:szCs w:val="20"/>
        </w:rPr>
      </w:pPr>
      <w:r>
        <w:rPr>
          <w:rFonts w:ascii="MEBOED+TimesNewRoman" w:hAnsi="MEBOED+TimesNewRoman" w:cs="MEBOED+TimesNewRoman"/>
          <w:sz w:val="20"/>
          <w:szCs w:val="20"/>
        </w:rPr>
        <w:t>El 10 de Mayo de 1994, once bancos del Ecuador y una administradora de tarjetas de crédito decidieron fusionar la compañía Redbanc S.A. y Multired Cía Ltda. q</w:t>
      </w:r>
      <w:r>
        <w:rPr>
          <w:rFonts w:ascii="MEBOED+TimesNewRoman" w:hAnsi="MEBOED+TimesNewRoman" w:cs="MEBOED+TimesNewRoman"/>
          <w:sz w:val="20"/>
          <w:szCs w:val="20"/>
        </w:rPr>
        <w:t>ue eran en ese tiempo las únicas redes de cajeros automáticos existentes, para formar Banred, una empresa ecuatoriana que nació originalmente como una red interbancaria de cajeros automáticos y que actualmente ofrece servicios de transferencia electrónica,</w:t>
      </w:r>
      <w:r>
        <w:rPr>
          <w:rFonts w:ascii="MEBOED+TimesNewRoman" w:hAnsi="MEBOED+TimesNewRoman" w:cs="MEBOED+TimesNewRoman"/>
          <w:sz w:val="20"/>
          <w:szCs w:val="20"/>
        </w:rPr>
        <w:t xml:space="preserve"> procesamiento e información financiera para satisfacer las demandas del sector financiero, empresarial y gubernamental. </w:t>
      </w:r>
      <w:r>
        <w:rPr>
          <w:rFonts w:cs="MEBOFJ+TimesNewRoman,Bold"/>
          <w:b/>
          <w:bCs/>
          <w:sz w:val="20"/>
          <w:szCs w:val="20"/>
        </w:rPr>
        <w:t xml:space="preserve">(1)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En la ciudad de Guayaquil, existen entidades </w:t>
      </w:r>
      <w:r>
        <w:rPr>
          <w:rFonts w:ascii="MEBOED+TimesNewRoman" w:hAnsi="MEBOED+TimesNewRoman" w:cs="MEBOED+TimesNewRoman"/>
          <w:sz w:val="20"/>
          <w:szCs w:val="20"/>
        </w:rPr>
        <w:lastRenderedPageBreak/>
        <w:t>bancarias con numerosos cajeros automáticos interconectados a esta red de Cajeros Aut</w:t>
      </w:r>
      <w:r>
        <w:rPr>
          <w:rFonts w:ascii="MEBOED+TimesNewRoman" w:hAnsi="MEBOED+TimesNewRoman" w:cs="MEBOED+TimesNewRoman"/>
          <w:sz w:val="20"/>
          <w:szCs w:val="20"/>
        </w:rPr>
        <w:t>omáticos. El servicio de cajeros automáticos es cada vez más usado debido a su comodidad y rapidez, las entidades bancarias ubican estos dispositivos automáticos en sitios estratégicos de la ciudad con el fin de abarcar a la mayor cantidad de clientes, los</w:t>
      </w:r>
      <w:r>
        <w:rPr>
          <w:rFonts w:ascii="MEBOED+TimesNewRoman" w:hAnsi="MEBOED+TimesNewRoman" w:cs="MEBOED+TimesNewRoman"/>
          <w:sz w:val="20"/>
          <w:szCs w:val="20"/>
        </w:rPr>
        <w:t xml:space="preserve"> mismos que por la necesidad de realizar una u otra  transacción en cualquier hora del día no les importa pagar un sobrecargo por la transacción solicitada. </w:t>
      </w:r>
    </w:p>
    <w:p w:rsidR="00000000" w:rsidRDefault="002E4D13">
      <w:pPr>
        <w:pStyle w:val="Default"/>
        <w:pageBreakBefore/>
        <w:framePr w:w="2477" w:wrap="auto" w:vAnchor="page" w:hAnchor="page" w:x="7754" w:y="12349"/>
        <w:spacing w:after="140"/>
        <w:rPr>
          <w:rFonts w:ascii="MEBOED+TimesNewRoman" w:hAnsi="MEBOED+TimesNewRoman" w:cs="MEBOED+TimesNewRoman"/>
          <w:color w:val="auto"/>
          <w:sz w:val="20"/>
          <w:szCs w:val="20"/>
        </w:rPr>
      </w:pPr>
      <w:r>
        <w:rPr>
          <w:rFonts w:ascii="MEBOED+TimesNewRoman" w:hAnsi="MEBOED+TimesNewRoman" w:cs="MEBOED+TimesNewRoman"/>
          <w:noProof/>
          <w:color w:val="auto"/>
          <w:sz w:val="20"/>
          <w:szCs w:val="20"/>
        </w:rPr>
        <w:lastRenderedPageBreak/>
        <w:drawing>
          <wp:inline distT="0" distB="0" distL="0" distR="0">
            <wp:extent cx="1050925" cy="121475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050925" cy="1214755"/>
                    </a:xfrm>
                    <a:prstGeom prst="rect">
                      <a:avLst/>
                    </a:prstGeom>
                    <a:noFill/>
                    <a:ln w="9525">
                      <a:noFill/>
                      <a:miter lim="800000"/>
                      <a:headEnd/>
                      <a:tailEnd/>
                    </a:ln>
                  </pic:spPr>
                </pic:pic>
              </a:graphicData>
            </a:graphic>
          </wp:inline>
        </w:drawing>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lastRenderedPageBreak/>
        <w:t>Para el estudio, se analiz</w:t>
      </w:r>
      <w:r>
        <w:rPr>
          <w:rFonts w:ascii="MEBOED+TimesNewRoman" w:hAnsi="MEBOED+TimesNewRoman" w:cs="MEBOED+TimesNewRoman"/>
          <w:sz w:val="20"/>
          <w:szCs w:val="20"/>
        </w:rPr>
        <w:t>aron las operaciones en los cajeros automáticos  de la ciudad de Guayaquil que involucraron transacciones de red; es decir no se consideraron las transacciones locales (clientes de un banco “X” realiza transacciones en un cajero automático del mismo banco)</w:t>
      </w:r>
      <w:r>
        <w:rPr>
          <w:rFonts w:ascii="MEBOED+TimesNewRoman" w:hAnsi="MEBOED+TimesNewRoman" w:cs="MEBOED+TimesNewRoman"/>
          <w:sz w:val="20"/>
          <w:szCs w:val="20"/>
        </w:rPr>
        <w:t xml:space="preserve"> ya que en las mismas no se utiliza la red de cajeros automáticos. Ya que la población investigada son las transacciones realizadas desde los cajeros automáticos de la ciudad de Guayaquil, el principal objetivo del estudio fue realizar un análisis estadíst</w:t>
      </w:r>
      <w:r>
        <w:rPr>
          <w:rFonts w:ascii="MEBOED+TimesNewRoman" w:hAnsi="MEBOED+TimesNewRoman" w:cs="MEBOED+TimesNewRoman"/>
          <w:sz w:val="20"/>
          <w:szCs w:val="20"/>
        </w:rPr>
        <w:t xml:space="preserve">ico que permita explicar las diferentes características  de las transacciones de red realizadas en los diversos cajeros automáticos de la ciudad de Guayaquil durante el año 2003.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Para lograr esto se diseñaron y realizaron las siguientes actividades: </w:t>
      </w:r>
    </w:p>
    <w:p w:rsidR="00000000" w:rsidRDefault="002E4D13">
      <w:pPr>
        <w:pStyle w:val="Default"/>
        <w:numPr>
          <w:ilvl w:val="0"/>
          <w:numId w:val="1"/>
        </w:numPr>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 Se recopilaron variables del comportamiento transaccional, que miden las características generales de las transacciones de red realizadas en la ciudad de Guayaquil. </w:t>
      </w:r>
    </w:p>
    <w:p w:rsidR="00000000" w:rsidRDefault="002E4D13">
      <w:pPr>
        <w:pStyle w:val="Default"/>
        <w:numPr>
          <w:ilvl w:val="0"/>
          <w:numId w:val="1"/>
        </w:numPr>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 Se realizó un análisis estadístico univariado de las variables de estudio. </w:t>
      </w:r>
    </w:p>
    <w:p w:rsidR="00000000" w:rsidRDefault="002E4D13">
      <w:pPr>
        <w:pStyle w:val="Default"/>
        <w:numPr>
          <w:ilvl w:val="0"/>
          <w:numId w:val="1"/>
        </w:numPr>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 Se analizó </w:t>
      </w:r>
      <w:r>
        <w:rPr>
          <w:rFonts w:ascii="MEBOED+TimesNewRoman" w:hAnsi="MEBOED+TimesNewRoman" w:cs="MEBOED+TimesNewRoman"/>
          <w:color w:val="auto"/>
          <w:sz w:val="20"/>
          <w:szCs w:val="20"/>
        </w:rPr>
        <w:t>algunas de  las  características de nuestra población investigada, así como conocer los comportamientos transaccionales por instituciones, tipo de transacciones,  montos solicitados y situaciones de error que se presentan frecuentemente.   Se realizó un an</w:t>
      </w:r>
      <w:r>
        <w:rPr>
          <w:rFonts w:ascii="MEBOED+TimesNewRoman" w:hAnsi="MEBOED+TimesNewRoman" w:cs="MEBOED+TimesNewRoman"/>
          <w:color w:val="auto"/>
          <w:sz w:val="20"/>
          <w:szCs w:val="20"/>
        </w:rPr>
        <w:t xml:space="preserve">álisis multivariado utilizando técnicas como: componentes principales, correlación canónica y análisis de homogeneidad. </w:t>
      </w:r>
    </w:p>
    <w:p w:rsidR="00000000" w:rsidRDefault="002E4D13">
      <w:pPr>
        <w:pStyle w:val="Default"/>
        <w:rPr>
          <w:rFonts w:ascii="MEBOED+TimesNewRoman" w:hAnsi="MEBOED+TimesNewRoman" w:cs="MEBOED+TimesNewRoman"/>
          <w:color w:val="auto"/>
          <w:sz w:val="20"/>
          <w:szCs w:val="20"/>
        </w:rPr>
      </w:pPr>
    </w:p>
    <w:p w:rsidR="00000000" w:rsidRDefault="002E4D13">
      <w:pPr>
        <w:pStyle w:val="CM4"/>
        <w:jc w:val="both"/>
        <w:rPr>
          <w:rFonts w:ascii="MEBOED+TimesNewRoman" w:hAnsi="MEBOED+TimesNewRoman" w:cs="MEBOED+TimesNewRoman"/>
          <w:sz w:val="20"/>
          <w:szCs w:val="20"/>
        </w:rPr>
      </w:pPr>
      <w:r>
        <w:rPr>
          <w:rFonts w:ascii="MEBOED+TimesNewRoman" w:hAnsi="MEBOED+TimesNewRoman" w:cs="MEBOED+TimesNewRoman"/>
          <w:sz w:val="20"/>
          <w:szCs w:val="20"/>
        </w:rPr>
        <w:t>Así, los resultados de esta investigación podrían ser útiles para analizar posibles cambios a nivel de negocios y estratégicos que per</w:t>
      </w:r>
      <w:r>
        <w:rPr>
          <w:rFonts w:ascii="MEBOED+TimesNewRoman" w:hAnsi="MEBOED+TimesNewRoman" w:cs="MEBOED+TimesNewRoman"/>
          <w:sz w:val="20"/>
          <w:szCs w:val="20"/>
        </w:rPr>
        <w:t>mitan a las entidades bancarias brindar un mejor servicio a sus clientes y por otro lado la red de cajeros automáticos podrá conocer el comportamiento estadístico de las entidades bancarias que forman parte de la red y cambios que se requieren para mejorar</w:t>
      </w:r>
      <w:r>
        <w:rPr>
          <w:rFonts w:ascii="MEBOED+TimesNewRoman" w:hAnsi="MEBOED+TimesNewRoman" w:cs="MEBOED+TimesNewRoman"/>
          <w:sz w:val="20"/>
          <w:szCs w:val="20"/>
        </w:rPr>
        <w:t xml:space="preserve"> el servicio en general. </w:t>
      </w:r>
    </w:p>
    <w:p w:rsidR="00000000" w:rsidRDefault="002E4D13">
      <w:pPr>
        <w:pStyle w:val="CM27"/>
        <w:spacing w:after="225" w:line="186" w:lineRule="atLeast"/>
        <w:ind w:left="5470"/>
        <w:rPr>
          <w:rFonts w:cs="MEBOFJ+TimesNewRoman,Bold"/>
          <w:sz w:val="16"/>
          <w:szCs w:val="16"/>
        </w:rPr>
      </w:pPr>
      <w:r>
        <w:rPr>
          <w:rFonts w:cs="MEBOFJ+TimesNewRoman,Bold"/>
          <w:b/>
          <w:bCs/>
          <w:sz w:val="16"/>
          <w:szCs w:val="16"/>
        </w:rPr>
        <w:t>FIGURA 1 MODELO SWITCH TRANSA</w:t>
      </w:r>
      <w:r>
        <w:rPr>
          <w:rFonts w:cs="MEBOFJ+TimesNewRoman,Bold"/>
          <w:b/>
          <w:bCs/>
          <w:sz w:val="16"/>
          <w:szCs w:val="16"/>
        </w:rPr>
        <w:lastRenderedPageBreak/>
        <w:t xml:space="preserve">CCIONAL </w:t>
      </w:r>
    </w:p>
    <w:p w:rsidR="00000000" w:rsidRDefault="002E4D13">
      <w:pPr>
        <w:pStyle w:val="Default"/>
        <w:framePr w:w="4314" w:wrap="auto" w:vAnchor="page" w:hAnchor="page" w:x="6605" w:y="3524"/>
        <w:rPr>
          <w:color w:val="auto"/>
          <w:sz w:val="16"/>
          <w:szCs w:val="16"/>
        </w:rPr>
      </w:pPr>
      <w:r>
        <w:rPr>
          <w:noProof/>
          <w:color w:val="auto"/>
          <w:sz w:val="16"/>
          <w:szCs w:val="16"/>
        </w:rPr>
        <w:drawing>
          <wp:inline distT="0" distB="0" distL="0" distR="0">
            <wp:extent cx="2265680" cy="1801495"/>
            <wp:effectExtent l="1905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265680" cy="1801495"/>
                    </a:xfrm>
                    <a:prstGeom prst="rect">
                      <a:avLst/>
                    </a:prstGeom>
                    <a:noFill/>
                    <a:ln w="9525">
                      <a:noFill/>
                      <a:miter lim="800000"/>
                      <a:headEnd/>
                      <a:tailEnd/>
                    </a:ln>
                  </pic:spPr>
                </pic:pic>
              </a:graphicData>
            </a:graphic>
          </wp:inline>
        </w:drawing>
      </w:r>
    </w:p>
    <w:p w:rsidR="00000000" w:rsidRDefault="002E4D13">
      <w:pPr>
        <w:pStyle w:val="CM28"/>
        <w:spacing w:after="162" w:line="186" w:lineRule="atLeast"/>
        <w:jc w:val="center"/>
        <w:rPr>
          <w:rFonts w:ascii="MEBOED+TimesNewRoman" w:hAnsi="MEBOED+TimesNewRoman" w:cs="MEBOED+TimesNewRoman"/>
          <w:sz w:val="16"/>
          <w:szCs w:val="16"/>
        </w:rPr>
      </w:pPr>
      <w:r>
        <w:rPr>
          <w:rFonts w:ascii="MEBOED+TimesNewRoman" w:hAnsi="MEBOED+TimesNewRoman" w:cs="MEBOED+TimesNewRoman"/>
          <w:sz w:val="16"/>
          <w:szCs w:val="16"/>
        </w:rPr>
        <w:t xml:space="preserve">Red de Cajeros Automáticos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En el país actualmente existen algunas redes de cajeros automáticos entre las que tenemos BA</w:t>
      </w:r>
      <w:r>
        <w:rPr>
          <w:rFonts w:ascii="MEBOED+TimesNewRoman" w:hAnsi="MEBOED+TimesNewRoman" w:cs="MEBOED+TimesNewRoman"/>
          <w:sz w:val="20"/>
          <w:szCs w:val="20"/>
        </w:rPr>
        <w:t>NRED, NEXO (Banco del Pichincha), VISA, MASTERCARD; Banred es la red de cajeros automáticos que lleva más de 11 años en el mercado ecuatoriano, contando con la interconexión del 100% de los Bancos Grandes, el 100% de los Bancos Medianos y el 61% de los Ban</w:t>
      </w:r>
      <w:r>
        <w:rPr>
          <w:rFonts w:ascii="MEBOED+TimesNewRoman" w:hAnsi="MEBOED+TimesNewRoman" w:cs="MEBOED+TimesNewRoman"/>
          <w:sz w:val="20"/>
          <w:szCs w:val="20"/>
        </w:rPr>
        <w:t xml:space="preserve">cos Pequeños constituyéndose en la red más grande del Ecuador. </w:t>
      </w:r>
    </w:p>
    <w:p w:rsidR="00000000" w:rsidRDefault="002E4D13">
      <w:pPr>
        <w:pStyle w:val="CM27"/>
        <w:spacing w:after="225" w:line="231" w:lineRule="atLeast"/>
        <w:jc w:val="both"/>
        <w:rPr>
          <w:rFonts w:cs="MEBOFJ+TimesNewRoman,Bold"/>
          <w:sz w:val="20"/>
          <w:szCs w:val="20"/>
        </w:rPr>
      </w:pPr>
      <w:r>
        <w:rPr>
          <w:rFonts w:ascii="MEBOED+TimesNewRoman" w:hAnsi="MEBOED+TimesNewRoman" w:cs="MEBOED+TimesNewRoman"/>
          <w:sz w:val="20"/>
          <w:szCs w:val="20"/>
        </w:rPr>
        <w:t>El objetivo principal de la red de cajeros automáticos es brindar un servicio de alta disponibilidad, durante los 365 días del año con calidad y mejora continua en todos sus procesos. Por otro</w:t>
      </w:r>
      <w:r>
        <w:rPr>
          <w:rFonts w:ascii="MEBOED+TimesNewRoman" w:hAnsi="MEBOED+TimesNewRoman" w:cs="MEBOED+TimesNewRoman"/>
          <w:sz w:val="20"/>
          <w:szCs w:val="20"/>
        </w:rPr>
        <w:t xml:space="preserve"> lado la red de cajeros automáticos tiene como finalidad brindar una gama completa de servicios a los clientes de la red, tales como: transferencias entre cuentas, consultas, retiros, pagos de servicios; permitiendo realizar de forma rápida y eficaz la may</w:t>
      </w:r>
      <w:r>
        <w:rPr>
          <w:rFonts w:ascii="MEBOED+TimesNewRoman" w:hAnsi="MEBOED+TimesNewRoman" w:cs="MEBOED+TimesNewRoman"/>
          <w:sz w:val="20"/>
          <w:szCs w:val="20"/>
        </w:rPr>
        <w:t xml:space="preserve">or diversidad de transacciones durante las 24 horas del día. A continuación se presenta gráficamente la distribución de cajeros automáticos por entidades bancarias, así como la distribución de cajeros automáticos por regiones al 2003. </w:t>
      </w:r>
      <w:r>
        <w:rPr>
          <w:rFonts w:cs="MEBOFJ+TimesNewRoman,Bold"/>
          <w:b/>
          <w:bCs/>
          <w:sz w:val="20"/>
          <w:szCs w:val="20"/>
        </w:rPr>
        <w:t xml:space="preserve">(2) </w:t>
      </w:r>
    </w:p>
    <w:p w:rsidR="00000000" w:rsidRDefault="002E4D13">
      <w:pPr>
        <w:pStyle w:val="CM28"/>
        <w:spacing w:after="162" w:line="186" w:lineRule="atLeast"/>
        <w:ind w:left="1115" w:right="412"/>
        <w:jc w:val="center"/>
        <w:rPr>
          <w:rFonts w:cs="MEBOFJ+TimesNewRoman,Bold"/>
          <w:sz w:val="16"/>
          <w:szCs w:val="16"/>
        </w:rPr>
      </w:pPr>
      <w:r>
        <w:rPr>
          <w:rFonts w:cs="MEBOFJ+TimesNewRoman,Bold"/>
          <w:b/>
          <w:bCs/>
          <w:sz w:val="16"/>
          <w:szCs w:val="16"/>
        </w:rPr>
        <w:t>GRAFICO 1 DISTRI</w:t>
      </w:r>
      <w:r>
        <w:rPr>
          <w:rFonts w:cs="MEBOFJ+TimesNewRoman,Bold"/>
          <w:b/>
          <w:bCs/>
          <w:sz w:val="16"/>
          <w:szCs w:val="16"/>
        </w:rPr>
        <w:t xml:space="preserve">BUCIÓN DE  ATMS POR ENTIDADES BANCARIAS </w:t>
      </w:r>
    </w:p>
    <w:p w:rsidR="00000000" w:rsidRDefault="002E4D13">
      <w:pPr>
        <w:pStyle w:val="CM6"/>
        <w:jc w:val="center"/>
        <w:rPr>
          <w:rFonts w:ascii="MECBBC+Arial" w:hAnsi="MECBBC+Arial" w:cs="MECBBC+Arial"/>
          <w:sz w:val="8"/>
          <w:szCs w:val="8"/>
        </w:rPr>
      </w:pPr>
      <w:r>
        <w:rPr>
          <w:rFonts w:ascii="MECBBC+Arial" w:hAnsi="MECBBC+Arial" w:cs="MECBBC+Arial"/>
          <w:sz w:val="8"/>
          <w:szCs w:val="8"/>
        </w:rPr>
        <w:t xml:space="preserve">Otros </w:t>
      </w:r>
    </w:p>
    <w:p w:rsidR="00000000" w:rsidRDefault="002E4D13">
      <w:pPr>
        <w:pStyle w:val="CM1"/>
        <w:ind w:left="1072"/>
        <w:jc w:val="both"/>
        <w:rPr>
          <w:rFonts w:ascii="MECBBC+Arial" w:hAnsi="MECBBC+Arial" w:cs="MECBBC+Arial"/>
          <w:sz w:val="8"/>
          <w:szCs w:val="8"/>
        </w:rPr>
      </w:pPr>
      <w:r>
        <w:rPr>
          <w:rFonts w:ascii="MECBBC+Arial" w:hAnsi="MECBBC+Arial" w:cs="MECBBC+Arial"/>
          <w:sz w:val="8"/>
          <w:szCs w:val="8"/>
        </w:rPr>
        <w:t xml:space="preserve">Banco del Austro </w:t>
      </w:r>
    </w:p>
    <w:p w:rsidR="00000000" w:rsidRDefault="002E4D13">
      <w:pPr>
        <w:pStyle w:val="CM29"/>
        <w:spacing w:after="80"/>
        <w:ind w:left="1342"/>
        <w:jc w:val="both"/>
        <w:rPr>
          <w:rFonts w:ascii="MECBBC+Arial" w:hAnsi="MECBBC+Arial" w:cs="MECBBC+Arial"/>
          <w:sz w:val="8"/>
          <w:szCs w:val="8"/>
        </w:rPr>
      </w:pPr>
      <w:r>
        <w:rPr>
          <w:rFonts w:ascii="MECBBC+Arial" w:hAnsi="MECBBC+Arial" w:cs="MECBBC+Arial"/>
          <w:sz w:val="8"/>
          <w:szCs w:val="8"/>
        </w:rPr>
        <w:t xml:space="preserve">5% </w:t>
      </w:r>
    </w:p>
    <w:p w:rsidR="00000000" w:rsidRDefault="002E4D13">
      <w:pPr>
        <w:pStyle w:val="Default"/>
        <w:spacing w:line="100" w:lineRule="atLeast"/>
        <w:ind w:left="1950" w:right="1100"/>
        <w:rPr>
          <w:rFonts w:ascii="MECBBC+Arial" w:hAnsi="MECBBC+Arial" w:cs="MECBBC+Arial"/>
          <w:color w:val="auto"/>
          <w:sz w:val="8"/>
          <w:szCs w:val="8"/>
        </w:rPr>
      </w:pPr>
      <w:r>
        <w:rPr>
          <w:rFonts w:ascii="MECBBC+Arial" w:hAnsi="MECBBC+Arial" w:cs="MECBBC+Arial"/>
          <w:color w:val="auto"/>
          <w:sz w:val="8"/>
          <w:szCs w:val="8"/>
        </w:rPr>
        <w:t xml:space="preserve">Banco Produbanco 6% Banco del Pichincha Banco Bolivariano </w:t>
      </w:r>
    </w:p>
    <w:p w:rsidR="00000000" w:rsidRDefault="002E4D13">
      <w:pPr>
        <w:pStyle w:val="CM26"/>
        <w:spacing w:after="342" w:line="78" w:lineRule="atLeast"/>
        <w:ind w:left="1065" w:right="560"/>
        <w:jc w:val="both"/>
        <w:rPr>
          <w:rFonts w:ascii="MECBBC+Arial" w:hAnsi="MECBBC+Arial" w:cs="MECBBC+Arial"/>
          <w:sz w:val="8"/>
          <w:szCs w:val="8"/>
        </w:rPr>
      </w:pPr>
      <w:r>
        <w:rPr>
          <w:rFonts w:ascii="MECBBC+Arial" w:hAnsi="MECBBC+Arial" w:cs="MECBBC+Arial"/>
          <w:sz w:val="8"/>
          <w:szCs w:val="8"/>
        </w:rPr>
        <w:t xml:space="preserve">39% 7% </w:t>
      </w:r>
    </w:p>
    <w:p w:rsidR="00000000" w:rsidRDefault="002E4D13">
      <w:pPr>
        <w:pStyle w:val="CM30"/>
        <w:spacing w:after="587" w:line="116" w:lineRule="atLeast"/>
        <w:ind w:left="1010"/>
        <w:jc w:val="center"/>
        <w:rPr>
          <w:rFonts w:ascii="MECBBC+Arial" w:hAnsi="MECBBC+Arial" w:cs="MECBBC+Arial"/>
          <w:sz w:val="8"/>
          <w:szCs w:val="8"/>
        </w:rPr>
      </w:pPr>
      <w:r>
        <w:rPr>
          <w:rFonts w:ascii="MECBBC+Arial" w:hAnsi="MECBBC+Arial" w:cs="MECBBC+Arial"/>
          <w:sz w:val="8"/>
          <w:szCs w:val="8"/>
        </w:rPr>
        <w:t xml:space="preserve">Banco Internacional 11% </w:t>
      </w:r>
    </w:p>
    <w:p w:rsidR="00000000" w:rsidRDefault="002E4D13">
      <w:pPr>
        <w:pStyle w:val="CM5"/>
        <w:jc w:val="center"/>
        <w:rPr>
          <w:rFonts w:ascii="MEBOED+TimesNewRoman" w:hAnsi="MEBOED+TimesNewRoman" w:cs="MEBOED+TimesNewRoman"/>
          <w:sz w:val="16"/>
          <w:szCs w:val="16"/>
        </w:rPr>
      </w:pPr>
      <w:r>
        <w:rPr>
          <w:rFonts w:cs="MEBOFJ+TimesNewRoman,Bold"/>
          <w:b/>
          <w:bCs/>
          <w:sz w:val="16"/>
          <w:szCs w:val="16"/>
        </w:rPr>
        <w:lastRenderedPageBreak/>
        <w:t xml:space="preserve">Fuente: </w:t>
      </w:r>
      <w:r>
        <w:rPr>
          <w:rFonts w:ascii="MEBOED+TimesNewRoman" w:hAnsi="MEBOED+TimesNewRoman" w:cs="MEBOED+TimesNewRoman"/>
          <w:sz w:val="16"/>
          <w:szCs w:val="16"/>
        </w:rPr>
        <w:t xml:space="preserve">Departamento de Soporte Especializado de la Red de Cajeros Automáticos </w:t>
      </w:r>
    </w:p>
    <w:p w:rsidR="00000000" w:rsidRDefault="002E4D13">
      <w:pPr>
        <w:pStyle w:val="CM7"/>
        <w:jc w:val="center"/>
        <w:rPr>
          <w:rFonts w:ascii="MECBBC+Arial" w:hAnsi="MECBBC+Arial" w:cs="MECBBC+Arial"/>
          <w:sz w:val="8"/>
          <w:szCs w:val="8"/>
        </w:rPr>
      </w:pPr>
      <w:r>
        <w:rPr>
          <w:rFonts w:ascii="MECBBC+Arial" w:hAnsi="MECBBC+Arial" w:cs="MECBBC+Arial"/>
          <w:sz w:val="8"/>
          <w:szCs w:val="8"/>
        </w:rPr>
        <w:t>Banco del Pací</w:t>
      </w:r>
      <w:r>
        <w:rPr>
          <w:rFonts w:ascii="MECBBC+Arial" w:hAnsi="MECBBC+Arial" w:cs="MECBBC+Arial"/>
          <w:sz w:val="8"/>
          <w:szCs w:val="8"/>
        </w:rPr>
        <w:t xml:space="preserve">fico 14% </w:t>
      </w:r>
    </w:p>
    <w:p w:rsidR="00000000" w:rsidRDefault="002E4D13">
      <w:pPr>
        <w:pStyle w:val="Default"/>
        <w:pageBreakBefore/>
        <w:framePr w:w="9619" w:wrap="auto" w:vAnchor="page" w:hAnchor="page" w:x="1702" w:y="1399"/>
        <w:spacing w:after="220"/>
        <w:rPr>
          <w:rFonts w:ascii="MECBBC+Arial" w:hAnsi="MECBBC+Arial" w:cs="MECBBC+Arial"/>
          <w:color w:val="auto"/>
          <w:sz w:val="8"/>
          <w:szCs w:val="8"/>
        </w:rPr>
      </w:pPr>
      <w:r>
        <w:rPr>
          <w:rFonts w:ascii="MECBBC+Arial" w:hAnsi="MECBBC+Arial" w:cs="MECBBC+Arial"/>
          <w:noProof/>
          <w:color w:val="auto"/>
          <w:sz w:val="8"/>
          <w:szCs w:val="8"/>
        </w:rPr>
        <w:lastRenderedPageBreak/>
        <w:drawing>
          <wp:inline distT="0" distB="0" distL="0" distR="0">
            <wp:extent cx="5391150" cy="66325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391150" cy="6632575"/>
                    </a:xfrm>
                    <a:prstGeom prst="rect">
                      <a:avLst/>
                    </a:prstGeom>
                    <a:noFill/>
                    <a:ln w="9525">
                      <a:noFill/>
                      <a:miter lim="800000"/>
                      <a:headEnd/>
                      <a:tailEnd/>
                    </a:ln>
                  </pic:spPr>
                </pic:pic>
              </a:graphicData>
            </a:graphic>
          </wp:inline>
        </w:drawing>
      </w:r>
    </w:p>
    <w:p w:rsidR="00000000" w:rsidRDefault="002E4D13">
      <w:pPr>
        <w:pStyle w:val="Default"/>
        <w:rPr>
          <w:rFonts w:cstheme="minorBidi"/>
          <w:color w:val="auto"/>
        </w:rPr>
        <w:sectPr w:rsidR="00000000">
          <w:type w:val="continuous"/>
          <w:pgSz w:w="11900" w:h="17340"/>
          <w:pgMar w:top="1139" w:right="1113" w:bottom="668" w:left="1474" w:header="720" w:footer="720" w:gutter="0"/>
          <w:cols w:num="2" w:space="720" w:equalWidth="0">
            <w:col w:w="4128" w:space="331"/>
            <w:col w:w="4136"/>
          </w:cols>
          <w:noEndnote/>
        </w:sectPr>
      </w:pPr>
    </w:p>
    <w:p w:rsidR="00000000" w:rsidRDefault="002E4D13">
      <w:pPr>
        <w:pStyle w:val="Default"/>
        <w:spacing w:after="225" w:line="231" w:lineRule="atLeast"/>
        <w:jc w:val="both"/>
        <w:rPr>
          <w:rFonts w:ascii="MEBOED+TimesNewRoman" w:hAnsi="MEBOED+TimesNewRoman" w:cs="MEBOED+TimesNewRoman"/>
          <w:color w:val="auto"/>
          <w:sz w:val="20"/>
          <w:szCs w:val="20"/>
        </w:rPr>
      </w:pPr>
      <w:r>
        <w:rPr>
          <w:rFonts w:ascii="MEBOED+TimesNewRoman" w:hAnsi="MEBOED+TimesNewRoman" w:cs="MEBOED+TimesNewRoman"/>
          <w:color w:val="auto"/>
          <w:sz w:val="20"/>
          <w:szCs w:val="20"/>
        </w:rPr>
        <w:t>A continuación se presentan los principales resultados del análisis estadí</w:t>
      </w:r>
      <w:r>
        <w:rPr>
          <w:rFonts w:ascii="MEBOED+TimesNewRoman" w:hAnsi="MEBOED+TimesNewRoman" w:cs="MEBOED+TimesNewRoman"/>
          <w:color w:val="auto"/>
          <w:sz w:val="20"/>
          <w:szCs w:val="20"/>
        </w:rPr>
        <w:t xml:space="preserve">stico realizado para cada una de las variables de estudio descritas anteriormente: </w:t>
      </w:r>
    </w:p>
    <w:p w:rsidR="00000000" w:rsidRDefault="002E4D13">
      <w:pPr>
        <w:pStyle w:val="CM4"/>
        <w:jc w:val="both"/>
        <w:rPr>
          <w:rFonts w:cs="MEBOFJ+TimesNewRoman,Bold"/>
          <w:sz w:val="20"/>
          <w:szCs w:val="20"/>
        </w:rPr>
      </w:pPr>
      <w:r>
        <w:rPr>
          <w:rFonts w:cs="MEBOFJ+TimesNewRoman,Bold"/>
          <w:b/>
          <w:bCs/>
          <w:sz w:val="20"/>
          <w:szCs w:val="20"/>
        </w:rPr>
        <w:t xml:space="preserve">2.1. Topología de Cajero </w:t>
      </w:r>
    </w:p>
    <w:p w:rsidR="00000000" w:rsidRDefault="002E4D13">
      <w:pPr>
        <w:pStyle w:val="CM4"/>
        <w:jc w:val="both"/>
        <w:rPr>
          <w:rFonts w:ascii="MEBOED+TimesNewRoman" w:hAnsi="MEBOED+TimesNewRoman" w:cs="MEBOED+TimesNewRoman"/>
          <w:sz w:val="20"/>
          <w:szCs w:val="20"/>
        </w:rPr>
      </w:pPr>
      <w:r>
        <w:rPr>
          <w:rFonts w:ascii="MEBOED+TimesNewRoman" w:hAnsi="MEBOED+TimesNewRoman" w:cs="MEBOED+TimesNewRoman"/>
          <w:sz w:val="20"/>
          <w:szCs w:val="20"/>
        </w:rPr>
        <w:t xml:space="preserve">Esta variable nos permite conocer la modalidad de conexión de los cajeros automáticos, de los 289 cajeros automáticos registrados en la ciudad de </w:t>
      </w:r>
      <w:r>
        <w:rPr>
          <w:rFonts w:ascii="MEBOED+TimesNewRoman" w:hAnsi="MEBOED+TimesNewRoman" w:cs="MEBOED+TimesNewRoman"/>
          <w:sz w:val="20"/>
          <w:szCs w:val="20"/>
        </w:rPr>
        <w:t xml:space="preserve">Guayaquil durante el período de estudio, el 96% es decir 277 cajeros mantienen la modalidad Back End mientras que solo el 4% cuentan con la modalidad Front End.  </w:t>
      </w:r>
    </w:p>
    <w:p w:rsidR="00000000" w:rsidRDefault="002E4D13">
      <w:pPr>
        <w:pStyle w:val="CM5"/>
        <w:jc w:val="center"/>
        <w:rPr>
          <w:rFonts w:ascii="MECBPK+Arial,Bold" w:hAnsi="MECBPK+Arial,Bold" w:cs="MECBPK+Arial,Bold"/>
          <w:sz w:val="16"/>
          <w:szCs w:val="16"/>
        </w:rPr>
      </w:pPr>
      <w:r>
        <w:rPr>
          <w:rFonts w:ascii="MECBPK+Arial,Bold" w:hAnsi="MECBPK+Arial,Bold" w:cs="MECBPK+Arial,Bold"/>
          <w:b/>
          <w:bCs/>
          <w:sz w:val="16"/>
          <w:szCs w:val="16"/>
        </w:rPr>
        <w:t xml:space="preserve">GRÁFICO  2 TRANSACCIONALIDAD POR TOPOLOGÍA DE CAJERO </w:t>
      </w:r>
    </w:p>
    <w:p w:rsidR="00000000" w:rsidRDefault="002E4D13">
      <w:pPr>
        <w:pStyle w:val="Default"/>
        <w:spacing w:after="8550" w:line="128" w:lineRule="atLeast"/>
        <w:ind w:left="1180" w:right="1707"/>
        <w:jc w:val="both"/>
        <w:rPr>
          <w:rFonts w:ascii="MECBBC+Arial" w:hAnsi="MECBBC+Arial" w:cs="MECBBC+Arial"/>
          <w:color w:val="auto"/>
          <w:sz w:val="9"/>
          <w:szCs w:val="9"/>
        </w:rPr>
      </w:pPr>
      <w:r>
        <w:rPr>
          <w:rFonts w:ascii="MECBBC+Arial" w:hAnsi="MECBBC+Arial" w:cs="MECBBC+Arial"/>
          <w:color w:val="auto"/>
          <w:sz w:val="9"/>
          <w:szCs w:val="9"/>
        </w:rPr>
        <w:t xml:space="preserve">Front End 2.4% </w:t>
      </w:r>
    </w:p>
    <w:p w:rsidR="00000000" w:rsidRDefault="002E4D13">
      <w:pPr>
        <w:pStyle w:val="Default"/>
        <w:framePr w:w="6001" w:wrap="auto" w:vAnchor="page" w:hAnchor="page" w:x="6308" w:y="10704"/>
        <w:rPr>
          <w:rFonts w:ascii="MECBBC+Arial" w:hAnsi="MECBBC+Arial" w:cs="MECBBC+Arial"/>
          <w:color w:val="auto"/>
          <w:sz w:val="9"/>
          <w:szCs w:val="9"/>
        </w:rPr>
      </w:pPr>
      <w:r>
        <w:rPr>
          <w:rFonts w:ascii="MECBBC+Arial" w:hAnsi="MECBBC+Arial" w:cs="MECBBC+Arial"/>
          <w:noProof/>
          <w:color w:val="auto"/>
          <w:sz w:val="9"/>
          <w:szCs w:val="9"/>
        </w:rPr>
        <w:lastRenderedPageBreak/>
        <w:drawing>
          <wp:inline distT="0" distB="0" distL="0" distR="0">
            <wp:extent cx="2470150" cy="2947670"/>
            <wp:effectExtent l="1905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70150" cy="2947670"/>
                    </a:xfrm>
                    <a:prstGeom prst="rect">
                      <a:avLst/>
                    </a:prstGeom>
                    <a:noFill/>
                    <a:ln w="9525">
                      <a:noFill/>
                      <a:miter lim="800000"/>
                      <a:headEnd/>
                      <a:tailEnd/>
                    </a:ln>
                  </pic:spPr>
                </pic:pic>
              </a:graphicData>
            </a:graphic>
          </wp:inline>
        </w:drawing>
      </w:r>
    </w:p>
    <w:p w:rsidR="00000000" w:rsidRDefault="002E4D13">
      <w:pPr>
        <w:pStyle w:val="Default"/>
        <w:rPr>
          <w:rFonts w:cstheme="minorBidi"/>
          <w:color w:val="auto"/>
        </w:rPr>
        <w:sectPr w:rsidR="00000000">
          <w:type w:val="continuous"/>
          <w:pgSz w:w="11900" w:h="17340"/>
          <w:pgMar w:top="1139" w:right="1113" w:bottom="668" w:left="1474" w:header="720" w:footer="720" w:gutter="0"/>
          <w:cols w:space="720"/>
          <w:noEndnote/>
        </w:sectPr>
      </w:pPr>
    </w:p>
    <w:p w:rsidR="00000000" w:rsidRDefault="002E4D13">
      <w:pPr>
        <w:pStyle w:val="Default"/>
        <w:pageBreakBefore/>
        <w:spacing w:after="225" w:line="231" w:lineRule="atLeast"/>
        <w:jc w:val="both"/>
        <w:rPr>
          <w:rFonts w:ascii="MEBOED+TimesNewRoman" w:hAnsi="MEBOED+TimesNewRoman" w:cs="MEBOED+TimesNewRoman"/>
          <w:color w:val="auto"/>
          <w:sz w:val="20"/>
          <w:szCs w:val="20"/>
        </w:rPr>
      </w:pPr>
      <w:r>
        <w:rPr>
          <w:rFonts w:ascii="MEBOED+TimesNewRoman" w:hAnsi="MEBOED+TimesNewRoman" w:cs="MEBOED+TimesNewRoman"/>
          <w:color w:val="auto"/>
          <w:sz w:val="20"/>
          <w:szCs w:val="20"/>
        </w:rPr>
        <w:lastRenderedPageBreak/>
        <w:t>Banco del Pacífico, el  13% utilizan los cajeros de Banco Internacional, el 7% usan los cajeros de Banco del Pichincha, un  5% los cajeros de Produbanco y finalmente los cajeros de Ban</w:t>
      </w:r>
      <w:r>
        <w:rPr>
          <w:rFonts w:ascii="MEBOED+TimesNewRoman" w:hAnsi="MEBOED+TimesNewRoman" w:cs="MEBOED+TimesNewRoman"/>
          <w:color w:val="auto"/>
          <w:sz w:val="20"/>
          <w:szCs w:val="20"/>
        </w:rPr>
        <w:t xml:space="preserve">co del Austro, Banco Amazonas, Banco de Machala y Banco Centro Mundo son utilizados un 6% por los clientes de la red de cajeros automáticos en la ciudad de Guayaquil. </w:t>
      </w:r>
    </w:p>
    <w:p w:rsidR="00000000" w:rsidRDefault="002E4D13">
      <w:pPr>
        <w:pStyle w:val="CM28"/>
        <w:spacing w:after="162" w:line="183" w:lineRule="atLeast"/>
        <w:ind w:left="777" w:right="270"/>
        <w:jc w:val="center"/>
        <w:rPr>
          <w:rFonts w:ascii="MECBPK+Arial,Bold" w:hAnsi="MECBPK+Arial,Bold" w:cs="MECBPK+Arial,Bold"/>
          <w:sz w:val="16"/>
          <w:szCs w:val="16"/>
        </w:rPr>
      </w:pPr>
      <w:r>
        <w:rPr>
          <w:rFonts w:ascii="MECBPK+Arial,Bold" w:hAnsi="MECBPK+Arial,Bold" w:cs="MECBPK+Arial,Bold"/>
          <w:b/>
          <w:bCs/>
          <w:sz w:val="16"/>
          <w:szCs w:val="16"/>
        </w:rPr>
        <w:t xml:space="preserve">TABLA II TRANSACCIONALIDAD INSTITUCION ADQUIRENTE </w:t>
      </w:r>
    </w:p>
    <w:p w:rsidR="00000000" w:rsidRDefault="002E4D13">
      <w:pPr>
        <w:pStyle w:val="Default"/>
        <w:rPr>
          <w:rFonts w:cstheme="minorBidi"/>
          <w:color w:val="auto"/>
        </w:rPr>
      </w:pPr>
      <w:r>
        <w:rPr>
          <w:noProof/>
        </w:rPr>
        <w:pict>
          <v:shapetype id="_x0000_t202" coordsize="21600,21600" o:spt="202" path="m,l,21600r21600,l21600,xe">
            <v:stroke joinstyle="miter"/>
            <v:path gradientshapeok="t" o:connecttype="rect"/>
          </v:shapetype>
          <v:shape id="_x0000_s1026" type="#_x0000_t202" style="position:absolute;margin-left:84.85pt;margin-top:189.75pt;width:223.85pt;height:180.3pt;z-index:25165824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80"/>
                    <w:gridCol w:w="170"/>
                    <w:gridCol w:w="705"/>
                    <w:gridCol w:w="235"/>
                    <w:gridCol w:w="445"/>
                    <w:gridCol w:w="72"/>
                    <w:gridCol w:w="813"/>
                    <w:gridCol w:w="62"/>
                    <w:gridCol w:w="338"/>
                    <w:gridCol w:w="510"/>
                    <w:gridCol w:w="282"/>
                    <w:gridCol w:w="358"/>
                    <w:gridCol w:w="1095"/>
                    <w:gridCol w:w="3975"/>
                  </w:tblGrid>
                  <w:tr w:rsidR="00000000">
                    <w:tblPrEx>
                      <w:tblCellMar>
                        <w:top w:w="0" w:type="dxa"/>
                        <w:bottom w:w="0" w:type="dxa"/>
                      </w:tblCellMar>
                    </w:tblPrEx>
                    <w:trPr>
                      <w:gridAfter w:val="3"/>
                      <w:wAfter w:w="2781" w:type="dxa"/>
                      <w:trHeight w:val="193"/>
                    </w:trPr>
                    <w:tc>
                      <w:tcPr>
                        <w:tcW w:w="1290" w:type="dxa"/>
                        <w:gridSpan w:val="4"/>
                        <w:tcBorders>
                          <w:top w:val="single" w:sz="2" w:space="0" w:color="000000"/>
                          <w:left w:val="single" w:sz="2" w:space="0" w:color="000000"/>
                          <w:bottom w:val="single" w:sz="8" w:space="0" w:color="ACA89A"/>
                          <w:right w:val="single" w:sz="6" w:space="0" w:color="ACA89A"/>
                        </w:tcBorders>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Institución Adquirente </w:t>
                        </w:r>
                      </w:p>
                    </w:tc>
                    <w:tc>
                      <w:tcPr>
                        <w:tcW w:w="1330" w:type="dxa"/>
                        <w:gridSpan w:val="3"/>
                        <w:vMerge w:val="restart"/>
                        <w:tcBorders>
                          <w:top w:val="single" w:sz="2" w:space="0" w:color="000000"/>
                          <w:left w:val="single" w:sz="6" w:space="0" w:color="ACA89A"/>
                          <w:bottom w:val="single" w:sz="8" w:space="0" w:color="ACA89A"/>
                          <w:right w:val="single" w:sz="6" w:space="0" w:color="ACA89A"/>
                        </w:tcBorders>
                      </w:tcPr>
                      <w:p w:rsidR="00000000" w:rsidRDefault="002E4D13">
                        <w:pPr>
                          <w:pStyle w:val="Default"/>
                          <w:jc w:val="right"/>
                          <w:rPr>
                            <w:rFonts w:ascii="MECBPK+Arial,Bold" w:hAnsi="MECBPK+Arial,Bold" w:cs="MECBPK+Arial,Bold"/>
                            <w:sz w:val="14"/>
                            <w:szCs w:val="14"/>
                          </w:rPr>
                        </w:pPr>
                        <w:r>
                          <w:rPr>
                            <w:rFonts w:ascii="MECBPK+Arial,Bold" w:hAnsi="MECBPK+Arial,Bold" w:cs="MECBPK+Arial,Bold"/>
                            <w:b/>
                            <w:bCs/>
                            <w:sz w:val="16"/>
                            <w:szCs w:val="16"/>
                          </w:rPr>
                          <w:t xml:space="preserve">No. de Transacciones </w:t>
                        </w:r>
                        <w:r>
                          <w:rPr>
                            <w:rFonts w:ascii="MECBPK+Arial,Bold" w:hAnsi="MECBPK+Arial,Bold" w:cs="MECBPK+Arial,Bold"/>
                            <w:b/>
                            <w:bCs/>
                            <w:sz w:val="14"/>
                            <w:szCs w:val="14"/>
                          </w:rPr>
                          <w:t xml:space="preserve">816,640 </w:t>
                        </w:r>
                      </w:p>
                    </w:tc>
                    <w:tc>
                      <w:tcPr>
                        <w:tcW w:w="1057" w:type="dxa"/>
                        <w:gridSpan w:val="4"/>
                        <w:vMerge w:val="restart"/>
                        <w:tcBorders>
                          <w:top w:val="single" w:sz="2" w:space="0" w:color="000000"/>
                          <w:left w:val="single" w:sz="6" w:space="0" w:color="ACA89A"/>
                          <w:bottom w:val="single" w:sz="8" w:space="0" w:color="ACA89A"/>
                          <w:right w:val="single" w:sz="6" w:space="0" w:color="ACA89A"/>
                        </w:tcBorders>
                      </w:tcPr>
                      <w:p w:rsidR="00000000" w:rsidRDefault="002E4D13">
                        <w:pPr>
                          <w:pStyle w:val="Default"/>
                          <w:jc w:val="right"/>
                          <w:rPr>
                            <w:rFonts w:ascii="MECBBC+Arial" w:hAnsi="MECBBC+Arial" w:cs="MECBBC+Arial"/>
                            <w:sz w:val="14"/>
                            <w:szCs w:val="14"/>
                          </w:rPr>
                        </w:pPr>
                        <w:r>
                          <w:rPr>
                            <w:rFonts w:ascii="MECBPK+Arial,Bold" w:hAnsi="MECBPK+Arial,Bold" w:cs="MECBPK+Arial,Bold"/>
                            <w:b/>
                            <w:bCs/>
                            <w:sz w:val="16"/>
                            <w:szCs w:val="16"/>
                          </w:rPr>
                          <w:t xml:space="preserve">Frecuencia Relativa </w:t>
                        </w:r>
                        <w:r>
                          <w:rPr>
                            <w:rFonts w:ascii="MECBBC+Arial" w:hAnsi="MECBBC+Arial" w:cs="MECBBC+Arial"/>
                            <w:sz w:val="14"/>
                            <w:szCs w:val="14"/>
                          </w:rPr>
                          <w:t>0.280</w:t>
                        </w:r>
                      </w:p>
                    </w:tc>
                  </w:tr>
                  <w:tr w:rsidR="00000000">
                    <w:tblPrEx>
                      <w:tblCellMar>
                        <w:top w:w="0" w:type="dxa"/>
                        <w:bottom w:w="0" w:type="dxa"/>
                      </w:tblCellMar>
                    </w:tblPrEx>
                    <w:trPr>
                      <w:gridAfter w:val="3"/>
                      <w:wAfter w:w="2781" w:type="dxa"/>
                      <w:trHeight w:val="163"/>
                    </w:trPr>
                    <w:tc>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Bolivariano </w:t>
                        </w:r>
                      </w:p>
                    </w:tc>
                    <w:tc>
                      <w:tcPr>
                        <w:tcW w:w="1290" w:type="dxa"/>
                        <w:gridSpan w:val="4"/>
                        <w:tcBorders>
                          <w:top w:val="single" w:sz="8" w:space="0" w:color="ACA89A"/>
                          <w:left w:val="single" w:sz="2" w:space="0" w:color="000000"/>
                          <w:bottom w:val="single" w:sz="8" w:space="0" w:color="ACA89A"/>
                          <w:right w:val="single" w:sz="6" w:space="0" w:color="ACA89A"/>
                        </w:tcBorders>
                        <w:vAlign w:val="bottom"/>
                      </w:tcPr>
                      <w:p w:rsidR="00000000" w:rsidRDefault="002E4D13">
                        <w:pPr>
                          <w:pStyle w:val="Default"/>
                          <w:jc w:val="right"/>
                          <w:rPr>
                            <w:rFonts w:cstheme="minorBidi"/>
                            <w:color w:val="auto"/>
                          </w:rPr>
                        </w:pPr>
                      </w:p>
                    </w:tc>
                    <w:tc>
                      <w:tcPr>
                        <w:tcW w:w="1330" w:type="dxa"/>
                        <w:gridSpan w:val="3"/>
                        <w:vMerge/>
                        <w:tcBorders>
                          <w:top w:val="single" w:sz="2" w:space="0" w:color="000000"/>
                          <w:left w:val="single" w:sz="6" w:space="0" w:color="ACA89A"/>
                          <w:bottom w:val="single" w:sz="8" w:space="0" w:color="ACA89A"/>
                          <w:right w:val="single" w:sz="6" w:space="0" w:color="ACA89A"/>
                        </w:tcBorders>
                      </w:tcPr>
                      <w:p w:rsidR="00000000" w:rsidRDefault="002E4D13">
                        <w:pPr>
                          <w:pStyle w:val="Default"/>
                          <w:jc w:val="right"/>
                          <w:rPr>
                            <w:rFonts w:cstheme="minorBidi"/>
                            <w:color w:val="auto"/>
                          </w:rPr>
                        </w:pPr>
                      </w:p>
                    </w:tc>
                    <w:tc>
                      <w:tcPr>
                        <w:tcW w:w="1057" w:type="dxa"/>
                        <w:gridSpan w:val="4"/>
                        <w:vMerge/>
                        <w:tcBorders>
                          <w:top w:val="single" w:sz="2" w:space="0" w:color="000000"/>
                          <w:left w:val="single" w:sz="6" w:space="0" w:color="ACA89A"/>
                          <w:bottom w:val="single" w:sz="8" w:space="0" w:color="ACA89A"/>
                          <w:right w:val="single" w:sz="6" w:space="0" w:color="ACA89A"/>
                        </w:tcBorders>
                      </w:tcPr>
                      <w:p w:rsidR="00000000" w:rsidRDefault="002E4D13">
                        <w:pPr>
                          <w:pStyle w:val="Default"/>
                          <w:jc w:val="right"/>
                          <w:rPr>
                            <w:rFonts w:cstheme="minorBidi"/>
                            <w:color w:val="auto"/>
                          </w:rPr>
                        </w:pPr>
                      </w:p>
                    </w:tc>
                  </w:tr>
                  <w:tr w:rsidR="00000000">
                    <w:tblPrEx>
                      <w:tblCellMar>
                        <w:top w:w="0" w:type="dxa"/>
                        <w:bottom w:w="0" w:type="dxa"/>
                      </w:tblCellMar>
                    </w:tblPrEx>
                    <w:trPr>
                      <w:gridAfter w:val="3"/>
                      <w:wAfter w:w="2781" w:type="dxa"/>
                      <w:trHeight w:val="162"/>
                    </w:trPr>
                    <w:tc>
                      <w:tcPr>
                        <w:tcW w:w="1290" w:type="dxa"/>
                        <w:gridSpan w:val="4"/>
                        <w:tcBorders>
                          <w:top w:val="single" w:sz="8" w:space="0" w:color="ACA89A"/>
                          <w:left w:val="single" w:sz="2" w:space="0" w:color="000000"/>
                          <w:bottom w:val="single" w:sz="8" w:space="0" w:color="ACA89A"/>
                          <w:right w:val="single" w:sz="6" w:space="0" w:color="ACA89A"/>
                        </w:tcBorders>
                        <w:vAlign w:val="bottom"/>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Guayaquil </w:t>
                        </w:r>
                      </w:p>
                    </w:tc>
                    <w:tc>
                      <w:tcPr>
                        <w:tcW w:w="1330" w:type="dxa"/>
                        <w:gridSpan w:val="3"/>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PK+Arial,Bold" w:hAnsi="MECBPK+Arial,Bold" w:cs="MECBPK+Arial,Bold"/>
                            <w:sz w:val="14"/>
                            <w:szCs w:val="14"/>
                          </w:rPr>
                        </w:pPr>
                        <w:r>
                          <w:rPr>
                            <w:rFonts w:ascii="MECBPK+Arial,Bold" w:hAnsi="MECBPK+Arial,Bold" w:cs="MECBPK+Arial,Bold"/>
                            <w:b/>
                            <w:bCs/>
                            <w:sz w:val="14"/>
                            <w:szCs w:val="14"/>
                          </w:rPr>
                          <w:t xml:space="preserve">780,357 </w:t>
                        </w:r>
                      </w:p>
                    </w:tc>
                    <w:tc>
                      <w:tcPr>
                        <w:tcW w:w="1057" w:type="dxa"/>
                        <w:gridSpan w:val="4"/>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BC+Arial" w:hAnsi="MECBBC+Arial" w:cs="MECBBC+Arial"/>
                            <w:sz w:val="14"/>
                            <w:szCs w:val="14"/>
                          </w:rPr>
                        </w:pPr>
                        <w:r>
                          <w:rPr>
                            <w:rFonts w:ascii="MECBBC+Arial" w:hAnsi="MECBBC+Arial" w:cs="MECBBC+Arial"/>
                            <w:sz w:val="14"/>
                            <w:szCs w:val="14"/>
                          </w:rPr>
                          <w:t xml:space="preserve">0.270 </w:t>
                        </w:r>
                      </w:p>
                    </w:tc>
                  </w:tr>
                  <w:tr w:rsidR="00000000">
                    <w:tblPrEx>
                      <w:tblCellMar>
                        <w:top w:w="0" w:type="dxa"/>
                        <w:bottom w:w="0" w:type="dxa"/>
                      </w:tblCellMar>
                    </w:tblPrEx>
                    <w:trPr>
                      <w:gridAfter w:val="3"/>
                      <w:wAfter w:w="2781" w:type="dxa"/>
                      <w:trHeight w:val="162"/>
                    </w:trPr>
                    <w:tc>
                      <w:tcPr>
                        <w:tcW w:w="1290" w:type="dxa"/>
                        <w:gridSpan w:val="4"/>
                        <w:tcBorders>
                          <w:top w:val="single" w:sz="8" w:space="0" w:color="ACA89A"/>
                          <w:left w:val="single" w:sz="2" w:space="0" w:color="000000"/>
                          <w:bottom w:val="single" w:sz="8" w:space="0" w:color="ACA89A"/>
                          <w:right w:val="single" w:sz="6" w:space="0" w:color="ACA89A"/>
                        </w:tcBorders>
                        <w:vAlign w:val="bottom"/>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Pacífico </w:t>
                        </w:r>
                      </w:p>
                    </w:tc>
                    <w:tc>
                      <w:tcPr>
                        <w:tcW w:w="1330" w:type="dxa"/>
                        <w:gridSpan w:val="3"/>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PK+Arial,Bold" w:hAnsi="MECBPK+Arial,Bold" w:cs="MECBPK+Arial,Bold"/>
                            <w:sz w:val="14"/>
                            <w:szCs w:val="14"/>
                          </w:rPr>
                        </w:pPr>
                        <w:r>
                          <w:rPr>
                            <w:rFonts w:ascii="MECBPK+Arial,Bold" w:hAnsi="MECBPK+Arial,Bold" w:cs="MECBPK+Arial,Bold"/>
                            <w:b/>
                            <w:bCs/>
                            <w:sz w:val="14"/>
                            <w:szCs w:val="14"/>
                          </w:rPr>
                          <w:t xml:space="preserve">412,615 </w:t>
                        </w:r>
                      </w:p>
                    </w:tc>
                    <w:tc>
                      <w:tcPr>
                        <w:tcW w:w="1057" w:type="dxa"/>
                        <w:gridSpan w:val="4"/>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BC+Arial" w:hAnsi="MECBBC+Arial" w:cs="MECBBC+Arial"/>
                            <w:sz w:val="14"/>
                            <w:szCs w:val="14"/>
                          </w:rPr>
                        </w:pPr>
                        <w:r>
                          <w:rPr>
                            <w:rFonts w:ascii="MECBBC+Arial" w:hAnsi="MECBBC+Arial" w:cs="MECBBC+Arial"/>
                            <w:sz w:val="14"/>
                            <w:szCs w:val="14"/>
                          </w:rPr>
                          <w:t xml:space="preserve">0.140 </w:t>
                        </w:r>
                      </w:p>
                    </w:tc>
                  </w:tr>
                  <w:tr w:rsidR="00000000">
                    <w:tblPrEx>
                      <w:tblCellMar>
                        <w:top w:w="0" w:type="dxa"/>
                        <w:bottom w:w="0" w:type="dxa"/>
                      </w:tblCellMar>
                    </w:tblPrEx>
                    <w:trPr>
                      <w:gridAfter w:val="3"/>
                      <w:wAfter w:w="2781" w:type="dxa"/>
                      <w:trHeight w:val="163"/>
                    </w:trPr>
                    <w:tc>
                      <w:tcPr>
                        <w:tcW w:w="1290" w:type="dxa"/>
                        <w:gridSpan w:val="4"/>
                        <w:tcBorders>
                          <w:top w:val="single" w:sz="8" w:space="0" w:color="ACA89A"/>
                          <w:left w:val="single" w:sz="2" w:space="0" w:color="000000"/>
                          <w:bottom w:val="single" w:sz="8" w:space="0" w:color="ACA89A"/>
                          <w:right w:val="single" w:sz="6" w:space="0" w:color="ACA89A"/>
                        </w:tcBorders>
                        <w:vAlign w:val="bottom"/>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Internacional </w:t>
                        </w:r>
                      </w:p>
                    </w:tc>
                    <w:tc>
                      <w:tcPr>
                        <w:tcW w:w="1330" w:type="dxa"/>
                        <w:gridSpan w:val="3"/>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PK+Arial,Bold" w:hAnsi="MECBPK+Arial,Bold" w:cs="MECBPK+Arial,Bold"/>
                            <w:sz w:val="14"/>
                            <w:szCs w:val="14"/>
                          </w:rPr>
                        </w:pPr>
                        <w:r>
                          <w:rPr>
                            <w:rFonts w:ascii="MECBPK+Arial,Bold" w:hAnsi="MECBPK+Arial,Bold" w:cs="MECBPK+Arial,Bold"/>
                            <w:b/>
                            <w:bCs/>
                            <w:sz w:val="14"/>
                            <w:szCs w:val="14"/>
                          </w:rPr>
                          <w:t xml:space="preserve">387,122 </w:t>
                        </w:r>
                      </w:p>
                    </w:tc>
                    <w:tc>
                      <w:tcPr>
                        <w:tcW w:w="1057" w:type="dxa"/>
                        <w:gridSpan w:val="4"/>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BC+Arial" w:hAnsi="MECBBC+Arial" w:cs="MECBBC+Arial"/>
                            <w:sz w:val="14"/>
                            <w:szCs w:val="14"/>
                          </w:rPr>
                        </w:pPr>
                        <w:r>
                          <w:rPr>
                            <w:rFonts w:ascii="MECBBC+Arial" w:hAnsi="MECBBC+Arial" w:cs="MECBBC+Arial"/>
                            <w:sz w:val="14"/>
                            <w:szCs w:val="14"/>
                          </w:rPr>
                          <w:t xml:space="preserve">0.130 </w:t>
                        </w:r>
                      </w:p>
                    </w:tc>
                  </w:tr>
                  <w:tr w:rsidR="00000000">
                    <w:tblPrEx>
                      <w:tblCellMar>
                        <w:top w:w="0" w:type="dxa"/>
                        <w:bottom w:w="0" w:type="dxa"/>
                      </w:tblCellMar>
                    </w:tblPrEx>
                    <w:trPr>
                      <w:gridAfter w:val="3"/>
                      <w:wAfter w:w="2781" w:type="dxa"/>
                      <w:trHeight w:val="162"/>
                    </w:trPr>
                    <w:tc>
                      <w:tcPr>
                        <w:tcW w:w="1290" w:type="dxa"/>
                        <w:gridSpan w:val="4"/>
                        <w:tcBorders>
                          <w:top w:val="single" w:sz="8" w:space="0" w:color="ACA89A"/>
                          <w:left w:val="single" w:sz="2" w:space="0" w:color="000000"/>
                          <w:bottom w:val="single" w:sz="8" w:space="0" w:color="ACA89A"/>
                          <w:right w:val="single" w:sz="6" w:space="0" w:color="ACA89A"/>
                        </w:tcBorders>
                        <w:vAlign w:val="bottom"/>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Pichincha </w:t>
                        </w:r>
                      </w:p>
                    </w:tc>
                    <w:tc>
                      <w:tcPr>
                        <w:tcW w:w="1330" w:type="dxa"/>
                        <w:gridSpan w:val="3"/>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PK+Arial,Bold" w:hAnsi="MECBPK+Arial,Bold" w:cs="MECBPK+Arial,Bold"/>
                            <w:sz w:val="14"/>
                            <w:szCs w:val="14"/>
                          </w:rPr>
                        </w:pPr>
                        <w:r>
                          <w:rPr>
                            <w:rFonts w:ascii="MECBPK+Arial,Bold" w:hAnsi="MECBPK+Arial,Bold" w:cs="MECBPK+Arial,Bold"/>
                            <w:b/>
                            <w:bCs/>
                            <w:sz w:val="14"/>
                            <w:szCs w:val="14"/>
                          </w:rPr>
                          <w:t xml:space="preserve">196,589 </w:t>
                        </w:r>
                      </w:p>
                    </w:tc>
                    <w:tc>
                      <w:tcPr>
                        <w:tcW w:w="1057" w:type="dxa"/>
                        <w:gridSpan w:val="4"/>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BC+Arial" w:hAnsi="MECBBC+Arial" w:cs="MECBBC+Arial"/>
                            <w:sz w:val="14"/>
                            <w:szCs w:val="14"/>
                          </w:rPr>
                        </w:pPr>
                        <w:r>
                          <w:rPr>
                            <w:rFonts w:ascii="MECBBC+Arial" w:hAnsi="MECBBC+Arial" w:cs="MECBBC+Arial"/>
                            <w:sz w:val="14"/>
                            <w:szCs w:val="14"/>
                          </w:rPr>
                          <w:t xml:space="preserve">0.070 </w:t>
                        </w:r>
                      </w:p>
                    </w:tc>
                  </w:tr>
                  <w:tr w:rsidR="00000000">
                    <w:tblPrEx>
                      <w:tblCellMar>
                        <w:top w:w="0" w:type="dxa"/>
                        <w:bottom w:w="0" w:type="dxa"/>
                      </w:tblCellMar>
                    </w:tblPrEx>
                    <w:trPr>
                      <w:gridAfter w:val="3"/>
                      <w:wAfter w:w="2781" w:type="dxa"/>
                      <w:trHeight w:val="163"/>
                    </w:trPr>
                    <w:tc>
                      <w:tcPr>
                        <w:tcW w:w="1290" w:type="dxa"/>
                        <w:gridSpan w:val="4"/>
                        <w:tcBorders>
                          <w:top w:val="single" w:sz="8" w:space="0" w:color="ACA89A"/>
                          <w:left w:val="single" w:sz="2" w:space="0" w:color="000000"/>
                          <w:bottom w:val="single" w:sz="8" w:space="0" w:color="ACA89A"/>
                          <w:right w:val="single" w:sz="6" w:space="0" w:color="ACA89A"/>
                        </w:tcBorders>
                        <w:vAlign w:val="bottom"/>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Produbanco </w:t>
                        </w:r>
                      </w:p>
                    </w:tc>
                    <w:tc>
                      <w:tcPr>
                        <w:tcW w:w="1330" w:type="dxa"/>
                        <w:gridSpan w:val="3"/>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PK+Arial,Bold" w:hAnsi="MECBPK+Arial,Bold" w:cs="MECBPK+Arial,Bold"/>
                            <w:sz w:val="14"/>
                            <w:szCs w:val="14"/>
                          </w:rPr>
                        </w:pPr>
                        <w:r>
                          <w:rPr>
                            <w:rFonts w:ascii="MECBPK+Arial,Bold" w:hAnsi="MECBPK+Arial,Bold" w:cs="MECBPK+Arial,Bold"/>
                            <w:b/>
                            <w:bCs/>
                            <w:sz w:val="14"/>
                            <w:szCs w:val="14"/>
                          </w:rPr>
                          <w:t xml:space="preserve">139,905 </w:t>
                        </w:r>
                      </w:p>
                    </w:tc>
                    <w:tc>
                      <w:tcPr>
                        <w:tcW w:w="1057" w:type="dxa"/>
                        <w:gridSpan w:val="4"/>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BC+Arial" w:hAnsi="MECBBC+Arial" w:cs="MECBBC+Arial"/>
                            <w:sz w:val="14"/>
                            <w:szCs w:val="14"/>
                          </w:rPr>
                        </w:pPr>
                        <w:r>
                          <w:rPr>
                            <w:rFonts w:ascii="MECBBC+Arial" w:hAnsi="MECBBC+Arial" w:cs="MECBBC+Arial"/>
                            <w:sz w:val="14"/>
                            <w:szCs w:val="14"/>
                          </w:rPr>
                          <w:t xml:space="preserve">0.050 </w:t>
                        </w:r>
                      </w:p>
                    </w:tc>
                  </w:tr>
                  <w:tr w:rsidR="00000000">
                    <w:tblPrEx>
                      <w:tblCellMar>
                        <w:top w:w="0" w:type="dxa"/>
                        <w:bottom w:w="0" w:type="dxa"/>
                      </w:tblCellMar>
                    </w:tblPrEx>
                    <w:trPr>
                      <w:gridAfter w:val="3"/>
                      <w:wAfter w:w="2781" w:type="dxa"/>
                      <w:trHeight w:val="162"/>
                    </w:trPr>
                    <w:tc>
                      <w:tcPr>
                        <w:tcW w:w="1290" w:type="dxa"/>
                        <w:gridSpan w:val="4"/>
                        <w:tcBorders>
                          <w:top w:val="single" w:sz="8" w:space="0" w:color="ACA89A"/>
                          <w:left w:val="single" w:sz="2" w:space="0" w:color="000000"/>
                          <w:bottom w:val="single" w:sz="8" w:space="0" w:color="ACA89A"/>
                          <w:right w:val="single" w:sz="6" w:space="0" w:color="ACA89A"/>
                        </w:tcBorders>
                        <w:vAlign w:val="bottom"/>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Otros </w:t>
                        </w:r>
                      </w:p>
                    </w:tc>
                    <w:tc>
                      <w:tcPr>
                        <w:tcW w:w="1330" w:type="dxa"/>
                        <w:gridSpan w:val="3"/>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PK+Arial,Bold" w:hAnsi="MECBPK+Arial,Bold" w:cs="MECBPK+Arial,Bold"/>
                            <w:sz w:val="14"/>
                            <w:szCs w:val="14"/>
                          </w:rPr>
                        </w:pPr>
                        <w:r>
                          <w:rPr>
                            <w:rFonts w:ascii="MECBPK+Arial,Bold" w:hAnsi="MECBPK+Arial,Bold" w:cs="MECBPK+Arial,Bold"/>
                            <w:b/>
                            <w:bCs/>
                            <w:sz w:val="14"/>
                            <w:szCs w:val="14"/>
                          </w:rPr>
                          <w:t xml:space="preserve">160,666 </w:t>
                        </w:r>
                      </w:p>
                    </w:tc>
                    <w:tc>
                      <w:tcPr>
                        <w:tcW w:w="1057" w:type="dxa"/>
                        <w:gridSpan w:val="4"/>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BC+Arial" w:hAnsi="MECBBC+Arial" w:cs="MECBBC+Arial"/>
                            <w:sz w:val="14"/>
                            <w:szCs w:val="14"/>
                          </w:rPr>
                        </w:pPr>
                        <w:r>
                          <w:rPr>
                            <w:rFonts w:ascii="MECBBC+Arial" w:hAnsi="MECBBC+Arial" w:cs="MECBBC+Arial"/>
                            <w:sz w:val="14"/>
                            <w:szCs w:val="14"/>
                          </w:rPr>
                          <w:t xml:space="preserve">0.060 </w:t>
                        </w:r>
                      </w:p>
                    </w:tc>
                  </w:tr>
                  <w:tr w:rsidR="00000000">
                    <w:tblPrEx>
                      <w:tblCellMar>
                        <w:top w:w="0" w:type="dxa"/>
                        <w:bottom w:w="0" w:type="dxa"/>
                      </w:tblCellMar>
                    </w:tblPrEx>
                    <w:trPr>
                      <w:gridAfter w:val="3"/>
                      <w:wAfter w:w="2781" w:type="dxa"/>
                      <w:trHeight w:val="163"/>
                    </w:trPr>
                    <w:tc>
                      <w:tcPr>
                        <w:tcW w:w="1290" w:type="dxa"/>
                        <w:gridSpan w:val="4"/>
                        <w:tcBorders>
                          <w:top w:val="single" w:sz="8" w:space="0" w:color="ACA89A"/>
                          <w:left w:val="single" w:sz="2" w:space="0" w:color="000000"/>
                          <w:bottom w:val="single" w:sz="8" w:space="0" w:color="ACA89A"/>
                          <w:right w:val="single" w:sz="6" w:space="0" w:color="ACA89A"/>
                        </w:tcBorders>
                        <w:vAlign w:val="bottom"/>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TOTAL </w:t>
                        </w:r>
                      </w:p>
                    </w:tc>
                    <w:tc>
                      <w:tcPr>
                        <w:tcW w:w="1330" w:type="dxa"/>
                        <w:gridSpan w:val="3"/>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PK+Arial,Bold" w:hAnsi="MECBPK+Arial,Bold" w:cs="MECBPK+Arial,Bold"/>
                            <w:sz w:val="14"/>
                            <w:szCs w:val="14"/>
                          </w:rPr>
                        </w:pPr>
                        <w:r>
                          <w:rPr>
                            <w:rFonts w:ascii="MECBPK+Arial,Bold" w:hAnsi="MECBPK+Arial,Bold" w:cs="MECBPK+Arial,Bold"/>
                            <w:b/>
                            <w:bCs/>
                            <w:sz w:val="14"/>
                            <w:szCs w:val="14"/>
                          </w:rPr>
                          <w:t xml:space="preserve">2,893,894 </w:t>
                        </w:r>
                      </w:p>
                    </w:tc>
                    <w:tc>
                      <w:tcPr>
                        <w:tcW w:w="1057" w:type="dxa"/>
                        <w:gridSpan w:val="4"/>
                        <w:tcBorders>
                          <w:top w:val="single" w:sz="8" w:space="0" w:color="ACA89A"/>
                          <w:left w:val="single" w:sz="6" w:space="0" w:color="ACA89A"/>
                          <w:bottom w:val="single" w:sz="8" w:space="0" w:color="ACA89A"/>
                          <w:right w:val="single" w:sz="6" w:space="0" w:color="ACA89A"/>
                        </w:tcBorders>
                        <w:vAlign w:val="bottom"/>
                      </w:tcPr>
                      <w:p w:rsidR="00000000" w:rsidRDefault="002E4D13">
                        <w:pPr>
                          <w:pStyle w:val="Default"/>
                          <w:jc w:val="right"/>
                          <w:rPr>
                            <w:rFonts w:ascii="MECBBC+Arial" w:hAnsi="MECBBC+Arial" w:cs="MECBBC+Arial"/>
                            <w:sz w:val="14"/>
                            <w:szCs w:val="14"/>
                          </w:rPr>
                        </w:pPr>
                        <w:r>
                          <w:rPr>
                            <w:rFonts w:ascii="MECBBC+Arial" w:hAnsi="MECBBC+Arial" w:cs="MECBBC+Arial"/>
                            <w:sz w:val="14"/>
                            <w:szCs w:val="14"/>
                          </w:rPr>
                          <w:t xml:space="preserve">1.000 </w:t>
                        </w:r>
                      </w:p>
                    </w:tc>
                  </w:tr>
                </w:tbl>
              </w:txbxContent>
            </v:textbox>
            <w10:wrap type="through" anchorx="page" anchory="page"/>
          </v:shape>
        </w:pict>
      </w:r>
    </w:p>
    <w:p w:rsidR="00000000" w:rsidRDefault="002E4D13">
      <w:pPr>
        <w:pStyle w:val="CM8"/>
        <w:spacing w:after="682"/>
        <w:ind w:left="1172" w:hanging="755"/>
        <w:jc w:val="both"/>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Especializado de la Red de Cajeros Automáticos </w:t>
      </w:r>
    </w:p>
    <w:p w:rsidR="00000000" w:rsidRDefault="002E4D13">
      <w:pPr>
        <w:pStyle w:val="CM9"/>
        <w:ind w:left="245"/>
        <w:jc w:val="both"/>
        <w:rPr>
          <w:rFonts w:cs="MEBOFJ+TimesNewRoman,Bold"/>
          <w:sz w:val="20"/>
          <w:szCs w:val="20"/>
        </w:rPr>
      </w:pPr>
      <w:r>
        <w:rPr>
          <w:rFonts w:cs="MEBOFJ+TimesNewRoman,Bold"/>
          <w:b/>
          <w:bCs/>
          <w:sz w:val="20"/>
          <w:szCs w:val="20"/>
        </w:rPr>
        <w:t xml:space="preserve">2.4. Cajero </w:t>
      </w:r>
    </w:p>
    <w:p w:rsidR="00000000" w:rsidRDefault="002E4D13">
      <w:pPr>
        <w:pStyle w:val="CM27"/>
        <w:spacing w:after="225" w:line="231" w:lineRule="atLeast"/>
        <w:ind w:left="245"/>
        <w:jc w:val="both"/>
        <w:rPr>
          <w:rFonts w:ascii="MEBOED+TimesNewRoman" w:hAnsi="MEBOED+TimesNewRoman" w:cs="MEBOED+TimesNewRoman"/>
          <w:sz w:val="20"/>
          <w:szCs w:val="20"/>
        </w:rPr>
      </w:pPr>
      <w:r>
        <w:rPr>
          <w:rFonts w:ascii="MEBOED+TimesNewRoman" w:hAnsi="MEBOED+TimesNewRoman" w:cs="MEBOED+TimesNewRoman"/>
          <w:sz w:val="20"/>
          <w:szCs w:val="20"/>
        </w:rPr>
        <w:t>Esta variable de tipo cualitativa permite conocer la cantidad de transacciones procesada por cada cajero automá</w:t>
      </w:r>
      <w:r>
        <w:rPr>
          <w:rFonts w:ascii="MEBOED+TimesNewRoman" w:hAnsi="MEBOED+TimesNewRoman" w:cs="MEBOED+TimesNewRoman"/>
          <w:sz w:val="20"/>
          <w:szCs w:val="20"/>
        </w:rPr>
        <w:t xml:space="preserve">tico en la ciudad de Guayaquil, en el gráfico 3 que se muestra a continuación se presenta mayor información. </w:t>
      </w:r>
    </w:p>
    <w:p w:rsidR="00000000" w:rsidRDefault="002E4D13">
      <w:pPr>
        <w:pStyle w:val="CM29"/>
        <w:spacing w:after="80" w:line="183" w:lineRule="atLeast"/>
        <w:ind w:left="810" w:right="55"/>
        <w:jc w:val="center"/>
        <w:rPr>
          <w:rFonts w:ascii="MECBPK+Arial,Bold" w:hAnsi="MECBPK+Arial,Bold" w:cs="MECBPK+Arial,Bold"/>
          <w:sz w:val="16"/>
          <w:szCs w:val="16"/>
        </w:rPr>
      </w:pPr>
      <w:r>
        <w:rPr>
          <w:rFonts w:ascii="MECBPK+Arial,Bold" w:hAnsi="MECBPK+Arial,Bold" w:cs="MECBPK+Arial,Bold"/>
          <w:b/>
          <w:bCs/>
          <w:sz w:val="16"/>
          <w:szCs w:val="16"/>
        </w:rPr>
        <w:t xml:space="preserve">GRÁFICO  3 FRECUENCIA RELATIVA DE LA VARIABLE CAJERO </w:t>
      </w:r>
    </w:p>
    <w:p w:rsidR="00000000" w:rsidRDefault="002E4D13">
      <w:pPr>
        <w:pStyle w:val="CM10"/>
        <w:jc w:val="both"/>
        <w:rPr>
          <w:rFonts w:ascii="MECBBC+Arial" w:hAnsi="MECBBC+Arial" w:cs="MECBBC+Arial"/>
          <w:sz w:val="8"/>
          <w:szCs w:val="8"/>
        </w:rPr>
      </w:pPr>
      <w:r>
        <w:rPr>
          <w:rFonts w:ascii="MECBBC+Arial" w:hAnsi="MECBBC+Arial" w:cs="MECBBC+Arial"/>
          <w:sz w:val="8"/>
          <w:szCs w:val="8"/>
        </w:rPr>
        <w:t xml:space="preserve">100,000 </w:t>
      </w:r>
    </w:p>
    <w:p w:rsidR="00000000" w:rsidRDefault="002E4D13">
      <w:pPr>
        <w:pStyle w:val="CM6"/>
        <w:jc w:val="center"/>
        <w:rPr>
          <w:rFonts w:ascii="MECBBC+Arial" w:hAnsi="MECBBC+Arial" w:cs="MECBBC+Arial"/>
          <w:sz w:val="8"/>
          <w:szCs w:val="8"/>
        </w:rPr>
      </w:pPr>
      <w:r>
        <w:rPr>
          <w:rFonts w:ascii="MECBBC+Arial" w:hAnsi="MECBBC+Arial" w:cs="MECBBC+Arial"/>
          <w:sz w:val="8"/>
          <w:szCs w:val="8"/>
        </w:rPr>
        <w:t xml:space="preserve">90,000 </w:t>
      </w:r>
    </w:p>
    <w:p w:rsidR="00000000" w:rsidRDefault="002E4D13">
      <w:pPr>
        <w:pStyle w:val="CM29"/>
        <w:spacing w:after="80"/>
        <w:jc w:val="center"/>
        <w:rPr>
          <w:rFonts w:ascii="MECBBC+Arial" w:hAnsi="MECBBC+Arial" w:cs="MECBBC+Arial"/>
          <w:sz w:val="8"/>
          <w:szCs w:val="8"/>
        </w:rPr>
      </w:pPr>
      <w:r>
        <w:rPr>
          <w:rFonts w:ascii="MECBBC+Arial" w:hAnsi="MECBBC+Arial" w:cs="MECBBC+Arial"/>
          <w:sz w:val="8"/>
          <w:szCs w:val="8"/>
        </w:rPr>
        <w:t xml:space="preserve">80,000 </w:t>
      </w:r>
    </w:p>
    <w:p w:rsidR="00000000" w:rsidRDefault="002E4D13">
      <w:pPr>
        <w:pStyle w:val="CM6"/>
        <w:jc w:val="center"/>
        <w:rPr>
          <w:rFonts w:ascii="MECBBC+Arial" w:hAnsi="MECBBC+Arial" w:cs="MECBBC+Arial"/>
          <w:sz w:val="8"/>
          <w:szCs w:val="8"/>
        </w:rPr>
      </w:pPr>
      <w:r>
        <w:rPr>
          <w:rFonts w:ascii="MECBBC+Arial" w:hAnsi="MECBBC+Arial" w:cs="MECBBC+Arial"/>
          <w:sz w:val="8"/>
          <w:szCs w:val="8"/>
        </w:rPr>
        <w:t xml:space="preserve">70,000 </w:t>
      </w:r>
    </w:p>
    <w:p w:rsidR="00000000" w:rsidRDefault="002E4D13">
      <w:pPr>
        <w:pStyle w:val="CM6"/>
        <w:jc w:val="center"/>
        <w:rPr>
          <w:rFonts w:ascii="MECBBC+Arial" w:hAnsi="MECBBC+Arial" w:cs="MECBBC+Arial"/>
          <w:sz w:val="8"/>
          <w:szCs w:val="8"/>
        </w:rPr>
      </w:pPr>
      <w:r>
        <w:rPr>
          <w:rFonts w:ascii="MECBBC+Arial" w:hAnsi="MECBBC+Arial" w:cs="MECBBC+Arial"/>
          <w:sz w:val="8"/>
          <w:szCs w:val="8"/>
        </w:rPr>
        <w:t xml:space="preserve">60,000 </w:t>
      </w:r>
    </w:p>
    <w:p w:rsidR="00000000" w:rsidRDefault="002E4D13">
      <w:pPr>
        <w:pStyle w:val="CM29"/>
        <w:spacing w:after="80"/>
        <w:jc w:val="center"/>
        <w:rPr>
          <w:rFonts w:ascii="MECBBC+Arial" w:hAnsi="MECBBC+Arial" w:cs="MECBBC+Arial"/>
          <w:sz w:val="8"/>
          <w:szCs w:val="8"/>
        </w:rPr>
      </w:pPr>
      <w:r>
        <w:rPr>
          <w:rFonts w:ascii="MECBBC+Arial" w:hAnsi="MECBBC+Arial" w:cs="MECBBC+Arial"/>
          <w:sz w:val="8"/>
          <w:szCs w:val="8"/>
        </w:rPr>
        <w:t xml:space="preserve">50,000 </w:t>
      </w:r>
    </w:p>
    <w:p w:rsidR="00000000" w:rsidRDefault="002E4D13">
      <w:pPr>
        <w:pStyle w:val="CM6"/>
        <w:jc w:val="center"/>
        <w:rPr>
          <w:rFonts w:ascii="MECBBC+Arial" w:hAnsi="MECBBC+Arial" w:cs="MECBBC+Arial"/>
          <w:sz w:val="8"/>
          <w:szCs w:val="8"/>
        </w:rPr>
      </w:pPr>
      <w:r>
        <w:rPr>
          <w:rFonts w:ascii="MECBBC+Arial" w:hAnsi="MECBBC+Arial" w:cs="MECBBC+Arial"/>
          <w:sz w:val="8"/>
          <w:szCs w:val="8"/>
        </w:rPr>
        <w:t xml:space="preserve">40,000 </w:t>
      </w:r>
    </w:p>
    <w:p w:rsidR="00000000" w:rsidRDefault="002E4D13">
      <w:pPr>
        <w:pStyle w:val="CM6"/>
        <w:jc w:val="center"/>
        <w:rPr>
          <w:rFonts w:ascii="MECBBC+Arial" w:hAnsi="MECBBC+Arial" w:cs="MECBBC+Arial"/>
          <w:sz w:val="8"/>
          <w:szCs w:val="8"/>
        </w:rPr>
      </w:pPr>
      <w:r>
        <w:rPr>
          <w:rFonts w:ascii="MECBBC+Arial" w:hAnsi="MECBBC+Arial" w:cs="MECBBC+Arial"/>
          <w:sz w:val="8"/>
          <w:szCs w:val="8"/>
        </w:rPr>
        <w:t xml:space="preserve">30,000 </w:t>
      </w:r>
    </w:p>
    <w:p w:rsidR="00000000" w:rsidRDefault="002E4D13">
      <w:pPr>
        <w:pStyle w:val="CM29"/>
        <w:spacing w:after="80"/>
        <w:jc w:val="center"/>
        <w:rPr>
          <w:rFonts w:ascii="MECBBC+Arial" w:hAnsi="MECBBC+Arial" w:cs="MECBBC+Arial"/>
          <w:sz w:val="8"/>
          <w:szCs w:val="8"/>
        </w:rPr>
      </w:pPr>
      <w:r>
        <w:rPr>
          <w:rFonts w:ascii="MECBBC+Arial" w:hAnsi="MECBBC+Arial" w:cs="MECBBC+Arial"/>
          <w:sz w:val="8"/>
          <w:szCs w:val="8"/>
        </w:rPr>
        <w:t xml:space="preserve">20,000 </w:t>
      </w:r>
    </w:p>
    <w:p w:rsidR="00000000" w:rsidRDefault="002E4D13">
      <w:pPr>
        <w:pStyle w:val="CM6"/>
        <w:jc w:val="center"/>
        <w:rPr>
          <w:rFonts w:ascii="MECBBC+Arial" w:hAnsi="MECBBC+Arial" w:cs="MECBBC+Arial"/>
          <w:sz w:val="8"/>
          <w:szCs w:val="8"/>
        </w:rPr>
      </w:pPr>
      <w:r>
        <w:rPr>
          <w:rFonts w:ascii="MECBBC+Arial" w:hAnsi="MECBBC+Arial" w:cs="MECBBC+Arial"/>
          <w:sz w:val="8"/>
          <w:szCs w:val="8"/>
        </w:rPr>
        <w:t xml:space="preserve">10,000 </w:t>
      </w:r>
    </w:p>
    <w:p w:rsidR="00000000" w:rsidRDefault="002E4D13">
      <w:pPr>
        <w:pStyle w:val="CM31"/>
        <w:spacing w:after="455"/>
        <w:ind w:left="165"/>
        <w:jc w:val="both"/>
        <w:rPr>
          <w:rFonts w:ascii="MECBBC+Arial" w:hAnsi="MECBBC+Arial" w:cs="MECBBC+Arial"/>
          <w:sz w:val="8"/>
          <w:szCs w:val="8"/>
        </w:rPr>
      </w:pPr>
      <w:r>
        <w:rPr>
          <w:rFonts w:ascii="MECBBC+Arial" w:hAnsi="MECBBC+Arial" w:cs="MECBBC+Arial"/>
          <w:sz w:val="8"/>
          <w:szCs w:val="8"/>
        </w:rPr>
        <w:t>-</w:t>
      </w:r>
    </w:p>
    <w:p w:rsidR="00000000" w:rsidRDefault="002E4D13">
      <w:pPr>
        <w:pStyle w:val="CM31"/>
        <w:spacing w:after="455" w:line="186" w:lineRule="atLeast"/>
        <w:ind w:left="1172" w:hanging="755"/>
        <w:jc w:val="both"/>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Especializado de la Red de Cajeros Automáticos </w:t>
      </w:r>
    </w:p>
    <w:p w:rsidR="00000000" w:rsidRDefault="002E4D13">
      <w:pPr>
        <w:pStyle w:val="CM9"/>
        <w:ind w:left="245"/>
        <w:jc w:val="both"/>
        <w:rPr>
          <w:rFonts w:cs="MEBOFJ+TimesNewRoman,Bold"/>
          <w:sz w:val="20"/>
          <w:szCs w:val="20"/>
        </w:rPr>
      </w:pPr>
      <w:r>
        <w:rPr>
          <w:rFonts w:cs="MEBOFJ+TimesNewRoman,Bold"/>
          <w:b/>
          <w:bCs/>
          <w:sz w:val="20"/>
          <w:szCs w:val="20"/>
        </w:rPr>
        <w:t xml:space="preserve">2.5. Marca de Cajero </w:t>
      </w:r>
    </w:p>
    <w:p w:rsidR="00000000" w:rsidRDefault="002E4D13">
      <w:pPr>
        <w:pStyle w:val="CM28"/>
        <w:spacing w:after="162" w:line="231" w:lineRule="atLeast"/>
        <w:ind w:left="245"/>
        <w:jc w:val="both"/>
        <w:rPr>
          <w:rFonts w:ascii="MEBOED+TimesNewRoman" w:hAnsi="MEBOED+TimesNewRoman" w:cs="MEBOED+TimesNewRoman"/>
          <w:sz w:val="20"/>
          <w:szCs w:val="20"/>
        </w:rPr>
      </w:pPr>
      <w:r>
        <w:rPr>
          <w:rFonts w:ascii="MEBOED+TimesNewRoman" w:hAnsi="MEBOED+TimesNewRoman" w:cs="MEBOED+TimesNewRoman"/>
          <w:sz w:val="20"/>
          <w:szCs w:val="20"/>
        </w:rPr>
        <w:t xml:space="preserve">En el análisis de esta variable de tipo cualitativo nos permite conocer que la mayor cantidad de los terminales de la ciudad de Guayaquil son de la marca Diebold </w:t>
      </w:r>
      <w:r>
        <w:rPr>
          <w:rFonts w:ascii="MEBOED+TimesNewRoman" w:hAnsi="MEBOED+TimesNewRoman" w:cs="MEBOED+TimesNewRoman"/>
          <w:sz w:val="20"/>
          <w:szCs w:val="20"/>
        </w:rPr>
        <w:t xml:space="preserve">con el 66%, NCR en segundo lugar con el 29% y finalmente WinCor Nixford con el 5%; las marcas </w:t>
      </w:r>
      <w:r>
        <w:rPr>
          <w:rFonts w:ascii="MEBOED+TimesNewRoman" w:hAnsi="MEBOED+TimesNewRoman" w:cs="MEBOED+TimesNewRoman"/>
          <w:sz w:val="20"/>
          <w:szCs w:val="20"/>
        </w:rPr>
        <w:lastRenderedPageBreak/>
        <w:t xml:space="preserve">pioneras de ATMs a nivel mundial son NCR y Diebold ocupando el primer y segundo lugar respectivamente. El </w:t>
      </w:r>
    </w:p>
    <w:p w:rsidR="00000000" w:rsidRDefault="002E4D13">
      <w:pPr>
        <w:pStyle w:val="Default"/>
        <w:framePr w:w="4871" w:wrap="auto" w:vAnchor="page" w:hAnchor="page" w:x="1865" w:y="10436"/>
        <w:spacing w:after="140"/>
        <w:rPr>
          <w:rFonts w:ascii="MEBOED+TimesNewRoman" w:hAnsi="MEBOED+TimesNewRoman" w:cs="MEBOED+TimesNewRoman"/>
          <w:color w:val="auto"/>
          <w:sz w:val="20"/>
          <w:szCs w:val="20"/>
        </w:rPr>
      </w:pPr>
      <w:r>
        <w:rPr>
          <w:rFonts w:ascii="MEBOED+TimesNewRoman" w:hAnsi="MEBOED+TimesNewRoman" w:cs="MEBOED+TimesNewRoman"/>
          <w:noProof/>
          <w:color w:val="auto"/>
          <w:sz w:val="20"/>
          <w:szCs w:val="20"/>
        </w:rPr>
        <w:drawing>
          <wp:inline distT="0" distB="0" distL="0" distR="0">
            <wp:extent cx="2579370" cy="94170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579370" cy="941705"/>
                    </a:xfrm>
                    <a:prstGeom prst="rect">
                      <a:avLst/>
                    </a:prstGeom>
                    <a:noFill/>
                    <a:ln w="9525">
                      <a:noFill/>
                      <a:miter lim="800000"/>
                      <a:headEnd/>
                      <a:tailEnd/>
                    </a:ln>
                  </pic:spPr>
                </pic:pic>
              </a:graphicData>
            </a:graphic>
          </wp:inline>
        </w:drawing>
      </w:r>
    </w:p>
    <w:p w:rsidR="00000000" w:rsidRDefault="002E4D13">
      <w:pPr>
        <w:pStyle w:val="Default"/>
        <w:spacing w:line="156" w:lineRule="atLeast"/>
        <w:jc w:val="right"/>
        <w:rPr>
          <w:rFonts w:ascii="MECBBC+Arial" w:hAnsi="MECBBC+Arial" w:cs="MECBBC+Arial"/>
          <w:color w:val="auto"/>
          <w:sz w:val="8"/>
          <w:szCs w:val="8"/>
        </w:rPr>
      </w:pPr>
      <w:r>
        <w:rPr>
          <w:rFonts w:ascii="MECBBC+Arial" w:hAnsi="MECBBC+Arial" w:cs="MECBBC+Arial"/>
          <w:color w:val="auto"/>
          <w:sz w:val="8"/>
          <w:szCs w:val="8"/>
        </w:rPr>
        <w:t xml:space="preserve">13122114247339221532051611625635120525942511952505111057352545150532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manufacturero  Wincor Nixford se presenta con un 5% siendo una nueva marca tiene un buen porcentaje a nivel nacional. </w:t>
      </w:r>
    </w:p>
    <w:p w:rsidR="00000000" w:rsidRDefault="002E4D13">
      <w:pPr>
        <w:pStyle w:val="Default"/>
        <w:spacing w:line="183" w:lineRule="atLeast"/>
        <w:ind w:left="820" w:right="732"/>
        <w:rPr>
          <w:rFonts w:ascii="MECBPK+Arial,Bold" w:hAnsi="MECBPK+Arial,Bold" w:cs="MECBPK+Arial,Bold"/>
          <w:color w:val="auto"/>
          <w:sz w:val="16"/>
          <w:szCs w:val="16"/>
        </w:rPr>
      </w:pPr>
      <w:r>
        <w:rPr>
          <w:rFonts w:ascii="MECBPK+Arial,Bold" w:hAnsi="MECBPK+Arial,Bold" w:cs="MECBPK+Arial,Bold"/>
          <w:b/>
          <w:bCs/>
          <w:color w:val="auto"/>
          <w:sz w:val="16"/>
          <w:szCs w:val="16"/>
        </w:rPr>
        <w:t>GRÁ</w:t>
      </w:r>
      <w:r>
        <w:rPr>
          <w:rFonts w:ascii="MECBPK+Arial,Bold" w:hAnsi="MECBPK+Arial,Bold" w:cs="MECBPK+Arial,Bold"/>
          <w:b/>
          <w:bCs/>
          <w:color w:val="auto"/>
          <w:sz w:val="16"/>
          <w:szCs w:val="16"/>
        </w:rPr>
        <w:t xml:space="preserve">FICO  4 FRECUENCIA RELATIVA DE LA VARIABLE MARCA DE CAJERO  </w:t>
      </w:r>
    </w:p>
    <w:p w:rsidR="00000000" w:rsidRDefault="002E4D13">
      <w:pPr>
        <w:pStyle w:val="Default"/>
        <w:spacing w:after="387" w:line="140" w:lineRule="atLeast"/>
        <w:ind w:left="2045" w:right="1457"/>
        <w:jc w:val="both"/>
        <w:rPr>
          <w:rFonts w:ascii="MECBBC+Arial" w:hAnsi="MECBBC+Arial" w:cs="MECBBC+Arial"/>
          <w:color w:val="auto"/>
          <w:sz w:val="10"/>
          <w:szCs w:val="10"/>
        </w:rPr>
      </w:pPr>
      <w:r>
        <w:rPr>
          <w:rFonts w:ascii="MECBBC+Arial" w:hAnsi="MECBBC+Arial" w:cs="MECBBC+Arial"/>
          <w:color w:val="auto"/>
          <w:sz w:val="10"/>
          <w:szCs w:val="10"/>
        </w:rPr>
        <w:t xml:space="preserve">Wincor Nixdorf 5% </w:t>
      </w:r>
    </w:p>
    <w:p w:rsidR="00000000" w:rsidRDefault="002E4D13">
      <w:pPr>
        <w:pStyle w:val="CM30"/>
        <w:spacing w:after="587" w:line="143" w:lineRule="atLeast"/>
        <w:ind w:right="1965"/>
        <w:jc w:val="both"/>
        <w:rPr>
          <w:rFonts w:ascii="MECBBC+Arial" w:hAnsi="MECBBC+Arial" w:cs="MECBBC+Arial"/>
          <w:sz w:val="10"/>
          <w:szCs w:val="10"/>
        </w:rPr>
      </w:pPr>
      <w:r>
        <w:rPr>
          <w:rFonts w:ascii="MECBBC+Arial" w:hAnsi="MECBBC+Arial" w:cs="MECBBC+Arial"/>
          <w:sz w:val="10"/>
          <w:szCs w:val="10"/>
        </w:rPr>
        <w:t xml:space="preserve">NCR 29% </w:t>
      </w:r>
    </w:p>
    <w:p w:rsidR="00000000" w:rsidRDefault="002E4D13">
      <w:pPr>
        <w:pStyle w:val="CM28"/>
        <w:spacing w:after="162" w:line="140" w:lineRule="atLeast"/>
        <w:ind w:left="1915"/>
        <w:jc w:val="both"/>
        <w:rPr>
          <w:rFonts w:ascii="MECBBC+Arial" w:hAnsi="MECBBC+Arial" w:cs="MECBBC+Arial"/>
          <w:sz w:val="10"/>
          <w:szCs w:val="10"/>
        </w:rPr>
      </w:pPr>
      <w:r>
        <w:rPr>
          <w:rFonts w:ascii="MECBBC+Arial" w:hAnsi="MECBBC+Arial" w:cs="MECBBC+Arial"/>
          <w:sz w:val="10"/>
          <w:szCs w:val="10"/>
        </w:rPr>
        <w:t xml:space="preserve">Diebold 66% </w:t>
      </w:r>
    </w:p>
    <w:p w:rsidR="00000000" w:rsidRDefault="002E4D13">
      <w:pPr>
        <w:pStyle w:val="Default"/>
        <w:framePr w:w="2576" w:wrap="auto" w:vAnchor="page" w:hAnchor="page" w:x="7751" w:y="3144"/>
        <w:spacing w:after="60"/>
        <w:rPr>
          <w:rFonts w:ascii="MECBBC+Arial" w:hAnsi="MECBBC+Arial" w:cs="MECBBC+Arial"/>
          <w:color w:val="auto"/>
          <w:sz w:val="10"/>
          <w:szCs w:val="10"/>
        </w:rPr>
      </w:pPr>
      <w:r>
        <w:rPr>
          <w:rFonts w:ascii="MECBBC+Arial" w:hAnsi="MECBBC+Arial" w:cs="MECBBC+Arial"/>
          <w:noProof/>
          <w:color w:val="auto"/>
          <w:sz w:val="10"/>
          <w:szCs w:val="10"/>
        </w:rPr>
        <w:drawing>
          <wp:inline distT="0" distB="0" distL="0" distR="0">
            <wp:extent cx="1105535" cy="110553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105535" cy="1105535"/>
                    </a:xfrm>
                    <a:prstGeom prst="rect">
                      <a:avLst/>
                    </a:prstGeom>
                    <a:noFill/>
                    <a:ln w="9525">
                      <a:noFill/>
                      <a:miter lim="800000"/>
                      <a:headEnd/>
                      <a:tailEnd/>
                    </a:ln>
                  </pic:spPr>
                </pic:pic>
              </a:graphicData>
            </a:graphic>
          </wp:inline>
        </w:drawing>
      </w:r>
    </w:p>
    <w:p w:rsidR="00000000" w:rsidRDefault="002E4D13">
      <w:pPr>
        <w:pStyle w:val="CM31"/>
        <w:spacing w:after="455" w:line="186" w:lineRule="atLeast"/>
        <w:ind w:left="817" w:right="610"/>
        <w:jc w:val="both"/>
        <w:rPr>
          <w:rFonts w:ascii="MECBBC+Arial" w:hAnsi="MECBBC+Arial" w:cs="MECBBC+Arial"/>
          <w:sz w:val="16"/>
          <w:szCs w:val="16"/>
        </w:rPr>
      </w:pPr>
      <w:r>
        <w:rPr>
          <w:rFonts w:ascii="MECBPK+Arial,Bold" w:hAnsi="MECBPK+Arial,Bold" w:cs="MECBPK+Arial,Bold"/>
          <w:b/>
          <w:bCs/>
          <w:sz w:val="16"/>
          <w:szCs w:val="16"/>
        </w:rPr>
        <w:t xml:space="preserve"> Fuente:</w:t>
      </w:r>
      <w:r>
        <w:rPr>
          <w:rFonts w:ascii="MECBBC+Arial" w:hAnsi="MECBBC+Arial" w:cs="MECBBC+Arial"/>
          <w:sz w:val="16"/>
          <w:szCs w:val="16"/>
        </w:rPr>
        <w:t xml:space="preserve"> Departamento de Soporte Especializado de la Red de Cajeros Automáticos </w:t>
      </w:r>
    </w:p>
    <w:p w:rsidR="00000000" w:rsidRDefault="002E4D13">
      <w:pPr>
        <w:pStyle w:val="CM4"/>
        <w:jc w:val="both"/>
        <w:rPr>
          <w:rFonts w:cs="MEBOFJ+TimesNewRoman,Bold"/>
          <w:sz w:val="20"/>
          <w:szCs w:val="20"/>
        </w:rPr>
      </w:pPr>
      <w:r>
        <w:rPr>
          <w:rFonts w:cs="MEBOFJ+TimesNewRoman,Bold"/>
          <w:b/>
          <w:bCs/>
          <w:sz w:val="20"/>
          <w:szCs w:val="20"/>
        </w:rPr>
        <w:t xml:space="preserve">2.6. Tipo de Transacción </w:t>
      </w:r>
    </w:p>
    <w:p w:rsidR="00000000" w:rsidRDefault="002E4D13">
      <w:pPr>
        <w:pStyle w:val="CM27"/>
        <w:spacing w:after="225" w:line="231" w:lineRule="atLeast"/>
        <w:ind w:right="510"/>
        <w:jc w:val="both"/>
        <w:rPr>
          <w:rFonts w:ascii="MEBOED+TimesNewRoman" w:hAnsi="MEBOED+TimesNewRoman" w:cs="MEBOED+TimesNewRoman"/>
          <w:sz w:val="20"/>
          <w:szCs w:val="20"/>
        </w:rPr>
      </w:pPr>
      <w:r>
        <w:rPr>
          <w:rFonts w:ascii="MEBOED+TimesNewRoman" w:hAnsi="MEBOED+TimesNewRoman" w:cs="MEBOED+TimesNewRoman"/>
          <w:sz w:val="20"/>
          <w:szCs w:val="20"/>
        </w:rPr>
        <w:t>Esta variable de tipo cualitativo nos permite conocer el tipo de transacción más solicitado por los clientes de l</w:t>
      </w:r>
      <w:r>
        <w:rPr>
          <w:rFonts w:ascii="MEBOED+TimesNewRoman" w:hAnsi="MEBOED+TimesNewRoman" w:cs="MEBOED+TimesNewRoman"/>
          <w:sz w:val="20"/>
          <w:szCs w:val="20"/>
        </w:rPr>
        <w:t>a red de cajeros automáticos durante el período de estudio, de las 2’893,894 transacciones del 2003 se determina que el 60% de las transacciones realizadas por los tarjeta habientes en la ciudad de Guayaquil son retiros de cuentas de ahorros, el 17% son tr</w:t>
      </w:r>
      <w:r>
        <w:rPr>
          <w:rFonts w:ascii="MEBOED+TimesNewRoman" w:hAnsi="MEBOED+TimesNewRoman" w:cs="MEBOED+TimesNewRoman"/>
          <w:sz w:val="20"/>
          <w:szCs w:val="20"/>
        </w:rPr>
        <w:t xml:space="preserve">ansacciones de retiro de cuenta corriente (495,738 transacciones), otro 17% corresponde a consulta de cuentas de ahorros (481,445 transacciones), un 4% son transacciones de consulta de cuentas corrientes (110,394 transacciones), el 1% de las transacciones </w:t>
      </w:r>
      <w:r>
        <w:rPr>
          <w:rFonts w:ascii="MEBOED+TimesNewRoman" w:hAnsi="MEBOED+TimesNewRoman" w:cs="MEBOED+TimesNewRoman"/>
          <w:sz w:val="20"/>
          <w:szCs w:val="20"/>
        </w:rPr>
        <w:t>son avances de efectivo (32,001 transacciones), esto determina la gran diferencia existente entre transacciones por cajero automático entre los cuenta ahorristas y cuenta correntistas en la ciudad de Guayaquil, las transacciones de ahorros como las consult</w:t>
      </w:r>
      <w:r>
        <w:rPr>
          <w:rFonts w:ascii="MEBOED+TimesNewRoman" w:hAnsi="MEBOED+TimesNewRoman" w:cs="MEBOED+TimesNewRoman"/>
          <w:sz w:val="20"/>
          <w:szCs w:val="20"/>
        </w:rPr>
        <w:t xml:space="preserve">as y retiros representan el 77% de toda la transaccionalidad. </w:t>
      </w:r>
    </w:p>
    <w:p w:rsidR="00000000" w:rsidRDefault="002E4D13">
      <w:pPr>
        <w:pStyle w:val="CM28"/>
        <w:spacing w:after="162" w:line="186" w:lineRule="atLeast"/>
        <w:ind w:left="747" w:right="1140"/>
        <w:rPr>
          <w:rFonts w:ascii="MECBPK+Arial,Bold" w:hAnsi="MECBPK+Arial,Bold" w:cs="MECBPK+Arial,Bold"/>
          <w:sz w:val="16"/>
          <w:szCs w:val="16"/>
        </w:rPr>
      </w:pPr>
      <w:r>
        <w:rPr>
          <w:rFonts w:ascii="MECBPK+Arial,Bold" w:hAnsi="MECBPK+Arial,Bold" w:cs="MECBPK+Arial,Bold"/>
          <w:b/>
          <w:bCs/>
          <w:sz w:val="16"/>
          <w:szCs w:val="16"/>
        </w:rPr>
        <w:t>GRÁFICO  5 FRECUENCIA RELATIVA DE LA VARIABLE TIPO DE TRANSACCIÓN</w:t>
      </w:r>
    </w:p>
    <w:p w:rsidR="00000000" w:rsidRDefault="002E4D13">
      <w:pPr>
        <w:pStyle w:val="Default"/>
        <w:spacing w:after="45" w:line="108" w:lineRule="atLeast"/>
        <w:ind w:left="2085"/>
        <w:jc w:val="both"/>
        <w:rPr>
          <w:rFonts w:ascii="MECBBC+Arial" w:hAnsi="MECBBC+Arial" w:cs="MECBBC+Arial"/>
          <w:color w:val="auto"/>
          <w:sz w:val="12"/>
          <w:szCs w:val="12"/>
        </w:rPr>
      </w:pPr>
      <w:r>
        <w:rPr>
          <w:rFonts w:ascii="MECBBC+Arial" w:hAnsi="MECBBC+Arial" w:cs="MECBBC+Arial"/>
          <w:color w:val="auto"/>
          <w:sz w:val="12"/>
          <w:szCs w:val="12"/>
        </w:rPr>
        <w:t xml:space="preserve">Avance Efectivo </w:t>
      </w:r>
    </w:p>
    <w:p w:rsidR="00000000" w:rsidRDefault="002E4D13">
      <w:pPr>
        <w:pStyle w:val="Default"/>
        <w:spacing w:after="58" w:line="108" w:lineRule="atLeast"/>
        <w:ind w:left="1075" w:right="1032"/>
        <w:jc w:val="both"/>
        <w:rPr>
          <w:rFonts w:ascii="MECBBC+Arial" w:hAnsi="MECBBC+Arial" w:cs="MECBBC+Arial"/>
          <w:color w:val="auto"/>
          <w:sz w:val="12"/>
          <w:szCs w:val="12"/>
        </w:rPr>
      </w:pPr>
      <w:r>
        <w:rPr>
          <w:rFonts w:ascii="MECBBC+Arial" w:hAnsi="MECBBC+Arial" w:cs="MECBBC+Arial"/>
          <w:color w:val="auto"/>
          <w:sz w:val="12"/>
          <w:szCs w:val="12"/>
        </w:rPr>
        <w:t xml:space="preserve">1% Otros Consulta Corriente </w:t>
      </w:r>
    </w:p>
    <w:p w:rsidR="00000000" w:rsidRDefault="002E4D13">
      <w:pPr>
        <w:pStyle w:val="CM27"/>
        <w:spacing w:after="225" w:line="111" w:lineRule="atLeast"/>
        <w:ind w:left="1475" w:right="1082"/>
        <w:jc w:val="both"/>
        <w:rPr>
          <w:rFonts w:ascii="MECBBC+Arial" w:hAnsi="MECBBC+Arial" w:cs="MECBBC+Arial"/>
          <w:sz w:val="12"/>
          <w:szCs w:val="12"/>
        </w:rPr>
      </w:pPr>
      <w:r>
        <w:rPr>
          <w:rFonts w:ascii="MECBBC+Arial" w:hAnsi="MECBBC+Arial" w:cs="MECBBC+Arial"/>
          <w:sz w:val="12"/>
          <w:szCs w:val="12"/>
        </w:rPr>
        <w:t xml:space="preserve">1% 4% </w:t>
      </w:r>
    </w:p>
    <w:p w:rsidR="00000000" w:rsidRDefault="002E4D13">
      <w:pPr>
        <w:pStyle w:val="CM30"/>
        <w:spacing w:after="587" w:line="163" w:lineRule="atLeast"/>
        <w:ind w:left="1032"/>
        <w:jc w:val="both"/>
        <w:rPr>
          <w:rFonts w:ascii="MECBBC+Arial" w:hAnsi="MECBBC+Arial" w:cs="MECBBC+Arial"/>
          <w:sz w:val="12"/>
          <w:szCs w:val="12"/>
        </w:rPr>
      </w:pPr>
      <w:r>
        <w:rPr>
          <w:rFonts w:ascii="MECBBC+Arial" w:hAnsi="MECBBC+Arial" w:cs="MECBBC+Arial"/>
          <w:sz w:val="12"/>
          <w:szCs w:val="12"/>
        </w:rPr>
        <w:t xml:space="preserve">Consulta Ahorros 17% </w:t>
      </w:r>
    </w:p>
    <w:p w:rsidR="00000000" w:rsidRDefault="002E4D13">
      <w:pPr>
        <w:pStyle w:val="CM27"/>
        <w:spacing w:after="225" w:line="153" w:lineRule="atLeast"/>
        <w:ind w:left="3640"/>
        <w:jc w:val="both"/>
        <w:rPr>
          <w:rFonts w:ascii="MECBBC+Arial" w:hAnsi="MECBBC+Arial" w:cs="MECBBC+Arial"/>
          <w:sz w:val="12"/>
          <w:szCs w:val="12"/>
        </w:rPr>
      </w:pPr>
      <w:r>
        <w:rPr>
          <w:rFonts w:ascii="MECBBC+Arial" w:hAnsi="MECBBC+Arial" w:cs="MECBBC+Arial"/>
          <w:noProof/>
          <w:sz w:val="12"/>
          <w:szCs w:val="12"/>
        </w:rPr>
        <w:lastRenderedPageBreak/>
        <w:drawing>
          <wp:inline distT="0" distB="0" distL="0" distR="0">
            <wp:extent cx="1323975" cy="14192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323975" cy="1419225"/>
                    </a:xfrm>
                    <a:prstGeom prst="rect">
                      <a:avLst/>
                    </a:prstGeom>
                    <a:noFill/>
                    <a:ln w="9525">
                      <a:noFill/>
                      <a:miter lim="800000"/>
                      <a:headEnd/>
                      <a:tailEnd/>
                    </a:ln>
                  </pic:spPr>
                </pic:pic>
              </a:graphicData>
            </a:graphic>
          </wp:inline>
        </w:drawing>
      </w:r>
      <w:r>
        <w:rPr>
          <w:rFonts w:ascii="MECBBC+Arial" w:hAnsi="MECBBC+Arial" w:cs="MECBBC+Arial"/>
          <w:sz w:val="12"/>
          <w:szCs w:val="12"/>
        </w:rPr>
        <w:t xml:space="preserve"> Retiro Ahorros </w:t>
      </w:r>
      <w:r>
        <w:rPr>
          <w:rFonts w:ascii="MECBBC+Arial" w:hAnsi="MECBBC+Arial" w:cs="MECBBC+Arial"/>
          <w:sz w:val="12"/>
          <w:szCs w:val="12"/>
        </w:rPr>
        <w:lastRenderedPageBreak/>
        <w:t xml:space="preserve">Retiro Corrientes 60% </w:t>
      </w:r>
    </w:p>
    <w:p w:rsidR="00000000" w:rsidRDefault="002E4D13">
      <w:pPr>
        <w:pStyle w:val="CM31"/>
        <w:spacing w:after="455" w:line="163" w:lineRule="atLeast"/>
        <w:ind w:left="1065"/>
        <w:jc w:val="both"/>
        <w:rPr>
          <w:rFonts w:ascii="MECBBC+Arial" w:hAnsi="MECBBC+Arial" w:cs="MECBBC+Arial"/>
          <w:sz w:val="12"/>
          <w:szCs w:val="12"/>
        </w:rPr>
      </w:pPr>
      <w:r>
        <w:rPr>
          <w:rFonts w:ascii="MECBBC+Arial" w:hAnsi="MECBBC+Arial" w:cs="MECBBC+Arial"/>
          <w:sz w:val="12"/>
          <w:szCs w:val="12"/>
        </w:rPr>
        <w:t xml:space="preserve">17% </w:t>
      </w:r>
    </w:p>
    <w:p w:rsidR="00000000" w:rsidRDefault="002E4D13">
      <w:pPr>
        <w:pStyle w:val="CM5"/>
        <w:jc w:val="center"/>
        <w:rPr>
          <w:rFonts w:ascii="MECBBC+Arial" w:hAnsi="MECBBC+Arial" w:cs="MECBBC+Arial"/>
          <w:sz w:val="16"/>
          <w:szCs w:val="16"/>
        </w:rPr>
      </w:pPr>
      <w:r>
        <w:rPr>
          <w:rFonts w:ascii="MECBPK+Arial,Bold" w:hAnsi="MECBPK+Arial,Bold" w:cs="MECBPK+Arial,Bold"/>
          <w:b/>
          <w:bCs/>
          <w:sz w:val="16"/>
          <w:szCs w:val="16"/>
        </w:rPr>
        <w:t xml:space="preserve"> Fuente:</w:t>
      </w:r>
      <w:r>
        <w:rPr>
          <w:rFonts w:ascii="MECBBC+Arial" w:hAnsi="MECBBC+Arial" w:cs="MECBBC+Arial"/>
          <w:sz w:val="16"/>
          <w:szCs w:val="16"/>
        </w:rPr>
        <w:t xml:space="preserve"> Departamento de Soporte Especializado de la Red de Cajeros Automáticos </w:t>
      </w:r>
    </w:p>
    <w:p w:rsidR="00000000" w:rsidRDefault="002E4D13">
      <w:pPr>
        <w:pStyle w:val="Default"/>
        <w:rPr>
          <w:rFonts w:cstheme="minorBidi"/>
          <w:color w:val="auto"/>
        </w:rPr>
        <w:sectPr w:rsidR="00000000">
          <w:type w:val="continuous"/>
          <w:pgSz w:w="11900" w:h="17340"/>
          <w:pgMar w:top="1139" w:right="1113" w:bottom="668" w:left="1474" w:header="720" w:footer="720" w:gutter="0"/>
          <w:cols w:num="2" w:space="720" w:equalWidth="0">
            <w:col w:w="4090" w:space="331"/>
            <w:col w:w="3982"/>
          </w:cols>
          <w:noEndnote/>
        </w:sectPr>
      </w:pPr>
    </w:p>
    <w:p w:rsidR="00000000" w:rsidRDefault="002E4D13">
      <w:pPr>
        <w:pStyle w:val="Default"/>
        <w:pageBreakBefore/>
        <w:spacing w:line="231" w:lineRule="atLeast"/>
        <w:jc w:val="both"/>
        <w:rPr>
          <w:color w:val="auto"/>
          <w:sz w:val="20"/>
          <w:szCs w:val="20"/>
        </w:rPr>
      </w:pPr>
      <w:r>
        <w:rPr>
          <w:b/>
          <w:bCs/>
          <w:color w:val="auto"/>
          <w:sz w:val="20"/>
          <w:szCs w:val="20"/>
        </w:rPr>
        <w:lastRenderedPageBreak/>
        <w:t xml:space="preserve">2.7. Valor de Transacción </w:t>
      </w:r>
    </w:p>
    <w:p w:rsidR="00000000" w:rsidRDefault="002E4D13">
      <w:pPr>
        <w:pStyle w:val="CM29"/>
        <w:spacing w:after="80"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Se realiza el estudio para conocer l</w:t>
      </w:r>
      <w:r>
        <w:rPr>
          <w:rFonts w:ascii="MEBOED+TimesNewRoman" w:hAnsi="MEBOED+TimesNewRoman" w:cs="MEBOED+TimesNewRoman"/>
          <w:sz w:val="20"/>
          <w:szCs w:val="20"/>
        </w:rPr>
        <w:t>a cantidad de retiro más solicitado por los tarjeta habientes en sus transacciones de retiro de efectivo como: retiro de cuenta de ahorros, retiro de cuenta corriente y avances de efectivo desde tarjeta de crédito, obteniendo que el 41% de los clientes sol</w:t>
      </w:r>
      <w:r>
        <w:rPr>
          <w:rFonts w:ascii="MEBOED+TimesNewRoman" w:hAnsi="MEBOED+TimesNewRoman" w:cs="MEBOED+TimesNewRoman"/>
          <w:sz w:val="20"/>
          <w:szCs w:val="20"/>
        </w:rPr>
        <w:t>icita retiros menores a $10.01, el 16% de los retiros son realizados entre $10.01 y $20.00, el 10% corresponden a montos entre $20.01 y $30.00, el 6% de las transacciones entre $30.01 y $40.00, el 9% de las transacciones se las realiza en dos rangos $40.01</w:t>
      </w:r>
      <w:r>
        <w:rPr>
          <w:rFonts w:ascii="MEBOED+TimesNewRoman" w:hAnsi="MEBOED+TimesNewRoman" w:cs="MEBOED+TimesNewRoman"/>
          <w:sz w:val="20"/>
          <w:szCs w:val="20"/>
        </w:rPr>
        <w:t xml:space="preserve"> - $50.00 y $50.01 y $60.00, las transacciones que se realizan por montos superiores a $60.01  solo representan el 8% de las 2’893,894 transacciones del período de estudio; un punto muy importante es conocer que cada entidad financiera tiene límites de ret</w:t>
      </w:r>
      <w:r>
        <w:rPr>
          <w:rFonts w:ascii="MEBOED+TimesNewRoman" w:hAnsi="MEBOED+TimesNewRoman" w:cs="MEBOED+TimesNewRoman"/>
          <w:sz w:val="20"/>
          <w:szCs w:val="20"/>
        </w:rPr>
        <w:t>iro en sus cajeros automáticos. Los montos de $20.00, $10.00, $50.00 y $60.00 corresponden más del 54% de los montos que los clientes solicitan en la red de cajeros. Estos valores son importantes para analizar el valor para la transacción de retiro rápido,</w:t>
      </w:r>
      <w:r>
        <w:rPr>
          <w:rFonts w:ascii="MEBOED+TimesNewRoman" w:hAnsi="MEBOED+TimesNewRoman" w:cs="MEBOED+TimesNewRoman"/>
          <w:sz w:val="20"/>
          <w:szCs w:val="20"/>
        </w:rPr>
        <w:t xml:space="preserve"> que consiste en </w:t>
      </w:r>
    </w:p>
    <w:p w:rsidR="00000000" w:rsidRDefault="002E4D13">
      <w:pPr>
        <w:pStyle w:val="Default"/>
        <w:rPr>
          <w:rFonts w:cstheme="minorBidi"/>
          <w:color w:val="auto"/>
        </w:rPr>
      </w:pPr>
      <w:r>
        <w:rPr>
          <w:noProof/>
        </w:rPr>
        <w:pict>
          <v:shape id="_x0000_s1027" type="#_x0000_t202" style="position:absolute;margin-left:75.05pt;margin-top:330.95pt;width:248.1pt;height:68.6pt;z-index:2516592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80"/>
                    <w:gridCol w:w="170"/>
                    <w:gridCol w:w="705"/>
                    <w:gridCol w:w="235"/>
                    <w:gridCol w:w="445"/>
                    <w:gridCol w:w="72"/>
                    <w:gridCol w:w="875"/>
                    <w:gridCol w:w="338"/>
                    <w:gridCol w:w="510"/>
                    <w:gridCol w:w="282"/>
                    <w:gridCol w:w="358"/>
                    <w:gridCol w:w="1095"/>
                    <w:gridCol w:w="3975"/>
                  </w:tblGrid>
                  <w:tr w:rsidR="00000000">
                    <w:tblPrEx>
                      <w:tblCellMar>
                        <w:top w:w="0" w:type="dxa"/>
                        <w:bottom w:w="0" w:type="dxa"/>
                      </w:tblCellMar>
                    </w:tblPrEx>
                    <w:trPr>
                      <w:gridAfter w:val="2"/>
                      <w:wAfter w:w="2671" w:type="dxa"/>
                      <w:trHeight w:val="400"/>
                    </w:trPr>
                    <w:tc>
                      <w:tcPr>
                        <w:tcW w:w="1055" w:type="dxa"/>
                        <w:gridSpan w:val="3"/>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seleccionar (transacción predetermina</w:t>
                        </w:r>
                      </w:p>
                    </w:tc>
                    <w:tc>
                      <w:tcPr>
                        <w:tcW w:w="410" w:type="dxa"/>
                        <w:gridSpan w:val="2"/>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la se do po</w:t>
                        </w:r>
                      </w:p>
                    </w:tc>
                    <w:tc>
                      <w:tcPr>
                        <w:tcW w:w="1792" w:type="dxa"/>
                        <w:gridSpan w:val="4"/>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opción de retiro envía con un r la entidad). </w:t>
                        </w:r>
                      </w:p>
                    </w:tc>
                    <w:tc>
                      <w:tcPr>
                        <w:tcW w:w="640" w:type="dxa"/>
                        <w:gridSpan w:val="2"/>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rápido monto </w:t>
                        </w:r>
                      </w:p>
                    </w:tc>
                  </w:tr>
                  <w:tr w:rsidR="00000000">
                    <w:tblPrEx>
                      <w:tblCellMar>
                        <w:top w:w="0" w:type="dxa"/>
                        <w:bottom w:w="0" w:type="dxa"/>
                      </w:tblCellMar>
                    </w:tblPrEx>
                    <w:trPr>
                      <w:gridAfter w:val="2"/>
                      <w:wAfter w:w="2670" w:type="dxa"/>
                      <w:trHeight w:val="122"/>
                    </w:trPr>
                    <w:tc>
                      <w:tcPr>
                        <w:tcW w:w="1055" w:type="dxa"/>
                        <w:gridSpan w:val="3"/>
                      </w:tcPr>
                      <w:p w:rsidR="00000000" w:rsidRDefault="002E4D13">
                        <w:pPr>
                          <w:pStyle w:val="Default"/>
                          <w:rPr>
                            <w:rFonts w:cstheme="minorBidi"/>
                            <w:color w:val="auto"/>
                          </w:rPr>
                        </w:pPr>
                      </w:p>
                    </w:tc>
                    <w:tc>
                      <w:tcPr>
                        <w:tcW w:w="410" w:type="dxa"/>
                        <w:gridSpan w:val="2"/>
                      </w:tcPr>
                      <w:p w:rsidR="00000000" w:rsidRDefault="002E4D13">
                        <w:pPr>
                          <w:pStyle w:val="Default"/>
                          <w:rPr>
                            <w:rFonts w:cstheme="minorBidi"/>
                            <w:color w:val="auto"/>
                          </w:rPr>
                        </w:pPr>
                      </w:p>
                    </w:tc>
                    <w:tc>
                      <w:tcPr>
                        <w:tcW w:w="1285" w:type="dxa"/>
                        <w:gridSpan w:val="3"/>
                        <w:vAlign w:val="bottom"/>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TABLA IV </w:t>
                        </w:r>
                      </w:p>
                    </w:tc>
                    <w:tc>
                      <w:tcPr>
                        <w:tcW w:w="510" w:type="dxa"/>
                      </w:tcPr>
                      <w:p w:rsidR="00000000" w:rsidRDefault="002E4D13">
                        <w:pPr>
                          <w:pStyle w:val="Default"/>
                          <w:rPr>
                            <w:rFonts w:cstheme="minorBidi"/>
                            <w:color w:val="auto"/>
                          </w:rPr>
                        </w:pPr>
                      </w:p>
                    </w:tc>
                    <w:tc>
                      <w:tcPr>
                        <w:tcW w:w="640" w:type="dxa"/>
                        <w:gridSpan w:val="2"/>
                      </w:tcPr>
                      <w:p w:rsidR="00000000" w:rsidRDefault="002E4D13">
                        <w:pPr>
                          <w:pStyle w:val="Default"/>
                          <w:rPr>
                            <w:rFonts w:cstheme="minorBidi"/>
                            <w:color w:val="auto"/>
                          </w:rPr>
                        </w:pPr>
                      </w:p>
                    </w:tc>
                  </w:tr>
                </w:tbl>
              </w:txbxContent>
            </v:textbox>
            <w10:wrap type="through" anchorx="page" anchory="page"/>
          </v:shape>
        </w:pict>
      </w:r>
    </w:p>
    <w:p w:rsidR="00000000" w:rsidRDefault="002E4D13">
      <w:pPr>
        <w:pStyle w:val="CM29"/>
        <w:spacing w:after="80" w:line="186" w:lineRule="atLeast"/>
        <w:jc w:val="center"/>
        <w:rPr>
          <w:sz w:val="16"/>
          <w:szCs w:val="16"/>
        </w:rPr>
      </w:pPr>
      <w:r>
        <w:rPr>
          <w:b/>
          <w:bCs/>
          <w:sz w:val="16"/>
          <w:szCs w:val="16"/>
        </w:rPr>
        <w:t xml:space="preserve">FRECUENCIA RELATIVA DE LA VARIABLE VALOR DE TRANSACCIÓN </w:t>
      </w:r>
    </w:p>
    <w:p w:rsidR="00000000" w:rsidRDefault="002E4D13">
      <w:pPr>
        <w:pStyle w:val="Default"/>
        <w:framePr w:w="5032" w:wrap="auto" w:vAnchor="page" w:hAnchor="page" w:x="1534" w:y="8533"/>
        <w:rPr>
          <w:rFonts w:cstheme="minorBidi"/>
          <w:color w:val="auto"/>
          <w:sz w:val="16"/>
          <w:szCs w:val="16"/>
        </w:rPr>
      </w:pPr>
      <w:r>
        <w:rPr>
          <w:rFonts w:cstheme="minorBidi"/>
          <w:noProof/>
          <w:color w:val="auto"/>
          <w:sz w:val="16"/>
          <w:szCs w:val="16"/>
        </w:rPr>
        <w:drawing>
          <wp:inline distT="0" distB="0" distL="0" distR="0">
            <wp:extent cx="2675255" cy="197866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675255" cy="1978660"/>
                    </a:xfrm>
                    <a:prstGeom prst="rect">
                      <a:avLst/>
                    </a:prstGeom>
                    <a:noFill/>
                    <a:ln w="9525">
                      <a:noFill/>
                      <a:miter lim="800000"/>
                      <a:headEnd/>
                      <a:tailEnd/>
                    </a:ln>
                  </pic:spPr>
                </pic:pic>
              </a:graphicData>
            </a:graphic>
          </wp:inline>
        </w:drawing>
      </w:r>
    </w:p>
    <w:p w:rsidR="00000000" w:rsidRDefault="002E4D13">
      <w:pPr>
        <w:pStyle w:val="CM31"/>
        <w:spacing w:after="455" w:line="186" w:lineRule="atLeast"/>
        <w:jc w:val="center"/>
        <w:rPr>
          <w:rFonts w:ascii="MECBBC+Arial" w:hAnsi="MECBBC+Arial" w:cs="MECBBC+Arial"/>
          <w:sz w:val="16"/>
          <w:szCs w:val="16"/>
        </w:rPr>
      </w:pPr>
      <w:r>
        <w:rPr>
          <w:b/>
          <w:bCs/>
          <w:sz w:val="16"/>
          <w:szCs w:val="16"/>
        </w:rPr>
        <w:t xml:space="preserve">Fuente: </w:t>
      </w:r>
      <w:r>
        <w:rPr>
          <w:rFonts w:ascii="MECBBC+Arial" w:hAnsi="MECBBC+Arial" w:cs="MECBBC+Arial"/>
          <w:sz w:val="16"/>
          <w:szCs w:val="16"/>
        </w:rPr>
        <w:t xml:space="preserve">Departamento de Soporte Especializado de la Red de Cajeros Automáticos </w:t>
      </w:r>
    </w:p>
    <w:p w:rsidR="00000000" w:rsidRDefault="002E4D13">
      <w:pPr>
        <w:pStyle w:val="CM4"/>
        <w:jc w:val="both"/>
        <w:rPr>
          <w:rFonts w:cs="MEBOFJ+TimesNewRoman,Bold"/>
          <w:sz w:val="20"/>
          <w:szCs w:val="20"/>
        </w:rPr>
      </w:pPr>
      <w:r>
        <w:rPr>
          <w:rFonts w:cs="MEBOFJ+TimesNewRoman,Bold"/>
          <w:b/>
          <w:bCs/>
          <w:sz w:val="20"/>
          <w:szCs w:val="20"/>
        </w:rPr>
        <w:t xml:space="preserve">2.8. Respuesta de Transacción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Se realiza un estudio de las transacciones realizadas en la red de cajeros en la ciudad de Guayaquil por el r</w:t>
      </w:r>
      <w:r>
        <w:rPr>
          <w:rFonts w:ascii="MEBOED+TimesNewRoman" w:hAnsi="MEBOED+TimesNewRoman" w:cs="MEBOED+TimesNewRoman"/>
          <w:sz w:val="20"/>
          <w:szCs w:val="20"/>
        </w:rPr>
        <w:t>esultado de las mismas, obteniendo un 72% de transacciones realizadas exitosamente es decir transacciones contestadas sin ningún problema a los tarjeta habientes, por otro lado se tiene que el 7% de las transacciones rechazadas se debe a fondos insuficient</w:t>
      </w:r>
      <w:r>
        <w:rPr>
          <w:rFonts w:ascii="MEBOED+TimesNewRoman" w:hAnsi="MEBOED+TimesNewRoman" w:cs="MEBOED+TimesNewRoman"/>
          <w:sz w:val="20"/>
          <w:szCs w:val="20"/>
        </w:rPr>
        <w:t>es en las cuentas de ahorros, corrientes o de crédito, el 5% de las transacciones corresponde a transacciones no aprobadas por exceder el cupo de retiro permitido sea este diario o semanal dependiendo de la entidad financiera, de igual forma un 5% de las t</w:t>
      </w:r>
      <w:r>
        <w:rPr>
          <w:rFonts w:ascii="MEBOED+TimesNewRoman" w:hAnsi="MEBOED+TimesNewRoman" w:cs="MEBOED+TimesNewRoman"/>
          <w:sz w:val="20"/>
          <w:szCs w:val="20"/>
        </w:rPr>
        <w:t xml:space="preserve">ransacciones no aprobadas tiene que ver con la </w:t>
      </w:r>
      <w:r>
        <w:rPr>
          <w:rFonts w:ascii="MEBOED+TimesNewRoman" w:hAnsi="MEBOED+TimesNewRoman" w:cs="MEBOED+TimesNewRoman"/>
          <w:sz w:val="20"/>
          <w:szCs w:val="20"/>
        </w:rPr>
        <w:lastRenderedPageBreak/>
        <w:t>desconexión de las entidades financieras, un 2% de las transacciones no aprobadas se debe a que el tarjeta habiente no ingresó correctamente su clave de seguridad, sólo el 1% de transacciones se declina por so</w:t>
      </w:r>
      <w:r>
        <w:rPr>
          <w:rFonts w:ascii="MEBOED+TimesNewRoman" w:hAnsi="MEBOED+TimesNewRoman" w:cs="MEBOED+TimesNewRoman"/>
          <w:sz w:val="20"/>
          <w:szCs w:val="20"/>
        </w:rPr>
        <w:t>licitud de un monto no válido para retiro o porque el cliente escogió incorrectamente el tipo de cuenta para realizar la transacción, un 1% de las transacciones de igual forma se declinan porque no se encuentra disponible el requerimiento generalmente esto</w:t>
      </w:r>
      <w:r>
        <w:rPr>
          <w:rFonts w:ascii="MEBOED+TimesNewRoman" w:hAnsi="MEBOED+TimesNewRoman" w:cs="MEBOED+TimesNewRoman"/>
          <w:sz w:val="20"/>
          <w:szCs w:val="20"/>
        </w:rPr>
        <w:t xml:space="preserve"> se debe por procesos diarios que realizan las entidades financieras durante períodos donde existe muy poco volumen transaccional (horarios de madrugada). </w:t>
      </w:r>
    </w:p>
    <w:p w:rsidR="00000000" w:rsidRDefault="002E4D13">
      <w:pPr>
        <w:pStyle w:val="CM29"/>
        <w:spacing w:after="80" w:line="186" w:lineRule="atLeast"/>
        <w:ind w:left="605" w:right="722"/>
        <w:rPr>
          <w:rFonts w:ascii="MECBPK+Arial,Bold" w:hAnsi="MECBPK+Arial,Bold" w:cs="MECBPK+Arial,Bold"/>
          <w:sz w:val="16"/>
          <w:szCs w:val="16"/>
        </w:rPr>
      </w:pPr>
      <w:r>
        <w:rPr>
          <w:rFonts w:ascii="MECBPK+Arial,Bold" w:hAnsi="MECBPK+Arial,Bold" w:cs="MECBPK+Arial,Bold"/>
          <w:b/>
          <w:bCs/>
          <w:sz w:val="16"/>
          <w:szCs w:val="16"/>
        </w:rPr>
        <w:t>GRÁFICO  6  FRECUENCIA RELATIVA DE LA VARIABLE RESPUESTA DE TRANSACCIÓN</w:t>
      </w:r>
    </w:p>
    <w:p w:rsidR="00000000" w:rsidRDefault="002E4D13">
      <w:pPr>
        <w:pStyle w:val="CM12"/>
        <w:spacing w:after="1247"/>
        <w:ind w:left="342"/>
        <w:jc w:val="both"/>
        <w:rPr>
          <w:rFonts w:ascii="MECBBC+Arial" w:hAnsi="MECBBC+Arial" w:cs="MECBBC+Arial"/>
          <w:sz w:val="10"/>
          <w:szCs w:val="10"/>
        </w:rPr>
      </w:pPr>
      <w:r>
        <w:rPr>
          <w:rFonts w:ascii="MECBBC+Arial" w:hAnsi="MECBBC+Arial" w:cs="MECBBC+Arial"/>
          <w:sz w:val="10"/>
          <w:szCs w:val="10"/>
        </w:rPr>
        <w:t xml:space="preserve">Transacción no </w:t>
      </w:r>
      <w:r>
        <w:rPr>
          <w:rFonts w:ascii="MECBBC+Arial" w:hAnsi="MECBBC+Arial" w:cs="MECBBC+Arial"/>
          <w:sz w:val="10"/>
          <w:szCs w:val="10"/>
        </w:rPr>
        <w:t xml:space="preserve">disponible por el </w:t>
      </w:r>
    </w:p>
    <w:p w:rsidR="00000000" w:rsidRDefault="002E4D13">
      <w:pPr>
        <w:pStyle w:val="CM28"/>
        <w:spacing w:after="162" w:line="153" w:lineRule="atLeast"/>
        <w:ind w:left="3640"/>
        <w:jc w:val="both"/>
        <w:rPr>
          <w:rFonts w:ascii="MECBBC+Arial" w:hAnsi="MECBBC+Arial" w:cs="MECBBC+Arial"/>
          <w:sz w:val="10"/>
          <w:szCs w:val="10"/>
        </w:rPr>
      </w:pPr>
      <w:r>
        <w:rPr>
          <w:rFonts w:ascii="MECBBC+Arial" w:hAnsi="MECBBC+Arial" w:cs="MECBBC+Arial"/>
          <w:noProof/>
          <w:sz w:val="10"/>
          <w:szCs w:val="10"/>
        </w:rPr>
        <w:drawing>
          <wp:inline distT="0" distB="0" distL="0" distR="0">
            <wp:extent cx="2374900" cy="1842135"/>
            <wp:effectExtent l="1905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2374900" cy="1842135"/>
                    </a:xfrm>
                    <a:prstGeom prst="rect">
                      <a:avLst/>
                    </a:prstGeom>
                    <a:noFill/>
                    <a:ln w="9525">
                      <a:noFill/>
                      <a:miter lim="800000"/>
                      <a:headEnd/>
                      <a:tailEnd/>
                    </a:ln>
                  </pic:spPr>
                </pic:pic>
              </a:graphicData>
            </a:graphic>
          </wp:inline>
        </w:drawing>
      </w:r>
      <w:r>
        <w:rPr>
          <w:rFonts w:ascii="MECBBC+Arial" w:hAnsi="MECBBC+Arial" w:cs="MECBBC+Arial"/>
          <w:sz w:val="10"/>
          <w:szCs w:val="10"/>
        </w:rPr>
        <w:t xml:space="preserve">Transacción Aprobada 72% </w:t>
      </w:r>
    </w:p>
    <w:p w:rsidR="00000000" w:rsidRDefault="002E4D13">
      <w:pPr>
        <w:pStyle w:val="Default"/>
        <w:spacing w:line="143" w:lineRule="atLeast"/>
        <w:ind w:left="92" w:right="4415"/>
        <w:jc w:val="both"/>
        <w:rPr>
          <w:rFonts w:ascii="MECBBC+Arial" w:hAnsi="MECBBC+Arial" w:cs="MECBBC+Arial"/>
          <w:color w:val="auto"/>
          <w:sz w:val="10"/>
          <w:szCs w:val="10"/>
        </w:rPr>
      </w:pPr>
      <w:r>
        <w:rPr>
          <w:rFonts w:ascii="MECBBC+Arial" w:hAnsi="MECBBC+Arial" w:cs="MECBBC+Arial"/>
          <w:color w:val="auto"/>
          <w:sz w:val="10"/>
          <w:szCs w:val="10"/>
        </w:rPr>
        <w:t xml:space="preserve">OTROS 5% </w:t>
      </w:r>
    </w:p>
    <w:p w:rsidR="00000000" w:rsidRDefault="002E4D13">
      <w:pPr>
        <w:pStyle w:val="CM26"/>
        <w:spacing w:after="342" w:line="143" w:lineRule="atLeast"/>
        <w:ind w:left="342"/>
        <w:jc w:val="both"/>
        <w:rPr>
          <w:rFonts w:ascii="MECBBC+Arial" w:hAnsi="MECBBC+Arial" w:cs="MECBBC+Arial"/>
          <w:sz w:val="10"/>
          <w:szCs w:val="10"/>
        </w:rPr>
      </w:pPr>
      <w:r>
        <w:rPr>
          <w:rFonts w:ascii="MECBBC+Arial" w:hAnsi="MECBBC+Arial" w:cs="MECBBC+Arial"/>
          <w:sz w:val="10"/>
          <w:szCs w:val="10"/>
        </w:rPr>
        <w:t xml:space="preserve">5% </w:t>
      </w:r>
    </w:p>
    <w:p w:rsidR="00000000" w:rsidRDefault="002E4D13">
      <w:pPr>
        <w:pStyle w:val="CM31"/>
        <w:spacing w:after="455" w:line="186" w:lineRule="atLeast"/>
        <w:ind w:left="885"/>
        <w:jc w:val="both"/>
        <w:rPr>
          <w:rFonts w:ascii="MECBBC+Arial" w:hAnsi="MECBBC+Arial" w:cs="MECBBC+Arial"/>
          <w:sz w:val="16"/>
          <w:szCs w:val="16"/>
        </w:rPr>
      </w:pPr>
      <w:r>
        <w:rPr>
          <w:rFonts w:ascii="MECBPK+Arial,Bold" w:hAnsi="MECBPK+Arial,Bold" w:cs="MECBPK+Arial,Bold"/>
          <w:b/>
          <w:bCs/>
          <w:sz w:val="16"/>
          <w:szCs w:val="16"/>
        </w:rPr>
        <w:t xml:space="preserve"> Fuente:</w:t>
      </w:r>
      <w:r>
        <w:rPr>
          <w:rFonts w:ascii="MECBBC+Arial" w:hAnsi="MECBBC+Arial" w:cs="MECBBC+Arial"/>
          <w:sz w:val="16"/>
          <w:szCs w:val="16"/>
        </w:rPr>
        <w:t xml:space="preserve"> Departamento de Soporte Especializado de la Red de Cajeros Automáticos </w:t>
      </w:r>
    </w:p>
    <w:p w:rsidR="00000000" w:rsidRDefault="002E4D13">
      <w:pPr>
        <w:pStyle w:val="CM13"/>
        <w:ind w:left="67"/>
        <w:jc w:val="both"/>
        <w:rPr>
          <w:rFonts w:cs="MEBOFJ+TimesNewRoman,Bold"/>
          <w:sz w:val="20"/>
          <w:szCs w:val="20"/>
        </w:rPr>
      </w:pPr>
      <w:r>
        <w:rPr>
          <w:rFonts w:cs="MEBOFJ+TimesNewRoman,Bold"/>
          <w:b/>
          <w:bCs/>
          <w:sz w:val="20"/>
          <w:szCs w:val="20"/>
        </w:rPr>
        <w:t xml:space="preserve">2.9. Zonas de la Ciudad </w:t>
      </w:r>
    </w:p>
    <w:p w:rsidR="00000000" w:rsidRDefault="002E4D13">
      <w:pPr>
        <w:pStyle w:val="CM27"/>
        <w:spacing w:after="225" w:line="231" w:lineRule="atLeast"/>
        <w:ind w:left="67"/>
        <w:jc w:val="both"/>
        <w:rPr>
          <w:rFonts w:ascii="MEBOED+TimesNewRoman" w:hAnsi="MEBOED+TimesNewRoman" w:cs="MEBOED+TimesNewRoman"/>
          <w:sz w:val="20"/>
          <w:szCs w:val="20"/>
        </w:rPr>
      </w:pPr>
      <w:r>
        <w:rPr>
          <w:rFonts w:ascii="MEBOED+TimesNewRoman" w:hAnsi="MEBOED+TimesNewRoman" w:cs="MEBOED+TimesNewRoman"/>
          <w:sz w:val="20"/>
          <w:szCs w:val="20"/>
        </w:rPr>
        <w:t>Se analiza la trans</w:t>
      </w:r>
      <w:r>
        <w:rPr>
          <w:rFonts w:ascii="MEBOED+TimesNewRoman" w:hAnsi="MEBOED+TimesNewRoman" w:cs="MEBOED+TimesNewRoman"/>
          <w:sz w:val="20"/>
          <w:szCs w:val="20"/>
        </w:rPr>
        <w:t xml:space="preserve">accionalidad de la ciudad de Guayaquil durante el año 2003, observándose en ese período un total de 2’893.894 transacciones, distribuidas por la variable zona de la ciudad obteniendo que el 53% de las transacciones son realizadas en el norte, el 28% y 19% </w:t>
      </w:r>
      <w:r>
        <w:rPr>
          <w:rFonts w:ascii="MEBOED+TimesNewRoman" w:hAnsi="MEBOED+TimesNewRoman" w:cs="MEBOED+TimesNewRoman"/>
          <w:sz w:val="20"/>
          <w:szCs w:val="20"/>
        </w:rPr>
        <w:t xml:space="preserve">de las transacciones son realizadas en el centro y sur de la ciudad respectivamente. </w:t>
      </w:r>
    </w:p>
    <w:p w:rsidR="00000000" w:rsidRDefault="002E4D13">
      <w:pPr>
        <w:pStyle w:val="CM29"/>
        <w:spacing w:after="80" w:line="183" w:lineRule="atLeast"/>
        <w:ind w:left="910" w:right="1577"/>
        <w:rPr>
          <w:rFonts w:ascii="MECBPK+Arial,Bold" w:hAnsi="MECBPK+Arial,Bold" w:cs="MECBPK+Arial,Bold"/>
          <w:sz w:val="16"/>
          <w:szCs w:val="16"/>
        </w:rPr>
      </w:pPr>
      <w:r>
        <w:rPr>
          <w:rFonts w:ascii="MECBPK+Arial,Bold" w:hAnsi="MECBPK+Arial,Bold" w:cs="MECBPK+Arial,Bold"/>
          <w:b/>
          <w:bCs/>
          <w:sz w:val="16"/>
          <w:szCs w:val="16"/>
        </w:rPr>
        <w:lastRenderedPageBreak/>
        <w:t xml:space="preserve">TABLA V FRECUENCIA RELATIVA DE LA </w:t>
      </w:r>
      <w:r>
        <w:rPr>
          <w:rFonts w:ascii="MECBPK+Arial,Bold" w:hAnsi="MECBPK+Arial,Bold" w:cs="MECBPK+Arial,Bold"/>
          <w:b/>
          <w:bCs/>
          <w:sz w:val="16"/>
          <w:szCs w:val="16"/>
        </w:rPr>
        <w:lastRenderedPageBreak/>
        <w:t xml:space="preserve">VARIABLE ZONAS DE LA CIUDAD </w:t>
      </w:r>
    </w:p>
    <w:p w:rsidR="00000000" w:rsidRDefault="002E4D13">
      <w:pPr>
        <w:pStyle w:val="Default"/>
        <w:framePr w:w="6847" w:wrap="auto" w:vAnchor="page" w:hAnchor="page" w:x="6156" w:y="13362"/>
        <w:rPr>
          <w:rFonts w:ascii="MECBPK+Arial,Bold" w:hAnsi="MECBPK+Arial,Bold" w:cs="MECBPK+Arial,Bold"/>
          <w:color w:val="auto"/>
          <w:sz w:val="16"/>
          <w:szCs w:val="16"/>
        </w:rPr>
      </w:pPr>
      <w:r>
        <w:rPr>
          <w:rFonts w:ascii="MECBPK+Arial,Bold" w:hAnsi="MECBPK+Arial,Bold" w:cs="MECBPK+Arial,Bold"/>
          <w:noProof/>
          <w:color w:val="auto"/>
          <w:sz w:val="16"/>
          <w:szCs w:val="16"/>
        </w:rPr>
        <w:drawing>
          <wp:inline distT="0" distB="0" distL="0" distR="0">
            <wp:extent cx="2661285" cy="1378585"/>
            <wp:effectExtent l="1905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2661285" cy="1378585"/>
                    </a:xfrm>
                    <a:prstGeom prst="rect">
                      <a:avLst/>
                    </a:prstGeom>
                    <a:noFill/>
                    <a:ln w="9525">
                      <a:noFill/>
                      <a:miter lim="800000"/>
                      <a:headEnd/>
                      <a:tailEnd/>
                    </a:ln>
                  </pic:spPr>
                </pic:pic>
              </a:graphicData>
            </a:graphic>
          </wp:inline>
        </w:drawing>
      </w:r>
    </w:p>
    <w:p w:rsidR="00000000" w:rsidRDefault="002E4D13">
      <w:pPr>
        <w:pStyle w:val="Default"/>
        <w:rPr>
          <w:rFonts w:cstheme="minorBidi"/>
          <w:color w:val="auto"/>
        </w:rPr>
        <w:sectPr w:rsidR="00000000">
          <w:type w:val="continuous"/>
          <w:pgSz w:w="11900" w:h="17340"/>
          <w:pgMar w:top="1139" w:right="1113" w:bottom="668" w:left="1474" w:header="720" w:footer="720" w:gutter="0"/>
          <w:cols w:num="2" w:space="720" w:equalWidth="0">
            <w:col w:w="4111" w:space="331"/>
            <w:col w:w="4233"/>
          </w:cols>
          <w:noEndnote/>
        </w:sectPr>
      </w:pPr>
    </w:p>
    <w:p w:rsidR="00000000" w:rsidRDefault="002E4D13">
      <w:pPr>
        <w:pStyle w:val="Default"/>
        <w:pageBreakBefore/>
        <w:spacing w:after="80" w:line="183" w:lineRule="atLeast"/>
        <w:ind w:left="1195" w:right="387" w:hanging="100"/>
        <w:jc w:val="both"/>
        <w:rPr>
          <w:rFonts w:cstheme="minorBidi"/>
          <w:color w:val="auto"/>
          <w:sz w:val="16"/>
          <w:szCs w:val="16"/>
        </w:rPr>
      </w:pPr>
      <w:r>
        <w:rPr>
          <w:rFonts w:cstheme="minorBidi"/>
          <w:b/>
          <w:bCs/>
          <w:color w:val="auto"/>
          <w:sz w:val="16"/>
          <w:szCs w:val="16"/>
        </w:rPr>
        <w:lastRenderedPageBreak/>
        <w:t>F</w:t>
      </w:r>
      <w:r>
        <w:rPr>
          <w:rFonts w:cstheme="minorBidi"/>
          <w:b/>
          <w:bCs/>
          <w:color w:val="auto"/>
          <w:sz w:val="16"/>
          <w:szCs w:val="16"/>
        </w:rPr>
        <w:t xml:space="preserve">RECUENCIA RELATIVA DE LA VARIABLE TIPO DE CUENTA </w:t>
      </w:r>
    </w:p>
    <w:p w:rsidR="00000000" w:rsidRDefault="002E4D13">
      <w:pPr>
        <w:pStyle w:val="Default"/>
        <w:spacing w:after="807" w:line="163" w:lineRule="atLeast"/>
        <w:ind w:left="2637" w:right="1852" w:hanging="378"/>
        <w:rPr>
          <w:rFonts w:ascii="MECBBC+Arial" w:hAnsi="MECBBC+Arial" w:cs="MECBBC+Arial"/>
          <w:color w:val="auto"/>
          <w:sz w:val="12"/>
          <w:szCs w:val="12"/>
        </w:rPr>
      </w:pPr>
      <w:r>
        <w:rPr>
          <w:rFonts w:ascii="MECBBC+Arial" w:hAnsi="MECBBC+Arial" w:cs="MECBBC+Arial"/>
          <w:color w:val="auto"/>
          <w:sz w:val="12"/>
          <w:szCs w:val="12"/>
        </w:rPr>
        <w:t xml:space="preserve">Cuenta de Crédito 1% Cuenta Corriente 21% </w:t>
      </w:r>
    </w:p>
    <w:p w:rsidR="00000000" w:rsidRDefault="002E4D13">
      <w:pPr>
        <w:pStyle w:val="CM28"/>
        <w:spacing w:after="162" w:line="160" w:lineRule="atLeast"/>
        <w:ind w:left="485" w:hanging="303"/>
        <w:jc w:val="both"/>
        <w:rPr>
          <w:rFonts w:ascii="MECBBC+Arial" w:hAnsi="MECBBC+Arial" w:cs="MECBBC+Arial"/>
          <w:sz w:val="12"/>
          <w:szCs w:val="12"/>
        </w:rPr>
      </w:pPr>
      <w:r>
        <w:rPr>
          <w:rFonts w:ascii="MECBBC+Arial" w:hAnsi="MECBBC+Arial" w:cs="MECBBC+Arial"/>
          <w:sz w:val="12"/>
          <w:szCs w:val="12"/>
        </w:rPr>
        <w:t xml:space="preserve">Cuenta Ahorros 78% </w:t>
      </w:r>
    </w:p>
    <w:p w:rsidR="00000000" w:rsidRDefault="002E4D13">
      <w:pPr>
        <w:pStyle w:val="Default"/>
        <w:framePr w:w="2550" w:wrap="auto" w:vAnchor="page" w:hAnchor="page" w:x="2722" w:y="9670"/>
        <w:spacing w:after="140"/>
        <w:rPr>
          <w:rFonts w:ascii="MECBBC+Arial" w:hAnsi="MECBBC+Arial" w:cs="MECBBC+Arial"/>
          <w:color w:val="auto"/>
          <w:sz w:val="12"/>
          <w:szCs w:val="12"/>
        </w:rPr>
      </w:pPr>
      <w:r>
        <w:rPr>
          <w:rFonts w:ascii="MECBBC+Arial" w:hAnsi="MECBBC+Arial" w:cs="MECBBC+Arial"/>
          <w:noProof/>
          <w:color w:val="auto"/>
          <w:sz w:val="12"/>
          <w:szCs w:val="12"/>
        </w:rPr>
        <w:drawing>
          <wp:inline distT="0" distB="0" distL="0" distR="0">
            <wp:extent cx="1118870" cy="1173480"/>
            <wp:effectExtent l="1905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118870" cy="1173480"/>
                    </a:xfrm>
                    <a:prstGeom prst="rect">
                      <a:avLst/>
                    </a:prstGeom>
                    <a:noFill/>
                    <a:ln w="9525">
                      <a:noFill/>
                      <a:miter lim="800000"/>
                      <a:headEnd/>
                      <a:tailEnd/>
                    </a:ln>
                  </pic:spPr>
                </pic:pic>
              </a:graphicData>
            </a:graphic>
          </wp:inline>
        </w:drawing>
      </w:r>
    </w:p>
    <w:p w:rsidR="00000000" w:rsidRDefault="002E4D13">
      <w:pPr>
        <w:pStyle w:val="CM26"/>
        <w:spacing w:after="342" w:line="186" w:lineRule="atLeast"/>
        <w:ind w:left="930" w:hanging="753"/>
        <w:jc w:val="both"/>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Especializado de la Red de Cajeros Automáticos </w:t>
      </w:r>
    </w:p>
    <w:p w:rsidR="00000000" w:rsidRDefault="002E4D13">
      <w:pPr>
        <w:pStyle w:val="CM4"/>
        <w:jc w:val="both"/>
        <w:rPr>
          <w:rFonts w:cs="MEBOFJ+TimesNewRoman,Bold"/>
          <w:sz w:val="20"/>
          <w:szCs w:val="20"/>
        </w:rPr>
      </w:pPr>
      <w:r>
        <w:rPr>
          <w:rFonts w:cs="MEBOFJ+TimesNewRoman,Bold"/>
          <w:b/>
          <w:bCs/>
          <w:sz w:val="20"/>
          <w:szCs w:val="20"/>
        </w:rPr>
        <w:t xml:space="preserve">2.12. Mes de Transacción </w:t>
      </w:r>
    </w:p>
    <w:p w:rsidR="00000000" w:rsidRDefault="002E4D13">
      <w:pPr>
        <w:pStyle w:val="CM4"/>
        <w:jc w:val="both"/>
        <w:rPr>
          <w:rFonts w:ascii="MEBOED+TimesNewRoman" w:hAnsi="MEBOED+TimesNewRoman" w:cs="MEBOED+TimesNewRoman"/>
          <w:sz w:val="20"/>
          <w:szCs w:val="20"/>
        </w:rPr>
      </w:pPr>
      <w:r>
        <w:rPr>
          <w:rFonts w:ascii="MEBOED+TimesNewRoman" w:hAnsi="MEBOED+TimesNewRoman" w:cs="MEBOED+TimesNewRoman"/>
          <w:sz w:val="20"/>
          <w:szCs w:val="20"/>
        </w:rPr>
        <w:t>La variable mes de transacción permite analizar la transaccionalidad a través de cada uno de los meses del año dur</w:t>
      </w:r>
      <w:r>
        <w:rPr>
          <w:rFonts w:ascii="MEBOED+TimesNewRoman" w:hAnsi="MEBOED+TimesNewRoman" w:cs="MEBOED+TimesNewRoman"/>
          <w:sz w:val="20"/>
          <w:szCs w:val="20"/>
        </w:rPr>
        <w:t xml:space="preserve">ante el período de estudio,  los meses con menor transaccionalidad fueron Febrero con el 7.8% y Junio con el 7.9%. A continuación se presenta la tabla y el gráfico con mayor información. </w:t>
      </w:r>
    </w:p>
    <w:p w:rsidR="00000000" w:rsidRDefault="002E4D13">
      <w:pPr>
        <w:pStyle w:val="CM26"/>
        <w:spacing w:after="342"/>
        <w:jc w:val="center"/>
        <w:rPr>
          <w:rFonts w:ascii="MECBPK+Arial,Bold" w:hAnsi="MECBPK+Arial,Bold" w:cs="MECBPK+Arial,Bold"/>
          <w:sz w:val="16"/>
          <w:szCs w:val="16"/>
        </w:rPr>
      </w:pPr>
      <w:r>
        <w:rPr>
          <w:rFonts w:ascii="MECBPK+Arial,Bold" w:hAnsi="MECBPK+Arial,Bold" w:cs="MECBPK+Arial,Bold"/>
          <w:b/>
          <w:bCs/>
          <w:sz w:val="16"/>
          <w:szCs w:val="16"/>
        </w:rPr>
        <w:t xml:space="preserve">GRÁFICO  7 </w:t>
      </w:r>
    </w:p>
    <w:p w:rsidR="00000000" w:rsidRDefault="002E4D13">
      <w:pPr>
        <w:pStyle w:val="CM31"/>
        <w:spacing w:after="455"/>
        <w:jc w:val="center"/>
        <w:rPr>
          <w:rFonts w:ascii="MECBBC+Arial" w:hAnsi="MECBBC+Arial" w:cs="MECBBC+Arial"/>
          <w:sz w:val="16"/>
          <w:szCs w:val="16"/>
        </w:rPr>
      </w:pPr>
      <w:r>
        <w:rPr>
          <w:rFonts w:ascii="MECBBC+Arial" w:hAnsi="MECBBC+Arial" w:cs="MECBBC+Arial"/>
          <w:sz w:val="16"/>
          <w:szCs w:val="16"/>
        </w:rPr>
        <w:lastRenderedPageBreak/>
        <w:t xml:space="preserve">la Red de Cajeros Automáticos </w:t>
      </w:r>
    </w:p>
    <w:p w:rsidR="00000000" w:rsidRDefault="002E4D13">
      <w:pPr>
        <w:pStyle w:val="CM4"/>
        <w:jc w:val="both"/>
        <w:rPr>
          <w:rFonts w:cs="MEBOFJ+TimesNewRoman,Bold"/>
          <w:sz w:val="20"/>
          <w:szCs w:val="20"/>
        </w:rPr>
      </w:pPr>
      <w:r>
        <w:rPr>
          <w:rFonts w:cs="MEBOFJ+TimesNewRoman,Bold"/>
          <w:b/>
          <w:bCs/>
          <w:sz w:val="20"/>
          <w:szCs w:val="20"/>
        </w:rPr>
        <w:t xml:space="preserve">2.11. Tipo de Cuenta </w:t>
      </w:r>
    </w:p>
    <w:p w:rsidR="00000000" w:rsidRDefault="002E4D13">
      <w:pPr>
        <w:pStyle w:val="CM28"/>
        <w:spacing w:after="162"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La </w:t>
      </w:r>
      <w:r>
        <w:rPr>
          <w:rFonts w:ascii="MEBOED+TimesNewRoman" w:hAnsi="MEBOED+TimesNewRoman" w:cs="MEBOED+TimesNewRoman"/>
          <w:sz w:val="20"/>
          <w:szCs w:val="20"/>
        </w:rPr>
        <w:t xml:space="preserve">variable cualitativa tipo de cuenta nos permitió analizar la transaccionalidad de la red de cajeros automáticos por los tipos de cuenta como ahorros, corriente y de crédito. En la gráfico 7 se puede observar que el 78% de la transaccionalidad es realizado </w:t>
      </w:r>
      <w:r>
        <w:rPr>
          <w:rFonts w:ascii="MEBOED+TimesNewRoman" w:hAnsi="MEBOED+TimesNewRoman" w:cs="MEBOED+TimesNewRoman"/>
          <w:sz w:val="20"/>
          <w:szCs w:val="20"/>
        </w:rPr>
        <w:t xml:space="preserve">con cuentas de ahorros, el 21% con cuentas corrientes y solamente 1% con cuentas de crédito. </w:t>
      </w:r>
    </w:p>
    <w:p w:rsidR="00000000" w:rsidRDefault="002E4D13">
      <w:pPr>
        <w:pStyle w:val="Default"/>
        <w:framePr w:w="7115" w:wrap="auto" w:vAnchor="page" w:hAnchor="page" w:x="1339" w:y="4264"/>
        <w:spacing w:after="160"/>
        <w:rPr>
          <w:rFonts w:ascii="MEBOED+TimesNewRoman" w:hAnsi="MEBOED+TimesNewRoman" w:cs="MEBOED+TimesNewRoman"/>
          <w:color w:val="auto"/>
          <w:sz w:val="20"/>
          <w:szCs w:val="20"/>
        </w:rPr>
      </w:pPr>
      <w:r>
        <w:rPr>
          <w:rFonts w:ascii="MEBOED+TimesNewRoman" w:hAnsi="MEBOED+TimesNewRoman" w:cs="MEBOED+TimesNewRoman"/>
          <w:noProof/>
          <w:color w:val="auto"/>
          <w:sz w:val="20"/>
          <w:szCs w:val="20"/>
        </w:rPr>
        <w:drawing>
          <wp:inline distT="0" distB="0" distL="0" distR="0">
            <wp:extent cx="2934335" cy="106426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934335" cy="1064260"/>
                    </a:xfrm>
                    <a:prstGeom prst="rect">
                      <a:avLst/>
                    </a:prstGeom>
                    <a:noFill/>
                    <a:ln w="9525">
                      <a:noFill/>
                      <a:miter lim="800000"/>
                      <a:headEnd/>
                      <a:tailEnd/>
                    </a:ln>
                  </pic:spPr>
                </pic:pic>
              </a:graphicData>
            </a:graphic>
          </wp:inline>
        </w:drawing>
      </w:r>
    </w:p>
    <w:p w:rsidR="00000000" w:rsidRDefault="002E4D13">
      <w:pPr>
        <w:pStyle w:val="CM5"/>
        <w:jc w:val="center"/>
        <w:rPr>
          <w:rFonts w:ascii="MECBPK+Arial,Bold" w:hAnsi="MECBPK+Arial,Bold" w:cs="MECBPK+Arial,Bold"/>
          <w:sz w:val="16"/>
          <w:szCs w:val="16"/>
        </w:rPr>
      </w:pPr>
      <w:r>
        <w:rPr>
          <w:rFonts w:ascii="MECBPK+Arial,Bold" w:hAnsi="MECBPK+Arial,Bold" w:cs="MECBPK+Arial,Bold"/>
          <w:b/>
          <w:bCs/>
          <w:sz w:val="16"/>
          <w:szCs w:val="16"/>
        </w:rPr>
        <w:t xml:space="preserve">TABLA VI FRECUENCIA RELATIVA DE LA VARIABLE TIPO DE TARJETA </w:t>
      </w:r>
    </w:p>
    <w:p w:rsidR="00000000" w:rsidRDefault="002E4D13">
      <w:pPr>
        <w:pStyle w:val="CM4"/>
        <w:jc w:val="both"/>
        <w:rPr>
          <w:rFonts w:cs="MEBOFJ+TimesNewRoman,Bold"/>
          <w:sz w:val="20"/>
          <w:szCs w:val="20"/>
        </w:rPr>
      </w:pPr>
      <w:r>
        <w:rPr>
          <w:rFonts w:cs="MEBOFJ+TimesNewRoman,Bold"/>
          <w:b/>
          <w:bCs/>
          <w:sz w:val="20"/>
          <w:szCs w:val="20"/>
        </w:rPr>
        <w:t xml:space="preserve">2.10. Tipo de Tarjeta </w:t>
      </w:r>
    </w:p>
    <w:p w:rsidR="00000000" w:rsidRDefault="002E4D13">
      <w:pPr>
        <w:pStyle w:val="CM4"/>
        <w:jc w:val="both"/>
        <w:rPr>
          <w:rFonts w:ascii="MEBOED+TimesNewRoman" w:hAnsi="MEBOED+TimesNewRoman" w:cs="MEBOED+TimesNewRoman"/>
          <w:sz w:val="20"/>
          <w:szCs w:val="20"/>
        </w:rPr>
      </w:pPr>
      <w:r>
        <w:rPr>
          <w:rFonts w:ascii="MEBOED+TimesNewRoman" w:hAnsi="MEBOED+TimesNewRoman" w:cs="MEBOED+TimesNewRoman"/>
          <w:sz w:val="20"/>
          <w:szCs w:val="20"/>
        </w:rPr>
        <w:t>La var</w:t>
      </w:r>
      <w:r>
        <w:rPr>
          <w:rFonts w:ascii="MEBOED+TimesNewRoman" w:hAnsi="MEBOED+TimesNewRoman" w:cs="MEBOED+TimesNewRoman"/>
          <w:sz w:val="20"/>
          <w:szCs w:val="20"/>
        </w:rPr>
        <w:t xml:space="preserve">iable cualitativa tipo de tarjeta nos permite conocer la transaccionalidad por los dos tipos de tarjeta que existen en el mercado transaccional débito y crédito, de acuerdo al análisis realizado el 99% de las transacciones realizadas a través de la red de </w:t>
      </w:r>
      <w:r>
        <w:rPr>
          <w:rFonts w:ascii="MEBOED+TimesNewRoman" w:hAnsi="MEBOED+TimesNewRoman" w:cs="MEBOED+TimesNewRoman"/>
          <w:sz w:val="20"/>
          <w:szCs w:val="20"/>
        </w:rPr>
        <w:t xml:space="preserve">cajeros automáticos son con tarjetas de débito y solamente el 1% con tarjetas de crédito. </w:t>
      </w:r>
    </w:p>
    <w:p w:rsidR="00000000" w:rsidRDefault="002E4D13">
      <w:pPr>
        <w:pStyle w:val="CM27"/>
        <w:spacing w:after="225" w:line="186" w:lineRule="atLeast"/>
        <w:ind w:left="1115" w:right="115"/>
        <w:jc w:val="both"/>
        <w:rPr>
          <w:rFonts w:ascii="MEBOED+TimesNewRoman" w:hAnsi="MEBOED+TimesNewRoman" w:cs="MEBOED+TimesNewRoman"/>
          <w:sz w:val="16"/>
          <w:szCs w:val="16"/>
        </w:rPr>
      </w:pPr>
      <w:r>
        <w:rPr>
          <w:rFonts w:cs="MEBOFJ+TimesNewRoman,Bold"/>
          <w:b/>
          <w:bCs/>
          <w:sz w:val="16"/>
          <w:szCs w:val="16"/>
        </w:rPr>
        <w:t xml:space="preserve">Fuente: </w:t>
      </w:r>
      <w:r>
        <w:rPr>
          <w:rFonts w:ascii="MEBOED+TimesNewRoman" w:hAnsi="MEBOED+TimesNewRoman" w:cs="MEBOED+TimesNewRoman"/>
          <w:sz w:val="16"/>
          <w:szCs w:val="16"/>
        </w:rPr>
        <w:t xml:space="preserve">Departamento de Soporte Especializado de la Red de Cajeros Automáticos </w:t>
      </w:r>
    </w:p>
    <w:p w:rsidR="00000000" w:rsidRDefault="002E4D13">
      <w:pPr>
        <w:pStyle w:val="CM27"/>
        <w:spacing w:after="225" w:line="186" w:lineRule="atLeast"/>
        <w:ind w:left="232" w:right="67"/>
        <w:rPr>
          <w:rFonts w:ascii="MECBPK+Arial,Bold" w:hAnsi="MECBPK+Arial,Bold" w:cs="MECBPK+Arial,Bold"/>
          <w:sz w:val="16"/>
          <w:szCs w:val="16"/>
        </w:rPr>
      </w:pPr>
      <w:r>
        <w:rPr>
          <w:rFonts w:ascii="MECBPK+Arial,Bold" w:hAnsi="MECBPK+Arial,Bold" w:cs="MECBPK+Arial,Bold"/>
          <w:b/>
          <w:bCs/>
          <w:sz w:val="16"/>
          <w:szCs w:val="16"/>
        </w:rPr>
        <w:t xml:space="preserve">GRÁFICO  10 COMPORTAMIENTO TRANSACCIONAL DIARIO </w:t>
      </w:r>
    </w:p>
    <w:p w:rsidR="00000000" w:rsidRDefault="002E4D13">
      <w:pPr>
        <w:pStyle w:val="CM28"/>
        <w:spacing w:after="162"/>
        <w:ind w:left="312"/>
        <w:jc w:val="both"/>
        <w:rPr>
          <w:rFonts w:ascii="MECBBC+Arial" w:hAnsi="MECBBC+Arial" w:cs="MECBBC+Arial"/>
          <w:sz w:val="8"/>
          <w:szCs w:val="8"/>
        </w:rPr>
      </w:pPr>
      <w:r>
        <w:rPr>
          <w:rFonts w:ascii="MECBBC+Arial" w:hAnsi="MECBBC+Arial" w:cs="MECBBC+Arial"/>
          <w:sz w:val="8"/>
          <w:szCs w:val="8"/>
        </w:rPr>
        <w:t xml:space="preserve">12,000 </w:t>
      </w:r>
    </w:p>
    <w:p w:rsidR="00000000" w:rsidRDefault="002E4D13">
      <w:pPr>
        <w:pStyle w:val="CM28"/>
        <w:spacing w:after="162"/>
        <w:ind w:left="312"/>
        <w:jc w:val="both"/>
        <w:rPr>
          <w:rFonts w:ascii="MECBBC+Arial" w:hAnsi="MECBBC+Arial" w:cs="MECBBC+Arial"/>
          <w:sz w:val="8"/>
          <w:szCs w:val="8"/>
        </w:rPr>
      </w:pPr>
      <w:r>
        <w:rPr>
          <w:rFonts w:ascii="MECBBC+Arial" w:hAnsi="MECBBC+Arial" w:cs="MECBBC+Arial"/>
          <w:sz w:val="8"/>
          <w:szCs w:val="8"/>
        </w:rPr>
        <w:t xml:space="preserve">10,000 </w:t>
      </w:r>
    </w:p>
    <w:p w:rsidR="00000000" w:rsidRDefault="002E4D13">
      <w:pPr>
        <w:pStyle w:val="CM28"/>
        <w:spacing w:after="162"/>
        <w:ind w:left="360"/>
        <w:jc w:val="both"/>
        <w:rPr>
          <w:rFonts w:ascii="MECBBC+Arial" w:hAnsi="MECBBC+Arial" w:cs="MECBBC+Arial"/>
          <w:sz w:val="8"/>
          <w:szCs w:val="8"/>
        </w:rPr>
      </w:pPr>
      <w:r>
        <w:rPr>
          <w:rFonts w:ascii="MECBBC+Arial" w:hAnsi="MECBBC+Arial" w:cs="MECBBC+Arial"/>
          <w:sz w:val="8"/>
          <w:szCs w:val="8"/>
        </w:rPr>
        <w:t xml:space="preserve">8,000 </w:t>
      </w:r>
    </w:p>
    <w:p w:rsidR="00000000" w:rsidRDefault="002E4D13">
      <w:pPr>
        <w:pStyle w:val="CM28"/>
        <w:spacing w:after="162"/>
        <w:ind w:left="360"/>
        <w:jc w:val="both"/>
        <w:rPr>
          <w:rFonts w:ascii="MECBBC+Arial" w:hAnsi="MECBBC+Arial" w:cs="MECBBC+Arial"/>
          <w:sz w:val="8"/>
          <w:szCs w:val="8"/>
        </w:rPr>
      </w:pPr>
      <w:r>
        <w:rPr>
          <w:rFonts w:ascii="MECBBC+Arial" w:hAnsi="MECBBC+Arial" w:cs="MECBBC+Arial"/>
          <w:sz w:val="8"/>
          <w:szCs w:val="8"/>
        </w:rPr>
        <w:t xml:space="preserve">6,000 </w:t>
      </w:r>
    </w:p>
    <w:p w:rsidR="00000000" w:rsidRDefault="002E4D13">
      <w:pPr>
        <w:pStyle w:val="CM28"/>
        <w:spacing w:after="162"/>
        <w:ind w:left="360"/>
        <w:jc w:val="both"/>
        <w:rPr>
          <w:rFonts w:ascii="MECBBC+Arial" w:hAnsi="MECBBC+Arial" w:cs="MECBBC+Arial"/>
          <w:sz w:val="8"/>
          <w:szCs w:val="8"/>
        </w:rPr>
      </w:pPr>
      <w:r>
        <w:rPr>
          <w:rFonts w:ascii="MECBBC+Arial" w:hAnsi="MECBBC+Arial" w:cs="MECBBC+Arial"/>
          <w:sz w:val="8"/>
          <w:szCs w:val="8"/>
        </w:rPr>
        <w:t xml:space="preserve">4,000 </w:t>
      </w:r>
    </w:p>
    <w:p w:rsidR="00000000" w:rsidRDefault="002E4D13">
      <w:pPr>
        <w:pStyle w:val="CM28"/>
        <w:spacing w:after="162"/>
        <w:ind w:left="360"/>
        <w:jc w:val="both"/>
        <w:rPr>
          <w:rFonts w:ascii="MECBBC+Arial" w:hAnsi="MECBBC+Arial" w:cs="MECBBC+Arial"/>
          <w:sz w:val="8"/>
          <w:szCs w:val="8"/>
        </w:rPr>
      </w:pPr>
      <w:r>
        <w:rPr>
          <w:rFonts w:ascii="MECBBC+Arial" w:hAnsi="MECBBC+Arial" w:cs="MECBBC+Arial"/>
          <w:sz w:val="8"/>
          <w:szCs w:val="8"/>
        </w:rPr>
        <w:t xml:space="preserve">2,000 </w:t>
      </w:r>
    </w:p>
    <w:p w:rsidR="00000000" w:rsidRDefault="002E4D13">
      <w:pPr>
        <w:pStyle w:val="CM28"/>
        <w:spacing w:after="162"/>
        <w:ind w:left="525"/>
        <w:jc w:val="both"/>
        <w:rPr>
          <w:rFonts w:ascii="MECBBC+Arial" w:hAnsi="MECBBC+Arial" w:cs="MECBBC+Arial"/>
          <w:sz w:val="8"/>
          <w:szCs w:val="8"/>
        </w:rPr>
      </w:pPr>
      <w:r>
        <w:rPr>
          <w:rFonts w:ascii="MECBBC+Arial" w:hAnsi="MECBBC+Arial" w:cs="MECBBC+Arial"/>
          <w:sz w:val="8"/>
          <w:szCs w:val="8"/>
        </w:rPr>
        <w:t xml:space="preserve">0 </w:t>
      </w:r>
    </w:p>
    <w:p w:rsidR="00000000" w:rsidRDefault="002E4D13">
      <w:pPr>
        <w:pStyle w:val="Default"/>
        <w:framePr w:w="4129" w:wrap="auto" w:vAnchor="page" w:hAnchor="page" w:x="6917" w:y="10238"/>
        <w:spacing w:after="200"/>
        <w:rPr>
          <w:rFonts w:ascii="MECBBC+Arial" w:hAnsi="MECBBC+Arial" w:cs="MECBBC+Arial"/>
          <w:color w:val="auto"/>
          <w:sz w:val="8"/>
          <w:szCs w:val="8"/>
        </w:rPr>
      </w:pPr>
      <w:r>
        <w:rPr>
          <w:rFonts w:ascii="MECBBC+Arial" w:hAnsi="MECBBC+Arial" w:cs="MECBBC+Arial"/>
          <w:noProof/>
          <w:color w:val="auto"/>
          <w:sz w:val="8"/>
          <w:szCs w:val="8"/>
        </w:rPr>
        <w:drawing>
          <wp:inline distT="0" distB="0" distL="0" distR="0">
            <wp:extent cx="2101850" cy="102362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101850" cy="1023620"/>
                    </a:xfrm>
                    <a:prstGeom prst="rect">
                      <a:avLst/>
                    </a:prstGeom>
                    <a:noFill/>
                    <a:ln w="9525">
                      <a:noFill/>
                      <a:miter lim="800000"/>
                      <a:headEnd/>
                      <a:tailEnd/>
                    </a:ln>
                  </pic:spPr>
                </pic:pic>
              </a:graphicData>
            </a:graphic>
          </wp:inline>
        </w:drawing>
      </w:r>
    </w:p>
    <w:p w:rsidR="00000000" w:rsidRDefault="002E4D13">
      <w:pPr>
        <w:pStyle w:val="CM26"/>
        <w:spacing w:after="342" w:line="186" w:lineRule="atLeast"/>
        <w:jc w:val="center"/>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Especializado de la Red de Cajeros Automáticos </w:t>
      </w:r>
    </w:p>
    <w:p w:rsidR="00000000" w:rsidRDefault="002E4D13">
      <w:pPr>
        <w:pStyle w:val="CM4"/>
        <w:jc w:val="both"/>
        <w:rPr>
          <w:rFonts w:cs="MEBOFJ+TimesNewRoman,Bold"/>
          <w:sz w:val="20"/>
          <w:szCs w:val="20"/>
        </w:rPr>
      </w:pPr>
      <w:r>
        <w:rPr>
          <w:rFonts w:cs="MEBOFJ+TimesNewRoman,Bold"/>
          <w:b/>
          <w:bCs/>
          <w:sz w:val="20"/>
          <w:szCs w:val="20"/>
        </w:rPr>
        <w:t xml:space="preserve">2.14. Hora de Transacción </w:t>
      </w:r>
    </w:p>
    <w:p w:rsidR="00000000" w:rsidRDefault="002E4D13">
      <w:pPr>
        <w:pStyle w:val="CM4"/>
        <w:jc w:val="both"/>
        <w:rPr>
          <w:rFonts w:ascii="MEBOED+TimesNewRoman" w:hAnsi="MEBOED+TimesNewRoman" w:cs="MEBOED+TimesNewRoman"/>
          <w:sz w:val="20"/>
          <w:szCs w:val="20"/>
        </w:rPr>
      </w:pPr>
      <w:r>
        <w:rPr>
          <w:rFonts w:ascii="MEBOED+TimesNewRoman" w:hAnsi="MEBOED+TimesNewRoman" w:cs="MEBOED+TimesNewRoman"/>
          <w:sz w:val="20"/>
          <w:szCs w:val="20"/>
        </w:rPr>
        <w:t>Esta variable nos permite analizar las horas má</w:t>
      </w:r>
      <w:r>
        <w:rPr>
          <w:rFonts w:ascii="MEBOED+TimesNewRoman" w:hAnsi="MEBOED+TimesNewRoman" w:cs="MEBOED+TimesNewRoman"/>
          <w:sz w:val="20"/>
          <w:szCs w:val="20"/>
        </w:rPr>
        <w:t>s transaccionales durante el período de estudio. La hora más transaccional fue a las 18:00 con un 9%, seguida con el 8% de las 19:00 y 15:00, el 7% de la transaccionalidad se la realizó a las 13:00, 12:00, 16:00 y 11:00; entre las horas menos transaccional</w:t>
      </w:r>
      <w:r>
        <w:rPr>
          <w:rFonts w:ascii="MEBOED+TimesNewRoman" w:hAnsi="MEBOED+TimesNewRoman" w:cs="MEBOED+TimesNewRoman"/>
          <w:sz w:val="20"/>
          <w:szCs w:val="20"/>
        </w:rPr>
        <w:t xml:space="preserve">es tenemos las 02:00, 05:00, </w:t>
      </w:r>
    </w:p>
    <w:p w:rsidR="00000000" w:rsidRDefault="002E4D13">
      <w:pPr>
        <w:pStyle w:val="CM4"/>
        <w:jc w:val="both"/>
        <w:rPr>
          <w:rFonts w:ascii="MEBOED+TimesNewRoman" w:hAnsi="MEBOED+TimesNewRoman" w:cs="MEBOED+TimesNewRoman"/>
          <w:sz w:val="20"/>
          <w:szCs w:val="20"/>
        </w:rPr>
      </w:pPr>
      <w:r>
        <w:rPr>
          <w:rFonts w:ascii="MEBOED+TimesNewRoman" w:hAnsi="MEBOED+TimesNewRoman" w:cs="MEBOED+TimesNewRoman"/>
          <w:sz w:val="20"/>
          <w:szCs w:val="20"/>
        </w:rPr>
        <w:t xml:space="preserve">03:00 y 04:00. </w:t>
      </w:r>
    </w:p>
    <w:p w:rsidR="00000000" w:rsidRDefault="002E4D13">
      <w:pPr>
        <w:pStyle w:val="CM18"/>
        <w:jc w:val="both"/>
        <w:rPr>
          <w:rFonts w:ascii="MECBBC+Arial" w:hAnsi="MECBBC+Arial" w:cs="MECBBC+Arial"/>
          <w:sz w:val="10"/>
          <w:szCs w:val="10"/>
        </w:rPr>
      </w:pPr>
      <w:r>
        <w:rPr>
          <w:rFonts w:ascii="MECBBC+Arial" w:hAnsi="MECBBC+Arial" w:cs="MECBBC+Arial"/>
          <w:sz w:val="10"/>
          <w:szCs w:val="10"/>
        </w:rPr>
        <w:t>Día 1Día 2Día 3</w:t>
      </w:r>
    </w:p>
    <w:p w:rsidR="00000000" w:rsidRDefault="002E4D13">
      <w:pPr>
        <w:pStyle w:val="CM18"/>
        <w:jc w:val="both"/>
        <w:rPr>
          <w:rFonts w:ascii="MECBBC+Arial" w:hAnsi="MECBBC+Arial" w:cs="MECBBC+Arial"/>
          <w:sz w:val="10"/>
          <w:szCs w:val="10"/>
        </w:rPr>
      </w:pPr>
      <w:r>
        <w:rPr>
          <w:rFonts w:ascii="MECBBC+Arial" w:hAnsi="MECBBC+Arial" w:cs="MECBBC+Arial"/>
          <w:sz w:val="10"/>
          <w:szCs w:val="10"/>
        </w:rPr>
        <w:lastRenderedPageBreak/>
        <w:t>Día 4Día 5Día 6</w:t>
      </w:r>
    </w:p>
    <w:p w:rsidR="00000000" w:rsidRDefault="002E4D13">
      <w:pPr>
        <w:pStyle w:val="CM7"/>
        <w:jc w:val="center"/>
        <w:rPr>
          <w:rFonts w:ascii="MECBBC+Arial" w:hAnsi="MECBBC+Arial" w:cs="MECBBC+Arial"/>
          <w:sz w:val="10"/>
          <w:szCs w:val="10"/>
        </w:rPr>
      </w:pPr>
      <w:r>
        <w:rPr>
          <w:rFonts w:ascii="MECBBC+Arial" w:hAnsi="MECBBC+Arial" w:cs="MECBBC+Arial"/>
          <w:sz w:val="10"/>
          <w:szCs w:val="10"/>
        </w:rPr>
        <w:t>Día 7Día 8</w:t>
      </w:r>
    </w:p>
    <w:p w:rsidR="00000000" w:rsidRDefault="002E4D13">
      <w:pPr>
        <w:pStyle w:val="Default"/>
        <w:spacing w:line="128" w:lineRule="atLeast"/>
        <w:jc w:val="both"/>
        <w:rPr>
          <w:rFonts w:ascii="MECBBC+Arial" w:hAnsi="MECBBC+Arial" w:cs="MECBBC+Arial"/>
          <w:color w:val="auto"/>
          <w:sz w:val="10"/>
          <w:szCs w:val="10"/>
        </w:rPr>
      </w:pPr>
      <w:r>
        <w:rPr>
          <w:rFonts w:ascii="MECBBC+Arial" w:hAnsi="MECBBC+Arial" w:cs="MECBBC+Arial"/>
          <w:color w:val="auto"/>
          <w:sz w:val="10"/>
          <w:szCs w:val="10"/>
        </w:rPr>
        <w:t>Día 9Día 10Día 11</w:t>
      </w:r>
    </w:p>
    <w:p w:rsidR="00000000" w:rsidRDefault="002E4D13">
      <w:pPr>
        <w:pStyle w:val="CM18"/>
        <w:jc w:val="both"/>
        <w:rPr>
          <w:rFonts w:ascii="MECBBC+Arial" w:hAnsi="MECBBC+Arial" w:cs="MECBBC+Arial"/>
          <w:sz w:val="10"/>
          <w:szCs w:val="10"/>
        </w:rPr>
      </w:pPr>
      <w:r>
        <w:rPr>
          <w:rFonts w:ascii="MECBBC+Arial" w:hAnsi="MECBBC+Arial" w:cs="MECBBC+Arial"/>
          <w:sz w:val="10"/>
          <w:szCs w:val="10"/>
        </w:rPr>
        <w:t>Día 14Día 15Día 16</w:t>
      </w:r>
    </w:p>
    <w:p w:rsidR="00000000" w:rsidRDefault="002E4D13">
      <w:pPr>
        <w:pStyle w:val="CM7"/>
        <w:jc w:val="center"/>
        <w:rPr>
          <w:rFonts w:ascii="MECBBC+Arial" w:hAnsi="MECBBC+Arial" w:cs="MECBBC+Arial"/>
          <w:sz w:val="10"/>
          <w:szCs w:val="10"/>
        </w:rPr>
      </w:pPr>
      <w:r>
        <w:rPr>
          <w:rFonts w:ascii="MECBBC+Arial" w:hAnsi="MECBBC+Arial" w:cs="MECBBC+Arial"/>
          <w:sz w:val="10"/>
          <w:szCs w:val="10"/>
        </w:rPr>
        <w:t>Día 17Día 18</w:t>
      </w:r>
    </w:p>
    <w:p w:rsidR="00000000" w:rsidRDefault="002E4D13">
      <w:pPr>
        <w:pStyle w:val="CM18"/>
        <w:jc w:val="both"/>
        <w:rPr>
          <w:rFonts w:ascii="MECBBC+Arial" w:hAnsi="MECBBC+Arial" w:cs="MECBBC+Arial"/>
          <w:sz w:val="10"/>
          <w:szCs w:val="10"/>
        </w:rPr>
      </w:pPr>
      <w:r>
        <w:rPr>
          <w:rFonts w:ascii="MECBBC+Arial" w:hAnsi="MECBBC+Arial" w:cs="MECBBC+Arial"/>
          <w:sz w:val="10"/>
          <w:szCs w:val="10"/>
        </w:rPr>
        <w:t>Día 19Día 20Día 21</w:t>
      </w:r>
    </w:p>
    <w:p w:rsidR="00000000" w:rsidRDefault="002E4D13">
      <w:pPr>
        <w:pStyle w:val="CM7"/>
        <w:jc w:val="center"/>
        <w:rPr>
          <w:rFonts w:ascii="MECBBC+Arial" w:hAnsi="MECBBC+Arial" w:cs="MECBBC+Arial"/>
          <w:sz w:val="10"/>
          <w:szCs w:val="10"/>
        </w:rPr>
      </w:pPr>
      <w:r>
        <w:rPr>
          <w:rFonts w:ascii="MECBBC+Arial" w:hAnsi="MECBBC+Arial" w:cs="MECBBC+Arial"/>
          <w:sz w:val="10"/>
          <w:szCs w:val="10"/>
        </w:rPr>
        <w:t>Día 22Día 23</w:t>
      </w:r>
    </w:p>
    <w:p w:rsidR="00000000" w:rsidRDefault="002E4D13">
      <w:pPr>
        <w:pStyle w:val="Default"/>
        <w:spacing w:line="128" w:lineRule="atLeast"/>
        <w:ind w:left="7775" w:right="390"/>
        <w:jc w:val="both"/>
        <w:rPr>
          <w:rFonts w:ascii="MECBBC+Arial" w:hAnsi="MECBBC+Arial" w:cs="MECBBC+Arial"/>
          <w:color w:val="auto"/>
          <w:sz w:val="10"/>
          <w:szCs w:val="10"/>
        </w:rPr>
      </w:pPr>
      <w:r>
        <w:rPr>
          <w:rFonts w:ascii="MECBBC+Arial" w:hAnsi="MECBBC+Arial" w:cs="MECBBC+Arial"/>
          <w:color w:val="auto"/>
          <w:sz w:val="10"/>
          <w:szCs w:val="10"/>
        </w:rPr>
        <w:t>Día 24Día 25Día 26</w:t>
      </w:r>
    </w:p>
    <w:p w:rsidR="00000000" w:rsidRDefault="002E4D13">
      <w:pPr>
        <w:pStyle w:val="Default"/>
        <w:spacing w:line="123" w:lineRule="atLeast"/>
        <w:ind w:left="8165"/>
        <w:jc w:val="both"/>
        <w:rPr>
          <w:rFonts w:ascii="MECBBC+Arial" w:hAnsi="MECBBC+Arial" w:cs="MECBBC+Arial"/>
          <w:color w:val="auto"/>
          <w:sz w:val="10"/>
          <w:szCs w:val="10"/>
        </w:rPr>
      </w:pPr>
      <w:r>
        <w:rPr>
          <w:rFonts w:ascii="MECBBC+Arial" w:hAnsi="MECBBC+Arial" w:cs="MECBBC+Arial"/>
          <w:color w:val="auto"/>
          <w:sz w:val="10"/>
          <w:szCs w:val="10"/>
        </w:rPr>
        <w:t>Día 27Día 28Día 29</w:t>
      </w:r>
    </w:p>
    <w:p w:rsidR="00000000" w:rsidRDefault="002E4D13">
      <w:pPr>
        <w:pStyle w:val="CM28"/>
        <w:spacing w:after="162"/>
        <w:jc w:val="center"/>
        <w:rPr>
          <w:rFonts w:ascii="MEBOED+TimesNewRoman" w:hAnsi="MEBOED+TimesNewRoman" w:cs="MEBOED+TimesNewRoman"/>
          <w:sz w:val="20"/>
          <w:szCs w:val="20"/>
        </w:rPr>
      </w:pPr>
      <w:r>
        <w:rPr>
          <w:rFonts w:ascii="MEBOED+TimesNewRoman" w:hAnsi="MEBOED+TimesNewRoman" w:cs="MEBOED+TimesNewRoman"/>
          <w:sz w:val="20"/>
          <w:szCs w:val="20"/>
        </w:rPr>
        <w:t>cajeros automáticos, a continuació</w:t>
      </w:r>
      <w:r>
        <w:rPr>
          <w:rFonts w:ascii="MEBOED+TimesNewRoman" w:hAnsi="MEBOED+TimesNewRoman" w:cs="MEBOED+TimesNewRoman"/>
          <w:sz w:val="20"/>
          <w:szCs w:val="20"/>
        </w:rPr>
        <w:t xml:space="preserve">n se presenta </w:t>
      </w:r>
    </w:p>
    <w:p w:rsidR="00000000" w:rsidRDefault="002E4D13">
      <w:pPr>
        <w:pStyle w:val="Default"/>
        <w:rPr>
          <w:rFonts w:cstheme="minorBidi"/>
          <w:color w:val="auto"/>
        </w:rPr>
      </w:pPr>
      <w:r>
        <w:rPr>
          <w:noProof/>
        </w:rPr>
        <w:lastRenderedPageBreak/>
        <w:pict>
          <v:shape id="_x0000_s1028" type="#_x0000_t202" style="position:absolute;margin-left:305.35pt;margin-top:291.8pt;width:242.75pt;height:54.9pt;z-index:25166028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80"/>
                    <w:gridCol w:w="170"/>
                    <w:gridCol w:w="940"/>
                    <w:gridCol w:w="445"/>
                    <w:gridCol w:w="72"/>
                    <w:gridCol w:w="875"/>
                    <w:gridCol w:w="338"/>
                    <w:gridCol w:w="792"/>
                    <w:gridCol w:w="358"/>
                    <w:gridCol w:w="1095"/>
                    <w:gridCol w:w="3975"/>
                  </w:tblGrid>
                  <w:tr w:rsidR="00000000">
                    <w:tblPrEx>
                      <w:tblCellMar>
                        <w:top w:w="0" w:type="dxa"/>
                        <w:bottom w:w="0" w:type="dxa"/>
                      </w:tblCellMar>
                    </w:tblPrEx>
                    <w:trPr>
                      <w:gridAfter w:val="2"/>
                      <w:wAfter w:w="2527" w:type="dxa"/>
                      <w:trHeight w:val="111"/>
                    </w:trPr>
                    <w:tc>
                      <w:tcPr>
                        <w:tcW w:w="350" w:type="dxa"/>
                        <w:gridSpan w:val="2"/>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el</w:t>
                        </w:r>
                      </w:p>
                    </w:tc>
                    <w:tc>
                      <w:tcPr>
                        <w:tcW w:w="1457" w:type="dxa"/>
                        <w:gridSpan w:val="3"/>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 comportamiento</w:t>
                        </w:r>
                      </w:p>
                    </w:tc>
                    <w:tc>
                      <w:tcPr>
                        <w:tcW w:w="875" w:type="dxa"/>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 de todo</w:t>
                        </w:r>
                      </w:p>
                    </w:tc>
                    <w:tc>
                      <w:tcPr>
                        <w:tcW w:w="302" w:type="dxa"/>
                      </w:tcPr>
                      <w:p w:rsidR="00000000" w:rsidRDefault="002E4D13">
                        <w:pPr>
                          <w:pStyle w:val="Default"/>
                          <w:jc w:val="center"/>
                          <w:rPr>
                            <w:rFonts w:ascii="MEBOED+TimesNewRoman" w:hAnsi="MEBOED+TimesNewRoman" w:cs="MEBOED+TimesNewRoman"/>
                            <w:sz w:val="20"/>
                            <w:szCs w:val="20"/>
                          </w:rPr>
                        </w:pPr>
                        <w:r>
                          <w:rPr>
                            <w:rFonts w:ascii="MEBOED+TimesNewRoman" w:hAnsi="MEBOED+TimesNewRoman" w:cs="MEBOED+TimesNewRoman"/>
                            <w:sz w:val="20"/>
                            <w:szCs w:val="20"/>
                          </w:rPr>
                          <w:t xml:space="preserve"> el</w:t>
                        </w:r>
                      </w:p>
                    </w:tc>
                    <w:tc>
                      <w:tcPr>
                        <w:tcW w:w="770" w:type="dxa"/>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 período</w:t>
                        </w:r>
                      </w:p>
                    </w:tc>
                    <w:tc>
                      <w:tcPr>
                        <w:tcW w:w="267" w:type="dxa"/>
                      </w:tcPr>
                      <w:p w:rsidR="00000000" w:rsidRDefault="002E4D13">
                        <w:pPr>
                          <w:pStyle w:val="Default"/>
                          <w:jc w:val="right"/>
                          <w:rPr>
                            <w:rFonts w:ascii="MEBOED+TimesNewRoman" w:hAnsi="MEBOED+TimesNewRoman" w:cs="MEBOED+TimesNewRoman"/>
                            <w:sz w:val="20"/>
                            <w:szCs w:val="20"/>
                          </w:rPr>
                        </w:pPr>
                        <w:r>
                          <w:rPr>
                            <w:rFonts w:ascii="MEBOED+TimesNewRoman" w:hAnsi="MEBOED+TimesNewRoman" w:cs="MEBOED+TimesNewRoman"/>
                            <w:sz w:val="20"/>
                            <w:szCs w:val="20"/>
                          </w:rPr>
                          <w:t xml:space="preserve"> de </w:t>
                        </w:r>
                      </w:p>
                    </w:tc>
                  </w:tr>
                  <w:tr w:rsidR="00000000">
                    <w:tblPrEx>
                      <w:tblCellMar>
                        <w:top w:w="0" w:type="dxa"/>
                        <w:bottom w:w="0" w:type="dxa"/>
                      </w:tblCellMar>
                    </w:tblPrEx>
                    <w:trPr>
                      <w:gridAfter w:val="2"/>
                      <w:wAfter w:w="2527" w:type="dxa"/>
                      <w:trHeight w:val="150"/>
                    </w:trPr>
                    <w:tc>
                      <w:tcPr>
                        <w:tcW w:w="1807" w:type="dxa"/>
                        <w:gridSpan w:val="5"/>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estudio. </w:t>
                        </w:r>
                      </w:p>
                    </w:tc>
                    <w:tc>
                      <w:tcPr>
                        <w:tcW w:w="1177" w:type="dxa"/>
                        <w:gridSpan w:val="2"/>
                      </w:tcPr>
                      <w:p w:rsidR="00000000" w:rsidRDefault="002E4D13">
                        <w:pPr>
                          <w:pStyle w:val="Default"/>
                          <w:rPr>
                            <w:rFonts w:cstheme="minorBidi"/>
                            <w:color w:val="auto"/>
                          </w:rPr>
                        </w:pPr>
                      </w:p>
                    </w:tc>
                    <w:tc>
                      <w:tcPr>
                        <w:tcW w:w="770" w:type="dxa"/>
                      </w:tcPr>
                      <w:p w:rsidR="00000000" w:rsidRDefault="002E4D13">
                        <w:pPr>
                          <w:pStyle w:val="Default"/>
                          <w:rPr>
                            <w:rFonts w:cstheme="minorBidi"/>
                            <w:color w:val="auto"/>
                          </w:rPr>
                        </w:pPr>
                      </w:p>
                    </w:tc>
                    <w:tc>
                      <w:tcPr>
                        <w:tcW w:w="267" w:type="dxa"/>
                      </w:tcPr>
                      <w:p w:rsidR="00000000" w:rsidRDefault="002E4D13">
                        <w:pPr>
                          <w:pStyle w:val="Default"/>
                          <w:jc w:val="center"/>
                          <w:rPr>
                            <w:rFonts w:cstheme="minorBidi"/>
                            <w:color w:val="auto"/>
                          </w:rPr>
                        </w:pPr>
                      </w:p>
                    </w:tc>
                  </w:tr>
                  <w:tr w:rsidR="00000000">
                    <w:tblPrEx>
                      <w:tblCellMar>
                        <w:top w:w="0" w:type="dxa"/>
                        <w:bottom w:w="0" w:type="dxa"/>
                      </w:tblCellMar>
                    </w:tblPrEx>
                    <w:trPr>
                      <w:gridAfter w:val="2"/>
                      <w:wAfter w:w="2527" w:type="dxa"/>
                      <w:trHeight w:val="143"/>
                    </w:trPr>
                    <w:tc>
                      <w:tcPr>
                        <w:tcW w:w="1807" w:type="dxa"/>
                        <w:gridSpan w:val="5"/>
                      </w:tcPr>
                      <w:p w:rsidR="00000000" w:rsidRDefault="002E4D13">
                        <w:pPr>
                          <w:pStyle w:val="Default"/>
                          <w:rPr>
                            <w:rFonts w:cstheme="minorBidi"/>
                            <w:color w:val="auto"/>
                          </w:rPr>
                        </w:pPr>
                      </w:p>
                    </w:tc>
                    <w:tc>
                      <w:tcPr>
                        <w:tcW w:w="1177" w:type="dxa"/>
                        <w:gridSpan w:val="2"/>
                        <w:vAlign w:val="bottom"/>
                      </w:tcPr>
                      <w:p w:rsidR="00000000" w:rsidRDefault="002E4D13">
                        <w:pPr>
                          <w:pStyle w:val="Default"/>
                          <w:rPr>
                            <w:rFonts w:ascii="MECBPK+Arial,Bold" w:hAnsi="MECBPK+Arial,Bold" w:cs="MECBPK+Arial,Bold"/>
                            <w:sz w:val="16"/>
                            <w:szCs w:val="16"/>
                          </w:rPr>
                        </w:pPr>
                        <w:r>
                          <w:rPr>
                            <w:rFonts w:ascii="MECBPK+Arial,Bold" w:hAnsi="MECBPK+Arial,Bold" w:cs="MECBPK+Arial,Bold"/>
                            <w:b/>
                            <w:bCs/>
                            <w:sz w:val="16"/>
                            <w:szCs w:val="16"/>
                          </w:rPr>
                          <w:t xml:space="preserve">GRÁFICO  9 </w:t>
                        </w:r>
                      </w:p>
                    </w:tc>
                    <w:tc>
                      <w:tcPr>
                        <w:tcW w:w="770" w:type="dxa"/>
                      </w:tcPr>
                      <w:p w:rsidR="00000000" w:rsidRDefault="002E4D13">
                        <w:pPr>
                          <w:pStyle w:val="Default"/>
                          <w:rPr>
                            <w:rFonts w:cstheme="minorBidi"/>
                            <w:color w:val="auto"/>
                          </w:rPr>
                        </w:pPr>
                      </w:p>
                    </w:tc>
                    <w:tc>
                      <w:tcPr>
                        <w:tcW w:w="267" w:type="dxa"/>
                      </w:tcPr>
                      <w:p w:rsidR="00000000" w:rsidRDefault="002E4D13">
                        <w:pPr>
                          <w:pStyle w:val="Default"/>
                          <w:jc w:val="center"/>
                          <w:rPr>
                            <w:rFonts w:cstheme="minorBidi"/>
                            <w:color w:val="auto"/>
                          </w:rPr>
                        </w:pPr>
                      </w:p>
                    </w:tc>
                  </w:tr>
                </w:tbl>
              </w:txbxContent>
            </v:textbox>
            <w10:wrap type="through" anchorx="page" anchory="page"/>
          </v:shape>
        </w:pict>
      </w:r>
    </w:p>
    <w:p w:rsidR="00000000" w:rsidRDefault="002E4D13">
      <w:pPr>
        <w:pStyle w:val="CM10"/>
        <w:jc w:val="both"/>
        <w:rPr>
          <w:rFonts w:cs="MEBOFJ+TimesNewRoman,Bold"/>
          <w:sz w:val="16"/>
          <w:szCs w:val="16"/>
        </w:rPr>
      </w:pPr>
      <w:r>
        <w:rPr>
          <w:rFonts w:cs="MEBOFJ+TimesNewRoman,Bold"/>
          <w:b/>
          <w:bCs/>
          <w:sz w:val="16"/>
          <w:szCs w:val="16"/>
        </w:rPr>
        <w:t xml:space="preserve">TRANSACCIONALIDAD POR DÍAS DEL MES </w:t>
      </w:r>
    </w:p>
    <w:p w:rsidR="00000000" w:rsidRDefault="002E4D13">
      <w:pPr>
        <w:pStyle w:val="CM28"/>
        <w:spacing w:after="162" w:line="231" w:lineRule="atLeast"/>
        <w:jc w:val="both"/>
        <w:rPr>
          <w:rFonts w:ascii="MECBBC+Arial" w:hAnsi="MECBBC+Arial" w:cs="MECBBC+Arial"/>
          <w:sz w:val="10"/>
          <w:szCs w:val="10"/>
        </w:rPr>
      </w:pPr>
      <w:r>
        <w:rPr>
          <w:rFonts w:ascii="MECBBC+Arial" w:hAnsi="MECBBC+Arial" w:cs="MECBBC+Arial"/>
          <w:sz w:val="10"/>
          <w:szCs w:val="10"/>
        </w:rPr>
        <w:t xml:space="preserve">6.00% 5.00% 4.00% 3.00% 2.00% 1.00% 0.00% </w:t>
      </w:r>
    </w:p>
    <w:p w:rsidR="00000000" w:rsidRDefault="002E4D13">
      <w:pPr>
        <w:pStyle w:val="Default"/>
        <w:spacing w:line="133" w:lineRule="atLeast"/>
        <w:jc w:val="center"/>
        <w:rPr>
          <w:rFonts w:ascii="MECBBC+Arial" w:hAnsi="MECBBC+Arial" w:cs="MECBBC+Arial"/>
          <w:color w:val="auto"/>
          <w:sz w:val="10"/>
          <w:szCs w:val="10"/>
        </w:rPr>
      </w:pPr>
      <w:r>
        <w:rPr>
          <w:rFonts w:ascii="MECBBC+Arial" w:hAnsi="MECBBC+Arial" w:cs="MECBBC+Arial"/>
          <w:color w:val="auto"/>
          <w:sz w:val="10"/>
          <w:szCs w:val="10"/>
        </w:rPr>
        <w:t>Día 12Día 13</w:t>
      </w:r>
    </w:p>
    <w:p w:rsidR="00000000" w:rsidRDefault="002E4D13">
      <w:pPr>
        <w:pStyle w:val="Default"/>
        <w:framePr w:w="4787" w:wrap="auto" w:vAnchor="page" w:hAnchor="page" w:x="6519" w:y="7329"/>
        <w:spacing w:after="160"/>
        <w:rPr>
          <w:rFonts w:ascii="MECBBC+Arial" w:hAnsi="MECBBC+Arial" w:cs="MECBBC+Arial"/>
          <w:color w:val="auto"/>
          <w:sz w:val="10"/>
          <w:szCs w:val="10"/>
        </w:rPr>
      </w:pPr>
      <w:r>
        <w:rPr>
          <w:rFonts w:ascii="MECBBC+Arial" w:hAnsi="MECBBC+Arial" w:cs="MECBBC+Arial"/>
          <w:noProof/>
          <w:color w:val="auto"/>
          <w:sz w:val="10"/>
          <w:szCs w:val="10"/>
        </w:rPr>
        <w:drawing>
          <wp:inline distT="0" distB="0" distL="0" distR="0">
            <wp:extent cx="2511425" cy="1064260"/>
            <wp:effectExtent l="1905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511425" cy="1064260"/>
                    </a:xfrm>
                    <a:prstGeom prst="rect">
                      <a:avLst/>
                    </a:prstGeom>
                    <a:noFill/>
                    <a:ln w="9525">
                      <a:noFill/>
                      <a:miter lim="800000"/>
                      <a:headEnd/>
                      <a:tailEnd/>
                    </a:ln>
                  </pic:spPr>
                </pic:pic>
              </a:graphicData>
            </a:graphic>
          </wp:inline>
        </w:drawing>
      </w:r>
    </w:p>
    <w:p w:rsidR="00000000" w:rsidRDefault="002E4D13">
      <w:pPr>
        <w:pStyle w:val="CM26"/>
        <w:spacing w:after="342" w:line="186" w:lineRule="atLeast"/>
        <w:ind w:left="817" w:right="92"/>
        <w:jc w:val="both"/>
        <w:rPr>
          <w:rFonts w:ascii="MECBBC+Arial" w:hAnsi="MECBBC+Arial" w:cs="MECBBC+Arial"/>
          <w:sz w:val="16"/>
          <w:szCs w:val="16"/>
        </w:rPr>
      </w:pPr>
      <w:r>
        <w:rPr>
          <w:rFonts w:ascii="MECBPK+Arial,Bold" w:hAnsi="MECBPK+Arial,Bold" w:cs="MECBPK+Arial,Bold"/>
          <w:b/>
          <w:bCs/>
          <w:sz w:val="16"/>
          <w:szCs w:val="16"/>
        </w:rPr>
        <w:t xml:space="preserve"> Fuente:</w:t>
      </w:r>
      <w:r>
        <w:rPr>
          <w:rFonts w:ascii="MECBBC+Arial" w:hAnsi="MECBBC+Arial" w:cs="MECBBC+Arial"/>
          <w:sz w:val="16"/>
          <w:szCs w:val="16"/>
        </w:rPr>
        <w:t xml:space="preserve"> Departamento de Soporte Especializado de la Red de Cajeros Automáticos </w:t>
      </w:r>
    </w:p>
    <w:p w:rsidR="00000000" w:rsidRDefault="002E4D13">
      <w:pPr>
        <w:pStyle w:val="CM4"/>
        <w:jc w:val="both"/>
        <w:rPr>
          <w:rFonts w:cs="MEBOFJ+TimesNewRoman,Bold"/>
          <w:sz w:val="20"/>
          <w:szCs w:val="20"/>
        </w:rPr>
      </w:pPr>
      <w:r>
        <w:rPr>
          <w:rFonts w:cs="MEBOFJ+TimesNewRoman,Bold"/>
          <w:b/>
          <w:bCs/>
          <w:sz w:val="20"/>
          <w:szCs w:val="20"/>
        </w:rPr>
        <w:t xml:space="preserve">2.13. Día de Transacción </w:t>
      </w:r>
    </w:p>
    <w:p w:rsidR="00000000" w:rsidRDefault="002E4D13">
      <w:pPr>
        <w:pStyle w:val="CM4"/>
        <w:jc w:val="both"/>
        <w:rPr>
          <w:rFonts w:ascii="MEBOED+TimesNewRoman" w:hAnsi="MEBOED+TimesNewRoman" w:cs="MEBOED+TimesNewRoman"/>
          <w:sz w:val="20"/>
          <w:szCs w:val="20"/>
        </w:rPr>
      </w:pPr>
      <w:r>
        <w:rPr>
          <w:rFonts w:ascii="MEBOED+TimesNewRoman" w:hAnsi="MEBOED+TimesNewRoman" w:cs="MEBOED+TimesNewRoman"/>
          <w:sz w:val="20"/>
          <w:szCs w:val="20"/>
        </w:rPr>
        <w:t>Se presenta la variable día de transacció</w:t>
      </w:r>
      <w:r>
        <w:rPr>
          <w:rFonts w:ascii="MEBOED+TimesNewRoman" w:hAnsi="MEBOED+TimesNewRoman" w:cs="MEBOED+TimesNewRoman"/>
          <w:sz w:val="20"/>
          <w:szCs w:val="20"/>
        </w:rPr>
        <w:t xml:space="preserve">n con la cual se puede analizar el comportamiento diario de las transacciones realizadas en la red de </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Enero</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Febrero</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Marzo</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Abril</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Mayo</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Junio</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Julio</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Agosto</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Septiembre</w:t>
      </w:r>
    </w:p>
    <w:p w:rsidR="00000000" w:rsidRDefault="002E4D13">
      <w:pPr>
        <w:pStyle w:val="CM27"/>
        <w:spacing w:after="225"/>
        <w:jc w:val="center"/>
        <w:rPr>
          <w:rFonts w:ascii="MECBBC+Arial" w:hAnsi="MECBBC+Arial" w:cs="MECBBC+Arial"/>
          <w:sz w:val="10"/>
          <w:szCs w:val="10"/>
        </w:rPr>
      </w:pPr>
      <w:r>
        <w:rPr>
          <w:rFonts w:ascii="MECBBC+Arial" w:hAnsi="MECBBC+Arial" w:cs="MECBBC+Arial"/>
          <w:sz w:val="10"/>
          <w:szCs w:val="10"/>
        </w:rPr>
        <w:t>Octubre</w:t>
      </w:r>
    </w:p>
    <w:p w:rsidR="00000000" w:rsidRDefault="002E4D13">
      <w:pPr>
        <w:pStyle w:val="CM6"/>
        <w:jc w:val="center"/>
        <w:rPr>
          <w:rFonts w:ascii="MECBBC+Arial" w:hAnsi="MECBBC+Arial" w:cs="MECBBC+Arial"/>
          <w:sz w:val="10"/>
          <w:szCs w:val="10"/>
        </w:rPr>
      </w:pPr>
      <w:r>
        <w:rPr>
          <w:rFonts w:ascii="MECBBC+Arial" w:hAnsi="MECBBC+Arial" w:cs="MECBBC+Arial"/>
          <w:sz w:val="10"/>
          <w:szCs w:val="10"/>
        </w:rPr>
        <w:t>Noviembre</w:t>
      </w:r>
    </w:p>
    <w:p w:rsidR="00000000" w:rsidRDefault="002E4D13">
      <w:pPr>
        <w:pStyle w:val="Default"/>
        <w:spacing w:line="123" w:lineRule="atLeast"/>
        <w:ind w:right="5122"/>
        <w:jc w:val="both"/>
        <w:rPr>
          <w:rFonts w:ascii="MECBBC+Arial" w:hAnsi="MECBBC+Arial" w:cs="MECBBC+Arial"/>
          <w:color w:val="auto"/>
          <w:sz w:val="10"/>
          <w:szCs w:val="10"/>
        </w:rPr>
      </w:pPr>
      <w:r>
        <w:rPr>
          <w:rFonts w:ascii="MECBBC+Arial" w:hAnsi="MECBBC+Arial" w:cs="MECBBC+Arial"/>
          <w:color w:val="auto"/>
          <w:sz w:val="10"/>
          <w:szCs w:val="10"/>
        </w:rPr>
        <w:t xml:space="preserve">Día 30Día </w:t>
      </w:r>
      <w:r>
        <w:rPr>
          <w:rFonts w:ascii="MECBBC+Arial" w:hAnsi="MECBBC+Arial" w:cs="MECBBC+Arial"/>
          <w:color w:val="auto"/>
          <w:sz w:val="10"/>
          <w:szCs w:val="10"/>
        </w:rPr>
        <w:lastRenderedPageBreak/>
        <w:t xml:space="preserve">31 </w:t>
      </w:r>
    </w:p>
    <w:p w:rsidR="00000000" w:rsidRDefault="002E4D13">
      <w:pPr>
        <w:pStyle w:val="CM28"/>
        <w:spacing w:after="162"/>
        <w:ind w:left="4975"/>
        <w:jc w:val="both"/>
        <w:rPr>
          <w:rFonts w:ascii="MECBBC+Arial" w:hAnsi="MECBBC+Arial" w:cs="MECBBC+Arial"/>
          <w:sz w:val="10"/>
          <w:szCs w:val="10"/>
        </w:rPr>
      </w:pPr>
      <w:r>
        <w:rPr>
          <w:rFonts w:ascii="MECBBC+Arial" w:hAnsi="MECBBC+Arial" w:cs="MECBBC+Arial"/>
          <w:sz w:val="10"/>
          <w:szCs w:val="10"/>
        </w:rPr>
        <w:t xml:space="preserve">Diciembre </w:t>
      </w:r>
    </w:p>
    <w:p w:rsidR="00000000" w:rsidRDefault="002E4D13">
      <w:pPr>
        <w:pStyle w:val="Default"/>
        <w:framePr w:w="4697" w:wrap="auto" w:vAnchor="page" w:hAnchor="page" w:x="6768" w:y="2099"/>
        <w:spacing w:after="160"/>
        <w:rPr>
          <w:rFonts w:ascii="MECBBC+Arial" w:hAnsi="MECBBC+Arial" w:cs="MECBBC+Arial"/>
          <w:color w:val="auto"/>
          <w:sz w:val="10"/>
          <w:szCs w:val="10"/>
        </w:rPr>
      </w:pPr>
      <w:r>
        <w:rPr>
          <w:rFonts w:ascii="MECBBC+Arial" w:hAnsi="MECBBC+Arial" w:cs="MECBBC+Arial"/>
          <w:noProof/>
          <w:color w:val="auto"/>
          <w:sz w:val="10"/>
          <w:szCs w:val="10"/>
        </w:rPr>
        <w:drawing>
          <wp:inline distT="0" distB="0" distL="0" distR="0">
            <wp:extent cx="2456815" cy="927735"/>
            <wp:effectExtent l="1905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456815" cy="927735"/>
                    </a:xfrm>
                    <a:prstGeom prst="rect">
                      <a:avLst/>
                    </a:prstGeom>
                    <a:noFill/>
                    <a:ln w="9525">
                      <a:noFill/>
                      <a:miter lim="800000"/>
                      <a:headEnd/>
                      <a:tailEnd/>
                    </a:ln>
                  </pic:spPr>
                </pic:pic>
              </a:graphicData>
            </a:graphic>
          </wp:inline>
        </w:drawing>
      </w:r>
    </w:p>
    <w:p w:rsidR="00000000" w:rsidRDefault="002E4D13">
      <w:pPr>
        <w:pStyle w:val="Default"/>
        <w:spacing w:line="183" w:lineRule="atLeast"/>
        <w:ind w:left="970" w:right="565"/>
        <w:rPr>
          <w:rFonts w:ascii="MECBPK+Arial,Bold" w:hAnsi="MECBPK+Arial,Bold" w:cs="MECBPK+Arial,Bold"/>
          <w:color w:val="auto"/>
          <w:sz w:val="16"/>
          <w:szCs w:val="16"/>
        </w:rPr>
      </w:pPr>
      <w:r>
        <w:rPr>
          <w:rFonts w:ascii="MECBPK+Arial,Bold" w:hAnsi="MECBPK+Arial,Bold" w:cs="MECBPK+Arial,Bold"/>
          <w:b/>
          <w:bCs/>
          <w:color w:val="auto"/>
          <w:sz w:val="16"/>
          <w:szCs w:val="16"/>
        </w:rPr>
        <w:t>GRÁFICO  8 FRECUENCIA RELATIVA DE LA VARIABLE MES DE TRANSACCIÓN</w:t>
      </w:r>
    </w:p>
    <w:p w:rsidR="00000000" w:rsidRDefault="002E4D13">
      <w:pPr>
        <w:pStyle w:val="Default"/>
        <w:spacing w:line="203" w:lineRule="atLeast"/>
        <w:ind w:right="3235"/>
        <w:jc w:val="right"/>
        <w:rPr>
          <w:rFonts w:ascii="MECBBC+Arial" w:hAnsi="MECBBC+Arial" w:cs="MECBBC+Arial"/>
          <w:color w:val="auto"/>
          <w:sz w:val="10"/>
          <w:szCs w:val="10"/>
        </w:rPr>
      </w:pPr>
      <w:r>
        <w:rPr>
          <w:rFonts w:ascii="MECBBC+Arial" w:hAnsi="MECBBC+Arial" w:cs="MECBBC+Arial"/>
          <w:color w:val="auto"/>
          <w:sz w:val="10"/>
          <w:szCs w:val="10"/>
        </w:rPr>
        <w:t xml:space="preserve">350,000 300,000 250,000 200,000 150,000 100,000 50,000 </w:t>
      </w:r>
      <w:r>
        <w:rPr>
          <w:rFonts w:ascii="MECBBC+Arial" w:hAnsi="MECBBC+Arial" w:cs="MECBBC+Arial"/>
          <w:color w:val="auto"/>
          <w:sz w:val="10"/>
          <w:szCs w:val="10"/>
        </w:rPr>
        <w:lastRenderedPageBreak/>
        <w:t xml:space="preserve">0 </w:t>
      </w:r>
    </w:p>
    <w:p w:rsidR="00000000" w:rsidRDefault="002E4D13">
      <w:pPr>
        <w:pStyle w:val="Default"/>
        <w:rPr>
          <w:rFonts w:cstheme="minorBidi"/>
          <w:color w:val="auto"/>
        </w:rPr>
        <w:sectPr w:rsidR="00000000">
          <w:type w:val="continuous"/>
          <w:pgSz w:w="11900" w:h="17340"/>
          <w:pgMar w:top="1139" w:right="1113" w:bottom="668" w:left="1474" w:header="720" w:footer="720" w:gutter="0"/>
          <w:cols w:num="3" w:space="720" w:equalWidth="0">
            <w:col w:w="4057" w:space="331"/>
            <w:col w:w="3938" w:space="331"/>
            <w:col w:w="316"/>
          </w:cols>
          <w:noEndnote/>
        </w:sectPr>
      </w:pPr>
    </w:p>
    <w:p w:rsidR="00000000" w:rsidRDefault="002E4D13">
      <w:pPr>
        <w:pStyle w:val="Default"/>
        <w:pageBreakBefore/>
        <w:spacing w:line="186" w:lineRule="atLeast"/>
        <w:jc w:val="center"/>
        <w:rPr>
          <w:rFonts w:ascii="MECBPK+Arial,Bold" w:hAnsi="MECBPK+Arial,Bold" w:cs="MECBPK+Arial,Bold"/>
          <w:color w:val="auto"/>
          <w:sz w:val="16"/>
          <w:szCs w:val="16"/>
        </w:rPr>
      </w:pPr>
      <w:r>
        <w:rPr>
          <w:rFonts w:ascii="MECBPK+Arial,Bold" w:hAnsi="MECBPK+Arial,Bold" w:cs="MECBPK+Arial,Bold"/>
          <w:b/>
          <w:bCs/>
          <w:color w:val="auto"/>
          <w:sz w:val="16"/>
          <w:szCs w:val="16"/>
        </w:rPr>
        <w:lastRenderedPageBreak/>
        <w:t xml:space="preserve">GRÁFICO  11 </w:t>
      </w:r>
    </w:p>
    <w:p w:rsidR="00000000" w:rsidRDefault="002E4D13">
      <w:pPr>
        <w:pStyle w:val="CM29"/>
        <w:spacing w:after="80" w:line="186" w:lineRule="atLeast"/>
        <w:jc w:val="center"/>
        <w:rPr>
          <w:rFonts w:cs="MEBOFJ+TimesNewRoman,Bold"/>
          <w:sz w:val="16"/>
          <w:szCs w:val="16"/>
        </w:rPr>
      </w:pPr>
      <w:r>
        <w:rPr>
          <w:rFonts w:cs="MEBOFJ+TimesNewRoman,Bold"/>
          <w:b/>
          <w:bCs/>
          <w:sz w:val="16"/>
          <w:szCs w:val="16"/>
        </w:rPr>
        <w:t xml:space="preserve">TRANSACCIONALIDAD POR HORAS DEL DÍA </w:t>
      </w:r>
    </w:p>
    <w:p w:rsidR="00000000" w:rsidRDefault="002E4D13">
      <w:pPr>
        <w:pStyle w:val="CM29"/>
        <w:spacing w:after="80"/>
        <w:ind w:left="55"/>
        <w:jc w:val="both"/>
        <w:rPr>
          <w:rFonts w:ascii="MECBBC+Arial" w:hAnsi="MECBBC+Arial" w:cs="MECBBC+Arial"/>
          <w:sz w:val="9"/>
          <w:szCs w:val="9"/>
        </w:rPr>
      </w:pPr>
      <w:r>
        <w:rPr>
          <w:rFonts w:ascii="MECBBC+Arial" w:hAnsi="MECBBC+Arial" w:cs="MECBBC+Arial"/>
          <w:sz w:val="9"/>
          <w:szCs w:val="9"/>
        </w:rPr>
        <w:t xml:space="preserve">10%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9%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8%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7%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6%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5%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4%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3%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2%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1% </w:t>
      </w:r>
    </w:p>
    <w:p w:rsidR="00000000" w:rsidRDefault="002E4D13">
      <w:pPr>
        <w:pStyle w:val="CM29"/>
        <w:spacing w:after="80"/>
        <w:ind w:left="102"/>
        <w:jc w:val="both"/>
        <w:rPr>
          <w:rFonts w:ascii="MECBBC+Arial" w:hAnsi="MECBBC+Arial" w:cs="MECBBC+Arial"/>
          <w:sz w:val="9"/>
          <w:szCs w:val="9"/>
        </w:rPr>
      </w:pPr>
      <w:r>
        <w:rPr>
          <w:rFonts w:ascii="MECBBC+Arial" w:hAnsi="MECBBC+Arial" w:cs="MECBBC+Arial"/>
          <w:sz w:val="9"/>
          <w:szCs w:val="9"/>
        </w:rPr>
        <w:t xml:space="preserve">0% </w:t>
      </w:r>
    </w:p>
    <w:p w:rsidR="00000000" w:rsidRDefault="002E4D13">
      <w:pPr>
        <w:pStyle w:val="Default"/>
        <w:rPr>
          <w:rFonts w:cstheme="minorBidi"/>
          <w:color w:val="auto"/>
        </w:rPr>
      </w:pPr>
      <w:r>
        <w:rPr>
          <w:noProof/>
        </w:rPr>
        <w:pict>
          <v:shape id="_x0000_s1029" type="#_x0000_t202" style="position:absolute;margin-left:90.7pt;margin-top:89.3pt;width:475pt;height:118pt;z-index:25166131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80"/>
                    <w:gridCol w:w="170"/>
                    <w:gridCol w:w="940"/>
                    <w:gridCol w:w="445"/>
                    <w:gridCol w:w="2077"/>
                    <w:gridCol w:w="1453"/>
                    <w:gridCol w:w="3975"/>
                  </w:tblGrid>
                  <w:tr w:rsidR="00000000">
                    <w:tblPrEx>
                      <w:tblCellMar>
                        <w:top w:w="0" w:type="dxa"/>
                        <w:bottom w:w="0" w:type="dxa"/>
                      </w:tblCellMar>
                    </w:tblPrEx>
                    <w:trPr>
                      <w:gridBefore w:val="1"/>
                      <w:wBefore w:w="180" w:type="dxa"/>
                      <w:trHeight w:val="1987"/>
                    </w:trPr>
                    <w:tc>
                      <w:tcPr>
                        <w:tcW w:w="750" w:type="dxa"/>
                        <w:gridSpan w:val="2"/>
                        <w:tcBorders>
                          <w:top w:val="single" w:sz="2" w:space="0" w:color="4B4B4B"/>
                          <w:left w:val="single" w:sz="2" w:space="0" w:color="7E7E7E"/>
                          <w:right w:val="double" w:sz="2" w:space="0" w:color="000000"/>
                        </w:tcBorders>
                      </w:tcPr>
                      <w:p w:rsidR="00000000" w:rsidRDefault="002E4D13">
                        <w:pPr>
                          <w:pStyle w:val="Default"/>
                          <w:jc w:val="right"/>
                          <w:rPr>
                            <w:rFonts w:ascii="MECBBC+Arial" w:hAnsi="MECBBC+Arial" w:cs="MECBBC+Arial"/>
                            <w:sz w:val="9"/>
                            <w:szCs w:val="9"/>
                          </w:rPr>
                        </w:pPr>
                        <w:r>
                          <w:rPr>
                            <w:rFonts w:ascii="MECBBC+Arial" w:hAnsi="MECBBC+Arial" w:cs="MECBBC+Arial"/>
                            <w:sz w:val="9"/>
                            <w:szCs w:val="9"/>
                          </w:rPr>
                          <w:t xml:space="preserve">0:001:002:003:004:005:006:00 7:00 8:00 9:00 10:0011:0012:0013:0014:0015:0016:0017:0018:0019:00 20:00 21:00 22:0023:00 </w:t>
                        </w:r>
                      </w:p>
                    </w:tc>
                    <w:tc>
                      <w:tcPr>
                        <w:tcW w:w="3975" w:type="dxa"/>
                        <w:gridSpan w:val="3"/>
                      </w:tcPr>
                      <w:p w:rsidR="00000000" w:rsidRDefault="002E4D13">
                        <w:pPr>
                          <w:pStyle w:val="Default"/>
                          <w:rPr>
                            <w:rFonts w:cstheme="minorBidi"/>
                            <w:color w:val="auto"/>
                          </w:rPr>
                        </w:pPr>
                      </w:p>
                    </w:tc>
                    <w:tc>
                      <w:tcPr>
                        <w:tcW w:w="3975" w:type="dxa"/>
                      </w:tcPr>
                      <w:p w:rsidR="00000000" w:rsidRDefault="002E4D13">
                        <w:pPr>
                          <w:pStyle w:val="Default"/>
                          <w:rPr>
                            <w:rFonts w:cstheme="minorBidi"/>
                            <w:color w:val="auto"/>
                          </w:rPr>
                        </w:pPr>
                      </w:p>
                    </w:tc>
                  </w:tr>
                </w:tbl>
              </w:txbxContent>
            </v:textbox>
            <w10:wrap type="through" anchorx="page" anchory="page"/>
          </v:shape>
        </w:pict>
      </w:r>
    </w:p>
    <w:p w:rsidR="00000000" w:rsidRDefault="002E4D13">
      <w:pPr>
        <w:pStyle w:val="CM31"/>
        <w:spacing w:after="455" w:line="186" w:lineRule="atLeast"/>
        <w:ind w:left="1115" w:right="115" w:hanging="808"/>
        <w:jc w:val="both"/>
        <w:rPr>
          <w:rFonts w:ascii="MEBOED+TimesNewRoman" w:hAnsi="MEBOED+TimesNewRoman" w:cs="MEBOED+TimesNewRoman"/>
          <w:sz w:val="16"/>
          <w:szCs w:val="16"/>
        </w:rPr>
      </w:pPr>
      <w:r>
        <w:rPr>
          <w:rFonts w:cs="MEBOFJ+TimesNewRoman,Bold"/>
          <w:b/>
          <w:bCs/>
          <w:sz w:val="16"/>
          <w:szCs w:val="16"/>
        </w:rPr>
        <w:t>Fuente:</w:t>
      </w:r>
      <w:r>
        <w:rPr>
          <w:rFonts w:ascii="MEBOED+TimesNewRoman" w:hAnsi="MEBOED+TimesNewRoman" w:cs="MEBOED+TimesNewRoman"/>
          <w:sz w:val="16"/>
          <w:szCs w:val="16"/>
        </w:rPr>
        <w:t xml:space="preserve"> Departamento de Soporte Especializado de la Red de Cajeros Automáticos </w:t>
      </w:r>
    </w:p>
    <w:p w:rsidR="00000000" w:rsidRDefault="002E4D13">
      <w:pPr>
        <w:pStyle w:val="CM27"/>
        <w:spacing w:after="225" w:line="231" w:lineRule="atLeast"/>
        <w:ind w:left="360" w:right="547" w:hanging="360"/>
        <w:jc w:val="both"/>
        <w:rPr>
          <w:rFonts w:cs="MEBOFJ+TimesNewRoman,Bold"/>
          <w:sz w:val="20"/>
          <w:szCs w:val="20"/>
        </w:rPr>
      </w:pPr>
      <w:r>
        <w:rPr>
          <w:rFonts w:cs="MEBOFJ+TimesNewRoman,Bold"/>
          <w:b/>
          <w:bCs/>
          <w:sz w:val="20"/>
          <w:szCs w:val="20"/>
        </w:rPr>
        <w:t>2.15. Aná</w:t>
      </w:r>
      <w:r>
        <w:rPr>
          <w:rFonts w:cs="MEBOFJ+TimesNewRoman,Bold"/>
          <w:b/>
          <w:bCs/>
          <w:sz w:val="20"/>
          <w:szCs w:val="20"/>
        </w:rPr>
        <w:t xml:space="preserve">lisis de la Red de ATM por Posición Neta entre las entidades.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El número de cajeros automáticos y de tarjetahabientes que posea una institución financiera, y más específicamente la relación entre estos montos son determinantes sobre la probabilidad de que </w:t>
      </w:r>
      <w:r>
        <w:rPr>
          <w:rFonts w:ascii="MEBOED+TimesNewRoman" w:hAnsi="MEBOED+TimesNewRoman" w:cs="MEBOED+TimesNewRoman"/>
          <w:sz w:val="20"/>
          <w:szCs w:val="20"/>
        </w:rPr>
        <w:t xml:space="preserve">se cuente con una posición superavitaria o deficitaria sobre los montos y números de transacciones cruzadas entre instituciones financieras.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Es así como la probabilidad de que UN CLIENTE PROPIO UTILICE UN CAJERO AUTOMÁTICO DE LA COMPETENCIA, se calcula co</w:t>
      </w:r>
      <w:r>
        <w:rPr>
          <w:rFonts w:ascii="MEBOED+TimesNewRoman" w:hAnsi="MEBOED+TimesNewRoman" w:cs="MEBOED+TimesNewRoman"/>
          <w:sz w:val="20"/>
          <w:szCs w:val="20"/>
        </w:rPr>
        <w:t xml:space="preserve">mo: </w:t>
      </w:r>
    </w:p>
    <w:p w:rsidR="00000000" w:rsidRDefault="002E4D13">
      <w:pPr>
        <w:pStyle w:val="CM28"/>
        <w:spacing w:after="162" w:line="186" w:lineRule="atLeast"/>
        <w:jc w:val="both"/>
        <w:rPr>
          <w:rFonts w:ascii="MECBPK+Arial,Bold" w:hAnsi="MECBPK+Arial,Bold" w:cs="MECBPK+Arial,Bold"/>
          <w:sz w:val="16"/>
          <w:szCs w:val="16"/>
        </w:rPr>
      </w:pPr>
      <w:r>
        <w:rPr>
          <w:rFonts w:ascii="MECBPK+Arial,Bold" w:hAnsi="MECBPK+Arial,Bold" w:cs="MECBPK+Arial,Bold"/>
          <w:b/>
          <w:bCs/>
          <w:sz w:val="16"/>
          <w:szCs w:val="16"/>
        </w:rPr>
        <w:t xml:space="preserve">P(0,c) = ( N° T.O / N° T.T ) * [ ( 1 – ( N° C.O / N° C.T )]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Donde: N° T.O = Número de Tarjetahabientes de la Institución en cuestión o número de tarjehabientes propios (en este caso equivale a decir número de plásticos de la institución en estudio).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N° T.T = Número Total de Tarjetahabientes o número total de plásticos en el sistema bancario de la ciudad de Guayaquil (en este informe los plásticos corresponden a tarjetas de débito y crédito que realizaron transacciones en la red de cajeros).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N°</w:t>
      </w:r>
      <w:r>
        <w:rPr>
          <w:rFonts w:ascii="MEBOED+TimesNewRoman" w:hAnsi="MEBOED+TimesNewRoman" w:cs="MEBOED+TimesNewRoman"/>
          <w:sz w:val="20"/>
          <w:szCs w:val="20"/>
        </w:rPr>
        <w:t xml:space="preserve"> C.O = Número de Cajeros Automáticos o ATM´s propios o de la institución en cuestión. </w:t>
      </w:r>
    </w:p>
    <w:p w:rsidR="00000000" w:rsidRDefault="002E4D13">
      <w:pPr>
        <w:pStyle w:val="CM4"/>
        <w:jc w:val="both"/>
        <w:rPr>
          <w:rFonts w:ascii="MEBOED+TimesNewRoman" w:hAnsi="MEBOED+TimesNewRoman" w:cs="MEBOED+TimesNewRoman"/>
          <w:sz w:val="20"/>
          <w:szCs w:val="20"/>
        </w:rPr>
      </w:pPr>
      <w:r>
        <w:rPr>
          <w:rFonts w:ascii="MEBOED+TimesNewRoman" w:hAnsi="MEBOED+TimesNewRoman" w:cs="MEBOED+TimesNewRoman"/>
          <w:sz w:val="20"/>
          <w:szCs w:val="20"/>
        </w:rPr>
        <w:t xml:space="preserve">N° C.T = Número Total de Cajeros Automáticos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o ATM´s del sistema bancario en la ciudad de Guayaquil.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Por su parte la probabilidad de que UN CLIENTE DE LA COMPETENCIA </w:t>
      </w:r>
      <w:r>
        <w:rPr>
          <w:rFonts w:ascii="MEBOED+TimesNewRoman" w:hAnsi="MEBOED+TimesNewRoman" w:cs="MEBOED+TimesNewRoman"/>
          <w:sz w:val="20"/>
          <w:szCs w:val="20"/>
        </w:rPr>
        <w:t xml:space="preserve">UTILICE UN CAJERO PROPIO, se expresaría algebraicamente como sigue: </w:t>
      </w:r>
    </w:p>
    <w:p w:rsidR="00000000" w:rsidRDefault="002E4D13">
      <w:pPr>
        <w:pStyle w:val="CM20"/>
        <w:jc w:val="both"/>
        <w:rPr>
          <w:rFonts w:cs="MEBOFJ+TimesNewRoman,Bold"/>
          <w:sz w:val="16"/>
          <w:szCs w:val="16"/>
        </w:rPr>
      </w:pPr>
      <w:r>
        <w:rPr>
          <w:rFonts w:cs="MEBOFJ+TimesNewRoman,Bold"/>
          <w:b/>
          <w:bCs/>
          <w:sz w:val="16"/>
          <w:szCs w:val="16"/>
        </w:rPr>
        <w:t xml:space="preserve">P(c,0) = [ ( 1 – ( N° T.O / N° T.T ) ) * ( N° C.O / N° C.T )] </w:t>
      </w:r>
    </w:p>
    <w:p w:rsidR="00000000" w:rsidRDefault="002E4D13">
      <w:pPr>
        <w:pStyle w:val="CM29"/>
        <w:spacing w:after="80" w:line="183" w:lineRule="atLeast"/>
        <w:ind w:left="157" w:right="572"/>
        <w:rPr>
          <w:rFonts w:ascii="MECBPK+Arial,Bold" w:hAnsi="MECBPK+Arial,Bold" w:cs="MECBPK+Arial,Bold"/>
          <w:sz w:val="16"/>
          <w:szCs w:val="16"/>
        </w:rPr>
      </w:pPr>
      <w:r>
        <w:rPr>
          <w:rFonts w:ascii="MECBPK+Arial,Bold" w:hAnsi="MECBPK+Arial,Bold" w:cs="MECBPK+Arial,Bold"/>
          <w:b/>
          <w:bCs/>
          <w:sz w:val="16"/>
          <w:szCs w:val="16"/>
        </w:rPr>
        <w:t>TABLA VII COMPARACIÓN DE PROBABILIDADES VS TRANSACCIONES AUTORIZADAS</w:t>
      </w:r>
    </w:p>
    <w:p w:rsidR="00000000" w:rsidRDefault="002E4D13">
      <w:pPr>
        <w:pStyle w:val="Default"/>
        <w:framePr w:w="5749" w:wrap="auto" w:vAnchor="page" w:hAnchor="page" w:x="6030" w:y="1965"/>
        <w:rPr>
          <w:rFonts w:ascii="MECBPK+Arial,Bold" w:hAnsi="MECBPK+Arial,Bold" w:cs="MECBPK+Arial,Bold"/>
          <w:color w:val="auto"/>
          <w:sz w:val="16"/>
          <w:szCs w:val="16"/>
        </w:rPr>
      </w:pPr>
      <w:r>
        <w:rPr>
          <w:rFonts w:ascii="MECBPK+Arial,Bold" w:hAnsi="MECBPK+Arial,Bold" w:cs="MECBPK+Arial,Bold"/>
          <w:noProof/>
          <w:color w:val="auto"/>
          <w:sz w:val="16"/>
          <w:szCs w:val="16"/>
        </w:rPr>
        <w:drawing>
          <wp:inline distT="0" distB="0" distL="0" distR="0">
            <wp:extent cx="2825115" cy="189674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2825115" cy="1896745"/>
                    </a:xfrm>
                    <a:prstGeom prst="rect">
                      <a:avLst/>
                    </a:prstGeom>
                    <a:noFill/>
                    <a:ln w="9525">
                      <a:noFill/>
                      <a:miter lim="800000"/>
                      <a:headEnd/>
                      <a:tailEnd/>
                    </a:ln>
                  </pic:spPr>
                </pic:pic>
              </a:graphicData>
            </a:graphic>
          </wp:inline>
        </w:drawing>
      </w:r>
    </w:p>
    <w:p w:rsidR="00000000" w:rsidRDefault="002E4D13">
      <w:pPr>
        <w:pStyle w:val="CM28"/>
        <w:spacing w:after="162" w:line="186" w:lineRule="atLeast"/>
        <w:ind w:left="930"/>
        <w:jc w:val="both"/>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Especializado de la Red de Cajeros Automáticos </w:t>
      </w:r>
    </w:p>
    <w:p w:rsidR="00000000" w:rsidRDefault="002E4D13">
      <w:pPr>
        <w:pStyle w:val="CM26"/>
        <w:spacing w:after="342"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En la tabla VII se puede observar que se comprueba el análisis realizado a través de las probabilidades en comparación con la transaccionalidad autorizada en </w:t>
      </w:r>
      <w:r>
        <w:rPr>
          <w:rFonts w:ascii="MEBOED+TimesNewRoman" w:hAnsi="MEBOED+TimesNewRoman" w:cs="MEBOED+TimesNewRoman"/>
          <w:sz w:val="20"/>
          <w:szCs w:val="20"/>
        </w:rPr>
        <w:t xml:space="preserve">la red de cajeros automáticos, el primer banco es Bolivariano, seguido de Pichincha, Guayaquil y Produbanco, existe una diferencia entre la quinta y sexta posición entre Banco del Pacífico y Otros bancos autorizadores, finalmente Banco Internacional es el </w:t>
      </w:r>
      <w:r>
        <w:rPr>
          <w:rFonts w:ascii="MEBOED+TimesNewRoman" w:hAnsi="MEBOED+TimesNewRoman" w:cs="MEBOED+TimesNewRoman"/>
          <w:sz w:val="20"/>
          <w:szCs w:val="20"/>
        </w:rPr>
        <w:t xml:space="preserve">último banco a nivel de autorización de transacciones. </w:t>
      </w:r>
    </w:p>
    <w:p w:rsidR="00000000" w:rsidRDefault="002E4D13">
      <w:pPr>
        <w:pStyle w:val="CM29"/>
        <w:spacing w:after="80" w:line="186" w:lineRule="atLeast"/>
        <w:ind w:left="702" w:right="720"/>
        <w:rPr>
          <w:rFonts w:ascii="MECBPK+Arial,Bold" w:hAnsi="MECBPK+Arial,Bold" w:cs="MECBPK+Arial,Bold"/>
          <w:sz w:val="16"/>
          <w:szCs w:val="16"/>
        </w:rPr>
      </w:pPr>
      <w:r>
        <w:rPr>
          <w:rFonts w:ascii="MECBPK+Arial,Bold" w:hAnsi="MECBPK+Arial,Bold" w:cs="MECBPK+Arial,Bold"/>
          <w:b/>
          <w:bCs/>
          <w:sz w:val="16"/>
          <w:szCs w:val="16"/>
        </w:rPr>
        <w:t>TABLA VIII COMPARACIÓN DE PROBABILIDADES VS TRANSACCIONES ADQUIRIDAS</w:t>
      </w:r>
    </w:p>
    <w:p w:rsidR="00000000" w:rsidRDefault="002E4D13">
      <w:pPr>
        <w:pStyle w:val="Default"/>
        <w:framePr w:w="5931" w:wrap="auto" w:vAnchor="page" w:hAnchor="page" w:x="6004" w:y="9062"/>
        <w:rPr>
          <w:rFonts w:ascii="MECBPK+Arial,Bold" w:hAnsi="MECBPK+Arial,Bold" w:cs="MECBPK+Arial,Bold"/>
          <w:color w:val="auto"/>
          <w:sz w:val="16"/>
          <w:szCs w:val="16"/>
        </w:rPr>
      </w:pPr>
      <w:r>
        <w:rPr>
          <w:rFonts w:ascii="MECBPK+Arial,Bold" w:hAnsi="MECBPK+Arial,Bold" w:cs="MECBPK+Arial,Bold"/>
          <w:noProof/>
          <w:color w:val="auto"/>
          <w:sz w:val="16"/>
          <w:szCs w:val="16"/>
        </w:rPr>
        <w:drawing>
          <wp:inline distT="0" distB="0" distL="0" distR="0">
            <wp:extent cx="2852420" cy="1883410"/>
            <wp:effectExtent l="1905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2852420" cy="1883410"/>
                    </a:xfrm>
                    <a:prstGeom prst="rect">
                      <a:avLst/>
                    </a:prstGeom>
                    <a:noFill/>
                    <a:ln w="9525">
                      <a:noFill/>
                      <a:miter lim="800000"/>
                      <a:headEnd/>
                      <a:tailEnd/>
                    </a:ln>
                  </pic:spPr>
                </pic:pic>
              </a:graphicData>
            </a:graphic>
          </wp:inline>
        </w:drawing>
      </w:r>
    </w:p>
    <w:p w:rsidR="00000000" w:rsidRDefault="002E4D13">
      <w:pPr>
        <w:pStyle w:val="CM31"/>
        <w:spacing w:after="455" w:line="186" w:lineRule="atLeast"/>
        <w:ind w:left="930"/>
        <w:jc w:val="both"/>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Departamento de Soporte Especializado de la Red de</w:t>
      </w:r>
      <w:r>
        <w:rPr>
          <w:rFonts w:ascii="MECBBC+Arial" w:hAnsi="MECBBC+Arial" w:cs="MECBBC+Arial"/>
          <w:sz w:val="16"/>
          <w:szCs w:val="16"/>
        </w:rPr>
        <w:t xml:space="preserve"> Cajeros Automáticos </w:t>
      </w:r>
    </w:p>
    <w:p w:rsidR="00000000" w:rsidRDefault="002E4D13">
      <w:pPr>
        <w:pStyle w:val="CM27"/>
        <w:spacing w:after="193" w:line="231" w:lineRule="atLeast"/>
        <w:jc w:val="center"/>
        <w:rPr>
          <w:rFonts w:cs="MEBOFJ+TimesNewRoman,Bold"/>
          <w:sz w:val="20"/>
          <w:szCs w:val="20"/>
        </w:rPr>
      </w:pPr>
      <w:r>
        <w:rPr>
          <w:rFonts w:cs="MEBOFJ+TimesNewRoman,Bold"/>
          <w:b/>
          <w:bCs/>
          <w:sz w:val="20"/>
          <w:szCs w:val="20"/>
        </w:rPr>
        <w:t xml:space="preserve">3. ANÁLISIS MULTIVARIADO </w:t>
      </w:r>
    </w:p>
    <w:p w:rsidR="00000000" w:rsidRDefault="002E4D13">
      <w:pPr>
        <w:pStyle w:val="CM27"/>
        <w:spacing w:after="225" w:line="231" w:lineRule="atLeast"/>
        <w:ind w:left="360"/>
        <w:jc w:val="both"/>
        <w:rPr>
          <w:rFonts w:cs="MEBOFJ+TimesNewRoman,Bold"/>
          <w:sz w:val="20"/>
          <w:szCs w:val="20"/>
        </w:rPr>
      </w:pPr>
      <w:r>
        <w:rPr>
          <w:rFonts w:cs="MEBOFJ+TimesNewRoman,Bold"/>
          <w:b/>
          <w:bCs/>
          <w:sz w:val="20"/>
          <w:szCs w:val="20"/>
        </w:rPr>
        <w:t xml:space="preserve">3.1. Análisis de Contingencia entre las variables Topología de Cajero y Tipo de Transacción. </w:t>
      </w:r>
    </w:p>
    <w:p w:rsidR="00000000" w:rsidRDefault="002E4D13">
      <w:pPr>
        <w:pStyle w:val="CM27"/>
        <w:spacing w:after="225" w:line="231" w:lineRule="atLeast"/>
        <w:rPr>
          <w:rFonts w:ascii="MEBOED+TimesNewRoman" w:hAnsi="MEBOED+TimesNewRoman" w:cs="MEBOED+TimesNewRoman"/>
          <w:sz w:val="20"/>
          <w:szCs w:val="20"/>
        </w:rPr>
      </w:pPr>
      <w:r>
        <w:rPr>
          <w:rFonts w:ascii="MEBOED+TimesNewRoman" w:hAnsi="MEBOED+TimesNewRoman" w:cs="MEBOED+TimesNewRoman"/>
          <w:sz w:val="20"/>
          <w:szCs w:val="20"/>
        </w:rPr>
        <w:t>El análisis de independencia se basa en un contraste de hipótesis, a continuación se presenta el aná</w:t>
      </w:r>
      <w:r>
        <w:rPr>
          <w:rFonts w:ascii="MEBOED+TimesNewRoman" w:hAnsi="MEBOED+TimesNewRoman" w:cs="MEBOED+TimesNewRoman"/>
          <w:sz w:val="20"/>
          <w:szCs w:val="20"/>
        </w:rPr>
        <w:t xml:space="preserve">lisis de contingencia para las variables Topología de Cajero y Tipo de transacción obteniendo los siguientes resultados: </w:t>
      </w:r>
    </w:p>
    <w:p w:rsidR="00000000" w:rsidRDefault="002E4D13">
      <w:pPr>
        <w:pStyle w:val="Default"/>
        <w:pageBreakBefore/>
        <w:spacing w:line="368" w:lineRule="atLeast"/>
        <w:ind w:right="147"/>
        <w:rPr>
          <w:rFonts w:ascii="MEBOED+TimesNewRoman" w:hAnsi="MEBOED+TimesNewRoman" w:cs="MEBOED+TimesNewRoman"/>
          <w:color w:val="auto"/>
          <w:sz w:val="16"/>
          <w:szCs w:val="16"/>
        </w:rPr>
      </w:pPr>
      <w:r>
        <w:rPr>
          <w:rFonts w:ascii="MEBOED+TimesNewRoman" w:hAnsi="MEBOED+TimesNewRoman" w:cs="MEBOED+TimesNewRoman"/>
          <w:color w:val="auto"/>
          <w:sz w:val="16"/>
          <w:szCs w:val="16"/>
        </w:rPr>
        <w:lastRenderedPageBreak/>
        <w:t>H</w:t>
      </w:r>
      <w:r>
        <w:rPr>
          <w:rFonts w:ascii="MEBOED+TimesNewRoman" w:hAnsi="MEBOED+TimesNewRoman" w:cs="MEBOED+TimesNewRoman"/>
          <w:color w:val="auto"/>
          <w:sz w:val="10"/>
          <w:szCs w:val="10"/>
        </w:rPr>
        <w:t>0</w:t>
      </w:r>
      <w:r>
        <w:rPr>
          <w:rFonts w:ascii="MEBOED+TimesNewRoman" w:hAnsi="MEBOED+TimesNewRoman" w:cs="MEBOED+TimesNewRoman"/>
          <w:color w:val="auto"/>
          <w:sz w:val="16"/>
          <w:szCs w:val="16"/>
        </w:rPr>
        <w:t xml:space="preserve"> = La Topología de Cajero y el Tipo de Transacción son independientes </w:t>
      </w:r>
    </w:p>
    <w:p w:rsidR="00000000" w:rsidRDefault="002E4D13">
      <w:pPr>
        <w:pStyle w:val="Default"/>
        <w:spacing w:line="368" w:lineRule="atLeast"/>
        <w:ind w:right="147" w:firstLine="1815"/>
        <w:rPr>
          <w:rFonts w:ascii="MEBOED+TimesNewRoman" w:hAnsi="MEBOED+TimesNewRoman" w:cs="MEBOED+TimesNewRoman"/>
          <w:color w:val="auto"/>
          <w:sz w:val="16"/>
          <w:szCs w:val="16"/>
        </w:rPr>
      </w:pPr>
      <w:r>
        <w:rPr>
          <w:rFonts w:ascii="MEBOED+TimesNewRoman" w:hAnsi="MEBOED+TimesNewRoman" w:cs="MEBOED+TimesNewRoman"/>
          <w:color w:val="auto"/>
          <w:sz w:val="16"/>
          <w:szCs w:val="16"/>
        </w:rPr>
        <w:t>Vs. H</w:t>
      </w:r>
      <w:r>
        <w:rPr>
          <w:rFonts w:ascii="MEBOED+TimesNewRoman" w:hAnsi="MEBOED+TimesNewRoman" w:cs="MEBOED+TimesNewRoman"/>
          <w:color w:val="auto"/>
          <w:sz w:val="10"/>
          <w:szCs w:val="10"/>
        </w:rPr>
        <w:t>1</w:t>
      </w:r>
      <w:r>
        <w:rPr>
          <w:rFonts w:ascii="MEBOED+TimesNewRoman" w:hAnsi="MEBOED+TimesNewRoman" w:cs="MEBOED+TimesNewRoman"/>
          <w:color w:val="auto"/>
          <w:sz w:val="16"/>
          <w:szCs w:val="16"/>
        </w:rPr>
        <w:t xml:space="preserve"> = La Topología de Cajero y el Tipo de Transacción son </w:t>
      </w:r>
      <w:r>
        <w:rPr>
          <w:rFonts w:ascii="MEBOED+TimesNewRoman" w:hAnsi="MEBOED+TimesNewRoman" w:cs="MEBOED+TimesNewRoman"/>
          <w:color w:val="auto"/>
          <w:sz w:val="16"/>
          <w:szCs w:val="16"/>
        </w:rPr>
        <w:t xml:space="preserve">dependientes </w:t>
      </w:r>
    </w:p>
    <w:p w:rsidR="00000000" w:rsidRDefault="002E4D13">
      <w:pPr>
        <w:pStyle w:val="CM27"/>
        <w:spacing w:after="225"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En este análisis se realizó una iteración para cumplir con los criterios de convergencia y llegar a una solución. La proporción de información categórica explicada por la primera dimensión es de 0.00000192, mientras que la proporción explicad</w:t>
      </w:r>
      <w:r>
        <w:rPr>
          <w:rFonts w:ascii="MEBOED+TimesNewRoman" w:hAnsi="MEBOED+TimesNewRoman" w:cs="MEBOED+TimesNewRoman"/>
          <w:sz w:val="20"/>
          <w:szCs w:val="20"/>
        </w:rPr>
        <w:t xml:space="preserve">a por la segunda dimensión es 0.00000052, el máximo valor que pueden tomar los valores propios para cada dimensión es de 1.00. </w:t>
      </w:r>
    </w:p>
    <w:p w:rsidR="00000000" w:rsidRDefault="002E4D13">
      <w:pPr>
        <w:pStyle w:val="Default"/>
        <w:spacing w:line="183" w:lineRule="atLeast"/>
        <w:ind w:left="820"/>
        <w:rPr>
          <w:rFonts w:ascii="MECBPK+Arial,Bold" w:hAnsi="MECBPK+Arial,Bold" w:cs="MECBPK+Arial,Bold"/>
          <w:color w:val="auto"/>
          <w:sz w:val="16"/>
          <w:szCs w:val="16"/>
        </w:rPr>
      </w:pPr>
      <w:r>
        <w:rPr>
          <w:rFonts w:ascii="MECBPK+Arial,Bold" w:hAnsi="MECBPK+Arial,Bold" w:cs="MECBPK+Arial,Bold"/>
          <w:b/>
          <w:bCs/>
          <w:color w:val="auto"/>
          <w:sz w:val="16"/>
          <w:szCs w:val="16"/>
        </w:rPr>
        <w:t xml:space="preserve">TABLA XI VALORES PROPIOS DE DIMENSION </w:t>
      </w:r>
    </w:p>
    <w:p w:rsidR="00000000" w:rsidRDefault="002E4D13">
      <w:pPr>
        <w:pStyle w:val="CM5"/>
        <w:jc w:val="center"/>
        <w:rPr>
          <w:rFonts w:ascii="MECBPK+Arial,Bold" w:hAnsi="MECBPK+Arial,Bold" w:cs="MECBPK+Arial,Bold"/>
          <w:sz w:val="16"/>
          <w:szCs w:val="16"/>
        </w:rPr>
      </w:pPr>
      <w:r>
        <w:rPr>
          <w:rFonts w:ascii="MECBPK+Arial,Bold" w:hAnsi="MECBPK+Arial,Bold" w:cs="MECBPK+Arial,Bold"/>
          <w:b/>
          <w:bCs/>
          <w:sz w:val="16"/>
          <w:szCs w:val="16"/>
        </w:rPr>
        <w:t xml:space="preserve">TABLA IX </w:t>
      </w:r>
    </w:p>
    <w:p w:rsidR="00000000" w:rsidRDefault="002E4D13">
      <w:pPr>
        <w:pStyle w:val="CM29"/>
        <w:spacing w:after="80" w:line="186" w:lineRule="atLeast"/>
        <w:jc w:val="center"/>
        <w:rPr>
          <w:rFonts w:ascii="MECBPK+Arial,Bold" w:hAnsi="MECBPK+Arial,Bold" w:cs="MECBPK+Arial,Bold"/>
          <w:sz w:val="16"/>
          <w:szCs w:val="16"/>
        </w:rPr>
      </w:pPr>
      <w:r>
        <w:rPr>
          <w:rFonts w:ascii="MECBPK+Arial,Bold" w:hAnsi="MECBPK+Arial,Bold" w:cs="MECBPK+Arial,Bold"/>
          <w:b/>
          <w:bCs/>
          <w:sz w:val="16"/>
          <w:szCs w:val="16"/>
        </w:rPr>
        <w:t xml:space="preserve">TABLA DE CONTINGENCIA VARIABLES: TOPOLOGÍA DE CAJERO Y TIPO DE TRANSACCIÓN </w:t>
      </w:r>
    </w:p>
    <w:p w:rsidR="00000000" w:rsidRDefault="002E4D13">
      <w:pPr>
        <w:pStyle w:val="Default"/>
        <w:framePr w:w="5558" w:wrap="auto" w:vAnchor="page" w:hAnchor="page" w:x="1271" w:y="4945"/>
        <w:rPr>
          <w:rFonts w:ascii="MECBPK+Arial,Bold" w:hAnsi="MECBPK+Arial,Bold" w:cs="MECBPK+Arial,Bold"/>
          <w:color w:val="auto"/>
          <w:sz w:val="16"/>
          <w:szCs w:val="16"/>
        </w:rPr>
      </w:pPr>
      <w:r>
        <w:rPr>
          <w:rFonts w:ascii="MECBPK+Arial,Bold" w:hAnsi="MECBPK+Arial,Bold" w:cs="MECBPK+Arial,Bold"/>
          <w:noProof/>
          <w:color w:val="auto"/>
          <w:sz w:val="16"/>
          <w:szCs w:val="16"/>
        </w:rPr>
        <w:drawing>
          <wp:inline distT="0" distB="0" distL="0" distR="0">
            <wp:extent cx="3016250" cy="222440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3016250" cy="2224405"/>
                    </a:xfrm>
                    <a:prstGeom prst="rect">
                      <a:avLst/>
                    </a:prstGeom>
                    <a:noFill/>
                    <a:ln w="9525">
                      <a:noFill/>
                      <a:miter lim="800000"/>
                      <a:headEnd/>
                      <a:tailEnd/>
                    </a:ln>
                  </pic:spPr>
                </pic:pic>
              </a:graphicData>
            </a:graphic>
          </wp:inline>
        </w:drawing>
      </w:r>
    </w:p>
    <w:p w:rsidR="00000000" w:rsidRDefault="002E4D13">
      <w:pPr>
        <w:pStyle w:val="CM29"/>
        <w:spacing w:after="80" w:line="186" w:lineRule="atLeast"/>
        <w:jc w:val="center"/>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Especializado de la Red de Cajeros Automáticos </w:t>
      </w:r>
    </w:p>
    <w:p w:rsidR="00000000" w:rsidRDefault="002E4D13">
      <w:pPr>
        <w:pStyle w:val="Default"/>
        <w:framePr w:w="3347" w:wrap="auto" w:vAnchor="page" w:hAnchor="page" w:x="6982" w:y="4035"/>
        <w:rPr>
          <w:rFonts w:ascii="MECBBC+Arial" w:hAnsi="MECBBC+Arial" w:cs="MECBBC+Arial"/>
          <w:color w:val="auto"/>
          <w:sz w:val="16"/>
          <w:szCs w:val="16"/>
        </w:rPr>
      </w:pPr>
      <w:r>
        <w:rPr>
          <w:rFonts w:ascii="MECBBC+Arial" w:hAnsi="MECBBC+Arial" w:cs="MECBBC+Arial"/>
          <w:noProof/>
          <w:color w:val="auto"/>
          <w:sz w:val="16"/>
          <w:szCs w:val="16"/>
        </w:rPr>
        <w:drawing>
          <wp:inline distT="0" distB="0" distL="0" distR="0">
            <wp:extent cx="1610360" cy="695960"/>
            <wp:effectExtent l="1905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610360" cy="695960"/>
                    </a:xfrm>
                    <a:prstGeom prst="rect">
                      <a:avLst/>
                    </a:prstGeom>
                    <a:noFill/>
                    <a:ln w="9525">
                      <a:noFill/>
                      <a:miter lim="800000"/>
                      <a:headEnd/>
                      <a:tailEnd/>
                    </a:ln>
                  </pic:spPr>
                </pic:pic>
              </a:graphicData>
            </a:graphic>
          </wp:inline>
        </w:drawing>
      </w:r>
    </w:p>
    <w:p w:rsidR="00000000" w:rsidRDefault="002E4D13">
      <w:pPr>
        <w:pStyle w:val="CM27"/>
        <w:spacing w:after="225" w:line="186" w:lineRule="atLeast"/>
        <w:ind w:left="930"/>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w:t>
      </w:r>
      <w:r>
        <w:rPr>
          <w:rFonts w:ascii="MECBBC+Arial" w:hAnsi="MECBBC+Arial" w:cs="MECBBC+Arial"/>
          <w:sz w:val="16"/>
          <w:szCs w:val="16"/>
        </w:rPr>
        <w:t xml:space="preserve">Especializado de la Red de Cajeros Automáticos </w:t>
      </w:r>
    </w:p>
    <w:p w:rsidR="00000000" w:rsidRDefault="002E4D13">
      <w:pPr>
        <w:pStyle w:val="CM27"/>
        <w:spacing w:after="225" w:line="231" w:lineRule="atLeast"/>
        <w:rPr>
          <w:rFonts w:ascii="MEBOED+TimesNewRoman" w:hAnsi="MEBOED+TimesNewRoman" w:cs="MEBOED+TimesNewRoman"/>
          <w:sz w:val="20"/>
          <w:szCs w:val="20"/>
        </w:rPr>
      </w:pPr>
      <w:r>
        <w:rPr>
          <w:rFonts w:ascii="MEBOED+TimesNewRoman" w:hAnsi="MEBOED+TimesNewRoman" w:cs="MEBOED+TimesNewRoman"/>
          <w:sz w:val="20"/>
          <w:szCs w:val="20"/>
        </w:rPr>
        <w:t>En la tabla XII y el gráfico 12 se puede observar que la variable Tipo de Transacción está mejor relacionada con la segunda dimensión, mientras que la variable Topología de Cajero está mejor relacionada con l</w:t>
      </w:r>
      <w:r>
        <w:rPr>
          <w:rFonts w:ascii="MEBOED+TimesNewRoman" w:hAnsi="MEBOED+TimesNewRoman" w:cs="MEBOED+TimesNewRoman"/>
          <w:sz w:val="20"/>
          <w:szCs w:val="20"/>
        </w:rPr>
        <w:t xml:space="preserve">a primera dimensión. </w:t>
      </w:r>
    </w:p>
    <w:p w:rsidR="00000000" w:rsidRDefault="002E4D13">
      <w:pPr>
        <w:pStyle w:val="CM29"/>
        <w:spacing w:after="80" w:line="186" w:lineRule="atLeast"/>
        <w:ind w:left="1145" w:right="637"/>
        <w:rPr>
          <w:rFonts w:ascii="MECBPK+Arial,Bold" w:hAnsi="MECBPK+Arial,Bold" w:cs="MECBPK+Arial,Bold"/>
          <w:sz w:val="16"/>
          <w:szCs w:val="16"/>
        </w:rPr>
      </w:pPr>
      <w:r>
        <w:rPr>
          <w:rFonts w:ascii="MECBPK+Arial,Bold" w:hAnsi="MECBPK+Arial,Bold" w:cs="MECBPK+Arial,Bold"/>
          <w:b/>
          <w:bCs/>
          <w:sz w:val="16"/>
          <w:szCs w:val="16"/>
        </w:rPr>
        <w:t xml:space="preserve">TABLA XII VALORES POR DIMENSION </w:t>
      </w:r>
    </w:p>
    <w:p w:rsidR="00000000" w:rsidRDefault="002E4D13">
      <w:pPr>
        <w:pStyle w:val="Default"/>
        <w:framePr w:w="5116" w:wrap="auto" w:vAnchor="page" w:hAnchor="page" w:x="6098" w:y="7410"/>
        <w:rPr>
          <w:rFonts w:ascii="MECBPK+Arial,Bold" w:hAnsi="MECBPK+Arial,Bold" w:cs="MECBPK+Arial,Bold"/>
          <w:color w:val="auto"/>
          <w:sz w:val="16"/>
          <w:szCs w:val="16"/>
        </w:rPr>
      </w:pPr>
      <w:r>
        <w:rPr>
          <w:rFonts w:ascii="MECBPK+Arial,Bold" w:hAnsi="MECBPK+Arial,Bold" w:cs="MECBPK+Arial,Bold"/>
          <w:noProof/>
          <w:color w:val="auto"/>
          <w:sz w:val="16"/>
          <w:szCs w:val="16"/>
        </w:rPr>
        <w:drawing>
          <wp:inline distT="0" distB="0" distL="0" distR="0">
            <wp:extent cx="2743200" cy="91440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2743200" cy="914400"/>
                    </a:xfrm>
                    <a:prstGeom prst="rect">
                      <a:avLst/>
                    </a:prstGeom>
                    <a:noFill/>
                    <a:ln w="9525">
                      <a:noFill/>
                      <a:miter lim="800000"/>
                      <a:headEnd/>
                      <a:tailEnd/>
                    </a:ln>
                  </pic:spPr>
                </pic:pic>
              </a:graphicData>
            </a:graphic>
          </wp:inline>
        </w:drawing>
      </w:r>
    </w:p>
    <w:p w:rsidR="00000000" w:rsidRDefault="002E4D13">
      <w:pPr>
        <w:pStyle w:val="Default"/>
        <w:spacing w:after="133" w:line="186" w:lineRule="atLeast"/>
        <w:ind w:left="3677"/>
        <w:jc w:val="both"/>
        <w:rPr>
          <w:rFonts w:ascii="MECBBC+Arial" w:hAnsi="MECBBC+Arial" w:cs="MECBBC+Arial"/>
          <w:color w:val="auto"/>
          <w:sz w:val="16"/>
          <w:szCs w:val="16"/>
        </w:rPr>
      </w:pPr>
      <w:r>
        <w:rPr>
          <w:rFonts w:ascii="MECBPK+Arial,Bold" w:hAnsi="MECBPK+Arial,Bold" w:cs="MECBPK+Arial,Bold"/>
          <w:b/>
          <w:bCs/>
          <w:color w:val="auto"/>
          <w:sz w:val="16"/>
          <w:szCs w:val="16"/>
        </w:rPr>
        <w:t xml:space="preserve">Fuente: </w:t>
      </w:r>
      <w:r>
        <w:rPr>
          <w:rFonts w:ascii="MECBBC+Arial" w:hAnsi="MECBBC+Arial" w:cs="MECBBC+Arial"/>
          <w:color w:val="auto"/>
          <w:sz w:val="16"/>
          <w:szCs w:val="16"/>
        </w:rPr>
        <w:t xml:space="preserve">Departamento de </w:t>
      </w:r>
      <w:r>
        <w:rPr>
          <w:rFonts w:ascii="MECBBC+Arial" w:hAnsi="MECBBC+Arial" w:cs="MECBBC+Arial"/>
          <w:color w:val="auto"/>
          <w:sz w:val="16"/>
          <w:szCs w:val="16"/>
        </w:rPr>
        <w:lastRenderedPageBreak/>
        <w:t xml:space="preserve">Soporte Especializado de la Red de Cajeros Automáticos </w:t>
      </w:r>
    </w:p>
    <w:p w:rsidR="00000000" w:rsidRDefault="002E4D13">
      <w:pPr>
        <w:pStyle w:val="CM32"/>
        <w:spacing w:after="210" w:line="186" w:lineRule="atLeast"/>
        <w:jc w:val="both"/>
        <w:rPr>
          <w:rFonts w:ascii="MECBPK+Arial,Bold" w:hAnsi="MECBPK+Arial,Bold" w:cs="MECBPK+Arial,Bold"/>
          <w:sz w:val="16"/>
          <w:szCs w:val="16"/>
        </w:rPr>
      </w:pPr>
      <w:r>
        <w:rPr>
          <w:rFonts w:ascii="MECBPK+Arial,Bold" w:hAnsi="MECBPK+Arial,Bold" w:cs="MECBPK+Arial,Bold"/>
          <w:b/>
          <w:bCs/>
          <w:sz w:val="16"/>
          <w:szCs w:val="16"/>
        </w:rPr>
        <w:t xml:space="preserve">TABLA X GRAFICO 12 </w:t>
      </w:r>
    </w:p>
    <w:p w:rsidR="00000000" w:rsidRDefault="002E4D13">
      <w:pPr>
        <w:pStyle w:val="Default"/>
        <w:framePr w:w="4791" w:wrap="auto" w:vAnchor="page" w:hAnchor="page" w:x="1655" w:y="9264"/>
        <w:spacing w:after="60"/>
        <w:rPr>
          <w:rFonts w:ascii="MECBPK+Arial,Bold" w:hAnsi="MECBPK+Arial,Bold" w:cs="MECBPK+Arial,Bold"/>
          <w:color w:val="auto"/>
          <w:sz w:val="16"/>
          <w:szCs w:val="16"/>
        </w:rPr>
      </w:pPr>
      <w:r>
        <w:rPr>
          <w:rFonts w:ascii="MECBPK+Arial,Bold" w:hAnsi="MECBPK+Arial,Bold" w:cs="MECBPK+Arial,Bold"/>
          <w:noProof/>
          <w:color w:val="auto"/>
          <w:sz w:val="16"/>
          <w:szCs w:val="16"/>
        </w:rPr>
        <w:drawing>
          <wp:inline distT="0" distB="0" distL="0" distR="0">
            <wp:extent cx="2852420" cy="723265"/>
            <wp:effectExtent l="1905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2852420" cy="723265"/>
                    </a:xfrm>
                    <a:prstGeom prst="rect">
                      <a:avLst/>
                    </a:prstGeom>
                    <a:noFill/>
                    <a:ln w="9525">
                      <a:noFill/>
                      <a:miter lim="800000"/>
                      <a:headEnd/>
                      <a:tailEnd/>
                    </a:ln>
                  </pic:spPr>
                </pic:pic>
              </a:graphicData>
            </a:graphic>
          </wp:inline>
        </w:drawing>
      </w:r>
    </w:p>
    <w:p w:rsidR="00000000" w:rsidRDefault="002E4D13">
      <w:pPr>
        <w:pStyle w:val="CM28"/>
        <w:spacing w:after="162"/>
        <w:ind w:left="950"/>
        <w:rPr>
          <w:rFonts w:ascii="MECBPK+Arial,Bold" w:hAnsi="MECBPK+Arial,Bold" w:cs="MECBPK+Arial,Bold"/>
          <w:sz w:val="16"/>
          <w:szCs w:val="16"/>
        </w:rPr>
      </w:pPr>
      <w:r>
        <w:rPr>
          <w:rFonts w:ascii="MECBPK+Arial,Bold" w:hAnsi="MECBPK+Arial,Bold" w:cs="MECBPK+Arial,Bold"/>
          <w:b/>
          <w:bCs/>
          <w:sz w:val="16"/>
          <w:szCs w:val="16"/>
        </w:rPr>
        <w:t xml:space="preserve">MEDIDAS DISCRIMANTES </w:t>
      </w:r>
    </w:p>
    <w:p w:rsidR="00000000" w:rsidRDefault="002E4D13">
      <w:pPr>
        <w:pStyle w:val="CM10"/>
        <w:jc w:val="both"/>
        <w:rPr>
          <w:rFonts w:ascii="MECBBC+Arial" w:hAnsi="MECBBC+Arial" w:cs="MECBBC+Arial"/>
          <w:sz w:val="8"/>
          <w:szCs w:val="8"/>
        </w:rPr>
      </w:pPr>
      <w:r>
        <w:rPr>
          <w:rFonts w:ascii="MECBBC+Arial" w:hAnsi="MECBBC+Arial" w:cs="MECBBC+Arial"/>
          <w:sz w:val="8"/>
          <w:szCs w:val="8"/>
        </w:rPr>
        <w:t xml:space="preserve">8,0E-7 </w:t>
      </w:r>
    </w:p>
    <w:p w:rsidR="00000000" w:rsidRDefault="002E4D13">
      <w:pPr>
        <w:pStyle w:val="Default"/>
        <w:rPr>
          <w:rFonts w:cstheme="minorBidi"/>
          <w:color w:val="auto"/>
        </w:rPr>
      </w:pPr>
      <w:r>
        <w:rPr>
          <w:noProof/>
        </w:rPr>
        <w:pict>
          <v:shape id="_x0000_s1030" type="#_x0000_t202" style="position:absolute;margin-left:339.7pt;margin-top:502.1pt;width:216.85pt;height:113.2pt;z-index:25166233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350"/>
                    <w:gridCol w:w="1385"/>
                    <w:gridCol w:w="2077"/>
                  </w:tblGrid>
                  <w:tr w:rsidR="00000000">
                    <w:tblPrEx>
                      <w:tblCellMar>
                        <w:top w:w="0" w:type="dxa"/>
                        <w:bottom w:w="0" w:type="dxa"/>
                      </w:tblCellMar>
                    </w:tblPrEx>
                    <w:trPr>
                      <w:wAfter w:w="2852" w:type="dxa"/>
                      <w:trHeight w:val="122"/>
                    </w:trPr>
                    <w:tc>
                      <w:tcPr>
                        <w:tcW w:w="75" w:type="dxa"/>
                        <w:tcBorders>
                          <w:top w:val="single" w:sz="4" w:space="0" w:color="F8F8F8"/>
                          <w:left w:val="single" w:sz="2" w:space="0" w:color="000000"/>
                          <w:bottom w:val="single" w:sz="4" w:space="0" w:color="000000"/>
                          <w:right w:val="single" w:sz="4" w:space="0" w:color="6D6D6D"/>
                        </w:tcBorders>
                      </w:tcPr>
                      <w:p w:rsidR="00000000" w:rsidRDefault="002E4D13">
                        <w:pPr>
                          <w:pStyle w:val="Default"/>
                          <w:rPr>
                            <w:rFonts w:cstheme="minorBidi"/>
                            <w:color w:val="auto"/>
                          </w:rPr>
                        </w:pPr>
                      </w:p>
                    </w:tc>
                    <w:tc>
                      <w:tcPr>
                        <w:tcW w:w="1385" w:type="dxa"/>
                        <w:vMerge w:val="restart"/>
                        <w:tcBorders>
                          <w:top w:val="single" w:sz="4" w:space="0" w:color="F8F8F8"/>
                          <w:left w:val="single" w:sz="4" w:space="0" w:color="6D6D6D"/>
                          <w:bottom w:val="single" w:sz="4" w:space="0" w:color="6F6F6F"/>
                        </w:tcBorders>
                        <w:shd w:val="clear" w:color="auto" w:fill="FFFFFF"/>
                        <w:vAlign w:val="bottom"/>
                      </w:tcPr>
                      <w:p w:rsidR="00000000" w:rsidRDefault="002E4D13">
                        <w:pPr>
                          <w:pStyle w:val="Default"/>
                          <w:rPr>
                            <w:rFonts w:ascii="MECBBC+Arial" w:hAnsi="MECBBC+Arial" w:cs="MECBBC+Arial"/>
                            <w:sz w:val="10"/>
                            <w:szCs w:val="10"/>
                          </w:rPr>
                        </w:pPr>
                        <w:r>
                          <w:rPr>
                            <w:rFonts w:ascii="MECBBC+Arial" w:hAnsi="MECBBC+Arial" w:cs="MECBBC+Arial"/>
                            <w:sz w:val="10"/>
                            <w:szCs w:val="10"/>
                          </w:rPr>
                          <w:t xml:space="preserve">Topologia de Cajero </w:t>
                        </w:r>
                      </w:p>
                    </w:tc>
                    <w:tc>
                      <w:tcPr>
                        <w:tcW w:w="2077" w:type="dxa"/>
                        <w:vMerge w:val="restart"/>
                        <w:tcBorders>
                          <w:top w:val="single" w:sz="4" w:space="0" w:color="F8F8F8"/>
                          <w:bottom w:val="single" w:sz="4" w:space="0" w:color="6F6F6F"/>
                          <w:right w:val="single" w:sz="4" w:space="0" w:color="F0F0F0"/>
                        </w:tcBorders>
                        <w:shd w:val="clear" w:color="auto" w:fill="FFFFFF"/>
                      </w:tcPr>
                      <w:p w:rsidR="00000000" w:rsidRDefault="002E4D13">
                        <w:pPr>
                          <w:pStyle w:val="Default"/>
                          <w:jc w:val="right"/>
                          <w:rPr>
                            <w:rFonts w:ascii="MECBBC+Arial" w:hAnsi="MECBBC+Arial" w:cs="MECBBC+Arial"/>
                            <w:sz w:val="10"/>
                            <w:szCs w:val="10"/>
                          </w:rPr>
                        </w:pPr>
                        <w:r>
                          <w:rPr>
                            <w:rFonts w:ascii="MECBBC+Arial" w:hAnsi="MECBBC+Arial" w:cs="MECBBC+Arial"/>
                            <w:sz w:val="10"/>
                            <w:szCs w:val="10"/>
                          </w:rPr>
                          <w:t xml:space="preserve">Tipo de Transacción </w:t>
                        </w:r>
                      </w:p>
                    </w:tc>
                  </w:tr>
                  <w:tr w:rsidR="00000000">
                    <w:tblPrEx>
                      <w:tblCellMar>
                        <w:top w:w="0" w:type="dxa"/>
                        <w:bottom w:w="0" w:type="dxa"/>
                      </w:tblCellMar>
                    </w:tblPrEx>
                    <w:trPr>
                      <w:wAfter w:w="2852" w:type="dxa"/>
                      <w:trHeight w:val="115"/>
                    </w:trPr>
                    <w:tc>
                      <w:tcPr>
                        <w:gridSpan w:val="0"/>
                      </w:tcPr>
                      <w:p w:rsidR="00000000" w:rsidRDefault="002E4D13">
                        <w:pPr>
                          <w:pStyle w:val="Default"/>
                          <w:rPr>
                            <w:rFonts w:cstheme="minorBidi"/>
                            <w:color w:val="auto"/>
                          </w:rPr>
                        </w:pPr>
                      </w:p>
                    </w:tc>
                    <w:tc>
                      <w:tcPr>
                        <w:tcW w:w="75" w:type="dxa"/>
                        <w:tcBorders>
                          <w:top w:val="single" w:sz="4" w:space="0" w:color="000000"/>
                          <w:left w:val="single" w:sz="2" w:space="0" w:color="000000"/>
                          <w:bottom w:val="single" w:sz="4" w:space="0" w:color="000000"/>
                          <w:right w:val="single" w:sz="4" w:space="0" w:color="6D6D6D"/>
                        </w:tcBorders>
                      </w:tcPr>
                      <w:p w:rsidR="00000000" w:rsidRDefault="002E4D13">
                        <w:pPr>
                          <w:pStyle w:val="Default"/>
                          <w:rPr>
                            <w:rFonts w:cstheme="minorBidi"/>
                            <w:color w:val="auto"/>
                          </w:rPr>
                        </w:pPr>
                      </w:p>
                    </w:tc>
                    <w:tc>
                      <w:tcPr>
                        <w:tcW w:w="1385" w:type="dxa"/>
                        <w:vMerge/>
                        <w:tcBorders>
                          <w:top w:val="single" w:sz="4" w:space="0" w:color="F8F8F8"/>
                          <w:left w:val="single" w:sz="4" w:space="0" w:color="6D6D6D"/>
                          <w:bottom w:val="single" w:sz="4" w:space="0" w:color="6F6F6F"/>
                        </w:tcBorders>
                        <w:shd w:val="clear" w:color="auto" w:fill="FFFFFF"/>
                        <w:vAlign w:val="bottom"/>
                      </w:tcPr>
                      <w:p w:rsidR="00000000" w:rsidRDefault="002E4D13">
                        <w:pPr>
                          <w:pStyle w:val="Default"/>
                          <w:rPr>
                            <w:rFonts w:cstheme="minorBidi"/>
                            <w:color w:val="auto"/>
                          </w:rPr>
                        </w:pPr>
                      </w:p>
                    </w:tc>
                    <w:tc>
                      <w:tcPr>
                        <w:tcW w:w="2077" w:type="dxa"/>
                        <w:vMerge/>
                        <w:tcBorders>
                          <w:top w:val="single" w:sz="4" w:space="0" w:color="F8F8F8"/>
                          <w:bottom w:val="single" w:sz="4" w:space="0" w:color="6F6F6F"/>
                          <w:right w:val="single" w:sz="4" w:space="0" w:color="F0F0F0"/>
                        </w:tcBorders>
                        <w:shd w:val="clear" w:color="auto" w:fill="FFFFFF"/>
                      </w:tcPr>
                      <w:p w:rsidR="00000000" w:rsidRDefault="002E4D13">
                        <w:pPr>
                          <w:pStyle w:val="Default"/>
                          <w:jc w:val="right"/>
                          <w:rPr>
                            <w:rFonts w:cstheme="minorBidi"/>
                            <w:color w:val="auto"/>
                          </w:rPr>
                        </w:pPr>
                      </w:p>
                    </w:tc>
                  </w:tr>
                  <w:tr w:rsidR="00000000">
                    <w:tblPrEx>
                      <w:tblCellMar>
                        <w:top w:w="0" w:type="dxa"/>
                        <w:bottom w:w="0" w:type="dxa"/>
                      </w:tblCellMar>
                    </w:tblPrEx>
                    <w:trPr>
                      <w:wAfter w:w="2852" w:type="dxa"/>
                      <w:trHeight w:val="115"/>
                    </w:trPr>
                    <w:tc>
                      <w:tcPr>
                        <w:gridSpan w:val="0"/>
                      </w:tcPr>
                      <w:p w:rsidR="00000000" w:rsidRDefault="002E4D13">
                        <w:pPr>
                          <w:pStyle w:val="Default"/>
                          <w:rPr>
                            <w:rFonts w:cstheme="minorBidi"/>
                            <w:color w:val="auto"/>
                          </w:rPr>
                        </w:pPr>
                      </w:p>
                    </w:tc>
                    <w:tc>
                      <w:tcPr>
                        <w:tcW w:w="75" w:type="dxa"/>
                        <w:tcBorders>
                          <w:top w:val="single" w:sz="4" w:space="0" w:color="000000"/>
                          <w:left w:val="single" w:sz="2" w:space="0" w:color="000000"/>
                          <w:bottom w:val="single" w:sz="4" w:space="0" w:color="000000"/>
                          <w:right w:val="single" w:sz="4" w:space="0" w:color="6D6D6D"/>
                        </w:tcBorders>
                      </w:tcPr>
                      <w:p w:rsidR="00000000" w:rsidRDefault="002E4D13">
                        <w:pPr>
                          <w:pStyle w:val="Default"/>
                          <w:rPr>
                            <w:rFonts w:cstheme="minorBidi"/>
                            <w:color w:val="auto"/>
                          </w:rPr>
                        </w:pPr>
                      </w:p>
                    </w:tc>
                    <w:tc>
                      <w:tcPr>
                        <w:tcW w:w="1385" w:type="dxa"/>
                        <w:vMerge/>
                        <w:tcBorders>
                          <w:top w:val="single" w:sz="4" w:space="0" w:color="F8F8F8"/>
                          <w:left w:val="single" w:sz="4" w:space="0" w:color="6D6D6D"/>
                          <w:bottom w:val="single" w:sz="4" w:space="0" w:color="6F6F6F"/>
                        </w:tcBorders>
                        <w:shd w:val="clear" w:color="auto" w:fill="FFFFFF"/>
                        <w:vAlign w:val="bottom"/>
                      </w:tcPr>
                      <w:p w:rsidR="00000000" w:rsidRDefault="002E4D13">
                        <w:pPr>
                          <w:pStyle w:val="Default"/>
                          <w:rPr>
                            <w:rFonts w:cstheme="minorBidi"/>
                            <w:color w:val="auto"/>
                          </w:rPr>
                        </w:pPr>
                      </w:p>
                    </w:tc>
                    <w:tc>
                      <w:tcPr>
                        <w:tcW w:w="2077" w:type="dxa"/>
                        <w:vMerge/>
                        <w:tcBorders>
                          <w:top w:val="single" w:sz="4" w:space="0" w:color="F8F8F8"/>
                          <w:bottom w:val="single" w:sz="4" w:space="0" w:color="6F6F6F"/>
                          <w:right w:val="single" w:sz="4" w:space="0" w:color="F0F0F0"/>
                        </w:tcBorders>
                        <w:shd w:val="clear" w:color="auto" w:fill="FFFFFF"/>
                      </w:tcPr>
                      <w:p w:rsidR="00000000" w:rsidRDefault="002E4D13">
                        <w:pPr>
                          <w:pStyle w:val="Default"/>
                          <w:jc w:val="right"/>
                          <w:rPr>
                            <w:rFonts w:cstheme="minorBidi"/>
                            <w:color w:val="auto"/>
                          </w:rPr>
                        </w:pPr>
                      </w:p>
                    </w:tc>
                  </w:tr>
                  <w:tr w:rsidR="00000000">
                    <w:tblPrEx>
                      <w:tblCellMar>
                        <w:top w:w="0" w:type="dxa"/>
                        <w:bottom w:w="0" w:type="dxa"/>
                      </w:tblCellMar>
                    </w:tblPrEx>
                    <w:trPr>
                      <w:wAfter w:w="2852" w:type="dxa"/>
                      <w:trHeight w:val="115"/>
                    </w:trPr>
                    <w:tc>
                      <w:tcPr>
                        <w:gridSpan w:val="0"/>
                      </w:tcPr>
                      <w:p w:rsidR="00000000" w:rsidRDefault="002E4D13">
                        <w:pPr>
                          <w:pStyle w:val="Default"/>
                          <w:rPr>
                            <w:rFonts w:cstheme="minorBidi"/>
                            <w:color w:val="auto"/>
                          </w:rPr>
                        </w:pPr>
                      </w:p>
                    </w:tc>
                    <w:tc>
                      <w:tcPr>
                        <w:tcW w:w="75" w:type="dxa"/>
                        <w:tcBorders>
                          <w:top w:val="single" w:sz="4" w:space="0" w:color="000000"/>
                          <w:left w:val="single" w:sz="2" w:space="0" w:color="000000"/>
                          <w:bottom w:val="single" w:sz="4" w:space="0" w:color="000000"/>
                          <w:right w:val="single" w:sz="4" w:space="0" w:color="6D6D6D"/>
                        </w:tcBorders>
                      </w:tcPr>
                      <w:p w:rsidR="00000000" w:rsidRDefault="002E4D13">
                        <w:pPr>
                          <w:pStyle w:val="Default"/>
                          <w:rPr>
                            <w:rFonts w:cstheme="minorBidi"/>
                            <w:color w:val="auto"/>
                          </w:rPr>
                        </w:pPr>
                      </w:p>
                    </w:tc>
                    <w:tc>
                      <w:tcPr>
                        <w:tcW w:w="1385" w:type="dxa"/>
                        <w:vMerge/>
                        <w:tcBorders>
                          <w:top w:val="single" w:sz="4" w:space="0" w:color="F8F8F8"/>
                          <w:left w:val="single" w:sz="4" w:space="0" w:color="6D6D6D"/>
                          <w:bottom w:val="single" w:sz="4" w:space="0" w:color="6F6F6F"/>
                        </w:tcBorders>
                        <w:shd w:val="clear" w:color="auto" w:fill="FFFFFF"/>
                        <w:vAlign w:val="bottom"/>
                      </w:tcPr>
                      <w:p w:rsidR="00000000" w:rsidRDefault="002E4D13">
                        <w:pPr>
                          <w:pStyle w:val="Default"/>
                          <w:rPr>
                            <w:rFonts w:cstheme="minorBidi"/>
                            <w:color w:val="auto"/>
                          </w:rPr>
                        </w:pPr>
                      </w:p>
                    </w:tc>
                    <w:tc>
                      <w:tcPr>
                        <w:tcW w:w="2077" w:type="dxa"/>
                        <w:vMerge/>
                        <w:tcBorders>
                          <w:top w:val="single" w:sz="4" w:space="0" w:color="F8F8F8"/>
                          <w:bottom w:val="single" w:sz="4" w:space="0" w:color="6F6F6F"/>
                          <w:right w:val="single" w:sz="4" w:space="0" w:color="F0F0F0"/>
                        </w:tcBorders>
                        <w:shd w:val="clear" w:color="auto" w:fill="FFFFFF"/>
                      </w:tcPr>
                      <w:p w:rsidR="00000000" w:rsidRDefault="002E4D13">
                        <w:pPr>
                          <w:pStyle w:val="Default"/>
                          <w:jc w:val="right"/>
                          <w:rPr>
                            <w:rFonts w:cstheme="minorBidi"/>
                            <w:color w:val="auto"/>
                          </w:rPr>
                        </w:pPr>
                      </w:p>
                    </w:tc>
                  </w:tr>
                  <w:tr w:rsidR="00000000">
                    <w:tblPrEx>
                      <w:tblCellMar>
                        <w:top w:w="0" w:type="dxa"/>
                        <w:bottom w:w="0" w:type="dxa"/>
                      </w:tblCellMar>
                    </w:tblPrEx>
                    <w:trPr>
                      <w:wAfter w:w="2852" w:type="dxa"/>
                      <w:trHeight w:val="116"/>
                    </w:trPr>
                    <w:tc>
                      <w:tcPr>
                        <w:gridSpan w:val="0"/>
                      </w:tcPr>
                      <w:p w:rsidR="00000000" w:rsidRDefault="002E4D13">
                        <w:pPr>
                          <w:pStyle w:val="Default"/>
                          <w:rPr>
                            <w:rFonts w:cstheme="minorBidi"/>
                            <w:color w:val="auto"/>
                          </w:rPr>
                        </w:pPr>
                      </w:p>
                    </w:tc>
                    <w:tc>
                      <w:tcPr>
                        <w:tcW w:w="75" w:type="dxa"/>
                        <w:tcBorders>
                          <w:top w:val="single" w:sz="4" w:space="0" w:color="000000"/>
                          <w:left w:val="single" w:sz="2" w:space="0" w:color="000000"/>
                          <w:bottom w:val="single" w:sz="4" w:space="0" w:color="000000"/>
                          <w:right w:val="single" w:sz="4" w:space="0" w:color="6D6D6D"/>
                        </w:tcBorders>
                      </w:tcPr>
                      <w:p w:rsidR="00000000" w:rsidRDefault="002E4D13">
                        <w:pPr>
                          <w:pStyle w:val="Default"/>
                          <w:rPr>
                            <w:rFonts w:cstheme="minorBidi"/>
                            <w:color w:val="auto"/>
                          </w:rPr>
                        </w:pPr>
                      </w:p>
                    </w:tc>
                    <w:tc>
                      <w:tcPr>
                        <w:tcW w:w="1385" w:type="dxa"/>
                        <w:vMerge/>
                        <w:tcBorders>
                          <w:top w:val="single" w:sz="4" w:space="0" w:color="F8F8F8"/>
                          <w:left w:val="single" w:sz="4" w:space="0" w:color="6D6D6D"/>
                          <w:bottom w:val="single" w:sz="4" w:space="0" w:color="6F6F6F"/>
                        </w:tcBorders>
                        <w:shd w:val="clear" w:color="auto" w:fill="FFFFFF"/>
                        <w:vAlign w:val="bottom"/>
                      </w:tcPr>
                      <w:p w:rsidR="00000000" w:rsidRDefault="002E4D13">
                        <w:pPr>
                          <w:pStyle w:val="Default"/>
                          <w:rPr>
                            <w:rFonts w:cstheme="minorBidi"/>
                            <w:color w:val="auto"/>
                          </w:rPr>
                        </w:pPr>
                      </w:p>
                    </w:tc>
                    <w:tc>
                      <w:tcPr>
                        <w:tcW w:w="2077" w:type="dxa"/>
                        <w:vMerge/>
                        <w:tcBorders>
                          <w:top w:val="single" w:sz="4" w:space="0" w:color="F8F8F8"/>
                          <w:bottom w:val="single" w:sz="4" w:space="0" w:color="6F6F6F"/>
                          <w:right w:val="single" w:sz="4" w:space="0" w:color="F0F0F0"/>
                        </w:tcBorders>
                        <w:shd w:val="clear" w:color="auto" w:fill="FFFFFF"/>
                      </w:tcPr>
                      <w:p w:rsidR="00000000" w:rsidRDefault="002E4D13">
                        <w:pPr>
                          <w:pStyle w:val="Default"/>
                          <w:jc w:val="right"/>
                          <w:rPr>
                            <w:rFonts w:cstheme="minorBidi"/>
                            <w:color w:val="auto"/>
                          </w:rPr>
                        </w:pPr>
                      </w:p>
                    </w:tc>
                  </w:tr>
                  <w:tr w:rsidR="00000000">
                    <w:tblPrEx>
                      <w:tblCellMar>
                        <w:top w:w="0" w:type="dxa"/>
                        <w:bottom w:w="0" w:type="dxa"/>
                      </w:tblCellMar>
                    </w:tblPrEx>
                    <w:trPr>
                      <w:wAfter w:w="2852" w:type="dxa"/>
                      <w:trHeight w:val="115"/>
                    </w:trPr>
                    <w:tc>
                      <w:tcPr>
                        <w:gridSpan w:val="0"/>
                      </w:tcPr>
                      <w:p w:rsidR="00000000" w:rsidRDefault="002E4D13">
                        <w:pPr>
                          <w:pStyle w:val="Default"/>
                          <w:rPr>
                            <w:rFonts w:cstheme="minorBidi"/>
                            <w:color w:val="auto"/>
                          </w:rPr>
                        </w:pPr>
                      </w:p>
                    </w:tc>
                    <w:tc>
                      <w:tcPr>
                        <w:tcW w:w="75" w:type="dxa"/>
                        <w:tcBorders>
                          <w:top w:val="single" w:sz="4" w:space="0" w:color="000000"/>
                          <w:left w:val="single" w:sz="2" w:space="0" w:color="000000"/>
                          <w:bottom w:val="single" w:sz="4" w:space="0" w:color="6F6F6F"/>
                          <w:right w:val="single" w:sz="4" w:space="0" w:color="6D6D6D"/>
                        </w:tcBorders>
                      </w:tcPr>
                      <w:p w:rsidR="00000000" w:rsidRDefault="002E4D13">
                        <w:pPr>
                          <w:pStyle w:val="Default"/>
                          <w:rPr>
                            <w:rFonts w:cstheme="minorBidi"/>
                            <w:color w:val="auto"/>
                          </w:rPr>
                        </w:pPr>
                      </w:p>
                    </w:tc>
                    <w:tc>
                      <w:tcPr>
                        <w:tcW w:w="1385" w:type="dxa"/>
                        <w:vMerge/>
                        <w:tcBorders>
                          <w:top w:val="single" w:sz="4" w:space="0" w:color="F8F8F8"/>
                          <w:left w:val="single" w:sz="4" w:space="0" w:color="6D6D6D"/>
                          <w:bottom w:val="single" w:sz="4" w:space="0" w:color="6F6F6F"/>
                        </w:tcBorders>
                        <w:shd w:val="clear" w:color="auto" w:fill="FFFFFF"/>
                        <w:vAlign w:val="bottom"/>
                      </w:tcPr>
                      <w:p w:rsidR="00000000" w:rsidRDefault="002E4D13">
                        <w:pPr>
                          <w:pStyle w:val="Default"/>
                          <w:rPr>
                            <w:rFonts w:cstheme="minorBidi"/>
                            <w:color w:val="auto"/>
                          </w:rPr>
                        </w:pPr>
                      </w:p>
                    </w:tc>
                    <w:tc>
                      <w:tcPr>
                        <w:tcW w:w="2077" w:type="dxa"/>
                        <w:vMerge/>
                        <w:tcBorders>
                          <w:top w:val="single" w:sz="4" w:space="0" w:color="F8F8F8"/>
                          <w:bottom w:val="single" w:sz="4" w:space="0" w:color="6F6F6F"/>
                          <w:right w:val="single" w:sz="4" w:space="0" w:color="F0F0F0"/>
                        </w:tcBorders>
                        <w:shd w:val="clear" w:color="auto" w:fill="FFFFFF"/>
                      </w:tcPr>
                      <w:p w:rsidR="00000000" w:rsidRDefault="002E4D13">
                        <w:pPr>
                          <w:pStyle w:val="Default"/>
                          <w:jc w:val="right"/>
                          <w:rPr>
                            <w:rFonts w:cstheme="minorBidi"/>
                            <w:color w:val="auto"/>
                          </w:rPr>
                        </w:pPr>
                      </w:p>
                    </w:tc>
                  </w:tr>
                  <w:tr w:rsidR="00000000">
                    <w:tblPrEx>
                      <w:tblCellMar>
                        <w:top w:w="0" w:type="dxa"/>
                        <w:bottom w:w="0" w:type="dxa"/>
                      </w:tblCellMar>
                    </w:tblPrEx>
                    <w:trPr>
                      <w:wAfter w:w="2852" w:type="dxa"/>
                      <w:trHeight w:val="31"/>
                    </w:trPr>
                    <w:tc>
                      <w:tcPr>
                        <w:tcW w:w="75" w:type="dxa"/>
                        <w:tcBorders>
                          <w:top w:val="single" w:sz="4" w:space="0" w:color="6F6F6F"/>
                          <w:left w:val="single" w:sz="2" w:space="0" w:color="000000"/>
                          <w:bottom w:val="single" w:sz="2" w:space="0" w:color="000000"/>
                          <w:right w:val="single" w:sz="4" w:space="0" w:color="6D6D6D"/>
                        </w:tcBorders>
                      </w:tcPr>
                      <w:p w:rsidR="00000000" w:rsidRDefault="002E4D13">
                        <w:pPr>
                          <w:pStyle w:val="Default"/>
                          <w:rPr>
                            <w:rFonts w:cstheme="minorBidi"/>
                            <w:color w:val="auto"/>
                          </w:rPr>
                        </w:pPr>
                      </w:p>
                    </w:tc>
                    <w:tc>
                      <w:tcPr>
                        <w:tcW w:w="1385" w:type="dxa"/>
                        <w:tcBorders>
                          <w:top w:val="single" w:sz="4" w:space="0" w:color="6F6F6F"/>
                          <w:left w:val="single" w:sz="4" w:space="0" w:color="6D6D6D"/>
                          <w:bottom w:val="single" w:sz="2" w:space="0" w:color="000000"/>
                        </w:tcBorders>
                      </w:tcPr>
                      <w:p w:rsidR="00000000" w:rsidRDefault="002E4D13">
                        <w:pPr>
                          <w:pStyle w:val="Default"/>
                          <w:rPr>
                            <w:rFonts w:cstheme="minorBidi"/>
                            <w:color w:val="auto"/>
                          </w:rPr>
                        </w:pPr>
                      </w:p>
                      <w:p w:rsidR="00000000" w:rsidRDefault="002E4D13">
                        <w:pPr>
                          <w:pStyle w:val="Default"/>
                          <w:rPr>
                            <w:rFonts w:cstheme="minorBidi"/>
                            <w:color w:val="auto"/>
                          </w:rPr>
                        </w:pPr>
                        <w:r>
                          <w:rPr>
                            <w:rFonts w:cstheme="minorBidi"/>
                            <w:noProof/>
                            <w:color w:val="auto"/>
                          </w:rPr>
                          <w:drawing>
                            <wp:inline distT="0" distB="0" distL="0" distR="0">
                              <wp:extent cx="13335" cy="54610"/>
                              <wp:effectExtent l="1905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13335" cy="54610"/>
                                      </a:xfrm>
                                      <a:prstGeom prst="rect">
                                        <a:avLst/>
                                      </a:prstGeom>
                                      <a:noFill/>
                                      <a:ln w="9525">
                                        <a:noFill/>
                                        <a:miter lim="800000"/>
                                        <a:headEnd/>
                                        <a:tailEnd/>
                                      </a:ln>
                                    </pic:spPr>
                                  </pic:pic>
                                </a:graphicData>
                              </a:graphic>
                            </wp:inline>
                          </w:drawing>
                        </w:r>
                      </w:p>
                    </w:tc>
                    <w:tc>
                      <w:tcPr>
                        <w:tcW w:w="2077" w:type="dxa"/>
                        <w:tcBorders>
                          <w:top w:val="single" w:sz="4" w:space="0" w:color="6F6F6F"/>
                          <w:bottom w:val="single" w:sz="2" w:space="0" w:color="000000"/>
                          <w:right w:val="single" w:sz="4" w:space="0" w:color="F0F0F0"/>
                        </w:tcBorders>
                      </w:tcPr>
                      <w:p w:rsidR="00000000" w:rsidRDefault="002E4D13">
                        <w:pPr>
                          <w:pStyle w:val="Default"/>
                          <w:jc w:val="right"/>
                          <w:rPr>
                            <w:rFonts w:cstheme="minorBidi"/>
                            <w:color w:val="auto"/>
                          </w:rPr>
                        </w:pPr>
                      </w:p>
                      <w:p w:rsidR="00000000" w:rsidRDefault="002E4D13">
                        <w:pPr>
                          <w:pStyle w:val="Default"/>
                          <w:spacing w:after="60"/>
                          <w:rPr>
                            <w:rFonts w:cstheme="minorBidi"/>
                            <w:color w:val="auto"/>
                          </w:rPr>
                        </w:pPr>
                        <w:r>
                          <w:rPr>
                            <w:rFonts w:cstheme="minorBidi"/>
                            <w:noProof/>
                            <w:color w:val="auto"/>
                          </w:rPr>
                          <w:drawing>
                            <wp:inline distT="0" distB="0" distL="0" distR="0">
                              <wp:extent cx="450215" cy="54610"/>
                              <wp:effectExtent l="1905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450215" cy="54610"/>
                                      </a:xfrm>
                                      <a:prstGeom prst="rect">
                                        <a:avLst/>
                                      </a:prstGeom>
                                      <a:noFill/>
                                      <a:ln w="9525">
                                        <a:noFill/>
                                        <a:miter lim="800000"/>
                                        <a:headEnd/>
                                        <a:tailEnd/>
                                      </a:ln>
                                    </pic:spPr>
                                  </pic:pic>
                                </a:graphicData>
                              </a:graphic>
                            </wp:inline>
                          </w:drawing>
                        </w:r>
                      </w:p>
                    </w:tc>
                  </w:tr>
                </w:tbl>
              </w:txbxContent>
            </v:textbox>
            <w10:wrap type="through" anchorx="page" anchory="page"/>
          </v:shape>
        </w:pict>
      </w:r>
    </w:p>
    <w:p w:rsidR="00000000" w:rsidRDefault="002E4D13">
      <w:pPr>
        <w:pStyle w:val="CM3"/>
        <w:jc w:val="center"/>
        <w:rPr>
          <w:sz w:val="8"/>
          <w:szCs w:val="8"/>
        </w:rPr>
      </w:pPr>
      <w:r>
        <w:rPr>
          <w:sz w:val="8"/>
          <w:szCs w:val="8"/>
        </w:rPr>
        <w:t xml:space="preserve">7,0E-7 6,0E-7 </w:t>
      </w:r>
    </w:p>
    <w:p w:rsidR="00000000" w:rsidRDefault="002E4D13">
      <w:pPr>
        <w:pStyle w:val="CM4"/>
        <w:jc w:val="both"/>
        <w:rPr>
          <w:sz w:val="8"/>
          <w:szCs w:val="8"/>
        </w:rPr>
      </w:pPr>
      <w:r>
        <w:rPr>
          <w:sz w:val="8"/>
          <w:szCs w:val="8"/>
        </w:rPr>
        <w:t xml:space="preserve">5,0E-7 4,0E-7 3,0E-7 </w:t>
      </w:r>
    </w:p>
    <w:p w:rsidR="00000000" w:rsidRDefault="002E4D13">
      <w:pPr>
        <w:pStyle w:val="CM6"/>
        <w:jc w:val="center"/>
        <w:rPr>
          <w:rFonts w:ascii="MECBPK+Arial,Bold" w:hAnsi="MECBPK+Arial,Bold" w:cs="MECBPK+Arial,Bold"/>
          <w:sz w:val="12"/>
          <w:szCs w:val="12"/>
        </w:rPr>
      </w:pPr>
      <w:r>
        <w:rPr>
          <w:rFonts w:ascii="MECBPK+Arial,Bold" w:hAnsi="MECBPK+Arial,Bold" w:cs="MECBPK+Arial,Bold"/>
          <w:b/>
          <w:bCs/>
          <w:sz w:val="12"/>
          <w:szCs w:val="12"/>
        </w:rPr>
        <w:t xml:space="preserve">Dimensión 2 </w:t>
      </w:r>
    </w:p>
    <w:p w:rsidR="00000000" w:rsidRDefault="002E4D13">
      <w:pPr>
        <w:pStyle w:val="CM6"/>
        <w:jc w:val="center"/>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Especializado de </w:t>
      </w:r>
    </w:p>
    <w:p w:rsidR="00000000" w:rsidRDefault="002E4D13">
      <w:pPr>
        <w:pStyle w:val="CM31"/>
        <w:spacing w:after="455"/>
        <w:jc w:val="center"/>
        <w:rPr>
          <w:rFonts w:ascii="MECBBC+Arial" w:hAnsi="MECBBC+Arial" w:cs="MECBBC+Arial"/>
          <w:sz w:val="16"/>
          <w:szCs w:val="16"/>
        </w:rPr>
      </w:pPr>
      <w:r>
        <w:rPr>
          <w:rFonts w:ascii="MECBBC+Arial" w:hAnsi="MECBBC+Arial" w:cs="MECBBC+Arial"/>
          <w:sz w:val="16"/>
          <w:szCs w:val="16"/>
        </w:rPr>
        <w:t xml:space="preserve">la Red de Cajeros Automáticos </w:t>
      </w:r>
    </w:p>
    <w:p w:rsidR="00000000" w:rsidRDefault="002E4D13">
      <w:pPr>
        <w:pStyle w:val="CM29"/>
        <w:spacing w:after="80"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 xml:space="preserve">El valor obtenido en la prueba Chi-Cuadrado es de 4,462.4 y el valor p es de 0.001, como es un valor menor a 0.01 existe suficiente evidencia estadística para rechazar la Hipótesis nula, lo que significa que la topología de cajero y el tipo </w:t>
      </w:r>
    </w:p>
    <w:p w:rsidR="00000000" w:rsidRDefault="002E4D13">
      <w:pPr>
        <w:pStyle w:val="Default"/>
        <w:rPr>
          <w:rFonts w:cstheme="minorBidi"/>
          <w:color w:val="auto"/>
        </w:rPr>
      </w:pPr>
      <w:r>
        <w:rPr>
          <w:noProof/>
        </w:rPr>
        <w:pict>
          <v:shape id="_x0000_s1031" type="#_x0000_t202" style="position:absolute;margin-left:75.05pt;margin-top:604.25pt;width:246.65pt;height:84.9pt;z-index:25166336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350"/>
                    <w:gridCol w:w="40"/>
                    <w:gridCol w:w="587"/>
                    <w:gridCol w:w="333"/>
                    <w:gridCol w:w="307"/>
                    <w:gridCol w:w="618"/>
                    <w:gridCol w:w="420"/>
                    <w:gridCol w:w="345"/>
                    <w:gridCol w:w="605"/>
                    <w:gridCol w:w="295"/>
                    <w:gridCol w:w="67"/>
                  </w:tblGrid>
                  <w:tr w:rsidR="00000000">
                    <w:tblPrEx>
                      <w:tblCellMar>
                        <w:top w:w="0" w:type="dxa"/>
                        <w:bottom w:w="0" w:type="dxa"/>
                      </w:tblCellMar>
                    </w:tblPrEx>
                    <w:trPr>
                      <w:gridAfter w:val="1"/>
                      <w:wAfter w:w="67" w:type="dxa"/>
                      <w:trHeight w:val="227"/>
                    </w:trPr>
                    <w:tc>
                      <w:tcPr>
                        <w:tcW w:w="3900" w:type="dxa"/>
                        <w:gridSpan w:val="10"/>
                      </w:tcPr>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de transacción</w:t>
                        </w:r>
                        <w:r>
                          <w:rPr>
                            <w:rFonts w:ascii="MEBOED+TimesNewRoman" w:hAnsi="MEBOED+TimesNewRoman" w:cs="MEBOED+TimesNewRoman"/>
                            <w:sz w:val="20"/>
                            <w:szCs w:val="20"/>
                          </w:rPr>
                          <w:t xml:space="preserve"> son dependientes. </w:t>
                        </w:r>
                      </w:p>
                    </w:tc>
                  </w:tr>
                  <w:tr w:rsidR="00000000">
                    <w:tblPrEx>
                      <w:tblCellMar>
                        <w:top w:w="0" w:type="dxa"/>
                        <w:bottom w:w="0" w:type="dxa"/>
                      </w:tblCellMar>
                    </w:tblPrEx>
                    <w:trPr>
                      <w:trHeight w:val="230"/>
                    </w:trPr>
                    <w:tc>
                      <w:tcPr>
                        <w:tcW w:w="390" w:type="dxa"/>
                        <w:gridSpan w:val="2"/>
                        <w:vAlign w:val="bottom"/>
                      </w:tcPr>
                      <w:p w:rsidR="00000000" w:rsidRDefault="002E4D13">
                        <w:pPr>
                          <w:pStyle w:val="Default"/>
                          <w:rPr>
                            <w:sz w:val="20"/>
                            <w:szCs w:val="20"/>
                          </w:rPr>
                        </w:pPr>
                        <w:r>
                          <w:rPr>
                            <w:b/>
                            <w:bCs/>
                            <w:sz w:val="20"/>
                            <w:szCs w:val="20"/>
                          </w:rPr>
                          <w:t xml:space="preserve">3.2. </w:t>
                        </w:r>
                      </w:p>
                    </w:tc>
                    <w:tc>
                      <w:tcPr>
                        <w:tcW w:w="920" w:type="dxa"/>
                        <w:gridSpan w:val="2"/>
                        <w:vAlign w:val="bottom"/>
                      </w:tcPr>
                      <w:p w:rsidR="00000000" w:rsidRDefault="002E4D13">
                        <w:pPr>
                          <w:pStyle w:val="Default"/>
                          <w:jc w:val="center"/>
                          <w:rPr>
                            <w:sz w:val="20"/>
                            <w:szCs w:val="20"/>
                          </w:rPr>
                        </w:pPr>
                        <w:r>
                          <w:rPr>
                            <w:b/>
                            <w:bCs/>
                            <w:sz w:val="20"/>
                            <w:szCs w:val="20"/>
                          </w:rPr>
                          <w:t xml:space="preserve">Análisis </w:t>
                        </w:r>
                      </w:p>
                    </w:tc>
                    <w:tc>
                      <w:tcPr>
                        <w:tcW w:w="307" w:type="dxa"/>
                        <w:vAlign w:val="bottom"/>
                      </w:tcPr>
                      <w:p w:rsidR="00000000" w:rsidRDefault="002E4D13">
                        <w:pPr>
                          <w:pStyle w:val="Default"/>
                          <w:rPr>
                            <w:sz w:val="20"/>
                            <w:szCs w:val="20"/>
                          </w:rPr>
                        </w:pPr>
                        <w:r>
                          <w:rPr>
                            <w:b/>
                            <w:bCs/>
                            <w:sz w:val="20"/>
                            <w:szCs w:val="20"/>
                          </w:rPr>
                          <w:t xml:space="preserve">de </w:t>
                        </w:r>
                      </w:p>
                    </w:tc>
                    <w:tc>
                      <w:tcPr>
                        <w:tcW w:w="1382" w:type="dxa"/>
                        <w:gridSpan w:val="3"/>
                        <w:vAlign w:val="bottom"/>
                      </w:tcPr>
                      <w:p w:rsidR="00000000" w:rsidRDefault="002E4D13">
                        <w:pPr>
                          <w:pStyle w:val="Default"/>
                          <w:jc w:val="center"/>
                          <w:rPr>
                            <w:sz w:val="20"/>
                            <w:szCs w:val="20"/>
                          </w:rPr>
                        </w:pPr>
                        <w:r>
                          <w:rPr>
                            <w:b/>
                            <w:bCs/>
                            <w:sz w:val="20"/>
                            <w:szCs w:val="20"/>
                          </w:rPr>
                          <w:t>Homogeneidad</w:t>
                        </w:r>
                      </w:p>
                    </w:tc>
                    <w:tc>
                      <w:tcPr>
                        <w:tcW w:w="605" w:type="dxa"/>
                        <w:vAlign w:val="bottom"/>
                      </w:tcPr>
                      <w:p w:rsidR="00000000" w:rsidRDefault="002E4D13">
                        <w:pPr>
                          <w:pStyle w:val="Default"/>
                          <w:rPr>
                            <w:sz w:val="20"/>
                            <w:szCs w:val="20"/>
                          </w:rPr>
                        </w:pPr>
                        <w:r>
                          <w:rPr>
                            <w:b/>
                            <w:bCs/>
                            <w:sz w:val="20"/>
                            <w:szCs w:val="20"/>
                          </w:rPr>
                          <w:t xml:space="preserve"> para</w:t>
                        </w:r>
                      </w:p>
                    </w:tc>
                    <w:tc>
                      <w:tcPr>
                        <w:tcW w:w="295" w:type="dxa"/>
                        <w:gridSpan w:val="2"/>
                        <w:vAlign w:val="bottom"/>
                      </w:tcPr>
                      <w:p w:rsidR="00000000" w:rsidRDefault="002E4D13">
                        <w:pPr>
                          <w:pStyle w:val="Default"/>
                          <w:rPr>
                            <w:sz w:val="20"/>
                            <w:szCs w:val="20"/>
                          </w:rPr>
                        </w:pPr>
                        <w:r>
                          <w:rPr>
                            <w:b/>
                            <w:bCs/>
                            <w:sz w:val="20"/>
                            <w:szCs w:val="20"/>
                          </w:rPr>
                          <w:t xml:space="preserve"> la </w:t>
                        </w:r>
                      </w:p>
                    </w:tc>
                  </w:tr>
                  <w:tr w:rsidR="00000000">
                    <w:tblPrEx>
                      <w:tblCellMar>
                        <w:top w:w="0" w:type="dxa"/>
                        <w:bottom w:w="0" w:type="dxa"/>
                      </w:tblCellMar>
                    </w:tblPrEx>
                    <w:trPr>
                      <w:trHeight w:val="115"/>
                    </w:trPr>
                    <w:tc>
                      <w:tcPr>
                        <w:tcW w:w="977" w:type="dxa"/>
                        <w:gridSpan w:val="3"/>
                      </w:tcPr>
                      <w:p w:rsidR="00000000" w:rsidRDefault="002E4D13">
                        <w:pPr>
                          <w:pStyle w:val="Default"/>
                          <w:rPr>
                            <w:sz w:val="20"/>
                            <w:szCs w:val="20"/>
                          </w:rPr>
                        </w:pPr>
                        <w:r>
                          <w:rPr>
                            <w:b/>
                            <w:bCs/>
                            <w:sz w:val="20"/>
                            <w:szCs w:val="20"/>
                          </w:rPr>
                          <w:t xml:space="preserve">Topología </w:t>
                        </w:r>
                      </w:p>
                    </w:tc>
                    <w:tc>
                      <w:tcPr>
                        <w:tcW w:w="332" w:type="dxa"/>
                      </w:tcPr>
                      <w:p w:rsidR="00000000" w:rsidRDefault="002E4D13">
                        <w:pPr>
                          <w:pStyle w:val="Default"/>
                          <w:jc w:val="center"/>
                          <w:rPr>
                            <w:sz w:val="20"/>
                            <w:szCs w:val="20"/>
                          </w:rPr>
                        </w:pPr>
                        <w:r>
                          <w:rPr>
                            <w:b/>
                            <w:bCs/>
                            <w:sz w:val="20"/>
                            <w:szCs w:val="20"/>
                          </w:rPr>
                          <w:t>de</w:t>
                        </w:r>
                      </w:p>
                    </w:tc>
                    <w:tc>
                      <w:tcPr>
                        <w:tcW w:w="925" w:type="dxa"/>
                        <w:gridSpan w:val="2"/>
                      </w:tcPr>
                      <w:p w:rsidR="00000000" w:rsidRDefault="002E4D13">
                        <w:pPr>
                          <w:pStyle w:val="Default"/>
                          <w:rPr>
                            <w:sz w:val="20"/>
                            <w:szCs w:val="20"/>
                          </w:rPr>
                        </w:pPr>
                        <w:r>
                          <w:rPr>
                            <w:b/>
                            <w:bCs/>
                            <w:sz w:val="20"/>
                            <w:szCs w:val="20"/>
                          </w:rPr>
                          <w:t xml:space="preserve"> Cajero </w:t>
                        </w:r>
                      </w:p>
                    </w:tc>
                    <w:tc>
                      <w:tcPr>
                        <w:tcW w:w="420" w:type="dxa"/>
                        <w:vAlign w:val="center"/>
                      </w:tcPr>
                      <w:p w:rsidR="00000000" w:rsidRDefault="002E4D13">
                        <w:pPr>
                          <w:pStyle w:val="Default"/>
                          <w:jc w:val="center"/>
                          <w:rPr>
                            <w:sz w:val="20"/>
                            <w:szCs w:val="20"/>
                          </w:rPr>
                        </w:pPr>
                        <w:r>
                          <w:rPr>
                            <w:b/>
                            <w:bCs/>
                            <w:sz w:val="20"/>
                            <w:szCs w:val="20"/>
                          </w:rPr>
                          <w:t xml:space="preserve">y </w:t>
                        </w:r>
                      </w:p>
                    </w:tc>
                    <w:tc>
                      <w:tcPr>
                        <w:tcW w:w="345" w:type="dxa"/>
                      </w:tcPr>
                      <w:p w:rsidR="00000000" w:rsidRDefault="002E4D13">
                        <w:pPr>
                          <w:pStyle w:val="Default"/>
                          <w:rPr>
                            <w:sz w:val="20"/>
                            <w:szCs w:val="20"/>
                          </w:rPr>
                        </w:pPr>
                        <w:r>
                          <w:rPr>
                            <w:b/>
                            <w:bCs/>
                            <w:sz w:val="20"/>
                            <w:szCs w:val="20"/>
                          </w:rPr>
                          <w:t>el</w:t>
                        </w:r>
                      </w:p>
                    </w:tc>
                    <w:tc>
                      <w:tcPr>
                        <w:tcW w:w="605" w:type="dxa"/>
                      </w:tcPr>
                      <w:p w:rsidR="00000000" w:rsidRDefault="002E4D13">
                        <w:pPr>
                          <w:pStyle w:val="Default"/>
                          <w:rPr>
                            <w:sz w:val="20"/>
                            <w:szCs w:val="20"/>
                          </w:rPr>
                        </w:pPr>
                        <w:r>
                          <w:rPr>
                            <w:b/>
                            <w:bCs/>
                            <w:sz w:val="20"/>
                            <w:szCs w:val="20"/>
                          </w:rPr>
                          <w:t xml:space="preserve"> Tipo</w:t>
                        </w:r>
                      </w:p>
                    </w:tc>
                    <w:tc>
                      <w:tcPr>
                        <w:tcW w:w="295" w:type="dxa"/>
                        <w:gridSpan w:val="2"/>
                      </w:tcPr>
                      <w:p w:rsidR="00000000" w:rsidRDefault="002E4D13">
                        <w:pPr>
                          <w:pStyle w:val="Default"/>
                          <w:jc w:val="right"/>
                          <w:rPr>
                            <w:sz w:val="20"/>
                            <w:szCs w:val="20"/>
                          </w:rPr>
                        </w:pPr>
                        <w:r>
                          <w:rPr>
                            <w:b/>
                            <w:bCs/>
                            <w:sz w:val="20"/>
                            <w:szCs w:val="20"/>
                          </w:rPr>
                          <w:t xml:space="preserve"> de </w:t>
                        </w:r>
                      </w:p>
                    </w:tc>
                  </w:tr>
                  <w:tr w:rsidR="00000000">
                    <w:tblPrEx>
                      <w:tblCellMar>
                        <w:top w:w="0" w:type="dxa"/>
                        <w:bottom w:w="0" w:type="dxa"/>
                      </w:tblCellMar>
                    </w:tblPrEx>
                    <w:trPr>
                      <w:trHeight w:val="81"/>
                    </w:trPr>
                    <w:tc>
                      <w:tcPr>
                        <w:tcW w:w="1310" w:type="dxa"/>
                        <w:gridSpan w:val="4"/>
                      </w:tcPr>
                      <w:p w:rsidR="00000000" w:rsidRDefault="002E4D13">
                        <w:pPr>
                          <w:pStyle w:val="Default"/>
                          <w:rPr>
                            <w:sz w:val="20"/>
                            <w:szCs w:val="20"/>
                          </w:rPr>
                        </w:pPr>
                        <w:r>
                          <w:rPr>
                            <w:b/>
                            <w:bCs/>
                            <w:sz w:val="20"/>
                            <w:szCs w:val="20"/>
                          </w:rPr>
                          <w:t xml:space="preserve">Transacción. </w:t>
                        </w:r>
                      </w:p>
                    </w:tc>
                    <w:tc>
                      <w:tcPr>
                        <w:tcW w:w="1345" w:type="dxa"/>
                        <w:gridSpan w:val="3"/>
                      </w:tcPr>
                      <w:p w:rsidR="00000000" w:rsidRDefault="002E4D13">
                        <w:pPr>
                          <w:pStyle w:val="Default"/>
                          <w:jc w:val="center"/>
                          <w:rPr>
                            <w:rFonts w:cstheme="minorBidi"/>
                            <w:color w:val="auto"/>
                          </w:rPr>
                        </w:pPr>
                      </w:p>
                    </w:tc>
                    <w:tc>
                      <w:tcPr>
                        <w:tcW w:w="345" w:type="dxa"/>
                      </w:tcPr>
                      <w:p w:rsidR="00000000" w:rsidRDefault="002E4D13">
                        <w:pPr>
                          <w:pStyle w:val="Default"/>
                          <w:rPr>
                            <w:rFonts w:cstheme="minorBidi"/>
                            <w:color w:val="auto"/>
                          </w:rPr>
                        </w:pPr>
                      </w:p>
                    </w:tc>
                    <w:tc>
                      <w:tcPr>
                        <w:tcW w:w="605" w:type="dxa"/>
                      </w:tcPr>
                      <w:p w:rsidR="00000000" w:rsidRDefault="002E4D13">
                        <w:pPr>
                          <w:pStyle w:val="Default"/>
                          <w:jc w:val="center"/>
                          <w:rPr>
                            <w:rFonts w:cstheme="minorBidi"/>
                            <w:color w:val="auto"/>
                          </w:rPr>
                        </w:pPr>
                      </w:p>
                    </w:tc>
                    <w:tc>
                      <w:tcPr>
                        <w:tcW w:w="295" w:type="dxa"/>
                        <w:gridSpan w:val="2"/>
                      </w:tcPr>
                      <w:p w:rsidR="00000000" w:rsidRDefault="002E4D13">
                        <w:pPr>
                          <w:pStyle w:val="Default"/>
                          <w:rPr>
                            <w:rFonts w:cstheme="minorBidi"/>
                            <w:color w:val="auto"/>
                          </w:rPr>
                        </w:pPr>
                      </w:p>
                    </w:tc>
                  </w:tr>
                </w:tbl>
              </w:txbxContent>
            </v:textbox>
            <w10:wrap type="through" anchorx="page" anchory="page"/>
          </v:shape>
        </w:pict>
      </w:r>
    </w:p>
    <w:p w:rsidR="00000000" w:rsidRDefault="002E4D13">
      <w:pPr>
        <w:pStyle w:val="CM4"/>
        <w:jc w:val="both"/>
        <w:rPr>
          <w:rFonts w:cs="MEBOFJ+TimesNewRoman,Bold"/>
          <w:sz w:val="20"/>
          <w:szCs w:val="20"/>
        </w:rPr>
      </w:pPr>
      <w:r>
        <w:rPr>
          <w:rFonts w:ascii="MEBOED+TimesNewRoman" w:hAnsi="MEBOED+TimesNewRoman" w:cs="MEBOED+TimesNewRoman"/>
          <w:sz w:val="20"/>
          <w:szCs w:val="20"/>
        </w:rPr>
        <w:t>De la prueba Chi-cuadrado se obtuvo que la Topología de Cajero de las transacciones realizadas en la ciudad de Guayaquil duran</w:t>
      </w:r>
      <w:r>
        <w:rPr>
          <w:rFonts w:ascii="MEBOED+TimesNewRoman" w:hAnsi="MEBOED+TimesNewRoman" w:cs="MEBOED+TimesNewRoman"/>
          <w:sz w:val="20"/>
          <w:szCs w:val="20"/>
        </w:rPr>
        <w:t xml:space="preserve">te el período de estudio y el Tipo de Transacción son dependientes por lo que se procede a realizar el análisis de Homogeneidad. </w:t>
      </w:r>
      <w:r>
        <w:rPr>
          <w:rFonts w:cs="MEBOFJ+TimesNewRoman,Bold"/>
          <w:b/>
          <w:bCs/>
          <w:sz w:val="20"/>
          <w:szCs w:val="20"/>
        </w:rPr>
        <w:t xml:space="preserve">(7) </w:t>
      </w:r>
    </w:p>
    <w:p w:rsidR="00000000" w:rsidRDefault="002E4D13">
      <w:pPr>
        <w:pStyle w:val="Default"/>
        <w:ind w:left="252"/>
        <w:jc w:val="both"/>
        <w:rPr>
          <w:rFonts w:ascii="MECBBC+Arial" w:hAnsi="MECBBC+Arial" w:cs="MECBBC+Arial"/>
          <w:color w:val="auto"/>
          <w:sz w:val="8"/>
          <w:szCs w:val="8"/>
        </w:rPr>
      </w:pPr>
      <w:r>
        <w:rPr>
          <w:rFonts w:ascii="MECBBC+Arial" w:hAnsi="MECBBC+Arial" w:cs="MECBBC+Arial"/>
          <w:color w:val="auto"/>
          <w:sz w:val="8"/>
          <w:szCs w:val="8"/>
        </w:rPr>
        <w:t xml:space="preserve">2,0E-7 </w:t>
      </w:r>
    </w:p>
    <w:p w:rsidR="00000000" w:rsidRDefault="002E4D13">
      <w:pPr>
        <w:pStyle w:val="Default"/>
        <w:ind w:left="472"/>
        <w:jc w:val="both"/>
        <w:rPr>
          <w:rFonts w:ascii="MECBBC+Arial" w:hAnsi="MECBBC+Arial" w:cs="MECBBC+Arial"/>
          <w:color w:val="auto"/>
          <w:sz w:val="8"/>
          <w:szCs w:val="8"/>
        </w:rPr>
      </w:pPr>
      <w:r>
        <w:rPr>
          <w:rFonts w:ascii="MECBBC+Arial" w:hAnsi="MECBBC+Arial" w:cs="MECBBC+Arial"/>
          <w:color w:val="auto"/>
          <w:sz w:val="8"/>
          <w:szCs w:val="8"/>
        </w:rPr>
        <w:t>1,2E-6 1,5E-6 1,8E-6 2,1E-6 2,4E-6 2,7E</w:t>
      </w:r>
      <w:r>
        <w:rPr>
          <w:rFonts w:ascii="MECBBC+Arial" w:hAnsi="MECBBC+Arial" w:cs="MECBBC+Arial"/>
          <w:color w:val="auto"/>
          <w:sz w:val="8"/>
          <w:szCs w:val="8"/>
        </w:rPr>
        <w:softHyphen/>
      </w:r>
    </w:p>
    <w:p w:rsidR="00000000" w:rsidRDefault="002E4D13">
      <w:pPr>
        <w:pStyle w:val="CM28"/>
        <w:spacing w:after="162"/>
        <w:ind w:left="1970"/>
        <w:jc w:val="both"/>
        <w:rPr>
          <w:rFonts w:ascii="MECBPK+Arial,Bold" w:hAnsi="MECBPK+Arial,Bold" w:cs="MECBPK+Arial,Bold"/>
          <w:sz w:val="12"/>
          <w:szCs w:val="12"/>
        </w:rPr>
      </w:pPr>
      <w:r>
        <w:rPr>
          <w:rFonts w:ascii="MECBPK+Arial,Bold" w:hAnsi="MECBPK+Arial,Bold" w:cs="MECBPK+Arial,Bold"/>
          <w:b/>
          <w:bCs/>
          <w:sz w:val="12"/>
          <w:szCs w:val="12"/>
        </w:rPr>
        <w:t xml:space="preserve">Dimensión 1 </w:t>
      </w:r>
    </w:p>
    <w:p w:rsidR="00000000" w:rsidRDefault="002E4D13">
      <w:pPr>
        <w:pStyle w:val="CM27"/>
        <w:spacing w:after="225" w:line="186" w:lineRule="atLeast"/>
        <w:jc w:val="center"/>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Departamento de Soporte Especializado de la Red de C</w:t>
      </w:r>
      <w:r>
        <w:rPr>
          <w:rFonts w:ascii="MECBBC+Arial" w:hAnsi="MECBBC+Arial" w:cs="MECBBC+Arial"/>
          <w:sz w:val="16"/>
          <w:szCs w:val="16"/>
        </w:rPr>
        <w:t xml:space="preserve">ajeros Automáticos </w:t>
      </w:r>
    </w:p>
    <w:p w:rsidR="00000000" w:rsidRDefault="002E4D13">
      <w:pPr>
        <w:pStyle w:val="CM27"/>
        <w:spacing w:after="225" w:line="231" w:lineRule="atLeast"/>
        <w:ind w:right="240"/>
        <w:rPr>
          <w:rFonts w:ascii="MEBOED+TimesNewRoman" w:hAnsi="MEBOED+TimesNewRoman" w:cs="MEBOED+TimesNewRoman"/>
          <w:sz w:val="20"/>
          <w:szCs w:val="20"/>
        </w:rPr>
      </w:pPr>
      <w:r>
        <w:rPr>
          <w:rFonts w:ascii="MEBOED+TimesNewRoman" w:hAnsi="MEBOED+TimesNewRoman" w:cs="MEBOED+TimesNewRoman"/>
          <w:sz w:val="20"/>
          <w:szCs w:val="20"/>
        </w:rPr>
        <w:t xml:space="preserve">En la tabla XIII se puede apreciar la frecuencia marginal para la variable Topología de Cajero, se observa que de las 2’893.894 transacciones bajo estudio 2’823,572 corresponden a la </w:t>
      </w:r>
      <w:r>
        <w:rPr>
          <w:rFonts w:ascii="MEBOED+TimesNewRoman" w:hAnsi="MEBOED+TimesNewRoman" w:cs="MEBOED+TimesNewRoman"/>
          <w:sz w:val="20"/>
          <w:szCs w:val="20"/>
        </w:rPr>
        <w:lastRenderedPageBreak/>
        <w:t>modalidad Back End y 70,322 a modalidad Front End. Ta</w:t>
      </w:r>
      <w:r>
        <w:rPr>
          <w:rFonts w:ascii="MEBOED+TimesNewRoman" w:hAnsi="MEBOED+TimesNewRoman" w:cs="MEBOED+TimesNewRoman"/>
          <w:sz w:val="20"/>
          <w:szCs w:val="20"/>
        </w:rPr>
        <w:t xml:space="preserve">mbién se puede apreciar las cuantificaciones categóricas para esta variable, </w:t>
      </w:r>
      <w:r>
        <w:rPr>
          <w:rFonts w:ascii="MEBOED+TimesNewRoman" w:hAnsi="MEBOED+TimesNewRoman" w:cs="MEBOED+TimesNewRoman"/>
          <w:sz w:val="20"/>
          <w:szCs w:val="20"/>
        </w:rPr>
        <w:softHyphen/>
        <w:t>0.00017 de la categoría “Back End” en la dimensión uno es la media de las puntuaciones en esta dimensión de los casos registrados en esta modalidad. Información más detallada pue</w:t>
      </w:r>
      <w:r>
        <w:rPr>
          <w:rFonts w:ascii="MEBOED+TimesNewRoman" w:hAnsi="MEBOED+TimesNewRoman" w:cs="MEBOED+TimesNewRoman"/>
          <w:sz w:val="20"/>
          <w:szCs w:val="20"/>
        </w:rPr>
        <w:t xml:space="preserve">de ser apreciada en la tabla que se presenta a continuación. </w:t>
      </w:r>
    </w:p>
    <w:p w:rsidR="00000000" w:rsidRDefault="002E4D13">
      <w:pPr>
        <w:pStyle w:val="CM29"/>
        <w:pageBreakBefore/>
        <w:spacing w:after="80" w:line="183" w:lineRule="atLeast"/>
        <w:ind w:left="1227" w:right="720" w:firstLine="565"/>
        <w:rPr>
          <w:rFonts w:ascii="MECBPK+Arial,Bold" w:hAnsi="MECBPK+Arial,Bold" w:cs="MECBPK+Arial,Bold"/>
          <w:sz w:val="16"/>
          <w:szCs w:val="16"/>
        </w:rPr>
      </w:pPr>
      <w:r>
        <w:rPr>
          <w:rFonts w:ascii="MECBPK+Arial,Bold" w:hAnsi="MECBPK+Arial,Bold" w:cs="MECBPK+Arial,Bold"/>
          <w:b/>
          <w:bCs/>
          <w:sz w:val="16"/>
          <w:szCs w:val="16"/>
        </w:rPr>
        <w:lastRenderedPageBreak/>
        <w:t xml:space="preserve">TABLA XIII FRECUENCIA MARGINAL </w:t>
      </w:r>
    </w:p>
    <w:p w:rsidR="00000000" w:rsidRDefault="002E4D13">
      <w:pPr>
        <w:pStyle w:val="Default"/>
        <w:framePr w:w="5270" w:wrap="auto" w:vAnchor="page" w:hAnchor="page" w:x="1415" w:y="2447"/>
        <w:rPr>
          <w:rFonts w:ascii="MECBPK+Arial,Bold" w:hAnsi="MECBPK+Arial,Bold" w:cs="MECBPK+Arial,Bold"/>
          <w:color w:val="auto"/>
          <w:sz w:val="16"/>
          <w:szCs w:val="16"/>
        </w:rPr>
      </w:pPr>
      <w:r>
        <w:rPr>
          <w:rFonts w:ascii="MECBPK+Arial,Bold" w:hAnsi="MECBPK+Arial,Bold" w:cs="MECBPK+Arial,Bold"/>
          <w:noProof/>
          <w:color w:val="auto"/>
          <w:sz w:val="16"/>
          <w:szCs w:val="16"/>
        </w:rPr>
        <w:drawing>
          <wp:inline distT="0" distB="0" distL="0" distR="0">
            <wp:extent cx="2838450" cy="126936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2838450" cy="1269365"/>
                    </a:xfrm>
                    <a:prstGeom prst="rect">
                      <a:avLst/>
                    </a:prstGeom>
                    <a:noFill/>
                    <a:ln w="9525">
                      <a:noFill/>
                      <a:miter lim="800000"/>
                      <a:headEnd/>
                      <a:tailEnd/>
                    </a:ln>
                  </pic:spPr>
                </pic:pic>
              </a:graphicData>
            </a:graphic>
          </wp:inline>
        </w:drawing>
      </w:r>
    </w:p>
    <w:p w:rsidR="00000000" w:rsidRDefault="002E4D13">
      <w:pPr>
        <w:pStyle w:val="CM27"/>
        <w:spacing w:after="225" w:line="186" w:lineRule="atLeast"/>
        <w:ind w:left="930" w:hanging="753"/>
        <w:jc w:val="both"/>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Especializado de la Red de Cajeros Automáticos </w:t>
      </w:r>
    </w:p>
    <w:p w:rsidR="00000000" w:rsidRDefault="002E4D13">
      <w:pPr>
        <w:pStyle w:val="CM26"/>
        <w:spacing w:after="342" w:line="231" w:lineRule="atLeast"/>
        <w:jc w:val="both"/>
        <w:rPr>
          <w:rFonts w:ascii="MEBOED+TimesNewRoman" w:hAnsi="MEBOED+TimesNewRoman" w:cs="MEBOED+TimesNewRoman"/>
          <w:sz w:val="20"/>
          <w:szCs w:val="20"/>
        </w:rPr>
      </w:pPr>
      <w:r>
        <w:rPr>
          <w:rFonts w:ascii="MEBOED+TimesNewRoman" w:hAnsi="MEBOED+TimesNewRoman" w:cs="MEBOED+TimesNewRoman"/>
          <w:sz w:val="20"/>
          <w:szCs w:val="20"/>
        </w:rPr>
        <w:t>Como podemos observar en el gráfico 13 el grupo de topología Back End se encuentra muy cercano de la mayorí</w:t>
      </w:r>
      <w:r>
        <w:rPr>
          <w:rFonts w:ascii="MEBOED+TimesNewRoman" w:hAnsi="MEBOED+TimesNewRoman" w:cs="MEBOED+TimesNewRoman"/>
          <w:sz w:val="20"/>
          <w:szCs w:val="20"/>
        </w:rPr>
        <w:t xml:space="preserve">a de grupos de retiros de ahorros y corrientes. </w:t>
      </w:r>
    </w:p>
    <w:p w:rsidR="00000000" w:rsidRDefault="002E4D13">
      <w:pPr>
        <w:pStyle w:val="Default"/>
        <w:spacing w:line="423" w:lineRule="atLeast"/>
        <w:rPr>
          <w:rFonts w:ascii="MECBBC+Arial" w:hAnsi="MECBBC+Arial" w:cs="MECBBC+Arial"/>
          <w:color w:val="auto"/>
          <w:sz w:val="12"/>
          <w:szCs w:val="12"/>
        </w:rPr>
      </w:pPr>
      <w:r>
        <w:rPr>
          <w:rFonts w:ascii="MECBBC+Arial" w:hAnsi="MECBBC+Arial" w:cs="MECBBC+Arial"/>
          <w:color w:val="auto"/>
          <w:sz w:val="12"/>
          <w:szCs w:val="12"/>
        </w:rPr>
        <w:t xml:space="preserve">0,004 0,002 0,000 -0,002 -0,004 </w:t>
      </w:r>
    </w:p>
    <w:p w:rsidR="00000000" w:rsidRDefault="002E4D13">
      <w:pPr>
        <w:pStyle w:val="CM28"/>
        <w:spacing w:after="162" w:line="186" w:lineRule="atLeast"/>
        <w:jc w:val="center"/>
        <w:rPr>
          <w:rFonts w:ascii="MECBPK+Arial,Bold" w:hAnsi="MECBPK+Arial,Bold" w:cs="MECBPK+Arial,Bold"/>
          <w:sz w:val="16"/>
          <w:szCs w:val="16"/>
        </w:rPr>
      </w:pPr>
      <w:r>
        <w:rPr>
          <w:rFonts w:ascii="MECBPK+Arial,Bold" w:hAnsi="MECBPK+Arial,Bold" w:cs="MECBPK+Arial,Bold"/>
          <w:b/>
          <w:bCs/>
          <w:sz w:val="16"/>
          <w:szCs w:val="16"/>
        </w:rPr>
        <w:t xml:space="preserve">GRAFICO 13 CUANTIFICACIONES </w:t>
      </w:r>
    </w:p>
    <w:p w:rsidR="00000000" w:rsidRDefault="002E4D13">
      <w:pPr>
        <w:pStyle w:val="Default"/>
        <w:framePr w:w="5699" w:wrap="auto" w:vAnchor="page" w:hAnchor="page" w:x="992" w:y="5924"/>
        <w:rPr>
          <w:rFonts w:ascii="MECBPK+Arial,Bold" w:hAnsi="MECBPK+Arial,Bold" w:cs="MECBPK+Arial,Bold"/>
          <w:color w:val="auto"/>
          <w:sz w:val="16"/>
          <w:szCs w:val="16"/>
        </w:rPr>
      </w:pPr>
      <w:r>
        <w:rPr>
          <w:rFonts w:ascii="MECBPK+Arial,Bold" w:hAnsi="MECBPK+Arial,Bold" w:cs="MECBPK+Arial,Bold"/>
          <w:noProof/>
          <w:color w:val="auto"/>
          <w:sz w:val="16"/>
          <w:szCs w:val="16"/>
        </w:rPr>
        <w:drawing>
          <wp:inline distT="0" distB="0" distL="0" distR="0">
            <wp:extent cx="2211070" cy="135128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2211070" cy="1351280"/>
                    </a:xfrm>
                    <a:prstGeom prst="rect">
                      <a:avLst/>
                    </a:prstGeom>
                    <a:noFill/>
                    <a:ln w="9525">
                      <a:noFill/>
                      <a:miter lim="800000"/>
                      <a:headEnd/>
                      <a:tailEnd/>
                    </a:ln>
                  </pic:spPr>
                </pic:pic>
              </a:graphicData>
            </a:graphic>
          </wp:inline>
        </w:drawing>
      </w:r>
    </w:p>
    <w:p w:rsidR="00000000" w:rsidRDefault="002E4D13">
      <w:pPr>
        <w:pStyle w:val="CM6"/>
        <w:jc w:val="center"/>
        <w:rPr>
          <w:rFonts w:ascii="MECBBC+Arial" w:hAnsi="MECBBC+Arial" w:cs="MECBBC+Arial"/>
          <w:sz w:val="12"/>
          <w:szCs w:val="12"/>
        </w:rPr>
      </w:pPr>
      <w:r>
        <w:rPr>
          <w:rFonts w:ascii="MECBPK+Arial,Bold" w:hAnsi="MECBPK+Arial,Bold" w:cs="MECBPK+Arial,Bold"/>
          <w:noProof/>
          <w:sz w:val="16"/>
          <w:szCs w:val="16"/>
        </w:rPr>
        <w:drawing>
          <wp:inline distT="0" distB="0" distL="0" distR="0">
            <wp:extent cx="95250" cy="9525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rFonts w:ascii="MECBBC+Arial" w:hAnsi="MECBBC+Arial" w:cs="MECBBC+Arial"/>
          <w:sz w:val="12"/>
          <w:szCs w:val="12"/>
        </w:rPr>
        <w:t>T</w:t>
      </w:r>
      <w:r>
        <w:rPr>
          <w:rFonts w:ascii="MECBBC+Arial" w:hAnsi="MECBBC+Arial" w:cs="MECBBC+Arial"/>
          <w:sz w:val="12"/>
          <w:szCs w:val="12"/>
        </w:rPr>
        <w:t xml:space="preserve">ipo de </w:t>
      </w:r>
    </w:p>
    <w:p w:rsidR="00000000" w:rsidRDefault="002E4D13">
      <w:pPr>
        <w:pStyle w:val="CM23"/>
        <w:ind w:left="190"/>
        <w:rPr>
          <w:rFonts w:ascii="MECBBC+Arial" w:hAnsi="MECBBC+Arial" w:cs="MECBBC+Arial"/>
          <w:sz w:val="12"/>
          <w:szCs w:val="12"/>
        </w:rPr>
      </w:pPr>
      <w:r>
        <w:rPr>
          <w:rFonts w:ascii="MECBBC+Arial" w:hAnsi="MECBBC+Arial" w:cs="MECBBC+Arial"/>
          <w:sz w:val="12"/>
          <w:szCs w:val="12"/>
        </w:rPr>
        <w:t xml:space="preserve">Transacción </w:t>
      </w:r>
    </w:p>
    <w:p w:rsidR="00000000" w:rsidRDefault="002E4D13">
      <w:pPr>
        <w:pStyle w:val="CM23"/>
        <w:ind w:left="190"/>
        <w:rPr>
          <w:rFonts w:ascii="MECBBC+Arial" w:hAnsi="MECBBC+Arial" w:cs="MECBBC+Arial"/>
          <w:sz w:val="12"/>
          <w:szCs w:val="12"/>
        </w:rPr>
      </w:pPr>
      <w:r>
        <w:rPr>
          <w:rFonts w:ascii="MECBBC+Arial" w:hAnsi="MECBBC+Arial" w:cs="MECBBC+Arial"/>
          <w:noProof/>
          <w:sz w:val="12"/>
          <w:szCs w:val="12"/>
        </w:rPr>
        <w:drawing>
          <wp:inline distT="0" distB="0" distL="0" distR="0">
            <wp:extent cx="95250" cy="81915"/>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95250" cy="81915"/>
                    </a:xfrm>
                    <a:prstGeom prst="rect">
                      <a:avLst/>
                    </a:prstGeom>
                    <a:noFill/>
                    <a:ln w="9525">
                      <a:noFill/>
                      <a:miter lim="800000"/>
                      <a:headEnd/>
                      <a:tailEnd/>
                    </a:ln>
                  </pic:spPr>
                </pic:pic>
              </a:graphicData>
            </a:graphic>
          </wp:inline>
        </w:drawing>
      </w:r>
      <w:r>
        <w:rPr>
          <w:rFonts w:ascii="MECBBC+Arial" w:hAnsi="MECBBC+Arial" w:cs="MECBBC+Arial"/>
          <w:sz w:val="12"/>
          <w:szCs w:val="12"/>
        </w:rPr>
        <w:t xml:space="preserve">Topologia de </w:t>
      </w:r>
    </w:p>
    <w:p w:rsidR="00000000" w:rsidRDefault="002E4D13">
      <w:pPr>
        <w:pStyle w:val="CM31"/>
        <w:spacing w:after="455"/>
        <w:jc w:val="center"/>
        <w:rPr>
          <w:rFonts w:ascii="MECBBC+Arial" w:hAnsi="MECBBC+Arial" w:cs="MECBBC+Arial"/>
          <w:sz w:val="12"/>
          <w:szCs w:val="12"/>
        </w:rPr>
      </w:pPr>
      <w:r>
        <w:rPr>
          <w:rFonts w:ascii="MECBBC+Arial" w:hAnsi="MECBBC+Arial" w:cs="MECBBC+Arial"/>
          <w:sz w:val="12"/>
          <w:szCs w:val="12"/>
        </w:rPr>
        <w:t xml:space="preserve">Cajero </w:t>
      </w:r>
    </w:p>
    <w:p w:rsidR="00000000" w:rsidRDefault="002E4D13">
      <w:pPr>
        <w:pStyle w:val="CM31"/>
        <w:spacing w:after="455" w:line="186" w:lineRule="atLeast"/>
        <w:ind w:left="930" w:hanging="753"/>
        <w:jc w:val="both"/>
        <w:rPr>
          <w:rFonts w:ascii="MECBBC+Arial" w:hAnsi="MECBBC+Arial" w:cs="MECBBC+Arial"/>
          <w:sz w:val="16"/>
          <w:szCs w:val="16"/>
        </w:rPr>
      </w:pPr>
      <w:r>
        <w:rPr>
          <w:rFonts w:ascii="MECBPK+Arial,Bold" w:hAnsi="MECBPK+Arial,Bold" w:cs="MECBPK+Arial,Bold"/>
          <w:b/>
          <w:bCs/>
          <w:sz w:val="16"/>
          <w:szCs w:val="16"/>
        </w:rPr>
        <w:t xml:space="preserve">Fuente: </w:t>
      </w:r>
      <w:r>
        <w:rPr>
          <w:rFonts w:ascii="MECBBC+Arial" w:hAnsi="MECBBC+Arial" w:cs="MECBBC+Arial"/>
          <w:sz w:val="16"/>
          <w:szCs w:val="16"/>
        </w:rPr>
        <w:t xml:space="preserve">Departamento de Soporte Especializado de la Red de Cajeros Automáticos </w:t>
      </w:r>
    </w:p>
    <w:p w:rsidR="00000000" w:rsidRDefault="002E4D13">
      <w:pPr>
        <w:pStyle w:val="CM27"/>
        <w:spacing w:after="225" w:line="231" w:lineRule="atLeast"/>
        <w:ind w:left="1315"/>
        <w:jc w:val="both"/>
        <w:rPr>
          <w:rFonts w:cs="MEBOFJ+TimesNewRoman,Bold"/>
          <w:sz w:val="20"/>
          <w:szCs w:val="20"/>
        </w:rPr>
      </w:pPr>
      <w:r>
        <w:rPr>
          <w:rFonts w:cs="MEBOFJ+TimesNewRoman,Bold"/>
          <w:b/>
          <w:bCs/>
          <w:sz w:val="20"/>
          <w:szCs w:val="20"/>
        </w:rPr>
        <w:t xml:space="preserve">CONCLUSIONES </w:t>
      </w:r>
    </w:p>
    <w:p w:rsidR="00000000" w:rsidRDefault="002E4D13">
      <w:pPr>
        <w:pStyle w:val="Default"/>
        <w:numPr>
          <w:ilvl w:val="0"/>
          <w:numId w:val="2"/>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El 21.6% de los tarjeta habientes que usan la red pertenecen a Produbanco, el 20.2% al Banco Bolivariano, el 14.7% de Banco Guayaquil, el 13.6% de clientes de Banco del Pichincha, el 10.6% de Banco del Pacífico, 7.6% Banco Internacional, y finalmente otros</w:t>
      </w:r>
      <w:r>
        <w:rPr>
          <w:rFonts w:ascii="MEBOED+TimesNewRoman" w:hAnsi="MEBOED+TimesNewRoman" w:cs="MEBOED+TimesNewRoman"/>
          <w:color w:val="auto"/>
          <w:sz w:val="20"/>
          <w:szCs w:val="20"/>
        </w:rPr>
        <w:t xml:space="preserve"> clientes representando el 11.7% </w:t>
      </w:r>
    </w:p>
    <w:p w:rsidR="00000000" w:rsidRDefault="002E4D13">
      <w:pPr>
        <w:pStyle w:val="Default"/>
        <w:numPr>
          <w:ilvl w:val="0"/>
          <w:numId w:val="2"/>
        </w:numPr>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El 28% de los tarjeta habientes prefieren los cajeros de Banco Bolivariano, el 27% los cajeros de Banco de Guayaquil, el 14% los cajeros de Banco del Pacífico, el 13% utilizan los cajeros de Banco Internacional, el 7% los </w:t>
      </w:r>
      <w:r>
        <w:rPr>
          <w:rFonts w:ascii="MEBOED+TimesNewRoman" w:hAnsi="MEBOED+TimesNewRoman" w:cs="MEBOED+TimesNewRoman"/>
          <w:color w:val="auto"/>
          <w:sz w:val="20"/>
          <w:szCs w:val="20"/>
        </w:rPr>
        <w:t xml:space="preserve">cajeros de Banco del Pichincha, un 5% los cajeros de Produbanco y finalmente los cajeros de Banco del Austro, Banco Amazonas, Banco de Machala y Banco Centro Mundo son utilizados un 6% por los clientes de la red de cajeros automáticos en la ciudad de </w:t>
      </w:r>
      <w:r>
        <w:rPr>
          <w:rFonts w:ascii="MEBOED+TimesNewRoman" w:hAnsi="MEBOED+TimesNewRoman" w:cs="MEBOED+TimesNewRoman"/>
          <w:color w:val="auto"/>
          <w:sz w:val="20"/>
          <w:szCs w:val="20"/>
        </w:rPr>
        <w:lastRenderedPageBreak/>
        <w:t>Guaya</w:t>
      </w:r>
      <w:r>
        <w:rPr>
          <w:rFonts w:ascii="MEBOED+TimesNewRoman" w:hAnsi="MEBOED+TimesNewRoman" w:cs="MEBOED+TimesNewRoman"/>
          <w:color w:val="auto"/>
          <w:sz w:val="20"/>
          <w:szCs w:val="20"/>
        </w:rPr>
        <w:t xml:space="preserve">quil. </w:t>
      </w:r>
    </w:p>
    <w:p w:rsidR="00000000" w:rsidRDefault="002E4D13">
      <w:pPr>
        <w:pStyle w:val="Default"/>
        <w:rPr>
          <w:rFonts w:ascii="MEBOED+TimesNewRoman" w:hAnsi="MEBOED+TimesNewRoman" w:cs="MEBOED+TimesNewRoman"/>
          <w:color w:val="auto"/>
          <w:sz w:val="20"/>
          <w:szCs w:val="20"/>
        </w:rPr>
      </w:pPr>
    </w:p>
    <w:p w:rsidR="00000000" w:rsidRDefault="002E4D13">
      <w:pPr>
        <w:pStyle w:val="Default"/>
        <w:numPr>
          <w:ilvl w:val="0"/>
          <w:numId w:val="3"/>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En el cruce transaccional entre las entidades adquirentes y autorizadoras se obtiene que no existen transacciones cruzadas entre Banco del Pacífico y Banco de Guayaquil, y entre Banco de del Pacífico y Banco del Pichincha. </w:t>
      </w:r>
    </w:p>
    <w:p w:rsidR="00000000" w:rsidRDefault="002E4D13">
      <w:pPr>
        <w:pStyle w:val="Default"/>
        <w:numPr>
          <w:ilvl w:val="0"/>
          <w:numId w:val="3"/>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De los 289 cajeros autom</w:t>
      </w:r>
      <w:r>
        <w:rPr>
          <w:rFonts w:ascii="MEBOED+TimesNewRoman" w:hAnsi="MEBOED+TimesNewRoman" w:cs="MEBOED+TimesNewRoman"/>
          <w:color w:val="auto"/>
          <w:sz w:val="20"/>
          <w:szCs w:val="20"/>
        </w:rPr>
        <w:t xml:space="preserve">áticos el dispositivo con mayor demanda transaccional registró 245 transacciones diarias aproximadamente. </w:t>
      </w:r>
    </w:p>
    <w:p w:rsidR="00000000" w:rsidRDefault="002E4D13">
      <w:pPr>
        <w:pStyle w:val="Default"/>
        <w:numPr>
          <w:ilvl w:val="0"/>
          <w:numId w:val="3"/>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El 60% de las transacciones realizadas por los tarjeta habientes en la ciudad de Guayaquil son retiros de cuentas de ahorros, el 17% son transaccione</w:t>
      </w:r>
      <w:r>
        <w:rPr>
          <w:rFonts w:ascii="MEBOED+TimesNewRoman" w:hAnsi="MEBOED+TimesNewRoman" w:cs="MEBOED+TimesNewRoman"/>
          <w:color w:val="auto"/>
          <w:sz w:val="20"/>
          <w:szCs w:val="20"/>
        </w:rPr>
        <w:t xml:space="preserve">s de retiro de cuenta corriente, el 17% corresponde a consulta de cuentas de ahorros, solo un 4% son transacciones de consulta de cuentas corrientes. </w:t>
      </w:r>
    </w:p>
    <w:p w:rsidR="00000000" w:rsidRDefault="002E4D13">
      <w:pPr>
        <w:pStyle w:val="Default"/>
        <w:numPr>
          <w:ilvl w:val="0"/>
          <w:numId w:val="3"/>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Las marcas de cajero con mayores demandas en la ciudad de Guayaquil son la marca Diebold con el 66%, NCR </w:t>
      </w:r>
      <w:r>
        <w:rPr>
          <w:rFonts w:ascii="MEBOED+TimesNewRoman" w:hAnsi="MEBOED+TimesNewRoman" w:cs="MEBOED+TimesNewRoman"/>
          <w:color w:val="auto"/>
          <w:sz w:val="20"/>
          <w:szCs w:val="20"/>
        </w:rPr>
        <w:t xml:space="preserve">con el 29% y WinCord con el 5%. </w:t>
      </w:r>
    </w:p>
    <w:p w:rsidR="00000000" w:rsidRDefault="002E4D13">
      <w:pPr>
        <w:pStyle w:val="Default"/>
        <w:numPr>
          <w:ilvl w:val="0"/>
          <w:numId w:val="3"/>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Los montos de retiros de $20.00, $10.00, $50.00 y $60.00 corresponden más del 54% de los montos que los clientes solicitan en la red de cajeros en sus requerimientos transaccionales. </w:t>
      </w:r>
    </w:p>
    <w:p w:rsidR="00000000" w:rsidRDefault="002E4D13">
      <w:pPr>
        <w:pStyle w:val="Default"/>
        <w:numPr>
          <w:ilvl w:val="0"/>
          <w:numId w:val="3"/>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El 72% de las transacciones realizadas </w:t>
      </w:r>
      <w:r>
        <w:rPr>
          <w:rFonts w:ascii="MEBOED+TimesNewRoman" w:hAnsi="MEBOED+TimesNewRoman" w:cs="MEBOED+TimesNewRoman"/>
          <w:color w:val="auto"/>
          <w:sz w:val="20"/>
          <w:szCs w:val="20"/>
        </w:rPr>
        <w:t>por los clientes de la red se resuelven exitosamente, el 28% restante se declina especialmente por conceptos como fondos insuficientes, cupo de retiro excedido, banco fuera de línea, clave ingresada incorrectamente y transacción no disponible por el moment</w:t>
      </w:r>
      <w:r>
        <w:rPr>
          <w:rFonts w:ascii="MEBOED+TimesNewRoman" w:hAnsi="MEBOED+TimesNewRoman" w:cs="MEBOED+TimesNewRoman"/>
          <w:color w:val="auto"/>
          <w:sz w:val="20"/>
          <w:szCs w:val="20"/>
        </w:rPr>
        <w:t xml:space="preserve">o. </w:t>
      </w:r>
    </w:p>
    <w:p w:rsidR="00000000" w:rsidRDefault="002E4D13">
      <w:pPr>
        <w:pStyle w:val="Default"/>
        <w:numPr>
          <w:ilvl w:val="0"/>
          <w:numId w:val="3"/>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El 53% de las transacciones fueron realizadas en el norte, el 28% y 19% de las transacciones fueron realizadas en el centro y sur de la ciudad respectivamente. </w:t>
      </w:r>
    </w:p>
    <w:p w:rsidR="00000000" w:rsidRDefault="002E4D13">
      <w:pPr>
        <w:pStyle w:val="Default"/>
        <w:numPr>
          <w:ilvl w:val="0"/>
          <w:numId w:val="3"/>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El 99% de las transacciones realizadas a través de la red de cajeros automáticos se realiza</w:t>
      </w:r>
      <w:r>
        <w:rPr>
          <w:rFonts w:ascii="MEBOED+TimesNewRoman" w:hAnsi="MEBOED+TimesNewRoman" w:cs="MEBOED+TimesNewRoman"/>
          <w:color w:val="auto"/>
          <w:sz w:val="20"/>
          <w:szCs w:val="20"/>
        </w:rPr>
        <w:t xml:space="preserve">n con tarjetas de débito y solamente el 1% con tarjetas de crédito. </w:t>
      </w:r>
    </w:p>
    <w:p w:rsidR="00000000" w:rsidRDefault="002E4D13">
      <w:pPr>
        <w:pStyle w:val="Default"/>
        <w:numPr>
          <w:ilvl w:val="0"/>
          <w:numId w:val="3"/>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El 78% de la transaccionalidad es realizado con cuentas de ahorros, el 21% con cuentas corrientes y solamente 1% con cuentas de crédito. </w:t>
      </w:r>
    </w:p>
    <w:p w:rsidR="00000000" w:rsidRDefault="002E4D13">
      <w:pPr>
        <w:pStyle w:val="Default"/>
        <w:numPr>
          <w:ilvl w:val="0"/>
          <w:numId w:val="3"/>
        </w:numPr>
        <w:rPr>
          <w:rFonts w:ascii="MEBOED+TimesNewRoman" w:hAnsi="MEBOED+TimesNewRoman" w:cs="MEBOED+TimesNewRoman"/>
          <w:color w:val="auto"/>
          <w:sz w:val="20"/>
          <w:szCs w:val="20"/>
        </w:rPr>
      </w:pPr>
      <w:r>
        <w:rPr>
          <w:rFonts w:ascii="MEBOED+TimesNewRoman" w:hAnsi="MEBOED+TimesNewRoman" w:cs="MEBOED+TimesNewRoman"/>
          <w:color w:val="auto"/>
          <w:sz w:val="20"/>
          <w:szCs w:val="20"/>
        </w:rPr>
        <w:t>La mayor demanda transaccional se efectúo en el m</w:t>
      </w:r>
      <w:r>
        <w:rPr>
          <w:rFonts w:ascii="MEBOED+TimesNewRoman" w:hAnsi="MEBOED+TimesNewRoman" w:cs="MEBOED+TimesNewRoman"/>
          <w:color w:val="auto"/>
          <w:sz w:val="20"/>
          <w:szCs w:val="20"/>
        </w:rPr>
        <w:t xml:space="preserve">es de diciembre con el 10% lo cual es coherente por los gastos que generalmente se incurren para las fiestas </w:t>
      </w:r>
    </w:p>
    <w:p w:rsidR="00000000" w:rsidRDefault="002E4D13">
      <w:pPr>
        <w:pStyle w:val="Default"/>
        <w:rPr>
          <w:rFonts w:ascii="MEBOED+TimesNewRoman" w:hAnsi="MEBOED+TimesNewRoman" w:cs="MEBOED+TimesNewRoman"/>
          <w:color w:val="auto"/>
          <w:sz w:val="20"/>
          <w:szCs w:val="20"/>
        </w:rPr>
      </w:pPr>
    </w:p>
    <w:p w:rsidR="00000000" w:rsidRDefault="002E4D13">
      <w:pPr>
        <w:pStyle w:val="Default"/>
        <w:rPr>
          <w:rFonts w:ascii="MECBPK+Arial,Bold" w:hAnsi="MECBPK+Arial,Bold" w:cs="MECBPK+Arial,Bold"/>
          <w:color w:val="auto"/>
          <w:sz w:val="16"/>
          <w:szCs w:val="16"/>
        </w:rPr>
      </w:pPr>
      <w:r>
        <w:rPr>
          <w:rFonts w:ascii="MECBPK+Arial,Bold" w:hAnsi="MECBPK+Arial,Bold" w:cs="MECBPK+Arial,Bold"/>
          <w:b/>
          <w:bCs/>
          <w:color w:val="auto"/>
          <w:sz w:val="16"/>
          <w:szCs w:val="16"/>
        </w:rPr>
        <w:t>Dimensión 2</w:t>
      </w:r>
    </w:p>
    <w:p w:rsidR="00000000" w:rsidRDefault="002E4D13">
      <w:pPr>
        <w:pStyle w:val="Default"/>
        <w:rPr>
          <w:rFonts w:cstheme="minorBidi"/>
          <w:color w:val="auto"/>
        </w:rPr>
        <w:sectPr w:rsidR="00000000">
          <w:type w:val="continuous"/>
          <w:pgSz w:w="11900" w:h="17340"/>
          <w:pgMar w:top="1139" w:right="1113" w:bottom="668" w:left="1474" w:header="720" w:footer="720" w:gutter="0"/>
          <w:cols w:num="2" w:space="720" w:equalWidth="0">
            <w:col w:w="4174" w:space="331"/>
            <w:col w:w="4182"/>
          </w:cols>
          <w:noEndnote/>
        </w:sectPr>
      </w:pPr>
    </w:p>
    <w:p w:rsidR="00000000" w:rsidRDefault="002E4D13">
      <w:pPr>
        <w:pStyle w:val="Default"/>
        <w:pageBreakBefore/>
        <w:spacing w:after="225" w:line="231" w:lineRule="atLeast"/>
        <w:ind w:left="360" w:right="62"/>
        <w:jc w:val="both"/>
        <w:rPr>
          <w:rFonts w:ascii="MEBOED+TimesNewRoman" w:hAnsi="MEBOED+TimesNewRoman" w:cs="MEBOED+TimesNewRoman"/>
          <w:color w:val="auto"/>
          <w:sz w:val="20"/>
          <w:szCs w:val="20"/>
        </w:rPr>
      </w:pPr>
      <w:r>
        <w:rPr>
          <w:rFonts w:ascii="MEBOED+TimesNewRoman" w:hAnsi="MEBOED+TimesNewRoman" w:cs="MEBOED+TimesNewRoman"/>
          <w:color w:val="auto"/>
          <w:sz w:val="20"/>
          <w:szCs w:val="20"/>
        </w:rPr>
        <w:lastRenderedPageBreak/>
        <w:t>navideñas y fin de añ</w:t>
      </w:r>
      <w:r>
        <w:rPr>
          <w:rFonts w:ascii="MEBOED+TimesNewRoman" w:hAnsi="MEBOED+TimesNewRoman" w:cs="MEBOED+TimesNewRoman"/>
          <w:color w:val="auto"/>
          <w:sz w:val="20"/>
          <w:szCs w:val="20"/>
        </w:rPr>
        <w:t xml:space="preserve">o, los meses con menor transaccionalidad fueron Febrero con el 7.8% y Junio con el 7.9%. </w:t>
      </w:r>
    </w:p>
    <w:p w:rsidR="00000000" w:rsidRDefault="002E4D13">
      <w:pPr>
        <w:pStyle w:val="Default"/>
        <w:numPr>
          <w:ilvl w:val="0"/>
          <w:numId w:val="4"/>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La mayor demanda transaccional se efectúo con un 5% en la primera quincena de cada mes, con el 4% tenemos: el primer día del mes, el treinta de cada mes, el dieciséis</w:t>
      </w:r>
      <w:r>
        <w:rPr>
          <w:rFonts w:ascii="MEBOED+TimesNewRoman" w:hAnsi="MEBOED+TimesNewRoman" w:cs="MEBOED+TimesNewRoman"/>
          <w:color w:val="auto"/>
          <w:sz w:val="20"/>
          <w:szCs w:val="20"/>
        </w:rPr>
        <w:t xml:space="preserve"> de cada mes, el  catorce de cada mes y el diecisiete de cada mes; por otro lado tenemos que entre los días menos transaccionales están: veinticinco, veintiséis, nueve, entre otros. </w:t>
      </w:r>
    </w:p>
    <w:p w:rsidR="00000000" w:rsidRDefault="002E4D13">
      <w:pPr>
        <w:pStyle w:val="Default"/>
        <w:numPr>
          <w:ilvl w:val="0"/>
          <w:numId w:val="4"/>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Se realiza el análisis del cálculo de probabilidades y de las posiciones </w:t>
      </w:r>
      <w:r>
        <w:rPr>
          <w:rFonts w:ascii="MEBOED+TimesNewRoman" w:hAnsi="MEBOED+TimesNewRoman" w:cs="MEBOED+TimesNewRoman"/>
          <w:color w:val="auto"/>
          <w:sz w:val="20"/>
          <w:szCs w:val="20"/>
        </w:rPr>
        <w:t xml:space="preserve">reales a nivel autorizador manteniendo todas las posiciones a excepción del quinto y sexto puesto entre Banco del Pacífico y el otro grupo de entidades autorizadoras. </w:t>
      </w:r>
    </w:p>
    <w:p w:rsidR="00000000" w:rsidRDefault="002E4D13">
      <w:pPr>
        <w:pStyle w:val="Default"/>
        <w:numPr>
          <w:ilvl w:val="0"/>
          <w:numId w:val="4"/>
        </w:numPr>
        <w:spacing w:after="166"/>
        <w:rPr>
          <w:rFonts w:ascii="MEBOED+TimesNewRoman" w:hAnsi="MEBOED+TimesNewRoman" w:cs="MEBOED+TimesNewRoman"/>
          <w:color w:val="auto"/>
          <w:sz w:val="20"/>
          <w:szCs w:val="20"/>
        </w:rPr>
      </w:pPr>
      <w:r>
        <w:rPr>
          <w:rFonts w:ascii="MEBOED+TimesNewRoman" w:hAnsi="MEBOED+TimesNewRoman" w:cs="MEBOED+TimesNewRoman"/>
          <w:color w:val="auto"/>
          <w:sz w:val="20"/>
          <w:szCs w:val="20"/>
        </w:rPr>
        <w:t xml:space="preserve">Se realiza el análisis del cálculo de probabilidades y de las posiciones reales a nivel </w:t>
      </w:r>
      <w:r>
        <w:rPr>
          <w:rFonts w:ascii="MEBOED+TimesNewRoman" w:hAnsi="MEBOED+TimesNewRoman" w:cs="MEBOED+TimesNewRoman"/>
          <w:color w:val="auto"/>
          <w:sz w:val="20"/>
          <w:szCs w:val="20"/>
        </w:rPr>
        <w:t>adquirente, de los siete bancos en estudio se mantiene la sexta y séptima posición con otros bancos adquirentes y Produbanco, las cinco primeras posiciones si bien es cierto se encuentran los mismos bancos adquirentes no guardan la misma posición entre ell</w:t>
      </w:r>
      <w:r>
        <w:rPr>
          <w:rFonts w:ascii="MEBOED+TimesNewRoman" w:hAnsi="MEBOED+TimesNewRoman" w:cs="MEBOED+TimesNewRoman"/>
          <w:color w:val="auto"/>
          <w:sz w:val="20"/>
          <w:szCs w:val="20"/>
        </w:rPr>
        <w:t xml:space="preserve">os. </w:t>
      </w:r>
    </w:p>
    <w:p w:rsidR="00000000" w:rsidRDefault="002E4D13">
      <w:pPr>
        <w:pStyle w:val="Default"/>
        <w:numPr>
          <w:ilvl w:val="0"/>
          <w:numId w:val="4"/>
        </w:numPr>
        <w:rPr>
          <w:rFonts w:ascii="MEBOED+TimesNewRoman" w:hAnsi="MEBOED+TimesNewRoman" w:cs="MEBOED+TimesNewRoman"/>
          <w:color w:val="auto"/>
          <w:sz w:val="20"/>
          <w:szCs w:val="20"/>
        </w:rPr>
      </w:pPr>
      <w:r>
        <w:rPr>
          <w:rFonts w:ascii="MEBOED+TimesNewRoman" w:hAnsi="MEBOED+TimesNewRoman" w:cs="MEBOED+TimesNewRoman"/>
          <w:color w:val="auto"/>
          <w:sz w:val="20"/>
          <w:szCs w:val="20"/>
        </w:rPr>
        <w:t>Se realiza el análisis de tabla de contingencia entre las variables de estudio determinando la dependencia entre las variables Topología de cajero y tipo de transacción, Topología de cajero y valor de transacción, Topología de cajero y respuesta de tr</w:t>
      </w:r>
      <w:r>
        <w:rPr>
          <w:rFonts w:ascii="MEBOED+TimesNewRoman" w:hAnsi="MEBOED+TimesNewRoman" w:cs="MEBOED+TimesNewRoman"/>
          <w:color w:val="auto"/>
          <w:sz w:val="20"/>
          <w:szCs w:val="20"/>
        </w:rPr>
        <w:t xml:space="preserve">ansacción, topología de cajero y zona de la ciudad, entre otras debido a las características transaccionales de los requerimientos. </w:t>
      </w:r>
    </w:p>
    <w:p w:rsidR="00000000" w:rsidRDefault="002E4D13">
      <w:pPr>
        <w:pStyle w:val="Default"/>
        <w:rPr>
          <w:rFonts w:ascii="MEBOED+TimesNewRoman" w:hAnsi="MEBOED+TimesNewRoman" w:cs="MEBOED+TimesNewRoman"/>
          <w:color w:val="auto"/>
          <w:sz w:val="20"/>
          <w:szCs w:val="20"/>
        </w:rPr>
      </w:pPr>
    </w:p>
    <w:p w:rsidR="00000000" w:rsidRDefault="002E4D13">
      <w:pPr>
        <w:pStyle w:val="CM27"/>
        <w:spacing w:after="225" w:line="231" w:lineRule="atLeast"/>
        <w:jc w:val="center"/>
        <w:rPr>
          <w:rFonts w:cs="MEBOFJ+TimesNewRoman,Bold"/>
          <w:sz w:val="20"/>
          <w:szCs w:val="20"/>
        </w:rPr>
      </w:pPr>
      <w:r>
        <w:rPr>
          <w:rFonts w:cs="MEBOFJ+TimesNewRoman,Bold"/>
          <w:b/>
          <w:bCs/>
          <w:sz w:val="20"/>
          <w:szCs w:val="20"/>
        </w:rPr>
        <w:t xml:space="preserve">REFERENCIAS BIBLIOGRÁFICAS </w:t>
      </w:r>
    </w:p>
    <w:p w:rsidR="00000000" w:rsidRDefault="002E4D13">
      <w:pPr>
        <w:pStyle w:val="CM25"/>
        <w:ind w:left="720" w:hanging="360"/>
        <w:jc w:val="both"/>
        <w:rPr>
          <w:rFonts w:ascii="MEBOED+TimesNewRoman" w:hAnsi="MEBOED+TimesNewRoman" w:cs="MEBOED+TimesNewRoman"/>
          <w:sz w:val="20"/>
          <w:szCs w:val="20"/>
        </w:rPr>
      </w:pPr>
      <w:r>
        <w:rPr>
          <w:rFonts w:ascii="MEBOED+TimesNewRoman" w:hAnsi="MEBOED+TimesNewRoman" w:cs="MEBOED+TimesNewRoman"/>
          <w:sz w:val="20"/>
          <w:szCs w:val="20"/>
        </w:rPr>
        <w:t xml:space="preserve">1. </w:t>
      </w:r>
      <w:r>
        <w:rPr>
          <w:rFonts w:cs="MEBOFJ+TimesNewRoman,Bold"/>
          <w:b/>
          <w:bCs/>
          <w:sz w:val="20"/>
          <w:szCs w:val="20"/>
        </w:rPr>
        <w:t>Historia de la Red de Cajeros Automáticos</w:t>
      </w:r>
      <w:r>
        <w:rPr>
          <w:rFonts w:ascii="MEBOED+TimesNewRoman" w:hAnsi="MEBOED+TimesNewRoman" w:cs="MEBOED+TimesNewRoman"/>
          <w:sz w:val="20"/>
          <w:szCs w:val="20"/>
        </w:rPr>
        <w:t xml:space="preserve">, extraído el 20 noviembre del 2004 de la página </w:t>
      </w:r>
    </w:p>
    <w:p w:rsidR="00000000" w:rsidRDefault="002E4D13">
      <w:pPr>
        <w:pStyle w:val="Default"/>
        <w:spacing w:line="228" w:lineRule="atLeast"/>
        <w:ind w:left="720"/>
        <w:jc w:val="both"/>
        <w:rPr>
          <w:rFonts w:ascii="MEBOED+TimesNewRoman" w:hAnsi="MEBOED+TimesNewRoman" w:cs="MEBOED+TimesNewRoman"/>
          <w:color w:val="0000FF"/>
          <w:sz w:val="20"/>
          <w:szCs w:val="20"/>
        </w:rPr>
      </w:pPr>
      <w:r>
        <w:rPr>
          <w:rFonts w:ascii="MEBOED+TimesNewRoman" w:hAnsi="MEBOED+TimesNewRoman" w:cs="MEBOED+TimesNewRoman"/>
          <w:color w:val="0000FF"/>
          <w:sz w:val="20"/>
          <w:szCs w:val="20"/>
          <w:u w:val="single"/>
        </w:rPr>
        <w:t xml:space="preserve">http://www.banred.fin.ec </w:t>
      </w:r>
    </w:p>
    <w:p w:rsidR="00000000" w:rsidRDefault="002E4D13">
      <w:pPr>
        <w:pStyle w:val="CM25"/>
        <w:ind w:left="720" w:hanging="360"/>
        <w:jc w:val="both"/>
        <w:rPr>
          <w:rFonts w:ascii="MEBOED+TimesNewRoman" w:hAnsi="MEBOED+TimesNewRoman" w:cs="MEBOED+TimesNewRoman"/>
          <w:color w:val="000000"/>
          <w:sz w:val="20"/>
          <w:szCs w:val="20"/>
        </w:rPr>
      </w:pPr>
      <w:r>
        <w:rPr>
          <w:rFonts w:ascii="MEBOED+TimesNewRoman" w:hAnsi="MEBOED+TimesNewRoman" w:cs="MEBOED+TimesNewRoman"/>
          <w:color w:val="000000"/>
          <w:sz w:val="20"/>
          <w:szCs w:val="20"/>
        </w:rPr>
        <w:t xml:space="preserve">2. </w:t>
      </w:r>
      <w:r>
        <w:rPr>
          <w:rFonts w:cs="MEBOFJ+TimesNewRoman,Bold"/>
          <w:b/>
          <w:bCs/>
          <w:color w:val="000000"/>
          <w:sz w:val="20"/>
          <w:szCs w:val="20"/>
        </w:rPr>
        <w:t>Servicios Transaccionales de la Red de Cajeros Automáticos</w:t>
      </w:r>
      <w:r>
        <w:rPr>
          <w:rFonts w:ascii="MEBOED+TimesNewRoman" w:hAnsi="MEBOED+TimesNewRoman" w:cs="MEBOED+TimesNewRoman"/>
          <w:color w:val="000000"/>
          <w:sz w:val="20"/>
          <w:szCs w:val="20"/>
        </w:rPr>
        <w:t xml:space="preserve">, extraído el 23 noviembre del 2004 de la página </w:t>
      </w:r>
    </w:p>
    <w:p w:rsidR="00000000" w:rsidRDefault="002E4D13">
      <w:pPr>
        <w:pStyle w:val="Default"/>
        <w:spacing w:line="228" w:lineRule="atLeast"/>
        <w:ind w:left="720" w:right="50"/>
        <w:jc w:val="both"/>
        <w:rPr>
          <w:rFonts w:ascii="MEBOED+TimesNewRoman" w:hAnsi="MEBOED+TimesNewRoman" w:cs="MEBOED+TimesNewRoman"/>
          <w:color w:val="0000FF"/>
          <w:sz w:val="20"/>
          <w:szCs w:val="20"/>
        </w:rPr>
      </w:pPr>
      <w:r>
        <w:rPr>
          <w:rFonts w:ascii="MEBOED+TimesNewRoman" w:hAnsi="MEBOED+TimesNewRoman" w:cs="MEBOED+TimesNewRoman"/>
          <w:color w:val="0000FF"/>
          <w:sz w:val="20"/>
          <w:szCs w:val="20"/>
          <w:u w:val="single"/>
        </w:rPr>
        <w:t xml:space="preserve">http://www.ath.com.do/html/servicios.h tm </w:t>
      </w:r>
    </w:p>
    <w:p w:rsidR="00000000" w:rsidRDefault="002E4D13">
      <w:pPr>
        <w:pStyle w:val="CM25"/>
        <w:ind w:left="720" w:hanging="360"/>
        <w:jc w:val="both"/>
        <w:rPr>
          <w:rFonts w:ascii="MEBOED+TimesNewRoman" w:hAnsi="MEBOED+TimesNewRoman" w:cs="MEBOED+TimesNewRoman"/>
          <w:color w:val="000000"/>
          <w:sz w:val="20"/>
          <w:szCs w:val="20"/>
        </w:rPr>
      </w:pPr>
      <w:r>
        <w:rPr>
          <w:rFonts w:ascii="MEBOED+TimesNewRoman" w:hAnsi="MEBOED+TimesNewRoman" w:cs="MEBOED+TimesNewRoman"/>
          <w:color w:val="000000"/>
          <w:sz w:val="20"/>
          <w:szCs w:val="20"/>
        </w:rPr>
        <w:t xml:space="preserve">3. </w:t>
      </w:r>
      <w:r>
        <w:rPr>
          <w:rFonts w:cs="MEBOFJ+TimesNewRoman,Bold"/>
          <w:b/>
          <w:bCs/>
          <w:color w:val="000000"/>
          <w:sz w:val="20"/>
          <w:szCs w:val="20"/>
        </w:rPr>
        <w:t>Scheaffer K. Mendenhall</w:t>
      </w:r>
      <w:r>
        <w:rPr>
          <w:rFonts w:ascii="MEBOED+TimesNewRoman" w:hAnsi="MEBOED+TimesNewRoman" w:cs="MEBOED+TimesNewRoman"/>
          <w:color w:val="000000"/>
          <w:sz w:val="20"/>
          <w:szCs w:val="20"/>
        </w:rPr>
        <w:t>, Ott, (1990), Elementary Sampling , Cuarta Edició</w:t>
      </w:r>
      <w:r>
        <w:rPr>
          <w:rFonts w:ascii="MEBOED+TimesNewRoman" w:hAnsi="MEBOED+TimesNewRoman" w:cs="MEBOED+TimesNewRoman"/>
          <w:color w:val="000000"/>
          <w:sz w:val="20"/>
          <w:szCs w:val="20"/>
        </w:rPr>
        <w:t xml:space="preserve">n, Pws-Kent Publishing Company, Capítulo 7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4. </w:t>
      </w:r>
      <w:r>
        <w:rPr>
          <w:b/>
          <w:bCs/>
          <w:sz w:val="20"/>
          <w:szCs w:val="20"/>
        </w:rPr>
        <w:t>Freund John &amp; Walpole Ronald</w:t>
      </w:r>
      <w:r>
        <w:rPr>
          <w:rFonts w:ascii="MEBOED+TimesNewRoman" w:hAnsi="MEBOED+TimesNewRoman" w:cs="MEBOED+TimesNewRoman"/>
          <w:sz w:val="20"/>
          <w:szCs w:val="20"/>
        </w:rPr>
        <w:t xml:space="preserve">, 1990, Estadística Matemática con Aplicaciones, Cuarta Edición, Prentice- Hall Hispanoamericana S. A., México.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5. </w:t>
      </w:r>
      <w:r>
        <w:rPr>
          <w:b/>
          <w:bCs/>
          <w:sz w:val="20"/>
          <w:szCs w:val="20"/>
        </w:rPr>
        <w:t>Mendenhall William</w:t>
      </w:r>
      <w:r>
        <w:rPr>
          <w:rFonts w:ascii="MEBOED+TimesNewRoman" w:hAnsi="MEBOED+TimesNewRoman" w:cs="MEBOED+TimesNewRoman"/>
          <w:sz w:val="20"/>
          <w:szCs w:val="20"/>
        </w:rPr>
        <w:t>, 1994, Estadística Matemática con Aplicaciones</w:t>
      </w:r>
      <w:r>
        <w:rPr>
          <w:rFonts w:ascii="MEBOED+TimesNewRoman" w:hAnsi="MEBOED+TimesNewRoman" w:cs="MEBOED+TimesNewRoman"/>
          <w:sz w:val="20"/>
          <w:szCs w:val="20"/>
        </w:rPr>
        <w:t xml:space="preserve">, Segunda Edición, Grupo Editorial Iberoamérica S. A., México.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6. </w:t>
      </w:r>
      <w:r>
        <w:rPr>
          <w:b/>
          <w:bCs/>
          <w:sz w:val="20"/>
          <w:szCs w:val="20"/>
        </w:rPr>
        <w:t>JOHNSON, R AND WICHERN</w:t>
      </w:r>
      <w:r>
        <w:rPr>
          <w:rFonts w:ascii="MEBOED+TimesNewRoman" w:hAnsi="MEBOED+TimesNewRoman" w:cs="MEBOED+TimesNewRoman"/>
          <w:sz w:val="20"/>
          <w:szCs w:val="20"/>
        </w:rPr>
        <w:t xml:space="preserve">, W (1998).  Applied Multivariate Statistical Analysis, Prentice Hall, Upper Saddle river, New Jersey,  USA.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7. </w:t>
      </w:r>
      <w:r>
        <w:rPr>
          <w:b/>
          <w:bCs/>
          <w:sz w:val="20"/>
          <w:szCs w:val="20"/>
        </w:rPr>
        <w:t>Tutorial de SPSS</w:t>
      </w:r>
      <w:r>
        <w:rPr>
          <w:rFonts w:ascii="MEBOED+TimesNewRoman" w:hAnsi="MEBOED+TimesNewRoman" w:cs="MEBOED+TimesNewRoman"/>
          <w:sz w:val="20"/>
          <w:szCs w:val="20"/>
        </w:rPr>
        <w:t>, Análisis de Homogeneidad, SPSS en es</w:t>
      </w:r>
      <w:r>
        <w:rPr>
          <w:rFonts w:ascii="MEBOED+TimesNewRoman" w:hAnsi="MEBOED+TimesNewRoman" w:cs="MEBOED+TimesNewRoman"/>
          <w:sz w:val="20"/>
          <w:szCs w:val="20"/>
        </w:rPr>
        <w:t xml:space="preserve">pañol para Windows Versión 10.0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8. </w:t>
      </w:r>
      <w:r>
        <w:rPr>
          <w:b/>
          <w:bCs/>
          <w:sz w:val="20"/>
          <w:szCs w:val="20"/>
        </w:rPr>
        <w:t>Tutorial de SPSS</w:t>
      </w:r>
      <w:r>
        <w:rPr>
          <w:rFonts w:ascii="MEBOED+TimesNewRoman" w:hAnsi="MEBOED+TimesNewRoman" w:cs="MEBOED+TimesNewRoman"/>
          <w:sz w:val="20"/>
          <w:szCs w:val="20"/>
        </w:rPr>
        <w:t xml:space="preserve">, Análisis de Correlación Canónica No Lineal(OVERALS versión 1.0), SPSS en español para Windows Versión 10.0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9. </w:t>
      </w:r>
      <w:r>
        <w:rPr>
          <w:b/>
          <w:bCs/>
          <w:sz w:val="20"/>
          <w:szCs w:val="20"/>
        </w:rPr>
        <w:t>Visouta Vinacua B</w:t>
      </w:r>
      <w:r>
        <w:rPr>
          <w:rFonts w:ascii="MEBOED+TimesNewRoman" w:hAnsi="MEBOED+TimesNewRoman" w:cs="MEBOED+TimesNewRoman"/>
          <w:sz w:val="20"/>
          <w:szCs w:val="20"/>
        </w:rPr>
        <w:t>. (1998), Análisis Estadístico con SPSS para Windows. Estadística Multivar</w:t>
      </w:r>
      <w:r>
        <w:rPr>
          <w:rFonts w:ascii="MEBOED+TimesNewRoman" w:hAnsi="MEBOED+TimesNewRoman" w:cs="MEBOED+TimesNewRoman"/>
          <w:sz w:val="20"/>
          <w:szCs w:val="20"/>
        </w:rPr>
        <w:t xml:space="preserve">iante. Impreso en España, Madrid. McGraw-Hill.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10.</w:t>
      </w:r>
      <w:r>
        <w:rPr>
          <w:b/>
          <w:bCs/>
          <w:sz w:val="20"/>
          <w:szCs w:val="20"/>
        </w:rPr>
        <w:t xml:space="preserve"> FERRAN A</w:t>
      </w:r>
      <w:r>
        <w:rPr>
          <w:rFonts w:ascii="MEBOED+TimesNewRoman" w:hAnsi="MEBOED+TimesNewRoman" w:cs="MEBOED+TimesNewRoman"/>
          <w:sz w:val="20"/>
          <w:szCs w:val="20"/>
        </w:rPr>
        <w:t xml:space="preserve">., M (2001), SPSS para Windows: </w:t>
      </w:r>
      <w:r>
        <w:rPr>
          <w:rFonts w:ascii="MEBOED+TimesNewRoman" w:hAnsi="MEBOED+TimesNewRoman" w:cs="MEBOED+TimesNewRoman"/>
          <w:sz w:val="20"/>
          <w:szCs w:val="20"/>
        </w:rPr>
        <w:lastRenderedPageBreak/>
        <w:t xml:space="preserve">Análisis Estadístico, McGraw-Hill, Madrid, España.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11. </w:t>
      </w:r>
      <w:r>
        <w:rPr>
          <w:b/>
          <w:bCs/>
          <w:sz w:val="20"/>
          <w:szCs w:val="20"/>
        </w:rPr>
        <w:t>S. A. U</w:t>
      </w:r>
      <w:r>
        <w:rPr>
          <w:rFonts w:ascii="MEBOED+TimesNewRoman" w:hAnsi="MEBOED+TimesNewRoman" w:cs="MEBOED+TimesNewRoman"/>
          <w:sz w:val="20"/>
          <w:szCs w:val="20"/>
        </w:rPr>
        <w:t>., 1998, Análisis  Estadístico con SPSS 10.0 para Windows, McGraw-Hill/Interamericana de España, Espa</w:t>
      </w:r>
      <w:r>
        <w:rPr>
          <w:rFonts w:ascii="MEBOED+TimesNewRoman" w:hAnsi="MEBOED+TimesNewRoman" w:cs="MEBOED+TimesNewRoman"/>
          <w:sz w:val="20"/>
          <w:szCs w:val="20"/>
        </w:rPr>
        <w:t xml:space="preserve">ña.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12. </w:t>
      </w:r>
      <w:r>
        <w:rPr>
          <w:b/>
          <w:bCs/>
          <w:sz w:val="20"/>
          <w:szCs w:val="20"/>
        </w:rPr>
        <w:t>Jhonson D. E</w:t>
      </w:r>
      <w:r>
        <w:rPr>
          <w:rFonts w:ascii="MEBOED+TimesNewRoman" w:hAnsi="MEBOED+TimesNewRoman" w:cs="MEBOED+TimesNewRoman"/>
          <w:sz w:val="20"/>
          <w:szCs w:val="20"/>
        </w:rPr>
        <w:t xml:space="preserve">., 2000, Métodos Multivariados Aplicados al Análisis de Datos, International Jhonson Editores, México. </w:t>
      </w:r>
    </w:p>
    <w:p w:rsidR="00000000" w:rsidRDefault="002E4D13">
      <w:pPr>
        <w:pStyle w:val="Default"/>
        <w:rPr>
          <w:rFonts w:ascii="MEBOED+TimesNewRoman" w:hAnsi="MEBOED+TimesNewRoman" w:cs="MEBOED+TimesNewRoman"/>
          <w:sz w:val="20"/>
          <w:szCs w:val="20"/>
        </w:rPr>
      </w:pPr>
    </w:p>
    <w:p w:rsidR="00000000" w:rsidRDefault="002E4D13">
      <w:pPr>
        <w:pStyle w:val="CM21"/>
        <w:ind w:left="360"/>
        <w:jc w:val="both"/>
        <w:rPr>
          <w:rFonts w:ascii="MEBOED+TimesNewRoman" w:hAnsi="MEBOED+TimesNewRoman" w:cs="MEBOED+TimesNewRoman"/>
          <w:color w:val="000000"/>
          <w:sz w:val="20"/>
          <w:szCs w:val="20"/>
        </w:rPr>
      </w:pPr>
      <w:r>
        <w:rPr>
          <w:rFonts w:ascii="MEBOED+TimesNewRoman" w:hAnsi="MEBOED+TimesNewRoman" w:cs="MEBOED+TimesNewRoman"/>
          <w:color w:val="000000"/>
          <w:sz w:val="20"/>
          <w:szCs w:val="20"/>
        </w:rPr>
        <w:t xml:space="preserve">13. </w:t>
      </w:r>
      <w:r>
        <w:rPr>
          <w:rFonts w:cs="MEBOFJ+TimesNewRoman,Bold"/>
          <w:b/>
          <w:bCs/>
          <w:color w:val="000000"/>
          <w:sz w:val="20"/>
          <w:szCs w:val="20"/>
        </w:rPr>
        <w:t>Ana Garrido, Yolanda Polo</w:t>
      </w:r>
      <w:r>
        <w:rPr>
          <w:rFonts w:ascii="MEBOED+TimesNewRoman" w:hAnsi="MEBOED+TimesNewRoman" w:cs="MEBOED+TimesNewRoman"/>
          <w:color w:val="000000"/>
          <w:sz w:val="20"/>
          <w:szCs w:val="20"/>
        </w:rPr>
        <w:t xml:space="preserve">, noviembre 2003, correlación canónica no lineal extraído de </w:t>
      </w:r>
      <w:r>
        <w:rPr>
          <w:rFonts w:ascii="MEBOED+TimesNewRoman" w:hAnsi="MEBOED+TimesNewRoman" w:cs="MEBOED+TimesNewRoman"/>
          <w:color w:val="0000FF"/>
          <w:sz w:val="20"/>
          <w:szCs w:val="20"/>
          <w:u w:val="single"/>
        </w:rPr>
        <w:t>www.marketing.ugr.es/ponencias/garrid o_polo.pdf</w:t>
      </w:r>
      <w:r>
        <w:rPr>
          <w:rFonts w:ascii="MEBOED+TimesNewRoman" w:hAnsi="MEBOED+TimesNewRoman" w:cs="MEBOED+TimesNewRoman"/>
          <w:color w:val="000000"/>
          <w:sz w:val="20"/>
          <w:szCs w:val="20"/>
        </w:rPr>
        <w:t xml:space="preserve"> -correlacion canonica no lineal.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14. </w:t>
      </w:r>
      <w:r>
        <w:rPr>
          <w:b/>
          <w:bCs/>
          <w:sz w:val="20"/>
          <w:szCs w:val="20"/>
        </w:rPr>
        <w:t xml:space="preserve">SPSS Inc., </w:t>
      </w:r>
      <w:r>
        <w:rPr>
          <w:rFonts w:ascii="MEBOED+TimesNewRoman" w:hAnsi="MEBOED+TimesNewRoman" w:cs="MEBOED+TimesNewRoman"/>
          <w:sz w:val="20"/>
          <w:szCs w:val="20"/>
        </w:rPr>
        <w:t xml:space="preserve">SPSS Categories 6.1, 1994, Marketing Departament. </w:t>
      </w:r>
    </w:p>
    <w:p w:rsidR="00000000" w:rsidRDefault="002E4D13">
      <w:pPr>
        <w:pStyle w:val="Default"/>
        <w:rPr>
          <w:rFonts w:ascii="MEBOED+TimesNewRoman" w:hAnsi="MEBOED+TimesNewRoman" w:cs="MEBOED+TimesNewRoman"/>
          <w:sz w:val="20"/>
          <w:szCs w:val="20"/>
        </w:rPr>
      </w:pPr>
      <w:r>
        <w:rPr>
          <w:rFonts w:ascii="MEBOED+TimesNewRoman" w:hAnsi="MEBOED+TimesNewRoman" w:cs="MEBOED+TimesNewRoman"/>
          <w:sz w:val="20"/>
          <w:szCs w:val="20"/>
        </w:rPr>
        <w:t xml:space="preserve">15. </w:t>
      </w:r>
      <w:r>
        <w:rPr>
          <w:b/>
          <w:bCs/>
          <w:sz w:val="20"/>
          <w:szCs w:val="20"/>
        </w:rPr>
        <w:t>George Michailidis</w:t>
      </w:r>
      <w:r>
        <w:rPr>
          <w:rFonts w:ascii="MEBOED+TimesNewRoman" w:hAnsi="MEBOED+TimesNewRoman" w:cs="MEBOED+TimesNewRoman"/>
          <w:sz w:val="20"/>
          <w:szCs w:val="20"/>
        </w:rPr>
        <w:t xml:space="preserve">, Julio 1999, Multilevel Homogeneity Analysis, Department of Mathematics, University </w:t>
      </w:r>
      <w:r>
        <w:rPr>
          <w:rFonts w:ascii="MEBOED+TimesNewRoman" w:hAnsi="MEBOED+TimesNewRoman" w:cs="MEBOED+TimesNewRoman"/>
          <w:sz w:val="20"/>
          <w:szCs w:val="20"/>
        </w:rPr>
        <w:t xml:space="preserve">of California at Los Angeles. </w:t>
      </w:r>
    </w:p>
    <w:p w:rsidR="00000000" w:rsidRDefault="002E4D13">
      <w:pPr>
        <w:pStyle w:val="Default"/>
        <w:rPr>
          <w:rFonts w:ascii="MEBOED+TimesNewRoman" w:hAnsi="MEBOED+TimesNewRoman" w:cs="MEBOED+TimesNewRoman"/>
          <w:sz w:val="20"/>
          <w:szCs w:val="20"/>
        </w:rPr>
      </w:pPr>
    </w:p>
    <w:p w:rsidR="00000000" w:rsidRDefault="002E4D13">
      <w:pPr>
        <w:pStyle w:val="Default"/>
        <w:spacing w:line="133" w:lineRule="atLeast"/>
        <w:jc w:val="center"/>
      </w:pPr>
      <w:r>
        <w:rPr>
          <w:rFonts w:ascii="Times New Roman" w:hAnsi="Times New Roman" w:cs="Times New Roman"/>
          <w:sz w:val="10"/>
          <w:szCs w:val="10"/>
        </w:rPr>
        <w:t>䐀</w:t>
      </w:r>
      <w:r>
        <w:rPr>
          <w:rFonts w:ascii="Arial" w:hAnsi="Arial" w:cs="Arial"/>
          <w:sz w:val="10"/>
          <w:szCs w:val="10"/>
        </w:rPr>
        <w:t></w:t>
      </w:r>
      <w:r>
        <w:rPr>
          <w:rFonts w:ascii="MS Mincho" w:eastAsia="MS Mincho" w:hAnsi="MS Mincho" w:cs="MS Mincho" w:hint="eastAsia"/>
          <w:sz w:val="10"/>
          <w:szCs w:val="10"/>
        </w:rPr>
        <w:t>愀</w:t>
      </w:r>
      <w:r>
        <w:rPr>
          <w:rFonts w:ascii="MECBBC+Arial" w:hAnsi="MECBBC+Arial" w:cs="MECBBC+Arial"/>
          <w:sz w:val="10"/>
          <w:szCs w:val="10"/>
        </w:rPr>
        <w:t>.........</w:t>
      </w:r>
    </w:p>
    <w:sectPr w:rsidR="00000000">
      <w:type w:val="continuous"/>
      <w:pgSz w:w="11900" w:h="17340"/>
      <w:pgMar w:top="1139" w:right="1113" w:bottom="668" w:left="1474" w:header="720" w:footer="720" w:gutter="0"/>
      <w:cols w:num="2" w:space="720" w:equalWidth="0">
        <w:col w:w="4392" w:space="331"/>
        <w:col w:w="4182"/>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EBOFJ+TimesNewRoman,Bold">
    <w:altName w:val="Times New Roman"/>
    <w:panose1 w:val="00000000000000000000"/>
    <w:charset w:val="00"/>
    <w:family w:val="roman"/>
    <w:notTrueType/>
    <w:pitch w:val="default"/>
    <w:sig w:usb0="00000003" w:usb1="00000000" w:usb2="00000000" w:usb3="00000000" w:csb0="00000001" w:csb1="00000000"/>
  </w:font>
  <w:font w:name="MEBOHJ+TimesNewRoman,BoldItalic">
    <w:altName w:val="Times New Roman"/>
    <w:panose1 w:val="00000000000000000000"/>
    <w:charset w:val="00"/>
    <w:family w:val="roman"/>
    <w:notTrueType/>
    <w:pitch w:val="default"/>
    <w:sig w:usb0="00000003" w:usb1="00000000" w:usb2="00000000" w:usb3="00000000" w:csb0="00000001" w:csb1="00000000"/>
  </w:font>
  <w:font w:name="MEBOJJ+TimesNewRoman,Italic">
    <w:altName w:val="Times New Roman"/>
    <w:panose1 w:val="00000000000000000000"/>
    <w:charset w:val="00"/>
    <w:family w:val="roman"/>
    <w:notTrueType/>
    <w:pitch w:val="default"/>
    <w:sig w:usb0="00000003" w:usb1="00000000" w:usb2="00000000" w:usb3="00000000" w:csb0="00000001" w:csb1="00000000"/>
  </w:font>
  <w:font w:name="MEBOED+TimesNewRoman">
    <w:altName w:val="Times New Roman"/>
    <w:panose1 w:val="00000000000000000000"/>
    <w:charset w:val="00"/>
    <w:family w:val="roman"/>
    <w:notTrueType/>
    <w:pitch w:val="default"/>
    <w:sig w:usb0="00000003" w:usb1="00000000" w:usb2="00000000" w:usb3="00000000" w:csb0="00000001" w:csb1="00000000"/>
  </w:font>
  <w:font w:name="MECBBC+Arial">
    <w:altName w:val="Arial"/>
    <w:panose1 w:val="00000000000000000000"/>
    <w:charset w:val="00"/>
    <w:family w:val="swiss"/>
    <w:notTrueType/>
    <w:pitch w:val="default"/>
    <w:sig w:usb0="00000003" w:usb1="00000000" w:usb2="00000000" w:usb3="00000000" w:csb0="00000001" w:csb1="00000000"/>
  </w:font>
  <w:font w:name="MECBPK+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BE6102"/>
    <w:multiLevelType w:val="hybridMultilevel"/>
    <w:tmpl w:val="F242DE8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E072D11"/>
    <w:multiLevelType w:val="hybridMultilevel"/>
    <w:tmpl w:val="292260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F9AA91"/>
    <w:multiLevelType w:val="hybridMultilevel"/>
    <w:tmpl w:val="3CC95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D1AE948"/>
    <w:multiLevelType w:val="hybridMultilevel"/>
    <w:tmpl w:val="AFF958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2546E00"/>
    <w:multiLevelType w:val="hybridMultilevel"/>
    <w:tmpl w:val="A71E1B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7B2F2312"/>
    <w:multiLevelType w:val="hybridMultilevel"/>
    <w:tmpl w:val="D2A040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C56234"/>
    <w:rsid w:val="002E4D13"/>
    <w:rsid w:val="00C562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MEBOFJ+TimesNewRoman,Bold" w:hAnsi="MEBOFJ+TimesNewRoman,Bold" w:cs="MEBOFJ+TimesNewRoman,Bold"/>
      <w:color w:val="000000"/>
      <w:sz w:val="24"/>
      <w:szCs w:val="24"/>
    </w:rPr>
  </w:style>
  <w:style w:type="paragraph" w:customStyle="1" w:styleId="CM26">
    <w:name w:val="CM26"/>
    <w:basedOn w:val="Default"/>
    <w:next w:val="Default"/>
    <w:uiPriority w:val="99"/>
    <w:rPr>
      <w:rFonts w:cstheme="minorBidi"/>
      <w:color w:val="auto"/>
    </w:rPr>
  </w:style>
  <w:style w:type="paragraph" w:customStyle="1" w:styleId="CM1">
    <w:name w:val="CM1"/>
    <w:basedOn w:val="Default"/>
    <w:next w:val="Default"/>
    <w:uiPriority w:val="99"/>
    <w:rPr>
      <w:rFonts w:cstheme="minorBidi"/>
      <w:color w:val="auto"/>
    </w:rPr>
  </w:style>
  <w:style w:type="paragraph" w:customStyle="1" w:styleId="CM27">
    <w:name w:val="CM27"/>
    <w:basedOn w:val="Default"/>
    <w:next w:val="Default"/>
    <w:uiPriority w:val="99"/>
    <w:rPr>
      <w:rFonts w:cstheme="minorBidi"/>
      <w:color w:val="auto"/>
    </w:rPr>
  </w:style>
  <w:style w:type="paragraph" w:customStyle="1" w:styleId="CM2">
    <w:name w:val="CM2"/>
    <w:basedOn w:val="Default"/>
    <w:next w:val="Default"/>
    <w:uiPriority w:val="99"/>
    <w:pPr>
      <w:spacing w:line="231" w:lineRule="atLeast"/>
    </w:pPr>
    <w:rPr>
      <w:rFonts w:cstheme="minorBidi"/>
      <w:color w:val="auto"/>
    </w:rPr>
  </w:style>
  <w:style w:type="paragraph" w:customStyle="1" w:styleId="CM3">
    <w:name w:val="CM3"/>
    <w:basedOn w:val="Default"/>
    <w:next w:val="Default"/>
    <w:uiPriority w:val="99"/>
    <w:pPr>
      <w:spacing w:line="231" w:lineRule="atLeast"/>
    </w:pPr>
    <w:rPr>
      <w:rFonts w:cstheme="minorBidi"/>
      <w:color w:val="auto"/>
    </w:rPr>
  </w:style>
  <w:style w:type="paragraph" w:customStyle="1" w:styleId="CM4">
    <w:name w:val="CM4"/>
    <w:basedOn w:val="Default"/>
    <w:next w:val="Default"/>
    <w:uiPriority w:val="99"/>
    <w:pPr>
      <w:spacing w:line="231" w:lineRule="atLeast"/>
    </w:pPr>
    <w:rPr>
      <w:rFonts w:cstheme="minorBidi"/>
      <w:color w:val="auto"/>
    </w:rPr>
  </w:style>
  <w:style w:type="paragraph" w:customStyle="1" w:styleId="CM5">
    <w:name w:val="CM5"/>
    <w:basedOn w:val="Default"/>
    <w:next w:val="Default"/>
    <w:uiPriority w:val="99"/>
    <w:pPr>
      <w:spacing w:line="186" w:lineRule="atLeast"/>
    </w:pPr>
    <w:rPr>
      <w:rFonts w:cstheme="minorBidi"/>
      <w:color w:val="auto"/>
    </w:rPr>
  </w:style>
  <w:style w:type="paragraph" w:customStyle="1" w:styleId="CM28">
    <w:name w:val="CM28"/>
    <w:basedOn w:val="Default"/>
    <w:next w:val="Default"/>
    <w:uiPriority w:val="99"/>
    <w:rPr>
      <w:rFonts w:cstheme="minorBidi"/>
      <w:color w:val="auto"/>
    </w:rPr>
  </w:style>
  <w:style w:type="paragraph" w:customStyle="1" w:styleId="CM6">
    <w:name w:val="CM6"/>
    <w:basedOn w:val="Default"/>
    <w:next w:val="Default"/>
    <w:uiPriority w:val="99"/>
    <w:rPr>
      <w:rFonts w:cstheme="minorBidi"/>
      <w:color w:val="auto"/>
    </w:rPr>
  </w:style>
  <w:style w:type="paragraph" w:customStyle="1" w:styleId="CM29">
    <w:name w:val="CM29"/>
    <w:basedOn w:val="Default"/>
    <w:next w:val="Default"/>
    <w:uiPriority w:val="99"/>
    <w:rPr>
      <w:rFonts w:cstheme="minorBidi"/>
      <w:color w:val="auto"/>
    </w:rPr>
  </w:style>
  <w:style w:type="paragraph" w:customStyle="1" w:styleId="CM30">
    <w:name w:val="CM30"/>
    <w:basedOn w:val="Default"/>
    <w:next w:val="Default"/>
    <w:uiPriority w:val="99"/>
    <w:rPr>
      <w:rFonts w:cstheme="minorBidi"/>
      <w:color w:val="auto"/>
    </w:rPr>
  </w:style>
  <w:style w:type="paragraph" w:customStyle="1" w:styleId="CM7">
    <w:name w:val="CM7"/>
    <w:basedOn w:val="Default"/>
    <w:next w:val="Default"/>
    <w:uiPriority w:val="99"/>
    <w:pPr>
      <w:spacing w:line="123" w:lineRule="atLeast"/>
    </w:pPr>
    <w:rPr>
      <w:rFonts w:cstheme="minorBidi"/>
      <w:color w:val="auto"/>
    </w:rPr>
  </w:style>
  <w:style w:type="paragraph" w:customStyle="1" w:styleId="CM8">
    <w:name w:val="CM8"/>
    <w:basedOn w:val="Default"/>
    <w:next w:val="Default"/>
    <w:uiPriority w:val="99"/>
    <w:pPr>
      <w:spacing w:line="186" w:lineRule="atLeast"/>
    </w:pPr>
    <w:rPr>
      <w:rFonts w:cstheme="minorBidi"/>
      <w:color w:val="auto"/>
    </w:rPr>
  </w:style>
  <w:style w:type="paragraph" w:customStyle="1" w:styleId="CM9">
    <w:name w:val="CM9"/>
    <w:basedOn w:val="Default"/>
    <w:next w:val="Default"/>
    <w:uiPriority w:val="99"/>
    <w:pPr>
      <w:spacing w:line="231" w:lineRule="atLeast"/>
    </w:pPr>
    <w:rPr>
      <w:rFonts w:cstheme="minorBidi"/>
      <w:color w:val="auto"/>
    </w:rPr>
  </w:style>
  <w:style w:type="paragraph" w:customStyle="1" w:styleId="CM10">
    <w:name w:val="CM10"/>
    <w:basedOn w:val="Default"/>
    <w:next w:val="Default"/>
    <w:uiPriority w:val="99"/>
    <w:rPr>
      <w:rFonts w:cstheme="minorBidi"/>
      <w:color w:val="auto"/>
    </w:rPr>
  </w:style>
  <w:style w:type="paragraph" w:customStyle="1" w:styleId="CM31">
    <w:name w:val="CM31"/>
    <w:basedOn w:val="Default"/>
    <w:next w:val="Default"/>
    <w:uiPriority w:val="99"/>
    <w:rPr>
      <w:rFonts w:cstheme="minorBidi"/>
      <w:color w:val="auto"/>
    </w:rPr>
  </w:style>
  <w:style w:type="paragraph" w:customStyle="1" w:styleId="CM11">
    <w:name w:val="CM11"/>
    <w:basedOn w:val="Default"/>
    <w:next w:val="Default"/>
    <w:uiPriority w:val="99"/>
    <w:pPr>
      <w:spacing w:line="153" w:lineRule="atLeast"/>
    </w:pPr>
    <w:rPr>
      <w:rFonts w:cstheme="minorBidi"/>
      <w:color w:val="auto"/>
    </w:rPr>
  </w:style>
  <w:style w:type="paragraph" w:customStyle="1" w:styleId="CM12">
    <w:name w:val="CM12"/>
    <w:basedOn w:val="Default"/>
    <w:next w:val="Default"/>
    <w:uiPriority w:val="99"/>
    <w:pPr>
      <w:spacing w:line="143" w:lineRule="atLeast"/>
    </w:pPr>
    <w:rPr>
      <w:rFonts w:cstheme="minorBidi"/>
      <w:color w:val="auto"/>
    </w:rPr>
  </w:style>
  <w:style w:type="paragraph" w:customStyle="1" w:styleId="CM13">
    <w:name w:val="CM13"/>
    <w:basedOn w:val="Default"/>
    <w:next w:val="Default"/>
    <w:uiPriority w:val="99"/>
    <w:pPr>
      <w:spacing w:line="231" w:lineRule="atLeast"/>
    </w:pPr>
    <w:rPr>
      <w:rFonts w:cstheme="minorBidi"/>
      <w:color w:val="auto"/>
    </w:rPr>
  </w:style>
  <w:style w:type="paragraph" w:customStyle="1" w:styleId="CM14">
    <w:name w:val="CM14"/>
    <w:basedOn w:val="Default"/>
    <w:next w:val="Default"/>
    <w:uiPriority w:val="99"/>
    <w:pPr>
      <w:spacing w:line="186" w:lineRule="atLeast"/>
    </w:pPr>
    <w:rPr>
      <w:rFonts w:cstheme="minorBidi"/>
      <w:color w:val="auto"/>
    </w:rPr>
  </w:style>
  <w:style w:type="paragraph" w:customStyle="1" w:styleId="CM15">
    <w:name w:val="CM15"/>
    <w:basedOn w:val="Default"/>
    <w:next w:val="Default"/>
    <w:uiPriority w:val="99"/>
    <w:pPr>
      <w:spacing w:line="186" w:lineRule="atLeast"/>
    </w:pPr>
    <w:rPr>
      <w:rFonts w:cstheme="minorBidi"/>
      <w:color w:val="auto"/>
    </w:rPr>
  </w:style>
  <w:style w:type="paragraph" w:customStyle="1" w:styleId="CM16">
    <w:name w:val="CM16"/>
    <w:basedOn w:val="Default"/>
    <w:next w:val="Default"/>
    <w:uiPriority w:val="99"/>
    <w:rPr>
      <w:rFonts w:cstheme="minorBidi"/>
      <w:color w:val="auto"/>
    </w:rPr>
  </w:style>
  <w:style w:type="paragraph" w:customStyle="1" w:styleId="CM17">
    <w:name w:val="CM17"/>
    <w:basedOn w:val="Default"/>
    <w:next w:val="Default"/>
    <w:uiPriority w:val="99"/>
    <w:rPr>
      <w:rFonts w:cstheme="minorBidi"/>
      <w:color w:val="auto"/>
    </w:rPr>
  </w:style>
  <w:style w:type="paragraph" w:customStyle="1" w:styleId="CM18">
    <w:name w:val="CM18"/>
    <w:basedOn w:val="Default"/>
    <w:next w:val="Default"/>
    <w:uiPriority w:val="99"/>
    <w:pPr>
      <w:spacing w:line="128" w:lineRule="atLeast"/>
    </w:pPr>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20">
    <w:name w:val="CM20"/>
    <w:basedOn w:val="Default"/>
    <w:next w:val="Default"/>
    <w:uiPriority w:val="99"/>
    <w:pPr>
      <w:spacing w:line="186" w:lineRule="atLeast"/>
    </w:pPr>
    <w:rPr>
      <w:rFonts w:cstheme="minorBidi"/>
      <w:color w:val="auto"/>
    </w:rPr>
  </w:style>
  <w:style w:type="paragraph" w:customStyle="1" w:styleId="CM21">
    <w:name w:val="CM21"/>
    <w:basedOn w:val="Default"/>
    <w:next w:val="Default"/>
    <w:uiPriority w:val="99"/>
    <w:pPr>
      <w:spacing w:line="231" w:lineRule="atLeast"/>
    </w:pPr>
    <w:rPr>
      <w:rFonts w:cstheme="minorBidi"/>
      <w:color w:val="auto"/>
    </w:rPr>
  </w:style>
  <w:style w:type="paragraph" w:customStyle="1" w:styleId="CM22">
    <w:name w:val="CM22"/>
    <w:basedOn w:val="Default"/>
    <w:next w:val="Default"/>
    <w:uiPriority w:val="99"/>
    <w:pPr>
      <w:spacing w:line="231" w:lineRule="atLeast"/>
    </w:pPr>
    <w:rPr>
      <w:rFonts w:cstheme="minorBidi"/>
      <w:color w:val="auto"/>
    </w:rPr>
  </w:style>
  <w:style w:type="paragraph" w:customStyle="1" w:styleId="CM32">
    <w:name w:val="CM32"/>
    <w:basedOn w:val="Default"/>
    <w:next w:val="Default"/>
    <w:uiPriority w:val="99"/>
    <w:rPr>
      <w:rFonts w:cstheme="minorBidi"/>
      <w:color w:val="auto"/>
    </w:rPr>
  </w:style>
  <w:style w:type="paragraph" w:customStyle="1" w:styleId="CM23">
    <w:name w:val="CM23"/>
    <w:basedOn w:val="Default"/>
    <w:next w:val="Default"/>
    <w:uiPriority w:val="99"/>
    <w:rPr>
      <w:rFonts w:cstheme="minorBidi"/>
      <w:color w:val="auto"/>
    </w:rPr>
  </w:style>
  <w:style w:type="paragraph" w:customStyle="1" w:styleId="CM25">
    <w:name w:val="CM25"/>
    <w:basedOn w:val="Default"/>
    <w:next w:val="Default"/>
    <w:uiPriority w:val="99"/>
    <w:pPr>
      <w:spacing w:line="23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4250</Words>
  <Characters>24227</Characters>
  <Application>Microsoft Office Word</Application>
  <DocSecurity>0</DocSecurity>
  <Lines>201</Lines>
  <Paragraphs>56</Paragraphs>
  <ScaleCrop>false</ScaleCrop>
  <Company/>
  <LinksUpToDate>false</LinksUpToDate>
  <CharactersWithSpaces>28421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Resumen Cycit Tesis CECG.doc</dc:title>
  <dc:subject/>
  <dc:creator>Christianc</dc:creator>
  <cp:keywords/>
  <dc:description/>
  <cp:lastModifiedBy>ehernand</cp:lastModifiedBy>
  <cp:revision>2</cp:revision>
  <dcterms:created xsi:type="dcterms:W3CDTF">2010-09-28T15:59:00Z</dcterms:created>
  <dcterms:modified xsi:type="dcterms:W3CDTF">2010-09-28T15:59:00Z</dcterms:modified>
</cp:coreProperties>
</file>