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0000" w:rsidRDefault="00033289">
      <w:pPr>
        <w:spacing w:line="480" w:lineRule="auto"/>
        <w:ind w:firstLine="708"/>
        <w:rPr>
          <w:rFonts w:ascii="Arial" w:hAnsi="Arial" w:cs="Arial"/>
          <w:b/>
          <w:bCs/>
        </w:rPr>
      </w:pPr>
      <w:r>
        <w:rPr>
          <w:rFonts w:ascii="Arial" w:hAnsi="Arial" w:cs="Arial"/>
          <w:b/>
          <w:bCs/>
        </w:rPr>
        <w:t>2.3</w:t>
      </w:r>
      <w:r>
        <w:rPr>
          <w:rFonts w:ascii="Arial" w:hAnsi="Arial" w:cs="Arial"/>
          <w:b/>
          <w:bCs/>
        </w:rPr>
        <w:tab/>
        <w:t>Ensayos de Soldadura</w:t>
      </w:r>
    </w:p>
    <w:p w:rsidR="00000000" w:rsidRDefault="00033289">
      <w:pPr>
        <w:spacing w:line="480" w:lineRule="auto"/>
        <w:ind w:firstLine="708"/>
        <w:rPr>
          <w:rFonts w:ascii="Arial" w:hAnsi="Arial" w:cs="Arial"/>
          <w:b/>
          <w:bCs/>
        </w:rPr>
      </w:pPr>
    </w:p>
    <w:p w:rsidR="00000000" w:rsidRDefault="00033289">
      <w:pPr>
        <w:spacing w:line="480" w:lineRule="auto"/>
        <w:rPr>
          <w:rFonts w:ascii="Arial" w:hAnsi="Arial" w:cs="Arial"/>
          <w:b/>
          <w:bCs/>
        </w:rPr>
      </w:pPr>
      <w:r>
        <w:rPr>
          <w:rFonts w:ascii="Arial" w:hAnsi="Arial" w:cs="Arial"/>
          <w:b/>
          <w:bCs/>
        </w:rPr>
        <w:tab/>
      </w:r>
      <w:r>
        <w:rPr>
          <w:rFonts w:ascii="Arial" w:hAnsi="Arial" w:cs="Arial"/>
          <w:b/>
          <w:bCs/>
        </w:rPr>
        <w:tab/>
        <w:t>2.3.1</w:t>
      </w:r>
      <w:r>
        <w:rPr>
          <w:rFonts w:ascii="Arial" w:hAnsi="Arial" w:cs="Arial"/>
          <w:b/>
          <w:bCs/>
        </w:rPr>
        <w:tab/>
        <w:t xml:space="preserve"> Inspección Visual</w:t>
      </w:r>
    </w:p>
    <w:p w:rsidR="00000000" w:rsidRDefault="00033289">
      <w:pPr>
        <w:spacing w:line="480" w:lineRule="auto"/>
        <w:ind w:left="2160"/>
        <w:jc w:val="both"/>
        <w:rPr>
          <w:rFonts w:ascii="Arial" w:hAnsi="Arial" w:cs="Arial"/>
        </w:rPr>
      </w:pPr>
      <w:r>
        <w:rPr>
          <w:rFonts w:ascii="Arial" w:hAnsi="Arial" w:cs="Arial"/>
        </w:rPr>
        <w:t>La inspección visual es el método más antiguo y más utilizado en los ensayos no destructivos, y esta no solo se refiere a la observación directa de la junta soldada, sino también a sistemas y componentes</w:t>
      </w:r>
      <w:r>
        <w:rPr>
          <w:rFonts w:ascii="Arial" w:hAnsi="Arial" w:cs="Arial"/>
        </w:rPr>
        <w:t xml:space="preserve"> de maquinarias, equipos, estructuras. etc.</w:t>
      </w:r>
    </w:p>
    <w:p w:rsidR="00000000" w:rsidRDefault="00033289">
      <w:pPr>
        <w:spacing w:line="480" w:lineRule="auto"/>
        <w:ind w:left="2160"/>
        <w:jc w:val="both"/>
        <w:rPr>
          <w:rFonts w:ascii="Arial" w:hAnsi="Arial" w:cs="Arial"/>
        </w:rPr>
      </w:pPr>
    </w:p>
    <w:p w:rsidR="00000000" w:rsidRDefault="00033289">
      <w:pPr>
        <w:spacing w:line="480" w:lineRule="auto"/>
        <w:ind w:left="2160"/>
        <w:jc w:val="both"/>
        <w:rPr>
          <w:rFonts w:ascii="Arial" w:hAnsi="Arial" w:cs="Arial"/>
        </w:rPr>
      </w:pPr>
      <w:r>
        <w:rPr>
          <w:rFonts w:ascii="Arial" w:hAnsi="Arial" w:cs="Arial"/>
        </w:rPr>
        <w:t>Este procedimiento de ensayo puede rechazar cualquier cordón de soldadura, sin la necesidad de realizar otro ensayo no destructivo.</w:t>
      </w:r>
    </w:p>
    <w:p w:rsidR="00000000" w:rsidRDefault="00033289">
      <w:pPr>
        <w:jc w:val="both"/>
        <w:rPr>
          <w:rFonts w:ascii="Arial" w:hAnsi="Arial" w:cs="Arial"/>
        </w:rPr>
      </w:pPr>
    </w:p>
    <w:p w:rsidR="00000000" w:rsidRDefault="00033289">
      <w:pPr>
        <w:ind w:left="2160"/>
        <w:jc w:val="both"/>
        <w:rPr>
          <w:rFonts w:ascii="Arial" w:hAnsi="Arial" w:cs="Arial"/>
        </w:rPr>
      </w:pPr>
    </w:p>
    <w:p w:rsidR="00000000" w:rsidRDefault="00033289">
      <w:pPr>
        <w:rPr>
          <w:rFonts w:ascii="Arial" w:hAnsi="Arial" w:cs="Arial"/>
          <w:b/>
        </w:rPr>
      </w:pPr>
      <w:r>
        <w:rPr>
          <w:rFonts w:ascii="Arial" w:hAnsi="Arial" w:cs="Arial"/>
        </w:rPr>
        <w:tab/>
      </w:r>
      <w:r>
        <w:rPr>
          <w:rFonts w:ascii="Arial" w:hAnsi="Arial" w:cs="Arial"/>
        </w:rPr>
        <w:tab/>
      </w:r>
      <w:r>
        <w:rPr>
          <w:rFonts w:ascii="Arial" w:hAnsi="Arial" w:cs="Arial"/>
          <w:b/>
        </w:rPr>
        <w:t>2.3.2   Inspección Radiográfica</w:t>
      </w:r>
    </w:p>
    <w:p w:rsidR="00000000" w:rsidRDefault="00033289"/>
    <w:p w:rsidR="00000000" w:rsidRDefault="00033289">
      <w:pPr>
        <w:spacing w:line="480" w:lineRule="auto"/>
        <w:ind w:left="2160"/>
        <w:jc w:val="both"/>
        <w:rPr>
          <w:rFonts w:ascii="Arial" w:hAnsi="Arial" w:cs="Arial"/>
        </w:rPr>
      </w:pPr>
      <w:r>
        <w:rPr>
          <w:rFonts w:ascii="Arial" w:hAnsi="Arial" w:cs="Arial"/>
        </w:rPr>
        <w:t>La imagen radiográfica se produce como con</w:t>
      </w:r>
      <w:r>
        <w:rPr>
          <w:rFonts w:ascii="Arial" w:hAnsi="Arial" w:cs="Arial"/>
        </w:rPr>
        <w:t>secuencia de la propiedad de estas radiaciones de impresionar una emulsión fotográfica y de la distribución variable de la intensidad de la radiación que emerge del objeto radiografiado, debido principalmente a las diferencias de espesor o a la presencia d</w:t>
      </w:r>
      <w:r>
        <w:rPr>
          <w:rFonts w:ascii="Arial" w:hAnsi="Arial" w:cs="Arial"/>
        </w:rPr>
        <w:t xml:space="preserve">e sustancias extrañas al material que lo constituye en su consecuencia la radiografía no es más que la materialización de una </w:t>
      </w:r>
      <w:r>
        <w:rPr>
          <w:rFonts w:ascii="Arial" w:hAnsi="Arial" w:cs="Arial"/>
        </w:rPr>
        <w:lastRenderedPageBreak/>
        <w:t xml:space="preserve">sombra o “imagen radiográfica proyectada sobre una película fotográfica u otro medio de detección, por un objeto situado entre la </w:t>
      </w:r>
      <w:r>
        <w:rPr>
          <w:rFonts w:ascii="Arial" w:hAnsi="Arial" w:cs="Arial"/>
        </w:rPr>
        <w:t xml:space="preserve">película y el foco emisor de la radiación. </w:t>
      </w:r>
    </w:p>
    <w:p w:rsidR="00000000" w:rsidRDefault="00033289">
      <w:pPr>
        <w:ind w:left="2160"/>
        <w:jc w:val="both"/>
        <w:rPr>
          <w:rFonts w:ascii="Arial" w:hAnsi="Arial" w:cs="Arial"/>
        </w:rPr>
      </w:pPr>
    </w:p>
    <w:p w:rsidR="00000000" w:rsidRDefault="00033289">
      <w:pPr>
        <w:ind w:left="2160"/>
        <w:jc w:val="both"/>
        <w:rPr>
          <w:rFonts w:ascii="Arial" w:hAnsi="Arial" w:cs="Arial"/>
        </w:rPr>
      </w:pPr>
    </w:p>
    <w:p w:rsidR="00000000" w:rsidRDefault="00033289">
      <w:pPr>
        <w:pStyle w:val="Sangradetextonormal"/>
      </w:pPr>
      <w:r>
        <w:t xml:space="preserve">Se utilizó una película la película D7:, y con un equipo de radiación SEIFERT de 300 Kilovoltios. Así también se  colocó la junta soldada en el equipo de radiación casi al nivel del foco del sistema, se encero </w:t>
      </w:r>
      <w:r>
        <w:t>el instrumento, y se expuso  a  600 mmA/minutos  con 200 Kilovoltios. También se colocó una plancha de plomo para evitar la radiación secundaria.</w:t>
      </w:r>
    </w:p>
    <w:p w:rsidR="00000000" w:rsidRDefault="00033289">
      <w:pPr>
        <w:jc w:val="both"/>
        <w:rPr>
          <w:rFonts w:ascii="Arial" w:hAnsi="Arial" w:cs="Arial"/>
        </w:rPr>
      </w:pPr>
    </w:p>
    <w:p w:rsidR="00000000" w:rsidRDefault="00033289">
      <w:pPr>
        <w:jc w:val="both"/>
        <w:rPr>
          <w:rFonts w:ascii="Arial" w:hAnsi="Arial" w:cs="Arial"/>
        </w:rPr>
      </w:pPr>
    </w:p>
    <w:p w:rsidR="00000000" w:rsidRDefault="00033289">
      <w:pPr>
        <w:jc w:val="both"/>
        <w:rPr>
          <w:rFonts w:ascii="Arial" w:hAnsi="Arial" w:cs="Arial"/>
        </w:rPr>
      </w:pPr>
    </w:p>
    <w:p w:rsidR="00000000" w:rsidRDefault="00033289">
      <w:pPr>
        <w:pStyle w:val="Textoindependiente"/>
        <w:spacing w:line="480" w:lineRule="auto"/>
        <w:ind w:left="2124"/>
      </w:pPr>
      <w:r>
        <w:t>Luego se procedió al tipo de baño de la película, las cuales se encontraban en un estuche de plomo, para ev</w:t>
      </w:r>
      <w:r>
        <w:t>itar el paso de la luz con el fin de que  no se velaran las películas.</w:t>
      </w:r>
    </w:p>
    <w:p w:rsidR="00000000" w:rsidRDefault="00033289">
      <w:pPr>
        <w:ind w:left="2160"/>
        <w:jc w:val="both"/>
        <w:rPr>
          <w:rFonts w:ascii="Arial" w:hAnsi="Arial" w:cs="Arial"/>
        </w:rPr>
      </w:pPr>
    </w:p>
    <w:p w:rsidR="00000000" w:rsidRDefault="00033289">
      <w:pPr>
        <w:ind w:left="2160"/>
        <w:jc w:val="both"/>
        <w:rPr>
          <w:rFonts w:ascii="Arial" w:hAnsi="Arial" w:cs="Arial"/>
        </w:rPr>
      </w:pPr>
    </w:p>
    <w:p w:rsidR="00000000" w:rsidRDefault="00033289">
      <w:pPr>
        <w:pStyle w:val="Textoindependiente"/>
        <w:spacing w:line="480" w:lineRule="auto"/>
        <w:ind w:left="2160"/>
      </w:pPr>
      <w:r>
        <w:t>La tabla a continuación nos muestra el procedimiento del revelado empleado en este ensayo</w:t>
      </w:r>
    </w:p>
    <w:p w:rsidR="00000000" w:rsidRDefault="00033289">
      <w:pPr>
        <w:ind w:left="2160"/>
        <w:jc w:val="both"/>
        <w:rPr>
          <w:rFonts w:ascii="Arial" w:hAnsi="Arial" w:cs="Arial"/>
        </w:rPr>
      </w:pPr>
    </w:p>
    <w:p w:rsidR="00000000" w:rsidRDefault="00033289">
      <w:pPr>
        <w:ind w:left="2160"/>
        <w:jc w:val="both"/>
        <w:rPr>
          <w:rFonts w:ascii="Arial" w:hAnsi="Arial" w:cs="Arial"/>
        </w:rPr>
      </w:pPr>
    </w:p>
    <w:p w:rsidR="00000000" w:rsidRDefault="00033289">
      <w:pPr>
        <w:ind w:left="2160"/>
        <w:jc w:val="both"/>
        <w:rPr>
          <w:rFonts w:ascii="Arial" w:hAnsi="Arial" w:cs="Arial"/>
        </w:rPr>
      </w:pPr>
    </w:p>
    <w:p w:rsidR="00000000" w:rsidRDefault="00033289">
      <w:pPr>
        <w:ind w:left="2160"/>
        <w:jc w:val="both"/>
        <w:rPr>
          <w:rFonts w:ascii="Arial" w:hAnsi="Arial" w:cs="Arial"/>
        </w:rPr>
      </w:pPr>
    </w:p>
    <w:p w:rsidR="00000000" w:rsidRDefault="00033289">
      <w:pPr>
        <w:spacing w:line="480" w:lineRule="auto"/>
        <w:ind w:left="2160"/>
        <w:jc w:val="center"/>
        <w:rPr>
          <w:rFonts w:ascii="Arial" w:hAnsi="Arial" w:cs="Arial"/>
          <w:b/>
        </w:rPr>
      </w:pPr>
      <w:r>
        <w:rPr>
          <w:rFonts w:ascii="Arial" w:hAnsi="Arial" w:cs="Arial"/>
          <w:b/>
        </w:rPr>
        <w:t>TABLA 10</w:t>
      </w:r>
    </w:p>
    <w:p w:rsidR="00000000" w:rsidRDefault="00033289">
      <w:pPr>
        <w:spacing w:line="480" w:lineRule="auto"/>
        <w:ind w:left="2160"/>
        <w:jc w:val="center"/>
        <w:rPr>
          <w:rFonts w:ascii="Arial" w:hAnsi="Arial" w:cs="Arial"/>
        </w:rPr>
      </w:pPr>
      <w:r>
        <w:rPr>
          <w:rFonts w:ascii="Arial" w:hAnsi="Arial" w:cs="Arial"/>
          <w:b/>
        </w:rPr>
        <w:t>PROCEDIMIENTO DE REVELADO DE PELICULAS</w:t>
      </w:r>
    </w:p>
    <w:tbl>
      <w:tblPr>
        <w:tblW w:w="0" w:type="auto"/>
        <w:tblInd w:w="22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060"/>
        <w:gridCol w:w="2880"/>
      </w:tblGrid>
      <w:tr w:rsidR="00000000">
        <w:tblPrEx>
          <w:tblCellMar>
            <w:top w:w="0" w:type="dxa"/>
            <w:bottom w:w="0" w:type="dxa"/>
          </w:tblCellMar>
        </w:tblPrEx>
        <w:tc>
          <w:tcPr>
            <w:tcW w:w="3060" w:type="dxa"/>
            <w:tcBorders>
              <w:top w:val="single" w:sz="4" w:space="0" w:color="auto"/>
              <w:left w:val="single" w:sz="4" w:space="0" w:color="auto"/>
              <w:bottom w:val="single" w:sz="4" w:space="0" w:color="auto"/>
              <w:right w:val="single" w:sz="4" w:space="0" w:color="auto"/>
            </w:tcBorders>
          </w:tcPr>
          <w:p w:rsidR="00000000" w:rsidRDefault="00033289">
            <w:pPr>
              <w:spacing w:line="480" w:lineRule="auto"/>
              <w:jc w:val="center"/>
              <w:rPr>
                <w:rFonts w:ascii="Arial" w:hAnsi="Arial" w:cs="Arial"/>
                <w:b/>
              </w:rPr>
            </w:pPr>
            <w:r>
              <w:rPr>
                <w:rFonts w:ascii="Arial" w:hAnsi="Arial" w:cs="Arial"/>
                <w:b/>
              </w:rPr>
              <w:t>Tipo de Baño</w:t>
            </w:r>
          </w:p>
        </w:tc>
        <w:tc>
          <w:tcPr>
            <w:tcW w:w="2880" w:type="dxa"/>
            <w:tcBorders>
              <w:top w:val="single" w:sz="4" w:space="0" w:color="auto"/>
              <w:left w:val="single" w:sz="4" w:space="0" w:color="auto"/>
              <w:bottom w:val="single" w:sz="4" w:space="0" w:color="auto"/>
              <w:right w:val="single" w:sz="4" w:space="0" w:color="auto"/>
            </w:tcBorders>
          </w:tcPr>
          <w:p w:rsidR="00000000" w:rsidRDefault="00033289">
            <w:pPr>
              <w:spacing w:line="480" w:lineRule="auto"/>
              <w:jc w:val="center"/>
              <w:rPr>
                <w:rFonts w:ascii="Arial" w:hAnsi="Arial" w:cs="Arial"/>
                <w:b/>
              </w:rPr>
            </w:pPr>
            <w:r>
              <w:rPr>
                <w:rFonts w:ascii="Arial" w:hAnsi="Arial" w:cs="Arial"/>
                <w:b/>
              </w:rPr>
              <w:t>Tiempo en minutos</w:t>
            </w:r>
          </w:p>
        </w:tc>
      </w:tr>
      <w:tr w:rsidR="00000000">
        <w:tblPrEx>
          <w:tblCellMar>
            <w:top w:w="0" w:type="dxa"/>
            <w:bottom w:w="0" w:type="dxa"/>
          </w:tblCellMar>
        </w:tblPrEx>
        <w:tc>
          <w:tcPr>
            <w:tcW w:w="3060" w:type="dxa"/>
            <w:tcBorders>
              <w:top w:val="single" w:sz="4" w:space="0" w:color="auto"/>
              <w:left w:val="single" w:sz="4" w:space="0" w:color="auto"/>
              <w:bottom w:val="single" w:sz="4" w:space="0" w:color="auto"/>
              <w:right w:val="single" w:sz="4" w:space="0" w:color="auto"/>
            </w:tcBorders>
          </w:tcPr>
          <w:p w:rsidR="00000000" w:rsidRDefault="00033289">
            <w:pPr>
              <w:spacing w:line="480" w:lineRule="auto"/>
              <w:jc w:val="center"/>
              <w:rPr>
                <w:rFonts w:ascii="Arial" w:hAnsi="Arial" w:cs="Arial"/>
              </w:rPr>
            </w:pPr>
            <w:r>
              <w:rPr>
                <w:rFonts w:ascii="Arial" w:hAnsi="Arial" w:cs="Arial"/>
              </w:rPr>
              <w:t>Revelador</w:t>
            </w:r>
          </w:p>
        </w:tc>
        <w:tc>
          <w:tcPr>
            <w:tcW w:w="2880" w:type="dxa"/>
            <w:tcBorders>
              <w:top w:val="single" w:sz="4" w:space="0" w:color="auto"/>
              <w:left w:val="single" w:sz="4" w:space="0" w:color="auto"/>
              <w:bottom w:val="single" w:sz="4" w:space="0" w:color="auto"/>
              <w:right w:val="single" w:sz="4" w:space="0" w:color="auto"/>
            </w:tcBorders>
          </w:tcPr>
          <w:p w:rsidR="00000000" w:rsidRDefault="00033289">
            <w:pPr>
              <w:spacing w:line="480" w:lineRule="auto"/>
              <w:jc w:val="center"/>
              <w:rPr>
                <w:rFonts w:ascii="Arial" w:hAnsi="Arial" w:cs="Arial"/>
              </w:rPr>
            </w:pPr>
            <w:r>
              <w:rPr>
                <w:rFonts w:ascii="Arial" w:hAnsi="Arial" w:cs="Arial"/>
              </w:rPr>
              <w:t>4</w:t>
            </w:r>
          </w:p>
        </w:tc>
      </w:tr>
      <w:tr w:rsidR="00000000">
        <w:tblPrEx>
          <w:tblCellMar>
            <w:top w:w="0" w:type="dxa"/>
            <w:bottom w:w="0" w:type="dxa"/>
          </w:tblCellMar>
        </w:tblPrEx>
        <w:tc>
          <w:tcPr>
            <w:tcW w:w="3060" w:type="dxa"/>
            <w:tcBorders>
              <w:top w:val="single" w:sz="4" w:space="0" w:color="auto"/>
              <w:left w:val="single" w:sz="4" w:space="0" w:color="auto"/>
              <w:bottom w:val="single" w:sz="4" w:space="0" w:color="auto"/>
              <w:right w:val="single" w:sz="4" w:space="0" w:color="auto"/>
            </w:tcBorders>
          </w:tcPr>
          <w:p w:rsidR="00000000" w:rsidRDefault="00033289">
            <w:pPr>
              <w:spacing w:line="480" w:lineRule="auto"/>
              <w:jc w:val="center"/>
              <w:rPr>
                <w:rFonts w:ascii="Arial" w:hAnsi="Arial" w:cs="Arial"/>
              </w:rPr>
            </w:pPr>
            <w:r>
              <w:rPr>
                <w:rFonts w:ascii="Arial" w:hAnsi="Arial" w:cs="Arial"/>
              </w:rPr>
              <w:t>Baño de parada</w:t>
            </w:r>
          </w:p>
        </w:tc>
        <w:tc>
          <w:tcPr>
            <w:tcW w:w="2880" w:type="dxa"/>
            <w:tcBorders>
              <w:top w:val="single" w:sz="4" w:space="0" w:color="auto"/>
              <w:left w:val="single" w:sz="4" w:space="0" w:color="auto"/>
              <w:bottom w:val="single" w:sz="4" w:space="0" w:color="auto"/>
              <w:right w:val="single" w:sz="4" w:space="0" w:color="auto"/>
            </w:tcBorders>
          </w:tcPr>
          <w:p w:rsidR="00000000" w:rsidRDefault="00033289">
            <w:pPr>
              <w:spacing w:line="480" w:lineRule="auto"/>
              <w:jc w:val="center"/>
              <w:rPr>
                <w:rFonts w:ascii="Arial" w:hAnsi="Arial" w:cs="Arial"/>
              </w:rPr>
            </w:pPr>
            <w:r>
              <w:rPr>
                <w:rFonts w:ascii="Arial" w:hAnsi="Arial" w:cs="Arial"/>
              </w:rPr>
              <w:t>0.5</w:t>
            </w:r>
          </w:p>
        </w:tc>
      </w:tr>
      <w:tr w:rsidR="00000000">
        <w:tblPrEx>
          <w:tblCellMar>
            <w:top w:w="0" w:type="dxa"/>
            <w:bottom w:w="0" w:type="dxa"/>
          </w:tblCellMar>
        </w:tblPrEx>
        <w:tc>
          <w:tcPr>
            <w:tcW w:w="3060" w:type="dxa"/>
            <w:tcBorders>
              <w:top w:val="single" w:sz="4" w:space="0" w:color="auto"/>
              <w:left w:val="single" w:sz="4" w:space="0" w:color="auto"/>
              <w:bottom w:val="single" w:sz="4" w:space="0" w:color="auto"/>
              <w:right w:val="single" w:sz="4" w:space="0" w:color="auto"/>
            </w:tcBorders>
          </w:tcPr>
          <w:p w:rsidR="00000000" w:rsidRDefault="00033289">
            <w:pPr>
              <w:spacing w:line="480" w:lineRule="auto"/>
              <w:jc w:val="center"/>
              <w:rPr>
                <w:rFonts w:ascii="Arial" w:hAnsi="Arial" w:cs="Arial"/>
              </w:rPr>
            </w:pPr>
            <w:r>
              <w:rPr>
                <w:rFonts w:ascii="Arial" w:hAnsi="Arial" w:cs="Arial"/>
              </w:rPr>
              <w:t>Fijador</w:t>
            </w:r>
          </w:p>
        </w:tc>
        <w:tc>
          <w:tcPr>
            <w:tcW w:w="2880" w:type="dxa"/>
            <w:tcBorders>
              <w:top w:val="single" w:sz="4" w:space="0" w:color="auto"/>
              <w:left w:val="single" w:sz="4" w:space="0" w:color="auto"/>
              <w:bottom w:val="single" w:sz="4" w:space="0" w:color="auto"/>
              <w:right w:val="single" w:sz="4" w:space="0" w:color="auto"/>
            </w:tcBorders>
          </w:tcPr>
          <w:p w:rsidR="00000000" w:rsidRDefault="00033289">
            <w:pPr>
              <w:spacing w:line="480" w:lineRule="auto"/>
              <w:jc w:val="center"/>
              <w:rPr>
                <w:rFonts w:ascii="Arial" w:hAnsi="Arial" w:cs="Arial"/>
              </w:rPr>
            </w:pPr>
            <w:r>
              <w:rPr>
                <w:rFonts w:ascii="Arial" w:hAnsi="Arial" w:cs="Arial"/>
              </w:rPr>
              <w:t>4</w:t>
            </w:r>
          </w:p>
        </w:tc>
      </w:tr>
    </w:tbl>
    <w:p w:rsidR="00000000" w:rsidRDefault="00033289">
      <w:pPr>
        <w:ind w:left="2160"/>
        <w:jc w:val="both"/>
        <w:rPr>
          <w:rFonts w:ascii="Arial" w:hAnsi="Arial" w:cs="Arial"/>
        </w:rPr>
      </w:pPr>
    </w:p>
    <w:p w:rsidR="00000000" w:rsidRDefault="00033289">
      <w:pPr>
        <w:spacing w:line="480" w:lineRule="auto"/>
        <w:jc w:val="both"/>
        <w:rPr>
          <w:rFonts w:ascii="Arial" w:hAnsi="Arial" w:cs="Arial"/>
        </w:rPr>
      </w:pPr>
    </w:p>
    <w:p w:rsidR="00000000" w:rsidRDefault="00033289">
      <w:pPr>
        <w:spacing w:line="480" w:lineRule="auto"/>
        <w:ind w:left="2160"/>
        <w:jc w:val="both"/>
        <w:rPr>
          <w:rFonts w:ascii="Arial" w:hAnsi="Arial" w:cs="Arial"/>
        </w:rPr>
      </w:pPr>
      <w:r>
        <w:rPr>
          <w:rFonts w:ascii="Arial" w:hAnsi="Arial" w:cs="Arial"/>
        </w:rPr>
        <w:t>Los siguientes ensayos solo serán realizados para las probetas 5, 7 y 8. Las razones para aquello serán explicadas en el capítulo 3.</w:t>
      </w:r>
    </w:p>
    <w:p w:rsidR="00000000" w:rsidRDefault="00033289">
      <w:pPr>
        <w:spacing w:line="480" w:lineRule="auto"/>
        <w:ind w:left="2160"/>
        <w:jc w:val="both"/>
        <w:rPr>
          <w:rFonts w:ascii="Arial" w:hAnsi="Arial" w:cs="Arial"/>
        </w:rPr>
      </w:pPr>
    </w:p>
    <w:p w:rsidR="00000000" w:rsidRDefault="00033289">
      <w:pPr>
        <w:spacing w:line="480" w:lineRule="auto"/>
        <w:ind w:left="2160"/>
        <w:jc w:val="both"/>
        <w:rPr>
          <w:rFonts w:ascii="Arial" w:hAnsi="Arial" w:cs="Arial"/>
        </w:rPr>
      </w:pPr>
    </w:p>
    <w:p w:rsidR="00000000" w:rsidRDefault="00033289">
      <w:pPr>
        <w:ind w:left="708" w:firstLine="708"/>
        <w:rPr>
          <w:rFonts w:ascii="Arial" w:hAnsi="Arial" w:cs="Arial"/>
          <w:b/>
          <w:bCs/>
        </w:rPr>
      </w:pPr>
      <w:r>
        <w:rPr>
          <w:rFonts w:ascii="Arial" w:hAnsi="Arial" w:cs="Arial"/>
          <w:b/>
          <w:bCs/>
        </w:rPr>
        <w:t>2.3.3</w:t>
      </w:r>
      <w:r>
        <w:rPr>
          <w:rFonts w:ascii="Arial" w:hAnsi="Arial" w:cs="Arial"/>
          <w:b/>
          <w:bCs/>
        </w:rPr>
        <w:tab/>
        <w:t>Análisis Metalográfico:</w:t>
      </w:r>
    </w:p>
    <w:p w:rsidR="00000000" w:rsidRDefault="00033289">
      <w:pPr>
        <w:ind w:left="2160"/>
        <w:rPr>
          <w:rFonts w:ascii="Arial" w:hAnsi="Arial" w:cs="Arial"/>
          <w:b/>
          <w:bCs/>
        </w:rPr>
      </w:pPr>
    </w:p>
    <w:p w:rsidR="00000000" w:rsidRDefault="00033289">
      <w:pPr>
        <w:spacing w:line="480" w:lineRule="auto"/>
        <w:ind w:left="2160"/>
        <w:jc w:val="both"/>
        <w:rPr>
          <w:rFonts w:ascii="Arial" w:hAnsi="Arial" w:cs="Arial"/>
        </w:rPr>
      </w:pPr>
      <w:r>
        <w:rPr>
          <w:rFonts w:ascii="Arial" w:hAnsi="Arial" w:cs="Arial"/>
        </w:rPr>
        <w:t>La metalografía es una de las principales pruebas a r</w:t>
      </w:r>
      <w:r>
        <w:rPr>
          <w:rFonts w:ascii="Arial" w:hAnsi="Arial" w:cs="Arial"/>
        </w:rPr>
        <w:t>ealizarse en la junta soldada, esta nos permite conocer las posibles imperfecciones de la junta por medio del estudio de la macroestructura de esta. De manera complementaria tomando en consideración la microestructura podemos llegar a conocer el comportami</w:t>
      </w:r>
      <w:r>
        <w:rPr>
          <w:rFonts w:ascii="Arial" w:hAnsi="Arial" w:cs="Arial"/>
        </w:rPr>
        <w:t xml:space="preserve">ento del tamaño de grano a lo largo de toda la junta esto es, en el metal soldado, en la zona afectada </w:t>
      </w:r>
      <w:r>
        <w:rPr>
          <w:rFonts w:ascii="Arial" w:hAnsi="Arial" w:cs="Arial"/>
        </w:rPr>
        <w:lastRenderedPageBreak/>
        <w:t>por el calor y en el material base, lo que nos dará una idea del tipo de transformaciones microestructurales que se hicieron presente en la ejecución del</w:t>
      </w:r>
      <w:r>
        <w:rPr>
          <w:rFonts w:ascii="Arial" w:hAnsi="Arial" w:cs="Arial"/>
        </w:rPr>
        <w:t xml:space="preserve"> proceso de soldadura.</w:t>
      </w:r>
    </w:p>
    <w:p w:rsidR="00000000" w:rsidRDefault="00033289">
      <w:pPr>
        <w:spacing w:line="480" w:lineRule="auto"/>
        <w:ind w:left="2160"/>
        <w:jc w:val="both"/>
        <w:rPr>
          <w:rFonts w:ascii="Arial" w:hAnsi="Arial" w:cs="Arial"/>
        </w:rPr>
      </w:pPr>
    </w:p>
    <w:p w:rsidR="00000000" w:rsidRDefault="00033289">
      <w:pPr>
        <w:spacing w:line="480" w:lineRule="auto"/>
        <w:ind w:left="2160"/>
        <w:jc w:val="both"/>
        <w:rPr>
          <w:rFonts w:ascii="Arial" w:hAnsi="Arial" w:cs="Arial"/>
        </w:rPr>
      </w:pPr>
      <w:r>
        <w:rPr>
          <w:rFonts w:ascii="Arial" w:hAnsi="Arial" w:cs="Arial"/>
        </w:rPr>
        <w:t xml:space="preserve">Se preparan entonces las probetas que fueron cortadas de forma manual en las secciones de la probeta, para luego de esto ser analizadas en el microscopio y tomar la correspondiente fotografía de tal manera que exista un registro de </w:t>
      </w:r>
      <w:r>
        <w:rPr>
          <w:rFonts w:ascii="Arial" w:hAnsi="Arial" w:cs="Arial"/>
        </w:rPr>
        <w:t>aquello. Se realiza un desbaste grueso con lija de cinta No. 180, pasando al desbaste medio utilizando lija de agua No. 220, 320, 400, 600 para realizar luego un pulido final en una pulidora de disco con paño tipo MOL,  y empleando pasta de óxido de alumin</w:t>
      </w:r>
      <w:r>
        <w:rPr>
          <w:rFonts w:ascii="Arial" w:hAnsi="Arial" w:cs="Arial"/>
        </w:rPr>
        <w:t xml:space="preserve">io (alumina tipo N) como abrasivo sobre un paño tipo DUR, el procedimiento empleado a las probetas para la macrofotografía y a las de Microestructura. </w:t>
      </w:r>
    </w:p>
    <w:p w:rsidR="00000000" w:rsidRDefault="00033289">
      <w:pPr>
        <w:spacing w:line="480" w:lineRule="auto"/>
        <w:ind w:left="2160"/>
        <w:jc w:val="both"/>
        <w:rPr>
          <w:rFonts w:ascii="Arial" w:hAnsi="Arial" w:cs="Arial"/>
        </w:rPr>
      </w:pPr>
    </w:p>
    <w:p w:rsidR="00000000" w:rsidRDefault="00033289">
      <w:pPr>
        <w:spacing w:line="480" w:lineRule="auto"/>
        <w:ind w:left="2160"/>
        <w:jc w:val="both"/>
        <w:rPr>
          <w:rFonts w:ascii="Arial" w:hAnsi="Arial" w:cs="Arial"/>
        </w:rPr>
      </w:pPr>
      <w:r>
        <w:rPr>
          <w:rFonts w:ascii="Arial" w:hAnsi="Arial" w:cs="Arial"/>
        </w:rPr>
        <w:t>En las muestras utilizadas en la macrofotografía se ataca con el mismo reactivo por un tiempo ente 30 y</w:t>
      </w:r>
      <w:r>
        <w:rPr>
          <w:rFonts w:ascii="Arial" w:hAnsi="Arial" w:cs="Arial"/>
        </w:rPr>
        <w:t xml:space="preserve"> 40 segundos, la macrofotografía fue realizada con un </w:t>
      </w:r>
      <w:r>
        <w:rPr>
          <w:rFonts w:ascii="Arial" w:hAnsi="Arial" w:cs="Arial"/>
        </w:rPr>
        <w:lastRenderedPageBreak/>
        <w:t>aumento de 50X en el macroscopio ESTEREO WILD Figura 2.22, 2.23, 2.24.</w:t>
      </w:r>
    </w:p>
    <w:p w:rsidR="00000000" w:rsidRDefault="00033289"/>
    <w:p w:rsidR="00000000" w:rsidRDefault="00033289">
      <w:pPr>
        <w:jc w:val="right"/>
      </w:pPr>
      <w:r>
        <w:object w:dxaOrig="12000" w:dyaOrig="90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4.5pt;height:180.75pt" o:ole="">
            <v:imagedata r:id="rId7" o:title=""/>
          </v:shape>
          <o:OLEObject Type="Embed" ProgID="MSPhotoEd.3" ShapeID="_x0000_i1025" DrawAspect="Content" ObjectID="_1307441522" r:id="rId8"/>
        </w:object>
      </w:r>
    </w:p>
    <w:p w:rsidR="00000000" w:rsidRDefault="00033289"/>
    <w:p w:rsidR="00000000" w:rsidRDefault="00033289">
      <w:pPr>
        <w:pStyle w:val="Encabezado"/>
        <w:tabs>
          <w:tab w:val="clear" w:pos="4252"/>
          <w:tab w:val="clear" w:pos="8504"/>
        </w:tabs>
        <w:rPr>
          <w:rFonts w:ascii="Arial" w:hAnsi="Arial" w:cs="Arial"/>
        </w:rPr>
      </w:pPr>
      <w:r>
        <w:t xml:space="preserve">                                                   </w:t>
      </w:r>
      <w:r>
        <w:rPr>
          <w:rFonts w:ascii="Arial" w:hAnsi="Arial" w:cs="Arial"/>
          <w:b/>
        </w:rPr>
        <w:t xml:space="preserve">Figura 2.22 </w:t>
      </w:r>
      <w:r>
        <w:rPr>
          <w:rFonts w:ascii="Arial" w:hAnsi="Arial" w:cs="Arial"/>
        </w:rPr>
        <w:t xml:space="preserve"> Muestra de Probeta 5</w:t>
      </w:r>
    </w:p>
    <w:p w:rsidR="00000000" w:rsidRDefault="00033289"/>
    <w:p w:rsidR="00000000" w:rsidRDefault="00033289"/>
    <w:p w:rsidR="00000000" w:rsidRDefault="00033289">
      <w:pPr>
        <w:jc w:val="right"/>
      </w:pPr>
      <w:r>
        <w:object w:dxaOrig="12000" w:dyaOrig="9000">
          <v:shape id="_x0000_i1026" type="#_x0000_t75" style="width:267.75pt;height:183pt" o:ole="">
            <v:imagedata r:id="rId9" o:title=""/>
          </v:shape>
          <o:OLEObject Type="Embed" ProgID="MSPhotoEd.3" ShapeID="_x0000_i1026" DrawAspect="Content" ObjectID="_1307441523" r:id="rId10"/>
        </w:object>
      </w:r>
    </w:p>
    <w:p w:rsidR="00000000" w:rsidRDefault="00033289">
      <w:pPr>
        <w:pStyle w:val="Encabezado"/>
        <w:tabs>
          <w:tab w:val="clear" w:pos="4252"/>
          <w:tab w:val="clear" w:pos="8504"/>
        </w:tabs>
      </w:pPr>
    </w:p>
    <w:p w:rsidR="00000000" w:rsidRDefault="00033289">
      <w:pPr>
        <w:spacing w:line="480" w:lineRule="auto"/>
        <w:ind w:left="2160"/>
        <w:jc w:val="both"/>
        <w:rPr>
          <w:rFonts w:ascii="Arial" w:hAnsi="Arial" w:cs="Arial"/>
          <w:bCs/>
        </w:rPr>
      </w:pPr>
      <w:r>
        <w:rPr>
          <w:rFonts w:ascii="Arial" w:hAnsi="Arial" w:cs="Arial"/>
          <w:b/>
          <w:bCs/>
        </w:rPr>
        <w:t xml:space="preserve">               Figura 2.23</w:t>
      </w:r>
      <w:r>
        <w:rPr>
          <w:rFonts w:ascii="Arial" w:hAnsi="Arial" w:cs="Arial"/>
          <w:b/>
        </w:rPr>
        <w:t xml:space="preserve"> </w:t>
      </w:r>
      <w:r>
        <w:rPr>
          <w:rFonts w:ascii="Arial" w:hAnsi="Arial" w:cs="Arial"/>
          <w:bCs/>
        </w:rPr>
        <w:t>Muestra de Probeta 7</w:t>
      </w:r>
    </w:p>
    <w:p w:rsidR="00000000" w:rsidRDefault="00033289">
      <w:pPr>
        <w:spacing w:line="480" w:lineRule="auto"/>
        <w:ind w:left="2160"/>
        <w:jc w:val="both"/>
      </w:pPr>
    </w:p>
    <w:p w:rsidR="00000000" w:rsidRDefault="00033289">
      <w:pPr>
        <w:spacing w:line="480" w:lineRule="auto"/>
        <w:ind w:left="2160"/>
        <w:jc w:val="both"/>
      </w:pPr>
    </w:p>
    <w:p w:rsidR="00000000" w:rsidRDefault="00033289">
      <w:pPr>
        <w:spacing w:line="480" w:lineRule="auto"/>
        <w:ind w:left="2160"/>
        <w:jc w:val="right"/>
      </w:pPr>
      <w:r>
        <w:object w:dxaOrig="12000" w:dyaOrig="9000">
          <v:shape id="_x0000_i1027" type="#_x0000_t75" style="width:266.25pt;height:180pt" o:ole="">
            <v:imagedata r:id="rId11" o:title=""/>
          </v:shape>
          <o:OLEObject Type="Embed" ProgID="MSPhotoEd.3" ShapeID="_x0000_i1027" DrawAspect="Content" ObjectID="_1307441524" r:id="rId12"/>
        </w:object>
      </w:r>
    </w:p>
    <w:p w:rsidR="00000000" w:rsidRDefault="00033289">
      <w:pPr>
        <w:pStyle w:val="Encabezado"/>
        <w:tabs>
          <w:tab w:val="clear" w:pos="4252"/>
          <w:tab w:val="clear" w:pos="8504"/>
        </w:tabs>
      </w:pPr>
    </w:p>
    <w:p w:rsidR="00000000" w:rsidRDefault="00033289">
      <w:pPr>
        <w:spacing w:line="480" w:lineRule="auto"/>
        <w:ind w:left="2160"/>
        <w:jc w:val="both"/>
      </w:pPr>
      <w:r>
        <w:rPr>
          <w:rFonts w:ascii="Arial" w:hAnsi="Arial" w:cs="Arial"/>
          <w:b/>
          <w:bCs/>
        </w:rPr>
        <w:t xml:space="preserve">                Figura 2.24</w:t>
      </w:r>
      <w:r>
        <w:rPr>
          <w:rFonts w:ascii="Arial" w:hAnsi="Arial" w:cs="Arial"/>
          <w:b/>
        </w:rPr>
        <w:t xml:space="preserve"> </w:t>
      </w:r>
      <w:r>
        <w:rPr>
          <w:rFonts w:ascii="Arial" w:hAnsi="Arial" w:cs="Arial"/>
          <w:bCs/>
        </w:rPr>
        <w:t>Muestra de Probeta  8</w:t>
      </w:r>
    </w:p>
    <w:p w:rsidR="00000000" w:rsidRDefault="00033289">
      <w:pPr>
        <w:spacing w:line="480" w:lineRule="auto"/>
        <w:jc w:val="both"/>
      </w:pPr>
    </w:p>
    <w:p w:rsidR="00000000" w:rsidRDefault="00033289">
      <w:pPr>
        <w:spacing w:line="480" w:lineRule="auto"/>
        <w:jc w:val="both"/>
        <w:rPr>
          <w:rFonts w:ascii="Arial" w:hAnsi="Arial" w:cs="Arial"/>
        </w:rPr>
      </w:pPr>
    </w:p>
    <w:p w:rsidR="00000000" w:rsidRDefault="00033289">
      <w:pPr>
        <w:spacing w:line="480" w:lineRule="auto"/>
        <w:ind w:left="2160"/>
        <w:jc w:val="both"/>
        <w:rPr>
          <w:rFonts w:ascii="Arial" w:hAnsi="Arial" w:cs="Arial"/>
        </w:rPr>
      </w:pPr>
      <w:r>
        <w:rPr>
          <w:rFonts w:ascii="Arial" w:hAnsi="Arial" w:cs="Arial"/>
        </w:rPr>
        <w:t>Para la micografía  se efectúa un pulido con pasta de diamante tipo B obteniendo una superficie sin fallas, y luego pro</w:t>
      </w:r>
      <w:r>
        <w:rPr>
          <w:rFonts w:ascii="Arial" w:hAnsi="Arial" w:cs="Arial"/>
        </w:rPr>
        <w:t>ceder al ataque químico del material con el reactivo NITAL al 3%, el cual es un ácido, con un tiempo de exposición de aproximadamente 3 segundos, para ser inmediatamente secado, de esta forma queda lista la probeta para ser analizada en el microscopio OLIM</w:t>
      </w:r>
      <w:r>
        <w:rPr>
          <w:rFonts w:ascii="Arial" w:hAnsi="Arial" w:cs="Arial"/>
        </w:rPr>
        <w:t>PUS PME, donde se realiza un barrido a toda la microestructura con un aumento de 800X  figura 2.25.</w:t>
      </w:r>
    </w:p>
    <w:p w:rsidR="00000000" w:rsidRDefault="00033289">
      <w:pPr>
        <w:spacing w:line="480" w:lineRule="auto"/>
        <w:ind w:left="2160"/>
        <w:jc w:val="both"/>
        <w:rPr>
          <w:rFonts w:ascii="Arial" w:hAnsi="Arial" w:cs="Arial"/>
        </w:rPr>
      </w:pPr>
    </w:p>
    <w:p w:rsidR="00000000" w:rsidRDefault="00033289">
      <w:pPr>
        <w:ind w:left="2160"/>
        <w:jc w:val="center"/>
      </w:pPr>
    </w:p>
    <w:p w:rsidR="00000000" w:rsidRDefault="00033289">
      <w:pPr>
        <w:pStyle w:val="Ttulo1"/>
        <w:jc w:val="center"/>
        <w:rPr>
          <w:rFonts w:ascii="Arial" w:hAnsi="Arial" w:cs="Arial"/>
        </w:rPr>
      </w:pPr>
    </w:p>
    <w:p w:rsidR="00000000" w:rsidRDefault="00033289">
      <w:pPr>
        <w:pStyle w:val="Ttulo1"/>
        <w:ind w:left="2160"/>
        <w:jc w:val="center"/>
        <w:rPr>
          <w:rFonts w:ascii="Arial" w:hAnsi="Arial" w:cs="Arial"/>
          <w:b w:val="0"/>
        </w:rPr>
      </w:pPr>
    </w:p>
    <w:p w:rsidR="00000000" w:rsidRDefault="00033289"/>
    <w:p w:rsidR="00000000" w:rsidRDefault="00033289"/>
    <w:p w:rsidR="00000000" w:rsidRDefault="00033289"/>
    <w:p w:rsidR="00000000" w:rsidRDefault="00033289"/>
    <w:p w:rsidR="00000000" w:rsidRDefault="00033289"/>
    <w:p w:rsidR="00000000" w:rsidRDefault="00033289"/>
    <w:p w:rsidR="00000000" w:rsidRDefault="00033289"/>
    <w:p w:rsidR="00000000" w:rsidRDefault="00033289"/>
    <w:p w:rsidR="00000000" w:rsidRDefault="00033289">
      <w:pPr>
        <w:ind w:left="2520"/>
        <w:jc w:val="center"/>
      </w:pPr>
    </w:p>
    <w:p w:rsidR="00000000" w:rsidRDefault="00033289"/>
    <w:p w:rsidR="00000000" w:rsidRDefault="00033289">
      <w:pPr>
        <w:pStyle w:val="Ttulo2"/>
        <w:ind w:left="2160"/>
        <w:jc w:val="center"/>
        <w:rPr>
          <w:rFonts w:ascii="Arial" w:hAnsi="Arial" w:cs="Arial"/>
        </w:rPr>
      </w:pPr>
    </w:p>
    <w:p w:rsidR="00000000" w:rsidRDefault="00033289">
      <w:pPr>
        <w:ind w:left="708"/>
      </w:pPr>
    </w:p>
    <w:p w:rsidR="00000000" w:rsidRDefault="00033289"/>
    <w:p w:rsidR="00000000" w:rsidRDefault="00033289"/>
    <w:p w:rsidR="00000000" w:rsidRDefault="00033289"/>
    <w:p w:rsidR="00000000" w:rsidRDefault="00033289">
      <w:pPr>
        <w:jc w:val="center"/>
      </w:pPr>
    </w:p>
    <w:p w:rsidR="00000000" w:rsidRDefault="00033289">
      <w:pPr>
        <w:ind w:left="2700"/>
        <w:jc w:val="center"/>
      </w:pPr>
    </w:p>
    <w:p w:rsidR="00000000" w:rsidRDefault="00033289">
      <w:pPr>
        <w:pStyle w:val="Ttulo2"/>
        <w:ind w:left="2160"/>
        <w:jc w:val="center"/>
        <w:rPr>
          <w:rFonts w:ascii="Arial" w:hAnsi="Arial" w:cs="Arial"/>
        </w:rPr>
      </w:pPr>
    </w:p>
    <w:p w:rsidR="00000000" w:rsidRDefault="00033289">
      <w:pPr>
        <w:spacing w:line="480" w:lineRule="auto"/>
        <w:ind w:left="2160"/>
        <w:jc w:val="both"/>
        <w:rPr>
          <w:rFonts w:ascii="Arial" w:hAnsi="Arial" w:cs="Arial"/>
        </w:rPr>
      </w:pPr>
    </w:p>
    <w:p w:rsidR="00000000" w:rsidRDefault="00033289">
      <w:pPr>
        <w:spacing w:line="480" w:lineRule="auto"/>
        <w:ind w:left="2160"/>
        <w:jc w:val="both"/>
        <w:rPr>
          <w:rFonts w:ascii="Arial" w:hAnsi="Arial" w:cs="Arial"/>
        </w:rPr>
      </w:pPr>
    </w:p>
    <w:p w:rsidR="00000000" w:rsidRDefault="00033289">
      <w:pPr>
        <w:spacing w:line="480" w:lineRule="auto"/>
        <w:ind w:left="2160"/>
        <w:jc w:val="both"/>
        <w:rPr>
          <w:rFonts w:ascii="Arial" w:hAnsi="Arial" w:cs="Arial"/>
        </w:rPr>
      </w:pPr>
    </w:p>
    <w:p w:rsidR="00000000" w:rsidRDefault="00033289">
      <w:pPr>
        <w:spacing w:line="480" w:lineRule="auto"/>
        <w:ind w:left="2160"/>
        <w:jc w:val="both"/>
        <w:rPr>
          <w:rFonts w:ascii="Arial" w:hAnsi="Arial" w:cs="Arial"/>
        </w:rPr>
      </w:pPr>
    </w:p>
    <w:p w:rsidR="00000000" w:rsidRDefault="00033289">
      <w:pPr>
        <w:spacing w:line="480" w:lineRule="auto"/>
        <w:ind w:left="2160"/>
        <w:jc w:val="both"/>
        <w:rPr>
          <w:rFonts w:ascii="Arial" w:hAnsi="Arial" w:cs="Arial"/>
        </w:rPr>
      </w:pPr>
    </w:p>
    <w:p w:rsidR="00000000" w:rsidRDefault="00033289">
      <w:pPr>
        <w:spacing w:line="480" w:lineRule="auto"/>
        <w:ind w:left="2160"/>
        <w:jc w:val="both"/>
        <w:rPr>
          <w:rFonts w:ascii="Arial" w:hAnsi="Arial" w:cs="Arial"/>
        </w:rPr>
      </w:pPr>
      <w:r>
        <w:rPr>
          <w:rFonts w:ascii="Arial" w:hAnsi="Arial" w:cs="Arial"/>
        </w:rPr>
        <w:t>Micrografía aquí 2.25</w:t>
      </w:r>
    </w:p>
    <w:p w:rsidR="00000000" w:rsidRDefault="00033289">
      <w:pPr>
        <w:spacing w:line="480" w:lineRule="auto"/>
        <w:ind w:left="2160"/>
        <w:jc w:val="both"/>
        <w:rPr>
          <w:rFonts w:ascii="Arial" w:hAnsi="Arial" w:cs="Arial"/>
        </w:rPr>
      </w:pPr>
    </w:p>
    <w:p w:rsidR="00000000" w:rsidRDefault="00033289">
      <w:pPr>
        <w:spacing w:line="480" w:lineRule="auto"/>
        <w:ind w:left="2160"/>
        <w:jc w:val="both"/>
        <w:rPr>
          <w:rFonts w:ascii="Arial" w:hAnsi="Arial" w:cs="Arial"/>
        </w:rPr>
      </w:pPr>
    </w:p>
    <w:p w:rsidR="00000000" w:rsidRDefault="00033289">
      <w:pPr>
        <w:spacing w:line="480" w:lineRule="auto"/>
        <w:ind w:left="2160"/>
        <w:jc w:val="both"/>
        <w:rPr>
          <w:rFonts w:ascii="Arial" w:hAnsi="Arial" w:cs="Arial"/>
        </w:rPr>
      </w:pPr>
    </w:p>
    <w:p w:rsidR="00033289" w:rsidRDefault="00033289">
      <w:pPr>
        <w:spacing w:line="480" w:lineRule="auto"/>
        <w:ind w:left="2160"/>
        <w:jc w:val="both"/>
        <w:rPr>
          <w:rFonts w:ascii="Arial" w:hAnsi="Arial" w:cs="Arial"/>
        </w:rPr>
      </w:pPr>
    </w:p>
    <w:sectPr w:rsidR="00033289">
      <w:headerReference w:type="default" r:id="rId13"/>
      <w:pgSz w:w="11906" w:h="16838"/>
      <w:pgMar w:top="2268" w:right="1361" w:bottom="2155" w:left="2325" w:header="709" w:footer="709" w:gutter="0"/>
      <w:pgNumType w:start="136"/>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33289" w:rsidRDefault="00033289">
      <w:r>
        <w:separator/>
      </w:r>
    </w:p>
  </w:endnote>
  <w:endnote w:type="continuationSeparator" w:id="1">
    <w:p w:rsidR="00033289" w:rsidRDefault="00033289">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33289" w:rsidRDefault="00033289">
      <w:r>
        <w:separator/>
      </w:r>
    </w:p>
  </w:footnote>
  <w:footnote w:type="continuationSeparator" w:id="1">
    <w:p w:rsidR="00033289" w:rsidRDefault="0003328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033289">
    <w:pPr>
      <w:pStyle w:val="Encabezado"/>
    </w:pPr>
  </w:p>
  <w:p w:rsidR="00000000" w:rsidRDefault="00033289">
    <w:pPr>
      <w:pStyle w:val="Encabezado"/>
      <w:jc w:val="right"/>
      <w:rPr>
        <w:rFonts w:ascii="Arial" w:hAnsi="Arial" w:cs="Arial"/>
      </w:rPr>
    </w:pPr>
    <w:r>
      <w:rPr>
        <w:rStyle w:val="Nmerodepgina"/>
        <w:rFonts w:ascii="Arial" w:hAnsi="Arial" w:cs="Arial"/>
      </w:rPr>
      <w:fldChar w:fldCharType="begin"/>
    </w:r>
    <w:r>
      <w:rPr>
        <w:rStyle w:val="Nmerodepgina"/>
        <w:rFonts w:ascii="Arial" w:hAnsi="Arial" w:cs="Arial"/>
      </w:rPr>
      <w:instrText xml:space="preserve"> PAGE </w:instrText>
    </w:r>
    <w:r>
      <w:rPr>
        <w:rStyle w:val="Nmerodepgina"/>
        <w:rFonts w:ascii="Arial" w:hAnsi="Arial" w:cs="Arial"/>
      </w:rPr>
      <w:fldChar w:fldCharType="separate"/>
    </w:r>
    <w:r w:rsidR="0058387C">
      <w:rPr>
        <w:rStyle w:val="Nmerodepgina"/>
        <w:rFonts w:ascii="Arial" w:hAnsi="Arial" w:cs="Arial"/>
        <w:noProof/>
      </w:rPr>
      <w:t>137</w:t>
    </w:r>
    <w:r>
      <w:rPr>
        <w:rStyle w:val="Nmerodepgina"/>
        <w:rFonts w:ascii="Arial" w:hAnsi="Arial" w:cs="Arial"/>
      </w:rPr>
      <w:fldChar w:fldCharType="end"/>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2A30ED"/>
    <w:multiLevelType w:val="hybridMultilevel"/>
    <w:tmpl w:val="4FDC42B2"/>
    <w:lvl w:ilvl="0" w:tplc="0C0A0001">
      <w:start w:val="1"/>
      <w:numFmt w:val="bullet"/>
      <w:lvlText w:val=""/>
      <w:lvlJc w:val="left"/>
      <w:pPr>
        <w:tabs>
          <w:tab w:val="num" w:pos="720"/>
        </w:tabs>
        <w:ind w:left="720" w:hanging="360"/>
      </w:pPr>
      <w:rPr>
        <w:rFonts w:ascii="Symbol" w:hAnsi="Symbol" w:cs="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cs="Wingdings" w:hint="default"/>
      </w:rPr>
    </w:lvl>
    <w:lvl w:ilvl="3" w:tplc="0C0A0001">
      <w:start w:val="1"/>
      <w:numFmt w:val="bullet"/>
      <w:lvlText w:val=""/>
      <w:lvlJc w:val="left"/>
      <w:pPr>
        <w:tabs>
          <w:tab w:val="num" w:pos="2880"/>
        </w:tabs>
        <w:ind w:left="2880" w:hanging="360"/>
      </w:pPr>
      <w:rPr>
        <w:rFonts w:ascii="Symbol" w:hAnsi="Symbol" w:cs="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cs="Wingdings" w:hint="default"/>
      </w:rPr>
    </w:lvl>
    <w:lvl w:ilvl="6" w:tplc="0C0A0001">
      <w:start w:val="1"/>
      <w:numFmt w:val="bullet"/>
      <w:lvlText w:val=""/>
      <w:lvlJc w:val="left"/>
      <w:pPr>
        <w:tabs>
          <w:tab w:val="num" w:pos="5040"/>
        </w:tabs>
        <w:ind w:left="5040" w:hanging="360"/>
      </w:pPr>
      <w:rPr>
        <w:rFonts w:ascii="Symbol" w:hAnsi="Symbol" w:cs="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Wingdings" w:hint="default"/>
      </w:rPr>
    </w:lvl>
  </w:abstractNum>
  <w:abstractNum w:abstractNumId="1">
    <w:nsid w:val="0BD81F9A"/>
    <w:multiLevelType w:val="hybridMultilevel"/>
    <w:tmpl w:val="15B07364"/>
    <w:lvl w:ilvl="0" w:tplc="0C0A0001">
      <w:start w:val="1"/>
      <w:numFmt w:val="bullet"/>
      <w:lvlText w:val=""/>
      <w:lvlJc w:val="left"/>
      <w:pPr>
        <w:tabs>
          <w:tab w:val="num" w:pos="1800"/>
        </w:tabs>
        <w:ind w:left="1800" w:hanging="360"/>
      </w:pPr>
      <w:rPr>
        <w:rFonts w:ascii="Symbol" w:hAnsi="Symbol" w:hint="default"/>
      </w:rPr>
    </w:lvl>
    <w:lvl w:ilvl="1" w:tplc="0C0A0003" w:tentative="1">
      <w:start w:val="1"/>
      <w:numFmt w:val="bullet"/>
      <w:lvlText w:val="o"/>
      <w:lvlJc w:val="left"/>
      <w:pPr>
        <w:tabs>
          <w:tab w:val="num" w:pos="2520"/>
        </w:tabs>
        <w:ind w:left="2520" w:hanging="360"/>
      </w:pPr>
      <w:rPr>
        <w:rFonts w:ascii="Courier New" w:hAnsi="Courier New" w:cs="Courier New" w:hint="default"/>
      </w:rPr>
    </w:lvl>
    <w:lvl w:ilvl="2" w:tplc="0C0A0005" w:tentative="1">
      <w:start w:val="1"/>
      <w:numFmt w:val="bullet"/>
      <w:lvlText w:val=""/>
      <w:lvlJc w:val="left"/>
      <w:pPr>
        <w:tabs>
          <w:tab w:val="num" w:pos="3240"/>
        </w:tabs>
        <w:ind w:left="3240" w:hanging="360"/>
      </w:pPr>
      <w:rPr>
        <w:rFonts w:ascii="Wingdings" w:hAnsi="Wingdings" w:hint="default"/>
      </w:rPr>
    </w:lvl>
    <w:lvl w:ilvl="3" w:tplc="0C0A0001" w:tentative="1">
      <w:start w:val="1"/>
      <w:numFmt w:val="bullet"/>
      <w:lvlText w:val=""/>
      <w:lvlJc w:val="left"/>
      <w:pPr>
        <w:tabs>
          <w:tab w:val="num" w:pos="3960"/>
        </w:tabs>
        <w:ind w:left="3960" w:hanging="360"/>
      </w:pPr>
      <w:rPr>
        <w:rFonts w:ascii="Symbol" w:hAnsi="Symbol" w:hint="default"/>
      </w:rPr>
    </w:lvl>
    <w:lvl w:ilvl="4" w:tplc="0C0A0003" w:tentative="1">
      <w:start w:val="1"/>
      <w:numFmt w:val="bullet"/>
      <w:lvlText w:val="o"/>
      <w:lvlJc w:val="left"/>
      <w:pPr>
        <w:tabs>
          <w:tab w:val="num" w:pos="4680"/>
        </w:tabs>
        <w:ind w:left="4680" w:hanging="360"/>
      </w:pPr>
      <w:rPr>
        <w:rFonts w:ascii="Courier New" w:hAnsi="Courier New" w:cs="Courier New" w:hint="default"/>
      </w:rPr>
    </w:lvl>
    <w:lvl w:ilvl="5" w:tplc="0C0A0005" w:tentative="1">
      <w:start w:val="1"/>
      <w:numFmt w:val="bullet"/>
      <w:lvlText w:val=""/>
      <w:lvlJc w:val="left"/>
      <w:pPr>
        <w:tabs>
          <w:tab w:val="num" w:pos="5400"/>
        </w:tabs>
        <w:ind w:left="5400" w:hanging="360"/>
      </w:pPr>
      <w:rPr>
        <w:rFonts w:ascii="Wingdings" w:hAnsi="Wingdings" w:hint="default"/>
      </w:rPr>
    </w:lvl>
    <w:lvl w:ilvl="6" w:tplc="0C0A0001" w:tentative="1">
      <w:start w:val="1"/>
      <w:numFmt w:val="bullet"/>
      <w:lvlText w:val=""/>
      <w:lvlJc w:val="left"/>
      <w:pPr>
        <w:tabs>
          <w:tab w:val="num" w:pos="6120"/>
        </w:tabs>
        <w:ind w:left="6120" w:hanging="360"/>
      </w:pPr>
      <w:rPr>
        <w:rFonts w:ascii="Symbol" w:hAnsi="Symbol" w:hint="default"/>
      </w:rPr>
    </w:lvl>
    <w:lvl w:ilvl="7" w:tplc="0C0A0003" w:tentative="1">
      <w:start w:val="1"/>
      <w:numFmt w:val="bullet"/>
      <w:lvlText w:val="o"/>
      <w:lvlJc w:val="left"/>
      <w:pPr>
        <w:tabs>
          <w:tab w:val="num" w:pos="6840"/>
        </w:tabs>
        <w:ind w:left="6840" w:hanging="360"/>
      </w:pPr>
      <w:rPr>
        <w:rFonts w:ascii="Courier New" w:hAnsi="Courier New" w:cs="Courier New" w:hint="default"/>
      </w:rPr>
    </w:lvl>
    <w:lvl w:ilvl="8" w:tplc="0C0A0005" w:tentative="1">
      <w:start w:val="1"/>
      <w:numFmt w:val="bullet"/>
      <w:lvlText w:val=""/>
      <w:lvlJc w:val="left"/>
      <w:pPr>
        <w:tabs>
          <w:tab w:val="num" w:pos="7560"/>
        </w:tabs>
        <w:ind w:left="7560" w:hanging="360"/>
      </w:pPr>
      <w:rPr>
        <w:rFonts w:ascii="Wingdings" w:hAnsi="Wingdings" w:hint="default"/>
      </w:rPr>
    </w:lvl>
  </w:abstractNum>
  <w:abstractNum w:abstractNumId="2">
    <w:nsid w:val="1B48496C"/>
    <w:multiLevelType w:val="hybridMultilevel"/>
    <w:tmpl w:val="DC403D48"/>
    <w:lvl w:ilvl="0" w:tplc="0C0A0001">
      <w:start w:val="1"/>
      <w:numFmt w:val="bullet"/>
      <w:lvlText w:val=""/>
      <w:lvlJc w:val="left"/>
      <w:pPr>
        <w:tabs>
          <w:tab w:val="num" w:pos="1080"/>
        </w:tabs>
        <w:ind w:left="10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cs="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3">
    <w:nsid w:val="246E56EA"/>
    <w:multiLevelType w:val="hybridMultilevel"/>
    <w:tmpl w:val="80387DD6"/>
    <w:lvl w:ilvl="0" w:tplc="0C0A0001">
      <w:start w:val="1"/>
      <w:numFmt w:val="bullet"/>
      <w:lvlText w:val=""/>
      <w:lvlJc w:val="left"/>
      <w:pPr>
        <w:tabs>
          <w:tab w:val="num" w:pos="2880"/>
        </w:tabs>
        <w:ind w:left="2880" w:hanging="360"/>
      </w:pPr>
      <w:rPr>
        <w:rFonts w:ascii="Symbol" w:hAnsi="Symbol" w:hint="default"/>
      </w:rPr>
    </w:lvl>
    <w:lvl w:ilvl="1" w:tplc="0C0A0003" w:tentative="1">
      <w:start w:val="1"/>
      <w:numFmt w:val="bullet"/>
      <w:lvlText w:val="o"/>
      <w:lvlJc w:val="left"/>
      <w:pPr>
        <w:tabs>
          <w:tab w:val="num" w:pos="3600"/>
        </w:tabs>
        <w:ind w:left="3600" w:hanging="360"/>
      </w:pPr>
      <w:rPr>
        <w:rFonts w:ascii="Courier New" w:hAnsi="Courier New" w:cs="Courier New" w:hint="default"/>
      </w:rPr>
    </w:lvl>
    <w:lvl w:ilvl="2" w:tplc="0C0A0005" w:tentative="1">
      <w:start w:val="1"/>
      <w:numFmt w:val="bullet"/>
      <w:lvlText w:val=""/>
      <w:lvlJc w:val="left"/>
      <w:pPr>
        <w:tabs>
          <w:tab w:val="num" w:pos="4320"/>
        </w:tabs>
        <w:ind w:left="4320" w:hanging="360"/>
      </w:pPr>
      <w:rPr>
        <w:rFonts w:ascii="Wingdings" w:hAnsi="Wingdings" w:hint="default"/>
      </w:rPr>
    </w:lvl>
    <w:lvl w:ilvl="3" w:tplc="0C0A0001" w:tentative="1">
      <w:start w:val="1"/>
      <w:numFmt w:val="bullet"/>
      <w:lvlText w:val=""/>
      <w:lvlJc w:val="left"/>
      <w:pPr>
        <w:tabs>
          <w:tab w:val="num" w:pos="5040"/>
        </w:tabs>
        <w:ind w:left="5040" w:hanging="360"/>
      </w:pPr>
      <w:rPr>
        <w:rFonts w:ascii="Symbol" w:hAnsi="Symbol" w:hint="default"/>
      </w:rPr>
    </w:lvl>
    <w:lvl w:ilvl="4" w:tplc="0C0A0003" w:tentative="1">
      <w:start w:val="1"/>
      <w:numFmt w:val="bullet"/>
      <w:lvlText w:val="o"/>
      <w:lvlJc w:val="left"/>
      <w:pPr>
        <w:tabs>
          <w:tab w:val="num" w:pos="5760"/>
        </w:tabs>
        <w:ind w:left="5760" w:hanging="360"/>
      </w:pPr>
      <w:rPr>
        <w:rFonts w:ascii="Courier New" w:hAnsi="Courier New" w:cs="Courier New" w:hint="default"/>
      </w:rPr>
    </w:lvl>
    <w:lvl w:ilvl="5" w:tplc="0C0A0005" w:tentative="1">
      <w:start w:val="1"/>
      <w:numFmt w:val="bullet"/>
      <w:lvlText w:val=""/>
      <w:lvlJc w:val="left"/>
      <w:pPr>
        <w:tabs>
          <w:tab w:val="num" w:pos="6480"/>
        </w:tabs>
        <w:ind w:left="6480" w:hanging="360"/>
      </w:pPr>
      <w:rPr>
        <w:rFonts w:ascii="Wingdings" w:hAnsi="Wingdings" w:hint="default"/>
      </w:rPr>
    </w:lvl>
    <w:lvl w:ilvl="6" w:tplc="0C0A0001" w:tentative="1">
      <w:start w:val="1"/>
      <w:numFmt w:val="bullet"/>
      <w:lvlText w:val=""/>
      <w:lvlJc w:val="left"/>
      <w:pPr>
        <w:tabs>
          <w:tab w:val="num" w:pos="7200"/>
        </w:tabs>
        <w:ind w:left="7200" w:hanging="360"/>
      </w:pPr>
      <w:rPr>
        <w:rFonts w:ascii="Symbol" w:hAnsi="Symbol" w:hint="default"/>
      </w:rPr>
    </w:lvl>
    <w:lvl w:ilvl="7" w:tplc="0C0A0003" w:tentative="1">
      <w:start w:val="1"/>
      <w:numFmt w:val="bullet"/>
      <w:lvlText w:val="o"/>
      <w:lvlJc w:val="left"/>
      <w:pPr>
        <w:tabs>
          <w:tab w:val="num" w:pos="7920"/>
        </w:tabs>
        <w:ind w:left="7920" w:hanging="360"/>
      </w:pPr>
      <w:rPr>
        <w:rFonts w:ascii="Courier New" w:hAnsi="Courier New" w:cs="Courier New" w:hint="default"/>
      </w:rPr>
    </w:lvl>
    <w:lvl w:ilvl="8" w:tplc="0C0A0005" w:tentative="1">
      <w:start w:val="1"/>
      <w:numFmt w:val="bullet"/>
      <w:lvlText w:val=""/>
      <w:lvlJc w:val="left"/>
      <w:pPr>
        <w:tabs>
          <w:tab w:val="num" w:pos="8640"/>
        </w:tabs>
        <w:ind w:left="8640" w:hanging="360"/>
      </w:pPr>
      <w:rPr>
        <w:rFonts w:ascii="Wingdings" w:hAnsi="Wingdings" w:hint="default"/>
      </w:rPr>
    </w:lvl>
  </w:abstractNum>
  <w:abstractNum w:abstractNumId="4">
    <w:nsid w:val="45602766"/>
    <w:multiLevelType w:val="hybridMultilevel"/>
    <w:tmpl w:val="3822D03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
    <w:nsid w:val="6BA20218"/>
    <w:multiLevelType w:val="hybridMultilevel"/>
    <w:tmpl w:val="6BC85854"/>
    <w:lvl w:ilvl="0" w:tplc="0C0A0001">
      <w:start w:val="1"/>
      <w:numFmt w:val="bullet"/>
      <w:lvlText w:val=""/>
      <w:lvlJc w:val="left"/>
      <w:pPr>
        <w:tabs>
          <w:tab w:val="num" w:pos="2880"/>
        </w:tabs>
        <w:ind w:left="2880" w:hanging="360"/>
      </w:pPr>
      <w:rPr>
        <w:rFonts w:ascii="Symbol" w:hAnsi="Symbol" w:hint="default"/>
      </w:rPr>
    </w:lvl>
    <w:lvl w:ilvl="1" w:tplc="0C0A0003" w:tentative="1">
      <w:start w:val="1"/>
      <w:numFmt w:val="bullet"/>
      <w:lvlText w:val="o"/>
      <w:lvlJc w:val="left"/>
      <w:pPr>
        <w:tabs>
          <w:tab w:val="num" w:pos="3600"/>
        </w:tabs>
        <w:ind w:left="3600" w:hanging="360"/>
      </w:pPr>
      <w:rPr>
        <w:rFonts w:ascii="Courier New" w:hAnsi="Courier New" w:cs="Courier New" w:hint="default"/>
      </w:rPr>
    </w:lvl>
    <w:lvl w:ilvl="2" w:tplc="0C0A0005" w:tentative="1">
      <w:start w:val="1"/>
      <w:numFmt w:val="bullet"/>
      <w:lvlText w:val=""/>
      <w:lvlJc w:val="left"/>
      <w:pPr>
        <w:tabs>
          <w:tab w:val="num" w:pos="4320"/>
        </w:tabs>
        <w:ind w:left="4320" w:hanging="360"/>
      </w:pPr>
      <w:rPr>
        <w:rFonts w:ascii="Wingdings" w:hAnsi="Wingdings" w:hint="default"/>
      </w:rPr>
    </w:lvl>
    <w:lvl w:ilvl="3" w:tplc="0C0A0001" w:tentative="1">
      <w:start w:val="1"/>
      <w:numFmt w:val="bullet"/>
      <w:lvlText w:val=""/>
      <w:lvlJc w:val="left"/>
      <w:pPr>
        <w:tabs>
          <w:tab w:val="num" w:pos="5040"/>
        </w:tabs>
        <w:ind w:left="5040" w:hanging="360"/>
      </w:pPr>
      <w:rPr>
        <w:rFonts w:ascii="Symbol" w:hAnsi="Symbol" w:hint="default"/>
      </w:rPr>
    </w:lvl>
    <w:lvl w:ilvl="4" w:tplc="0C0A0003" w:tentative="1">
      <w:start w:val="1"/>
      <w:numFmt w:val="bullet"/>
      <w:lvlText w:val="o"/>
      <w:lvlJc w:val="left"/>
      <w:pPr>
        <w:tabs>
          <w:tab w:val="num" w:pos="5760"/>
        </w:tabs>
        <w:ind w:left="5760" w:hanging="360"/>
      </w:pPr>
      <w:rPr>
        <w:rFonts w:ascii="Courier New" w:hAnsi="Courier New" w:cs="Courier New" w:hint="default"/>
      </w:rPr>
    </w:lvl>
    <w:lvl w:ilvl="5" w:tplc="0C0A0005" w:tentative="1">
      <w:start w:val="1"/>
      <w:numFmt w:val="bullet"/>
      <w:lvlText w:val=""/>
      <w:lvlJc w:val="left"/>
      <w:pPr>
        <w:tabs>
          <w:tab w:val="num" w:pos="6480"/>
        </w:tabs>
        <w:ind w:left="6480" w:hanging="360"/>
      </w:pPr>
      <w:rPr>
        <w:rFonts w:ascii="Wingdings" w:hAnsi="Wingdings" w:hint="default"/>
      </w:rPr>
    </w:lvl>
    <w:lvl w:ilvl="6" w:tplc="0C0A0001" w:tentative="1">
      <w:start w:val="1"/>
      <w:numFmt w:val="bullet"/>
      <w:lvlText w:val=""/>
      <w:lvlJc w:val="left"/>
      <w:pPr>
        <w:tabs>
          <w:tab w:val="num" w:pos="7200"/>
        </w:tabs>
        <w:ind w:left="7200" w:hanging="360"/>
      </w:pPr>
      <w:rPr>
        <w:rFonts w:ascii="Symbol" w:hAnsi="Symbol" w:hint="default"/>
      </w:rPr>
    </w:lvl>
    <w:lvl w:ilvl="7" w:tplc="0C0A0003" w:tentative="1">
      <w:start w:val="1"/>
      <w:numFmt w:val="bullet"/>
      <w:lvlText w:val="o"/>
      <w:lvlJc w:val="left"/>
      <w:pPr>
        <w:tabs>
          <w:tab w:val="num" w:pos="7920"/>
        </w:tabs>
        <w:ind w:left="7920" w:hanging="360"/>
      </w:pPr>
      <w:rPr>
        <w:rFonts w:ascii="Courier New" w:hAnsi="Courier New" w:cs="Courier New" w:hint="default"/>
      </w:rPr>
    </w:lvl>
    <w:lvl w:ilvl="8" w:tplc="0C0A0005" w:tentative="1">
      <w:start w:val="1"/>
      <w:numFmt w:val="bullet"/>
      <w:lvlText w:val=""/>
      <w:lvlJc w:val="left"/>
      <w:pPr>
        <w:tabs>
          <w:tab w:val="num" w:pos="8640"/>
        </w:tabs>
        <w:ind w:left="8640" w:hanging="360"/>
      </w:pPr>
      <w:rPr>
        <w:rFonts w:ascii="Wingdings" w:hAnsi="Wingdings" w:hint="default"/>
      </w:rPr>
    </w:lvl>
  </w:abstractNum>
  <w:abstractNum w:abstractNumId="6">
    <w:nsid w:val="70680620"/>
    <w:multiLevelType w:val="hybridMultilevel"/>
    <w:tmpl w:val="140A0484"/>
    <w:lvl w:ilvl="0" w:tplc="0C0A0001">
      <w:start w:val="1"/>
      <w:numFmt w:val="bullet"/>
      <w:lvlText w:val=""/>
      <w:lvlJc w:val="left"/>
      <w:pPr>
        <w:tabs>
          <w:tab w:val="num" w:pos="2880"/>
        </w:tabs>
        <w:ind w:left="2880" w:hanging="360"/>
      </w:pPr>
      <w:rPr>
        <w:rFonts w:ascii="Symbol" w:hAnsi="Symbol" w:hint="default"/>
      </w:rPr>
    </w:lvl>
    <w:lvl w:ilvl="1" w:tplc="0C0A0003" w:tentative="1">
      <w:start w:val="1"/>
      <w:numFmt w:val="bullet"/>
      <w:lvlText w:val="o"/>
      <w:lvlJc w:val="left"/>
      <w:pPr>
        <w:tabs>
          <w:tab w:val="num" w:pos="3600"/>
        </w:tabs>
        <w:ind w:left="3600" w:hanging="360"/>
      </w:pPr>
      <w:rPr>
        <w:rFonts w:ascii="Courier New" w:hAnsi="Courier New" w:cs="Courier New" w:hint="default"/>
      </w:rPr>
    </w:lvl>
    <w:lvl w:ilvl="2" w:tplc="0C0A0005" w:tentative="1">
      <w:start w:val="1"/>
      <w:numFmt w:val="bullet"/>
      <w:lvlText w:val=""/>
      <w:lvlJc w:val="left"/>
      <w:pPr>
        <w:tabs>
          <w:tab w:val="num" w:pos="4320"/>
        </w:tabs>
        <w:ind w:left="4320" w:hanging="360"/>
      </w:pPr>
      <w:rPr>
        <w:rFonts w:ascii="Wingdings" w:hAnsi="Wingdings" w:hint="default"/>
      </w:rPr>
    </w:lvl>
    <w:lvl w:ilvl="3" w:tplc="0C0A0001" w:tentative="1">
      <w:start w:val="1"/>
      <w:numFmt w:val="bullet"/>
      <w:lvlText w:val=""/>
      <w:lvlJc w:val="left"/>
      <w:pPr>
        <w:tabs>
          <w:tab w:val="num" w:pos="5040"/>
        </w:tabs>
        <w:ind w:left="5040" w:hanging="360"/>
      </w:pPr>
      <w:rPr>
        <w:rFonts w:ascii="Symbol" w:hAnsi="Symbol" w:hint="default"/>
      </w:rPr>
    </w:lvl>
    <w:lvl w:ilvl="4" w:tplc="0C0A0003" w:tentative="1">
      <w:start w:val="1"/>
      <w:numFmt w:val="bullet"/>
      <w:lvlText w:val="o"/>
      <w:lvlJc w:val="left"/>
      <w:pPr>
        <w:tabs>
          <w:tab w:val="num" w:pos="5760"/>
        </w:tabs>
        <w:ind w:left="5760" w:hanging="360"/>
      </w:pPr>
      <w:rPr>
        <w:rFonts w:ascii="Courier New" w:hAnsi="Courier New" w:cs="Courier New" w:hint="default"/>
      </w:rPr>
    </w:lvl>
    <w:lvl w:ilvl="5" w:tplc="0C0A0005" w:tentative="1">
      <w:start w:val="1"/>
      <w:numFmt w:val="bullet"/>
      <w:lvlText w:val=""/>
      <w:lvlJc w:val="left"/>
      <w:pPr>
        <w:tabs>
          <w:tab w:val="num" w:pos="6480"/>
        </w:tabs>
        <w:ind w:left="6480" w:hanging="360"/>
      </w:pPr>
      <w:rPr>
        <w:rFonts w:ascii="Wingdings" w:hAnsi="Wingdings" w:hint="default"/>
      </w:rPr>
    </w:lvl>
    <w:lvl w:ilvl="6" w:tplc="0C0A0001" w:tentative="1">
      <w:start w:val="1"/>
      <w:numFmt w:val="bullet"/>
      <w:lvlText w:val=""/>
      <w:lvlJc w:val="left"/>
      <w:pPr>
        <w:tabs>
          <w:tab w:val="num" w:pos="7200"/>
        </w:tabs>
        <w:ind w:left="7200" w:hanging="360"/>
      </w:pPr>
      <w:rPr>
        <w:rFonts w:ascii="Symbol" w:hAnsi="Symbol" w:hint="default"/>
      </w:rPr>
    </w:lvl>
    <w:lvl w:ilvl="7" w:tplc="0C0A0003" w:tentative="1">
      <w:start w:val="1"/>
      <w:numFmt w:val="bullet"/>
      <w:lvlText w:val="o"/>
      <w:lvlJc w:val="left"/>
      <w:pPr>
        <w:tabs>
          <w:tab w:val="num" w:pos="7920"/>
        </w:tabs>
        <w:ind w:left="7920" w:hanging="360"/>
      </w:pPr>
      <w:rPr>
        <w:rFonts w:ascii="Courier New" w:hAnsi="Courier New" w:cs="Courier New" w:hint="default"/>
      </w:rPr>
    </w:lvl>
    <w:lvl w:ilvl="8" w:tplc="0C0A0005" w:tentative="1">
      <w:start w:val="1"/>
      <w:numFmt w:val="bullet"/>
      <w:lvlText w:val=""/>
      <w:lvlJc w:val="left"/>
      <w:pPr>
        <w:tabs>
          <w:tab w:val="num" w:pos="8640"/>
        </w:tabs>
        <w:ind w:left="8640" w:hanging="360"/>
      </w:pPr>
      <w:rPr>
        <w:rFonts w:ascii="Wingdings" w:hAnsi="Wingdings" w:hint="default"/>
      </w:rPr>
    </w:lvl>
  </w:abstractNum>
  <w:num w:numId="1">
    <w:abstractNumId w:val="0"/>
  </w:num>
  <w:num w:numId="2">
    <w:abstractNumId w:val="4"/>
  </w:num>
  <w:num w:numId="3">
    <w:abstractNumId w:val="2"/>
  </w:num>
  <w:num w:numId="4">
    <w:abstractNumId w:val="3"/>
  </w:num>
  <w:num w:numId="5">
    <w:abstractNumId w:val="1"/>
  </w:num>
  <w:num w:numId="6">
    <w:abstractNumId w:val="6"/>
  </w:num>
  <w:num w:numId="7">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defaultTabStop w:val="708"/>
  <w:hyphenationZone w:val="425"/>
  <w:doNotHyphenateCaps/>
  <w:characterSpacingControl w:val="doNotCompress"/>
  <w:footnotePr>
    <w:footnote w:id="0"/>
    <w:footnote w:id="1"/>
  </w:footnotePr>
  <w:endnotePr>
    <w:endnote w:id="0"/>
    <w:endnote w:id="1"/>
  </w:endnotePr>
  <w:compat/>
  <w:rsids>
    <w:rsidRoot w:val="0058387C"/>
    <w:rsid w:val="00033289"/>
    <w:rsid w:val="0058387C"/>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Ttulo1">
    <w:name w:val="heading 1"/>
    <w:basedOn w:val="Normal"/>
    <w:next w:val="Normal"/>
    <w:qFormat/>
    <w:pPr>
      <w:keepNext/>
      <w:outlineLvl w:val="0"/>
    </w:pPr>
    <w:rPr>
      <w:b/>
      <w:bCs/>
    </w:rPr>
  </w:style>
  <w:style w:type="paragraph" w:styleId="Ttulo2">
    <w:name w:val="heading 2"/>
    <w:basedOn w:val="Normal"/>
    <w:next w:val="Normal"/>
    <w:qFormat/>
    <w:pPr>
      <w:keepNext/>
      <w:jc w:val="both"/>
      <w:outlineLvl w:val="1"/>
    </w:pPr>
    <w:rPr>
      <w:b/>
      <w:bCs/>
    </w:rPr>
  </w:style>
  <w:style w:type="character" w:default="1" w:styleId="Fuentedeprrafopredeter">
    <w:name w:val="Default Paragraph Font"/>
    <w:semiHidden/>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semiHidden/>
    <w:pPr>
      <w:tabs>
        <w:tab w:val="center" w:pos="4252"/>
        <w:tab w:val="right" w:pos="8504"/>
      </w:tabs>
    </w:pPr>
  </w:style>
  <w:style w:type="paragraph" w:styleId="Piedepgina">
    <w:name w:val="footer"/>
    <w:basedOn w:val="Normal"/>
    <w:semiHidden/>
    <w:pPr>
      <w:tabs>
        <w:tab w:val="center" w:pos="4252"/>
        <w:tab w:val="right" w:pos="8504"/>
      </w:tabs>
    </w:pPr>
  </w:style>
  <w:style w:type="paragraph" w:styleId="Textoindependiente">
    <w:name w:val="Body Text"/>
    <w:basedOn w:val="Normal"/>
    <w:semiHidden/>
    <w:pPr>
      <w:jc w:val="both"/>
    </w:pPr>
    <w:rPr>
      <w:rFonts w:ascii="Arial" w:hAnsi="Arial" w:cs="Arial"/>
    </w:rPr>
  </w:style>
  <w:style w:type="paragraph" w:styleId="Epgrafe">
    <w:name w:val="caption"/>
    <w:basedOn w:val="Normal"/>
    <w:next w:val="Normal"/>
    <w:qFormat/>
    <w:pPr>
      <w:jc w:val="center"/>
    </w:pPr>
    <w:rPr>
      <w:b/>
      <w:bCs/>
    </w:rPr>
  </w:style>
  <w:style w:type="character" w:styleId="Nmerodepgina">
    <w:name w:val="page number"/>
    <w:basedOn w:val="Fuentedeprrafopredeter"/>
    <w:semiHidden/>
  </w:style>
  <w:style w:type="paragraph" w:styleId="Sangradetextonormal">
    <w:name w:val="Body Text Indent"/>
    <w:basedOn w:val="Normal"/>
    <w:semiHidden/>
    <w:pPr>
      <w:spacing w:line="480" w:lineRule="auto"/>
      <w:ind w:left="2160"/>
      <w:jc w:val="both"/>
    </w:pPr>
    <w:rPr>
      <w:rFonts w:ascii="Arial" w:hAnsi="Arial" w:cs="Arial"/>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oleObject" Target="embeddings/oleObject3.bin"/><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oleObject" Target="embeddings/oleObject2.bin"/><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7</Pages>
  <Words>653</Words>
  <Characters>3596</Characters>
  <Application>Microsoft Office Word</Application>
  <DocSecurity>0</DocSecurity>
  <Lines>29</Lines>
  <Paragraphs>8</Paragraphs>
  <ScaleCrop>false</ScaleCrop>
  <HeadingPairs>
    <vt:vector size="2" baseType="variant">
      <vt:variant>
        <vt:lpstr>Título</vt:lpstr>
      </vt:variant>
      <vt:variant>
        <vt:i4>1</vt:i4>
      </vt:variant>
    </vt:vector>
  </HeadingPairs>
  <TitlesOfParts>
    <vt:vector size="1" baseType="lpstr">
      <vt:lpstr>Inspección Visual</vt:lpstr>
    </vt:vector>
  </TitlesOfParts>
  <Company/>
  <LinksUpToDate>false</LinksUpToDate>
  <CharactersWithSpaces>4241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Inspección Visual</dc:title>
  <dc:subject/>
  <dc:creator>.</dc:creator>
  <cp:keywords/>
  <dc:description/>
  <cp:lastModifiedBy>Ayudante</cp:lastModifiedBy>
  <cp:revision>2</cp:revision>
  <cp:lastPrinted>2005-09-22T04:12:00Z</cp:lastPrinted>
  <dcterms:created xsi:type="dcterms:W3CDTF">2009-06-25T18:25:00Z</dcterms:created>
  <dcterms:modified xsi:type="dcterms:W3CDTF">2009-06-25T18:25:00Z</dcterms:modified>
</cp:coreProperties>
</file>