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AE7">
      <w:pPr>
        <w:pStyle w:val="TDC2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TOC \o "1-3" \h \z </w:instrText>
      </w:r>
      <w:r>
        <w:rPr>
          <w:rFonts w:ascii="Arial" w:hAnsi="Arial" w:cs="Arial"/>
          <w:sz w:val="24"/>
        </w:rPr>
        <w:fldChar w:fldCharType="separate"/>
      </w:r>
      <w:hyperlink w:anchor="_Toc513608479" w:history="1">
        <w:r>
          <w:rPr>
            <w:rStyle w:val="Hipervnculo"/>
            <w:rFonts w:ascii="Arial" w:hAnsi="Arial" w:cs="Arial"/>
            <w:b/>
            <w:bCs/>
            <w:noProof/>
            <w:sz w:val="24"/>
          </w:rPr>
          <w:t>4.5 Análisis de varianza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_Toc513608479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312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3B6AE7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hyperlink w:anchor="_Toc513608480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>4.5.1Análisis de varianza de la variable aleatoria calificación de lenguaje con respecto a la ubicación de l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os planteles educativos fiscales rurales del cantón Guayaquil.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_Toc513608480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320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3B6AE7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hyperlink w:anchor="_Toc513608482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>4.5.2 Análisis de varianza d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e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 xml:space="preserve"> la variable aleatoria calificación de lenguaje con respecto a la jornada de los planteles educa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tivos fiscales rurales del cantón Guayaquil.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_Toc513608482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322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3B6AE7">
      <w:pPr>
        <w:pStyle w:val="Ttulo2"/>
        <w:rPr>
          <w:b/>
          <w:bCs/>
        </w:rPr>
      </w:pPr>
      <w:r>
        <w:rPr>
          <w:rFonts w:cs="Arial"/>
        </w:rPr>
        <w:fldChar w:fldCharType="end"/>
      </w:r>
      <w:r>
        <w:rPr>
          <w:b/>
          <w:bCs/>
        </w:rPr>
        <w:br w:type="page"/>
      </w:r>
      <w:bookmarkStart w:id="0" w:name="_Toc513608479"/>
      <w:r>
        <w:rPr>
          <w:b/>
          <w:bCs/>
        </w:rPr>
        <w:lastRenderedPageBreak/>
        <w:t>4.5 Análisis de varianza</w:t>
      </w:r>
      <w:bookmarkEnd w:id="0"/>
    </w:p>
    <w:p w:rsidR="00000000" w:rsidRDefault="003B6AE7">
      <w:pPr>
        <w:rPr>
          <w:rFonts w:ascii="Arial" w:hAnsi="Arial"/>
          <w:b/>
          <w:sz w:val="24"/>
          <w:lang w:val="es-MX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diseño de experimentos es una técnica estadística en la cual una variable aleatoria cuantitativa es explicada en términos de una o más variables</w:t>
      </w:r>
      <w:r>
        <w:rPr>
          <w:rFonts w:ascii="Arial" w:hAnsi="Arial"/>
          <w:sz w:val="24"/>
        </w:rPr>
        <w:t xml:space="preserve"> aleatorias cualitativas. A las variables aleatorias cualitativas se las denomina  </w:t>
      </w:r>
      <w:r>
        <w:rPr>
          <w:rFonts w:ascii="Arial" w:hAnsi="Arial"/>
          <w:b/>
          <w:sz w:val="24"/>
        </w:rPr>
        <w:t>factores</w:t>
      </w:r>
      <w:r>
        <w:rPr>
          <w:rFonts w:ascii="Arial" w:hAnsi="Arial"/>
          <w:sz w:val="24"/>
        </w:rPr>
        <w:t xml:space="preserve">, y a los distintos valores que pueden tomar dichos factores se los denomina </w:t>
      </w:r>
      <w:r>
        <w:rPr>
          <w:rFonts w:ascii="Arial" w:hAnsi="Arial"/>
          <w:b/>
          <w:bCs/>
          <w:sz w:val="24"/>
        </w:rPr>
        <w:t>niveles o tratamientos</w:t>
      </w:r>
      <w:r>
        <w:rPr>
          <w:rFonts w:ascii="Arial" w:hAnsi="Arial"/>
          <w:sz w:val="24"/>
        </w:rPr>
        <w:t>, el número de tratamientos de un factor se denota por a. La respu</w:t>
      </w:r>
      <w:r>
        <w:rPr>
          <w:rFonts w:ascii="Arial" w:hAnsi="Arial"/>
          <w:sz w:val="24"/>
        </w:rPr>
        <w:t xml:space="preserve">esta que se observa en  cada uno de los tratamientos es una variable aleatoria. 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datos típicos para un modelo unifactorial se tabulan como se muestra en la siguiente tabla: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4"/>
        <w:gridCol w:w="680"/>
        <w:gridCol w:w="680"/>
        <w:gridCol w:w="680"/>
        <w:gridCol w:w="680"/>
        <w:gridCol w:w="714"/>
        <w:gridCol w:w="12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Tratamiento</w:t>
            </w:r>
          </w:p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(nivel)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Observaciones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Total</w:t>
            </w:r>
          </w:p>
        </w:tc>
        <w:tc>
          <w:tcPr>
            <w:tcW w:w="12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Promedio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1n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1.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position w:val="-18"/>
                <w:sz w:val="24"/>
              </w:rPr>
              <w:object w:dxaOrig="3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.75pt" o:ole="">
                  <v:imagedata r:id="rId7" o:title=""/>
                </v:shape>
                <o:OLEObject Type="Embed" ProgID="Equation.3" ShapeID="_x0000_i1025" DrawAspect="Content" ObjectID="_1307788049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2n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2.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position w:val="-18"/>
                <w:sz w:val="24"/>
              </w:rPr>
              <w:object w:dxaOrig="400" w:dyaOrig="460">
                <v:shape id="_x0000_i1026" type="#_x0000_t75" style="width:12pt;height:18pt" o:ole="">
                  <v:imagedata r:id="rId9" o:title=""/>
                </v:shape>
                <o:OLEObject Type="Embed" ProgID="Equation.3" ShapeID="_x0000_i1026" DrawAspect="Content" ObjectID="_1307788050" r:id="rId1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1514" w:type="dxa"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714" w:type="dxa"/>
            <w:tcBorders>
              <w:left w:val="single" w:sz="4" w:space="0" w:color="auto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1247" w:type="dxa"/>
            <w:tcBorders>
              <w:right w:val="single" w:sz="18" w:space="0" w:color="auto"/>
            </w:tcBorders>
            <w:textDirection w:val="btLr"/>
            <w:vAlign w:val="center"/>
          </w:tcPr>
          <w:p w:rsidR="00000000" w:rsidRDefault="003B6AE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5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a1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a2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Symbol" w:char="F0BC"/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an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a.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position w:val="-18"/>
                <w:sz w:val="24"/>
              </w:rPr>
              <w:object w:dxaOrig="400" w:dyaOrig="460">
                <v:shape id="_x0000_i1027" type="#_x0000_t75" style="width:12pt;height:18pt" o:ole="">
                  <v:imagedata r:id="rId11" o:title=""/>
                </v:shape>
                <o:OLEObject Type="Embed" ProgID="Equation.3" ShapeID="_x0000_i1027" DrawAspect="Content" ObjectID="_1307788051" r:id="rId12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423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snapToGrid w:val="0"/>
                <w:sz w:val="24"/>
                <w:vertAlign w:val="subscript"/>
              </w:rPr>
            </w:pPr>
            <w:r>
              <w:rPr>
                <w:rFonts w:ascii="Arial" w:hAnsi="Arial"/>
                <w:snapToGrid w:val="0"/>
                <w:sz w:val="24"/>
              </w:rPr>
              <w:t xml:space="preserve">  Y</w:t>
            </w:r>
            <w:r>
              <w:rPr>
                <w:rFonts w:ascii="Arial" w:hAnsi="Arial"/>
                <w:snapToGrid w:val="0"/>
                <w:sz w:val="24"/>
                <w:vertAlign w:val="subscript"/>
              </w:rPr>
              <w:t>..</w:t>
            </w:r>
          </w:p>
        </w:tc>
        <w:tc>
          <w:tcPr>
            <w:tcW w:w="12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0000" w:rsidRDefault="003B6A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position w:val="-18"/>
                <w:sz w:val="24"/>
              </w:rPr>
              <w:object w:dxaOrig="360" w:dyaOrig="460">
                <v:shape id="_x0000_i1028" type="#_x0000_t75" style="width:10.5pt;height:18pt" o:ole="">
                  <v:imagedata r:id="rId13" o:title=""/>
                </v:shape>
                <o:OLEObject Type="Embed" ProgID="Equation.3" ShapeID="_x0000_i1028" DrawAspect="Content" ObjectID="_1307788052" r:id="rId14"/>
              </w:object>
            </w:r>
          </w:p>
        </w:tc>
      </w:tr>
    </w:tbl>
    <w:p w:rsidR="00000000" w:rsidRDefault="003B6AE7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pict>
          <v:shape id="_x0000_s1041" type="#_x0000_t75" style="position:absolute;left:0;text-align:left;margin-left:25.65pt;margin-top:65.45pt;width:373.95pt;height:36pt;z-index:251655680">
            <v:imagedata r:id="rId15" o:title=""/>
            <w10:wrap type="topAndBottom"/>
          </v:shape>
          <o:OLEObject Type="Embed" ProgID="Equation.3" ShapeID="_x0000_s1041" DrawAspect="Content" ObjectID="_1307788072" r:id="rId16"/>
        </w:pict>
      </w:r>
      <w:r>
        <w:rPr>
          <w:rFonts w:ascii="Arial" w:hAnsi="Arial"/>
          <w:sz w:val="24"/>
        </w:rPr>
        <w:t>Estas observaciones se pueden escribir por medio un modelo</w:t>
      </w:r>
      <w:r>
        <w:rPr>
          <w:rFonts w:ascii="Arial" w:hAnsi="Arial"/>
          <w:sz w:val="24"/>
        </w:rPr>
        <w:t xml:space="preserve"> estadístico lineal como el siguiente: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un parámetro común de todos los tratamientos denominado </w:t>
      </w:r>
      <w:r>
        <w:rPr>
          <w:rFonts w:ascii="Arial" w:hAnsi="Arial"/>
          <w:iCs/>
          <w:sz w:val="24"/>
        </w:rPr>
        <w:t>media global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un parámetro único para el i-ésimo tratamiento llamado </w:t>
      </w:r>
      <w:r>
        <w:rPr>
          <w:rFonts w:ascii="Arial" w:hAnsi="Arial"/>
          <w:iCs/>
          <w:sz w:val="24"/>
        </w:rPr>
        <w:t>efecto del tratamie</w:t>
      </w:r>
      <w:r>
        <w:rPr>
          <w:rFonts w:ascii="Arial" w:hAnsi="Arial"/>
          <w:iCs/>
          <w:sz w:val="24"/>
        </w:rPr>
        <w:t>nto i-ésimo</w:t>
      </w:r>
      <w:r>
        <w:rPr>
          <w:rFonts w:ascii="Arial" w:hAnsi="Arial"/>
          <w:sz w:val="24"/>
        </w:rPr>
        <w:t xml:space="preserve">,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 es constante para todos los tratamientos.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Una vez planteado el modelo matemático el objetivo es construir contrastes de hipótesis con respecto a los efectos de los t</w:t>
      </w:r>
      <w:r>
        <w:rPr>
          <w:rFonts w:ascii="Arial" w:hAnsi="Arial"/>
          <w:sz w:val="24"/>
        </w:rPr>
        <w:t xml:space="preserve">ratamientos y hacer una estimación de estos. A este modelo se lo denomina </w:t>
      </w:r>
      <w:r>
        <w:rPr>
          <w:rFonts w:ascii="Arial" w:hAnsi="Arial"/>
          <w:i/>
          <w:iCs/>
          <w:sz w:val="24"/>
        </w:rPr>
        <w:t xml:space="preserve">análisis de  varianza </w:t>
      </w:r>
      <w:r>
        <w:rPr>
          <w:rFonts w:ascii="Arial" w:hAnsi="Arial"/>
          <w:sz w:val="24"/>
        </w:rPr>
        <w:t>de clasificación en un sentido, dado que es un modelo unifactorial. Este diseño es completamente aleatorizado, por lo que se requiere que el experimento se real</w:t>
      </w:r>
      <w:r>
        <w:rPr>
          <w:rFonts w:ascii="Arial" w:hAnsi="Arial"/>
          <w:sz w:val="24"/>
        </w:rPr>
        <w:t>ice en orden aleatorio, de tal forma que el medio ambiente en el que se usan los tratamientos tengan las mismas condiciones.</w:t>
      </w:r>
    </w:p>
    <w:p w:rsidR="00000000" w:rsidRDefault="003B6AE7">
      <w:pPr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el modelo unifactorial 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, cuando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 xml:space="preserve">, la varianza del error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permanece constante y </w:t>
      </w:r>
      <w:r>
        <w:rPr>
          <w:rFonts w:ascii="Arial" w:hAnsi="Arial"/>
          <w:sz w:val="24"/>
        </w:rPr>
        <w:t>se incluyen todos los a</w:t>
      </w:r>
      <w:r>
        <w:rPr>
          <w:rFonts w:ascii="Arial" w:hAnsi="Arial"/>
          <w:sz w:val="24"/>
        </w:rPr>
        <w:t xml:space="preserve"> tratamientos del factor, el modelo se denomina </w:t>
      </w:r>
      <w:r>
        <w:rPr>
          <w:rFonts w:ascii="Arial" w:hAnsi="Arial"/>
          <w:i/>
          <w:sz w:val="24"/>
        </w:rPr>
        <w:t>de efectos fijos.</w:t>
      </w:r>
      <w:r>
        <w:rPr>
          <w:rFonts w:ascii="Arial" w:hAnsi="Arial"/>
          <w:b/>
          <w:bCs/>
          <w:iCs/>
          <w:sz w:val="24"/>
        </w:rPr>
        <w:t xml:space="preserve"> </w:t>
      </w:r>
      <w:r>
        <w:rPr>
          <w:rFonts w:ascii="Arial" w:hAnsi="Arial"/>
          <w:sz w:val="24"/>
        </w:rPr>
        <w:t xml:space="preserve">En este modelo los efectos de </w:t>
      </w:r>
      <w:r>
        <w:rPr>
          <w:rFonts w:ascii="Arial" w:hAnsi="Arial"/>
          <w:sz w:val="24"/>
        </w:rPr>
        <w:lastRenderedPageBreak/>
        <w:t xml:space="preserve">los  tratamiento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se definen como desviaciones con respecto a la media general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, por lo que: 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pict>
          <v:shape id="_x0000_s1042" type="#_x0000_t75" style="position:absolute;left:0;text-align:left;margin-left:133.65pt;margin-top:7.15pt;width:45pt;height:34pt;z-index:251656704">
            <v:imagedata r:id="rId17" o:title=""/>
            <w10:wrap type="topAndBottom"/>
          </v:shape>
          <o:OLEObject Type="Embed" ProgID="Equation.2" ShapeID="_x0000_s1042" DrawAspect="Content" ObjectID="_1307788071" r:id="rId18"/>
        </w:pic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pict>
          <v:shape id="_x0000_s1046" type="#_x0000_t75" style="position:absolute;left:0;text-align:left;margin-left:196.65pt;margin-top:137.25pt;width:55pt;height:20pt;z-index:251658752">
            <v:imagedata r:id="rId19" o:title=""/>
            <w10:wrap type="topAndBottom"/>
          </v:shape>
          <o:OLEObject Type="Embed" ProgID="Equation.3" ShapeID="_x0000_s1046" DrawAspect="Content" ObjectID="_1307788073" r:id="rId20"/>
        </w:pict>
      </w:r>
      <w:r>
        <w:rPr>
          <w:rFonts w:ascii="Arial" w:hAnsi="Arial"/>
          <w:sz w:val="24"/>
        </w:rPr>
        <w:t>Sea y</w:t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el total de las observaciones bajo el j-ésimo tratami</w:t>
      </w:r>
      <w:r>
        <w:rPr>
          <w:rFonts w:ascii="Arial" w:hAnsi="Arial"/>
          <w:sz w:val="24"/>
        </w:rPr>
        <w:t xml:space="preserve">ento, </w:t>
      </w:r>
      <w:r>
        <w:rPr>
          <w:position w:val="-12"/>
        </w:rPr>
        <w:object w:dxaOrig="320" w:dyaOrig="400">
          <v:shape id="_x0000_i1029" type="#_x0000_t75" style="width:15.75pt;height:20.25pt" o:ole="">
            <v:imagedata r:id="rId21" o:title=""/>
          </v:shape>
          <o:OLEObject Type="Embed" ProgID="Equation.3" ShapeID="_x0000_i1029" DrawAspect="Content" ObjectID="_1307788053" r:id="rId22"/>
        </w:object>
      </w:r>
      <w:r>
        <w:t xml:space="preserve"> </w:t>
      </w:r>
      <w:r>
        <w:rPr>
          <w:rFonts w:ascii="Arial" w:hAnsi="Arial"/>
          <w:sz w:val="24"/>
        </w:rPr>
        <w:t>el  promedio de las observaciones bajo el i-ésimo tratamiento. De igual forma, sea y</w:t>
      </w:r>
      <w:r>
        <w:rPr>
          <w:rFonts w:ascii="Arial" w:hAnsi="Arial"/>
          <w:sz w:val="24"/>
          <w:vertAlign w:val="subscript"/>
        </w:rPr>
        <w:t>..</w:t>
      </w:r>
      <w:r>
        <w:rPr>
          <w:rFonts w:ascii="Arial" w:hAnsi="Arial"/>
          <w:sz w:val="24"/>
        </w:rPr>
        <w:t xml:space="preserve"> la suma de todas las observaciones y </w:t>
      </w:r>
      <w:r>
        <w:rPr>
          <w:position w:val="-12"/>
        </w:rPr>
        <w:object w:dxaOrig="300" w:dyaOrig="400">
          <v:shape id="_x0000_i1030" type="#_x0000_t75" style="width:15pt;height:20.25pt" o:ole="">
            <v:imagedata r:id="rId23" o:title=""/>
          </v:shape>
          <o:OLEObject Type="Embed" ProgID="Equation.3" ShapeID="_x0000_i1030" DrawAspect="Content" ObjectID="_1307788054" r:id="rId24"/>
        </w:object>
      </w:r>
      <w:r>
        <w:rPr>
          <w:rFonts w:ascii="Arial" w:hAnsi="Arial"/>
          <w:sz w:val="24"/>
        </w:rPr>
        <w:t>la media general de las observaciones, expresado matemáticamente: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pict>
          <v:shape id="_x0000_s1045" type="#_x0000_t75" style="position:absolute;left:0;text-align:left;margin-left:97.65pt;margin-top:11.65pt;width:54pt;height:36pt;z-index:251657728">
            <v:imagedata r:id="rId25" o:title=""/>
            <w10:wrap type="topAndBottom"/>
          </v:shape>
          <o:OLEObject Type="Embed" ProgID="Equation.2" ShapeID="_x0000_s1045" DrawAspect="Content" ObjectID="_1307788074" r:id="rId26"/>
        </w:pict>
      </w:r>
      <w:r>
        <w:pict>
          <v:shape id="_x0000_s1048" type="#_x0000_t75" style="position:absolute;left:0;text-align:left;margin-left:196.2pt;margin-top:58.4pt;width:65.95pt;height:23.6pt;z-index:251660800" o:allowincell="f">
            <v:imagedata r:id="rId27" o:title=""/>
            <w10:wrap type="topAndBottom"/>
          </v:shape>
          <o:OLEObject Type="Embed" ProgID="Equation.3" ShapeID="_x0000_s1048" DrawAspect="Content" ObjectID="_1307788075" r:id="rId28"/>
        </w:pict>
      </w:r>
      <w:r>
        <w:pict>
          <v:shape id="_x0000_s1047" type="#_x0000_t75" style="position:absolute;left:0;text-align:left;margin-left:88.2pt;margin-top:51.2pt;width:67pt;height:36pt;z-index:251659776" o:allowincell="f">
            <v:imagedata r:id="rId29" o:title=""/>
            <w10:wrap type="topAndBottom"/>
          </v:shape>
          <o:OLEObject Type="Embed" ProgID="Equation.2" ShapeID="_x0000_s1047" DrawAspect="Content" ObjectID="_1307788076" r:id="rId30"/>
        </w:pic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donde </w:t>
      </w:r>
      <w:r>
        <w:rPr>
          <w:rFonts w:ascii="Arial" w:hAnsi="Arial"/>
          <w:sz w:val="24"/>
        </w:rPr>
        <w:t>i = 1, 2, ..., a y N = an es el número total de observaciones. La notación del punto en el subíndice, indica la suma del subíndice que reemplaza.</w:t>
      </w:r>
    </w:p>
    <w:p w:rsidR="00000000" w:rsidRDefault="003B6AE7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z w:val="24"/>
        </w:rPr>
        <w:t>La media del i-ésimo tratamiento es E(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)= </w:t>
      </w:r>
      <w:r>
        <w:rPr>
          <w:rFonts w:ascii="Arial" w:hAnsi="Arial"/>
          <w:sz w:val="28"/>
        </w:rPr>
        <w:sym w:font="UniversalMath1 BT" w:char="F06D"/>
      </w:r>
      <w:r>
        <w:rPr>
          <w:rFonts w:ascii="Arial" w:hAnsi="Arial"/>
          <w:sz w:val="24"/>
          <w:vertAlign w:val="subscript"/>
        </w:rPr>
        <w:t xml:space="preserve">i </w:t>
      </w:r>
      <w:r>
        <w:rPr>
          <w:rFonts w:ascii="Arial" w:hAnsi="Arial"/>
          <w:sz w:val="24"/>
        </w:rPr>
        <w:t xml:space="preserve">= </w:t>
      </w:r>
      <w:r>
        <w:rPr>
          <w:rFonts w:ascii="Arial" w:hAnsi="Arial"/>
          <w:sz w:val="28"/>
        </w:rPr>
        <w:sym w:font="UniversalMath1 BT" w:char="F06D"/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 xml:space="preserve">+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>, i =1, 2,. .., a. Es decir que el valor medio del i-é</w:t>
      </w:r>
      <w:r>
        <w:rPr>
          <w:rFonts w:ascii="Arial" w:hAnsi="Arial"/>
          <w:sz w:val="24"/>
        </w:rPr>
        <w:t xml:space="preserve">simo tratamiento es la suma de la media general y el efecto del i-ésimo tratamiento. </w:t>
      </w: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3B6AE7">
      <w:pPr>
        <w:spacing w:line="480" w:lineRule="auto"/>
        <w:ind w:left="2124" w:firstLine="708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...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a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lastRenderedPageBreak/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vertAlign w:val="subscript"/>
          <w:lang w:val="es-MX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 xml:space="preserve">El contraste se lo puede escribir en términos de los efectos de </w:t>
      </w:r>
      <w:r>
        <w:rPr>
          <w:rFonts w:ascii="Arial" w:hAnsi="Arial"/>
          <w:snapToGrid w:val="0"/>
          <w:sz w:val="24"/>
          <w:lang w:val="es-MX"/>
        </w:rPr>
        <w:t>los tratamientos de la siguiente forma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...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a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</w:rPr>
        <w:t xml:space="preserve">Por lo tanto se desea probar la igualdad de las medias de los tratamientos,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El procedimiento q</w:t>
      </w:r>
      <w:r>
        <w:rPr>
          <w:rFonts w:ascii="Arial" w:hAnsi="Arial"/>
          <w:snapToGrid w:val="0"/>
          <w:sz w:val="24"/>
        </w:rPr>
        <w:t>ue se utiliza para esta prueba es el análisis de varianza, es decir l</w:t>
      </w:r>
      <w:r>
        <w:rPr>
          <w:rFonts w:ascii="Arial" w:hAnsi="Arial"/>
          <w:snapToGrid w:val="0"/>
          <w:sz w:val="24"/>
          <w:lang w:val="es-MX"/>
        </w:rPr>
        <w:t xml:space="preserve">a prueba se basa en un análisis de la variabilidad total de los datos, la cual está dada por la </w:t>
      </w:r>
      <w:r>
        <w:rPr>
          <w:rFonts w:ascii="Arial" w:hAnsi="Arial"/>
          <w:i/>
          <w:iCs/>
          <w:snapToGrid w:val="0"/>
          <w:sz w:val="24"/>
          <w:lang w:val="es-MX"/>
        </w:rPr>
        <w:t>suma total de cuadrados</w:t>
      </w:r>
      <w:r>
        <w:rPr>
          <w:rFonts w:ascii="Arial" w:hAnsi="Arial"/>
          <w:snapToGrid w:val="0"/>
          <w:sz w:val="24"/>
          <w:lang w:val="es-MX"/>
        </w:rPr>
        <w:t xml:space="preserve"> </w:t>
      </w:r>
      <w:r>
        <w:rPr>
          <w:rFonts w:ascii="Arial" w:hAnsi="Arial"/>
          <w:i/>
          <w:iCs/>
          <w:snapToGrid w:val="0"/>
          <w:sz w:val="24"/>
          <w:lang w:val="es-MX"/>
        </w:rPr>
        <w:t>SCT</w:t>
      </w:r>
      <w:r>
        <w:rPr>
          <w:rFonts w:ascii="Arial" w:hAnsi="Arial"/>
          <w:snapToGrid w:val="0"/>
          <w:sz w:val="24"/>
          <w:lang w:val="es-MX"/>
        </w:rPr>
        <w:t>, si se divide SCT para an-1 se obtiene la varianza de la poblac</w:t>
      </w:r>
      <w:r>
        <w:rPr>
          <w:rFonts w:ascii="Arial" w:hAnsi="Arial"/>
          <w:snapToGrid w:val="0"/>
          <w:sz w:val="24"/>
          <w:lang w:val="es-MX"/>
        </w:rPr>
        <w:t>ión, la cual es una medida de la variabilidad de las observaciones.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 w:cs="Arial"/>
          <w:snapToGrid w:val="0"/>
          <w:sz w:val="24"/>
          <w:lang w:val="es-MX"/>
        </w:rPr>
      </w:pPr>
      <w:r>
        <w:rPr>
          <w:sz w:val="24"/>
        </w:rPr>
        <w:t>SCT</w:t>
      </w:r>
      <w:r>
        <w:t xml:space="preserve"> = </w:t>
      </w:r>
      <w:r>
        <w:rPr>
          <w:position w:val="-44"/>
        </w:rPr>
        <w:object w:dxaOrig="2240" w:dyaOrig="920">
          <v:shape id="_x0000_i1031" type="#_x0000_t75" style="width:111.75pt;height:45.75pt" o:ole="">
            <v:imagedata r:id="rId31" o:title=""/>
          </v:shape>
          <o:OLEObject Type="Embed" ProgID="Equation.3" ShapeID="_x0000_i1031" DrawAspect="Content" ObjectID="_1307788055" r:id="rId32"/>
        </w:object>
      </w:r>
      <w:r>
        <w:t xml:space="preserve">     , </w:t>
      </w:r>
      <w:r>
        <w:rPr>
          <w:rFonts w:ascii="Arial" w:hAnsi="Arial" w:cs="Arial"/>
          <w:sz w:val="24"/>
        </w:rPr>
        <w:t xml:space="preserve">donde    </w:t>
      </w:r>
      <w:r>
        <w:rPr>
          <w:rFonts w:ascii="Arial" w:hAnsi="Arial"/>
          <w:snapToGrid w:val="0"/>
          <w:position w:val="-30"/>
          <w:sz w:val="24"/>
        </w:rPr>
        <w:object w:dxaOrig="1640" w:dyaOrig="700">
          <v:shape id="_x0000_i1032" type="#_x0000_t75" style="width:129pt;height:37.5pt" o:ole="">
            <v:imagedata r:id="rId33" o:title=""/>
          </v:shape>
          <o:OLEObject Type="Embed" ProgID="Equation.3" ShapeID="_x0000_i1032" DrawAspect="Content" ObjectID="_1307788056" r:id="rId34"/>
        </w:objec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 xml:space="preserve">La suma total de cuadrados se puede expresar como la </w:t>
      </w:r>
      <w:r>
        <w:rPr>
          <w:rFonts w:ascii="Arial" w:hAnsi="Arial"/>
          <w:i/>
          <w:iCs/>
          <w:snapToGrid w:val="0"/>
          <w:sz w:val="24"/>
          <w:lang w:val="es-MX"/>
        </w:rPr>
        <w:t>suma de cuadrados de los tratamientos</w:t>
      </w:r>
      <w:r>
        <w:rPr>
          <w:rFonts w:ascii="Arial" w:hAnsi="Arial"/>
          <w:snapToGrid w:val="0"/>
          <w:sz w:val="24"/>
          <w:lang w:val="es-MX"/>
        </w:rPr>
        <w:t xml:space="preserve"> </w:t>
      </w:r>
      <w:r>
        <w:rPr>
          <w:rFonts w:ascii="Arial" w:hAnsi="Arial"/>
          <w:i/>
          <w:iCs/>
          <w:snapToGrid w:val="0"/>
          <w:sz w:val="24"/>
          <w:lang w:val="es-MX"/>
        </w:rPr>
        <w:t>SCTr</w:t>
      </w:r>
      <w:r>
        <w:rPr>
          <w:rFonts w:ascii="Arial" w:hAnsi="Arial"/>
          <w:snapToGrid w:val="0"/>
          <w:sz w:val="24"/>
          <w:lang w:val="es-MX"/>
        </w:rPr>
        <w:t xml:space="preserve"> y la </w:t>
      </w:r>
      <w:r>
        <w:rPr>
          <w:rFonts w:ascii="Arial" w:hAnsi="Arial"/>
          <w:i/>
          <w:iCs/>
          <w:snapToGrid w:val="0"/>
          <w:sz w:val="24"/>
          <w:lang w:val="es-MX"/>
        </w:rPr>
        <w:t xml:space="preserve">suma de cuadrados </w:t>
      </w:r>
      <w:r>
        <w:rPr>
          <w:rFonts w:ascii="Arial" w:hAnsi="Arial"/>
          <w:i/>
          <w:iCs/>
          <w:snapToGrid w:val="0"/>
          <w:sz w:val="24"/>
          <w:lang w:val="es-MX"/>
        </w:rPr>
        <w:t>del error SCE</w:t>
      </w:r>
      <w:r>
        <w:rPr>
          <w:rFonts w:ascii="Arial" w:hAnsi="Arial"/>
          <w:snapToGrid w:val="0"/>
          <w:sz w:val="24"/>
          <w:lang w:val="es-MX"/>
        </w:rPr>
        <w:t>, como se muestra a continuación,</w:t>
      </w:r>
    </w:p>
    <w:p w:rsidR="00000000" w:rsidRDefault="003B6AE7">
      <w:pPr>
        <w:ind w:left="426"/>
        <w:jc w:val="center"/>
        <w:rPr>
          <w:rFonts w:ascii="Arial" w:hAnsi="Arial"/>
          <w:snapToGrid w:val="0"/>
          <w:sz w:val="24"/>
          <w:lang w:val="es-MX"/>
        </w:rPr>
      </w:pPr>
      <w:r>
        <w:rPr>
          <w:position w:val="-72"/>
        </w:rPr>
        <w:object w:dxaOrig="7900" w:dyaOrig="1560">
          <v:shape id="_x0000_i1033" type="#_x0000_t75" style="width:261.75pt;height:69pt" o:ole="">
            <v:imagedata r:id="rId35" o:title=""/>
          </v:shape>
          <o:OLEObject Type="Embed" ProgID="Equation.3" ShapeID="_x0000_i1033" DrawAspect="Content" ObjectID="_1307788057" r:id="rId36"/>
        </w:object>
      </w:r>
    </w:p>
    <w:p w:rsidR="00000000" w:rsidRDefault="003B6AE7">
      <w:pPr>
        <w:ind w:left="426"/>
        <w:jc w:val="both"/>
        <w:rPr>
          <w:rFonts w:ascii="Arial" w:hAnsi="Arial"/>
          <w:snapToGrid w:val="0"/>
          <w:sz w:val="24"/>
          <w:lang w:val="es-MX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La suma cuadrática de los tratamientos SCTr, mide la variación existente entre las medias de los a tratamientos, mientras que la suma cuadrática del error SCE, mide la variación existe</w:t>
      </w:r>
      <w:r>
        <w:rPr>
          <w:rFonts w:ascii="Arial" w:hAnsi="Arial"/>
          <w:snapToGrid w:val="0"/>
          <w:sz w:val="24"/>
        </w:rPr>
        <w:t>nte dentro de cada tratamiento.</w:t>
      </w:r>
    </w:p>
    <w:p w:rsidR="00000000" w:rsidRDefault="003B6AE7">
      <w:pPr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Dado que los Y</w:t>
      </w:r>
      <w:r>
        <w:rPr>
          <w:rFonts w:ascii="Arial" w:hAnsi="Arial"/>
          <w:snapToGrid w:val="0"/>
          <w:sz w:val="24"/>
          <w:vertAlign w:val="subscript"/>
        </w:rPr>
        <w:t>i1</w:t>
      </w:r>
      <w:r>
        <w:rPr>
          <w:rFonts w:ascii="Arial" w:hAnsi="Arial"/>
          <w:snapToGrid w:val="0"/>
          <w:sz w:val="24"/>
        </w:rPr>
        <w:t>, Y</w:t>
      </w:r>
      <w:r>
        <w:rPr>
          <w:rFonts w:ascii="Arial" w:hAnsi="Arial"/>
          <w:snapToGrid w:val="0"/>
          <w:sz w:val="24"/>
          <w:vertAlign w:val="subscript"/>
        </w:rPr>
        <w:t>i2</w:t>
      </w:r>
      <w:r>
        <w:rPr>
          <w:rFonts w:ascii="Arial" w:hAnsi="Arial"/>
          <w:snapToGrid w:val="0"/>
          <w:sz w:val="24"/>
        </w:rPr>
        <w:t>,  ..., Y</w:t>
      </w:r>
      <w:r>
        <w:rPr>
          <w:rFonts w:ascii="Arial" w:hAnsi="Arial"/>
          <w:snapToGrid w:val="0"/>
          <w:sz w:val="24"/>
          <w:vertAlign w:val="subscript"/>
        </w:rPr>
        <w:t>in</w:t>
      </w:r>
      <w:r>
        <w:rPr>
          <w:rFonts w:ascii="Arial" w:hAnsi="Arial"/>
          <w:snapToGrid w:val="0"/>
          <w:sz w:val="24"/>
        </w:rPr>
        <w:t xml:space="preserve">     </w:t>
      </w:r>
      <w:r>
        <w:rPr>
          <w:rFonts w:ascii="Arial" w:hAnsi="Arial"/>
          <w:snapToGrid w:val="0"/>
          <w:sz w:val="24"/>
          <w:vertAlign w:val="subscript"/>
        </w:rPr>
        <w:t xml:space="preserve">, </w:t>
      </w:r>
      <w:r>
        <w:rPr>
          <w:rFonts w:ascii="Arial" w:hAnsi="Arial"/>
          <w:snapToGrid w:val="0"/>
          <w:sz w:val="24"/>
        </w:rPr>
        <w:t xml:space="preserve">para i = 1, 2, ... , a representan una muestra aleatoria de tamaño n, tomada de una población normal con media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+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y varianza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 xml:space="preserve"> , se tiene que para cada i</w:t>
      </w:r>
    </w:p>
    <w:p w:rsidR="00000000" w:rsidRDefault="003B6AE7">
      <w:pPr>
        <w:ind w:left="426"/>
        <w:jc w:val="center"/>
        <w:rPr>
          <w:rFonts w:ascii="Arial" w:hAnsi="Arial"/>
          <w:snapToGrid w:val="0"/>
          <w:sz w:val="24"/>
        </w:rPr>
      </w:pPr>
      <w:r>
        <w:rPr>
          <w:position w:val="-30"/>
        </w:rPr>
        <w:object w:dxaOrig="3200" w:dyaOrig="720">
          <v:shape id="_x0000_i1034" type="#_x0000_t75" style="width:177pt;height:39.75pt" o:ole="">
            <v:imagedata r:id="rId37" o:title=""/>
          </v:shape>
          <o:OLEObject Type="Embed" ProgID="Equation.3" ShapeID="_x0000_i1034" DrawAspect="Content" ObjectID="_1307788058" r:id="rId38"/>
        </w:object>
      </w:r>
      <w:r>
        <w:t xml:space="preserve"> </w:t>
      </w:r>
    </w:p>
    <w:p w:rsidR="00000000" w:rsidRDefault="003B6AE7">
      <w:pPr>
        <w:ind w:left="426"/>
        <w:jc w:val="center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es una variable aleatoria ji-cuadrado </w:t>
      </w:r>
      <w:r>
        <w:rPr>
          <w:sz w:val="28"/>
        </w:rPr>
        <w:sym w:font="Symbol" w:char="F063"/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rFonts w:ascii="Arial" w:hAnsi="Arial"/>
          <w:snapToGrid w:val="0"/>
          <w:sz w:val="24"/>
        </w:rPr>
        <w:t>con n-1 grados de libertad. Además puesto que los a tratamientos son variables aleatorias independientes, se tiene que</w:t>
      </w:r>
    </w:p>
    <w:p w:rsidR="00000000" w:rsidRDefault="003B6AE7">
      <w:pPr>
        <w:ind w:left="426"/>
        <w:jc w:val="center"/>
      </w:pPr>
      <w:r>
        <w:rPr>
          <w:position w:val="-44"/>
        </w:rPr>
        <w:object w:dxaOrig="2799" w:dyaOrig="920">
          <v:shape id="_x0000_i1035" type="#_x0000_t75" style="width:139.5pt;height:44.25pt" o:ole="">
            <v:imagedata r:id="rId39" o:title=""/>
          </v:shape>
          <o:OLEObject Type="Embed" ProgID="Equation.3" ShapeID="_x0000_i1035" DrawAspect="Content" ObjectID="_1307788059" r:id="rId40"/>
        </w:objec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una variable aleatoria </w:t>
      </w:r>
      <w:r>
        <w:rPr>
          <w:rFonts w:ascii="Arial" w:hAnsi="Arial"/>
          <w:snapToGrid w:val="0"/>
          <w:sz w:val="24"/>
        </w:rPr>
        <w:t xml:space="preserve">ji-cuadrado </w:t>
      </w:r>
      <w:r>
        <w:rPr>
          <w:rFonts w:ascii="Arial" w:hAnsi="Arial" w:cs="Arial"/>
          <w:sz w:val="24"/>
        </w:rPr>
        <w:t xml:space="preserve">con a(n-1) grados de libertad. </w: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Luego supongamos que X es una variable aleatoria ji-cuadrado con </w:t>
      </w:r>
      <w:r>
        <w:rPr>
          <w:rFonts w:ascii="Arial" w:hAnsi="Arial" w:cs="Arial"/>
          <w:sz w:val="24"/>
        </w:rPr>
        <w:sym w:font="Symbol" w:char="F06E"/>
      </w:r>
      <w:r>
        <w:rPr>
          <w:rFonts w:ascii="Arial" w:hAnsi="Arial" w:cs="Arial"/>
          <w:sz w:val="24"/>
        </w:rPr>
        <w:t xml:space="preserve"> grados de libertad, entonces E (X) =  </w:t>
      </w:r>
      <w:r>
        <w:rPr>
          <w:rFonts w:ascii="Arial" w:hAnsi="Arial" w:cs="Arial"/>
          <w:sz w:val="24"/>
        </w:rPr>
        <w:sym w:font="Symbol" w:char="F06E"/>
      </w:r>
      <w:r>
        <w:rPr>
          <w:rFonts w:ascii="Arial" w:hAnsi="Arial" w:cs="Arial"/>
          <w:sz w:val="24"/>
        </w:rPr>
        <w:t>, en base a esto el valor esperado de la variable aleatoria (1/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 xml:space="preserve">) SCE es a(n-1), donde </w:t>
      </w:r>
      <w:r>
        <w:rPr>
          <w:position w:val="-30"/>
        </w:rPr>
        <w:object w:dxaOrig="900" w:dyaOrig="680">
          <v:shape id="_x0000_i1036" type="#_x0000_t75" style="width:30pt;height:30pt" o:ole="">
            <v:imagedata r:id="rId41" o:title=""/>
          </v:shape>
          <o:OLEObject Type="Embed" ProgID="Equation.3" ShapeID="_x0000_i1036" DrawAspect="Content" ObjectID="_1307788060" r:id="rId42"/>
        </w:object>
      </w:r>
      <w:r>
        <w:t xml:space="preserve"> </w:t>
      </w:r>
      <w:r>
        <w:rPr>
          <w:rFonts w:ascii="Arial" w:hAnsi="Arial" w:cs="Arial"/>
          <w:sz w:val="24"/>
        </w:rPr>
        <w:t xml:space="preserve">es un estimador de </w:t>
      </w:r>
      <w:r>
        <w:rPr>
          <w:rFonts w:ascii="Arial" w:hAnsi="Arial" w:cs="Arial"/>
          <w:snapToGrid w:val="0"/>
          <w:sz w:val="24"/>
        </w:rPr>
        <w:sym w:font="Symbol" w:char="F073"/>
      </w:r>
      <w:r>
        <w:rPr>
          <w:rFonts w:ascii="Arial" w:hAnsi="Arial" w:cs="Arial"/>
          <w:snapToGrid w:val="0"/>
          <w:sz w:val="24"/>
          <w:vertAlign w:val="superscript"/>
        </w:rPr>
        <w:t>2</w:t>
      </w:r>
      <w:r>
        <w:rPr>
          <w:rFonts w:ascii="Arial" w:hAnsi="Arial" w:cs="Arial"/>
          <w:snapToGrid w:val="0"/>
          <w:sz w:val="24"/>
        </w:rPr>
        <w:t xml:space="preserve">, esta cantidad </w:t>
      </w:r>
      <w:r>
        <w:rPr>
          <w:rFonts w:ascii="Arial" w:hAnsi="Arial" w:cs="Arial"/>
          <w:snapToGrid w:val="0"/>
          <w:sz w:val="24"/>
        </w:rPr>
        <w:t xml:space="preserve">se denomina </w:t>
      </w:r>
      <w:r>
        <w:rPr>
          <w:rFonts w:ascii="Arial" w:hAnsi="Arial" w:cs="Arial"/>
          <w:i/>
          <w:iCs/>
          <w:snapToGrid w:val="0"/>
          <w:sz w:val="24"/>
        </w:rPr>
        <w:t>cuadrado medio del error</w:t>
      </w:r>
      <w:r>
        <w:rPr>
          <w:rFonts w:ascii="Arial" w:hAnsi="Arial" w:cs="Arial"/>
          <w:snapToGrid w:val="0"/>
          <w:sz w:val="24"/>
        </w:rPr>
        <w:t xml:space="preserve"> y se denota por </w:t>
      </w:r>
      <w:r>
        <w:rPr>
          <w:rFonts w:ascii="Arial" w:hAnsi="Arial" w:cs="Arial"/>
          <w:i/>
          <w:iCs/>
          <w:snapToGrid w:val="0"/>
          <w:sz w:val="24"/>
        </w:rPr>
        <w:t>CME</w:t>
      </w:r>
      <w:r>
        <w:rPr>
          <w:rFonts w:ascii="Arial" w:hAnsi="Arial" w:cs="Arial"/>
          <w:snapToGrid w:val="0"/>
          <w:sz w:val="24"/>
        </w:rPr>
        <w:t xml:space="preserve">. </w: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sz w:val="24"/>
        </w:rPr>
        <w:t xml:space="preserve">Por otro lado se tiene que las </w:t>
      </w:r>
      <w:r>
        <w:rPr>
          <w:position w:val="-6"/>
        </w:rPr>
        <w:object w:dxaOrig="320" w:dyaOrig="340">
          <v:shape id="_x0000_i1037" type="#_x0000_t75" style="width:18pt;height:24.75pt" o:ole="">
            <v:imagedata r:id="rId43" o:title=""/>
          </v:shape>
          <o:OLEObject Type="Embed" ProgID="Equation.3" ShapeID="_x0000_i1037" DrawAspect="Content" ObjectID="_1307788061" r:id="rId44"/>
        </w:object>
      </w:r>
      <w:r>
        <w:t xml:space="preserve"> </w:t>
      </w:r>
      <w:r>
        <w:rPr>
          <w:rFonts w:ascii="Arial" w:hAnsi="Arial" w:cs="Arial"/>
          <w:sz w:val="24"/>
        </w:rPr>
        <w:t xml:space="preserve">son variables aleatorias independientes, distribuidas normalmente con media </w:t>
      </w:r>
      <w:r>
        <w:rPr>
          <w:rFonts w:ascii="Arial" w:hAnsi="Arial" w:cs="Arial"/>
          <w:sz w:val="24"/>
        </w:rPr>
        <w:sym w:font="Symbol" w:char="F06D"/>
      </w:r>
      <w:r>
        <w:rPr>
          <w:rFonts w:ascii="Arial" w:hAnsi="Arial" w:cs="Arial"/>
          <w:sz w:val="24"/>
        </w:rPr>
        <w:t xml:space="preserve"> y varianza </w:t>
      </w:r>
      <w:r>
        <w:rPr>
          <w:position w:val="-24"/>
        </w:rPr>
        <w:object w:dxaOrig="400" w:dyaOrig="660">
          <v:shape id="_x0000_i1038" type="#_x0000_t75" style="width:13.5pt;height:29.25pt" o:ole="">
            <v:imagedata r:id="rId45" o:title=""/>
          </v:shape>
          <o:OLEObject Type="Embed" ProgID="Equation.3" ShapeID="_x0000_i1038" DrawAspect="Content" ObjectID="_1307788062" r:id="rId46"/>
        </w:object>
      </w:r>
      <w:r>
        <w:t xml:space="preserve">, </w:t>
      </w:r>
      <w:r>
        <w:rPr>
          <w:rFonts w:ascii="Arial" w:hAnsi="Arial" w:cs="Arial"/>
          <w:sz w:val="24"/>
        </w:rPr>
        <w:t xml:space="preserve">se tiene que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 w:cs="Arial"/>
          <w:sz w:val="24"/>
        </w:rPr>
      </w:pPr>
      <w:r>
        <w:rPr>
          <w:position w:val="-38"/>
        </w:rPr>
        <w:object w:dxaOrig="2100" w:dyaOrig="840">
          <v:shape id="_x0000_i1039" type="#_x0000_t75" style="width:118.5pt;height:45.75pt" o:ole="">
            <v:imagedata r:id="rId47" o:title=""/>
          </v:shape>
          <o:OLEObject Type="Embed" ProgID="Equation.3" ShapeID="_x0000_i1039" DrawAspect="Content" ObjectID="_1307788063" r:id="rId48"/>
        </w:objec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es una variable aleatoria ji-cuadrado con a-1 grados de libertad. El valor esperado de esta variable aleatoria es igual a (a-1), por lo tanto  </w:t>
      </w:r>
      <w:r>
        <w:rPr>
          <w:position w:val="-30"/>
        </w:rPr>
        <w:object w:dxaOrig="600" w:dyaOrig="680">
          <v:shape id="_x0000_i1040" type="#_x0000_t75" style="width:32.25pt;height:30pt" o:ole="">
            <v:imagedata r:id="rId49" o:title=""/>
          </v:shape>
          <o:OLEObject Type="Embed" ProgID="Equation.3" ShapeID="_x0000_i1040" DrawAspect="Content" ObjectID="_1307788064" r:id="rId50"/>
        </w:object>
      </w:r>
      <w:r>
        <w:rPr>
          <w:rFonts w:ascii="Arial" w:hAnsi="Arial" w:cs="Arial"/>
          <w:sz w:val="24"/>
        </w:rPr>
        <w:t xml:space="preserve">es otro estimador de </w:t>
      </w:r>
      <w:r>
        <w:rPr>
          <w:rFonts w:ascii="Arial" w:hAnsi="Arial" w:cs="Arial"/>
          <w:snapToGrid w:val="0"/>
          <w:sz w:val="24"/>
        </w:rPr>
        <w:sym w:font="Symbol" w:char="F073"/>
      </w:r>
      <w:r>
        <w:rPr>
          <w:rFonts w:ascii="Arial" w:hAnsi="Arial" w:cs="Arial"/>
          <w:snapToGrid w:val="0"/>
          <w:sz w:val="24"/>
          <w:vertAlign w:val="superscript"/>
        </w:rPr>
        <w:t>2</w:t>
      </w:r>
      <w:r>
        <w:rPr>
          <w:rFonts w:ascii="Arial" w:hAnsi="Arial" w:cs="Arial"/>
          <w:snapToGrid w:val="0"/>
          <w:sz w:val="24"/>
        </w:rPr>
        <w:t xml:space="preserve">, este estimador se denomina </w:t>
      </w:r>
      <w:r>
        <w:rPr>
          <w:rFonts w:ascii="Arial" w:hAnsi="Arial" w:cs="Arial"/>
          <w:i/>
          <w:iCs/>
          <w:snapToGrid w:val="0"/>
          <w:sz w:val="24"/>
        </w:rPr>
        <w:t>cuadrado medio de los trat</w:t>
      </w:r>
      <w:r>
        <w:rPr>
          <w:rFonts w:ascii="Arial" w:hAnsi="Arial" w:cs="Arial"/>
          <w:i/>
          <w:iCs/>
          <w:snapToGrid w:val="0"/>
          <w:sz w:val="24"/>
        </w:rPr>
        <w:t>amientos</w:t>
      </w:r>
      <w:r>
        <w:rPr>
          <w:rFonts w:ascii="Arial" w:hAnsi="Arial" w:cs="Arial"/>
          <w:b/>
          <w:bCs/>
          <w:i/>
          <w:iCs/>
          <w:snapToGrid w:val="0"/>
          <w:sz w:val="24"/>
        </w:rPr>
        <w:t xml:space="preserve"> </w:t>
      </w:r>
      <w:r>
        <w:rPr>
          <w:rFonts w:ascii="Arial" w:hAnsi="Arial" w:cs="Arial"/>
          <w:snapToGrid w:val="0"/>
          <w:sz w:val="24"/>
        </w:rPr>
        <w:t xml:space="preserve">y se denota por </w:t>
      </w:r>
      <w:r>
        <w:rPr>
          <w:rFonts w:ascii="Arial" w:hAnsi="Arial" w:cs="Arial"/>
          <w:i/>
          <w:iCs/>
          <w:snapToGrid w:val="0"/>
          <w:sz w:val="24"/>
        </w:rPr>
        <w:t>CMTr</w:t>
      </w:r>
      <w:r>
        <w:rPr>
          <w:rFonts w:ascii="Arial" w:hAnsi="Arial" w:cs="Arial"/>
          <w:snapToGrid w:val="0"/>
          <w:sz w:val="24"/>
        </w:rPr>
        <w:t>.</w: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napToGrid w:val="0"/>
          <w:sz w:val="24"/>
        </w:rPr>
        <w:t xml:space="preserve">En este análisis se supone que los estimadores de </w:t>
      </w:r>
      <w:r>
        <w:rPr>
          <w:rFonts w:ascii="Arial" w:hAnsi="Arial" w:cs="Arial"/>
          <w:snapToGrid w:val="0"/>
          <w:sz w:val="24"/>
        </w:rPr>
        <w:sym w:font="Symbol" w:char="F073"/>
      </w:r>
      <w:r>
        <w:rPr>
          <w:rFonts w:ascii="Arial" w:hAnsi="Arial" w:cs="Arial"/>
          <w:snapToGrid w:val="0"/>
          <w:sz w:val="24"/>
          <w:vertAlign w:val="superscript"/>
        </w:rPr>
        <w:t xml:space="preserve">2 </w:t>
      </w:r>
      <w:r>
        <w:rPr>
          <w:rFonts w:ascii="Arial" w:hAnsi="Arial" w:cs="Arial"/>
          <w:snapToGrid w:val="0"/>
          <w:sz w:val="24"/>
        </w:rPr>
        <w:t xml:space="preserve">, CMTr y CME son variables aleatorias independientes con a-1 y a(n-1) grados de libertad respectivamente, entonces </w:t>
      </w:r>
      <w:r>
        <w:rPr>
          <w:position w:val="-30"/>
        </w:rPr>
        <w:object w:dxaOrig="3260" w:dyaOrig="720">
          <v:shape id="_x0000_i1041" type="#_x0000_t75" style="width:175.5pt;height:32.25pt" o:ole="">
            <v:imagedata r:id="rId51" o:title=""/>
          </v:shape>
          <o:OLEObject Type="Embed" ProgID="Equation.3" ShapeID="_x0000_i1041" DrawAspect="Content" ObjectID="_1307788065" r:id="rId52"/>
        </w:object>
      </w:r>
      <w:r>
        <w:t xml:space="preserve"> </w:t>
      </w:r>
      <w:r>
        <w:rPr>
          <w:rFonts w:ascii="Arial" w:hAnsi="Arial" w:cs="Arial"/>
          <w:sz w:val="24"/>
        </w:rPr>
        <w:t>es una variable aleatoria que ti</w:t>
      </w:r>
      <w:r>
        <w:rPr>
          <w:rFonts w:ascii="Arial" w:hAnsi="Arial" w:cs="Arial"/>
          <w:sz w:val="24"/>
        </w:rPr>
        <w:t>ene distribución F con (a-1) y a(n-1) , grados de libertad.</w: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.65pt;margin-top:156.8pt;width:369pt;height:207pt;z-index:251652608">
            <v:textbox style="mso-next-textbox:#_x0000_s1030">
              <w:txbxContent>
                <w:p w:rsidR="00000000" w:rsidRDefault="003B6AE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Tabla CXLII</w:t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Análisis de varianza de clasificación en un sentido</w:t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tbl>
                  <w:tblPr>
                    <w:tblW w:w="0" w:type="auto"/>
                    <w:jc w:val="center"/>
                    <w:tblInd w:w="12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60"/>
                    <w:gridCol w:w="1417"/>
                    <w:gridCol w:w="1559"/>
                    <w:gridCol w:w="1276"/>
                    <w:gridCol w:w="851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560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  <w:t>Fuente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  <w:t>Grados de libertad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  <w:t>Sumas cuadráticas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  <w:t>Cuadrado medio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napToGrid w:val="0"/>
                            <w:sz w:val="24"/>
                          </w:rPr>
                          <w:t>F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9"/>
                      <w:jc w:val="center"/>
                    </w:trPr>
                    <w:tc>
                      <w:tcPr>
                        <w:tcW w:w="1560" w:type="dxa"/>
                        <w:vAlign w:val="center"/>
                      </w:tcPr>
                      <w:p w:rsidR="00000000" w:rsidRDefault="003B6AE7">
                        <w:pPr>
                          <w:pStyle w:val="Ttulo2"/>
                          <w:jc w:val="center"/>
                        </w:pPr>
                        <w:r>
                          <w:t>Tratamientos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  <w:t>a-1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  <w:t>SCTr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  <w:t>CMTr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</w:rPr>
                        </w:pPr>
                        <w:r>
                          <w:rPr>
                            <w:position w:val="-24"/>
                          </w:rPr>
                          <w:object w:dxaOrig="720" w:dyaOrig="620">
                            <v:shape id="_x0000_i1046" type="#_x0000_t75" style="width:36pt;height:30.75pt" o:ole="">
                              <v:imagedata r:id="rId53" o:title=""/>
                            </v:shape>
                            <o:OLEObject Type="Embed" ProgID="Equation.3" ShapeID="_x0000_i1046" DrawAspect="Content" ObjectID="_1307788070" r:id="rId54"/>
                          </w:objec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9"/>
                      <w:jc w:val="center"/>
                    </w:trPr>
                    <w:tc>
                      <w:tcPr>
                        <w:tcW w:w="1560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s-MX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s-MX"/>
                          </w:rPr>
                          <w:t>a(n-1)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  <w:t>SCE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  <w:t>CME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/>
                            <w:snapToGrid w:val="0"/>
                            <w:sz w:val="24"/>
                            <w:lang w:val="en-US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69"/>
                      <w:jc w:val="center"/>
                    </w:trPr>
                    <w:tc>
                      <w:tcPr>
                        <w:tcW w:w="1560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  <w:t>Total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  <w:t>an-1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STC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00000" w:rsidRDefault="003B6AE7">
                        <w:pPr>
                          <w:jc w:val="center"/>
                          <w:rPr>
                            <w:rFonts w:ascii="Arial" w:hAnsi="Arial" w:cs="Arial"/>
                            <w:snapToGrid w:val="0"/>
                            <w:sz w:val="24"/>
                            <w:lang w:val="en-US"/>
                          </w:rPr>
                        </w:pPr>
                      </w:p>
                    </w:tc>
                  </w:tr>
                </w:tbl>
                <w:p w:rsidR="00000000" w:rsidRDefault="003B6AE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="Arial" w:hAnsi="Arial" w:cs="Arial"/>
          <w:sz w:val="24"/>
        </w:rPr>
        <w:t>La hipótesis nula H</w:t>
      </w:r>
      <w:r>
        <w:rPr>
          <w:rFonts w:ascii="Arial" w:hAnsi="Arial" w:cs="Arial"/>
          <w:sz w:val="24"/>
          <w:vertAlign w:val="subscript"/>
        </w:rPr>
        <w:t>0</w:t>
      </w:r>
      <w:r>
        <w:rPr>
          <w:rFonts w:ascii="Arial" w:hAnsi="Arial" w:cs="Arial"/>
          <w:sz w:val="24"/>
        </w:rPr>
        <w:t xml:space="preserve"> (de que los efectos de los a tratamientos son iguales a cero) se rechaza si el valor </w:t>
      </w:r>
      <w:r>
        <w:rPr>
          <w:rFonts w:ascii="Arial" w:hAnsi="Arial" w:cs="Arial"/>
          <w:i/>
          <w:iCs/>
          <w:sz w:val="24"/>
        </w:rPr>
        <w:t xml:space="preserve">f </w:t>
      </w:r>
      <w:r>
        <w:rPr>
          <w:rFonts w:ascii="Arial" w:hAnsi="Arial" w:cs="Arial"/>
          <w:sz w:val="24"/>
        </w:rPr>
        <w:t xml:space="preserve">calculado en base a las observaciones, es mayor que </w:t>
      </w:r>
      <w:r>
        <w:rPr>
          <w:rFonts w:ascii="Arial" w:hAnsi="Arial" w:cs="Arial"/>
          <w:sz w:val="28"/>
        </w:rPr>
        <w:t>F</w:t>
      </w:r>
      <w:r>
        <w:rPr>
          <w:rFonts w:ascii="Arial" w:hAnsi="Arial" w:cs="Arial"/>
          <w:sz w:val="28"/>
          <w:vertAlign w:val="subscript"/>
        </w:rPr>
        <w:sym w:font="Symbol" w:char="F061"/>
      </w:r>
      <w:r>
        <w:rPr>
          <w:rFonts w:ascii="Arial" w:hAnsi="Arial" w:cs="Arial"/>
          <w:sz w:val="28"/>
          <w:vertAlign w:val="subscript"/>
        </w:rPr>
        <w:t>, k-1, k(n-1)</w:t>
      </w:r>
      <w:r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4"/>
        </w:rPr>
        <w:t xml:space="preserve"> donde  </w:t>
      </w:r>
      <w:r>
        <w:rPr>
          <w:rFonts w:ascii="Arial" w:hAnsi="Arial" w:cs="Arial"/>
          <w:sz w:val="24"/>
        </w:rPr>
        <w:sym w:font="Symbol" w:char="F061"/>
      </w:r>
      <w:r>
        <w:rPr>
          <w:rFonts w:ascii="Arial" w:hAnsi="Arial" w:cs="Arial"/>
          <w:sz w:val="24"/>
        </w:rPr>
        <w:t xml:space="preserve"> es el ni</w:t>
      </w:r>
      <w:r>
        <w:rPr>
          <w:rFonts w:ascii="Arial" w:hAnsi="Arial" w:cs="Arial"/>
          <w:sz w:val="24"/>
        </w:rPr>
        <w:t xml:space="preserve">vel de significancia de la prueba. Si la hipótesis nula es verdadera CMTr es un estimador insesgado de </w:t>
      </w:r>
      <w:r>
        <w:rPr>
          <w:rFonts w:ascii="Arial" w:hAnsi="Arial" w:cs="Arial"/>
          <w:snapToGrid w:val="0"/>
          <w:sz w:val="24"/>
        </w:rPr>
        <w:sym w:font="Symbol" w:char="F073"/>
      </w:r>
      <w:r>
        <w:rPr>
          <w:rFonts w:ascii="Arial" w:hAnsi="Arial" w:cs="Arial"/>
          <w:snapToGrid w:val="0"/>
          <w:sz w:val="24"/>
          <w:vertAlign w:val="superscript"/>
        </w:rPr>
        <w:t>2</w:t>
      </w:r>
      <w:r>
        <w:rPr>
          <w:rFonts w:ascii="Arial" w:hAnsi="Arial" w:cs="Arial"/>
          <w:snapToGrid w:val="0"/>
          <w:sz w:val="24"/>
        </w:rPr>
        <w:t>.</w:t>
      </w: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 w:cs="Arial"/>
          <w:sz w:val="24"/>
        </w:rPr>
        <w:t xml:space="preserve">El procedimiento descrito anteriormente se denomina análisis de varianza de clasificación en un sentido y se lo representa mediante una </w:t>
      </w:r>
      <w:r>
        <w:rPr>
          <w:rFonts w:ascii="Arial" w:hAnsi="Arial" w:cs="Arial"/>
          <w:i/>
          <w:iCs/>
          <w:sz w:val="24"/>
        </w:rPr>
        <w:t>tabla de a</w:t>
      </w:r>
      <w:r>
        <w:rPr>
          <w:rFonts w:ascii="Arial" w:hAnsi="Arial" w:cs="Arial"/>
          <w:i/>
          <w:iCs/>
          <w:sz w:val="24"/>
        </w:rPr>
        <w:t>nálisis de varianza  ANOVA,</w:t>
      </w:r>
      <w:r>
        <w:rPr>
          <w:rFonts w:ascii="Arial" w:hAnsi="Arial" w:cs="Arial"/>
          <w:sz w:val="24"/>
        </w:rPr>
        <w:t xml:space="preserve"> como se muestra en la tabla CXLII. </w:t>
      </w:r>
      <w:r>
        <w:rPr>
          <w:rFonts w:ascii="Arial" w:hAnsi="Arial"/>
          <w:snapToGrid w:val="0"/>
          <w:sz w:val="24"/>
        </w:rPr>
        <w:t>Los diferentes métodos de hacer comparaciones múltiples se emplean sólo cuando el resultado del ANOVA resulta significativo. En tal caso, se sabe que existen diferencias entre las muestras, per</w:t>
      </w:r>
      <w:r>
        <w:rPr>
          <w:rFonts w:ascii="Arial" w:hAnsi="Arial"/>
          <w:snapToGrid w:val="0"/>
          <w:sz w:val="24"/>
        </w:rPr>
        <w:t>o sin poder especificar entre cuales de ellas. Se necesita, entonces, alguna forma de poder compararlas entre sí, y alcanzar así el objetivo final del ANOVA. Los métodos de comparaciones múltiples son la herramienta adecuada para este fin, pues permiten un</w:t>
      </w:r>
      <w:r>
        <w:rPr>
          <w:rFonts w:ascii="Arial" w:hAnsi="Arial"/>
          <w:snapToGrid w:val="0"/>
          <w:sz w:val="24"/>
        </w:rPr>
        <w:t xml:space="preserve"> análisis muy sutil de la significación encontrada. Para los casos en que se determine que los efectos de los tratamientos no son todos iguales a cero, se utilizará el método de la </w:t>
      </w:r>
      <w:r>
        <w:rPr>
          <w:rFonts w:ascii="Arial" w:hAnsi="Arial"/>
          <w:i/>
          <w:iCs/>
          <w:snapToGrid w:val="0"/>
          <w:sz w:val="24"/>
        </w:rPr>
        <w:t>mínima diferencia significativa (LSD)</w:t>
      </w:r>
      <w:r>
        <w:rPr>
          <w:rFonts w:ascii="Arial" w:hAnsi="Arial"/>
          <w:snapToGrid w:val="0"/>
          <w:sz w:val="24"/>
        </w:rPr>
        <w:t>, para determinar en que parejas de tr</w:t>
      </w:r>
      <w:r>
        <w:rPr>
          <w:rFonts w:ascii="Arial" w:hAnsi="Arial"/>
          <w:snapToGrid w:val="0"/>
          <w:sz w:val="24"/>
        </w:rPr>
        <w:t>atamientos existe diferencias de medias.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Con el método </w:t>
      </w:r>
      <w:r>
        <w:rPr>
          <w:rFonts w:ascii="Arial" w:hAnsi="Arial"/>
          <w:i/>
          <w:iCs/>
          <w:snapToGrid w:val="0"/>
          <w:sz w:val="24"/>
        </w:rPr>
        <w:t>LSD</w:t>
      </w:r>
      <w:r>
        <w:rPr>
          <w:rFonts w:ascii="Arial" w:hAnsi="Arial"/>
          <w:snapToGrid w:val="0"/>
          <w:sz w:val="24"/>
        </w:rPr>
        <w:t xml:space="preserve"> se desea probar el siguiente contraste de hipótesis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lang w:val="en-US"/>
        </w:rPr>
      </w:pPr>
      <w:r>
        <w:rPr>
          <w:rFonts w:ascii="Arial" w:hAnsi="Arial"/>
          <w:snapToGrid w:val="0"/>
          <w:sz w:val="24"/>
          <w:lang w:val="en-US"/>
        </w:rPr>
        <w:t>H</w:t>
      </w:r>
      <w:r>
        <w:rPr>
          <w:rFonts w:ascii="Arial" w:hAnsi="Arial"/>
          <w:snapToGrid w:val="0"/>
          <w:sz w:val="24"/>
          <w:vertAlign w:val="subscript"/>
          <w:lang w:val="en-US"/>
        </w:rPr>
        <w:t>0</w:t>
      </w:r>
      <w:r>
        <w:rPr>
          <w:rFonts w:ascii="Arial" w:hAnsi="Arial"/>
          <w:snapToGrid w:val="0"/>
          <w:sz w:val="24"/>
          <w:lang w:val="en-US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  <w:lang w:val="en-US"/>
        </w:rPr>
        <w:t>i</w:t>
      </w:r>
      <w:r>
        <w:rPr>
          <w:rFonts w:ascii="Arial" w:hAnsi="Arial"/>
          <w:snapToGrid w:val="0"/>
          <w:sz w:val="24"/>
          <w:lang w:val="en-US"/>
        </w:rPr>
        <w:t xml:space="preserve"> -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  <w:lang w:val="en-US"/>
        </w:rPr>
        <w:t>j</w:t>
      </w:r>
      <w:r>
        <w:rPr>
          <w:rFonts w:ascii="Arial" w:hAnsi="Arial"/>
          <w:snapToGrid w:val="0"/>
          <w:sz w:val="24"/>
          <w:lang w:val="en-US"/>
        </w:rPr>
        <w:t xml:space="preserve"> = 0 , para i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  <w:lang w:val="en-US"/>
        </w:rPr>
        <w:t xml:space="preserve"> j, e i, j = 1, 2, ... , a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lang w:val="en-US"/>
        </w:rPr>
      </w:pPr>
      <w:r>
        <w:rPr>
          <w:rFonts w:ascii="Arial" w:hAnsi="Arial"/>
          <w:snapToGrid w:val="0"/>
          <w:sz w:val="24"/>
          <w:lang w:val="en-US"/>
        </w:rPr>
        <w:t>vs.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lang w:val="en-US"/>
        </w:rPr>
      </w:pPr>
      <w:r>
        <w:rPr>
          <w:rFonts w:ascii="Arial" w:hAnsi="Arial"/>
          <w:snapToGrid w:val="0"/>
          <w:sz w:val="24"/>
          <w:lang w:val="en-US"/>
        </w:rPr>
        <w:t>H</w:t>
      </w:r>
      <w:r>
        <w:rPr>
          <w:rFonts w:ascii="Arial" w:hAnsi="Arial"/>
          <w:snapToGrid w:val="0"/>
          <w:sz w:val="24"/>
          <w:vertAlign w:val="subscript"/>
          <w:lang w:val="en-US"/>
        </w:rPr>
        <w:t>1</w:t>
      </w:r>
      <w:r>
        <w:rPr>
          <w:rFonts w:ascii="Arial" w:hAnsi="Arial"/>
          <w:snapToGrid w:val="0"/>
          <w:sz w:val="24"/>
          <w:lang w:val="en-US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  <w:lang w:val="en-US"/>
        </w:rPr>
        <w:t>i</w:t>
      </w:r>
      <w:r>
        <w:rPr>
          <w:rFonts w:ascii="Arial" w:hAnsi="Arial"/>
          <w:snapToGrid w:val="0"/>
          <w:sz w:val="24"/>
          <w:lang w:val="en-US"/>
        </w:rPr>
        <w:t xml:space="preserve"> -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  <w:lang w:val="en-US"/>
        </w:rPr>
        <w:t>j</w:t>
      </w:r>
      <w:r>
        <w:rPr>
          <w:rFonts w:ascii="Arial" w:hAnsi="Arial"/>
          <w:snapToGrid w:val="0"/>
          <w:sz w:val="24"/>
          <w:lang w:val="en-US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  <w:lang w:val="en-US"/>
        </w:rPr>
        <w:t xml:space="preserve"> 0 , para i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  <w:lang w:val="en-US"/>
        </w:rPr>
        <w:t xml:space="preserve"> j, e i, j = 1, 2, ... , a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Paro lo cual se utiliza el esta</w:t>
      </w:r>
      <w:r>
        <w:rPr>
          <w:rFonts w:ascii="Arial" w:hAnsi="Arial"/>
          <w:snapToGrid w:val="0"/>
          <w:sz w:val="24"/>
          <w:lang w:val="es-MX"/>
        </w:rPr>
        <w:t>dístico de prueba: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lang w:val="es-MX"/>
        </w:rPr>
      </w:pPr>
      <w:r>
        <w:rPr>
          <w:position w:val="-82"/>
        </w:rPr>
        <w:object w:dxaOrig="2280" w:dyaOrig="1300">
          <v:shape id="_x0000_i1042" type="#_x0000_t75" style="width:114pt;height:65.25pt" o:ole="">
            <v:imagedata r:id="rId55" o:title=""/>
          </v:shape>
          <o:OLEObject Type="Embed" ProgID="Equation.3" ShapeID="_x0000_i1042" DrawAspect="Content" ObjectID="_1307788066" r:id="rId56"/>
        </w:objec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Para probar esta hipótesis se calcula la mínima diferencia significativa LSD, tal como sigue,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 w:cs="Arial"/>
          <w:position w:val="-36"/>
          <w:sz w:val="24"/>
        </w:rPr>
        <w:object w:dxaOrig="3519" w:dyaOrig="880">
          <v:shape id="_x0000_i1043" type="#_x0000_t75" style="width:189.75pt;height:39pt" o:ole="">
            <v:imagedata r:id="rId57" o:title=""/>
          </v:shape>
          <o:OLEObject Type="Embed" ProgID="Equation.3" ShapeID="_x0000_i1043" DrawAspect="Content" ObjectID="_1307788067" r:id="rId58"/>
        </w:object>
      </w:r>
      <w:r>
        <w:rPr>
          <w:rFonts w:ascii="Arial" w:hAnsi="Arial" w:cs="Arial"/>
          <w:sz w:val="24"/>
        </w:rPr>
        <w:t>, donde     N = a x n, entonces se rechaza la hipótesis nula H</w:t>
      </w:r>
      <w:r>
        <w:rPr>
          <w:rFonts w:ascii="Arial" w:hAnsi="Arial" w:cs="Arial"/>
          <w:sz w:val="24"/>
          <w:vertAlign w:val="subscript"/>
        </w:rPr>
        <w:t>0</w:t>
      </w:r>
      <w:r>
        <w:rPr>
          <w:rFonts w:ascii="Arial" w:hAnsi="Arial" w:cs="Arial"/>
          <w:sz w:val="24"/>
        </w:rPr>
        <w:t xml:space="preserve"> en favor de la hipótesis alterna</w:t>
      </w:r>
      <w:r>
        <w:rPr>
          <w:rFonts w:ascii="Arial" w:hAnsi="Arial" w:cs="Arial"/>
          <w:sz w:val="24"/>
        </w:rPr>
        <w:t xml:space="preserve"> H</w:t>
      </w:r>
      <w:r>
        <w:rPr>
          <w:rFonts w:ascii="Arial" w:hAnsi="Arial" w:cs="Arial"/>
          <w:sz w:val="24"/>
          <w:vertAlign w:val="subscript"/>
        </w:rPr>
        <w:t>a</w:t>
      </w:r>
      <w:r>
        <w:rPr>
          <w:rFonts w:ascii="Arial" w:hAnsi="Arial" w:cs="Arial"/>
          <w:sz w:val="24"/>
        </w:rPr>
        <w:t xml:space="preserve"> sí, </w:t>
      </w:r>
      <w:r>
        <w:rPr>
          <w:rFonts w:ascii="Arial" w:hAnsi="Arial" w:cs="Arial"/>
          <w:position w:val="-18"/>
          <w:sz w:val="24"/>
        </w:rPr>
        <w:object w:dxaOrig="2040" w:dyaOrig="480">
          <v:shape id="_x0000_i1044" type="#_x0000_t75" style="width:109.5pt;height:30.75pt" o:ole="">
            <v:imagedata r:id="rId59" o:title=""/>
          </v:shape>
          <o:OLEObject Type="Embed" ProgID="Equation.3" ShapeID="_x0000_i1044" DrawAspect="Content" ObjectID="_1307788068" r:id="rId60"/>
        </w:object>
      </w:r>
      <w:r>
        <w:rPr>
          <w:rFonts w:ascii="Arial" w:hAnsi="Arial" w:cs="Arial"/>
          <w:sz w:val="24"/>
        </w:rPr>
        <w:t>.</w:t>
      </w:r>
    </w:p>
    <w:p w:rsidR="00000000" w:rsidRDefault="003B6AE7">
      <w:pPr>
        <w:pStyle w:val="Ttulo3"/>
        <w:ind w:left="426" w:hanging="426"/>
        <w:jc w:val="both"/>
        <w:rPr>
          <w:snapToGrid w:val="0"/>
          <w:sz w:val="24"/>
        </w:rPr>
      </w:pPr>
      <w:bookmarkStart w:id="1" w:name="_Toc513608480"/>
      <w:r>
        <w:rPr>
          <w:snapToGrid w:val="0"/>
          <w:sz w:val="24"/>
        </w:rPr>
        <w:t>4.5.1Análisis de varianza de la variable aleatoria calificación de lenguaje con respecto a la ubicación de los planteles educativos fiscales rurales del cantón Guayaquil.</w:t>
      </w:r>
      <w:bookmarkEnd w:id="1"/>
    </w:p>
    <w:p w:rsidR="00000000" w:rsidRDefault="003B6AE7">
      <w:pPr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 id="_x0000_s1070" type="#_x0000_t75" style="position:absolute;left:0;text-align:left;margin-left:106.65pt;margin-top:167.75pt;width:217pt;height:58pt;z-index:251661824">
            <v:imagedata r:id="rId61" o:title=""/>
            <w10:wrap type="topAndBottom"/>
          </v:shape>
          <o:OLEObject Type="Embed" ProgID="Equation.3" ShapeID="_x0000_s1070" DrawAspect="Content" ObjectID="_1307788069" r:id="rId62"/>
        </w:pict>
      </w:r>
      <w:r>
        <w:rPr>
          <w:rFonts w:ascii="Arial" w:hAnsi="Arial"/>
          <w:sz w:val="24"/>
          <w:lang w:val="es-MX"/>
        </w:rPr>
        <w:t>El número de tratamientos del factor ubicación es</w:t>
      </w:r>
      <w:r>
        <w:rPr>
          <w:rFonts w:ascii="Arial" w:hAnsi="Arial"/>
          <w:sz w:val="24"/>
          <w:lang w:val="es-MX"/>
        </w:rPr>
        <w:t xml:space="preserve"> cinco, los cuales corresponden a las parroquias rurales Progreso, Sabana Grande, Puná, Posorja y Tenguel. </w:t>
      </w:r>
      <w:r>
        <w:rPr>
          <w:rFonts w:ascii="Arial" w:hAnsi="Arial" w:cs="Arial"/>
          <w:sz w:val="24"/>
        </w:rPr>
        <w:t xml:space="preserve">Para realizar el análisis de varianza entre </w:t>
      </w:r>
      <w:r>
        <w:rPr>
          <w:rFonts w:ascii="Arial" w:hAnsi="Arial" w:cs="Arial"/>
          <w:snapToGrid w:val="0"/>
          <w:sz w:val="24"/>
        </w:rPr>
        <w:t>la variable aleatoria calificación de lenguaje con respecto a la ubicación de los planteles educativos fi</w:t>
      </w:r>
      <w:r>
        <w:rPr>
          <w:rFonts w:ascii="Arial" w:hAnsi="Arial" w:cs="Arial"/>
          <w:snapToGrid w:val="0"/>
          <w:sz w:val="24"/>
        </w:rPr>
        <w:t>scales rurales del cantón Guayaquil, se planteó e</w:t>
      </w:r>
      <w:r>
        <w:rPr>
          <w:rFonts w:ascii="Arial" w:hAnsi="Arial" w:cs="Arial"/>
          <w:sz w:val="24"/>
        </w:rPr>
        <w:t>l modelo estadístico lineal siguiente: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43.14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>don</w:t>
      </w:r>
      <w:r>
        <w:rPr>
          <w:rFonts w:ascii="Arial" w:hAnsi="Arial"/>
          <w:snapToGrid w:val="0"/>
          <w:sz w:val="24"/>
        </w:rPr>
        <w:t xml:space="preserve">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supone, es constante para todos los tratamientos.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3B6AE7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 xml:space="preserve">El contraste en términos de los efectos de los tratamientos es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 xml:space="preserve">3 </w:t>
      </w:r>
      <w:r>
        <w:rPr>
          <w:rFonts w:ascii="Arial" w:hAnsi="Arial"/>
          <w:snapToGrid w:val="0"/>
          <w:sz w:val="24"/>
        </w:rPr>
        <w:t xml:space="preserve">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Por lo tanto se desea probar la igualdad de las medias de los tratamientos,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de varianza de la variable aleatoria calificac</w:t>
      </w:r>
      <w:r>
        <w:rPr>
          <w:rFonts w:ascii="Arial" w:hAnsi="Arial"/>
          <w:snapToGrid w:val="0"/>
          <w:sz w:val="24"/>
        </w:rPr>
        <w:t>ión de lenguaje con respecto al factor ubicación  se obtuvo los siguientes resultados:</w:t>
      </w:r>
    </w:p>
    <w:p w:rsidR="00000000" w:rsidRDefault="003B6AE7">
      <w:pPr>
        <w:spacing w:line="480" w:lineRule="auto"/>
        <w:ind w:left="426"/>
        <w:jc w:val="both"/>
      </w:pPr>
    </w:p>
    <w:p w:rsidR="00000000" w:rsidRDefault="003B6AE7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559"/>
        <w:gridCol w:w="1418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Fuente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Grados de libertad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Sumas cuadráticas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Cuadrados medios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F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3B6AE7">
            <w:pPr>
              <w:pStyle w:val="Ttulo2"/>
              <w:jc w:val="center"/>
              <w:rPr>
                <w:b/>
                <w:bCs/>
                <w:i/>
              </w:rPr>
            </w:pPr>
            <w:bookmarkStart w:id="2" w:name="_Toc509814571"/>
            <w:bookmarkStart w:id="3" w:name="_Toc512587433"/>
            <w:bookmarkStart w:id="4" w:name="_Toc512699002"/>
            <w:bookmarkStart w:id="5" w:name="_Toc513608481"/>
            <w:r>
              <w:rPr>
                <w:b/>
                <w:bCs/>
                <w:i/>
              </w:rPr>
              <w:t>Tratamientos</w:t>
            </w:r>
            <w:bookmarkEnd w:id="2"/>
            <w:bookmarkEnd w:id="3"/>
            <w:bookmarkEnd w:id="4"/>
            <w:bookmarkEnd w:id="5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355.86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88.97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0.408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0.803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162</w:t>
            </w:r>
          </w:p>
        </w:tc>
        <w:tc>
          <w:tcPr>
            <w:tcW w:w="1559" w:type="dxa"/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35340.655</w:t>
            </w:r>
          </w:p>
        </w:tc>
        <w:tc>
          <w:tcPr>
            <w:tcW w:w="1418" w:type="dxa"/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218.152</w:t>
            </w:r>
          </w:p>
        </w:tc>
        <w:tc>
          <w:tcPr>
            <w:tcW w:w="850" w:type="dxa"/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35696.515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3B6AE7">
      <w:pPr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El valor p = 0.803 de esta prueba indica que existe evidencia estadística para no rechazar la hipótesis nula de que las medias de los a tratamientos son iguales. En el gráfico 4.7 se puede apreciar las medias de cada uno de los tr</w:t>
      </w:r>
      <w:r>
        <w:rPr>
          <w:rFonts w:ascii="Arial" w:hAnsi="Arial"/>
          <w:sz w:val="24"/>
          <w:lang w:val="es-MX"/>
        </w:rPr>
        <w:t>atamientos del factor ubicación, con respecto a la calificación de la prueba de lenguaje.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</w:rPr>
        <w:pict>
          <v:shape id="_x0000_s1033" type="#_x0000_t202" style="position:absolute;left:0;text-align:left;margin-left:34.65pt;margin-top:20.6pt;width:5in;height:239.4pt;z-index:251653632">
            <v:textbox style="mso-next-textbox:#_x0000_s1033">
              <w:txbxContent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4.7</w:t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tratamientos del factor ubicación con respecto a al calificación de lenguaje</w:t>
                  </w:r>
                </w:p>
                <w:p w:rsidR="00000000" w:rsidRDefault="003B6AE7">
                  <w:pPr>
                    <w:jc w:val="center"/>
                  </w:pPr>
                </w:p>
                <w:p w:rsidR="00000000" w:rsidRDefault="0052128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68395" cy="1860550"/>
                        <wp:effectExtent l="0" t="0" r="0" b="0"/>
                        <wp:docPr id="12" name="Objeto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3"/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</w:p>
    <w:p w:rsidR="00000000" w:rsidRDefault="003B6AE7">
      <w:pPr>
        <w:pStyle w:val="Ttulo3"/>
        <w:ind w:left="426" w:hanging="426"/>
        <w:jc w:val="both"/>
        <w:rPr>
          <w:snapToGrid w:val="0"/>
          <w:sz w:val="24"/>
        </w:rPr>
      </w:pPr>
      <w:bookmarkStart w:id="6" w:name="_Toc513608482"/>
      <w:r>
        <w:rPr>
          <w:snapToGrid w:val="0"/>
          <w:sz w:val="24"/>
        </w:rPr>
        <w:t>4.5.2 Análisis de varianza de la variable aleatoria calificación de lenguaje con respecto a la jornada de los planteles educativos fiscales rurales del cantón Guaya</w:t>
      </w:r>
      <w:r>
        <w:rPr>
          <w:snapToGrid w:val="0"/>
          <w:sz w:val="24"/>
        </w:rPr>
        <w:t>quil.</w:t>
      </w:r>
      <w:bookmarkEnd w:id="6"/>
    </w:p>
    <w:p w:rsidR="00000000" w:rsidRDefault="003B6AE7">
      <w:pPr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/>
          <w:snapToGrid w:val="0"/>
          <w:sz w:val="24"/>
        </w:rPr>
        <w:t>E</w:t>
      </w:r>
      <w:r>
        <w:rPr>
          <w:rFonts w:ascii="Arial" w:hAnsi="Arial"/>
          <w:sz w:val="24"/>
          <w:lang w:val="es-MX"/>
        </w:rPr>
        <w:t xml:space="preserve">l número de tratamientos del factor jornada es tres, los cuales corresponden a las jornadas matutina, vespertina y nocturna. </w:t>
      </w:r>
      <w:r>
        <w:rPr>
          <w:rFonts w:ascii="Arial" w:hAnsi="Arial" w:cs="Arial"/>
          <w:sz w:val="24"/>
        </w:rPr>
        <w:t xml:space="preserve">Para realizar el análisis de varianza entre </w:t>
      </w:r>
      <w:r>
        <w:rPr>
          <w:rFonts w:ascii="Arial" w:hAnsi="Arial" w:cs="Arial"/>
          <w:snapToGrid w:val="0"/>
          <w:sz w:val="24"/>
        </w:rPr>
        <w:t>la variable aleatoria calificación de lenguaje con respecto a la jornada de tr</w:t>
      </w:r>
      <w:r>
        <w:rPr>
          <w:rFonts w:ascii="Arial" w:hAnsi="Arial" w:cs="Arial"/>
          <w:snapToGrid w:val="0"/>
          <w:sz w:val="24"/>
        </w:rPr>
        <w:t>abajo de los planteles educativos fiscales rurales del cantón Guayaquil, se planteó e</w:t>
      </w:r>
      <w:r>
        <w:rPr>
          <w:rFonts w:ascii="Arial" w:hAnsi="Arial" w:cs="Arial"/>
          <w:sz w:val="24"/>
        </w:rPr>
        <w:t>l modelo estadístico lineal siguiente: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noProof/>
        </w:rPr>
        <w:pict>
          <v:shape id="_x0000_s1073" type="#_x0000_t75" style="position:absolute;left:0;text-align:left;margin-left:97.65pt;margin-top:21.8pt;width:217pt;height:58pt;z-index:251662848">
            <v:imagedata r:id="rId64" o:title=""/>
            <w10:wrap type="topAndBottom"/>
          </v:shape>
          <o:OLEObject Type="Embed" ProgID="Equation.3" ShapeID="_x0000_s1073" DrawAspect="Content" ObjectID="_1307788077" r:id="rId65"/>
        </w:pic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43.14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</w:t>
      </w:r>
      <w:r>
        <w:rPr>
          <w:rFonts w:ascii="Arial" w:hAnsi="Arial"/>
          <w:sz w:val="24"/>
        </w:rPr>
        <w:t xml:space="preserve">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supone, es constante para todos los tratamientos.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3B6AE7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3B6AE7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en términos de los efectos de lo</w:t>
      </w:r>
      <w:r>
        <w:rPr>
          <w:rFonts w:ascii="Arial" w:hAnsi="Arial"/>
          <w:snapToGrid w:val="0"/>
          <w:sz w:val="24"/>
          <w:lang w:val="es-MX"/>
        </w:rPr>
        <w:t xml:space="preserve">s tratamientos es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 xml:space="preserve">3 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3B6AE7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3B6AE7">
      <w:pPr>
        <w:spacing w:line="480" w:lineRule="auto"/>
        <w:ind w:left="426"/>
        <w:jc w:val="both"/>
      </w:pPr>
      <w:r>
        <w:rPr>
          <w:rFonts w:ascii="Arial" w:hAnsi="Arial"/>
          <w:snapToGrid w:val="0"/>
          <w:sz w:val="24"/>
        </w:rPr>
        <w:t xml:space="preserve">Por lo tanto se desea probar la igualdad de las medias de las jornadas matutina, vespertina y nocturna,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</w:t>
      </w:r>
      <w:r>
        <w:rPr>
          <w:rFonts w:ascii="Arial" w:hAnsi="Arial"/>
          <w:snapToGrid w:val="0"/>
          <w:sz w:val="24"/>
        </w:rPr>
        <w:t xml:space="preserve">e varianza de la variable aleatoria calificación de lenguaje con respecto al factor jornada  se obtuvo los siguientes resultados: </w:t>
      </w:r>
    </w:p>
    <w:p w:rsidR="00000000" w:rsidRDefault="003B6AE7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</w:p>
    <w:p w:rsidR="00000000" w:rsidRDefault="003B6AE7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559"/>
        <w:gridCol w:w="1560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Fuente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Grados de libertad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Sumas</w:t>
            </w:r>
          </w:p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cuadráticas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Cuadrados medios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F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3B6AE7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3B6AE7">
            <w:pPr>
              <w:pStyle w:val="Ttulo2"/>
              <w:jc w:val="center"/>
              <w:rPr>
                <w:b/>
                <w:bCs/>
                <w:i/>
              </w:rPr>
            </w:pPr>
            <w:bookmarkStart w:id="7" w:name="_Toc509814573"/>
            <w:bookmarkStart w:id="8" w:name="_Toc512587435"/>
            <w:bookmarkStart w:id="9" w:name="_Toc512699004"/>
            <w:bookmarkStart w:id="10" w:name="_Toc513608483"/>
            <w:r>
              <w:rPr>
                <w:b/>
                <w:bCs/>
                <w:i/>
              </w:rPr>
              <w:t>Tratamientos</w:t>
            </w:r>
            <w:bookmarkEnd w:id="7"/>
            <w:bookmarkEnd w:id="8"/>
            <w:bookmarkEnd w:id="9"/>
            <w:bookmarkEnd w:id="10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27.405</w:t>
            </w:r>
          </w:p>
        </w:tc>
        <w:tc>
          <w:tcPr>
            <w:tcW w:w="1560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13.703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0.063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0.939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164</w:t>
            </w:r>
          </w:p>
        </w:tc>
        <w:tc>
          <w:tcPr>
            <w:tcW w:w="1559" w:type="dxa"/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35669.146</w:t>
            </w:r>
          </w:p>
        </w:tc>
        <w:tc>
          <w:tcPr>
            <w:tcW w:w="1560" w:type="dxa"/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217.495</w:t>
            </w:r>
          </w:p>
        </w:tc>
        <w:tc>
          <w:tcPr>
            <w:tcW w:w="850" w:type="dxa"/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4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4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559" w:type="dxa"/>
            <w:tcBorders>
              <w:bottom w:val="single" w:sz="18" w:space="0" w:color="000000"/>
            </w:tcBorders>
          </w:tcPr>
          <w:p w:rsidR="00000000" w:rsidRDefault="003B6AE7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35796.551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00000" w:rsidRDefault="003B6AE7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spacing w:line="480" w:lineRule="auto"/>
        <w:ind w:left="425"/>
        <w:jc w:val="both"/>
      </w:pPr>
      <w:r>
        <w:rPr>
          <w:rFonts w:ascii="Arial" w:hAnsi="Arial"/>
          <w:sz w:val="24"/>
          <w:lang w:val="es-MX"/>
        </w:rPr>
        <w:t>El valor p = 0.803 de esta prueba indica que existe evidencia estadística para no rechazar la hipótesis nula de que las medias de los a tratamientos son iguales.</w:t>
      </w:r>
    </w:p>
    <w:p w:rsidR="00000000" w:rsidRDefault="003B6AE7">
      <w:pPr>
        <w:jc w:val="both"/>
        <w:rPr>
          <w:rFonts w:ascii="Arial" w:hAnsi="Arial"/>
          <w:snapToGrid w:val="0"/>
          <w:sz w:val="24"/>
        </w:rPr>
      </w:pPr>
    </w:p>
    <w:p w:rsidR="00000000" w:rsidRDefault="003B6AE7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</w:rPr>
        <w:pict>
          <v:shape id="_x0000_s1034" type="#_x0000_t202" style="position:absolute;left:0;text-align:left;margin-left:34.65pt;margin-top:3.35pt;width:378pt;height:245.5pt;z-index:-251661824;mso-wrap-edited:f" wrapcoords="-43 0 -43 21600 21643 21600 21643 0 -43 0">
            <v:textbox style="mso-next-textbox:#_x0000_s1034">
              <w:txbxContent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4.8</w:t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tratamientos del factor jornada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 xml:space="preserve"> con respecto a la calificación de lenguaje</w:t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52128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96030" cy="1860550"/>
                        <wp:effectExtent l="0" t="0" r="0" b="0"/>
                        <wp:docPr id="13" name="Objeto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6"/>
                          </a:graphicData>
                        </a:graphic>
                      </wp:inline>
                    </w:drawing>
                  </w:r>
                </w:p>
                <w:p w:rsidR="00000000" w:rsidRDefault="003B6AE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000000" w:rsidRDefault="003B6AE7">
      <w:pPr>
        <w:rPr>
          <w:rFonts w:ascii="Arial" w:hAnsi="Arial"/>
          <w:sz w:val="24"/>
          <w:lang w:val="es-MX"/>
        </w:rPr>
      </w:pPr>
    </w:p>
    <w:p w:rsidR="003B6AE7" w:rsidRDefault="003B6AE7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En </w:t>
      </w:r>
      <w:r>
        <w:rPr>
          <w:rFonts w:ascii="Arial" w:hAnsi="Arial"/>
          <w:sz w:val="24"/>
          <w:lang w:val="es-MX"/>
        </w:rPr>
        <w:t>el gráfico 4.8 se puede apreciar las medias de cada uno de los tratamientos del factor jornada, con respecto a la calificación de la prueba de lenguaje. En el gráfico se puede observar que los planteles educativos que funcionan en jornada vespertina, obtuv</w:t>
      </w:r>
      <w:r>
        <w:rPr>
          <w:rFonts w:ascii="Arial" w:hAnsi="Arial"/>
          <w:sz w:val="24"/>
          <w:lang w:val="es-MX"/>
        </w:rPr>
        <w:t>ieron la más alta media en la calificación de lenguaje.</w:t>
      </w:r>
    </w:p>
    <w:sectPr w:rsidR="003B6AE7">
      <w:headerReference w:type="default" r:id="rId67"/>
      <w:pgSz w:w="11907" w:h="16840" w:code="9"/>
      <w:pgMar w:top="2268" w:right="1361" w:bottom="2268" w:left="2268" w:header="720" w:footer="1441" w:gutter="0"/>
      <w:pgNumType w:start="3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AE7" w:rsidRDefault="003B6AE7">
      <w:r>
        <w:separator/>
      </w:r>
    </w:p>
  </w:endnote>
  <w:endnote w:type="continuationSeparator" w:id="1">
    <w:p w:rsidR="003B6AE7" w:rsidRDefault="003B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AE7" w:rsidRDefault="003B6AE7">
      <w:r>
        <w:separator/>
      </w:r>
    </w:p>
  </w:footnote>
  <w:footnote w:type="continuationSeparator" w:id="1">
    <w:p w:rsidR="003B6AE7" w:rsidRDefault="003B6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6AE7">
    <w:pPr>
      <w:pStyle w:val="Encabezado"/>
      <w:jc w:val="right"/>
      <w:rPr>
        <w:rStyle w:val="Nmerodepgina"/>
        <w:rFonts w:ascii="Arial" w:hAnsi="Arial" w:cs="Arial"/>
      </w:rPr>
    </w:pPr>
  </w:p>
  <w:p w:rsidR="00000000" w:rsidRDefault="003B6AE7">
    <w:pPr>
      <w:pStyle w:val="Encabezado"/>
      <w:jc w:val="right"/>
      <w:rPr>
        <w:rStyle w:val="Nmerodepgina"/>
        <w:rFonts w:ascii="Arial" w:hAnsi="Arial" w:cs="Arial"/>
      </w:rPr>
    </w:pPr>
  </w:p>
  <w:p w:rsidR="00000000" w:rsidRDefault="003B6AE7">
    <w:pPr>
      <w:pStyle w:val="Encabezado"/>
      <w:jc w:val="right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52128C">
      <w:rPr>
        <w:rStyle w:val="Nmerodepgina"/>
        <w:rFonts w:ascii="Arial" w:hAnsi="Arial" w:cs="Arial"/>
        <w:noProof/>
      </w:rPr>
      <w:t>311</w:t>
    </w:r>
    <w:r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772"/>
    <w:multiLevelType w:val="singleLevel"/>
    <w:tmpl w:val="A66CEC5E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A2483F"/>
    <w:multiLevelType w:val="singleLevel"/>
    <w:tmpl w:val="C580732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28C"/>
    <w:rsid w:val="003B6AE7"/>
    <w:rsid w:val="0052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chart" Target="charts/chart1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5.8047493403693931E-2"/>
          <c:y val="0.16022099447513818"/>
          <c:w val="0.88390501319261239"/>
          <c:h val="0.23756906077348075"/>
        </c:manualLayout>
      </c:layout>
      <c:scatterChart>
        <c:scatterStyle val="lineMarker"/>
        <c:ser>
          <c:idx val="0"/>
          <c:order val="0"/>
          <c:tx>
            <c:strRef>
              <c:f>Hoja1!$A$17</c:f>
              <c:strCache>
                <c:ptCount val="1"/>
                <c:pt idx="0">
                  <c:v>Progeso</c:v>
                </c:pt>
              </c:strCache>
            </c:strRef>
          </c:tx>
          <c:spPr>
            <a:ln w="30249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83641160949868099"/>
                  <c:y val="0.29281767955801113"/>
                </c:manualLayout>
              </c:layout>
              <c:dLblPos val="r"/>
              <c:showCatName val="1"/>
            </c:dLbl>
            <c:spPr>
              <a:noFill/>
              <a:ln w="26888">
                <a:noFill/>
              </a:ln>
            </c:spPr>
            <c:txPr>
              <a:bodyPr/>
              <a:lstStyle/>
              <a:p>
                <a:pPr>
                  <a:defRPr sz="108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Hoja1!$B$17</c:f>
              <c:numCache>
                <c:formatCode>General</c:formatCode>
                <c:ptCount val="1"/>
                <c:pt idx="0">
                  <c:v>46.3</c:v>
                </c:pt>
              </c:numCache>
            </c:numRef>
          </c:xVal>
          <c:yVal>
            <c:numRef>
              <c:f>Hoja1!$C$17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Hoja1!$A$18</c:f>
              <c:strCache>
                <c:ptCount val="1"/>
                <c:pt idx="0">
                  <c:v>P. Sabana</c:v>
                </c:pt>
              </c:strCache>
            </c:strRef>
          </c:tx>
          <c:spPr>
            <a:ln w="30249">
              <a:noFill/>
            </a:ln>
          </c:spPr>
          <c:marker>
            <c:symbol val="circle"/>
            <c:size val="5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64643799472295482"/>
                  <c:y val="0.29281767955801113"/>
                </c:manualLayout>
              </c:layout>
              <c:dLblPos val="r"/>
              <c:showCatName val="1"/>
            </c:dLbl>
            <c:spPr>
              <a:noFill/>
              <a:ln w="26888">
                <a:noFill/>
              </a:ln>
            </c:spPr>
            <c:txPr>
              <a:bodyPr/>
              <a:lstStyle/>
              <a:p>
                <a:pPr>
                  <a:defRPr sz="108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Hoja1!$B$18</c:f>
              <c:numCache>
                <c:formatCode>General</c:formatCode>
                <c:ptCount val="1"/>
                <c:pt idx="0">
                  <c:v>45.09</c:v>
                </c:pt>
              </c:numCache>
            </c:numRef>
          </c:xVal>
          <c:yVal>
            <c:numRef>
              <c:f>Hoja1!$C$18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Hoja1!$A$19</c:f>
              <c:strCache>
                <c:ptCount val="1"/>
                <c:pt idx="0">
                  <c:v>Puná</c:v>
                </c:pt>
              </c:strCache>
            </c:strRef>
          </c:tx>
          <c:spPr>
            <a:ln w="30249">
              <a:noFill/>
            </a:ln>
          </c:spPr>
          <c:marker>
            <c:symbol val="x"/>
            <c:size val="5"/>
            <c:spPr>
              <a:solidFill>
                <a:srgbClr val="333333"/>
              </a:solidFill>
              <a:ln>
                <a:solidFill>
                  <a:srgbClr val="808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3482849604221645"/>
                  <c:y val="0.28176795580110486"/>
                </c:manualLayout>
              </c:layout>
              <c:dLblPos val="r"/>
              <c:showCatName val="1"/>
            </c:dLbl>
            <c:spPr>
              <a:noFill/>
              <a:ln w="26888">
                <a:noFill/>
              </a:ln>
            </c:spPr>
            <c:txPr>
              <a:bodyPr/>
              <a:lstStyle/>
              <a:p>
                <a:pPr>
                  <a:defRPr sz="108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Hoja1!$B$19</c:f>
              <c:numCache>
                <c:formatCode>General</c:formatCode>
                <c:ptCount val="1"/>
                <c:pt idx="0">
                  <c:v>42.160000000000011</c:v>
                </c:pt>
              </c:numCache>
            </c:numRef>
          </c:xVal>
          <c:yVal>
            <c:numRef>
              <c:f>Hoja1!$C$18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3"/>
          <c:order val="3"/>
          <c:tx>
            <c:strRef>
              <c:f>Hoja1!$A$20</c:f>
              <c:strCache>
                <c:ptCount val="1"/>
                <c:pt idx="0">
                  <c:v>Posorja</c:v>
                </c:pt>
              </c:strCache>
            </c:strRef>
          </c:tx>
          <c:spPr>
            <a:ln w="30249">
              <a:noFill/>
            </a:ln>
          </c:spPr>
          <c:marker>
            <c:symbol val="triangle"/>
            <c:size val="5"/>
            <c:spPr>
              <a:noFill/>
              <a:ln>
                <a:solidFill>
                  <a:srgbClr val="0033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1345646437994719"/>
                  <c:y val="0.28176795580110486"/>
                </c:manualLayout>
              </c:layout>
              <c:dLblPos val="r"/>
              <c:showCatName val="1"/>
            </c:dLbl>
            <c:spPr>
              <a:noFill/>
              <a:ln w="26888">
                <a:noFill/>
              </a:ln>
            </c:spPr>
            <c:txPr>
              <a:bodyPr/>
              <a:lstStyle/>
              <a:p>
                <a:pPr>
                  <a:defRPr sz="108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Hoja1!$B$20</c:f>
              <c:numCache>
                <c:formatCode>General</c:formatCode>
                <c:ptCount val="1"/>
                <c:pt idx="0">
                  <c:v>42.3</c:v>
                </c:pt>
              </c:numCache>
            </c:numRef>
          </c:xVal>
          <c:yVal>
            <c:numRef>
              <c:f>Hoja1!$C$20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4"/>
          <c:order val="4"/>
          <c:tx>
            <c:strRef>
              <c:f>Hoja1!$A$21</c:f>
              <c:strCache>
                <c:ptCount val="1"/>
                <c:pt idx="0">
                  <c:v>Tenguel</c:v>
                </c:pt>
              </c:strCache>
            </c:strRef>
          </c:tx>
          <c:spPr>
            <a:ln w="30249">
              <a:noFill/>
            </a:ln>
          </c:spPr>
          <c:marker>
            <c:symbol val="square"/>
            <c:size val="5"/>
            <c:spPr>
              <a:noFill/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37994722955145127"/>
                  <c:y val="0.28176795580110486"/>
                </c:manualLayout>
              </c:layout>
              <c:dLblPos val="r"/>
              <c:showCatName val="1"/>
            </c:dLbl>
            <c:spPr>
              <a:noFill/>
              <a:ln w="26888">
                <a:noFill/>
              </a:ln>
            </c:spPr>
            <c:txPr>
              <a:bodyPr/>
              <a:lstStyle/>
              <a:p>
                <a:pPr>
                  <a:defRPr sz="108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Hoja1!$B$21</c:f>
              <c:numCache>
                <c:formatCode>General</c:formatCode>
                <c:ptCount val="1"/>
                <c:pt idx="0">
                  <c:v>43.07</c:v>
                </c:pt>
              </c:numCache>
            </c:numRef>
          </c:xVal>
          <c:yVal>
            <c:numRef>
              <c:f>Hoja1!$C$21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24243968"/>
        <c:axId val="124245504"/>
      </c:scatterChart>
      <c:valAx>
        <c:axId val="124243968"/>
        <c:scaling>
          <c:orientation val="minMax"/>
          <c:max val="47"/>
          <c:min val="41"/>
        </c:scaling>
        <c:axPos val="b"/>
        <c:numFmt formatCode="General" sourceLinked="1"/>
        <c:tickLblPos val="nextTo"/>
        <c:spPr>
          <a:ln w="33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4245504"/>
        <c:crosses val="autoZero"/>
        <c:crossBetween val="midCat"/>
      </c:valAx>
      <c:valAx>
        <c:axId val="124245504"/>
        <c:scaling>
          <c:orientation val="minMax"/>
        </c:scaling>
        <c:delete val="1"/>
        <c:axPos val="l"/>
        <c:numFmt formatCode="General" sourceLinked="1"/>
        <c:tickLblPos val="nextTo"/>
        <c:crossAx val="124243968"/>
        <c:crosses val="autoZero"/>
        <c:crossBetween val="midCat"/>
      </c:valAx>
      <c:spPr>
        <a:noFill/>
        <a:ln w="26888">
          <a:noFill/>
        </a:ln>
      </c:spPr>
    </c:plotArea>
    <c:legend>
      <c:legendPos val="b"/>
      <c:layout>
        <c:manualLayout>
          <c:xMode val="edge"/>
          <c:yMode val="edge"/>
          <c:x val="3.6939313984168887E-2"/>
          <c:y val="0.70165745856353634"/>
          <c:w val="0.9366754617414248"/>
          <c:h val="0.28729281767955811"/>
        </c:manualLayout>
      </c:layout>
      <c:spPr>
        <a:solidFill>
          <a:srgbClr val="FFFFFF"/>
        </a:solidFill>
        <a:ln w="3361">
          <a:solidFill>
            <a:srgbClr val="000000"/>
          </a:solidFill>
          <a:prstDash val="solid"/>
        </a:ln>
      </c:spPr>
      <c:txPr>
        <a:bodyPr/>
        <a:lstStyle/>
        <a:p>
          <a:pPr>
            <a:defRPr sz="97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361">
      <a:solidFill>
        <a:srgbClr val="000000"/>
      </a:solidFill>
      <a:prstDash val="solid"/>
    </a:ln>
  </c:spPr>
  <c:txPr>
    <a:bodyPr/>
    <a:lstStyle/>
    <a:p>
      <a:pPr>
        <a:defRPr sz="97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plotArea>
      <c:layout>
        <c:manualLayout>
          <c:layoutTarget val="inner"/>
          <c:xMode val="edge"/>
          <c:yMode val="edge"/>
          <c:x val="0.13180515759312325"/>
          <c:y val="0.38750000000000012"/>
          <c:w val="0.76790830945558775"/>
          <c:h val="0.14375000000000004"/>
        </c:manualLayout>
      </c:layout>
      <c:scatterChart>
        <c:scatterStyle val="lineMarker"/>
        <c:ser>
          <c:idx val="0"/>
          <c:order val="0"/>
          <c:tx>
            <c:strRef>
              <c:f>Hoja1!$A$31</c:f>
              <c:strCache>
                <c:ptCount val="1"/>
                <c:pt idx="0">
                  <c:v>Matutina</c:v>
                </c:pt>
              </c:strCache>
            </c:strRef>
          </c:tx>
          <c:spPr>
            <a:ln w="3016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5157593123209171"/>
                  <c:y val="0.35625000000000001"/>
                </c:manualLayout>
              </c:layout>
              <c:dLblPos val="r"/>
              <c:showCatName val="1"/>
            </c:dLbl>
            <c:spPr>
              <a:noFill/>
              <a:ln w="26813">
                <a:noFill/>
              </a:ln>
            </c:spPr>
            <c:txPr>
              <a:bodyPr/>
              <a:lstStyle/>
              <a:p>
                <a:pPr>
                  <a:defRPr sz="100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Hoja1!$B$31</c:f>
              <c:numCache>
                <c:formatCode>General</c:formatCode>
                <c:ptCount val="1"/>
                <c:pt idx="0">
                  <c:v>43.8</c:v>
                </c:pt>
              </c:numCache>
            </c:numRef>
          </c:xVal>
          <c:yVal>
            <c:numRef>
              <c:f>Hoja1!$C$31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Hoja1!$A$32</c:f>
              <c:strCache>
                <c:ptCount val="1"/>
                <c:pt idx="0">
                  <c:v>Vespertina</c:v>
                </c:pt>
              </c:strCache>
            </c:strRef>
          </c:tx>
          <c:spPr>
            <a:ln w="30165">
              <a:noFill/>
            </a:ln>
          </c:spPr>
          <c:marker>
            <c:symbol val="square"/>
            <c:size val="5"/>
            <c:spPr>
              <a:solidFill>
                <a:srgbClr val="808080"/>
              </a:solidFill>
              <a:ln>
                <a:solidFill>
                  <a:srgbClr val="808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70487106017191981"/>
                  <c:y val="0.35625000000000001"/>
                </c:manualLayout>
              </c:layout>
              <c:spPr>
                <a:noFill/>
                <a:ln w="26813">
                  <a:noFill/>
                </a:ln>
              </c:spPr>
              <c:txPr>
                <a:bodyPr/>
                <a:lstStyle/>
                <a:p>
                  <a:pPr>
                    <a:defRPr sz="1003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ES"/>
                </a:p>
              </c:txPr>
              <c:dLblPos val="r"/>
              <c:showCatName val="1"/>
            </c:dLbl>
            <c:spPr>
              <a:noFill/>
              <a:ln w="26813">
                <a:noFill/>
              </a:ln>
            </c:spPr>
            <c:txPr>
              <a:bodyPr/>
              <a:lstStyle/>
              <a:p>
                <a:pPr>
                  <a:defRPr sz="110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Hoja1!$B$32</c:f>
              <c:numCache>
                <c:formatCode>General</c:formatCode>
                <c:ptCount val="1"/>
                <c:pt idx="0">
                  <c:v>45.120000000000012</c:v>
                </c:pt>
              </c:numCache>
            </c:numRef>
          </c:xVal>
          <c:yVal>
            <c:numRef>
              <c:f>Hoja1!$C$32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Hoja1!$A$33</c:f>
              <c:strCache>
                <c:ptCount val="1"/>
                <c:pt idx="0">
                  <c:v>Nocturna</c:v>
                </c:pt>
              </c:strCache>
            </c:strRef>
          </c:tx>
          <c:spPr>
            <a:ln w="30165">
              <a:noFill/>
            </a:ln>
          </c:spPr>
          <c:marker>
            <c:symbol val="triangle"/>
            <c:size val="5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0916905444126083"/>
                  <c:y val="0.35625000000000001"/>
                </c:manualLayout>
              </c:layout>
              <c:dLblPos val="r"/>
              <c:showCatName val="1"/>
            </c:dLbl>
            <c:spPr>
              <a:noFill/>
              <a:ln w="26813">
                <a:noFill/>
              </a:ln>
            </c:spPr>
            <c:txPr>
              <a:bodyPr/>
              <a:lstStyle/>
              <a:p>
                <a:pPr>
                  <a:defRPr sz="100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Hoja1!$B$33</c:f>
              <c:numCache>
                <c:formatCode>General</c:formatCode>
                <c:ptCount val="1"/>
                <c:pt idx="0">
                  <c:v>42.02</c:v>
                </c:pt>
              </c:numCache>
            </c:numRef>
          </c:xVal>
          <c:yVal>
            <c:numRef>
              <c:f>Hoja1!$C$33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24096512"/>
        <c:axId val="124098048"/>
      </c:scatterChart>
      <c:valAx>
        <c:axId val="124096512"/>
        <c:scaling>
          <c:orientation val="minMax"/>
        </c:scaling>
        <c:axPos val="b"/>
        <c:numFmt formatCode="General" sourceLinked="1"/>
        <c:tickLblPos val="nextTo"/>
        <c:spPr>
          <a:ln w="33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4098048"/>
        <c:crosses val="autoZero"/>
        <c:crossBetween val="midCat"/>
      </c:valAx>
      <c:valAx>
        <c:axId val="124098048"/>
        <c:scaling>
          <c:orientation val="minMax"/>
        </c:scaling>
        <c:delete val="1"/>
        <c:axPos val="l"/>
        <c:numFmt formatCode="General" sourceLinked="1"/>
        <c:tickLblPos val="nextTo"/>
        <c:crossAx val="124096512"/>
        <c:crosses val="autoZero"/>
        <c:crossBetween val="midCat"/>
      </c:valAx>
      <c:spPr>
        <a:noFill/>
        <a:ln w="26813">
          <a:noFill/>
        </a:ln>
      </c:spPr>
    </c:plotArea>
    <c:legend>
      <c:legendPos val="b"/>
      <c:layout>
        <c:manualLayout>
          <c:xMode val="edge"/>
          <c:yMode val="edge"/>
          <c:x val="0.18624641833810895"/>
          <c:y val="0.80625000000000002"/>
          <c:w val="0.6762177650429797"/>
          <c:h val="0.15000000000000005"/>
        </c:manualLayout>
      </c:layout>
      <c:spPr>
        <a:solidFill>
          <a:srgbClr val="FFFFFF"/>
        </a:solidFill>
        <a:ln w="3352">
          <a:solidFill>
            <a:srgbClr val="000000"/>
          </a:solidFill>
          <a:prstDash val="solid"/>
        </a:ln>
      </c:spPr>
      <c:txPr>
        <a:bodyPr/>
        <a:lstStyle/>
        <a:p>
          <a:pPr>
            <a:defRPr sz="97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352">
      <a:solidFill>
        <a:srgbClr val="000000"/>
      </a:solidFill>
      <a:prstDash val="solid"/>
    </a:ln>
  </c:spPr>
  <c:txPr>
    <a:bodyPr/>
    <a:lstStyle/>
    <a:p>
      <a:pPr>
        <a:defRPr sz="8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</Company>
  <LinksUpToDate>false</LinksUpToDate>
  <CharactersWithSpaces>11809</CharactersWithSpaces>
  <SharedDoc>false</SharedDoc>
  <HLinks>
    <vt:vector size="18" baseType="variant"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_Toc513608482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_Toc513608480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_Toc513608479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fepol</dc:creator>
  <cp:keywords/>
  <cp:lastModifiedBy>Ayudante</cp:lastModifiedBy>
  <cp:revision>2</cp:revision>
  <cp:lastPrinted>2001-05-29T04:08:00Z</cp:lastPrinted>
  <dcterms:created xsi:type="dcterms:W3CDTF">2009-06-29T18:41:00Z</dcterms:created>
  <dcterms:modified xsi:type="dcterms:W3CDTF">2009-06-29T18:41:00Z</dcterms:modified>
</cp:coreProperties>
</file>