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4D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CAPÍTULO V</w:t>
      </w:r>
    </w:p>
    <w:p w:rsidR="00000000" w:rsidRDefault="002354D6">
      <w:pPr>
        <w:numPr>
          <w:ilvl w:val="0"/>
          <w:numId w:val="31"/>
        </w:num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CONCLUSIONES Y </w:t>
      </w:r>
      <w:r>
        <w:rPr>
          <w:rFonts w:ascii="Arial" w:hAnsi="Arial" w:cs="Arial"/>
          <w:b/>
          <w:sz w:val="28"/>
          <w:szCs w:val="28"/>
        </w:rPr>
        <w:t>RECOMENDACIONES</w:t>
      </w:r>
    </w:p>
    <w:p w:rsidR="00000000" w:rsidRDefault="002354D6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2354D6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Conclusiones </w:t>
      </w:r>
    </w:p>
    <w:p w:rsidR="00000000" w:rsidRDefault="002354D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momento de realizar el respectivo diseño muestral, fue necesario utilizar muestreo estatificado, pues se determino dos importantes estratos, los colegios fiscales y los particulares. 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consultar </w:t>
      </w:r>
      <w:r>
        <w:rPr>
          <w:rFonts w:ascii="Arial" w:hAnsi="Arial" w:cs="Arial"/>
        </w:rPr>
        <w:t>a los estudiantes acerca del temor al sobrepeso, más de la tercera parte respondieron que siempre tienen temor a pesar demasiado, esto evidencia un trastorno en la conducta alimentaria de los mismos.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consultar a los estudiantes sobre la forma de ingerir</w:t>
      </w:r>
      <w:r>
        <w:rPr>
          <w:rFonts w:ascii="Arial" w:hAnsi="Arial" w:cs="Arial"/>
        </w:rPr>
        <w:t xml:space="preserve"> los alimentos, aproximadamente la cuarta parte respondieron que nunca cortan los alimentos en trozos pequeños antes de comer, por esto se los podría considerar como comedores compulsivos.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consultar a los estudiantes acerca de la atención que prestan a </w:t>
      </w:r>
      <w:r>
        <w:rPr>
          <w:rFonts w:ascii="Arial" w:hAnsi="Arial" w:cs="Arial"/>
        </w:rPr>
        <w:t>las calorías en los alimentos que ingieren, aproximadamente la tercera parte respondieron que siempre toman en cuenta esto, esta actitud se podría considerar como un trastorno alimenticio.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 consultar a los estudiantes acerca de sentir llenura después de </w:t>
      </w:r>
      <w:r>
        <w:rPr>
          <w:rFonts w:ascii="Arial" w:hAnsi="Arial" w:cs="Arial"/>
        </w:rPr>
        <w:t>comer, la mayoría respondieron que siempre sienten esto, entonces se los podría considerar como comedores compulsivos.</w:t>
      </w:r>
    </w:p>
    <w:p w:rsidR="00000000" w:rsidRDefault="002354D6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consultar a los estudiantes acerca de la preocupación por estar más delgado, aproximadamente la tercera parte asegura que siempre sie</w:t>
      </w:r>
      <w:r>
        <w:rPr>
          <w:rFonts w:ascii="Arial" w:hAnsi="Arial" w:cs="Arial"/>
        </w:rPr>
        <w:t xml:space="preserve">nte preocupación por esto, esta posición se podría considerar una conducta con tendencia a la delgadez. </w:t>
      </w:r>
    </w:p>
    <w:p w:rsidR="00000000" w:rsidRDefault="002354D6">
      <w:pPr>
        <w:spacing w:line="480" w:lineRule="auto"/>
        <w:jc w:val="both"/>
        <w:rPr>
          <w:rFonts w:ascii="Arial" w:hAnsi="Arial" w:cs="Arial"/>
        </w:rPr>
      </w:pP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consultar a l</w:t>
      </w:r>
      <w:r>
        <w:rPr>
          <w:rFonts w:ascii="Arial" w:hAnsi="Arial" w:cs="Arial"/>
        </w:rPr>
        <w:t>os estudiantes sobre el gusto d</w:t>
      </w:r>
      <w:r>
        <w:rPr>
          <w:rFonts w:ascii="Arial" w:hAnsi="Arial" w:cs="Arial"/>
        </w:rPr>
        <w:t>e probar comidas nuevas y sabrosas</w:t>
      </w:r>
      <w:r>
        <w:rPr>
          <w:rFonts w:ascii="Arial" w:hAnsi="Arial" w:cs="Arial"/>
        </w:rPr>
        <w:t xml:space="preserve"> mas de la mitad </w:t>
      </w:r>
      <w:r>
        <w:rPr>
          <w:rFonts w:ascii="Arial" w:hAnsi="Arial" w:cs="Arial"/>
        </w:rPr>
        <w:t>respondió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siempre lo hac</w:t>
      </w:r>
      <w:r>
        <w:rPr>
          <w:rFonts w:ascii="Arial" w:hAnsi="Arial" w:cs="Arial"/>
        </w:rPr>
        <w:t>ía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demostrando </w:t>
      </w:r>
      <w:r>
        <w:rPr>
          <w:rFonts w:ascii="Arial" w:hAnsi="Arial" w:cs="Arial"/>
        </w:rPr>
        <w:t>que existe gra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cantidad </w:t>
      </w:r>
      <w:r>
        <w:rPr>
          <w:rFonts w:ascii="Arial" w:hAnsi="Arial" w:cs="Arial"/>
        </w:rPr>
        <w:t xml:space="preserve">de estudiantes que no presentan un porcentaje alarmante de </w:t>
      </w:r>
      <w:r>
        <w:rPr>
          <w:rFonts w:ascii="Arial" w:hAnsi="Arial" w:cs="Arial"/>
        </w:rPr>
        <w:t>adquirir un trastorno.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resultó útil aplicar la técnica de componentes principales pues se alcanzó a explicar solo un 26.3% de la variación total con las 2 primeras compone</w:t>
      </w:r>
      <w:r>
        <w:rPr>
          <w:rFonts w:ascii="Arial" w:hAnsi="Arial" w:cs="Arial"/>
        </w:rPr>
        <w:t>ntes, por esto se procedió a utilizar otra técnica estadística que permita extraer información multivariada.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utilizar el análisis de correlación canónica, entre las variables correspondientes a los grupos Imagen Corporal y Reacciones delicadas y en base</w:t>
      </w:r>
      <w:r>
        <w:rPr>
          <w:rFonts w:ascii="Arial" w:hAnsi="Arial" w:cs="Arial"/>
        </w:rPr>
        <w:t xml:space="preserve"> al coeficiente de correlación canónica se estableció una  relación que resulta congruente a conductas habituales de las personas que padecen trastornos alimenticios.   </w:t>
      </w:r>
    </w:p>
    <w:p w:rsidR="00000000" w:rsidRDefault="002354D6">
      <w:pPr>
        <w:spacing w:line="480" w:lineRule="auto"/>
        <w:jc w:val="both"/>
        <w:rPr>
          <w:rFonts w:ascii="Arial" w:hAnsi="Arial" w:cs="Arial"/>
        </w:rPr>
      </w:pPr>
    </w:p>
    <w:p w:rsidR="00000000" w:rsidRDefault="002354D6">
      <w:pPr>
        <w:spacing w:line="480" w:lineRule="auto"/>
        <w:ind w:left="360"/>
        <w:jc w:val="both"/>
        <w:rPr>
          <w:rFonts w:ascii="Arial" w:hAnsi="Arial" w:cs="Arial"/>
          <w:b/>
          <w:szCs w:val="28"/>
        </w:rPr>
      </w:pPr>
    </w:p>
    <w:p w:rsidR="00000000" w:rsidRDefault="002354D6">
      <w:pPr>
        <w:numPr>
          <w:ilvl w:val="1"/>
          <w:numId w:val="31"/>
        </w:numPr>
        <w:spacing w:line="480" w:lineRule="auto"/>
        <w:ind w:left="79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t xml:space="preserve"> Recomendaciones</w:t>
      </w:r>
    </w:p>
    <w:p w:rsidR="00000000" w:rsidRDefault="002354D6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imprescindible continuar trabajos de investigación en esta</w:t>
      </w:r>
      <w:r>
        <w:rPr>
          <w:rFonts w:ascii="Arial" w:hAnsi="Arial" w:cs="Arial"/>
        </w:rPr>
        <w:t xml:space="preserve"> temática, pues existen muchas otras técnicas y métodos estadísticos que podrían ser utilizados para el estudio de los trastornos alimenticios.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la información obtenida como guía para enfocarse sobre aquellas variables que inciden más en la conduct</w:t>
      </w:r>
      <w:r>
        <w:rPr>
          <w:rFonts w:ascii="Arial" w:hAnsi="Arial" w:cs="Arial"/>
        </w:rPr>
        <w:t xml:space="preserve">a alimentaria de los estudiantes </w:t>
      </w:r>
    </w:p>
    <w:p w:rsidR="00000000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Continuar con estudios que permitan encontrar otros factores que influyan sobre la conducta alimentaria, por ejemplo incluyendo variables de tipo cuantitativo.</w:t>
      </w:r>
    </w:p>
    <w:p w:rsidR="002354D6" w:rsidRDefault="002354D6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Por esta razón el mejor tratamiento implica la prevención de e</w:t>
      </w:r>
      <w:r>
        <w:rPr>
          <w:rFonts w:ascii="Arial" w:hAnsi="Arial" w:cs="Arial"/>
          <w:color w:val="000000"/>
        </w:rPr>
        <w:t>stas complicaciones.</w:t>
      </w:r>
    </w:p>
    <w:sectPr w:rsidR="002354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68" w:right="1361" w:bottom="2268" w:left="2268" w:header="709" w:footer="709" w:gutter="0"/>
      <w:pgNumType w:start="1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D6" w:rsidRDefault="002354D6">
      <w:r>
        <w:separator/>
      </w:r>
    </w:p>
  </w:endnote>
  <w:endnote w:type="continuationSeparator" w:id="1">
    <w:p w:rsidR="002354D6" w:rsidRDefault="0023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54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354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54D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D6" w:rsidRDefault="002354D6">
      <w:r>
        <w:separator/>
      </w:r>
    </w:p>
  </w:footnote>
  <w:footnote w:type="continuationSeparator" w:id="1">
    <w:p w:rsidR="002354D6" w:rsidRDefault="0023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54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354D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54D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EA6"/>
    <w:multiLevelType w:val="multilevel"/>
    <w:tmpl w:val="7818A95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2608" w:hanging="18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865AD8"/>
    <w:multiLevelType w:val="multilevel"/>
    <w:tmpl w:val="7EE6DA10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27265E"/>
    <w:multiLevelType w:val="multilevel"/>
    <w:tmpl w:val="7958924C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1361" w:hanging="6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6A740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94385B"/>
    <w:multiLevelType w:val="multilevel"/>
    <w:tmpl w:val="BEA0A6EC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B965C2"/>
    <w:multiLevelType w:val="multilevel"/>
    <w:tmpl w:val="125251B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737" w:hanging="1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2B75B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FF59CA"/>
    <w:multiLevelType w:val="multilevel"/>
    <w:tmpl w:val="6B88ACC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F0E0CC4"/>
    <w:multiLevelType w:val="multilevel"/>
    <w:tmpl w:val="A5B0013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0382912"/>
    <w:multiLevelType w:val="multilevel"/>
    <w:tmpl w:val="AE96427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87E0226"/>
    <w:multiLevelType w:val="multilevel"/>
    <w:tmpl w:val="1BDE6A3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373749"/>
    <w:multiLevelType w:val="multilevel"/>
    <w:tmpl w:val="26FC0F9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C084483"/>
    <w:multiLevelType w:val="multilevel"/>
    <w:tmpl w:val="FF88B33C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C5A11A1"/>
    <w:multiLevelType w:val="hybridMultilevel"/>
    <w:tmpl w:val="400EDE1A"/>
    <w:lvl w:ilvl="0" w:tplc="2BBC106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23E06">
      <w:numFmt w:val="none"/>
      <w:lvlText w:val=""/>
      <w:lvlJc w:val="left"/>
      <w:pPr>
        <w:tabs>
          <w:tab w:val="num" w:pos="360"/>
        </w:tabs>
      </w:pPr>
    </w:lvl>
    <w:lvl w:ilvl="2" w:tplc="F3302820">
      <w:numFmt w:val="none"/>
      <w:lvlText w:val=""/>
      <w:lvlJc w:val="left"/>
      <w:pPr>
        <w:tabs>
          <w:tab w:val="num" w:pos="360"/>
        </w:tabs>
      </w:pPr>
    </w:lvl>
    <w:lvl w:ilvl="3" w:tplc="CA907852">
      <w:numFmt w:val="none"/>
      <w:lvlText w:val=""/>
      <w:lvlJc w:val="left"/>
      <w:pPr>
        <w:tabs>
          <w:tab w:val="num" w:pos="360"/>
        </w:tabs>
      </w:pPr>
    </w:lvl>
    <w:lvl w:ilvl="4" w:tplc="5AA4C5C4">
      <w:numFmt w:val="none"/>
      <w:lvlText w:val=""/>
      <w:lvlJc w:val="left"/>
      <w:pPr>
        <w:tabs>
          <w:tab w:val="num" w:pos="360"/>
        </w:tabs>
      </w:pPr>
    </w:lvl>
    <w:lvl w:ilvl="5" w:tplc="631479A0">
      <w:numFmt w:val="none"/>
      <w:lvlText w:val=""/>
      <w:lvlJc w:val="left"/>
      <w:pPr>
        <w:tabs>
          <w:tab w:val="num" w:pos="360"/>
        </w:tabs>
      </w:pPr>
    </w:lvl>
    <w:lvl w:ilvl="6" w:tplc="66FE98B4">
      <w:numFmt w:val="none"/>
      <w:lvlText w:val=""/>
      <w:lvlJc w:val="left"/>
      <w:pPr>
        <w:tabs>
          <w:tab w:val="num" w:pos="360"/>
        </w:tabs>
      </w:pPr>
    </w:lvl>
    <w:lvl w:ilvl="7" w:tplc="AC501962">
      <w:numFmt w:val="none"/>
      <w:lvlText w:val=""/>
      <w:lvlJc w:val="left"/>
      <w:pPr>
        <w:tabs>
          <w:tab w:val="num" w:pos="360"/>
        </w:tabs>
      </w:pPr>
    </w:lvl>
    <w:lvl w:ilvl="8" w:tplc="421815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C73F5A"/>
    <w:multiLevelType w:val="multilevel"/>
    <w:tmpl w:val="013EEAE2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933D5D"/>
    <w:multiLevelType w:val="multilevel"/>
    <w:tmpl w:val="B062524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BD6049E"/>
    <w:multiLevelType w:val="multilevel"/>
    <w:tmpl w:val="3EF0DE3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361" w:hanging="6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F3904AF"/>
    <w:multiLevelType w:val="multilevel"/>
    <w:tmpl w:val="81F88C9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928" w:hanging="120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60B2D72"/>
    <w:multiLevelType w:val="multilevel"/>
    <w:tmpl w:val="AB68689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8544FB2"/>
    <w:multiLevelType w:val="multilevel"/>
    <w:tmpl w:val="8462424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C422AEA"/>
    <w:multiLevelType w:val="multilevel"/>
    <w:tmpl w:val="9D8ECD8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3C7298"/>
    <w:multiLevelType w:val="hybridMultilevel"/>
    <w:tmpl w:val="015EE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7E488A"/>
    <w:multiLevelType w:val="multilevel"/>
    <w:tmpl w:val="292A7540"/>
    <w:lvl w:ilvl="0">
      <w:start w:val="3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>
    <w:nsid w:val="65A53D65"/>
    <w:multiLevelType w:val="multilevel"/>
    <w:tmpl w:val="A656C288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8D329D0"/>
    <w:multiLevelType w:val="multilevel"/>
    <w:tmpl w:val="EEA264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690F2A30"/>
    <w:multiLevelType w:val="multilevel"/>
    <w:tmpl w:val="E80E1388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93F6912"/>
    <w:multiLevelType w:val="multilevel"/>
    <w:tmpl w:val="B5E824A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AAA4165"/>
    <w:multiLevelType w:val="multilevel"/>
    <w:tmpl w:val="B420C2C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794" w:hanging="7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B6D0A33"/>
    <w:multiLevelType w:val="multilevel"/>
    <w:tmpl w:val="E37A538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361" w:hanging="6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3491914"/>
    <w:multiLevelType w:val="multilevel"/>
    <w:tmpl w:val="404C222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9910C39"/>
    <w:multiLevelType w:val="multilevel"/>
    <w:tmpl w:val="1BDE6A3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6"/>
  </w:num>
  <w:num w:numId="5">
    <w:abstractNumId w:val="29"/>
  </w:num>
  <w:num w:numId="6">
    <w:abstractNumId w:val="30"/>
  </w:num>
  <w:num w:numId="7">
    <w:abstractNumId w:val="22"/>
  </w:num>
  <w:num w:numId="8">
    <w:abstractNumId w:val="10"/>
  </w:num>
  <w:num w:numId="9">
    <w:abstractNumId w:val="14"/>
  </w:num>
  <w:num w:numId="10">
    <w:abstractNumId w:val="23"/>
  </w:num>
  <w:num w:numId="11">
    <w:abstractNumId w:val="25"/>
  </w:num>
  <w:num w:numId="12">
    <w:abstractNumId w:val="7"/>
  </w:num>
  <w:num w:numId="13">
    <w:abstractNumId w:val="19"/>
  </w:num>
  <w:num w:numId="14">
    <w:abstractNumId w:val="24"/>
  </w:num>
  <w:num w:numId="15">
    <w:abstractNumId w:val="8"/>
  </w:num>
  <w:num w:numId="16">
    <w:abstractNumId w:val="26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0"/>
  </w:num>
  <w:num w:numId="23">
    <w:abstractNumId w:val="17"/>
  </w:num>
  <w:num w:numId="24">
    <w:abstractNumId w:val="16"/>
  </w:num>
  <w:num w:numId="25">
    <w:abstractNumId w:val="28"/>
  </w:num>
  <w:num w:numId="26">
    <w:abstractNumId w:val="2"/>
  </w:num>
  <w:num w:numId="27">
    <w:abstractNumId w:val="1"/>
  </w:num>
  <w:num w:numId="28">
    <w:abstractNumId w:val="27"/>
  </w:num>
  <w:num w:numId="29">
    <w:abstractNumId w:val="5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202"/>
    <w:rsid w:val="002354D6"/>
    <w:rsid w:val="00B3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360"/>
      <w:jc w:val="both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4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</dc:title>
  <dc:subject/>
  <dc:creator>ARELLANO</dc:creator>
  <cp:keywords/>
  <dc:description/>
  <cp:lastModifiedBy>Ayudante</cp:lastModifiedBy>
  <cp:revision>2</cp:revision>
  <cp:lastPrinted>2007-01-29T15:45:00Z</cp:lastPrinted>
  <dcterms:created xsi:type="dcterms:W3CDTF">2009-07-01T14:01:00Z</dcterms:created>
  <dcterms:modified xsi:type="dcterms:W3CDTF">2009-07-01T14:01:00Z</dcterms:modified>
</cp:coreProperties>
</file>