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1132D">
      <w:pPr>
        <w:jc w:val="both"/>
        <w:rPr>
          <w:rFonts w:ascii="Arial" w:hAnsi="Arial"/>
          <w:b/>
          <w:sz w:val="22"/>
        </w:rPr>
      </w:pPr>
      <w:r>
        <w:rPr>
          <w:rFonts w:ascii="Arial" w:hAnsi="Arial"/>
          <w:b/>
          <w:sz w:val="28"/>
        </w:rPr>
        <w:t>"Determinación del nivel de conocimientos de matemáticas y lenguaje, de los alumnos del décimo año de educación básica, de los colegios fiscales urbanos del cantón Guayaquil: Un enfoque estadístico"</w:t>
      </w:r>
    </w:p>
    <w:p w:rsidR="00000000" w:rsidRDefault="0051132D">
      <w:pPr>
        <w:rPr>
          <w:rFonts w:ascii="Arial" w:hAnsi="Arial"/>
        </w:rPr>
      </w:pPr>
    </w:p>
    <w:p w:rsidR="00000000" w:rsidRDefault="0051132D">
      <w:pPr>
        <w:rPr>
          <w:rFonts w:ascii="Arial" w:hAnsi="Arial"/>
          <w:sz w:val="24"/>
        </w:rPr>
      </w:pPr>
      <w:r>
        <w:rPr>
          <w:rFonts w:ascii="Arial" w:hAnsi="Arial"/>
          <w:sz w:val="24"/>
        </w:rPr>
        <w:t>Félix Genaro Cabezas García</w:t>
      </w:r>
      <w:r>
        <w:rPr>
          <w:rStyle w:val="Refdenotaalpie"/>
          <w:rFonts w:ascii="Arial" w:hAnsi="Arial"/>
          <w:sz w:val="24"/>
        </w:rPr>
        <w:footnoteReference w:id="2"/>
      </w:r>
      <w:r>
        <w:rPr>
          <w:rFonts w:ascii="Arial" w:hAnsi="Arial"/>
          <w:sz w:val="24"/>
        </w:rPr>
        <w:t xml:space="preserve">, </w:t>
      </w:r>
      <w:r>
        <w:rPr>
          <w:rFonts w:ascii="Arial" w:hAnsi="Arial"/>
          <w:sz w:val="24"/>
        </w:rPr>
        <w:t xml:space="preserve">Gaudencio Zurita </w:t>
      </w:r>
      <w:r>
        <w:rPr>
          <w:rFonts w:ascii="Arial" w:hAnsi="Arial"/>
          <w:sz w:val="24"/>
        </w:rPr>
        <w:t>Herrera</w:t>
      </w:r>
      <w:r>
        <w:rPr>
          <w:rStyle w:val="Refdenotaalpie"/>
          <w:rFonts w:ascii="Arial" w:hAnsi="Arial"/>
          <w:sz w:val="24"/>
        </w:rPr>
        <w:footnoteReference w:id="3"/>
      </w:r>
    </w:p>
    <w:p w:rsidR="00000000" w:rsidRDefault="0051132D">
      <w:pPr>
        <w:rPr>
          <w:rFonts w:ascii="Arial" w:hAnsi="Arial"/>
        </w:rPr>
      </w:pPr>
    </w:p>
    <w:p w:rsidR="00000000" w:rsidRDefault="0051132D">
      <w:pPr>
        <w:jc w:val="both"/>
        <w:rPr>
          <w:rFonts w:ascii="Arial" w:hAnsi="Arial"/>
          <w:sz w:val="24"/>
        </w:rPr>
      </w:pPr>
    </w:p>
    <w:p w:rsidR="00000000" w:rsidRDefault="0051132D">
      <w:pPr>
        <w:jc w:val="both"/>
        <w:rPr>
          <w:rFonts w:ascii="Arial" w:hAnsi="Arial"/>
          <w:b/>
          <w:sz w:val="32"/>
        </w:rPr>
      </w:pPr>
      <w:r>
        <w:rPr>
          <w:rFonts w:ascii="Arial" w:hAnsi="Arial"/>
          <w:b/>
          <w:sz w:val="32"/>
        </w:rPr>
        <w:t>Resumen</w:t>
      </w:r>
    </w:p>
    <w:p w:rsidR="00000000" w:rsidRDefault="0051132D">
      <w:pPr>
        <w:jc w:val="both"/>
        <w:rPr>
          <w:rFonts w:ascii="Arial" w:hAnsi="Arial"/>
          <w:sz w:val="24"/>
        </w:rPr>
      </w:pPr>
      <w:r>
        <w:rPr>
          <w:rFonts w:ascii="Arial" w:hAnsi="Arial"/>
          <w:sz w:val="24"/>
        </w:rPr>
        <w:t>En el presente artículo se realizará un estudio que determinará estadísticamente que tanto conocimientos adquieren los estudiantes en las áreas de matemáticas y lenguaje hasta llegar al ciclo básico del colegio, específicamente se determ</w:t>
      </w:r>
      <w:r>
        <w:rPr>
          <w:rFonts w:ascii="Arial" w:hAnsi="Arial"/>
          <w:sz w:val="24"/>
        </w:rPr>
        <w:t>inará cuánto saben los alumnos del décimo año de educación básica de los colegios fiscales urbanos del cantón Guayaquil.</w:t>
      </w:r>
    </w:p>
    <w:p w:rsidR="00000000" w:rsidRDefault="0051132D">
      <w:pPr>
        <w:jc w:val="both"/>
        <w:rPr>
          <w:rFonts w:ascii="Arial" w:hAnsi="Arial"/>
          <w:sz w:val="24"/>
        </w:rPr>
      </w:pPr>
    </w:p>
    <w:p w:rsidR="00000000" w:rsidRDefault="0051132D">
      <w:pPr>
        <w:jc w:val="both"/>
        <w:rPr>
          <w:rFonts w:ascii="Arial" w:hAnsi="Arial"/>
          <w:sz w:val="24"/>
        </w:rPr>
      </w:pPr>
    </w:p>
    <w:p w:rsidR="00000000" w:rsidRDefault="0051132D">
      <w:pPr>
        <w:jc w:val="both"/>
        <w:rPr>
          <w:rFonts w:ascii="Arial" w:hAnsi="Arial"/>
          <w:sz w:val="24"/>
        </w:rPr>
      </w:pPr>
      <w:r>
        <w:rPr>
          <w:rFonts w:ascii="Arial" w:hAnsi="Arial"/>
          <w:sz w:val="24"/>
        </w:rPr>
        <w:t>Se presentarán conclusiones y recomendaciones que hace el autor, cabe recalcar que el procesamiento de datos se hizo con paquetes com</w:t>
      </w:r>
      <w:r>
        <w:rPr>
          <w:rFonts w:ascii="Arial" w:hAnsi="Arial"/>
          <w:sz w:val="24"/>
        </w:rPr>
        <w:t>putacionales como lo son SYSTAT 7.0 y SPSS 8.0.</w:t>
      </w:r>
    </w:p>
    <w:p w:rsidR="00000000" w:rsidRDefault="0051132D">
      <w:pPr>
        <w:rPr>
          <w:rFonts w:ascii="Arial" w:hAnsi="Arial"/>
        </w:rPr>
      </w:pPr>
    </w:p>
    <w:p w:rsidR="00000000" w:rsidRDefault="0051132D">
      <w:pPr>
        <w:rPr>
          <w:rFonts w:ascii="Arial" w:hAnsi="Arial"/>
          <w:b/>
          <w:sz w:val="32"/>
        </w:rPr>
      </w:pPr>
      <w:r>
        <w:rPr>
          <w:rFonts w:ascii="Arial" w:hAnsi="Arial"/>
          <w:b/>
          <w:sz w:val="32"/>
        </w:rPr>
        <w:t>Contenido</w:t>
      </w:r>
    </w:p>
    <w:p w:rsidR="00000000" w:rsidRDefault="0051132D">
      <w:pPr>
        <w:rPr>
          <w:rFonts w:ascii="Arial" w:hAnsi="Arial"/>
        </w:rPr>
      </w:pPr>
    </w:p>
    <w:p w:rsidR="00000000" w:rsidRDefault="0051132D">
      <w:pPr>
        <w:pStyle w:val="Ttulo2"/>
      </w:pPr>
      <w:bookmarkStart w:id="0" w:name="_Toc506601652"/>
      <w:bookmarkStart w:id="1" w:name="_Toc506931665"/>
      <w:r>
        <w:t>Trigésima cuarta variable: X</w:t>
      </w:r>
      <w:r>
        <w:rPr>
          <w:vertAlign w:val="subscript"/>
        </w:rPr>
        <w:t>34</w:t>
      </w:r>
      <w:r>
        <w:t>=Nota de Matemáticas</w:t>
      </w:r>
      <w:bookmarkEnd w:id="0"/>
      <w:bookmarkEnd w:id="1"/>
    </w:p>
    <w:p w:rsidR="00000000" w:rsidRDefault="0051132D">
      <w:pPr>
        <w:jc w:val="both"/>
        <w:rPr>
          <w:rFonts w:ascii="Arial" w:hAnsi="Arial"/>
          <w:sz w:val="24"/>
        </w:rPr>
      </w:pPr>
    </w:p>
    <w:p w:rsidR="00000000" w:rsidRDefault="0051132D">
      <w:pPr>
        <w:jc w:val="both"/>
        <w:rPr>
          <w:rFonts w:ascii="Arial" w:hAnsi="Arial"/>
          <w:sz w:val="24"/>
        </w:rPr>
      </w:pPr>
      <w:r>
        <w:rPr>
          <w:rFonts w:ascii="Arial" w:hAnsi="Arial"/>
          <w:sz w:val="24"/>
        </w:rPr>
        <w:t>Esta variable evalúa en general el conocimiento de matemáticas de los alumnos del décimo año de Educación básica, obteniéndose los siguientes re</w:t>
      </w:r>
      <w:r>
        <w:rPr>
          <w:rFonts w:ascii="Arial" w:hAnsi="Arial"/>
          <w:sz w:val="24"/>
        </w:rPr>
        <w:t>sultados, la menor nota obtenida fue 2 y la máxima fue de 60, la moda de las notas observadas es de 20 puntos, además la variable tiene una distribución platicúrtica y un coeficiente de asimetría positivo, es decir hay mayor concentración de datos hacia la</w:t>
      </w:r>
      <w:r>
        <w:rPr>
          <w:rFonts w:ascii="Arial" w:hAnsi="Arial"/>
          <w:sz w:val="24"/>
        </w:rPr>
        <w:t xml:space="preserve"> izquierda, todo esto se puede apreciar en la tabla XLIII.</w:t>
      </w:r>
    </w:p>
    <w:p w:rsidR="00000000" w:rsidRDefault="0051132D">
      <w:pPr>
        <w:jc w:val="center"/>
        <w:rPr>
          <w:rFonts w:ascii="Arial" w:hAnsi="Arial"/>
          <w:b/>
          <w:sz w:val="24"/>
        </w:rPr>
      </w:pPr>
    </w:p>
    <w:p w:rsidR="00000000" w:rsidRDefault="0051132D">
      <w:pPr>
        <w:jc w:val="center"/>
        <w:rPr>
          <w:rFonts w:ascii="Arial" w:hAnsi="Arial"/>
          <w:b/>
          <w:sz w:val="24"/>
        </w:rPr>
      </w:pPr>
    </w:p>
    <w:p w:rsidR="00000000" w:rsidRDefault="0051132D">
      <w:pPr>
        <w:jc w:val="center"/>
        <w:rPr>
          <w:rFonts w:ascii="Arial" w:hAnsi="Arial"/>
          <w:b/>
          <w:sz w:val="24"/>
        </w:rPr>
      </w:pPr>
      <w:r>
        <w:rPr>
          <w:rFonts w:ascii="Arial" w:hAnsi="Arial"/>
          <w:b/>
          <w:sz w:val="24"/>
        </w:rPr>
        <w:t>Tabla I</w:t>
      </w:r>
    </w:p>
    <w:p w:rsidR="00000000" w:rsidRDefault="0051132D">
      <w:pPr>
        <w:jc w:val="center"/>
        <w:rPr>
          <w:rFonts w:ascii="Arial" w:hAnsi="Arial"/>
          <w:b/>
          <w:sz w:val="24"/>
        </w:rPr>
      </w:pPr>
      <w:r>
        <w:rPr>
          <w:rFonts w:ascii="Arial" w:hAnsi="Arial"/>
          <w:b/>
          <w:sz w:val="24"/>
        </w:rPr>
        <w:t>Estimadores poblacionales de la variable X</w:t>
      </w:r>
      <w:r>
        <w:rPr>
          <w:rFonts w:ascii="Arial" w:hAnsi="Arial"/>
          <w:b/>
          <w:sz w:val="24"/>
          <w:vertAlign w:val="subscript"/>
        </w:rPr>
        <w:t>34</w:t>
      </w:r>
      <w:r>
        <w:rPr>
          <w:rFonts w:ascii="Arial" w:hAnsi="Arial"/>
          <w:b/>
          <w:sz w:val="24"/>
        </w:rPr>
        <w:t>:</w:t>
      </w:r>
      <w:r>
        <w:t xml:space="preserve"> </w:t>
      </w:r>
      <w:r>
        <w:rPr>
          <w:rFonts w:ascii="Arial" w:hAnsi="Arial"/>
          <w:b/>
          <w:sz w:val="24"/>
        </w:rPr>
        <w:t>nota de matemáticas</w:t>
      </w: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tblPr>
      <w:tblGrid>
        <w:gridCol w:w="2268"/>
        <w:gridCol w:w="992"/>
        <w:gridCol w:w="1000"/>
      </w:tblGrid>
      <w:tr w:rsidR="00000000">
        <w:tblPrEx>
          <w:tblCellMar>
            <w:top w:w="0" w:type="dxa"/>
            <w:left w:w="0" w:type="dxa"/>
            <w:bottom w:w="0" w:type="dxa"/>
            <w:right w:w="0" w:type="dxa"/>
          </w:tblCellMar>
        </w:tblPrEx>
        <w:tc>
          <w:tcPr>
            <w:tcW w:w="2268" w:type="dxa"/>
          </w:tcPr>
          <w:p w:rsidR="00000000" w:rsidRDefault="0051132D">
            <w:pPr>
              <w:jc w:val="right"/>
              <w:rPr>
                <w:rFonts w:ascii="Times New Roman" w:hAnsi="Times New Roman"/>
                <w:sz w:val="24"/>
              </w:rPr>
            </w:pPr>
            <w:r>
              <w:rPr>
                <w:rFonts w:ascii="Times New Roman" w:hAnsi="Times New Roman"/>
                <w:sz w:val="24"/>
              </w:rPr>
              <w:t>n</w:t>
            </w:r>
          </w:p>
        </w:tc>
        <w:tc>
          <w:tcPr>
            <w:tcW w:w="992" w:type="dxa"/>
          </w:tcPr>
          <w:p w:rsidR="00000000" w:rsidRDefault="0051132D">
            <w:pPr>
              <w:jc w:val="right"/>
              <w:rPr>
                <w:rFonts w:ascii="Times New Roman" w:hAnsi="Times New Roman"/>
                <w:sz w:val="24"/>
              </w:rPr>
            </w:pPr>
          </w:p>
        </w:tc>
        <w:tc>
          <w:tcPr>
            <w:tcW w:w="1000" w:type="dxa"/>
          </w:tcPr>
          <w:p w:rsidR="00000000" w:rsidRDefault="0051132D">
            <w:pPr>
              <w:jc w:val="right"/>
              <w:rPr>
                <w:rFonts w:ascii="Times New Roman" w:hAnsi="Times New Roman"/>
                <w:sz w:val="24"/>
              </w:rPr>
            </w:pPr>
            <w:r>
              <w:rPr>
                <w:rFonts w:ascii="Times New Roman" w:hAnsi="Times New Roman"/>
                <w:sz w:val="24"/>
              </w:rPr>
              <w:t>1106</w:t>
            </w:r>
          </w:p>
        </w:tc>
      </w:tr>
      <w:tr w:rsidR="00000000">
        <w:tblPrEx>
          <w:tblCellMar>
            <w:top w:w="0" w:type="dxa"/>
            <w:left w:w="0" w:type="dxa"/>
            <w:bottom w:w="0" w:type="dxa"/>
            <w:right w:w="0" w:type="dxa"/>
          </w:tblCellMar>
        </w:tblPrEx>
        <w:tc>
          <w:tcPr>
            <w:tcW w:w="2268" w:type="dxa"/>
          </w:tcPr>
          <w:p w:rsidR="00000000" w:rsidRDefault="0051132D">
            <w:pPr>
              <w:jc w:val="right"/>
              <w:rPr>
                <w:rFonts w:ascii="Times New Roman" w:hAnsi="Times New Roman"/>
                <w:sz w:val="24"/>
              </w:rPr>
            </w:pPr>
            <w:r>
              <w:rPr>
                <w:rFonts w:ascii="Times New Roman" w:hAnsi="Times New Roman"/>
                <w:sz w:val="24"/>
              </w:rPr>
              <w:t>Media</w:t>
            </w:r>
          </w:p>
        </w:tc>
        <w:tc>
          <w:tcPr>
            <w:tcW w:w="992" w:type="dxa"/>
          </w:tcPr>
          <w:p w:rsidR="00000000" w:rsidRDefault="0051132D">
            <w:pPr>
              <w:jc w:val="right"/>
              <w:rPr>
                <w:rFonts w:ascii="Times New Roman" w:hAnsi="Times New Roman"/>
                <w:sz w:val="24"/>
              </w:rPr>
            </w:pPr>
            <w:r>
              <w:rPr>
                <w:rFonts w:ascii="Times New Roman" w:hAnsi="Times New Roman"/>
                <w:sz w:val="24"/>
              </w:rPr>
              <w:t xml:space="preserve"> </w:t>
            </w:r>
          </w:p>
        </w:tc>
        <w:tc>
          <w:tcPr>
            <w:tcW w:w="1000" w:type="dxa"/>
          </w:tcPr>
          <w:p w:rsidR="00000000" w:rsidRDefault="0051132D">
            <w:pPr>
              <w:jc w:val="right"/>
              <w:rPr>
                <w:rFonts w:ascii="Times New Roman" w:hAnsi="Times New Roman"/>
                <w:sz w:val="24"/>
              </w:rPr>
            </w:pPr>
            <w:r>
              <w:rPr>
                <w:rFonts w:ascii="Times New Roman" w:hAnsi="Times New Roman"/>
                <w:sz w:val="24"/>
              </w:rPr>
              <w:t>22.82</w:t>
            </w:r>
          </w:p>
        </w:tc>
        <w:tc>
          <w:tcPr>
            <w:gridSpan w:val="0"/>
          </w:tcPr>
          <w:p w:rsidR="00000000" w:rsidRDefault="0051132D">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268" w:type="dxa"/>
          </w:tcPr>
          <w:p w:rsidR="00000000" w:rsidRDefault="0051132D">
            <w:pPr>
              <w:jc w:val="right"/>
              <w:rPr>
                <w:rFonts w:ascii="Times New Roman" w:hAnsi="Times New Roman"/>
                <w:sz w:val="24"/>
              </w:rPr>
            </w:pPr>
            <w:r>
              <w:rPr>
                <w:rFonts w:ascii="Times New Roman" w:hAnsi="Times New Roman"/>
                <w:sz w:val="24"/>
              </w:rPr>
              <w:t>Mediana</w:t>
            </w:r>
          </w:p>
        </w:tc>
        <w:tc>
          <w:tcPr>
            <w:tcW w:w="992" w:type="dxa"/>
          </w:tcPr>
          <w:p w:rsidR="00000000" w:rsidRDefault="0051132D">
            <w:pPr>
              <w:jc w:val="right"/>
              <w:rPr>
                <w:rFonts w:ascii="Times New Roman" w:hAnsi="Times New Roman"/>
                <w:sz w:val="24"/>
              </w:rPr>
            </w:pPr>
            <w:r>
              <w:rPr>
                <w:rFonts w:ascii="Times New Roman" w:hAnsi="Times New Roman"/>
                <w:sz w:val="24"/>
              </w:rPr>
              <w:t xml:space="preserve"> </w:t>
            </w:r>
          </w:p>
        </w:tc>
        <w:tc>
          <w:tcPr>
            <w:tcW w:w="1000" w:type="dxa"/>
          </w:tcPr>
          <w:p w:rsidR="00000000" w:rsidRDefault="0051132D">
            <w:pPr>
              <w:jc w:val="right"/>
              <w:rPr>
                <w:rFonts w:ascii="Times New Roman" w:hAnsi="Times New Roman"/>
                <w:sz w:val="24"/>
              </w:rPr>
            </w:pPr>
            <w:r>
              <w:rPr>
                <w:rFonts w:ascii="Times New Roman" w:hAnsi="Times New Roman"/>
                <w:sz w:val="24"/>
              </w:rPr>
              <w:t>21.83</w:t>
            </w:r>
          </w:p>
        </w:tc>
        <w:tc>
          <w:tcPr>
            <w:gridSpan w:val="0"/>
          </w:tcPr>
          <w:p w:rsidR="00000000" w:rsidRDefault="0051132D">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268" w:type="dxa"/>
          </w:tcPr>
          <w:p w:rsidR="00000000" w:rsidRDefault="0051132D">
            <w:pPr>
              <w:jc w:val="right"/>
              <w:rPr>
                <w:rFonts w:ascii="Times New Roman" w:hAnsi="Times New Roman"/>
                <w:sz w:val="24"/>
              </w:rPr>
            </w:pPr>
            <w:r>
              <w:rPr>
                <w:rFonts w:ascii="Times New Roman" w:hAnsi="Times New Roman"/>
                <w:sz w:val="24"/>
              </w:rPr>
              <w:t>Moda</w:t>
            </w:r>
          </w:p>
        </w:tc>
        <w:tc>
          <w:tcPr>
            <w:tcW w:w="992" w:type="dxa"/>
          </w:tcPr>
          <w:p w:rsidR="00000000" w:rsidRDefault="0051132D">
            <w:pPr>
              <w:jc w:val="right"/>
              <w:rPr>
                <w:rFonts w:ascii="Times New Roman" w:hAnsi="Times New Roman"/>
                <w:sz w:val="24"/>
              </w:rPr>
            </w:pPr>
            <w:r>
              <w:rPr>
                <w:rFonts w:ascii="Times New Roman" w:hAnsi="Times New Roman"/>
                <w:sz w:val="24"/>
              </w:rPr>
              <w:t xml:space="preserve"> </w:t>
            </w:r>
          </w:p>
        </w:tc>
        <w:tc>
          <w:tcPr>
            <w:tcW w:w="1000" w:type="dxa"/>
          </w:tcPr>
          <w:p w:rsidR="00000000" w:rsidRDefault="0051132D">
            <w:pPr>
              <w:jc w:val="right"/>
              <w:rPr>
                <w:rFonts w:ascii="Times New Roman" w:hAnsi="Times New Roman"/>
                <w:sz w:val="24"/>
              </w:rPr>
            </w:pPr>
            <w:r>
              <w:rPr>
                <w:rFonts w:ascii="Times New Roman" w:hAnsi="Times New Roman"/>
                <w:sz w:val="24"/>
              </w:rPr>
              <w:t>20</w:t>
            </w:r>
          </w:p>
        </w:tc>
        <w:tc>
          <w:tcPr>
            <w:gridSpan w:val="0"/>
          </w:tcPr>
          <w:p w:rsidR="00000000" w:rsidRDefault="0051132D">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268" w:type="dxa"/>
          </w:tcPr>
          <w:p w:rsidR="00000000" w:rsidRDefault="0051132D">
            <w:pPr>
              <w:jc w:val="right"/>
              <w:rPr>
                <w:rFonts w:ascii="Times New Roman" w:hAnsi="Times New Roman"/>
                <w:sz w:val="24"/>
              </w:rPr>
            </w:pPr>
            <w:r>
              <w:rPr>
                <w:rFonts w:ascii="Times New Roman" w:hAnsi="Times New Roman"/>
                <w:sz w:val="24"/>
              </w:rPr>
              <w:t>Desviación Std.</w:t>
            </w:r>
          </w:p>
        </w:tc>
        <w:tc>
          <w:tcPr>
            <w:tcW w:w="992" w:type="dxa"/>
          </w:tcPr>
          <w:p w:rsidR="00000000" w:rsidRDefault="0051132D">
            <w:pPr>
              <w:jc w:val="right"/>
              <w:rPr>
                <w:rFonts w:ascii="Times New Roman" w:hAnsi="Times New Roman"/>
                <w:sz w:val="24"/>
              </w:rPr>
            </w:pPr>
            <w:r>
              <w:rPr>
                <w:rFonts w:ascii="Times New Roman" w:hAnsi="Times New Roman"/>
                <w:sz w:val="24"/>
              </w:rPr>
              <w:t xml:space="preserve"> </w:t>
            </w:r>
          </w:p>
        </w:tc>
        <w:tc>
          <w:tcPr>
            <w:tcW w:w="1000" w:type="dxa"/>
          </w:tcPr>
          <w:p w:rsidR="00000000" w:rsidRDefault="0051132D">
            <w:pPr>
              <w:jc w:val="right"/>
              <w:rPr>
                <w:rFonts w:ascii="Times New Roman" w:hAnsi="Times New Roman"/>
                <w:sz w:val="24"/>
              </w:rPr>
            </w:pPr>
            <w:r>
              <w:rPr>
                <w:rFonts w:ascii="Times New Roman" w:hAnsi="Times New Roman"/>
                <w:sz w:val="24"/>
              </w:rPr>
              <w:t>9.92</w:t>
            </w:r>
          </w:p>
        </w:tc>
        <w:tc>
          <w:tcPr>
            <w:gridSpan w:val="0"/>
          </w:tcPr>
          <w:p w:rsidR="00000000" w:rsidRDefault="0051132D">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268" w:type="dxa"/>
          </w:tcPr>
          <w:p w:rsidR="00000000" w:rsidRDefault="0051132D">
            <w:pPr>
              <w:jc w:val="right"/>
              <w:rPr>
                <w:rFonts w:ascii="Times New Roman" w:hAnsi="Times New Roman"/>
                <w:sz w:val="24"/>
              </w:rPr>
            </w:pPr>
            <w:r>
              <w:rPr>
                <w:rFonts w:ascii="Times New Roman" w:hAnsi="Times New Roman"/>
                <w:sz w:val="24"/>
              </w:rPr>
              <w:t>Varianza</w:t>
            </w:r>
          </w:p>
        </w:tc>
        <w:tc>
          <w:tcPr>
            <w:tcW w:w="992" w:type="dxa"/>
          </w:tcPr>
          <w:p w:rsidR="00000000" w:rsidRDefault="0051132D">
            <w:pPr>
              <w:jc w:val="right"/>
              <w:rPr>
                <w:rFonts w:ascii="Times New Roman" w:hAnsi="Times New Roman"/>
                <w:sz w:val="24"/>
              </w:rPr>
            </w:pPr>
            <w:r>
              <w:rPr>
                <w:rFonts w:ascii="Times New Roman" w:hAnsi="Times New Roman"/>
                <w:sz w:val="24"/>
              </w:rPr>
              <w:t xml:space="preserve"> </w:t>
            </w:r>
          </w:p>
        </w:tc>
        <w:tc>
          <w:tcPr>
            <w:tcW w:w="1000" w:type="dxa"/>
          </w:tcPr>
          <w:p w:rsidR="00000000" w:rsidRDefault="0051132D">
            <w:pPr>
              <w:jc w:val="right"/>
              <w:rPr>
                <w:rFonts w:ascii="Times New Roman" w:hAnsi="Times New Roman"/>
                <w:sz w:val="24"/>
              </w:rPr>
            </w:pPr>
            <w:r>
              <w:rPr>
                <w:rFonts w:ascii="Times New Roman" w:hAnsi="Times New Roman"/>
                <w:sz w:val="24"/>
              </w:rPr>
              <w:t>98.50</w:t>
            </w:r>
          </w:p>
        </w:tc>
        <w:tc>
          <w:tcPr>
            <w:gridSpan w:val="0"/>
          </w:tcPr>
          <w:p w:rsidR="00000000" w:rsidRDefault="0051132D">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268" w:type="dxa"/>
          </w:tcPr>
          <w:p w:rsidR="00000000" w:rsidRDefault="0051132D">
            <w:pPr>
              <w:jc w:val="right"/>
              <w:rPr>
                <w:rFonts w:ascii="Times New Roman" w:hAnsi="Times New Roman"/>
                <w:sz w:val="24"/>
              </w:rPr>
            </w:pPr>
            <w:r>
              <w:rPr>
                <w:rFonts w:ascii="Times New Roman" w:hAnsi="Times New Roman"/>
                <w:sz w:val="24"/>
              </w:rPr>
              <w:t>Coef. de variación</w:t>
            </w:r>
          </w:p>
        </w:tc>
        <w:tc>
          <w:tcPr>
            <w:tcW w:w="992" w:type="dxa"/>
          </w:tcPr>
          <w:p w:rsidR="00000000" w:rsidRDefault="0051132D">
            <w:pPr>
              <w:jc w:val="right"/>
              <w:rPr>
                <w:rFonts w:ascii="Times New Roman" w:hAnsi="Times New Roman"/>
                <w:sz w:val="24"/>
              </w:rPr>
            </w:pPr>
          </w:p>
        </w:tc>
        <w:tc>
          <w:tcPr>
            <w:tcW w:w="1000" w:type="dxa"/>
          </w:tcPr>
          <w:p w:rsidR="00000000" w:rsidRDefault="0051132D">
            <w:pPr>
              <w:jc w:val="right"/>
              <w:rPr>
                <w:rFonts w:ascii="Times New Roman" w:hAnsi="Times New Roman"/>
                <w:sz w:val="24"/>
              </w:rPr>
            </w:pPr>
            <w:r>
              <w:rPr>
                <w:rFonts w:ascii="Times New Roman" w:hAnsi="Times New Roman"/>
                <w:sz w:val="24"/>
              </w:rPr>
              <w:t>.4</w:t>
            </w:r>
            <w:r>
              <w:rPr>
                <w:rFonts w:ascii="Times New Roman" w:hAnsi="Times New Roman"/>
                <w:sz w:val="24"/>
              </w:rPr>
              <w:t>34</w:t>
            </w:r>
          </w:p>
        </w:tc>
      </w:tr>
      <w:tr w:rsidR="00000000">
        <w:tblPrEx>
          <w:tblCellMar>
            <w:top w:w="0" w:type="dxa"/>
            <w:left w:w="0" w:type="dxa"/>
            <w:bottom w:w="0" w:type="dxa"/>
            <w:right w:w="0" w:type="dxa"/>
          </w:tblCellMar>
        </w:tblPrEx>
        <w:tc>
          <w:tcPr>
            <w:tcW w:w="2268" w:type="dxa"/>
          </w:tcPr>
          <w:p w:rsidR="00000000" w:rsidRDefault="0051132D">
            <w:pPr>
              <w:jc w:val="right"/>
              <w:rPr>
                <w:rFonts w:ascii="Times New Roman" w:hAnsi="Times New Roman"/>
                <w:sz w:val="24"/>
              </w:rPr>
            </w:pPr>
            <w:r>
              <w:rPr>
                <w:rFonts w:ascii="Times New Roman" w:hAnsi="Times New Roman"/>
                <w:sz w:val="24"/>
              </w:rPr>
              <w:t>Sesgo</w:t>
            </w:r>
          </w:p>
        </w:tc>
        <w:tc>
          <w:tcPr>
            <w:tcW w:w="992" w:type="dxa"/>
          </w:tcPr>
          <w:p w:rsidR="00000000" w:rsidRDefault="0051132D">
            <w:pPr>
              <w:jc w:val="right"/>
              <w:rPr>
                <w:rFonts w:ascii="Times New Roman" w:hAnsi="Times New Roman"/>
                <w:sz w:val="24"/>
              </w:rPr>
            </w:pPr>
            <w:r>
              <w:rPr>
                <w:rFonts w:ascii="Times New Roman" w:hAnsi="Times New Roman"/>
                <w:sz w:val="24"/>
              </w:rPr>
              <w:t xml:space="preserve"> </w:t>
            </w:r>
          </w:p>
        </w:tc>
        <w:tc>
          <w:tcPr>
            <w:tcW w:w="1000" w:type="dxa"/>
          </w:tcPr>
          <w:p w:rsidR="00000000" w:rsidRDefault="0051132D">
            <w:pPr>
              <w:jc w:val="right"/>
              <w:rPr>
                <w:rFonts w:ascii="Times New Roman" w:hAnsi="Times New Roman"/>
                <w:sz w:val="24"/>
              </w:rPr>
            </w:pPr>
            <w:r>
              <w:rPr>
                <w:rFonts w:ascii="Times New Roman" w:hAnsi="Times New Roman"/>
                <w:sz w:val="24"/>
              </w:rPr>
              <w:t>.382</w:t>
            </w:r>
          </w:p>
        </w:tc>
        <w:tc>
          <w:tcPr>
            <w:gridSpan w:val="0"/>
          </w:tcPr>
          <w:p w:rsidR="00000000" w:rsidRDefault="0051132D">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268" w:type="dxa"/>
          </w:tcPr>
          <w:p w:rsidR="00000000" w:rsidRDefault="0051132D">
            <w:pPr>
              <w:jc w:val="right"/>
              <w:rPr>
                <w:rFonts w:ascii="Times New Roman" w:hAnsi="Times New Roman"/>
                <w:sz w:val="24"/>
              </w:rPr>
            </w:pPr>
            <w:r>
              <w:rPr>
                <w:rFonts w:ascii="Times New Roman" w:hAnsi="Times New Roman"/>
                <w:sz w:val="24"/>
              </w:rPr>
              <w:t>Kurtosis</w:t>
            </w:r>
          </w:p>
        </w:tc>
        <w:tc>
          <w:tcPr>
            <w:tcW w:w="992" w:type="dxa"/>
          </w:tcPr>
          <w:p w:rsidR="00000000" w:rsidRDefault="0051132D">
            <w:pPr>
              <w:jc w:val="right"/>
              <w:rPr>
                <w:rFonts w:ascii="Times New Roman" w:hAnsi="Times New Roman"/>
                <w:sz w:val="24"/>
              </w:rPr>
            </w:pPr>
            <w:r>
              <w:rPr>
                <w:rFonts w:ascii="Times New Roman" w:hAnsi="Times New Roman"/>
                <w:sz w:val="24"/>
              </w:rPr>
              <w:t xml:space="preserve"> </w:t>
            </w:r>
          </w:p>
        </w:tc>
        <w:tc>
          <w:tcPr>
            <w:tcW w:w="1000" w:type="dxa"/>
          </w:tcPr>
          <w:p w:rsidR="00000000" w:rsidRDefault="0051132D">
            <w:pPr>
              <w:jc w:val="right"/>
              <w:rPr>
                <w:rFonts w:ascii="Times New Roman" w:hAnsi="Times New Roman"/>
                <w:sz w:val="24"/>
              </w:rPr>
            </w:pPr>
            <w:r>
              <w:rPr>
                <w:rFonts w:ascii="Times New Roman" w:hAnsi="Times New Roman"/>
                <w:sz w:val="24"/>
              </w:rPr>
              <w:t>-.143</w:t>
            </w:r>
          </w:p>
        </w:tc>
        <w:tc>
          <w:tcPr>
            <w:gridSpan w:val="0"/>
          </w:tcPr>
          <w:p w:rsidR="00000000" w:rsidRDefault="0051132D">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268" w:type="dxa"/>
          </w:tcPr>
          <w:p w:rsidR="00000000" w:rsidRDefault="0051132D">
            <w:pPr>
              <w:jc w:val="right"/>
              <w:rPr>
                <w:rFonts w:ascii="Times New Roman" w:hAnsi="Times New Roman"/>
                <w:sz w:val="24"/>
              </w:rPr>
            </w:pPr>
            <w:r>
              <w:rPr>
                <w:rFonts w:ascii="Times New Roman" w:hAnsi="Times New Roman"/>
                <w:sz w:val="24"/>
              </w:rPr>
              <w:t>Rango</w:t>
            </w:r>
          </w:p>
        </w:tc>
        <w:tc>
          <w:tcPr>
            <w:tcW w:w="992" w:type="dxa"/>
          </w:tcPr>
          <w:p w:rsidR="00000000" w:rsidRDefault="0051132D">
            <w:pPr>
              <w:jc w:val="right"/>
              <w:rPr>
                <w:rFonts w:ascii="Times New Roman" w:hAnsi="Times New Roman"/>
                <w:sz w:val="24"/>
              </w:rPr>
            </w:pPr>
            <w:r>
              <w:rPr>
                <w:rFonts w:ascii="Times New Roman" w:hAnsi="Times New Roman"/>
                <w:sz w:val="24"/>
              </w:rPr>
              <w:t xml:space="preserve"> </w:t>
            </w:r>
          </w:p>
        </w:tc>
        <w:tc>
          <w:tcPr>
            <w:tcW w:w="1000" w:type="dxa"/>
          </w:tcPr>
          <w:p w:rsidR="00000000" w:rsidRDefault="0051132D">
            <w:pPr>
              <w:jc w:val="right"/>
              <w:rPr>
                <w:rFonts w:ascii="Times New Roman" w:hAnsi="Times New Roman"/>
                <w:sz w:val="24"/>
              </w:rPr>
            </w:pPr>
            <w:r>
              <w:rPr>
                <w:rFonts w:ascii="Times New Roman" w:hAnsi="Times New Roman"/>
                <w:sz w:val="24"/>
              </w:rPr>
              <w:t>58</w:t>
            </w:r>
          </w:p>
        </w:tc>
        <w:tc>
          <w:tcPr>
            <w:gridSpan w:val="0"/>
          </w:tcPr>
          <w:p w:rsidR="00000000" w:rsidRDefault="0051132D">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268" w:type="dxa"/>
          </w:tcPr>
          <w:p w:rsidR="00000000" w:rsidRDefault="0051132D">
            <w:pPr>
              <w:jc w:val="right"/>
              <w:rPr>
                <w:rFonts w:ascii="Times New Roman" w:hAnsi="Times New Roman"/>
                <w:sz w:val="24"/>
              </w:rPr>
            </w:pPr>
            <w:r>
              <w:rPr>
                <w:rFonts w:ascii="Times New Roman" w:hAnsi="Times New Roman"/>
                <w:sz w:val="24"/>
              </w:rPr>
              <w:lastRenderedPageBreak/>
              <w:t>Mínimo</w:t>
            </w:r>
          </w:p>
        </w:tc>
        <w:tc>
          <w:tcPr>
            <w:tcW w:w="992" w:type="dxa"/>
          </w:tcPr>
          <w:p w:rsidR="00000000" w:rsidRDefault="0051132D">
            <w:pPr>
              <w:jc w:val="right"/>
              <w:rPr>
                <w:rFonts w:ascii="Times New Roman" w:hAnsi="Times New Roman"/>
                <w:sz w:val="24"/>
              </w:rPr>
            </w:pPr>
            <w:r>
              <w:rPr>
                <w:rFonts w:ascii="Times New Roman" w:hAnsi="Times New Roman"/>
                <w:sz w:val="24"/>
              </w:rPr>
              <w:t xml:space="preserve"> </w:t>
            </w:r>
          </w:p>
        </w:tc>
        <w:tc>
          <w:tcPr>
            <w:tcW w:w="1000" w:type="dxa"/>
          </w:tcPr>
          <w:p w:rsidR="00000000" w:rsidRDefault="0051132D">
            <w:pPr>
              <w:jc w:val="right"/>
              <w:rPr>
                <w:rFonts w:ascii="Times New Roman" w:hAnsi="Times New Roman"/>
                <w:sz w:val="24"/>
              </w:rPr>
            </w:pPr>
            <w:r>
              <w:rPr>
                <w:rFonts w:ascii="Times New Roman" w:hAnsi="Times New Roman"/>
                <w:sz w:val="24"/>
              </w:rPr>
              <w:t>2</w:t>
            </w:r>
          </w:p>
        </w:tc>
        <w:tc>
          <w:tcPr>
            <w:gridSpan w:val="0"/>
          </w:tcPr>
          <w:p w:rsidR="00000000" w:rsidRDefault="0051132D">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268" w:type="dxa"/>
          </w:tcPr>
          <w:p w:rsidR="00000000" w:rsidRDefault="0051132D">
            <w:pPr>
              <w:jc w:val="right"/>
              <w:rPr>
                <w:rFonts w:ascii="Times New Roman" w:hAnsi="Times New Roman"/>
                <w:sz w:val="24"/>
              </w:rPr>
            </w:pPr>
            <w:r>
              <w:rPr>
                <w:rFonts w:ascii="Times New Roman" w:hAnsi="Times New Roman"/>
                <w:sz w:val="24"/>
              </w:rPr>
              <w:t>Máximo</w:t>
            </w:r>
          </w:p>
        </w:tc>
        <w:tc>
          <w:tcPr>
            <w:tcW w:w="992" w:type="dxa"/>
          </w:tcPr>
          <w:p w:rsidR="00000000" w:rsidRDefault="0051132D">
            <w:pPr>
              <w:jc w:val="right"/>
              <w:rPr>
                <w:rFonts w:ascii="Times New Roman" w:hAnsi="Times New Roman"/>
                <w:sz w:val="24"/>
              </w:rPr>
            </w:pPr>
            <w:r>
              <w:rPr>
                <w:rFonts w:ascii="Times New Roman" w:hAnsi="Times New Roman"/>
                <w:sz w:val="24"/>
              </w:rPr>
              <w:t xml:space="preserve"> </w:t>
            </w:r>
          </w:p>
        </w:tc>
        <w:tc>
          <w:tcPr>
            <w:tcW w:w="1000" w:type="dxa"/>
          </w:tcPr>
          <w:p w:rsidR="00000000" w:rsidRDefault="0051132D">
            <w:pPr>
              <w:jc w:val="right"/>
              <w:rPr>
                <w:rFonts w:ascii="Times New Roman" w:hAnsi="Times New Roman"/>
                <w:sz w:val="24"/>
              </w:rPr>
            </w:pPr>
            <w:r>
              <w:rPr>
                <w:rFonts w:ascii="Times New Roman" w:hAnsi="Times New Roman"/>
                <w:sz w:val="24"/>
              </w:rPr>
              <w:t>60</w:t>
            </w:r>
          </w:p>
        </w:tc>
        <w:tc>
          <w:tcPr>
            <w:gridSpan w:val="0"/>
          </w:tcPr>
          <w:p w:rsidR="00000000" w:rsidRDefault="0051132D">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268" w:type="dxa"/>
          </w:tcPr>
          <w:p w:rsidR="00000000" w:rsidRDefault="0051132D">
            <w:pPr>
              <w:jc w:val="right"/>
              <w:rPr>
                <w:rFonts w:ascii="Times New Roman" w:hAnsi="Times New Roman"/>
                <w:sz w:val="24"/>
              </w:rPr>
            </w:pPr>
            <w:r>
              <w:rPr>
                <w:rFonts w:ascii="Times New Roman" w:hAnsi="Times New Roman"/>
                <w:sz w:val="24"/>
              </w:rPr>
              <w:t>Cuartiles</w:t>
            </w:r>
          </w:p>
        </w:tc>
        <w:tc>
          <w:tcPr>
            <w:tcW w:w="992" w:type="dxa"/>
          </w:tcPr>
          <w:p w:rsidR="00000000" w:rsidRDefault="0051132D">
            <w:pPr>
              <w:jc w:val="center"/>
              <w:rPr>
                <w:rFonts w:ascii="Times New Roman" w:hAnsi="Times New Roman"/>
                <w:sz w:val="24"/>
              </w:rPr>
            </w:pPr>
            <w:r>
              <w:rPr>
                <w:rFonts w:ascii="Times New Roman" w:hAnsi="Times New Roman"/>
                <w:sz w:val="24"/>
              </w:rPr>
              <w:t>1</w:t>
            </w:r>
          </w:p>
        </w:tc>
        <w:tc>
          <w:tcPr>
            <w:tcW w:w="1000" w:type="dxa"/>
          </w:tcPr>
          <w:p w:rsidR="00000000" w:rsidRDefault="0051132D">
            <w:pPr>
              <w:jc w:val="right"/>
              <w:rPr>
                <w:rFonts w:ascii="Times New Roman" w:hAnsi="Times New Roman"/>
                <w:sz w:val="24"/>
              </w:rPr>
            </w:pPr>
            <w:r>
              <w:rPr>
                <w:rFonts w:ascii="Times New Roman" w:hAnsi="Times New Roman"/>
                <w:sz w:val="24"/>
              </w:rPr>
              <w:t>15.50</w:t>
            </w:r>
          </w:p>
        </w:tc>
        <w:tc>
          <w:tcPr>
            <w:gridSpan w:val="0"/>
          </w:tcPr>
          <w:p w:rsidR="00000000" w:rsidRDefault="0051132D">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268" w:type="dxa"/>
          </w:tcPr>
          <w:p w:rsidR="00000000" w:rsidRDefault="0051132D">
            <w:pPr>
              <w:jc w:val="right"/>
              <w:rPr>
                <w:rFonts w:ascii="Times New Roman" w:hAnsi="Times New Roman"/>
                <w:sz w:val="24"/>
              </w:rPr>
            </w:pPr>
            <w:r>
              <w:rPr>
                <w:rFonts w:ascii="Times New Roman" w:hAnsi="Times New Roman"/>
                <w:sz w:val="24"/>
              </w:rPr>
              <w:t xml:space="preserve"> </w:t>
            </w:r>
          </w:p>
        </w:tc>
        <w:tc>
          <w:tcPr>
            <w:tcW w:w="992" w:type="dxa"/>
          </w:tcPr>
          <w:p w:rsidR="00000000" w:rsidRDefault="0051132D">
            <w:pPr>
              <w:jc w:val="center"/>
              <w:rPr>
                <w:rFonts w:ascii="Times New Roman" w:hAnsi="Times New Roman"/>
                <w:sz w:val="24"/>
              </w:rPr>
            </w:pPr>
            <w:r>
              <w:rPr>
                <w:rFonts w:ascii="Times New Roman" w:hAnsi="Times New Roman"/>
                <w:sz w:val="24"/>
              </w:rPr>
              <w:t>2</w:t>
            </w:r>
          </w:p>
        </w:tc>
        <w:tc>
          <w:tcPr>
            <w:tcW w:w="1000" w:type="dxa"/>
          </w:tcPr>
          <w:p w:rsidR="00000000" w:rsidRDefault="0051132D">
            <w:pPr>
              <w:jc w:val="right"/>
              <w:rPr>
                <w:rFonts w:ascii="Times New Roman" w:hAnsi="Times New Roman"/>
                <w:sz w:val="24"/>
              </w:rPr>
            </w:pPr>
            <w:r>
              <w:rPr>
                <w:rFonts w:ascii="Times New Roman" w:hAnsi="Times New Roman"/>
                <w:sz w:val="24"/>
              </w:rPr>
              <w:t>21.83</w:t>
            </w:r>
          </w:p>
        </w:tc>
        <w:tc>
          <w:tcPr>
            <w:gridSpan w:val="0"/>
          </w:tcPr>
          <w:p w:rsidR="00000000" w:rsidRDefault="0051132D">
            <w:pPr>
              <w:rPr>
                <w:rFonts w:ascii="Times New Roman" w:hAnsi="Times New Roman"/>
                <w:sz w:val="24"/>
              </w:rPr>
            </w:pPr>
            <w:r>
              <w:rPr>
                <w:rFonts w:ascii="Times New Roman" w:hAnsi="Times New Roman"/>
                <w:sz w:val="24"/>
              </w:rPr>
              <w:t xml:space="preserve"> </w:t>
            </w:r>
          </w:p>
        </w:tc>
      </w:tr>
      <w:tr w:rsidR="00000000">
        <w:tblPrEx>
          <w:tblCellMar>
            <w:top w:w="0" w:type="dxa"/>
            <w:left w:w="0" w:type="dxa"/>
            <w:bottom w:w="0" w:type="dxa"/>
            <w:right w:w="0" w:type="dxa"/>
          </w:tblCellMar>
        </w:tblPrEx>
        <w:tc>
          <w:tcPr>
            <w:tcW w:w="2268" w:type="dxa"/>
          </w:tcPr>
          <w:p w:rsidR="00000000" w:rsidRDefault="0051132D">
            <w:pPr>
              <w:jc w:val="right"/>
              <w:rPr>
                <w:rFonts w:ascii="Times New Roman" w:hAnsi="Times New Roman"/>
                <w:sz w:val="24"/>
              </w:rPr>
            </w:pPr>
            <w:r>
              <w:rPr>
                <w:rFonts w:ascii="Times New Roman" w:hAnsi="Times New Roman"/>
                <w:sz w:val="24"/>
              </w:rPr>
              <w:t xml:space="preserve"> </w:t>
            </w:r>
          </w:p>
        </w:tc>
        <w:tc>
          <w:tcPr>
            <w:tcW w:w="992" w:type="dxa"/>
          </w:tcPr>
          <w:p w:rsidR="00000000" w:rsidRDefault="0051132D">
            <w:pPr>
              <w:jc w:val="center"/>
              <w:rPr>
                <w:rFonts w:ascii="Times New Roman" w:hAnsi="Times New Roman"/>
                <w:sz w:val="24"/>
              </w:rPr>
            </w:pPr>
            <w:r>
              <w:rPr>
                <w:rFonts w:ascii="Times New Roman" w:hAnsi="Times New Roman"/>
                <w:sz w:val="24"/>
              </w:rPr>
              <w:t>3</w:t>
            </w:r>
          </w:p>
        </w:tc>
        <w:tc>
          <w:tcPr>
            <w:tcW w:w="1000" w:type="dxa"/>
          </w:tcPr>
          <w:p w:rsidR="00000000" w:rsidRDefault="0051132D">
            <w:pPr>
              <w:jc w:val="right"/>
              <w:rPr>
                <w:rFonts w:ascii="Times New Roman" w:hAnsi="Times New Roman"/>
                <w:sz w:val="24"/>
              </w:rPr>
            </w:pPr>
            <w:r>
              <w:rPr>
                <w:rFonts w:ascii="Times New Roman" w:hAnsi="Times New Roman"/>
                <w:sz w:val="24"/>
              </w:rPr>
              <w:t>29.83</w:t>
            </w:r>
          </w:p>
        </w:tc>
        <w:tc>
          <w:tcPr>
            <w:gridSpan w:val="0"/>
          </w:tcPr>
          <w:p w:rsidR="00000000" w:rsidRDefault="0051132D">
            <w:pPr>
              <w:rPr>
                <w:rFonts w:ascii="Times New Roman" w:hAnsi="Times New Roman"/>
                <w:sz w:val="24"/>
              </w:rPr>
            </w:pPr>
            <w:r>
              <w:rPr>
                <w:rFonts w:ascii="Times New Roman" w:hAnsi="Times New Roman"/>
                <w:sz w:val="24"/>
              </w:rPr>
              <w:t xml:space="preserve"> </w:t>
            </w:r>
          </w:p>
        </w:tc>
      </w:tr>
    </w:tbl>
    <w:p w:rsidR="00000000" w:rsidRDefault="0051132D">
      <w:pPr>
        <w:tabs>
          <w:tab w:val="left" w:pos="360"/>
        </w:tabs>
        <w:jc w:val="center"/>
        <w:rPr>
          <w:rFonts w:ascii="Arial" w:hAnsi="Arial"/>
          <w:b/>
          <w:sz w:val="24"/>
        </w:rPr>
      </w:pPr>
    </w:p>
    <w:p w:rsidR="00000000" w:rsidRDefault="0051132D">
      <w:pPr>
        <w:tabs>
          <w:tab w:val="left" w:pos="360"/>
        </w:tabs>
        <w:jc w:val="center"/>
        <w:rPr>
          <w:rFonts w:ascii="Arial" w:hAnsi="Arial"/>
          <w:b/>
          <w:sz w:val="24"/>
        </w:rPr>
      </w:pPr>
    </w:p>
    <w:p w:rsidR="00000000" w:rsidRDefault="0051132D">
      <w:pPr>
        <w:tabs>
          <w:tab w:val="left" w:pos="360"/>
        </w:tabs>
        <w:jc w:val="center"/>
        <w:rPr>
          <w:rFonts w:ascii="Arial" w:hAnsi="Arial"/>
          <w:b/>
          <w:sz w:val="24"/>
        </w:rPr>
      </w:pPr>
      <w:r>
        <w:rPr>
          <w:rFonts w:ascii="Arial" w:hAnsi="Arial"/>
          <w:b/>
          <w:sz w:val="24"/>
        </w:rPr>
        <w:t>Gráfico 1</w:t>
      </w:r>
    </w:p>
    <w:p w:rsidR="00000000" w:rsidRDefault="004E7002">
      <w:pPr>
        <w:tabs>
          <w:tab w:val="left" w:pos="360"/>
        </w:tabs>
        <w:jc w:val="center"/>
        <w:rPr>
          <w:rFonts w:ascii="Arial" w:hAnsi="Arial"/>
          <w:b/>
          <w:sz w:val="24"/>
        </w:rPr>
      </w:pPr>
      <w:r>
        <w:rPr>
          <w:noProof/>
          <w:lang w:val="es-ES"/>
        </w:rPr>
        <w:drawing>
          <wp:anchor distT="0" distB="0" distL="114300" distR="114300" simplePos="0" relativeHeight="251655168" behindDoc="0" locked="0" layoutInCell="0" allowOverlap="1">
            <wp:simplePos x="0" y="0"/>
            <wp:positionH relativeFrom="column">
              <wp:posOffset>454660</wp:posOffset>
            </wp:positionH>
            <wp:positionV relativeFrom="paragraph">
              <wp:posOffset>350520</wp:posOffset>
            </wp:positionV>
            <wp:extent cx="4140200" cy="2268220"/>
            <wp:effectExtent l="0" t="0" r="0" b="0"/>
            <wp:wrapTopAndBottom/>
            <wp:docPr id="3" name="Obje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51132D">
        <w:rPr>
          <w:rFonts w:ascii="Arial" w:hAnsi="Arial"/>
          <w:b/>
          <w:sz w:val="24"/>
        </w:rPr>
        <w:t>Nota de matemáticas</w:t>
      </w:r>
    </w:p>
    <w:p w:rsidR="00000000" w:rsidRDefault="0051132D">
      <w:pPr>
        <w:tabs>
          <w:tab w:val="left" w:pos="360"/>
        </w:tabs>
        <w:jc w:val="center"/>
        <w:rPr>
          <w:rFonts w:ascii="Arial" w:hAnsi="Arial"/>
          <w:b/>
          <w:sz w:val="24"/>
        </w:rPr>
      </w:pPr>
    </w:p>
    <w:p w:rsidR="00000000" w:rsidRDefault="0051132D">
      <w:pPr>
        <w:tabs>
          <w:tab w:val="left" w:pos="360"/>
        </w:tabs>
        <w:jc w:val="center"/>
        <w:rPr>
          <w:rFonts w:ascii="Arial" w:hAnsi="Arial"/>
          <w:b/>
          <w:sz w:val="24"/>
        </w:rPr>
      </w:pPr>
    </w:p>
    <w:p w:rsidR="00000000" w:rsidRDefault="0051132D">
      <w:pPr>
        <w:tabs>
          <w:tab w:val="left" w:pos="360"/>
        </w:tabs>
        <w:jc w:val="center"/>
        <w:rPr>
          <w:rFonts w:ascii="Arial" w:hAnsi="Arial"/>
          <w:b/>
          <w:sz w:val="24"/>
        </w:rPr>
      </w:pPr>
      <w:r>
        <w:rPr>
          <w:rFonts w:ascii="Arial" w:hAnsi="Arial"/>
          <w:b/>
          <w:sz w:val="24"/>
        </w:rPr>
        <w:t>Gráfico 2</w:t>
      </w:r>
    </w:p>
    <w:p w:rsidR="00000000" w:rsidRDefault="0051132D">
      <w:pPr>
        <w:tabs>
          <w:tab w:val="left" w:pos="360"/>
        </w:tabs>
        <w:jc w:val="center"/>
        <w:rPr>
          <w:rFonts w:ascii="Arial" w:hAnsi="Arial"/>
          <w:b/>
          <w:sz w:val="24"/>
        </w:rPr>
      </w:pPr>
      <w:r>
        <w:rPr>
          <w:rFonts w:ascii="Arial" w:hAnsi="Arial"/>
          <w:b/>
          <w:sz w:val="24"/>
        </w:rPr>
        <w:t>Nota de Matemáticas (ojiva y diagrama de cajas)</w:t>
      </w:r>
    </w:p>
    <w:p w:rsidR="00000000" w:rsidRDefault="004E7002">
      <w:pPr>
        <w:framePr w:hSpace="180" w:wrap="notBeside" w:vAnchor="text" w:hAnchor="page" w:x="3027" w:y="1190"/>
        <w:rPr>
          <w:rFonts w:ascii="Arial" w:hAnsi="Arial"/>
          <w:sz w:val="24"/>
        </w:rPr>
      </w:pPr>
      <w:r>
        <w:rPr>
          <w:rFonts w:ascii="Arial" w:hAnsi="Arial"/>
          <w:noProof/>
          <w:sz w:val="24"/>
          <w:lang w:val="es-ES"/>
        </w:rPr>
        <w:drawing>
          <wp:inline distT="0" distB="0" distL="0" distR="0">
            <wp:extent cx="4168140" cy="333629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4168140" cy="3336290"/>
                    </a:xfrm>
                    <a:prstGeom prst="rect">
                      <a:avLst/>
                    </a:prstGeom>
                    <a:noFill/>
                    <a:ln w="9525">
                      <a:noFill/>
                      <a:miter lim="800000"/>
                      <a:headEnd/>
                      <a:tailEnd/>
                    </a:ln>
                  </pic:spPr>
                </pic:pic>
              </a:graphicData>
            </a:graphic>
          </wp:inline>
        </w:drawing>
      </w:r>
    </w:p>
    <w:p w:rsidR="00000000" w:rsidRDefault="004E7002">
      <w:pPr>
        <w:tabs>
          <w:tab w:val="left" w:pos="360"/>
        </w:tabs>
        <w:jc w:val="center"/>
        <w:rPr>
          <w:rFonts w:ascii="Arial" w:hAnsi="Arial"/>
          <w:sz w:val="24"/>
        </w:rPr>
      </w:pPr>
      <w:r>
        <w:rPr>
          <w:noProof/>
          <w:lang w:val="es-ES"/>
        </w:rPr>
        <w:drawing>
          <wp:anchor distT="0" distB="0" distL="114300" distR="114300" simplePos="0" relativeHeight="251654144" behindDoc="0" locked="0" layoutInCell="0" allowOverlap="1">
            <wp:simplePos x="0" y="0"/>
            <wp:positionH relativeFrom="column">
              <wp:posOffset>748665</wp:posOffset>
            </wp:positionH>
            <wp:positionV relativeFrom="paragraph">
              <wp:posOffset>20320</wp:posOffset>
            </wp:positionV>
            <wp:extent cx="4140835" cy="330009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140835" cy="3300095"/>
                    </a:xfrm>
                    <a:prstGeom prst="rect">
                      <a:avLst/>
                    </a:prstGeom>
                    <a:noFill/>
                    <a:ln w="9525">
                      <a:noFill/>
                      <a:miter lim="800000"/>
                      <a:headEnd/>
                      <a:tailEnd/>
                    </a:ln>
                  </pic:spPr>
                </pic:pic>
              </a:graphicData>
            </a:graphic>
          </wp:anchor>
        </w:drawing>
      </w:r>
    </w:p>
    <w:p w:rsidR="00000000" w:rsidRDefault="0051132D">
      <w:pPr>
        <w:rPr>
          <w:rFonts w:ascii="Arial" w:hAnsi="Arial"/>
        </w:rPr>
      </w:pPr>
    </w:p>
    <w:p w:rsidR="00000000" w:rsidRDefault="0051132D">
      <w:pPr>
        <w:rPr>
          <w:rFonts w:ascii="Arial" w:hAnsi="Arial"/>
        </w:rPr>
      </w:pPr>
    </w:p>
    <w:p w:rsidR="00000000" w:rsidRDefault="0051132D">
      <w:pPr>
        <w:rPr>
          <w:rFonts w:ascii="Arial" w:hAnsi="Arial"/>
        </w:rPr>
      </w:pPr>
    </w:p>
    <w:p w:rsidR="00000000" w:rsidRDefault="0051132D">
      <w:pPr>
        <w:rPr>
          <w:rFonts w:ascii="Arial" w:hAnsi="Arial"/>
        </w:rPr>
      </w:pPr>
    </w:p>
    <w:p w:rsidR="00000000" w:rsidRDefault="0051132D">
      <w:pPr>
        <w:pStyle w:val="Ttulo3"/>
        <w:spacing w:line="240" w:lineRule="auto"/>
      </w:pPr>
      <w:bookmarkStart w:id="2" w:name="_Toc506601714"/>
      <w:bookmarkStart w:id="3" w:name="_Toc506603333"/>
      <w:bookmarkStart w:id="4" w:name="_Toc507670753"/>
      <w:r>
        <w:t>Variable: X</w:t>
      </w:r>
      <w:r>
        <w:rPr>
          <w:vertAlign w:val="subscript"/>
        </w:rPr>
        <w:t>61</w:t>
      </w:r>
      <w:r>
        <w:t>=Nota de lenguaje</w:t>
      </w:r>
      <w:bookmarkEnd w:id="2"/>
      <w:bookmarkEnd w:id="3"/>
      <w:bookmarkEnd w:id="4"/>
    </w:p>
    <w:p w:rsidR="00000000" w:rsidRDefault="0051132D">
      <w:pPr>
        <w:jc w:val="both"/>
        <w:rPr>
          <w:rFonts w:ascii="Arial" w:hAnsi="Arial"/>
          <w:sz w:val="24"/>
          <w:lang w:val="es-ES"/>
        </w:rPr>
      </w:pPr>
      <w:r>
        <w:rPr>
          <w:rFonts w:ascii="Arial" w:hAnsi="Arial"/>
          <w:sz w:val="24"/>
          <w:lang w:val="es-ES"/>
        </w:rPr>
        <w:t>As</w:t>
      </w:r>
      <w:r>
        <w:rPr>
          <w:rFonts w:ascii="Arial" w:hAnsi="Arial"/>
          <w:sz w:val="24"/>
          <w:lang w:val="es-ES"/>
        </w:rPr>
        <w:t>í como la variable de nota de matemáticas, esta variable es una concepción general del promedio alcanzado por el estudiante en la prueba de lenguaje y  los resultados obtenidos son los siguientes.</w:t>
      </w:r>
    </w:p>
    <w:p w:rsidR="00000000" w:rsidRDefault="0051132D">
      <w:pPr>
        <w:jc w:val="both"/>
        <w:rPr>
          <w:rFonts w:ascii="Arial" w:hAnsi="Arial"/>
          <w:sz w:val="24"/>
          <w:lang w:val="es-ES"/>
        </w:rPr>
      </w:pPr>
    </w:p>
    <w:p w:rsidR="00000000" w:rsidRDefault="0051132D">
      <w:pPr>
        <w:jc w:val="center"/>
        <w:rPr>
          <w:rFonts w:ascii="Arial" w:hAnsi="Arial"/>
          <w:b/>
          <w:sz w:val="24"/>
          <w:lang w:val="es-ES"/>
        </w:rPr>
      </w:pPr>
      <w:bookmarkStart w:id="5" w:name="_Toc507670974"/>
      <w:r>
        <w:rPr>
          <w:rFonts w:ascii="Arial" w:hAnsi="Arial"/>
          <w:b/>
          <w:sz w:val="24"/>
          <w:lang w:val="es-ES"/>
        </w:rPr>
        <w:t xml:space="preserve">Tabla </w:t>
      </w:r>
      <w:bookmarkEnd w:id="5"/>
      <w:r>
        <w:rPr>
          <w:rFonts w:ascii="Arial" w:hAnsi="Arial"/>
          <w:b/>
          <w:sz w:val="24"/>
          <w:lang w:val="es-ES"/>
        </w:rPr>
        <w:t>II</w:t>
      </w:r>
    </w:p>
    <w:p w:rsidR="00000000" w:rsidRDefault="0051132D">
      <w:pPr>
        <w:jc w:val="center"/>
        <w:rPr>
          <w:rFonts w:ascii="Arial" w:hAnsi="Arial"/>
          <w:b/>
          <w:sz w:val="24"/>
          <w:lang w:val="es-ES"/>
        </w:rPr>
      </w:pPr>
      <w:r>
        <w:rPr>
          <w:rFonts w:ascii="Arial" w:hAnsi="Arial"/>
          <w:b/>
          <w:sz w:val="24"/>
          <w:lang w:val="es-ES"/>
        </w:rPr>
        <w:t>Estimadores poblacionales de la variable X</w:t>
      </w:r>
      <w:r>
        <w:rPr>
          <w:rFonts w:ascii="Arial" w:hAnsi="Arial"/>
          <w:b/>
          <w:sz w:val="24"/>
          <w:vertAlign w:val="subscript"/>
          <w:lang w:val="es-ES"/>
        </w:rPr>
        <w:t>61</w:t>
      </w:r>
      <w:r>
        <w:rPr>
          <w:rFonts w:ascii="Arial" w:hAnsi="Arial"/>
          <w:b/>
          <w:sz w:val="24"/>
          <w:lang w:val="es-ES"/>
        </w:rPr>
        <w:t>: not</w:t>
      </w:r>
      <w:r>
        <w:rPr>
          <w:rFonts w:ascii="Arial" w:hAnsi="Arial"/>
          <w:b/>
          <w:sz w:val="24"/>
          <w:lang w:val="es-ES"/>
        </w:rPr>
        <w:t>a de lenguaje</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268"/>
        <w:gridCol w:w="1134"/>
        <w:gridCol w:w="1000"/>
      </w:tblGrid>
      <w:tr w:rsidR="00000000">
        <w:tblPrEx>
          <w:tblCellMar>
            <w:top w:w="0" w:type="dxa"/>
            <w:left w:w="0" w:type="dxa"/>
            <w:bottom w:w="0" w:type="dxa"/>
            <w:right w:w="0" w:type="dxa"/>
          </w:tblCellMar>
        </w:tblPrEx>
        <w:tc>
          <w:tcPr>
            <w:tcW w:w="2268"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n</w:t>
            </w:r>
          </w:p>
        </w:tc>
        <w:tc>
          <w:tcPr>
            <w:tcW w:w="1134" w:type="dxa"/>
          </w:tcPr>
          <w:p w:rsidR="00000000" w:rsidRDefault="0051132D">
            <w:pPr>
              <w:jc w:val="right"/>
              <w:rPr>
                <w:rFonts w:ascii="Times New Roman" w:hAnsi="Times New Roman"/>
                <w:snapToGrid w:val="0"/>
                <w:sz w:val="24"/>
                <w:lang w:val="es-ES"/>
              </w:rPr>
            </w:pPr>
          </w:p>
        </w:tc>
        <w:tc>
          <w:tcPr>
            <w:tcW w:w="1000"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1106</w:t>
            </w:r>
          </w:p>
        </w:tc>
      </w:tr>
      <w:tr w:rsidR="00000000">
        <w:tblPrEx>
          <w:tblCellMar>
            <w:top w:w="0" w:type="dxa"/>
            <w:left w:w="0" w:type="dxa"/>
            <w:bottom w:w="0" w:type="dxa"/>
            <w:right w:w="0" w:type="dxa"/>
          </w:tblCellMar>
        </w:tblPrEx>
        <w:tc>
          <w:tcPr>
            <w:tcW w:w="2268"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Media</w:t>
            </w:r>
          </w:p>
        </w:tc>
        <w:tc>
          <w:tcPr>
            <w:tcW w:w="1134"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000"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56.46</w:t>
            </w:r>
          </w:p>
        </w:tc>
        <w:tc>
          <w:tcPr>
            <w:gridSpan w:val="0"/>
          </w:tcPr>
          <w:p w:rsidR="00000000" w:rsidRDefault="0051132D">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Mediana</w:t>
            </w:r>
          </w:p>
        </w:tc>
        <w:tc>
          <w:tcPr>
            <w:tcW w:w="1134"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000"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57.31</w:t>
            </w:r>
          </w:p>
        </w:tc>
        <w:tc>
          <w:tcPr>
            <w:gridSpan w:val="0"/>
          </w:tcPr>
          <w:p w:rsidR="00000000" w:rsidRDefault="0051132D">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Moda</w:t>
            </w:r>
          </w:p>
        </w:tc>
        <w:tc>
          <w:tcPr>
            <w:tcW w:w="1134"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000"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42</w:t>
            </w:r>
          </w:p>
        </w:tc>
        <w:tc>
          <w:tcPr>
            <w:gridSpan w:val="0"/>
          </w:tcPr>
          <w:p w:rsidR="00000000" w:rsidRDefault="0051132D">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Desviación Std.</w:t>
            </w:r>
          </w:p>
        </w:tc>
        <w:tc>
          <w:tcPr>
            <w:tcW w:w="1134"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000"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12.63</w:t>
            </w:r>
          </w:p>
        </w:tc>
        <w:tc>
          <w:tcPr>
            <w:gridSpan w:val="0"/>
          </w:tcPr>
          <w:p w:rsidR="00000000" w:rsidRDefault="0051132D">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Varianza</w:t>
            </w:r>
          </w:p>
        </w:tc>
        <w:tc>
          <w:tcPr>
            <w:tcW w:w="1134"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000"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159.42</w:t>
            </w:r>
          </w:p>
        </w:tc>
        <w:tc>
          <w:tcPr>
            <w:gridSpan w:val="0"/>
          </w:tcPr>
          <w:p w:rsidR="00000000" w:rsidRDefault="0051132D">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Sesgo</w:t>
            </w:r>
          </w:p>
        </w:tc>
        <w:tc>
          <w:tcPr>
            <w:tcW w:w="1134"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000"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-.316</w:t>
            </w:r>
          </w:p>
        </w:tc>
        <w:tc>
          <w:tcPr>
            <w:gridSpan w:val="0"/>
          </w:tcPr>
          <w:p w:rsidR="00000000" w:rsidRDefault="0051132D">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Kurtosis</w:t>
            </w:r>
          </w:p>
        </w:tc>
        <w:tc>
          <w:tcPr>
            <w:tcW w:w="1134"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000"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-.087</w:t>
            </w:r>
          </w:p>
        </w:tc>
        <w:tc>
          <w:tcPr>
            <w:gridSpan w:val="0"/>
          </w:tcPr>
          <w:p w:rsidR="00000000" w:rsidRDefault="0051132D">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Rango</w:t>
            </w:r>
          </w:p>
        </w:tc>
        <w:tc>
          <w:tcPr>
            <w:tcW w:w="1134"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000"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73</w:t>
            </w:r>
          </w:p>
        </w:tc>
        <w:tc>
          <w:tcPr>
            <w:gridSpan w:val="0"/>
          </w:tcPr>
          <w:p w:rsidR="00000000" w:rsidRDefault="0051132D">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Mínimo</w:t>
            </w:r>
          </w:p>
        </w:tc>
        <w:tc>
          <w:tcPr>
            <w:tcW w:w="1134"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000"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15</w:t>
            </w:r>
          </w:p>
        </w:tc>
        <w:tc>
          <w:tcPr>
            <w:gridSpan w:val="0"/>
          </w:tcPr>
          <w:p w:rsidR="00000000" w:rsidRDefault="0051132D">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Máximo</w:t>
            </w:r>
          </w:p>
        </w:tc>
        <w:tc>
          <w:tcPr>
            <w:tcW w:w="1134"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000"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88</w:t>
            </w:r>
          </w:p>
        </w:tc>
        <w:tc>
          <w:tcPr>
            <w:gridSpan w:val="0"/>
          </w:tcPr>
          <w:p w:rsidR="00000000" w:rsidRDefault="0051132D">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Percentiles</w:t>
            </w:r>
          </w:p>
        </w:tc>
        <w:tc>
          <w:tcPr>
            <w:tcW w:w="1134" w:type="dxa"/>
          </w:tcPr>
          <w:p w:rsidR="00000000" w:rsidRDefault="0051132D">
            <w:pPr>
              <w:jc w:val="center"/>
              <w:rPr>
                <w:rFonts w:ascii="Times New Roman" w:hAnsi="Times New Roman"/>
                <w:snapToGrid w:val="0"/>
                <w:sz w:val="24"/>
                <w:lang w:val="es-ES"/>
              </w:rPr>
            </w:pPr>
            <w:r>
              <w:rPr>
                <w:rFonts w:ascii="Times New Roman" w:hAnsi="Times New Roman"/>
                <w:snapToGrid w:val="0"/>
                <w:sz w:val="24"/>
                <w:lang w:val="es-ES"/>
              </w:rPr>
              <w:t>25</w:t>
            </w:r>
          </w:p>
        </w:tc>
        <w:tc>
          <w:tcPr>
            <w:tcW w:w="1000"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48.10</w:t>
            </w:r>
          </w:p>
        </w:tc>
        <w:tc>
          <w:tcPr>
            <w:gridSpan w:val="0"/>
          </w:tcPr>
          <w:p w:rsidR="00000000" w:rsidRDefault="0051132D">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134" w:type="dxa"/>
          </w:tcPr>
          <w:p w:rsidR="00000000" w:rsidRDefault="0051132D">
            <w:pPr>
              <w:jc w:val="center"/>
              <w:rPr>
                <w:rFonts w:ascii="Times New Roman" w:hAnsi="Times New Roman"/>
                <w:snapToGrid w:val="0"/>
                <w:sz w:val="24"/>
                <w:lang w:val="es-ES"/>
              </w:rPr>
            </w:pPr>
            <w:r>
              <w:rPr>
                <w:rFonts w:ascii="Times New Roman" w:hAnsi="Times New Roman"/>
                <w:snapToGrid w:val="0"/>
                <w:sz w:val="24"/>
                <w:lang w:val="es-ES"/>
              </w:rPr>
              <w:t>50</w:t>
            </w:r>
          </w:p>
        </w:tc>
        <w:tc>
          <w:tcPr>
            <w:tcW w:w="1000"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57.31</w:t>
            </w:r>
          </w:p>
        </w:tc>
        <w:tc>
          <w:tcPr>
            <w:gridSpan w:val="0"/>
          </w:tcPr>
          <w:p w:rsidR="00000000" w:rsidRDefault="0051132D">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134" w:type="dxa"/>
          </w:tcPr>
          <w:p w:rsidR="00000000" w:rsidRDefault="0051132D">
            <w:pPr>
              <w:jc w:val="center"/>
              <w:rPr>
                <w:rFonts w:ascii="Times New Roman" w:hAnsi="Times New Roman"/>
                <w:snapToGrid w:val="0"/>
                <w:sz w:val="24"/>
                <w:lang w:val="es-ES"/>
              </w:rPr>
            </w:pPr>
            <w:r>
              <w:rPr>
                <w:rFonts w:ascii="Times New Roman" w:hAnsi="Times New Roman"/>
                <w:snapToGrid w:val="0"/>
                <w:sz w:val="24"/>
                <w:lang w:val="es-ES"/>
              </w:rPr>
              <w:t>75</w:t>
            </w:r>
          </w:p>
        </w:tc>
        <w:tc>
          <w:tcPr>
            <w:tcW w:w="1000"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66.14</w:t>
            </w:r>
          </w:p>
        </w:tc>
        <w:tc>
          <w:tcPr>
            <w:gridSpan w:val="0"/>
          </w:tcPr>
          <w:p w:rsidR="00000000" w:rsidRDefault="0051132D">
            <w:pPr>
              <w:rPr>
                <w:rFonts w:ascii="Times New Roman" w:hAnsi="Times New Roman"/>
                <w:snapToGrid w:val="0"/>
                <w:sz w:val="24"/>
                <w:lang w:val="es-ES"/>
              </w:rPr>
            </w:pPr>
            <w:r>
              <w:rPr>
                <w:rFonts w:ascii="Times New Roman" w:hAnsi="Times New Roman"/>
                <w:snapToGrid w:val="0"/>
                <w:sz w:val="24"/>
                <w:lang w:val="es-ES"/>
              </w:rPr>
              <w:t xml:space="preserve"> </w:t>
            </w:r>
          </w:p>
        </w:tc>
      </w:tr>
    </w:tbl>
    <w:p w:rsidR="00000000" w:rsidRDefault="0051132D">
      <w:pPr>
        <w:rPr>
          <w:rFonts w:ascii="Arial" w:hAnsi="Arial"/>
          <w:snapToGrid w:val="0"/>
          <w:sz w:val="24"/>
          <w:lang w:val="es-ES"/>
        </w:rPr>
      </w:pPr>
    </w:p>
    <w:p w:rsidR="00000000" w:rsidRDefault="0051132D">
      <w:pPr>
        <w:jc w:val="center"/>
        <w:rPr>
          <w:rFonts w:ascii="Arial" w:hAnsi="Arial"/>
          <w:sz w:val="24"/>
          <w:lang w:val="es-ES"/>
        </w:rPr>
      </w:pPr>
    </w:p>
    <w:p w:rsidR="00000000" w:rsidRDefault="0051132D">
      <w:pPr>
        <w:jc w:val="both"/>
        <w:rPr>
          <w:rFonts w:ascii="Arial" w:hAnsi="Arial"/>
          <w:sz w:val="24"/>
          <w:lang w:val="es-ES"/>
        </w:rPr>
      </w:pPr>
      <w:r>
        <w:rPr>
          <w:rFonts w:ascii="Arial" w:hAnsi="Arial"/>
          <w:sz w:val="24"/>
          <w:lang w:val="es-ES"/>
        </w:rPr>
        <w:t>Se aprecia que</w:t>
      </w:r>
      <w:r>
        <w:rPr>
          <w:rFonts w:ascii="Arial" w:hAnsi="Arial"/>
          <w:sz w:val="24"/>
          <w:lang w:val="es-ES"/>
        </w:rPr>
        <w:t xml:space="preserve"> los resultados fueron mejores en lenguaje que en matemáticas, en lenguaje la menor nota es 15 y la mayor nota es 88, mientras que en matemáticas la menor era 2 y la mayor 60.</w:t>
      </w:r>
    </w:p>
    <w:p w:rsidR="00000000" w:rsidRDefault="0051132D">
      <w:pPr>
        <w:jc w:val="center"/>
        <w:rPr>
          <w:rFonts w:ascii="Arial" w:hAnsi="Arial"/>
          <w:b/>
          <w:sz w:val="24"/>
          <w:lang w:val="es-ES"/>
        </w:rPr>
      </w:pPr>
    </w:p>
    <w:p w:rsidR="00000000" w:rsidRDefault="0051132D">
      <w:pPr>
        <w:jc w:val="center"/>
        <w:rPr>
          <w:rFonts w:ascii="Arial" w:hAnsi="Arial"/>
          <w:b/>
          <w:sz w:val="24"/>
          <w:lang w:val="es-ES"/>
        </w:rPr>
      </w:pPr>
    </w:p>
    <w:p w:rsidR="00000000" w:rsidRDefault="0051132D">
      <w:pPr>
        <w:jc w:val="center"/>
        <w:rPr>
          <w:rFonts w:ascii="Arial" w:hAnsi="Arial"/>
          <w:b/>
          <w:sz w:val="24"/>
          <w:lang w:val="es-ES"/>
        </w:rPr>
      </w:pPr>
    </w:p>
    <w:p w:rsidR="00000000" w:rsidRDefault="0051132D">
      <w:pPr>
        <w:jc w:val="center"/>
        <w:rPr>
          <w:rFonts w:ascii="Arial" w:hAnsi="Arial"/>
          <w:b/>
          <w:sz w:val="24"/>
          <w:lang w:val="es-ES"/>
        </w:rPr>
      </w:pPr>
      <w:r>
        <w:rPr>
          <w:rFonts w:ascii="Arial" w:hAnsi="Arial"/>
          <w:b/>
          <w:sz w:val="24"/>
          <w:lang w:val="es-ES"/>
        </w:rPr>
        <w:t>Gráfico 3</w:t>
      </w:r>
    </w:p>
    <w:p w:rsidR="00000000" w:rsidRDefault="004E7002">
      <w:pPr>
        <w:jc w:val="center"/>
        <w:rPr>
          <w:rFonts w:ascii="Arial" w:hAnsi="Arial"/>
          <w:b/>
          <w:sz w:val="24"/>
          <w:lang w:val="es-ES"/>
        </w:rPr>
      </w:pPr>
      <w:r>
        <w:rPr>
          <w:noProof/>
          <w:lang w:val="es-ES"/>
        </w:rPr>
        <w:drawing>
          <wp:anchor distT="0" distB="0" distL="114300" distR="114300" simplePos="0" relativeHeight="251660288" behindDoc="0" locked="0" layoutInCell="0" allowOverlap="1">
            <wp:simplePos x="0" y="0"/>
            <wp:positionH relativeFrom="column">
              <wp:posOffset>546100</wp:posOffset>
            </wp:positionH>
            <wp:positionV relativeFrom="paragraph">
              <wp:posOffset>436880</wp:posOffset>
            </wp:positionV>
            <wp:extent cx="4140200" cy="2140585"/>
            <wp:effectExtent l="0" t="0" r="0" b="0"/>
            <wp:wrapTopAndBottom/>
            <wp:docPr id="8" name="Objeto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51132D">
        <w:rPr>
          <w:rFonts w:ascii="Arial" w:hAnsi="Arial"/>
          <w:b/>
          <w:sz w:val="24"/>
          <w:lang w:val="es-ES"/>
        </w:rPr>
        <w:t>Nota de Lenguaje</w:t>
      </w:r>
    </w:p>
    <w:p w:rsidR="00000000" w:rsidRDefault="0051132D">
      <w:pPr>
        <w:jc w:val="center"/>
        <w:rPr>
          <w:rFonts w:ascii="Arial" w:hAnsi="Arial"/>
          <w:sz w:val="24"/>
          <w:lang w:val="es-ES"/>
        </w:rPr>
      </w:pPr>
    </w:p>
    <w:p w:rsidR="00000000" w:rsidRDefault="0051132D">
      <w:pPr>
        <w:jc w:val="center"/>
        <w:rPr>
          <w:rFonts w:ascii="Arial" w:hAnsi="Arial"/>
          <w:sz w:val="24"/>
          <w:lang w:val="es-ES"/>
        </w:rPr>
      </w:pPr>
    </w:p>
    <w:p w:rsidR="00000000" w:rsidRDefault="0051132D">
      <w:pPr>
        <w:jc w:val="center"/>
        <w:rPr>
          <w:rFonts w:ascii="Arial" w:hAnsi="Arial"/>
          <w:sz w:val="24"/>
          <w:lang w:val="es-ES"/>
        </w:rPr>
      </w:pPr>
    </w:p>
    <w:p w:rsidR="00000000" w:rsidRDefault="0051132D">
      <w:pPr>
        <w:jc w:val="center"/>
        <w:rPr>
          <w:rFonts w:ascii="Arial" w:hAnsi="Arial"/>
          <w:sz w:val="24"/>
          <w:lang w:val="es-ES"/>
        </w:rPr>
      </w:pPr>
    </w:p>
    <w:p w:rsidR="00000000" w:rsidRDefault="0051132D">
      <w:pPr>
        <w:jc w:val="center"/>
        <w:rPr>
          <w:rFonts w:ascii="Arial" w:hAnsi="Arial"/>
          <w:b/>
          <w:sz w:val="24"/>
          <w:lang w:val="es-ES"/>
        </w:rPr>
      </w:pPr>
    </w:p>
    <w:p w:rsidR="00000000" w:rsidRDefault="0051132D">
      <w:pPr>
        <w:jc w:val="center"/>
        <w:rPr>
          <w:rFonts w:ascii="Arial" w:hAnsi="Arial"/>
          <w:b/>
          <w:sz w:val="24"/>
          <w:lang w:val="es-ES"/>
        </w:rPr>
      </w:pPr>
    </w:p>
    <w:p w:rsidR="00000000" w:rsidRDefault="0051132D">
      <w:pPr>
        <w:jc w:val="center"/>
        <w:rPr>
          <w:rFonts w:ascii="Arial" w:hAnsi="Arial"/>
          <w:b/>
          <w:sz w:val="24"/>
          <w:lang w:val="es-ES"/>
        </w:rPr>
      </w:pPr>
      <w:r>
        <w:rPr>
          <w:rFonts w:ascii="Arial" w:hAnsi="Arial"/>
          <w:b/>
          <w:sz w:val="24"/>
          <w:lang w:val="es-ES"/>
        </w:rPr>
        <w:t>Gráfico 4</w:t>
      </w:r>
    </w:p>
    <w:p w:rsidR="00000000" w:rsidRDefault="004E7002">
      <w:pPr>
        <w:jc w:val="center"/>
        <w:rPr>
          <w:rFonts w:ascii="Arial" w:hAnsi="Arial"/>
          <w:b/>
          <w:sz w:val="24"/>
          <w:lang w:val="es-ES"/>
        </w:rPr>
      </w:pPr>
      <w:r>
        <w:rPr>
          <w:noProof/>
          <w:lang w:val="es-ES"/>
        </w:rPr>
        <w:drawing>
          <wp:anchor distT="0" distB="0" distL="114300" distR="114300" simplePos="0" relativeHeight="251656192" behindDoc="0" locked="0" layoutInCell="0" allowOverlap="1">
            <wp:simplePos x="0" y="0"/>
            <wp:positionH relativeFrom="column">
              <wp:posOffset>571500</wp:posOffset>
            </wp:positionH>
            <wp:positionV relativeFrom="paragraph">
              <wp:posOffset>587375</wp:posOffset>
            </wp:positionV>
            <wp:extent cx="4663440" cy="331025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663440" cy="3310255"/>
                    </a:xfrm>
                    <a:prstGeom prst="rect">
                      <a:avLst/>
                    </a:prstGeom>
                    <a:noFill/>
                  </pic:spPr>
                </pic:pic>
              </a:graphicData>
            </a:graphic>
          </wp:anchor>
        </w:drawing>
      </w:r>
      <w:r w:rsidR="0051132D">
        <w:rPr>
          <w:rFonts w:ascii="Arial" w:hAnsi="Arial"/>
          <w:b/>
          <w:sz w:val="24"/>
          <w:lang w:val="es-ES"/>
        </w:rPr>
        <w:t>Nota de lenguaje (ojiva y diagram</w:t>
      </w:r>
      <w:r w:rsidR="0051132D">
        <w:rPr>
          <w:rFonts w:ascii="Arial" w:hAnsi="Arial"/>
          <w:b/>
          <w:sz w:val="24"/>
          <w:lang w:val="es-ES"/>
        </w:rPr>
        <w:t>a de caja)</w:t>
      </w:r>
    </w:p>
    <w:p w:rsidR="00000000" w:rsidRDefault="004E7002">
      <w:r>
        <w:rPr>
          <w:noProof/>
          <w:lang w:val="es-ES"/>
        </w:rPr>
        <w:drawing>
          <wp:anchor distT="0" distB="0" distL="114300" distR="114300" simplePos="0" relativeHeight="251658240" behindDoc="0" locked="0" layoutInCell="0" allowOverlap="1">
            <wp:simplePos x="0" y="0"/>
            <wp:positionH relativeFrom="column">
              <wp:posOffset>424180</wp:posOffset>
            </wp:positionH>
            <wp:positionV relativeFrom="paragraph">
              <wp:posOffset>76835</wp:posOffset>
            </wp:positionV>
            <wp:extent cx="4140200" cy="2022475"/>
            <wp:effectExtent l="0" t="0" r="0" b="0"/>
            <wp:wrapTopAndBottom/>
            <wp:docPr id="1" name="Objeto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000000" w:rsidRDefault="0051132D"/>
    <w:p w:rsidR="00000000" w:rsidRDefault="0051132D"/>
    <w:p w:rsidR="00000000" w:rsidRDefault="0051132D"/>
    <w:p w:rsidR="00000000" w:rsidRDefault="0051132D"/>
    <w:p w:rsidR="00000000" w:rsidRDefault="0051132D"/>
    <w:p w:rsidR="00000000" w:rsidRDefault="0051132D"/>
    <w:p w:rsidR="00000000" w:rsidRDefault="0051132D"/>
    <w:p w:rsidR="00000000" w:rsidRDefault="0051132D"/>
    <w:p w:rsidR="00000000" w:rsidRDefault="0051132D"/>
    <w:p w:rsidR="00000000" w:rsidRDefault="0051132D"/>
    <w:p w:rsidR="00000000" w:rsidRDefault="0051132D">
      <w:pPr>
        <w:pStyle w:val="Ttulo2"/>
      </w:pPr>
      <w:r>
        <w:t>Variable: X</w:t>
      </w:r>
      <w:r>
        <w:rPr>
          <w:vertAlign w:val="subscript"/>
        </w:rPr>
        <w:t>62</w:t>
      </w:r>
      <w:r>
        <w:t>= Promedio general</w:t>
      </w:r>
    </w:p>
    <w:p w:rsidR="00000000" w:rsidRDefault="0051132D">
      <w:pPr>
        <w:jc w:val="both"/>
        <w:rPr>
          <w:rFonts w:ascii="Arial" w:hAnsi="Arial"/>
          <w:sz w:val="24"/>
        </w:rPr>
      </w:pPr>
      <w:r>
        <w:rPr>
          <w:rFonts w:ascii="Arial" w:hAnsi="Arial"/>
          <w:sz w:val="24"/>
        </w:rPr>
        <w:t>La última variable que se considera es el promedio general, para poder visualizar de mejor manera los conocimientos de los estudiantes de décimo año de educación básica en las materias de lenguaje y ma</w:t>
      </w:r>
      <w:r>
        <w:rPr>
          <w:rFonts w:ascii="Arial" w:hAnsi="Arial"/>
          <w:sz w:val="24"/>
        </w:rPr>
        <w:t>temáticas. Los resultados se presentan en la tabla LXXI</w:t>
      </w:r>
    </w:p>
    <w:p w:rsidR="00000000" w:rsidRDefault="0051132D">
      <w:pPr>
        <w:jc w:val="center"/>
        <w:rPr>
          <w:rFonts w:ascii="Arial" w:hAnsi="Arial"/>
          <w:sz w:val="24"/>
        </w:rPr>
      </w:pPr>
    </w:p>
    <w:p w:rsidR="00000000" w:rsidRDefault="0051132D">
      <w:pPr>
        <w:jc w:val="center"/>
        <w:rPr>
          <w:rFonts w:ascii="Arial" w:hAnsi="Arial"/>
          <w:b/>
          <w:sz w:val="24"/>
        </w:rPr>
      </w:pPr>
      <w:r>
        <w:rPr>
          <w:rFonts w:ascii="Arial" w:hAnsi="Arial"/>
          <w:b/>
          <w:sz w:val="24"/>
        </w:rPr>
        <w:t>Tabla III</w:t>
      </w:r>
    </w:p>
    <w:p w:rsidR="00000000" w:rsidRDefault="0051132D">
      <w:pPr>
        <w:jc w:val="center"/>
        <w:rPr>
          <w:rFonts w:ascii="Arial" w:hAnsi="Arial"/>
          <w:b/>
          <w:sz w:val="24"/>
        </w:rPr>
      </w:pPr>
      <w:r>
        <w:rPr>
          <w:rFonts w:ascii="Arial" w:hAnsi="Arial"/>
          <w:b/>
          <w:sz w:val="24"/>
        </w:rPr>
        <w:t>Estimadores poblacionales de la variable X</w:t>
      </w:r>
      <w:r>
        <w:rPr>
          <w:rFonts w:ascii="Arial" w:hAnsi="Arial"/>
          <w:b/>
          <w:sz w:val="24"/>
          <w:vertAlign w:val="subscript"/>
        </w:rPr>
        <w:t>62</w:t>
      </w:r>
      <w:r>
        <w:rPr>
          <w:rFonts w:ascii="Arial" w:hAnsi="Arial"/>
          <w:b/>
          <w:sz w:val="24"/>
        </w:rPr>
        <w:t>: promedio general</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268"/>
        <w:gridCol w:w="1000"/>
        <w:gridCol w:w="1000"/>
      </w:tblGrid>
      <w:tr w:rsidR="00000000">
        <w:tblPrEx>
          <w:tblCellMar>
            <w:top w:w="0" w:type="dxa"/>
            <w:left w:w="0" w:type="dxa"/>
            <w:bottom w:w="0" w:type="dxa"/>
            <w:right w:w="0" w:type="dxa"/>
          </w:tblCellMar>
        </w:tblPrEx>
        <w:tc>
          <w:tcPr>
            <w:tcW w:w="2268"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n</w:t>
            </w:r>
          </w:p>
        </w:tc>
        <w:tc>
          <w:tcPr>
            <w:tcW w:w="1000" w:type="dxa"/>
          </w:tcPr>
          <w:p w:rsidR="00000000" w:rsidRDefault="0051132D">
            <w:pPr>
              <w:jc w:val="right"/>
              <w:rPr>
                <w:rFonts w:ascii="Times New Roman" w:hAnsi="Times New Roman"/>
                <w:snapToGrid w:val="0"/>
                <w:sz w:val="24"/>
                <w:lang w:val="es-ES"/>
              </w:rPr>
            </w:pPr>
          </w:p>
        </w:tc>
        <w:tc>
          <w:tcPr>
            <w:tcW w:w="1000"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1106</w:t>
            </w:r>
          </w:p>
        </w:tc>
      </w:tr>
      <w:tr w:rsidR="00000000">
        <w:tblPrEx>
          <w:tblCellMar>
            <w:top w:w="0" w:type="dxa"/>
            <w:left w:w="0" w:type="dxa"/>
            <w:bottom w:w="0" w:type="dxa"/>
            <w:right w:w="0" w:type="dxa"/>
          </w:tblCellMar>
        </w:tblPrEx>
        <w:tc>
          <w:tcPr>
            <w:tcW w:w="2268"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Media</w:t>
            </w:r>
          </w:p>
        </w:tc>
        <w:tc>
          <w:tcPr>
            <w:tcW w:w="1000"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000"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39.1718</w:t>
            </w:r>
          </w:p>
        </w:tc>
        <w:tc>
          <w:tcPr>
            <w:gridSpan w:val="0"/>
          </w:tcPr>
          <w:p w:rsidR="00000000" w:rsidRDefault="0051132D">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Mediana</w:t>
            </w:r>
          </w:p>
        </w:tc>
        <w:tc>
          <w:tcPr>
            <w:tcW w:w="1000"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000"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39.5000</w:t>
            </w:r>
          </w:p>
        </w:tc>
        <w:tc>
          <w:tcPr>
            <w:gridSpan w:val="0"/>
          </w:tcPr>
          <w:p w:rsidR="00000000" w:rsidRDefault="0051132D">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Moda</w:t>
            </w:r>
          </w:p>
        </w:tc>
        <w:tc>
          <w:tcPr>
            <w:tcW w:w="1000"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000"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43.50</w:t>
            </w:r>
          </w:p>
        </w:tc>
        <w:tc>
          <w:tcPr>
            <w:gridSpan w:val="0"/>
          </w:tcPr>
          <w:p w:rsidR="00000000" w:rsidRDefault="0051132D">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Desviación Std.</w:t>
            </w:r>
          </w:p>
        </w:tc>
        <w:tc>
          <w:tcPr>
            <w:tcW w:w="1000"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000"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8.5400</w:t>
            </w:r>
          </w:p>
        </w:tc>
        <w:tc>
          <w:tcPr>
            <w:gridSpan w:val="0"/>
          </w:tcPr>
          <w:p w:rsidR="00000000" w:rsidRDefault="0051132D">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Varianza</w:t>
            </w:r>
          </w:p>
        </w:tc>
        <w:tc>
          <w:tcPr>
            <w:tcW w:w="1000" w:type="dxa"/>
          </w:tcPr>
          <w:p w:rsidR="00000000" w:rsidRDefault="0051132D">
            <w:pPr>
              <w:rPr>
                <w:rFonts w:ascii="Times New Roman" w:hAnsi="Times New Roman"/>
                <w:snapToGrid w:val="0"/>
                <w:sz w:val="24"/>
                <w:lang w:val="es-ES"/>
              </w:rPr>
            </w:pPr>
            <w:r>
              <w:rPr>
                <w:rFonts w:ascii="Times New Roman" w:hAnsi="Times New Roman"/>
                <w:snapToGrid w:val="0"/>
                <w:sz w:val="24"/>
                <w:lang w:val="es-ES"/>
              </w:rPr>
              <w:t xml:space="preserve"> </w:t>
            </w:r>
          </w:p>
        </w:tc>
        <w:tc>
          <w:tcPr>
            <w:tcW w:w="1000"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72.9315</w:t>
            </w:r>
          </w:p>
        </w:tc>
        <w:tc>
          <w:tcPr>
            <w:gridSpan w:val="0"/>
          </w:tcPr>
          <w:p w:rsidR="00000000" w:rsidRDefault="0051132D">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Coef. de variaci</w:t>
            </w:r>
            <w:r>
              <w:rPr>
                <w:rFonts w:ascii="Times New Roman" w:hAnsi="Times New Roman"/>
                <w:snapToGrid w:val="0"/>
                <w:sz w:val="24"/>
                <w:lang w:val="es-ES"/>
              </w:rPr>
              <w:t>ón</w:t>
            </w:r>
          </w:p>
        </w:tc>
        <w:tc>
          <w:tcPr>
            <w:tcW w:w="1000" w:type="dxa"/>
          </w:tcPr>
          <w:p w:rsidR="00000000" w:rsidRDefault="0051132D">
            <w:pPr>
              <w:jc w:val="right"/>
              <w:rPr>
                <w:rFonts w:ascii="Times New Roman" w:hAnsi="Times New Roman"/>
                <w:snapToGrid w:val="0"/>
                <w:sz w:val="24"/>
                <w:lang w:val="es-ES"/>
              </w:rPr>
            </w:pPr>
          </w:p>
        </w:tc>
        <w:tc>
          <w:tcPr>
            <w:tcW w:w="1000"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.218</w:t>
            </w:r>
          </w:p>
        </w:tc>
      </w:tr>
      <w:tr w:rsidR="00000000">
        <w:tblPrEx>
          <w:tblCellMar>
            <w:top w:w="0" w:type="dxa"/>
            <w:left w:w="0" w:type="dxa"/>
            <w:bottom w:w="0" w:type="dxa"/>
            <w:right w:w="0" w:type="dxa"/>
          </w:tblCellMar>
        </w:tblPrEx>
        <w:tc>
          <w:tcPr>
            <w:tcW w:w="2268"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Sesgo</w:t>
            </w:r>
          </w:p>
        </w:tc>
        <w:tc>
          <w:tcPr>
            <w:tcW w:w="1000"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000"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.031</w:t>
            </w:r>
          </w:p>
        </w:tc>
        <w:tc>
          <w:tcPr>
            <w:gridSpan w:val="0"/>
          </w:tcPr>
          <w:p w:rsidR="00000000" w:rsidRDefault="0051132D">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Kurtosis</w:t>
            </w:r>
          </w:p>
        </w:tc>
        <w:tc>
          <w:tcPr>
            <w:tcW w:w="1000"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000"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-.089</w:t>
            </w:r>
          </w:p>
        </w:tc>
        <w:tc>
          <w:tcPr>
            <w:gridSpan w:val="0"/>
          </w:tcPr>
          <w:p w:rsidR="00000000" w:rsidRDefault="0051132D">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Rango</w:t>
            </w:r>
          </w:p>
        </w:tc>
        <w:tc>
          <w:tcPr>
            <w:tcW w:w="1000"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000"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53.50</w:t>
            </w:r>
          </w:p>
        </w:tc>
        <w:tc>
          <w:tcPr>
            <w:gridSpan w:val="0"/>
          </w:tcPr>
          <w:p w:rsidR="00000000" w:rsidRDefault="0051132D">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Mínimo</w:t>
            </w:r>
          </w:p>
        </w:tc>
        <w:tc>
          <w:tcPr>
            <w:tcW w:w="1000"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000"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15.50</w:t>
            </w:r>
          </w:p>
        </w:tc>
        <w:tc>
          <w:tcPr>
            <w:gridSpan w:val="0"/>
          </w:tcPr>
          <w:p w:rsidR="00000000" w:rsidRDefault="0051132D">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Máximo</w:t>
            </w:r>
          </w:p>
        </w:tc>
        <w:tc>
          <w:tcPr>
            <w:tcW w:w="1000"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000"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69.00</w:t>
            </w:r>
          </w:p>
        </w:tc>
        <w:tc>
          <w:tcPr>
            <w:gridSpan w:val="0"/>
          </w:tcPr>
          <w:p w:rsidR="00000000" w:rsidRDefault="0051132D">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Cuartiles</w:t>
            </w:r>
          </w:p>
        </w:tc>
        <w:tc>
          <w:tcPr>
            <w:tcW w:w="1000" w:type="dxa"/>
          </w:tcPr>
          <w:p w:rsidR="00000000" w:rsidRDefault="0051132D">
            <w:pPr>
              <w:jc w:val="center"/>
              <w:rPr>
                <w:rFonts w:ascii="Times New Roman" w:hAnsi="Times New Roman"/>
                <w:snapToGrid w:val="0"/>
                <w:sz w:val="24"/>
                <w:lang w:val="es-ES"/>
              </w:rPr>
            </w:pPr>
            <w:r>
              <w:rPr>
                <w:rFonts w:ascii="Times New Roman" w:hAnsi="Times New Roman"/>
                <w:snapToGrid w:val="0"/>
                <w:sz w:val="24"/>
                <w:lang w:val="es-ES"/>
              </w:rPr>
              <w:t>1</w:t>
            </w:r>
          </w:p>
        </w:tc>
        <w:tc>
          <w:tcPr>
            <w:tcW w:w="1000"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33.37</w:t>
            </w:r>
          </w:p>
        </w:tc>
        <w:tc>
          <w:tcPr>
            <w:gridSpan w:val="0"/>
          </w:tcPr>
          <w:p w:rsidR="00000000" w:rsidRDefault="0051132D">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000" w:type="dxa"/>
          </w:tcPr>
          <w:p w:rsidR="00000000" w:rsidRDefault="0051132D">
            <w:pPr>
              <w:jc w:val="center"/>
              <w:rPr>
                <w:rFonts w:ascii="Times New Roman" w:hAnsi="Times New Roman"/>
                <w:snapToGrid w:val="0"/>
                <w:sz w:val="24"/>
                <w:lang w:val="es-ES"/>
              </w:rPr>
            </w:pPr>
            <w:r>
              <w:rPr>
                <w:rFonts w:ascii="Times New Roman" w:hAnsi="Times New Roman"/>
                <w:snapToGrid w:val="0"/>
                <w:sz w:val="24"/>
                <w:lang w:val="es-ES"/>
              </w:rPr>
              <w:t>2</w:t>
            </w:r>
          </w:p>
        </w:tc>
        <w:tc>
          <w:tcPr>
            <w:tcW w:w="1000"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39.50</w:t>
            </w:r>
          </w:p>
        </w:tc>
        <w:tc>
          <w:tcPr>
            <w:gridSpan w:val="0"/>
          </w:tcPr>
          <w:p w:rsidR="00000000" w:rsidRDefault="0051132D">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000" w:type="dxa"/>
          </w:tcPr>
          <w:p w:rsidR="00000000" w:rsidRDefault="0051132D">
            <w:pPr>
              <w:jc w:val="center"/>
              <w:rPr>
                <w:rFonts w:ascii="Times New Roman" w:hAnsi="Times New Roman"/>
                <w:snapToGrid w:val="0"/>
                <w:sz w:val="24"/>
                <w:lang w:val="es-ES"/>
              </w:rPr>
            </w:pPr>
            <w:r>
              <w:rPr>
                <w:rFonts w:ascii="Times New Roman" w:hAnsi="Times New Roman"/>
                <w:snapToGrid w:val="0"/>
                <w:sz w:val="24"/>
                <w:lang w:val="es-ES"/>
              </w:rPr>
              <w:t>3</w:t>
            </w:r>
          </w:p>
        </w:tc>
        <w:tc>
          <w:tcPr>
            <w:tcW w:w="1000" w:type="dxa"/>
          </w:tcPr>
          <w:p w:rsidR="00000000" w:rsidRDefault="0051132D">
            <w:pPr>
              <w:jc w:val="right"/>
              <w:rPr>
                <w:rFonts w:ascii="Times New Roman" w:hAnsi="Times New Roman"/>
                <w:snapToGrid w:val="0"/>
                <w:sz w:val="24"/>
                <w:lang w:val="es-ES"/>
              </w:rPr>
            </w:pPr>
            <w:r>
              <w:rPr>
                <w:rFonts w:ascii="Times New Roman" w:hAnsi="Times New Roman"/>
                <w:snapToGrid w:val="0"/>
                <w:sz w:val="24"/>
                <w:lang w:val="es-ES"/>
              </w:rPr>
              <w:t>45.00</w:t>
            </w:r>
          </w:p>
        </w:tc>
        <w:tc>
          <w:tcPr>
            <w:gridSpan w:val="0"/>
          </w:tcPr>
          <w:p w:rsidR="00000000" w:rsidRDefault="0051132D">
            <w:pPr>
              <w:rPr>
                <w:rFonts w:ascii="Times New Roman" w:hAnsi="Times New Roman"/>
                <w:snapToGrid w:val="0"/>
                <w:sz w:val="24"/>
                <w:lang w:val="es-ES"/>
              </w:rPr>
            </w:pPr>
            <w:r>
              <w:rPr>
                <w:rFonts w:ascii="Times New Roman" w:hAnsi="Times New Roman"/>
                <w:snapToGrid w:val="0"/>
                <w:sz w:val="24"/>
                <w:lang w:val="es-ES"/>
              </w:rPr>
              <w:t xml:space="preserve"> </w:t>
            </w:r>
          </w:p>
        </w:tc>
      </w:tr>
    </w:tbl>
    <w:p w:rsidR="00000000" w:rsidRDefault="0051132D">
      <w:pPr>
        <w:jc w:val="center"/>
        <w:rPr>
          <w:rFonts w:ascii="Arial" w:hAnsi="Arial"/>
          <w:sz w:val="24"/>
        </w:rPr>
      </w:pPr>
    </w:p>
    <w:p w:rsidR="00000000" w:rsidRDefault="0051132D">
      <w:pPr>
        <w:jc w:val="center"/>
        <w:rPr>
          <w:rFonts w:ascii="Arial" w:hAnsi="Arial"/>
          <w:sz w:val="24"/>
        </w:rPr>
      </w:pPr>
    </w:p>
    <w:p w:rsidR="00000000" w:rsidRDefault="0051132D">
      <w:pPr>
        <w:jc w:val="center"/>
        <w:rPr>
          <w:rFonts w:ascii="Arial" w:hAnsi="Arial"/>
          <w:sz w:val="24"/>
        </w:rPr>
      </w:pPr>
    </w:p>
    <w:p w:rsidR="00000000" w:rsidRDefault="0051132D">
      <w:pPr>
        <w:jc w:val="center"/>
        <w:rPr>
          <w:rFonts w:ascii="Arial" w:hAnsi="Arial"/>
          <w:b/>
          <w:sz w:val="24"/>
        </w:rPr>
      </w:pPr>
      <w:r>
        <w:rPr>
          <w:rFonts w:ascii="Arial" w:hAnsi="Arial"/>
          <w:b/>
          <w:sz w:val="24"/>
        </w:rPr>
        <w:t>Gráfico 5</w:t>
      </w:r>
    </w:p>
    <w:p w:rsidR="00000000" w:rsidRDefault="004E7002">
      <w:pPr>
        <w:jc w:val="center"/>
        <w:rPr>
          <w:rFonts w:ascii="Arial" w:hAnsi="Arial"/>
          <w:b/>
          <w:sz w:val="24"/>
        </w:rPr>
      </w:pPr>
      <w:r>
        <w:rPr>
          <w:noProof/>
          <w:lang w:val="es-ES"/>
        </w:rPr>
        <w:drawing>
          <wp:anchor distT="0" distB="0" distL="114300" distR="114300" simplePos="0" relativeHeight="251661312" behindDoc="0" locked="0" layoutInCell="0" allowOverlap="1">
            <wp:simplePos x="0" y="0"/>
            <wp:positionH relativeFrom="column">
              <wp:posOffset>546100</wp:posOffset>
            </wp:positionH>
            <wp:positionV relativeFrom="paragraph">
              <wp:posOffset>350520</wp:posOffset>
            </wp:positionV>
            <wp:extent cx="4140200" cy="1889760"/>
            <wp:effectExtent l="0" t="0" r="0" b="0"/>
            <wp:wrapTopAndBottom/>
            <wp:docPr id="9" name="Objeto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51132D">
        <w:rPr>
          <w:rFonts w:ascii="Arial" w:hAnsi="Arial"/>
          <w:b/>
          <w:sz w:val="24"/>
        </w:rPr>
        <w:t>Promedio general</w:t>
      </w:r>
    </w:p>
    <w:p w:rsidR="00000000" w:rsidRDefault="0051132D">
      <w:pPr>
        <w:jc w:val="center"/>
        <w:rPr>
          <w:rFonts w:ascii="Arial" w:hAnsi="Arial"/>
          <w:b/>
          <w:sz w:val="24"/>
        </w:rPr>
      </w:pPr>
    </w:p>
    <w:p w:rsidR="00000000" w:rsidRDefault="0051132D">
      <w:pPr>
        <w:jc w:val="center"/>
        <w:rPr>
          <w:rFonts w:ascii="Arial" w:hAnsi="Arial"/>
          <w:b/>
          <w:sz w:val="24"/>
        </w:rPr>
      </w:pPr>
    </w:p>
    <w:p w:rsidR="00000000" w:rsidRDefault="0051132D">
      <w:pPr>
        <w:jc w:val="center"/>
        <w:rPr>
          <w:rFonts w:ascii="Arial" w:hAnsi="Arial"/>
          <w:b/>
          <w:sz w:val="24"/>
        </w:rPr>
      </w:pPr>
      <w:r>
        <w:rPr>
          <w:rFonts w:ascii="Arial" w:hAnsi="Arial"/>
          <w:b/>
          <w:sz w:val="24"/>
        </w:rPr>
        <w:t>Gráfico 6</w:t>
      </w:r>
    </w:p>
    <w:p w:rsidR="00000000" w:rsidRDefault="004E7002">
      <w:pPr>
        <w:jc w:val="center"/>
        <w:rPr>
          <w:rFonts w:ascii="Arial" w:hAnsi="Arial"/>
          <w:b/>
          <w:sz w:val="24"/>
        </w:rPr>
      </w:pPr>
      <w:r>
        <w:rPr>
          <w:rFonts w:ascii="Arial" w:hAnsi="Arial"/>
          <w:b/>
          <w:noProof/>
          <w:sz w:val="24"/>
          <w:lang w:val="es-ES"/>
        </w:rPr>
        <w:drawing>
          <wp:anchor distT="0" distB="0" distL="114300" distR="114300" simplePos="0" relativeHeight="251657216" behindDoc="0" locked="0" layoutInCell="0" allowOverlap="1">
            <wp:simplePos x="0" y="0"/>
            <wp:positionH relativeFrom="column">
              <wp:posOffset>388620</wp:posOffset>
            </wp:positionH>
            <wp:positionV relativeFrom="paragraph">
              <wp:posOffset>462280</wp:posOffset>
            </wp:positionV>
            <wp:extent cx="4754880" cy="331025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4754880" cy="3310255"/>
                    </a:xfrm>
                    <a:prstGeom prst="rect">
                      <a:avLst/>
                    </a:prstGeom>
                    <a:noFill/>
                  </pic:spPr>
                </pic:pic>
              </a:graphicData>
            </a:graphic>
          </wp:anchor>
        </w:drawing>
      </w:r>
      <w:r>
        <w:rPr>
          <w:noProof/>
          <w:lang w:val="es-ES"/>
        </w:rPr>
        <w:drawing>
          <wp:anchor distT="0" distB="0" distL="114300" distR="114300" simplePos="0" relativeHeight="251659264" behindDoc="0" locked="0" layoutInCell="0" allowOverlap="1">
            <wp:simplePos x="0" y="0"/>
            <wp:positionH relativeFrom="column">
              <wp:posOffset>363220</wp:posOffset>
            </wp:positionH>
            <wp:positionV relativeFrom="paragraph">
              <wp:posOffset>350520</wp:posOffset>
            </wp:positionV>
            <wp:extent cx="4140200" cy="2014855"/>
            <wp:effectExtent l="0" t="0" r="0" b="0"/>
            <wp:wrapTopAndBottom/>
            <wp:docPr id="7" name="Objeto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51132D">
        <w:rPr>
          <w:rFonts w:ascii="Arial" w:hAnsi="Arial"/>
          <w:b/>
          <w:sz w:val="24"/>
        </w:rPr>
        <w:t>Promedio general (ojiva y diagrama de caja)</w:t>
      </w:r>
    </w:p>
    <w:p w:rsidR="00000000" w:rsidRDefault="0051132D">
      <w:pPr>
        <w:jc w:val="center"/>
        <w:rPr>
          <w:rFonts w:ascii="Arial" w:hAnsi="Arial"/>
          <w:b/>
          <w:sz w:val="24"/>
        </w:rPr>
      </w:pPr>
    </w:p>
    <w:p w:rsidR="00000000" w:rsidRDefault="0051132D">
      <w:pPr>
        <w:jc w:val="center"/>
        <w:rPr>
          <w:rFonts w:ascii="Arial" w:hAnsi="Arial"/>
          <w:b/>
          <w:sz w:val="24"/>
        </w:rPr>
      </w:pPr>
    </w:p>
    <w:p w:rsidR="00000000" w:rsidRDefault="0051132D">
      <w:pPr>
        <w:jc w:val="center"/>
        <w:rPr>
          <w:rFonts w:ascii="Arial" w:hAnsi="Arial"/>
          <w:b/>
          <w:sz w:val="24"/>
        </w:rPr>
      </w:pPr>
    </w:p>
    <w:p w:rsidR="00000000" w:rsidRDefault="0051132D">
      <w:pPr>
        <w:jc w:val="center"/>
        <w:rPr>
          <w:rFonts w:ascii="Arial" w:hAnsi="Arial"/>
          <w:b/>
          <w:sz w:val="24"/>
        </w:rPr>
      </w:pPr>
    </w:p>
    <w:p w:rsidR="00000000" w:rsidRDefault="0051132D">
      <w:pPr>
        <w:jc w:val="center"/>
        <w:rPr>
          <w:rFonts w:ascii="Arial" w:hAnsi="Arial"/>
          <w:b/>
          <w:sz w:val="24"/>
        </w:rPr>
      </w:pPr>
    </w:p>
    <w:p w:rsidR="00000000" w:rsidRDefault="0051132D">
      <w:pPr>
        <w:jc w:val="center"/>
        <w:rPr>
          <w:rFonts w:ascii="Arial" w:hAnsi="Arial"/>
          <w:b/>
          <w:sz w:val="24"/>
        </w:rPr>
      </w:pPr>
    </w:p>
    <w:p w:rsidR="00000000" w:rsidRDefault="0051132D">
      <w:pPr>
        <w:rPr>
          <w:rFonts w:ascii="Arial" w:hAnsi="Arial"/>
        </w:rPr>
      </w:pPr>
    </w:p>
    <w:p w:rsidR="00000000" w:rsidRDefault="0051132D">
      <w:pPr>
        <w:rPr>
          <w:rFonts w:ascii="Arial" w:hAnsi="Arial"/>
        </w:rPr>
      </w:pPr>
    </w:p>
    <w:p w:rsidR="00000000" w:rsidRDefault="0051132D">
      <w:pPr>
        <w:rPr>
          <w:rFonts w:ascii="Arial" w:hAnsi="Arial"/>
        </w:rPr>
      </w:pPr>
    </w:p>
    <w:p w:rsidR="00000000" w:rsidRDefault="0051132D">
      <w:pPr>
        <w:rPr>
          <w:rFonts w:ascii="Arial" w:hAnsi="Arial"/>
        </w:rPr>
      </w:pPr>
    </w:p>
    <w:p w:rsidR="00000000" w:rsidRDefault="0051132D">
      <w:pPr>
        <w:rPr>
          <w:lang w:val="es-ES"/>
        </w:rPr>
      </w:pPr>
    </w:p>
    <w:p w:rsidR="00000000" w:rsidRDefault="0051132D">
      <w:pPr>
        <w:spacing w:line="480" w:lineRule="auto"/>
        <w:rPr>
          <w:rFonts w:ascii="Arial" w:hAnsi="Arial"/>
          <w:sz w:val="24"/>
          <w:lang w:val="es-ES"/>
        </w:rPr>
      </w:pPr>
      <w:r>
        <w:rPr>
          <w:rFonts w:ascii="Arial" w:hAnsi="Arial"/>
          <w:b/>
          <w:sz w:val="32"/>
          <w:lang w:val="es-ES"/>
        </w:rPr>
        <w:t>Conclusiones</w:t>
      </w:r>
      <w:r>
        <w:rPr>
          <w:rFonts w:ascii="Arial" w:hAnsi="Arial"/>
          <w:b/>
          <w:sz w:val="52"/>
          <w:lang w:val="es-ES"/>
        </w:rPr>
        <w:t xml:space="preserve"> </w:t>
      </w:r>
    </w:p>
    <w:p w:rsidR="00000000" w:rsidRDefault="0051132D">
      <w:pPr>
        <w:numPr>
          <w:ilvl w:val="0"/>
          <w:numId w:val="2"/>
        </w:numPr>
        <w:jc w:val="both"/>
        <w:rPr>
          <w:rFonts w:ascii="Arial" w:hAnsi="Arial"/>
          <w:lang w:val="es-ES"/>
        </w:rPr>
      </w:pPr>
      <w:r>
        <w:rPr>
          <w:rFonts w:ascii="Arial" w:hAnsi="Arial"/>
          <w:sz w:val="24"/>
          <w:lang w:val="es-ES"/>
        </w:rPr>
        <w:t>El s</w:t>
      </w:r>
      <w:r>
        <w:rPr>
          <w:rFonts w:ascii="Arial" w:hAnsi="Arial"/>
          <w:sz w:val="24"/>
          <w:lang w:val="es-ES"/>
        </w:rPr>
        <w:t>exo de los estudiantes influye en las notas obtenidas tanto en lenguaje como en matemáticas, ya que el sexo femenino es el que mejores calificaciones obtiene en las pruebas que se aplicaron.</w:t>
      </w:r>
    </w:p>
    <w:p w:rsidR="00000000" w:rsidRDefault="0051132D">
      <w:pPr>
        <w:jc w:val="both"/>
        <w:rPr>
          <w:rFonts w:ascii="Arial" w:hAnsi="Arial"/>
          <w:sz w:val="24"/>
          <w:lang w:val="es-ES"/>
        </w:rPr>
      </w:pPr>
    </w:p>
    <w:p w:rsidR="00000000" w:rsidRDefault="0051132D">
      <w:pPr>
        <w:jc w:val="both"/>
        <w:rPr>
          <w:rFonts w:ascii="Arial" w:hAnsi="Arial"/>
          <w:lang w:val="es-ES"/>
        </w:rPr>
      </w:pPr>
    </w:p>
    <w:p w:rsidR="00000000" w:rsidRDefault="0051132D">
      <w:pPr>
        <w:numPr>
          <w:ilvl w:val="0"/>
          <w:numId w:val="2"/>
        </w:numPr>
        <w:jc w:val="both"/>
        <w:rPr>
          <w:rFonts w:ascii="Arial" w:hAnsi="Arial"/>
          <w:lang w:val="es-ES"/>
        </w:rPr>
      </w:pPr>
      <w:r>
        <w:rPr>
          <w:rFonts w:ascii="Arial" w:hAnsi="Arial"/>
          <w:sz w:val="24"/>
          <w:lang w:val="es-ES"/>
        </w:rPr>
        <w:t>La edad de los estudiantes no tiene relación con la nota obteni</w:t>
      </w:r>
      <w:r>
        <w:rPr>
          <w:rFonts w:ascii="Arial" w:hAnsi="Arial"/>
          <w:sz w:val="24"/>
          <w:lang w:val="es-ES"/>
        </w:rPr>
        <w:t>da de matemáticas, sin embargo tiene relación (no lineal) con la nota obtenida en lenguaje.</w:t>
      </w:r>
    </w:p>
    <w:p w:rsidR="00000000" w:rsidRDefault="0051132D">
      <w:pPr>
        <w:numPr>
          <w:ilvl w:val="0"/>
          <w:numId w:val="2"/>
        </w:numPr>
        <w:jc w:val="both"/>
        <w:rPr>
          <w:rFonts w:ascii="Arial" w:hAnsi="Arial"/>
          <w:lang w:val="es-ES"/>
        </w:rPr>
      </w:pPr>
      <w:r>
        <w:rPr>
          <w:rFonts w:ascii="Arial" w:hAnsi="Arial"/>
          <w:sz w:val="24"/>
          <w:lang w:val="es-ES"/>
        </w:rPr>
        <w:t>A pesar de que existe un coeficiente de correlación lineal muy bajo entre las notas de matemáticas y lenguaje (0.143), lo cual se podría interpretar como si no estu</w:t>
      </w:r>
      <w:r>
        <w:rPr>
          <w:rFonts w:ascii="Arial" w:hAnsi="Arial"/>
          <w:sz w:val="24"/>
          <w:lang w:val="es-ES"/>
        </w:rPr>
        <w:t xml:space="preserve">vieran relacionadas, sí existe una dependencia no lineal entre las mismas, este resultado se obtuvo por medio de una tabla de contingencia. </w:t>
      </w:r>
    </w:p>
    <w:p w:rsidR="00000000" w:rsidRDefault="0051132D">
      <w:pPr>
        <w:jc w:val="both"/>
        <w:rPr>
          <w:rFonts w:ascii="Arial" w:hAnsi="Arial"/>
          <w:sz w:val="24"/>
          <w:lang w:val="es-ES"/>
        </w:rPr>
      </w:pPr>
    </w:p>
    <w:p w:rsidR="00000000" w:rsidRDefault="0051132D">
      <w:pPr>
        <w:jc w:val="both"/>
        <w:rPr>
          <w:rFonts w:ascii="Arial" w:hAnsi="Arial"/>
          <w:lang w:val="es-ES"/>
        </w:rPr>
      </w:pPr>
    </w:p>
    <w:p w:rsidR="00000000" w:rsidRDefault="0051132D">
      <w:pPr>
        <w:numPr>
          <w:ilvl w:val="0"/>
          <w:numId w:val="2"/>
        </w:numPr>
        <w:jc w:val="both"/>
        <w:rPr>
          <w:rFonts w:ascii="Arial" w:hAnsi="Arial"/>
          <w:lang w:val="es-ES"/>
        </w:rPr>
      </w:pPr>
      <w:r>
        <w:rPr>
          <w:rFonts w:ascii="Arial" w:hAnsi="Arial"/>
          <w:sz w:val="24"/>
        </w:rPr>
        <w:t>El 51,9% de estudiantes del décimo año de educación básica de los colegios fiscales urbanos del cantón Guayaquil,</w:t>
      </w:r>
      <w:r>
        <w:rPr>
          <w:rFonts w:ascii="Arial" w:hAnsi="Arial"/>
          <w:sz w:val="24"/>
        </w:rPr>
        <w:t xml:space="preserve"> que rindieron las pruebas en Noviembre del 2000 en los colegios fiscales urbanos del cantón Guayaquil eran mujeres y el 48.09% eran hombres.</w:t>
      </w:r>
    </w:p>
    <w:p w:rsidR="00000000" w:rsidRDefault="0051132D">
      <w:pPr>
        <w:jc w:val="both"/>
        <w:rPr>
          <w:rFonts w:ascii="Arial" w:hAnsi="Arial"/>
          <w:sz w:val="24"/>
          <w:lang w:val="es-ES"/>
        </w:rPr>
      </w:pPr>
    </w:p>
    <w:p w:rsidR="00000000" w:rsidRDefault="0051132D">
      <w:pPr>
        <w:jc w:val="both"/>
        <w:rPr>
          <w:rFonts w:ascii="Arial" w:hAnsi="Arial"/>
          <w:sz w:val="24"/>
          <w:lang w:val="es-ES"/>
        </w:rPr>
      </w:pPr>
    </w:p>
    <w:p w:rsidR="00000000" w:rsidRDefault="0051132D">
      <w:pPr>
        <w:numPr>
          <w:ilvl w:val="0"/>
          <w:numId w:val="2"/>
        </w:numPr>
        <w:jc w:val="both"/>
        <w:rPr>
          <w:rFonts w:ascii="Arial" w:hAnsi="Arial"/>
          <w:lang w:val="es-ES"/>
        </w:rPr>
      </w:pPr>
      <w:r>
        <w:rPr>
          <w:rFonts w:ascii="Arial" w:hAnsi="Arial"/>
          <w:sz w:val="24"/>
        </w:rPr>
        <w:t>Los estudiantes del décimo año de educación básica, a Enero del año 2001 tenían edades comprendidas entre 12 y 1</w:t>
      </w:r>
      <w:r>
        <w:rPr>
          <w:rFonts w:ascii="Arial" w:hAnsi="Arial"/>
          <w:sz w:val="24"/>
        </w:rPr>
        <w:t xml:space="preserve">8 años, la media de las edades fue 14.44, habiendo un 75% de estos menores a 15 años. </w:t>
      </w:r>
    </w:p>
    <w:p w:rsidR="00000000" w:rsidRDefault="0051132D">
      <w:pPr>
        <w:jc w:val="both"/>
        <w:rPr>
          <w:rFonts w:ascii="Arial" w:hAnsi="Arial"/>
          <w:sz w:val="24"/>
          <w:lang w:val="es-ES"/>
        </w:rPr>
      </w:pPr>
    </w:p>
    <w:p w:rsidR="00000000" w:rsidRDefault="0051132D">
      <w:pPr>
        <w:jc w:val="both"/>
        <w:rPr>
          <w:rFonts w:ascii="Arial" w:hAnsi="Arial"/>
          <w:sz w:val="24"/>
          <w:lang w:val="es-ES"/>
        </w:rPr>
      </w:pPr>
    </w:p>
    <w:p w:rsidR="00000000" w:rsidRDefault="0051132D">
      <w:pPr>
        <w:numPr>
          <w:ilvl w:val="0"/>
          <w:numId w:val="2"/>
        </w:numPr>
        <w:jc w:val="both"/>
        <w:rPr>
          <w:rFonts w:ascii="Arial" w:hAnsi="Arial"/>
          <w:lang w:val="es-ES"/>
        </w:rPr>
      </w:pPr>
      <w:r>
        <w:rPr>
          <w:rFonts w:ascii="Arial" w:hAnsi="Arial"/>
          <w:sz w:val="24"/>
          <w:lang w:val="es-ES"/>
        </w:rPr>
        <w:t xml:space="preserve">El 88.6% de los estudiantes del décimo año de educación básica de los colegios fiscales urbanos del cantón Guayaquil, a los que se les aplicó la prueba saben realizar </w:t>
      </w:r>
      <w:r>
        <w:rPr>
          <w:rFonts w:ascii="Arial" w:hAnsi="Arial"/>
          <w:sz w:val="24"/>
          <w:lang w:val="es-ES"/>
        </w:rPr>
        <w:t xml:space="preserve">correctamente una suma de enteros, 83.5% saben realizar correctamente la resta de enteros, 51.9% saben multiplicar enteros, 40% sabe efectuar correctamente la división de enteros. </w:t>
      </w:r>
    </w:p>
    <w:p w:rsidR="00000000" w:rsidRDefault="0051132D">
      <w:pPr>
        <w:jc w:val="both"/>
        <w:rPr>
          <w:rFonts w:ascii="Arial" w:hAnsi="Arial"/>
          <w:sz w:val="24"/>
          <w:lang w:val="es-ES"/>
        </w:rPr>
      </w:pPr>
    </w:p>
    <w:p w:rsidR="00000000" w:rsidRDefault="0051132D">
      <w:pPr>
        <w:jc w:val="both"/>
        <w:rPr>
          <w:rFonts w:ascii="Arial" w:hAnsi="Arial"/>
          <w:lang w:val="es-ES"/>
        </w:rPr>
      </w:pPr>
    </w:p>
    <w:p w:rsidR="00000000" w:rsidRDefault="0051132D">
      <w:pPr>
        <w:numPr>
          <w:ilvl w:val="0"/>
          <w:numId w:val="2"/>
        </w:numPr>
        <w:jc w:val="both"/>
        <w:rPr>
          <w:rFonts w:ascii="Arial" w:hAnsi="Arial"/>
          <w:sz w:val="24"/>
          <w:lang w:val="es-ES"/>
        </w:rPr>
      </w:pPr>
      <w:r>
        <w:rPr>
          <w:rFonts w:ascii="Arial" w:hAnsi="Arial"/>
          <w:sz w:val="24"/>
          <w:lang w:val="es-ES"/>
        </w:rPr>
        <w:t>En cuanto a quebrados el 53.3% saben realizar correctamente una suma de q</w:t>
      </w:r>
      <w:r>
        <w:rPr>
          <w:rFonts w:ascii="Arial" w:hAnsi="Arial"/>
          <w:sz w:val="24"/>
          <w:lang w:val="es-ES"/>
        </w:rPr>
        <w:t>uebrados, 40.1% saben realizar correctamente una resta de quebrados, 28.4% saben multiplicar quebrados, y 38.2% saben efectuar correctamente la operación división de quebrados.</w:t>
      </w:r>
    </w:p>
    <w:p w:rsidR="00000000" w:rsidRDefault="0051132D">
      <w:pPr>
        <w:jc w:val="both"/>
        <w:rPr>
          <w:rFonts w:ascii="Arial" w:hAnsi="Arial"/>
          <w:sz w:val="24"/>
          <w:lang w:val="es-ES"/>
        </w:rPr>
      </w:pPr>
    </w:p>
    <w:p w:rsidR="00000000" w:rsidRDefault="0051132D">
      <w:pPr>
        <w:jc w:val="both"/>
        <w:rPr>
          <w:rFonts w:ascii="Arial" w:hAnsi="Arial"/>
          <w:sz w:val="24"/>
          <w:lang w:val="es-ES"/>
        </w:rPr>
      </w:pPr>
    </w:p>
    <w:p w:rsidR="00000000" w:rsidRDefault="0051132D">
      <w:pPr>
        <w:numPr>
          <w:ilvl w:val="0"/>
          <w:numId w:val="2"/>
        </w:numPr>
        <w:jc w:val="both"/>
        <w:rPr>
          <w:rFonts w:ascii="Arial" w:hAnsi="Arial"/>
          <w:lang w:val="es-ES"/>
        </w:rPr>
      </w:pPr>
      <w:r>
        <w:rPr>
          <w:rFonts w:ascii="Arial" w:hAnsi="Arial"/>
          <w:sz w:val="24"/>
          <w:lang w:val="es-ES"/>
        </w:rPr>
        <w:t xml:space="preserve">Dentro del programa de estudios de décimo año de educación básica se propone </w:t>
      </w:r>
      <w:r>
        <w:rPr>
          <w:rFonts w:ascii="Arial" w:hAnsi="Arial"/>
          <w:sz w:val="24"/>
          <w:lang w:val="es-ES"/>
        </w:rPr>
        <w:t>la enseñanza de los sistemas de ecuaciones lineales, pero los resultados obtenidos nos indican que el 74.3% de los estudiantes no saben resolver un sistema de ecuaciones lineales, no hubo un solo caso que lo haya resuelto correctamente.</w:t>
      </w:r>
    </w:p>
    <w:p w:rsidR="00000000" w:rsidRDefault="0051132D">
      <w:pPr>
        <w:jc w:val="both"/>
        <w:rPr>
          <w:rFonts w:ascii="Arial" w:hAnsi="Arial"/>
          <w:sz w:val="24"/>
          <w:lang w:val="es-ES"/>
        </w:rPr>
      </w:pPr>
    </w:p>
    <w:p w:rsidR="00000000" w:rsidRDefault="0051132D">
      <w:pPr>
        <w:jc w:val="both"/>
        <w:rPr>
          <w:rFonts w:ascii="Arial" w:hAnsi="Arial"/>
          <w:sz w:val="24"/>
          <w:lang w:val="es-ES"/>
        </w:rPr>
      </w:pPr>
    </w:p>
    <w:p w:rsidR="00000000" w:rsidRDefault="0051132D">
      <w:pPr>
        <w:numPr>
          <w:ilvl w:val="0"/>
          <w:numId w:val="2"/>
        </w:numPr>
        <w:jc w:val="both"/>
        <w:rPr>
          <w:rFonts w:ascii="Arial" w:hAnsi="Arial"/>
          <w:lang w:val="es-ES"/>
        </w:rPr>
      </w:pPr>
      <w:r>
        <w:rPr>
          <w:rFonts w:ascii="Arial" w:hAnsi="Arial"/>
          <w:sz w:val="24"/>
          <w:lang w:val="es-ES"/>
        </w:rPr>
        <w:t>Dentro del progra</w:t>
      </w:r>
      <w:r>
        <w:rPr>
          <w:rFonts w:ascii="Arial" w:hAnsi="Arial"/>
          <w:sz w:val="24"/>
          <w:lang w:val="es-ES"/>
        </w:rPr>
        <w:t>ma de estudios de décimo año de educación básica consta la enseñanza de probabilidad y estadística, pero los resultados obtenidos nos indican que no se cumple el mismo, pues los estudiantes no tienen conocimientos de lo antes mencionado.</w:t>
      </w:r>
    </w:p>
    <w:p w:rsidR="00000000" w:rsidRDefault="0051132D">
      <w:pPr>
        <w:jc w:val="both"/>
        <w:rPr>
          <w:rFonts w:ascii="Arial" w:hAnsi="Arial"/>
          <w:sz w:val="24"/>
          <w:lang w:val="es-ES"/>
        </w:rPr>
      </w:pPr>
    </w:p>
    <w:p w:rsidR="00000000" w:rsidRDefault="0051132D">
      <w:pPr>
        <w:jc w:val="both"/>
        <w:rPr>
          <w:rFonts w:ascii="Arial" w:hAnsi="Arial"/>
          <w:sz w:val="24"/>
          <w:lang w:val="es-ES"/>
        </w:rPr>
      </w:pPr>
    </w:p>
    <w:p w:rsidR="00000000" w:rsidRDefault="0051132D">
      <w:pPr>
        <w:numPr>
          <w:ilvl w:val="0"/>
          <w:numId w:val="2"/>
        </w:numPr>
        <w:jc w:val="both"/>
        <w:rPr>
          <w:rFonts w:ascii="Arial" w:hAnsi="Arial"/>
          <w:lang w:val="es-ES"/>
        </w:rPr>
      </w:pPr>
      <w:r>
        <w:rPr>
          <w:rFonts w:ascii="Arial" w:hAnsi="Arial"/>
          <w:sz w:val="24"/>
          <w:lang w:val="es-ES"/>
        </w:rPr>
        <w:t>A pesar de que l</w:t>
      </w:r>
      <w:r>
        <w:rPr>
          <w:rFonts w:ascii="Arial" w:hAnsi="Arial"/>
          <w:sz w:val="24"/>
          <w:lang w:val="es-ES"/>
        </w:rPr>
        <w:t>os alumnos reconocen sujetos y predicados, tienen problemas en identificar núcleos del sujeto, y núcleos del predicado.</w:t>
      </w:r>
    </w:p>
    <w:p w:rsidR="00000000" w:rsidRDefault="0051132D">
      <w:pPr>
        <w:jc w:val="both"/>
        <w:rPr>
          <w:rFonts w:ascii="Arial" w:hAnsi="Arial"/>
          <w:sz w:val="24"/>
          <w:lang w:val="es-ES"/>
        </w:rPr>
      </w:pPr>
    </w:p>
    <w:p w:rsidR="00000000" w:rsidRDefault="0051132D">
      <w:pPr>
        <w:jc w:val="both"/>
        <w:rPr>
          <w:rFonts w:ascii="Arial" w:hAnsi="Arial"/>
          <w:sz w:val="24"/>
          <w:lang w:val="es-ES"/>
        </w:rPr>
      </w:pPr>
    </w:p>
    <w:p w:rsidR="00000000" w:rsidRDefault="0051132D">
      <w:pPr>
        <w:numPr>
          <w:ilvl w:val="0"/>
          <w:numId w:val="2"/>
        </w:numPr>
        <w:jc w:val="both"/>
        <w:rPr>
          <w:rFonts w:ascii="Arial" w:hAnsi="Arial"/>
          <w:lang w:val="es-ES"/>
        </w:rPr>
      </w:pPr>
      <w:r>
        <w:rPr>
          <w:rFonts w:ascii="Arial" w:hAnsi="Arial"/>
          <w:sz w:val="24"/>
          <w:lang w:val="es-ES"/>
        </w:rPr>
        <w:t>En conocimientos de diptongos, triptongos e hiatos, el 77.4% de los estudiantes identifican todos los diptongos propuestos en el tema,</w:t>
      </w:r>
      <w:r>
        <w:rPr>
          <w:rFonts w:ascii="Arial" w:hAnsi="Arial"/>
          <w:sz w:val="24"/>
          <w:lang w:val="es-ES"/>
        </w:rPr>
        <w:t xml:space="preserve">  y el 70.34% de los estudiantes reconocen todos los triptongos propuestos, el 52.98% identifican 2 y 3 hiatos, debido a que los alumnos sólo identificaban ciertos hiatos (solo los que tenían una vocal tildada).</w:t>
      </w:r>
    </w:p>
    <w:p w:rsidR="00000000" w:rsidRDefault="0051132D">
      <w:pPr>
        <w:jc w:val="both"/>
        <w:rPr>
          <w:rFonts w:ascii="Arial" w:hAnsi="Arial"/>
          <w:sz w:val="24"/>
          <w:lang w:val="es-ES"/>
        </w:rPr>
      </w:pPr>
    </w:p>
    <w:p w:rsidR="00000000" w:rsidRDefault="0051132D">
      <w:pPr>
        <w:jc w:val="both"/>
        <w:rPr>
          <w:rFonts w:ascii="Arial" w:hAnsi="Arial"/>
          <w:sz w:val="24"/>
          <w:lang w:val="es-ES"/>
        </w:rPr>
      </w:pPr>
    </w:p>
    <w:p w:rsidR="00000000" w:rsidRDefault="0051132D">
      <w:pPr>
        <w:numPr>
          <w:ilvl w:val="0"/>
          <w:numId w:val="2"/>
        </w:numPr>
        <w:jc w:val="both"/>
        <w:rPr>
          <w:rFonts w:ascii="Arial" w:hAnsi="Arial"/>
          <w:lang w:val="es-ES"/>
        </w:rPr>
      </w:pPr>
      <w:r>
        <w:rPr>
          <w:rFonts w:ascii="Arial" w:hAnsi="Arial"/>
          <w:sz w:val="24"/>
          <w:lang w:val="es-ES"/>
        </w:rPr>
        <w:t>En cuanto a acentuación de palabras (aguda</w:t>
      </w:r>
      <w:r>
        <w:rPr>
          <w:rFonts w:ascii="Arial" w:hAnsi="Arial"/>
          <w:sz w:val="24"/>
          <w:lang w:val="es-ES"/>
        </w:rPr>
        <w:t>s, graves, esdrújulas, sobreesdrújulas), el 36.35% de los estudiantes identifican 3 y 4 palabras agudas de 5 propuestas, el 53.34% identifican 6 y 7 palabras graves de 7 propuestas, el 65.10% identifican toda las palabras esdrújulas, y 69.8% de los estudia</w:t>
      </w:r>
      <w:r>
        <w:rPr>
          <w:rFonts w:ascii="Arial" w:hAnsi="Arial"/>
          <w:sz w:val="24"/>
          <w:lang w:val="es-ES"/>
        </w:rPr>
        <w:t>ntes reconocen todas las palabras sobreesdrújulas.</w:t>
      </w:r>
    </w:p>
    <w:p w:rsidR="00000000" w:rsidRDefault="0051132D">
      <w:pPr>
        <w:jc w:val="both"/>
        <w:rPr>
          <w:rFonts w:ascii="Arial" w:hAnsi="Arial"/>
          <w:sz w:val="24"/>
          <w:lang w:val="es-ES"/>
        </w:rPr>
      </w:pPr>
    </w:p>
    <w:p w:rsidR="00000000" w:rsidRDefault="0051132D">
      <w:pPr>
        <w:jc w:val="both"/>
        <w:rPr>
          <w:rFonts w:ascii="Arial" w:hAnsi="Arial"/>
          <w:sz w:val="24"/>
          <w:lang w:val="es-ES"/>
        </w:rPr>
      </w:pPr>
    </w:p>
    <w:p w:rsidR="00000000" w:rsidRDefault="0051132D">
      <w:pPr>
        <w:numPr>
          <w:ilvl w:val="0"/>
          <w:numId w:val="2"/>
        </w:numPr>
        <w:jc w:val="both"/>
        <w:rPr>
          <w:rFonts w:ascii="Arial" w:hAnsi="Arial"/>
          <w:lang w:val="es-ES"/>
        </w:rPr>
      </w:pPr>
      <w:r>
        <w:rPr>
          <w:rFonts w:ascii="Arial" w:hAnsi="Arial"/>
          <w:sz w:val="24"/>
          <w:lang w:val="es-ES"/>
        </w:rPr>
        <w:t xml:space="preserve">Los estudiantes no saben como corregir errores ortográficos, los mismos corrigen hasta un máximo de 17 errores y un mínimo de 0 errores, de 21 errores propuestos en el tema, la media de esta variable es </w:t>
      </w:r>
      <w:r>
        <w:rPr>
          <w:rFonts w:ascii="Arial" w:hAnsi="Arial"/>
          <w:sz w:val="24"/>
          <w:lang w:val="es-ES"/>
        </w:rPr>
        <w:t>de 6.39 errores corregidos y la varianza es de 16.84.</w:t>
      </w:r>
    </w:p>
    <w:p w:rsidR="00000000" w:rsidRDefault="0051132D">
      <w:pPr>
        <w:jc w:val="both"/>
        <w:rPr>
          <w:rFonts w:ascii="Arial" w:hAnsi="Arial"/>
          <w:sz w:val="24"/>
          <w:lang w:val="es-ES"/>
        </w:rPr>
      </w:pPr>
    </w:p>
    <w:p w:rsidR="00000000" w:rsidRDefault="0051132D">
      <w:pPr>
        <w:jc w:val="both"/>
        <w:rPr>
          <w:rFonts w:ascii="Arial" w:hAnsi="Arial"/>
          <w:sz w:val="24"/>
          <w:lang w:val="es-ES"/>
        </w:rPr>
      </w:pPr>
    </w:p>
    <w:p w:rsidR="00000000" w:rsidRDefault="0051132D">
      <w:pPr>
        <w:numPr>
          <w:ilvl w:val="0"/>
          <w:numId w:val="2"/>
        </w:numPr>
        <w:jc w:val="both"/>
        <w:rPr>
          <w:rFonts w:ascii="Arial" w:hAnsi="Arial"/>
          <w:lang w:val="es-ES"/>
        </w:rPr>
      </w:pPr>
      <w:r>
        <w:rPr>
          <w:rFonts w:ascii="Arial" w:hAnsi="Arial"/>
          <w:sz w:val="24"/>
          <w:lang w:val="es-ES"/>
        </w:rPr>
        <w:t>El 45.57% de los estudiantes del décimo año de educación básica, contestan 4 y 5 preguntas (de un total de 6 preguntas), con lo cual se demuestra que comprenden la lectura.</w:t>
      </w:r>
    </w:p>
    <w:p w:rsidR="00000000" w:rsidRDefault="0051132D">
      <w:pPr>
        <w:jc w:val="both"/>
        <w:rPr>
          <w:rFonts w:ascii="Arial" w:hAnsi="Arial"/>
          <w:sz w:val="24"/>
          <w:lang w:val="es-ES"/>
        </w:rPr>
      </w:pPr>
    </w:p>
    <w:p w:rsidR="00000000" w:rsidRDefault="0051132D">
      <w:pPr>
        <w:jc w:val="both"/>
        <w:rPr>
          <w:rFonts w:ascii="Arial" w:hAnsi="Arial"/>
          <w:sz w:val="24"/>
          <w:lang w:val="es-ES"/>
        </w:rPr>
      </w:pPr>
    </w:p>
    <w:p w:rsidR="00000000" w:rsidRDefault="0051132D">
      <w:pPr>
        <w:numPr>
          <w:ilvl w:val="0"/>
          <w:numId w:val="2"/>
        </w:numPr>
        <w:jc w:val="both"/>
        <w:rPr>
          <w:rFonts w:ascii="Arial" w:hAnsi="Arial"/>
          <w:lang w:val="es-ES"/>
        </w:rPr>
      </w:pPr>
      <w:r>
        <w:rPr>
          <w:rFonts w:ascii="Arial" w:hAnsi="Arial"/>
          <w:sz w:val="24"/>
          <w:lang w:val="es-ES"/>
        </w:rPr>
        <w:t>En cuanto a conocimientos</w:t>
      </w:r>
      <w:r>
        <w:rPr>
          <w:rFonts w:ascii="Arial" w:hAnsi="Arial"/>
          <w:sz w:val="24"/>
          <w:lang w:val="es-ES"/>
        </w:rPr>
        <w:t xml:space="preserve"> generales, la media de las calificaciones de lenguaje fue de 56.46 puntos, con un mínimo de 15 y un máximo de 88 puntos, mientras que la media de notas en matemáticas fue apenas de 22.82, con un mínimo de 2 puntos y un máximo de 60 puntos.</w:t>
      </w:r>
    </w:p>
    <w:p w:rsidR="00000000" w:rsidRDefault="0051132D">
      <w:pPr>
        <w:jc w:val="both"/>
        <w:rPr>
          <w:rFonts w:ascii="Arial" w:hAnsi="Arial"/>
          <w:sz w:val="24"/>
          <w:lang w:val="es-ES"/>
        </w:rPr>
      </w:pPr>
    </w:p>
    <w:p w:rsidR="00000000" w:rsidRDefault="0051132D">
      <w:pPr>
        <w:jc w:val="both"/>
        <w:rPr>
          <w:rFonts w:ascii="Arial" w:hAnsi="Arial"/>
          <w:lang w:val="es-ES"/>
        </w:rPr>
      </w:pPr>
    </w:p>
    <w:p w:rsidR="00000000" w:rsidRDefault="0051132D">
      <w:pPr>
        <w:numPr>
          <w:ilvl w:val="0"/>
          <w:numId w:val="2"/>
        </w:numPr>
        <w:jc w:val="both"/>
        <w:rPr>
          <w:rFonts w:ascii="Arial" w:hAnsi="Arial"/>
          <w:lang w:val="es-ES"/>
        </w:rPr>
      </w:pPr>
      <w:r>
        <w:rPr>
          <w:rFonts w:ascii="Arial" w:hAnsi="Arial"/>
          <w:sz w:val="24"/>
          <w:lang w:val="es-ES"/>
        </w:rPr>
        <w:t>Al hacer un a</w:t>
      </w:r>
      <w:r>
        <w:rPr>
          <w:rFonts w:ascii="Arial" w:hAnsi="Arial"/>
          <w:sz w:val="24"/>
          <w:lang w:val="es-ES"/>
        </w:rPr>
        <w:t>nálisis de correlación lineal se obtiene que el coeficiente de correlación lineal entre las variables identificación de sujetos y identificación de predicados es 0.978, es decir que mientras más sujetos sean identificados también se identificarán los predi</w:t>
      </w:r>
      <w:r>
        <w:rPr>
          <w:rFonts w:ascii="Arial" w:hAnsi="Arial"/>
          <w:sz w:val="24"/>
          <w:lang w:val="es-ES"/>
        </w:rPr>
        <w:t>cados, en realidad esta es una relación bastante obvia.</w:t>
      </w:r>
    </w:p>
    <w:p w:rsidR="00000000" w:rsidRDefault="0051132D">
      <w:pPr>
        <w:numPr>
          <w:ilvl w:val="0"/>
          <w:numId w:val="2"/>
        </w:numPr>
        <w:jc w:val="both"/>
        <w:rPr>
          <w:rFonts w:ascii="Arial" w:hAnsi="Arial"/>
          <w:lang w:val="es-ES"/>
        </w:rPr>
      </w:pPr>
      <w:r>
        <w:rPr>
          <w:rFonts w:ascii="Arial" w:hAnsi="Arial"/>
          <w:sz w:val="24"/>
          <w:lang w:val="es-ES"/>
        </w:rPr>
        <w:t>A pesar de que los coeficientes de correlación lineal entre las variables de las operaciones básicas eran bajos (haciéndonos suponer que no existía relación alguna entre las operaciones básicas), al r</w:t>
      </w:r>
      <w:r>
        <w:rPr>
          <w:rFonts w:ascii="Arial" w:hAnsi="Arial"/>
          <w:sz w:val="24"/>
          <w:lang w:val="es-ES"/>
        </w:rPr>
        <w:t>ealizar tablas de contingencia se pudo comprobar que la relación existente entre ellas no es lineal sino de otro tipo.</w:t>
      </w:r>
    </w:p>
    <w:p w:rsidR="00000000" w:rsidRDefault="0051132D">
      <w:pPr>
        <w:jc w:val="both"/>
        <w:rPr>
          <w:rFonts w:ascii="Arial" w:hAnsi="Arial"/>
          <w:sz w:val="24"/>
          <w:lang w:val="es-ES"/>
        </w:rPr>
      </w:pPr>
    </w:p>
    <w:p w:rsidR="00000000" w:rsidRDefault="0051132D">
      <w:pPr>
        <w:jc w:val="both"/>
        <w:rPr>
          <w:rFonts w:ascii="Arial" w:hAnsi="Arial"/>
          <w:sz w:val="24"/>
          <w:lang w:val="es-ES"/>
        </w:rPr>
      </w:pPr>
    </w:p>
    <w:p w:rsidR="00000000" w:rsidRDefault="0051132D">
      <w:pPr>
        <w:numPr>
          <w:ilvl w:val="0"/>
          <w:numId w:val="2"/>
        </w:numPr>
        <w:jc w:val="both"/>
        <w:rPr>
          <w:rFonts w:ascii="Arial" w:hAnsi="Arial"/>
          <w:lang w:val="es-ES"/>
        </w:rPr>
      </w:pPr>
      <w:r>
        <w:rPr>
          <w:rFonts w:ascii="Arial" w:hAnsi="Arial"/>
          <w:sz w:val="24"/>
          <w:lang w:val="es-ES"/>
        </w:rPr>
        <w:t>Al hacer un estudio de componentes principales (de todas las variables involucradas en el estudio, 62 variables) se obtuvieron 62 compo</w:t>
      </w:r>
      <w:r>
        <w:rPr>
          <w:rFonts w:ascii="Arial" w:hAnsi="Arial"/>
          <w:sz w:val="24"/>
          <w:lang w:val="es-ES"/>
        </w:rPr>
        <w:t>nentes, 20 de las componentes explican un 63.639%, se escogió los componentes obtenidos de la matriz de datos estandarizados y rotadas.</w:t>
      </w:r>
    </w:p>
    <w:p w:rsidR="00000000" w:rsidRDefault="0051132D">
      <w:pPr>
        <w:jc w:val="both"/>
        <w:rPr>
          <w:rFonts w:ascii="Arial" w:hAnsi="Arial"/>
          <w:sz w:val="24"/>
          <w:lang w:val="es-ES"/>
        </w:rPr>
      </w:pPr>
    </w:p>
    <w:p w:rsidR="00000000" w:rsidRDefault="0051132D">
      <w:pPr>
        <w:jc w:val="both"/>
        <w:rPr>
          <w:rFonts w:ascii="Arial" w:hAnsi="Arial"/>
          <w:lang w:val="es-ES"/>
        </w:rPr>
      </w:pPr>
    </w:p>
    <w:p w:rsidR="00000000" w:rsidRDefault="0051132D">
      <w:pPr>
        <w:numPr>
          <w:ilvl w:val="0"/>
          <w:numId w:val="2"/>
        </w:numPr>
        <w:jc w:val="both"/>
        <w:rPr>
          <w:rFonts w:ascii="Arial" w:hAnsi="Arial"/>
          <w:lang w:val="es-ES"/>
        </w:rPr>
      </w:pPr>
      <w:r>
        <w:rPr>
          <w:rFonts w:ascii="Arial" w:hAnsi="Arial"/>
          <w:sz w:val="24"/>
          <w:lang w:val="es-ES"/>
        </w:rPr>
        <w:t xml:space="preserve">Las variables que más relación tiene entre las pruebas de matemáticas y lenguaje (estas variables se obtuvieron luego </w:t>
      </w:r>
      <w:r>
        <w:rPr>
          <w:rFonts w:ascii="Arial" w:hAnsi="Arial"/>
          <w:sz w:val="24"/>
          <w:lang w:val="es-ES"/>
        </w:rPr>
        <w:t>del análisis de correlación canónica) son: potenciación y radicación, proporcionalidad interés, propiedades de conjuntos, lógica matemática, funciones, diptongos, palabras graves, oraciones, frases con correcta sintaxis, y acentos.</w:t>
      </w:r>
    </w:p>
    <w:p w:rsidR="00000000" w:rsidRDefault="0051132D">
      <w:pPr>
        <w:jc w:val="both"/>
        <w:rPr>
          <w:rFonts w:ascii="Arial" w:hAnsi="Arial"/>
          <w:sz w:val="24"/>
          <w:lang w:val="es-ES"/>
        </w:rPr>
      </w:pPr>
    </w:p>
    <w:p w:rsidR="00000000" w:rsidRDefault="0051132D">
      <w:pPr>
        <w:jc w:val="both"/>
        <w:rPr>
          <w:rFonts w:ascii="Arial" w:hAnsi="Arial"/>
          <w:sz w:val="24"/>
          <w:lang w:val="es-ES"/>
        </w:rPr>
      </w:pPr>
    </w:p>
    <w:p w:rsidR="00000000" w:rsidRDefault="0051132D">
      <w:pPr>
        <w:numPr>
          <w:ilvl w:val="0"/>
          <w:numId w:val="2"/>
        </w:numPr>
        <w:jc w:val="both"/>
        <w:rPr>
          <w:rFonts w:ascii="Arial" w:hAnsi="Arial"/>
          <w:lang w:val="es-ES"/>
        </w:rPr>
      </w:pPr>
      <w:r>
        <w:rPr>
          <w:rFonts w:ascii="Arial" w:hAnsi="Arial"/>
          <w:sz w:val="24"/>
          <w:lang w:val="es-ES"/>
        </w:rPr>
        <w:t xml:space="preserve">La jornada que obtuvo </w:t>
      </w:r>
      <w:r>
        <w:rPr>
          <w:rFonts w:ascii="Arial" w:hAnsi="Arial"/>
          <w:sz w:val="24"/>
          <w:lang w:val="es-ES"/>
        </w:rPr>
        <w:t>las mejores notas en la prueba matemáticas fue la jornada matutina, seguida de la jornada vespertina y por último la jornada nocturna, y en cuanto a sexos las mejores notas de matemáticas las obtuvo el sexo femenino.</w:t>
      </w:r>
    </w:p>
    <w:p w:rsidR="00000000" w:rsidRDefault="0051132D">
      <w:pPr>
        <w:jc w:val="both"/>
        <w:rPr>
          <w:rFonts w:ascii="Arial" w:hAnsi="Arial"/>
          <w:sz w:val="24"/>
          <w:lang w:val="es-ES"/>
        </w:rPr>
      </w:pPr>
    </w:p>
    <w:p w:rsidR="00000000" w:rsidRDefault="0051132D">
      <w:pPr>
        <w:jc w:val="both"/>
        <w:rPr>
          <w:rFonts w:ascii="Arial" w:hAnsi="Arial"/>
          <w:lang w:val="es-ES"/>
        </w:rPr>
      </w:pPr>
    </w:p>
    <w:p w:rsidR="00000000" w:rsidRDefault="0051132D">
      <w:pPr>
        <w:numPr>
          <w:ilvl w:val="0"/>
          <w:numId w:val="2"/>
        </w:numPr>
        <w:jc w:val="both"/>
        <w:rPr>
          <w:rFonts w:ascii="Arial" w:hAnsi="Arial"/>
          <w:lang w:val="es-ES"/>
        </w:rPr>
      </w:pPr>
      <w:r>
        <w:rPr>
          <w:rFonts w:ascii="Arial" w:hAnsi="Arial"/>
          <w:sz w:val="24"/>
          <w:lang w:val="es-ES"/>
        </w:rPr>
        <w:t>La jornada que obtuvo las mejores not</w:t>
      </w:r>
      <w:r>
        <w:rPr>
          <w:rFonts w:ascii="Arial" w:hAnsi="Arial"/>
          <w:sz w:val="24"/>
          <w:lang w:val="es-ES"/>
        </w:rPr>
        <w:t>as en la prueba de lenguaje fue la jornada vespertina, seguida de la jornada nocturna, y luego la jornada matutina, en cuanto a sexos también obtuvo el sexo femenino las mejores calificaciones en lenguaje.</w:t>
      </w:r>
    </w:p>
    <w:p w:rsidR="00000000" w:rsidRDefault="0051132D">
      <w:pPr>
        <w:jc w:val="both"/>
        <w:rPr>
          <w:rFonts w:ascii="Arial" w:hAnsi="Arial"/>
          <w:sz w:val="24"/>
          <w:lang w:val="es-ES"/>
        </w:rPr>
      </w:pPr>
    </w:p>
    <w:p w:rsidR="00000000" w:rsidRDefault="0051132D">
      <w:pPr>
        <w:jc w:val="both"/>
        <w:rPr>
          <w:rFonts w:ascii="Arial" w:hAnsi="Arial"/>
          <w:lang w:val="es-ES"/>
        </w:rPr>
      </w:pPr>
    </w:p>
    <w:p w:rsidR="00000000" w:rsidRDefault="0051132D">
      <w:pPr>
        <w:numPr>
          <w:ilvl w:val="0"/>
          <w:numId w:val="2"/>
        </w:numPr>
        <w:jc w:val="both"/>
        <w:rPr>
          <w:rFonts w:ascii="Arial" w:hAnsi="Arial"/>
          <w:lang w:val="es-ES"/>
        </w:rPr>
      </w:pPr>
      <w:r>
        <w:rPr>
          <w:rFonts w:ascii="Arial" w:hAnsi="Arial"/>
          <w:sz w:val="24"/>
          <w:lang w:val="es-ES"/>
        </w:rPr>
        <w:t xml:space="preserve">En promedio global (calificaciones promediadas, </w:t>
      </w:r>
      <w:r>
        <w:rPr>
          <w:rFonts w:ascii="Arial" w:hAnsi="Arial"/>
          <w:sz w:val="24"/>
          <w:lang w:val="es-ES"/>
        </w:rPr>
        <w:t>dado a que a ambas se les dio el mismo peso) los resultados obtenidos nos indican que la mejor jornada es la vespertina, seguida de la matutina y luego la nocturna, y en cuanto a sexos, el sexo femenino tuvo los mejores promedios en calificaciones.</w:t>
      </w:r>
    </w:p>
    <w:p w:rsidR="00000000" w:rsidRDefault="0051132D">
      <w:pPr>
        <w:jc w:val="both"/>
        <w:rPr>
          <w:rFonts w:ascii="Arial" w:hAnsi="Arial"/>
          <w:sz w:val="24"/>
          <w:lang w:val="es-ES"/>
        </w:rPr>
      </w:pPr>
    </w:p>
    <w:p w:rsidR="00000000" w:rsidRDefault="0051132D">
      <w:pPr>
        <w:jc w:val="both"/>
        <w:rPr>
          <w:rFonts w:ascii="Arial" w:hAnsi="Arial"/>
          <w:sz w:val="24"/>
          <w:lang w:val="es-ES"/>
        </w:rPr>
      </w:pPr>
    </w:p>
    <w:p w:rsidR="00000000" w:rsidRDefault="0051132D">
      <w:pPr>
        <w:rPr>
          <w:rFonts w:ascii="Arial" w:hAnsi="Arial"/>
          <w:b/>
          <w:sz w:val="32"/>
          <w:lang w:val="es-ES"/>
        </w:rPr>
      </w:pPr>
      <w:r>
        <w:rPr>
          <w:rFonts w:ascii="Arial" w:hAnsi="Arial"/>
          <w:b/>
          <w:sz w:val="32"/>
          <w:lang w:val="es-ES"/>
        </w:rPr>
        <w:t>Recom</w:t>
      </w:r>
      <w:r>
        <w:rPr>
          <w:rFonts w:ascii="Arial" w:hAnsi="Arial"/>
          <w:b/>
          <w:sz w:val="32"/>
          <w:lang w:val="es-ES"/>
        </w:rPr>
        <w:t>endaciones</w:t>
      </w:r>
    </w:p>
    <w:p w:rsidR="00000000" w:rsidRDefault="0051132D">
      <w:pPr>
        <w:jc w:val="both"/>
        <w:rPr>
          <w:rFonts w:ascii="Arial" w:hAnsi="Arial"/>
          <w:b/>
          <w:sz w:val="24"/>
          <w:lang w:val="es-ES"/>
        </w:rPr>
      </w:pPr>
    </w:p>
    <w:p w:rsidR="00000000" w:rsidRDefault="0051132D">
      <w:pPr>
        <w:jc w:val="both"/>
        <w:rPr>
          <w:rFonts w:ascii="Arial" w:hAnsi="Arial"/>
          <w:sz w:val="24"/>
          <w:lang w:val="es-ES"/>
        </w:rPr>
      </w:pPr>
    </w:p>
    <w:p w:rsidR="00000000" w:rsidRDefault="0051132D">
      <w:pPr>
        <w:numPr>
          <w:ilvl w:val="0"/>
          <w:numId w:val="3"/>
        </w:numPr>
        <w:jc w:val="both"/>
        <w:rPr>
          <w:rFonts w:ascii="Arial" w:hAnsi="Arial"/>
          <w:sz w:val="24"/>
          <w:lang w:val="es-ES"/>
        </w:rPr>
      </w:pPr>
      <w:r>
        <w:rPr>
          <w:rFonts w:ascii="Arial" w:hAnsi="Arial"/>
          <w:sz w:val="24"/>
          <w:lang w:val="es-ES"/>
        </w:rPr>
        <w:t>Debería haber mayor control en cuanto a los conocimientos que adquieren los alumnos, pues estos pasan los cursos con muchos vacíos y esto se reflejó en las pruebas que se desarrollaron.</w:t>
      </w:r>
    </w:p>
    <w:p w:rsidR="00000000" w:rsidRDefault="0051132D">
      <w:pPr>
        <w:jc w:val="both"/>
        <w:rPr>
          <w:rFonts w:ascii="Arial" w:hAnsi="Arial"/>
          <w:sz w:val="24"/>
          <w:lang w:val="es-ES"/>
        </w:rPr>
      </w:pPr>
    </w:p>
    <w:p w:rsidR="00000000" w:rsidRDefault="0051132D">
      <w:pPr>
        <w:jc w:val="both"/>
        <w:rPr>
          <w:rFonts w:ascii="Arial" w:hAnsi="Arial"/>
          <w:sz w:val="24"/>
          <w:lang w:val="es-ES"/>
        </w:rPr>
      </w:pPr>
    </w:p>
    <w:p w:rsidR="00000000" w:rsidRDefault="0051132D">
      <w:pPr>
        <w:numPr>
          <w:ilvl w:val="0"/>
          <w:numId w:val="3"/>
        </w:numPr>
        <w:jc w:val="both"/>
        <w:rPr>
          <w:rFonts w:ascii="Arial" w:hAnsi="Arial"/>
          <w:sz w:val="24"/>
          <w:lang w:val="es-ES"/>
        </w:rPr>
      </w:pPr>
      <w:r>
        <w:rPr>
          <w:rFonts w:ascii="Arial" w:hAnsi="Arial"/>
          <w:sz w:val="24"/>
        </w:rPr>
        <w:t>Se recomienda a los profesores hacer mayor énfasis en e</w:t>
      </w:r>
      <w:r>
        <w:rPr>
          <w:rFonts w:ascii="Arial" w:hAnsi="Arial"/>
          <w:sz w:val="24"/>
        </w:rPr>
        <w:t xml:space="preserve">nseñar a identificar núcleos del sujeto y núcleos del predicado, ya que como se vio en las pruebas aplicadas los estudiantes del décimo año de educación básica tienen problemas en reconocerlos. </w:t>
      </w:r>
    </w:p>
    <w:p w:rsidR="00000000" w:rsidRDefault="0051132D">
      <w:pPr>
        <w:jc w:val="both"/>
        <w:rPr>
          <w:rFonts w:ascii="Arial" w:hAnsi="Arial"/>
          <w:sz w:val="24"/>
          <w:lang w:val="es-ES"/>
        </w:rPr>
      </w:pPr>
    </w:p>
    <w:p w:rsidR="00000000" w:rsidRDefault="0051132D">
      <w:pPr>
        <w:jc w:val="both"/>
        <w:rPr>
          <w:rFonts w:ascii="Arial" w:hAnsi="Arial"/>
          <w:sz w:val="24"/>
          <w:lang w:val="es-ES"/>
        </w:rPr>
      </w:pPr>
    </w:p>
    <w:p w:rsidR="00000000" w:rsidRDefault="0051132D">
      <w:pPr>
        <w:numPr>
          <w:ilvl w:val="0"/>
          <w:numId w:val="3"/>
        </w:numPr>
        <w:jc w:val="both"/>
        <w:rPr>
          <w:rFonts w:ascii="Arial" w:hAnsi="Arial"/>
          <w:sz w:val="24"/>
          <w:lang w:val="es-ES"/>
        </w:rPr>
      </w:pPr>
      <w:r>
        <w:rPr>
          <w:rFonts w:ascii="Arial" w:hAnsi="Arial"/>
          <w:sz w:val="24"/>
        </w:rPr>
        <w:t>Se recomienda a los profesores enseñen con mayor énfasis or</w:t>
      </w:r>
      <w:r>
        <w:rPr>
          <w:rFonts w:ascii="Arial" w:hAnsi="Arial"/>
          <w:sz w:val="24"/>
        </w:rPr>
        <w:t>tografía, con el fin de que los alumnos dominen la misma.</w:t>
      </w:r>
    </w:p>
    <w:p w:rsidR="00000000" w:rsidRDefault="0051132D">
      <w:pPr>
        <w:jc w:val="both"/>
        <w:rPr>
          <w:rFonts w:ascii="Arial" w:hAnsi="Arial"/>
          <w:sz w:val="24"/>
          <w:lang w:val="es-ES"/>
        </w:rPr>
      </w:pPr>
    </w:p>
    <w:p w:rsidR="00000000" w:rsidRDefault="0051132D">
      <w:pPr>
        <w:jc w:val="both"/>
        <w:rPr>
          <w:rFonts w:ascii="Arial" w:hAnsi="Arial"/>
          <w:sz w:val="24"/>
          <w:lang w:val="es-ES"/>
        </w:rPr>
      </w:pPr>
    </w:p>
    <w:p w:rsidR="00000000" w:rsidRDefault="0051132D">
      <w:pPr>
        <w:numPr>
          <w:ilvl w:val="0"/>
          <w:numId w:val="3"/>
        </w:numPr>
        <w:jc w:val="both"/>
        <w:rPr>
          <w:rFonts w:ascii="Arial" w:hAnsi="Arial"/>
          <w:sz w:val="24"/>
          <w:lang w:val="es-ES"/>
        </w:rPr>
      </w:pPr>
      <w:r>
        <w:rPr>
          <w:rFonts w:ascii="Arial" w:hAnsi="Arial"/>
          <w:sz w:val="24"/>
        </w:rPr>
        <w:t>Se recomienda hacer un mayor énfasis en enseñar las operaciones básicas que involucren quebrados (especialmente la multiplicación y la división).</w:t>
      </w:r>
    </w:p>
    <w:p w:rsidR="00000000" w:rsidRDefault="0051132D">
      <w:pPr>
        <w:jc w:val="both"/>
        <w:rPr>
          <w:rFonts w:ascii="Arial" w:hAnsi="Arial"/>
          <w:sz w:val="24"/>
          <w:lang w:val="es-ES"/>
        </w:rPr>
      </w:pPr>
    </w:p>
    <w:p w:rsidR="00000000" w:rsidRDefault="0051132D">
      <w:pPr>
        <w:numPr>
          <w:ilvl w:val="0"/>
          <w:numId w:val="3"/>
        </w:numPr>
        <w:jc w:val="both"/>
        <w:rPr>
          <w:rFonts w:ascii="Arial" w:hAnsi="Arial"/>
          <w:sz w:val="24"/>
          <w:lang w:val="es-ES"/>
        </w:rPr>
      </w:pPr>
      <w:r>
        <w:rPr>
          <w:rFonts w:ascii="Arial" w:hAnsi="Arial"/>
          <w:sz w:val="24"/>
          <w:lang w:val="es-ES"/>
        </w:rPr>
        <w:t>A futuro se debe realizar un estudio de caracterí</w:t>
      </w:r>
      <w:r>
        <w:rPr>
          <w:rFonts w:ascii="Arial" w:hAnsi="Arial"/>
          <w:sz w:val="24"/>
          <w:lang w:val="es-ES"/>
        </w:rPr>
        <w:t>sticas adicionales a las que se tomaron en cuenta para la realización de la presente tesis, para saber que otro tipo de factores influyen en el desempeño de los estudiantes del décimo año de educación básica.</w:t>
      </w:r>
    </w:p>
    <w:p w:rsidR="00000000" w:rsidRDefault="0051132D">
      <w:pPr>
        <w:jc w:val="both"/>
        <w:rPr>
          <w:rFonts w:ascii="Arial" w:hAnsi="Arial"/>
          <w:sz w:val="24"/>
          <w:lang w:val="es-ES"/>
        </w:rPr>
      </w:pPr>
    </w:p>
    <w:p w:rsidR="00000000" w:rsidRDefault="0051132D">
      <w:pPr>
        <w:jc w:val="both"/>
        <w:rPr>
          <w:rFonts w:ascii="Arial" w:hAnsi="Arial"/>
          <w:sz w:val="24"/>
          <w:lang w:val="es-ES"/>
        </w:rPr>
      </w:pPr>
    </w:p>
    <w:p w:rsidR="00000000" w:rsidRDefault="0051132D">
      <w:pPr>
        <w:numPr>
          <w:ilvl w:val="0"/>
          <w:numId w:val="3"/>
        </w:numPr>
        <w:jc w:val="both"/>
        <w:rPr>
          <w:rFonts w:ascii="Arial" w:hAnsi="Arial"/>
          <w:sz w:val="24"/>
          <w:lang w:val="es-ES"/>
        </w:rPr>
      </w:pPr>
      <w:r>
        <w:rPr>
          <w:rFonts w:ascii="Arial" w:hAnsi="Arial"/>
          <w:sz w:val="24"/>
        </w:rPr>
        <w:t>Se sugiere</w:t>
      </w:r>
      <w:r>
        <w:rPr>
          <w:rFonts w:ascii="Arial" w:hAnsi="Arial"/>
          <w:sz w:val="24"/>
          <w:lang w:val="es-ES"/>
        </w:rPr>
        <w:t xml:space="preserve"> realizar un estudio adicional para</w:t>
      </w:r>
      <w:r>
        <w:rPr>
          <w:rFonts w:ascii="Arial" w:hAnsi="Arial"/>
          <w:sz w:val="24"/>
          <w:lang w:val="es-ES"/>
        </w:rPr>
        <w:t xml:space="preserve"> determinar por qué influye el sexo en las notas obtenidas, y así mismo a qué se debe la variación de promedios de notas entre las diferentes jornadas en que funcionan los planteles.</w:t>
      </w:r>
    </w:p>
    <w:p w:rsidR="00000000" w:rsidRDefault="0051132D">
      <w:pPr>
        <w:rPr>
          <w:rFonts w:ascii="Arial" w:hAnsi="Arial"/>
        </w:rPr>
      </w:pPr>
    </w:p>
    <w:p w:rsidR="00000000" w:rsidRDefault="0051132D">
      <w:pPr>
        <w:rPr>
          <w:rFonts w:ascii="Arial" w:hAnsi="Arial"/>
        </w:rPr>
      </w:pPr>
    </w:p>
    <w:p w:rsidR="00000000" w:rsidRDefault="0051132D">
      <w:pPr>
        <w:pStyle w:val="Ttulo2"/>
        <w:spacing w:line="480" w:lineRule="auto"/>
        <w:rPr>
          <w:lang w:val="es-ES"/>
        </w:rPr>
      </w:pPr>
      <w:bookmarkStart w:id="6" w:name="_Toc506457758"/>
      <w:r>
        <w:rPr>
          <w:lang w:val="es-ES"/>
        </w:rPr>
        <w:t>Bibliografía</w:t>
      </w:r>
      <w:bookmarkEnd w:id="6"/>
    </w:p>
    <w:p w:rsidR="00000000" w:rsidRDefault="0051132D">
      <w:pPr>
        <w:spacing w:line="480" w:lineRule="auto"/>
        <w:jc w:val="both"/>
        <w:rPr>
          <w:rFonts w:ascii="Arial" w:hAnsi="Arial"/>
          <w:sz w:val="24"/>
          <w:lang w:val="es-ES"/>
        </w:rPr>
      </w:pPr>
    </w:p>
    <w:p w:rsidR="00000000" w:rsidRDefault="0051132D">
      <w:pPr>
        <w:numPr>
          <w:ilvl w:val="0"/>
          <w:numId w:val="4"/>
        </w:numPr>
        <w:jc w:val="both"/>
        <w:rPr>
          <w:rFonts w:ascii="Arial" w:hAnsi="Arial"/>
          <w:sz w:val="24"/>
          <w:lang w:val="es-ES"/>
        </w:rPr>
      </w:pPr>
      <w:r>
        <w:rPr>
          <w:rFonts w:ascii="Arial" w:hAnsi="Arial"/>
          <w:sz w:val="24"/>
          <w:lang w:val="es-ES"/>
        </w:rPr>
        <w:t>Martínez Estrada, Alejandro (1997), Historia General, Ecu</w:t>
      </w:r>
      <w:r>
        <w:rPr>
          <w:rFonts w:ascii="Arial" w:hAnsi="Arial"/>
          <w:sz w:val="24"/>
          <w:lang w:val="es-ES"/>
        </w:rPr>
        <w:t xml:space="preserve">ador, Maya Ediciones </w:t>
      </w:r>
    </w:p>
    <w:p w:rsidR="00000000" w:rsidRDefault="0051132D">
      <w:pPr>
        <w:jc w:val="both"/>
        <w:rPr>
          <w:rFonts w:ascii="Arial" w:hAnsi="Arial"/>
          <w:sz w:val="24"/>
          <w:lang w:val="es-ES"/>
        </w:rPr>
      </w:pPr>
    </w:p>
    <w:p w:rsidR="00000000" w:rsidRDefault="0051132D">
      <w:pPr>
        <w:jc w:val="both"/>
        <w:rPr>
          <w:rFonts w:ascii="Arial" w:hAnsi="Arial"/>
          <w:sz w:val="24"/>
          <w:lang w:val="es-ES"/>
        </w:rPr>
      </w:pPr>
    </w:p>
    <w:p w:rsidR="00000000" w:rsidRDefault="0051132D">
      <w:pPr>
        <w:numPr>
          <w:ilvl w:val="0"/>
          <w:numId w:val="4"/>
        </w:numPr>
        <w:jc w:val="both"/>
        <w:rPr>
          <w:rFonts w:ascii="Arial" w:hAnsi="Arial"/>
          <w:sz w:val="24"/>
        </w:rPr>
      </w:pPr>
      <w:r>
        <w:rPr>
          <w:rFonts w:ascii="Arial" w:hAnsi="Arial"/>
          <w:sz w:val="24"/>
        </w:rPr>
        <w:t>Villamil, Homero, (1955), Resumen de Historia Patria, Segunda Edición, Imprenta "Argentina", Quito - Ecuador</w:t>
      </w:r>
    </w:p>
    <w:p w:rsidR="00000000" w:rsidRDefault="0051132D">
      <w:pPr>
        <w:jc w:val="both"/>
        <w:rPr>
          <w:rFonts w:ascii="Arial" w:hAnsi="Arial"/>
          <w:sz w:val="24"/>
        </w:rPr>
      </w:pPr>
    </w:p>
    <w:p w:rsidR="00000000" w:rsidRDefault="0051132D">
      <w:pPr>
        <w:jc w:val="both"/>
        <w:rPr>
          <w:rFonts w:ascii="Arial" w:hAnsi="Arial"/>
          <w:sz w:val="24"/>
        </w:rPr>
      </w:pPr>
    </w:p>
    <w:p w:rsidR="00000000" w:rsidRDefault="0051132D">
      <w:pPr>
        <w:numPr>
          <w:ilvl w:val="0"/>
          <w:numId w:val="4"/>
        </w:numPr>
        <w:jc w:val="both"/>
        <w:rPr>
          <w:rFonts w:ascii="Arial" w:hAnsi="Arial"/>
          <w:sz w:val="24"/>
        </w:rPr>
      </w:pPr>
      <w:r>
        <w:rPr>
          <w:rFonts w:ascii="Arial" w:hAnsi="Arial"/>
          <w:sz w:val="24"/>
        </w:rPr>
        <w:t>Avilés Pino, Efrén, (1995), Gobernantes del Ecuador 1830-1995, Imprenta "Intergraft", Guayaquil-Ecuador.</w:t>
      </w:r>
    </w:p>
    <w:p w:rsidR="00000000" w:rsidRDefault="0051132D">
      <w:pPr>
        <w:jc w:val="both"/>
        <w:rPr>
          <w:rFonts w:ascii="Arial" w:hAnsi="Arial"/>
          <w:sz w:val="24"/>
        </w:rPr>
      </w:pPr>
    </w:p>
    <w:p w:rsidR="00000000" w:rsidRDefault="0051132D">
      <w:pPr>
        <w:jc w:val="both"/>
        <w:rPr>
          <w:rFonts w:ascii="Arial" w:hAnsi="Arial"/>
          <w:sz w:val="24"/>
        </w:rPr>
      </w:pPr>
    </w:p>
    <w:p w:rsidR="00000000" w:rsidRDefault="0051132D">
      <w:pPr>
        <w:numPr>
          <w:ilvl w:val="0"/>
          <w:numId w:val="4"/>
        </w:numPr>
        <w:jc w:val="both"/>
        <w:rPr>
          <w:rFonts w:ascii="Arial" w:hAnsi="Arial"/>
          <w:sz w:val="24"/>
        </w:rPr>
      </w:pPr>
      <w:r>
        <w:rPr>
          <w:rFonts w:ascii="Arial" w:hAnsi="Arial"/>
          <w:sz w:val="24"/>
        </w:rPr>
        <w:t>Reyes, Oscar E</w:t>
      </w:r>
      <w:r>
        <w:rPr>
          <w:rFonts w:ascii="Arial" w:hAnsi="Arial"/>
          <w:sz w:val="24"/>
        </w:rPr>
        <w:t xml:space="preserve">frén, Breve Historia General del Ecuador, Parte Quinta, Imprenta de la Universidad Central, Quito-Ecuador </w:t>
      </w:r>
    </w:p>
    <w:p w:rsidR="00000000" w:rsidRDefault="0051132D">
      <w:pPr>
        <w:jc w:val="both"/>
        <w:rPr>
          <w:rFonts w:ascii="Arial" w:hAnsi="Arial"/>
          <w:sz w:val="24"/>
        </w:rPr>
      </w:pPr>
    </w:p>
    <w:p w:rsidR="00000000" w:rsidRDefault="0051132D">
      <w:pPr>
        <w:jc w:val="both"/>
        <w:rPr>
          <w:rFonts w:ascii="Arial" w:hAnsi="Arial"/>
          <w:sz w:val="24"/>
        </w:rPr>
      </w:pPr>
    </w:p>
    <w:p w:rsidR="00000000" w:rsidRDefault="0051132D">
      <w:pPr>
        <w:numPr>
          <w:ilvl w:val="0"/>
          <w:numId w:val="4"/>
        </w:numPr>
        <w:jc w:val="both"/>
        <w:rPr>
          <w:rFonts w:ascii="Arial" w:hAnsi="Arial"/>
          <w:sz w:val="24"/>
        </w:rPr>
      </w:pPr>
      <w:r>
        <w:rPr>
          <w:rFonts w:ascii="Arial" w:hAnsi="Arial"/>
          <w:sz w:val="24"/>
        </w:rPr>
        <w:t>Ministerio de Educación Nacional de Ecuador, Ecuador, Serie "Sistemas Educativos Nacionales", Madrid, OEI, 1994, p. 74.</w:t>
      </w:r>
    </w:p>
    <w:p w:rsidR="00000000" w:rsidRDefault="0051132D">
      <w:pPr>
        <w:jc w:val="both"/>
        <w:rPr>
          <w:rFonts w:ascii="Arial" w:hAnsi="Arial"/>
          <w:sz w:val="24"/>
          <w:lang w:val="es-ES"/>
        </w:rPr>
      </w:pPr>
    </w:p>
    <w:p w:rsidR="00000000" w:rsidRDefault="0051132D">
      <w:pPr>
        <w:jc w:val="both"/>
        <w:rPr>
          <w:rFonts w:ascii="Arial" w:hAnsi="Arial"/>
          <w:sz w:val="24"/>
          <w:lang w:val="es-ES"/>
        </w:rPr>
      </w:pPr>
    </w:p>
    <w:p w:rsidR="00000000" w:rsidRDefault="0051132D">
      <w:pPr>
        <w:numPr>
          <w:ilvl w:val="0"/>
          <w:numId w:val="4"/>
        </w:numPr>
        <w:jc w:val="both"/>
        <w:rPr>
          <w:rFonts w:ascii="Arial" w:hAnsi="Arial"/>
          <w:sz w:val="24"/>
          <w:lang w:val="es-ES"/>
        </w:rPr>
      </w:pPr>
      <w:r>
        <w:rPr>
          <w:rFonts w:ascii="Arial" w:hAnsi="Arial"/>
          <w:sz w:val="24"/>
          <w:lang w:val="es-ES"/>
        </w:rPr>
        <w:t xml:space="preserve">Educación, Crecimiento y </w:t>
      </w:r>
      <w:r>
        <w:rPr>
          <w:rFonts w:ascii="Arial" w:hAnsi="Arial"/>
          <w:sz w:val="24"/>
          <w:lang w:val="es-ES"/>
        </w:rPr>
        <w:t>Equidad. Ecuador, Editorial Cordes (1995)</w:t>
      </w:r>
    </w:p>
    <w:p w:rsidR="00000000" w:rsidRDefault="0051132D">
      <w:pPr>
        <w:jc w:val="both"/>
        <w:rPr>
          <w:rFonts w:ascii="Arial" w:hAnsi="Arial"/>
          <w:sz w:val="24"/>
        </w:rPr>
      </w:pPr>
    </w:p>
    <w:p w:rsidR="00000000" w:rsidRDefault="0051132D">
      <w:pPr>
        <w:jc w:val="both"/>
        <w:rPr>
          <w:rFonts w:ascii="Arial" w:hAnsi="Arial"/>
          <w:sz w:val="24"/>
        </w:rPr>
      </w:pPr>
    </w:p>
    <w:p w:rsidR="00000000" w:rsidRDefault="0051132D">
      <w:pPr>
        <w:numPr>
          <w:ilvl w:val="0"/>
          <w:numId w:val="4"/>
        </w:numPr>
        <w:jc w:val="both"/>
        <w:rPr>
          <w:rFonts w:ascii="Arial" w:hAnsi="Arial"/>
          <w:sz w:val="24"/>
        </w:rPr>
      </w:pPr>
      <w:r>
        <w:rPr>
          <w:rFonts w:ascii="Arial" w:hAnsi="Arial"/>
          <w:sz w:val="24"/>
        </w:rPr>
        <w:t>G. Ossenbach, Formación de los sistemas educativos nacionales en Hispanoamérica. La política educativa como factor de consolidación del Estado Nacional (1870-1900): el caso del Ecuador, tesis doctoral inédita, Ma</w:t>
      </w:r>
      <w:r>
        <w:rPr>
          <w:rFonts w:ascii="Arial" w:hAnsi="Arial"/>
          <w:sz w:val="24"/>
        </w:rPr>
        <w:t>drid, Universidad Nacional de Educación a Distancia, 1988, pp. 318 y 322; L.F. Bilbao, Economía y educación en el Ecuador a partir de 1960, Quito, Ed. Banco Central del Ecuador, 1980, pp. 83 y 251.</w:t>
      </w:r>
    </w:p>
    <w:p w:rsidR="00000000" w:rsidRDefault="0051132D">
      <w:pPr>
        <w:jc w:val="both"/>
        <w:rPr>
          <w:rFonts w:ascii="Arial" w:hAnsi="Arial"/>
          <w:sz w:val="24"/>
          <w:lang w:val="es-ES"/>
        </w:rPr>
      </w:pPr>
    </w:p>
    <w:p w:rsidR="00000000" w:rsidRDefault="0051132D">
      <w:pPr>
        <w:jc w:val="both"/>
        <w:rPr>
          <w:rFonts w:ascii="Arial" w:hAnsi="Arial"/>
          <w:sz w:val="24"/>
          <w:lang w:val="es-ES"/>
        </w:rPr>
      </w:pPr>
    </w:p>
    <w:p w:rsidR="00000000" w:rsidRDefault="0051132D">
      <w:pPr>
        <w:numPr>
          <w:ilvl w:val="0"/>
          <w:numId w:val="4"/>
        </w:numPr>
        <w:jc w:val="both"/>
        <w:rPr>
          <w:rFonts w:ascii="Arial" w:hAnsi="Arial"/>
          <w:sz w:val="24"/>
        </w:rPr>
      </w:pPr>
      <w:r>
        <w:rPr>
          <w:rFonts w:ascii="Arial" w:hAnsi="Arial"/>
          <w:sz w:val="24"/>
        </w:rPr>
        <w:t>R. Nassif, G.W. Rama, J.C. Tedesco, El sistema educativo</w:t>
      </w:r>
      <w:r>
        <w:rPr>
          <w:rFonts w:ascii="Arial" w:hAnsi="Arial"/>
          <w:sz w:val="24"/>
        </w:rPr>
        <w:t xml:space="preserve"> en América Latina, Buenos Aires, Kapelusz, 1984, pp. 136-137; CEPAL, Anuario Estadístico de América Latina y el Caribe, ed. 1991, Santiago de Chile, 1992, p. 54.</w:t>
      </w:r>
    </w:p>
    <w:p w:rsidR="00000000" w:rsidRDefault="0051132D">
      <w:pPr>
        <w:jc w:val="both"/>
        <w:rPr>
          <w:rFonts w:ascii="Arial" w:hAnsi="Arial"/>
          <w:sz w:val="24"/>
          <w:lang w:val="es-ES"/>
        </w:rPr>
      </w:pPr>
    </w:p>
    <w:p w:rsidR="00000000" w:rsidRDefault="0051132D">
      <w:pPr>
        <w:jc w:val="both"/>
        <w:rPr>
          <w:rFonts w:ascii="Arial" w:hAnsi="Arial"/>
          <w:sz w:val="24"/>
          <w:lang w:val="es-ES"/>
        </w:rPr>
      </w:pPr>
    </w:p>
    <w:p w:rsidR="00000000" w:rsidRDefault="0051132D">
      <w:pPr>
        <w:jc w:val="both"/>
        <w:rPr>
          <w:rFonts w:ascii="Arial" w:hAnsi="Arial"/>
          <w:sz w:val="24"/>
          <w:lang w:val="es-ES"/>
        </w:rPr>
      </w:pPr>
    </w:p>
    <w:p w:rsidR="00000000" w:rsidRDefault="0051132D">
      <w:pPr>
        <w:numPr>
          <w:ilvl w:val="0"/>
          <w:numId w:val="4"/>
        </w:numPr>
        <w:jc w:val="both"/>
        <w:rPr>
          <w:rFonts w:ascii="Arial" w:hAnsi="Arial"/>
          <w:sz w:val="24"/>
        </w:rPr>
      </w:pPr>
      <w:r>
        <w:rPr>
          <w:rFonts w:ascii="Arial" w:hAnsi="Arial"/>
          <w:sz w:val="24"/>
        </w:rPr>
        <w:t>L.F. Bilbao, Economía y educación en el Ecuador a partir de 1960, Quito, Banco Central del</w:t>
      </w:r>
      <w:r>
        <w:rPr>
          <w:rFonts w:ascii="Arial" w:hAnsi="Arial"/>
          <w:sz w:val="24"/>
        </w:rPr>
        <w:t xml:space="preserve"> Ecuador, 1980, p. 105.</w:t>
      </w:r>
    </w:p>
    <w:p w:rsidR="00000000" w:rsidRDefault="0051132D">
      <w:pPr>
        <w:jc w:val="both"/>
        <w:rPr>
          <w:rFonts w:ascii="Arial" w:hAnsi="Arial"/>
          <w:sz w:val="24"/>
          <w:lang w:val="es-ES"/>
        </w:rPr>
      </w:pPr>
    </w:p>
    <w:p w:rsidR="00000000" w:rsidRDefault="0051132D">
      <w:pPr>
        <w:jc w:val="both"/>
        <w:rPr>
          <w:rFonts w:ascii="Arial" w:hAnsi="Arial"/>
          <w:sz w:val="24"/>
          <w:lang w:val="es-ES"/>
        </w:rPr>
      </w:pPr>
    </w:p>
    <w:p w:rsidR="00000000" w:rsidRDefault="0051132D">
      <w:pPr>
        <w:numPr>
          <w:ilvl w:val="0"/>
          <w:numId w:val="4"/>
        </w:numPr>
        <w:jc w:val="both"/>
        <w:rPr>
          <w:rFonts w:ascii="Arial" w:hAnsi="Arial"/>
          <w:sz w:val="24"/>
        </w:rPr>
      </w:pPr>
      <w:r>
        <w:rPr>
          <w:rFonts w:ascii="Arial" w:hAnsi="Arial"/>
          <w:sz w:val="24"/>
        </w:rPr>
        <w:t>R. Nassif, G.W. Rama, J.C. Tedesco, El sistema educativo en América Latina, Buenos Aires, Kapelusz, 1984, p. 138.</w:t>
      </w:r>
    </w:p>
    <w:p w:rsidR="00000000" w:rsidRDefault="0051132D">
      <w:pPr>
        <w:jc w:val="both"/>
        <w:rPr>
          <w:rFonts w:ascii="Arial" w:hAnsi="Arial"/>
          <w:sz w:val="24"/>
        </w:rPr>
      </w:pPr>
    </w:p>
    <w:p w:rsidR="00000000" w:rsidRDefault="0051132D">
      <w:pPr>
        <w:jc w:val="both"/>
        <w:rPr>
          <w:rFonts w:ascii="Arial" w:hAnsi="Arial"/>
          <w:sz w:val="24"/>
        </w:rPr>
      </w:pPr>
    </w:p>
    <w:p w:rsidR="00000000" w:rsidRDefault="0051132D">
      <w:pPr>
        <w:numPr>
          <w:ilvl w:val="0"/>
          <w:numId w:val="4"/>
        </w:numPr>
        <w:jc w:val="both"/>
        <w:rPr>
          <w:rFonts w:ascii="Arial" w:hAnsi="Arial"/>
          <w:sz w:val="24"/>
        </w:rPr>
      </w:pPr>
      <w:r>
        <w:rPr>
          <w:rFonts w:ascii="Arial" w:hAnsi="Arial"/>
          <w:sz w:val="24"/>
        </w:rPr>
        <w:t xml:space="preserve">ABAD DE SERVIN, A. y SERVIN ANDRADE, L.A. (1978). </w:t>
      </w:r>
      <w:r>
        <w:rPr>
          <w:rFonts w:ascii="Arial" w:hAnsi="Arial"/>
          <w:i/>
          <w:sz w:val="24"/>
        </w:rPr>
        <w:t>Introducción al muestreo.</w:t>
      </w:r>
      <w:r>
        <w:rPr>
          <w:rFonts w:ascii="Arial" w:hAnsi="Arial"/>
          <w:sz w:val="24"/>
        </w:rPr>
        <w:t xml:space="preserve"> México: Limusa. </w:t>
      </w:r>
    </w:p>
    <w:p w:rsidR="00000000" w:rsidRDefault="0051132D">
      <w:pPr>
        <w:jc w:val="both"/>
        <w:rPr>
          <w:rFonts w:ascii="Arial" w:hAnsi="Arial"/>
          <w:sz w:val="24"/>
        </w:rPr>
      </w:pPr>
    </w:p>
    <w:p w:rsidR="00000000" w:rsidRDefault="0051132D">
      <w:pPr>
        <w:jc w:val="both"/>
        <w:rPr>
          <w:rFonts w:ascii="Arial" w:hAnsi="Arial"/>
          <w:sz w:val="24"/>
        </w:rPr>
      </w:pPr>
    </w:p>
    <w:p w:rsidR="00000000" w:rsidRDefault="0051132D">
      <w:pPr>
        <w:numPr>
          <w:ilvl w:val="0"/>
          <w:numId w:val="4"/>
        </w:numPr>
        <w:jc w:val="both"/>
        <w:rPr>
          <w:rFonts w:ascii="Arial" w:hAnsi="Arial"/>
          <w:sz w:val="24"/>
        </w:rPr>
      </w:pPr>
      <w:r>
        <w:rPr>
          <w:rFonts w:ascii="Arial" w:hAnsi="Arial"/>
          <w:sz w:val="24"/>
        </w:rPr>
        <w:t xml:space="preserve">AZORIN, F. (1972). </w:t>
      </w:r>
      <w:r>
        <w:rPr>
          <w:rFonts w:ascii="Arial" w:hAnsi="Arial"/>
          <w:i/>
          <w:sz w:val="24"/>
        </w:rPr>
        <w:t>Curso de muestreo y aplicaciones.</w:t>
      </w:r>
      <w:r>
        <w:rPr>
          <w:rFonts w:ascii="Arial" w:hAnsi="Arial"/>
          <w:sz w:val="24"/>
        </w:rPr>
        <w:t xml:space="preserve"> Madrid: Aguilar. </w:t>
      </w:r>
    </w:p>
    <w:p w:rsidR="00000000" w:rsidRDefault="0051132D">
      <w:pPr>
        <w:jc w:val="both"/>
        <w:rPr>
          <w:rFonts w:ascii="Arial" w:hAnsi="Arial"/>
          <w:sz w:val="24"/>
        </w:rPr>
      </w:pPr>
    </w:p>
    <w:p w:rsidR="00000000" w:rsidRDefault="0051132D">
      <w:pPr>
        <w:jc w:val="both"/>
        <w:rPr>
          <w:rFonts w:ascii="Arial" w:hAnsi="Arial"/>
          <w:sz w:val="24"/>
        </w:rPr>
      </w:pPr>
    </w:p>
    <w:p w:rsidR="00000000" w:rsidRDefault="0051132D">
      <w:pPr>
        <w:numPr>
          <w:ilvl w:val="0"/>
          <w:numId w:val="4"/>
        </w:numPr>
        <w:jc w:val="both"/>
        <w:rPr>
          <w:rFonts w:ascii="Arial" w:hAnsi="Arial"/>
          <w:sz w:val="24"/>
        </w:rPr>
      </w:pPr>
      <w:r>
        <w:rPr>
          <w:rFonts w:ascii="Arial" w:hAnsi="Arial"/>
          <w:sz w:val="24"/>
        </w:rPr>
        <w:t xml:space="preserve">AZORIN, F. y SANCHEZ CRESPO, J.L. (1986). </w:t>
      </w:r>
      <w:r>
        <w:rPr>
          <w:rFonts w:ascii="Arial" w:hAnsi="Arial"/>
          <w:i/>
          <w:sz w:val="24"/>
        </w:rPr>
        <w:t xml:space="preserve">Métodos y aplicaciones de muestreo. </w:t>
      </w:r>
      <w:r>
        <w:rPr>
          <w:rFonts w:ascii="Arial" w:hAnsi="Arial"/>
          <w:sz w:val="24"/>
        </w:rPr>
        <w:t xml:space="preserve">Madrid: Alianza. </w:t>
      </w:r>
    </w:p>
    <w:p w:rsidR="00000000" w:rsidRDefault="0051132D">
      <w:pPr>
        <w:jc w:val="both"/>
        <w:rPr>
          <w:rFonts w:ascii="Arial" w:hAnsi="Arial"/>
          <w:sz w:val="24"/>
        </w:rPr>
      </w:pPr>
    </w:p>
    <w:p w:rsidR="00000000" w:rsidRDefault="0051132D">
      <w:pPr>
        <w:jc w:val="both"/>
        <w:rPr>
          <w:rFonts w:ascii="Arial" w:hAnsi="Arial"/>
          <w:sz w:val="24"/>
        </w:rPr>
      </w:pPr>
    </w:p>
    <w:p w:rsidR="00000000" w:rsidRDefault="0051132D">
      <w:pPr>
        <w:numPr>
          <w:ilvl w:val="0"/>
          <w:numId w:val="4"/>
        </w:numPr>
        <w:jc w:val="both"/>
        <w:rPr>
          <w:rFonts w:ascii="Arial" w:hAnsi="Arial"/>
          <w:sz w:val="24"/>
        </w:rPr>
      </w:pPr>
      <w:r>
        <w:rPr>
          <w:rFonts w:ascii="Arial" w:hAnsi="Arial"/>
          <w:sz w:val="24"/>
        </w:rPr>
        <w:t>Montgomery D. (1991). Diseño y análisis de experimentos, Grupo Editorial Iberoamérica. México D.F.</w:t>
      </w:r>
    </w:p>
    <w:p w:rsidR="00000000" w:rsidRDefault="0051132D">
      <w:pPr>
        <w:jc w:val="both"/>
        <w:rPr>
          <w:rFonts w:ascii="Arial" w:hAnsi="Arial"/>
          <w:sz w:val="24"/>
        </w:rPr>
      </w:pPr>
    </w:p>
    <w:p w:rsidR="00000000" w:rsidRDefault="0051132D">
      <w:pPr>
        <w:jc w:val="both"/>
        <w:rPr>
          <w:rFonts w:ascii="Arial" w:hAnsi="Arial"/>
          <w:sz w:val="24"/>
        </w:rPr>
      </w:pPr>
    </w:p>
    <w:p w:rsidR="00000000" w:rsidRDefault="0051132D">
      <w:pPr>
        <w:numPr>
          <w:ilvl w:val="0"/>
          <w:numId w:val="4"/>
        </w:numPr>
        <w:jc w:val="both"/>
        <w:rPr>
          <w:rFonts w:ascii="Arial" w:hAnsi="Arial"/>
          <w:sz w:val="24"/>
        </w:rPr>
      </w:pPr>
      <w:r>
        <w:rPr>
          <w:rFonts w:ascii="Arial" w:hAnsi="Arial"/>
          <w:sz w:val="24"/>
        </w:rPr>
        <w:t xml:space="preserve"> Me</w:t>
      </w:r>
      <w:r>
        <w:rPr>
          <w:rFonts w:ascii="Arial" w:hAnsi="Arial"/>
          <w:sz w:val="24"/>
        </w:rPr>
        <w:t>ndenhall W., Wackerly D, Sheaffer R, (1994), Estadística Matemática con Aplicaciones, segunda edición, Grupo Editorial Iberoamérica. México D.F.</w:t>
      </w:r>
    </w:p>
    <w:p w:rsidR="00000000" w:rsidRDefault="0051132D">
      <w:pPr>
        <w:jc w:val="both"/>
        <w:rPr>
          <w:rFonts w:ascii="Arial" w:hAnsi="Arial"/>
          <w:sz w:val="24"/>
        </w:rPr>
      </w:pPr>
    </w:p>
    <w:p w:rsidR="00000000" w:rsidRDefault="0051132D">
      <w:pPr>
        <w:jc w:val="both"/>
        <w:rPr>
          <w:rFonts w:ascii="Arial" w:hAnsi="Arial"/>
          <w:sz w:val="24"/>
        </w:rPr>
      </w:pPr>
    </w:p>
    <w:p w:rsidR="00000000" w:rsidRDefault="0051132D">
      <w:pPr>
        <w:numPr>
          <w:ilvl w:val="0"/>
          <w:numId w:val="4"/>
        </w:numPr>
        <w:jc w:val="both"/>
        <w:rPr>
          <w:rFonts w:ascii="Arial" w:hAnsi="Arial"/>
          <w:sz w:val="24"/>
        </w:rPr>
      </w:pPr>
      <w:r>
        <w:rPr>
          <w:rFonts w:ascii="Arial" w:hAnsi="Arial"/>
          <w:sz w:val="24"/>
        </w:rPr>
        <w:t xml:space="preserve"> Miller I, Miller M, Estadística Matemática con Aplicaciones, Pearson education, sexta edición.</w:t>
      </w:r>
    </w:p>
    <w:p w:rsidR="00000000" w:rsidRDefault="0051132D">
      <w:pPr>
        <w:jc w:val="both"/>
        <w:rPr>
          <w:rFonts w:ascii="Arial" w:hAnsi="Arial"/>
          <w:sz w:val="24"/>
        </w:rPr>
      </w:pPr>
    </w:p>
    <w:p w:rsidR="00000000" w:rsidRDefault="0051132D">
      <w:pPr>
        <w:jc w:val="both"/>
        <w:rPr>
          <w:rFonts w:ascii="Arial" w:hAnsi="Arial"/>
          <w:sz w:val="24"/>
        </w:rPr>
      </w:pPr>
    </w:p>
    <w:p w:rsidR="00000000" w:rsidRDefault="0051132D">
      <w:pPr>
        <w:numPr>
          <w:ilvl w:val="0"/>
          <w:numId w:val="4"/>
        </w:numPr>
        <w:jc w:val="both"/>
        <w:rPr>
          <w:rFonts w:ascii="Arial" w:hAnsi="Arial"/>
          <w:sz w:val="24"/>
        </w:rPr>
      </w:pPr>
      <w:r>
        <w:rPr>
          <w:rFonts w:ascii="Arial" w:hAnsi="Arial"/>
          <w:sz w:val="24"/>
        </w:rPr>
        <w:t xml:space="preserve">Johnson R, </w:t>
      </w:r>
      <w:r>
        <w:rPr>
          <w:rFonts w:ascii="Arial" w:hAnsi="Arial"/>
          <w:sz w:val="24"/>
        </w:rPr>
        <w:t>Wichern D, (1990), Applied Multivariate Statistical Analysis, Prentice Hall, cuarta edición, New Jersey, USA.</w:t>
      </w:r>
    </w:p>
    <w:p w:rsidR="00000000" w:rsidRDefault="0051132D">
      <w:pPr>
        <w:jc w:val="both"/>
        <w:rPr>
          <w:rFonts w:ascii="Arial" w:hAnsi="Arial"/>
          <w:sz w:val="24"/>
        </w:rPr>
      </w:pPr>
    </w:p>
    <w:p w:rsidR="00000000" w:rsidRDefault="0051132D">
      <w:pPr>
        <w:jc w:val="both"/>
        <w:rPr>
          <w:rFonts w:ascii="Arial" w:hAnsi="Arial"/>
          <w:sz w:val="24"/>
        </w:rPr>
      </w:pPr>
    </w:p>
    <w:p w:rsidR="00000000" w:rsidRDefault="0051132D">
      <w:pPr>
        <w:numPr>
          <w:ilvl w:val="0"/>
          <w:numId w:val="4"/>
        </w:numPr>
        <w:jc w:val="both"/>
        <w:rPr>
          <w:rFonts w:ascii="Arial" w:hAnsi="Arial"/>
          <w:sz w:val="24"/>
        </w:rPr>
      </w:pPr>
      <w:r>
        <w:rPr>
          <w:rFonts w:ascii="Arial" w:hAnsi="Arial"/>
          <w:sz w:val="24"/>
        </w:rPr>
        <w:t>Freund J, Walpole R, (1990), Estadística Matemática con Aplicaciones, Prentice Hall, cuarta edición, México.</w:t>
      </w:r>
    </w:p>
    <w:p w:rsidR="00000000" w:rsidRDefault="0051132D">
      <w:pPr>
        <w:jc w:val="both"/>
        <w:rPr>
          <w:rFonts w:ascii="Arial" w:hAnsi="Arial"/>
          <w:sz w:val="24"/>
        </w:rPr>
      </w:pPr>
    </w:p>
    <w:p w:rsidR="00000000" w:rsidRDefault="0051132D">
      <w:pPr>
        <w:jc w:val="both"/>
        <w:rPr>
          <w:rFonts w:ascii="Arial" w:hAnsi="Arial"/>
          <w:sz w:val="24"/>
        </w:rPr>
      </w:pPr>
    </w:p>
    <w:p w:rsidR="00000000" w:rsidRDefault="0051132D">
      <w:pPr>
        <w:numPr>
          <w:ilvl w:val="0"/>
          <w:numId w:val="4"/>
        </w:numPr>
        <w:jc w:val="both"/>
        <w:rPr>
          <w:rFonts w:ascii="Arial" w:hAnsi="Arial"/>
          <w:sz w:val="22"/>
        </w:rPr>
      </w:pPr>
      <w:r>
        <w:rPr>
          <w:rFonts w:ascii="Arial" w:hAnsi="Arial"/>
          <w:sz w:val="24"/>
        </w:rPr>
        <w:t>Cabezas, G. Zurita, G, (2001), De</w:t>
      </w:r>
      <w:r>
        <w:rPr>
          <w:rFonts w:ascii="Arial" w:hAnsi="Arial"/>
          <w:sz w:val="24"/>
        </w:rPr>
        <w:t>terminación del nivel de conocimientos de matemáticas y lenguaje, de los alumnos del décimo año de educación básica, de los colegios fiscales urbanos del cantón Guayaquil: Un enfoque estadístico, ESPOL</w:t>
      </w:r>
    </w:p>
    <w:p w:rsidR="0051132D" w:rsidRDefault="0051132D">
      <w:pPr>
        <w:rPr>
          <w:rFonts w:ascii="Arial" w:hAnsi="Arial"/>
        </w:rPr>
      </w:pPr>
    </w:p>
    <w:sectPr w:rsidR="0051132D">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32D" w:rsidRDefault="0051132D">
      <w:r>
        <w:separator/>
      </w:r>
    </w:p>
  </w:endnote>
  <w:endnote w:type="continuationSeparator" w:id="1">
    <w:p w:rsidR="0051132D" w:rsidRDefault="005113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32D" w:rsidRDefault="0051132D">
      <w:r>
        <w:separator/>
      </w:r>
    </w:p>
  </w:footnote>
  <w:footnote w:type="continuationSeparator" w:id="1">
    <w:p w:rsidR="0051132D" w:rsidRDefault="0051132D">
      <w:r>
        <w:continuationSeparator/>
      </w:r>
    </w:p>
  </w:footnote>
  <w:footnote w:id="2">
    <w:p w:rsidR="00000000" w:rsidRDefault="0051132D">
      <w:pPr>
        <w:pStyle w:val="Textonotapie"/>
      </w:pPr>
      <w:r>
        <w:rPr>
          <w:rStyle w:val="Refdenotaalpie"/>
        </w:rPr>
        <w:footnoteRef/>
      </w:r>
      <w:r>
        <w:t xml:space="preserve"> Ing. en Estadística Informática 2001, ESPOL</w:t>
      </w:r>
    </w:p>
  </w:footnote>
  <w:footnote w:id="3">
    <w:p w:rsidR="00000000" w:rsidRDefault="0051132D">
      <w:pPr>
        <w:pStyle w:val="Textonotapie"/>
      </w:pPr>
      <w:r>
        <w:rPr>
          <w:rStyle w:val="Refdenotaalpie"/>
        </w:rPr>
        <w:footnoteRef/>
      </w:r>
      <w:r>
        <w:t xml:space="preserve"> Direc</w:t>
      </w:r>
      <w:r>
        <w:t>tor de Tesis: Ing. Eléctrico, MS</w:t>
      </w:r>
      <w:r>
        <w:t>c</w:t>
      </w:r>
      <w:r>
        <w:t>. en Matemáticas (USA), M</w:t>
      </w:r>
      <w:r>
        <w:t>Sc</w:t>
      </w:r>
      <w:r>
        <w:t>. en Estadística (USA), profesor de la ESPOL desde 1960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F657F"/>
    <w:multiLevelType w:val="singleLevel"/>
    <w:tmpl w:val="0C0A000F"/>
    <w:lvl w:ilvl="0">
      <w:start w:val="1"/>
      <w:numFmt w:val="decimal"/>
      <w:lvlText w:val="%1."/>
      <w:lvlJc w:val="left"/>
      <w:pPr>
        <w:tabs>
          <w:tab w:val="num" w:pos="360"/>
        </w:tabs>
        <w:ind w:left="360" w:hanging="360"/>
      </w:pPr>
    </w:lvl>
  </w:abstractNum>
  <w:abstractNum w:abstractNumId="1">
    <w:nsid w:val="1E125B25"/>
    <w:multiLevelType w:val="singleLevel"/>
    <w:tmpl w:val="0C0A000F"/>
    <w:lvl w:ilvl="0">
      <w:start w:val="1"/>
      <w:numFmt w:val="decimal"/>
      <w:lvlText w:val="%1."/>
      <w:lvlJc w:val="left"/>
      <w:pPr>
        <w:tabs>
          <w:tab w:val="num" w:pos="360"/>
        </w:tabs>
        <w:ind w:left="360" w:hanging="360"/>
      </w:pPr>
    </w:lvl>
  </w:abstractNum>
  <w:abstractNum w:abstractNumId="2">
    <w:nsid w:val="4A880052"/>
    <w:multiLevelType w:val="singleLevel"/>
    <w:tmpl w:val="0C0A000F"/>
    <w:lvl w:ilvl="0">
      <w:start w:val="1"/>
      <w:numFmt w:val="decimal"/>
      <w:lvlText w:val="%1."/>
      <w:lvlJc w:val="left"/>
      <w:pPr>
        <w:tabs>
          <w:tab w:val="num" w:pos="360"/>
        </w:tabs>
        <w:ind w:left="360" w:hanging="360"/>
      </w:pPr>
    </w:lvl>
  </w:abstractNum>
  <w:abstractNum w:abstractNumId="3">
    <w:nsid w:val="4B8A2294"/>
    <w:multiLevelType w:val="singleLevel"/>
    <w:tmpl w:val="0C0A0003"/>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E7002"/>
    <w:rsid w:val="004E7002"/>
    <w:rsid w:val="005113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lang w:val="es-EC"/>
    </w:rPr>
  </w:style>
  <w:style w:type="paragraph" w:styleId="Ttulo2">
    <w:name w:val="heading 2"/>
    <w:basedOn w:val="Normal"/>
    <w:next w:val="Normal"/>
    <w:qFormat/>
    <w:pPr>
      <w:keepNext/>
      <w:spacing w:before="240" w:after="60"/>
      <w:jc w:val="both"/>
      <w:outlineLvl w:val="1"/>
    </w:pPr>
    <w:rPr>
      <w:rFonts w:ascii="Arial" w:hAnsi="Arial"/>
      <w:b/>
      <w:i/>
      <w:sz w:val="24"/>
    </w:rPr>
  </w:style>
  <w:style w:type="paragraph" w:styleId="Ttulo3">
    <w:name w:val="heading 3"/>
    <w:basedOn w:val="Normal"/>
    <w:next w:val="Normal"/>
    <w:qFormat/>
    <w:pPr>
      <w:keepNext/>
      <w:spacing w:before="240" w:after="60" w:line="480" w:lineRule="auto"/>
      <w:jc w:val="both"/>
      <w:outlineLvl w:val="2"/>
    </w:pPr>
    <w:rPr>
      <w:rFonts w:ascii="Arial" w:hAnsi="Arial"/>
      <w:b/>
      <w:sz w:val="24"/>
      <w:lang w:val="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style>
  <w:style w:type="character" w:styleId="Refdenotaalpie">
    <w:name w:val="footnote reference"/>
    <w:basedOn w:val="Fuentedeprrafopredeter"/>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chart" Target="charts/chart5.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emf"/></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6571428571428576"/>
          <c:y val="8.8122605363984724E-2"/>
          <c:w val="0.81523809523809543"/>
          <c:h val="0.74329501915708862"/>
        </c:manualLayout>
      </c:layout>
      <c:barChart>
        <c:barDir val="col"/>
        <c:grouping val="clustered"/>
        <c:ser>
          <c:idx val="0"/>
          <c:order val="0"/>
          <c:spPr>
            <a:solidFill>
              <a:srgbClr val="9999FF"/>
            </a:solidFill>
            <a:ln w="10357">
              <a:solidFill>
                <a:srgbClr val="000000"/>
              </a:solidFill>
              <a:prstDash val="solid"/>
            </a:ln>
          </c:spPr>
          <c:cat>
            <c:numRef>
              <c:f>Hoja5!$C$5:$C$52</c:f>
              <c:numCache>
                <c:formatCode>General</c:formatCode>
                <c:ptCount val="48"/>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44</c:v>
                </c:pt>
                <c:pt idx="42">
                  <c:v>45</c:v>
                </c:pt>
                <c:pt idx="43">
                  <c:v>46</c:v>
                </c:pt>
                <c:pt idx="44">
                  <c:v>49</c:v>
                </c:pt>
                <c:pt idx="45">
                  <c:v>50</c:v>
                </c:pt>
                <c:pt idx="46">
                  <c:v>51</c:v>
                </c:pt>
                <c:pt idx="47">
                  <c:v>59</c:v>
                </c:pt>
              </c:numCache>
            </c:numRef>
          </c:cat>
          <c:val>
            <c:numRef>
              <c:f>Hoja5!$D$5:$D$52</c:f>
              <c:numCache>
                <c:formatCode>0.0000</c:formatCode>
                <c:ptCount val="48"/>
                <c:pt idx="0">
                  <c:v>5.400000000000002E-3</c:v>
                </c:pt>
                <c:pt idx="1">
                  <c:v>5.400000000000002E-3</c:v>
                </c:pt>
                <c:pt idx="2">
                  <c:v>1.0800000000000004E-2</c:v>
                </c:pt>
                <c:pt idx="3">
                  <c:v>3.6000000000000012E-3</c:v>
                </c:pt>
                <c:pt idx="4">
                  <c:v>1.0800000000000004E-2</c:v>
                </c:pt>
                <c:pt idx="5">
                  <c:v>1.6199999999999999E-2</c:v>
                </c:pt>
                <c:pt idx="6">
                  <c:v>1.6199999999999999E-2</c:v>
                </c:pt>
                <c:pt idx="7">
                  <c:v>1.6199999999999999E-2</c:v>
                </c:pt>
                <c:pt idx="8">
                  <c:v>1.9900000000000008E-2</c:v>
                </c:pt>
                <c:pt idx="9">
                  <c:v>2.8899999999999999E-2</c:v>
                </c:pt>
                <c:pt idx="10">
                  <c:v>2.7100000000000006E-2</c:v>
                </c:pt>
                <c:pt idx="11">
                  <c:v>4.1599999999999998E-2</c:v>
                </c:pt>
                <c:pt idx="12">
                  <c:v>2.53E-2</c:v>
                </c:pt>
                <c:pt idx="13">
                  <c:v>4.3400000000000001E-2</c:v>
                </c:pt>
                <c:pt idx="14">
                  <c:v>2.7100000000000006E-2</c:v>
                </c:pt>
                <c:pt idx="15">
                  <c:v>3.0700000000000002E-2</c:v>
                </c:pt>
                <c:pt idx="16">
                  <c:v>4.3400000000000001E-2</c:v>
                </c:pt>
                <c:pt idx="17">
                  <c:v>4.5200000000000004E-2</c:v>
                </c:pt>
                <c:pt idx="18">
                  <c:v>4.3400000000000001E-2</c:v>
                </c:pt>
                <c:pt idx="19">
                  <c:v>4.7000000000000014E-2</c:v>
                </c:pt>
                <c:pt idx="20">
                  <c:v>4.5200000000000004E-2</c:v>
                </c:pt>
                <c:pt idx="21">
                  <c:v>3.0700000000000002E-2</c:v>
                </c:pt>
                <c:pt idx="22">
                  <c:v>3.0700000000000002E-2</c:v>
                </c:pt>
                <c:pt idx="23">
                  <c:v>2.7100000000000006E-2</c:v>
                </c:pt>
                <c:pt idx="24">
                  <c:v>3.4300000000000004E-2</c:v>
                </c:pt>
                <c:pt idx="25">
                  <c:v>3.61E-2</c:v>
                </c:pt>
                <c:pt idx="26">
                  <c:v>1.7999999999999999E-2</c:v>
                </c:pt>
                <c:pt idx="27">
                  <c:v>2.1700000000000001E-2</c:v>
                </c:pt>
                <c:pt idx="28">
                  <c:v>3.0700000000000002E-2</c:v>
                </c:pt>
                <c:pt idx="29">
                  <c:v>2.1700000000000001E-2</c:v>
                </c:pt>
                <c:pt idx="30">
                  <c:v>2.35E-2</c:v>
                </c:pt>
                <c:pt idx="31">
                  <c:v>1.9900000000000008E-2</c:v>
                </c:pt>
                <c:pt idx="32">
                  <c:v>3.0700000000000002E-2</c:v>
                </c:pt>
                <c:pt idx="33">
                  <c:v>2.1700000000000001E-2</c:v>
                </c:pt>
                <c:pt idx="34">
                  <c:v>1.7999999999999999E-2</c:v>
                </c:pt>
                <c:pt idx="35">
                  <c:v>5.400000000000002E-3</c:v>
                </c:pt>
                <c:pt idx="36">
                  <c:v>1.2600000000000004E-2</c:v>
                </c:pt>
                <c:pt idx="37">
                  <c:v>1.0800000000000004E-2</c:v>
                </c:pt>
                <c:pt idx="38">
                  <c:v>7.2000000000000024E-3</c:v>
                </c:pt>
                <c:pt idx="39">
                  <c:v>1.6199999999999999E-2</c:v>
                </c:pt>
                <c:pt idx="40">
                  <c:v>5.400000000000002E-3</c:v>
                </c:pt>
                <c:pt idx="41">
                  <c:v>5.400000000000002E-3</c:v>
                </c:pt>
                <c:pt idx="42">
                  <c:v>1.8000000000000008E-3</c:v>
                </c:pt>
                <c:pt idx="43">
                  <c:v>7.2000000000000024E-3</c:v>
                </c:pt>
                <c:pt idx="44">
                  <c:v>3.6000000000000012E-3</c:v>
                </c:pt>
                <c:pt idx="45">
                  <c:v>1.8000000000000008E-3</c:v>
                </c:pt>
                <c:pt idx="46">
                  <c:v>1.8000000000000008E-3</c:v>
                </c:pt>
                <c:pt idx="47">
                  <c:v>1.8000000000000008E-3</c:v>
                </c:pt>
              </c:numCache>
            </c:numRef>
          </c:val>
        </c:ser>
        <c:gapWidth val="30"/>
        <c:axId val="139314688"/>
        <c:axId val="139316224"/>
      </c:barChart>
      <c:catAx>
        <c:axId val="139314688"/>
        <c:scaling>
          <c:orientation val="minMax"/>
        </c:scaling>
        <c:axPos val="b"/>
        <c:numFmt formatCode="General" sourceLinked="1"/>
        <c:tickLblPos val="nextTo"/>
        <c:spPr>
          <a:ln w="2589">
            <a:solidFill>
              <a:srgbClr val="000000"/>
            </a:solidFill>
            <a:prstDash val="solid"/>
          </a:ln>
        </c:spPr>
        <c:txPr>
          <a:bodyPr rot="-5400000" vert="horz"/>
          <a:lstStyle/>
          <a:p>
            <a:pPr>
              <a:defRPr sz="979" b="0" i="0" u="none" strike="noStrike" baseline="0">
                <a:solidFill>
                  <a:srgbClr val="000000"/>
                </a:solidFill>
                <a:latin typeface="Arial"/>
                <a:ea typeface="Arial"/>
                <a:cs typeface="Arial"/>
              </a:defRPr>
            </a:pPr>
            <a:endParaRPr lang="es-ES"/>
          </a:p>
        </c:txPr>
        <c:crossAx val="139316224"/>
        <c:crosses val="autoZero"/>
        <c:auto val="1"/>
        <c:lblAlgn val="ctr"/>
        <c:lblOffset val="100"/>
        <c:tickLblSkip val="3"/>
        <c:tickMarkSkip val="1"/>
      </c:catAx>
      <c:valAx>
        <c:axId val="139316224"/>
        <c:scaling>
          <c:orientation val="minMax"/>
        </c:scaling>
        <c:axPos val="l"/>
        <c:majorGridlines>
          <c:spPr>
            <a:ln w="2589">
              <a:solidFill>
                <a:srgbClr val="000000"/>
              </a:solidFill>
              <a:prstDash val="solid"/>
            </a:ln>
          </c:spPr>
        </c:majorGridlines>
        <c:title>
          <c:tx>
            <c:rich>
              <a:bodyPr/>
              <a:lstStyle/>
              <a:p>
                <a:pPr>
                  <a:defRPr sz="979" b="1" i="0" u="none" strike="noStrike" baseline="0">
                    <a:solidFill>
                      <a:srgbClr val="000000"/>
                    </a:solidFill>
                    <a:latin typeface="Arial"/>
                    <a:ea typeface="Arial"/>
                    <a:cs typeface="Arial"/>
                  </a:defRPr>
                </a:pPr>
                <a:r>
                  <a:t>Frecuencia relativa</a:t>
                </a:r>
              </a:p>
            </c:rich>
          </c:tx>
          <c:layout>
            <c:manualLayout>
              <c:xMode val="edge"/>
              <c:yMode val="edge"/>
              <c:x val="2.0952380952380948E-2"/>
              <c:y val="0.17241379310344837"/>
            </c:manualLayout>
          </c:layout>
          <c:spPr>
            <a:noFill/>
            <a:ln w="20714">
              <a:noFill/>
            </a:ln>
          </c:spPr>
        </c:title>
        <c:numFmt formatCode="0.00" sourceLinked="0"/>
        <c:tickLblPos val="nextTo"/>
        <c:spPr>
          <a:ln w="2589">
            <a:solidFill>
              <a:srgbClr val="000000"/>
            </a:solidFill>
            <a:prstDash val="solid"/>
          </a:ln>
        </c:spPr>
        <c:txPr>
          <a:bodyPr rot="0" vert="horz"/>
          <a:lstStyle/>
          <a:p>
            <a:pPr>
              <a:defRPr sz="979" b="0" i="0" u="none" strike="noStrike" baseline="0">
                <a:solidFill>
                  <a:srgbClr val="000000"/>
                </a:solidFill>
                <a:latin typeface="Arial"/>
                <a:ea typeface="Arial"/>
                <a:cs typeface="Arial"/>
              </a:defRPr>
            </a:pPr>
            <a:endParaRPr lang="es-ES"/>
          </a:p>
        </c:txPr>
        <c:crossAx val="139314688"/>
        <c:crosses val="autoZero"/>
        <c:crossBetween val="between"/>
        <c:majorUnit val="1.0000000000000004E-2"/>
      </c:valAx>
      <c:spPr>
        <a:noFill/>
        <a:ln w="10357">
          <a:solidFill>
            <a:srgbClr val="808080"/>
          </a:solidFill>
          <a:prstDash val="solid"/>
        </a:ln>
      </c:spPr>
    </c:plotArea>
    <c:plotVisOnly val="1"/>
    <c:dispBlanksAs val="gap"/>
  </c:chart>
  <c:spPr>
    <a:solidFill>
      <a:srgbClr val="FFFFFF"/>
    </a:solidFill>
    <a:ln w="2589">
      <a:solidFill>
        <a:srgbClr val="000000"/>
      </a:solidFill>
      <a:prstDash val="solid"/>
    </a:ln>
  </c:spPr>
  <c:txPr>
    <a:bodyPr/>
    <a:lstStyle/>
    <a:p>
      <a:pPr>
        <a:defRPr sz="979"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5732368896925858"/>
          <c:y val="8.8803088803088806E-2"/>
          <c:w val="0.82459312839059673"/>
          <c:h val="0.74131274131274105"/>
        </c:manualLayout>
      </c:layout>
      <c:barChart>
        <c:barDir val="col"/>
        <c:grouping val="clustered"/>
        <c:ser>
          <c:idx val="0"/>
          <c:order val="0"/>
          <c:spPr>
            <a:solidFill>
              <a:srgbClr val="9999FF"/>
            </a:solidFill>
            <a:ln w="9840">
              <a:solidFill>
                <a:srgbClr val="000000"/>
              </a:solidFill>
              <a:prstDash val="solid"/>
            </a:ln>
          </c:spPr>
          <c:cat>
            <c:numRef>
              <c:f>Hoja4!$C$5:$C$68</c:f>
              <c:numCache>
                <c:formatCode>General</c:formatCode>
                <c:ptCount val="64"/>
                <c:pt idx="0">
                  <c:v>15</c:v>
                </c:pt>
                <c:pt idx="1">
                  <c:v>20</c:v>
                </c:pt>
                <c:pt idx="2">
                  <c:v>22</c:v>
                </c:pt>
                <c:pt idx="3">
                  <c:v>23</c:v>
                </c:pt>
                <c:pt idx="4">
                  <c:v>25</c:v>
                </c:pt>
                <c:pt idx="5">
                  <c:v>26</c:v>
                </c:pt>
                <c:pt idx="6">
                  <c:v>27</c:v>
                </c:pt>
                <c:pt idx="7">
                  <c:v>28</c:v>
                </c:pt>
                <c:pt idx="8">
                  <c:v>29</c:v>
                </c:pt>
                <c:pt idx="9">
                  <c:v>30</c:v>
                </c:pt>
                <c:pt idx="10">
                  <c:v>31</c:v>
                </c:pt>
                <c:pt idx="11">
                  <c:v>32</c:v>
                </c:pt>
                <c:pt idx="12">
                  <c:v>33</c:v>
                </c:pt>
                <c:pt idx="13">
                  <c:v>34</c:v>
                </c:pt>
                <c:pt idx="14">
                  <c:v>35</c:v>
                </c:pt>
                <c:pt idx="15">
                  <c:v>36</c:v>
                </c:pt>
                <c:pt idx="16">
                  <c:v>37</c:v>
                </c:pt>
                <c:pt idx="17">
                  <c:v>38</c:v>
                </c:pt>
                <c:pt idx="18">
                  <c:v>39</c:v>
                </c:pt>
                <c:pt idx="19">
                  <c:v>40</c:v>
                </c:pt>
                <c:pt idx="20">
                  <c:v>41</c:v>
                </c:pt>
                <c:pt idx="21">
                  <c:v>42</c:v>
                </c:pt>
                <c:pt idx="22">
                  <c:v>43</c:v>
                </c:pt>
                <c:pt idx="23">
                  <c:v>44</c:v>
                </c:pt>
                <c:pt idx="24">
                  <c:v>45</c:v>
                </c:pt>
                <c:pt idx="25">
                  <c:v>46</c:v>
                </c:pt>
                <c:pt idx="26">
                  <c:v>47</c:v>
                </c:pt>
                <c:pt idx="27">
                  <c:v>48</c:v>
                </c:pt>
                <c:pt idx="28">
                  <c:v>49</c:v>
                </c:pt>
                <c:pt idx="29">
                  <c:v>50</c:v>
                </c:pt>
                <c:pt idx="30">
                  <c:v>51</c:v>
                </c:pt>
                <c:pt idx="31">
                  <c:v>52</c:v>
                </c:pt>
                <c:pt idx="32">
                  <c:v>53</c:v>
                </c:pt>
                <c:pt idx="33">
                  <c:v>54</c:v>
                </c:pt>
                <c:pt idx="34">
                  <c:v>55</c:v>
                </c:pt>
                <c:pt idx="35">
                  <c:v>56</c:v>
                </c:pt>
                <c:pt idx="36">
                  <c:v>57</c:v>
                </c:pt>
                <c:pt idx="37">
                  <c:v>58</c:v>
                </c:pt>
                <c:pt idx="38">
                  <c:v>59</c:v>
                </c:pt>
                <c:pt idx="39">
                  <c:v>60</c:v>
                </c:pt>
                <c:pt idx="40">
                  <c:v>61</c:v>
                </c:pt>
                <c:pt idx="41">
                  <c:v>62</c:v>
                </c:pt>
                <c:pt idx="42">
                  <c:v>63</c:v>
                </c:pt>
                <c:pt idx="43">
                  <c:v>64</c:v>
                </c:pt>
                <c:pt idx="44">
                  <c:v>65</c:v>
                </c:pt>
                <c:pt idx="45">
                  <c:v>66</c:v>
                </c:pt>
                <c:pt idx="46">
                  <c:v>67</c:v>
                </c:pt>
                <c:pt idx="47">
                  <c:v>68</c:v>
                </c:pt>
                <c:pt idx="48">
                  <c:v>69</c:v>
                </c:pt>
                <c:pt idx="49">
                  <c:v>70</c:v>
                </c:pt>
                <c:pt idx="50">
                  <c:v>71</c:v>
                </c:pt>
                <c:pt idx="51">
                  <c:v>72</c:v>
                </c:pt>
                <c:pt idx="52">
                  <c:v>73</c:v>
                </c:pt>
                <c:pt idx="53">
                  <c:v>74</c:v>
                </c:pt>
                <c:pt idx="54">
                  <c:v>75</c:v>
                </c:pt>
                <c:pt idx="55">
                  <c:v>76</c:v>
                </c:pt>
                <c:pt idx="56">
                  <c:v>77</c:v>
                </c:pt>
                <c:pt idx="57">
                  <c:v>78</c:v>
                </c:pt>
                <c:pt idx="58">
                  <c:v>79</c:v>
                </c:pt>
                <c:pt idx="59">
                  <c:v>81</c:v>
                </c:pt>
                <c:pt idx="60">
                  <c:v>83</c:v>
                </c:pt>
                <c:pt idx="61">
                  <c:v>85</c:v>
                </c:pt>
                <c:pt idx="62">
                  <c:v>87</c:v>
                </c:pt>
                <c:pt idx="63">
                  <c:v>88</c:v>
                </c:pt>
              </c:numCache>
            </c:numRef>
          </c:cat>
          <c:val>
            <c:numRef>
              <c:f>Hoja4!$D$5:$D$68</c:f>
              <c:numCache>
                <c:formatCode>General</c:formatCode>
                <c:ptCount val="64"/>
                <c:pt idx="0">
                  <c:v>3.6166365280289347E-3</c:v>
                </c:pt>
                <c:pt idx="1">
                  <c:v>1.8083182640144669E-3</c:v>
                </c:pt>
                <c:pt idx="2">
                  <c:v>1.8083182640144669E-3</c:v>
                </c:pt>
                <c:pt idx="3">
                  <c:v>1.8083182640144669E-3</c:v>
                </c:pt>
                <c:pt idx="4">
                  <c:v>3.6166365280289347E-3</c:v>
                </c:pt>
                <c:pt idx="5">
                  <c:v>7.2332730560578712E-3</c:v>
                </c:pt>
                <c:pt idx="6">
                  <c:v>1.8083182640144669E-3</c:v>
                </c:pt>
                <c:pt idx="7">
                  <c:v>1.8083182640144669E-3</c:v>
                </c:pt>
                <c:pt idx="8">
                  <c:v>1.8083182640144669E-3</c:v>
                </c:pt>
                <c:pt idx="9">
                  <c:v>3.6166365280289347E-3</c:v>
                </c:pt>
                <c:pt idx="10">
                  <c:v>7.2332730560578712E-3</c:v>
                </c:pt>
                <c:pt idx="11">
                  <c:v>7.2332730560578712E-3</c:v>
                </c:pt>
                <c:pt idx="12">
                  <c:v>5.4249547920434014E-3</c:v>
                </c:pt>
                <c:pt idx="13">
                  <c:v>7.2332730560578712E-3</c:v>
                </c:pt>
                <c:pt idx="14">
                  <c:v>1.8083182640144669E-3</c:v>
                </c:pt>
                <c:pt idx="15">
                  <c:v>1.8083182640144669E-3</c:v>
                </c:pt>
                <c:pt idx="16">
                  <c:v>1.6274864376130203E-2</c:v>
                </c:pt>
                <c:pt idx="17">
                  <c:v>1.0849909584086799E-2</c:v>
                </c:pt>
                <c:pt idx="18">
                  <c:v>1.6274864376130203E-2</c:v>
                </c:pt>
                <c:pt idx="19">
                  <c:v>1.4466546112115735E-2</c:v>
                </c:pt>
                <c:pt idx="20">
                  <c:v>1.4466546112115735E-2</c:v>
                </c:pt>
                <c:pt idx="21">
                  <c:v>1.4466546112115735E-2</c:v>
                </c:pt>
                <c:pt idx="22">
                  <c:v>2.1699819168173616E-2</c:v>
                </c:pt>
                <c:pt idx="23">
                  <c:v>1.2658227848101266E-2</c:v>
                </c:pt>
                <c:pt idx="24">
                  <c:v>1.8083182640144673E-2</c:v>
                </c:pt>
                <c:pt idx="25">
                  <c:v>2.5316455696202528E-2</c:v>
                </c:pt>
                <c:pt idx="26">
                  <c:v>2.3508137432188065E-2</c:v>
                </c:pt>
                <c:pt idx="27">
                  <c:v>3.2549728752260407E-2</c:v>
                </c:pt>
                <c:pt idx="28">
                  <c:v>1.9891500904159139E-2</c:v>
                </c:pt>
                <c:pt idx="29">
                  <c:v>2.3508137432188065E-2</c:v>
                </c:pt>
                <c:pt idx="30">
                  <c:v>2.7124773960217001E-2</c:v>
                </c:pt>
                <c:pt idx="31">
                  <c:v>2.8933092224231471E-2</c:v>
                </c:pt>
                <c:pt idx="32">
                  <c:v>4.1591320072332717E-2</c:v>
                </c:pt>
                <c:pt idx="33">
                  <c:v>2.8933092224231471E-2</c:v>
                </c:pt>
                <c:pt idx="34">
                  <c:v>1.6274864376130203E-2</c:v>
                </c:pt>
                <c:pt idx="35">
                  <c:v>2.1699819168173616E-2</c:v>
                </c:pt>
                <c:pt idx="36">
                  <c:v>3.435804701627488E-2</c:v>
                </c:pt>
                <c:pt idx="37">
                  <c:v>3.435804701627488E-2</c:v>
                </c:pt>
                <c:pt idx="38">
                  <c:v>2.1699819168173616E-2</c:v>
                </c:pt>
                <c:pt idx="39">
                  <c:v>2.5316455696202528E-2</c:v>
                </c:pt>
                <c:pt idx="40">
                  <c:v>3.2549728752260407E-2</c:v>
                </c:pt>
                <c:pt idx="41">
                  <c:v>2.1699819168173616E-2</c:v>
                </c:pt>
                <c:pt idx="42">
                  <c:v>3.9783001808318265E-2</c:v>
                </c:pt>
                <c:pt idx="43">
                  <c:v>2.1699819168173616E-2</c:v>
                </c:pt>
                <c:pt idx="44">
                  <c:v>2.5316455696202528E-2</c:v>
                </c:pt>
                <c:pt idx="45">
                  <c:v>4.882459312839061E-2</c:v>
                </c:pt>
                <c:pt idx="46">
                  <c:v>3.0741410488245954E-2</c:v>
                </c:pt>
                <c:pt idx="47">
                  <c:v>1.9891500904159139E-2</c:v>
                </c:pt>
                <c:pt idx="48">
                  <c:v>1.8083182640144673E-2</c:v>
                </c:pt>
                <c:pt idx="49">
                  <c:v>1.8083182640144673E-2</c:v>
                </c:pt>
                <c:pt idx="50">
                  <c:v>1.6274864376130203E-2</c:v>
                </c:pt>
                <c:pt idx="51">
                  <c:v>2.3508137432188065E-2</c:v>
                </c:pt>
                <c:pt idx="52">
                  <c:v>3.6166365280289347E-3</c:v>
                </c:pt>
                <c:pt idx="53">
                  <c:v>1.9891500904159139E-2</c:v>
                </c:pt>
                <c:pt idx="54">
                  <c:v>7.2332730560578712E-3</c:v>
                </c:pt>
                <c:pt idx="55">
                  <c:v>5.4249547920434014E-3</c:v>
                </c:pt>
                <c:pt idx="56">
                  <c:v>9.0415913200723331E-3</c:v>
                </c:pt>
                <c:pt idx="57">
                  <c:v>1.0849909584086799E-2</c:v>
                </c:pt>
                <c:pt idx="58">
                  <c:v>1.0849909584086799E-2</c:v>
                </c:pt>
                <c:pt idx="59">
                  <c:v>5.4249547920434014E-3</c:v>
                </c:pt>
                <c:pt idx="60">
                  <c:v>1.8083182640144669E-3</c:v>
                </c:pt>
                <c:pt idx="61">
                  <c:v>1.8083182640144669E-3</c:v>
                </c:pt>
                <c:pt idx="62">
                  <c:v>1.8083182640144669E-3</c:v>
                </c:pt>
                <c:pt idx="63">
                  <c:v>1.8083182640144669E-3</c:v>
                </c:pt>
              </c:numCache>
            </c:numRef>
          </c:val>
        </c:ser>
        <c:gapWidth val="30"/>
        <c:axId val="129325312"/>
        <c:axId val="129331200"/>
      </c:barChart>
      <c:catAx>
        <c:axId val="129325312"/>
        <c:scaling>
          <c:orientation val="minMax"/>
        </c:scaling>
        <c:axPos val="b"/>
        <c:numFmt formatCode="General" sourceLinked="1"/>
        <c:tickLblPos val="nextTo"/>
        <c:spPr>
          <a:ln w="2460">
            <a:solidFill>
              <a:srgbClr val="000000"/>
            </a:solidFill>
            <a:prstDash val="solid"/>
          </a:ln>
        </c:spPr>
        <c:txPr>
          <a:bodyPr rot="-5400000" vert="horz"/>
          <a:lstStyle/>
          <a:p>
            <a:pPr>
              <a:defRPr sz="930" b="0" i="0" u="none" strike="noStrike" baseline="0">
                <a:solidFill>
                  <a:srgbClr val="000000"/>
                </a:solidFill>
                <a:latin typeface="Arial"/>
                <a:ea typeface="Arial"/>
                <a:cs typeface="Arial"/>
              </a:defRPr>
            </a:pPr>
            <a:endParaRPr lang="es-ES"/>
          </a:p>
        </c:txPr>
        <c:crossAx val="129331200"/>
        <c:crosses val="autoZero"/>
        <c:auto val="1"/>
        <c:lblAlgn val="ctr"/>
        <c:lblOffset val="100"/>
        <c:tickLblSkip val="4"/>
        <c:tickMarkSkip val="1"/>
      </c:catAx>
      <c:valAx>
        <c:axId val="129331200"/>
        <c:scaling>
          <c:orientation val="minMax"/>
        </c:scaling>
        <c:axPos val="l"/>
        <c:majorGridlines>
          <c:spPr>
            <a:ln w="2460">
              <a:solidFill>
                <a:srgbClr val="000000"/>
              </a:solidFill>
              <a:prstDash val="solid"/>
            </a:ln>
          </c:spPr>
        </c:majorGridlines>
        <c:title>
          <c:tx>
            <c:rich>
              <a:bodyPr/>
              <a:lstStyle/>
              <a:p>
                <a:pPr>
                  <a:defRPr sz="930" b="1" i="0" u="none" strike="noStrike" baseline="0">
                    <a:solidFill>
                      <a:srgbClr val="000000"/>
                    </a:solidFill>
                    <a:latin typeface="Arial"/>
                    <a:ea typeface="Arial"/>
                    <a:cs typeface="Arial"/>
                  </a:defRPr>
                </a:pPr>
                <a:r>
                  <a:t>Frecuencia relativa</a:t>
                </a:r>
              </a:p>
            </c:rich>
          </c:tx>
          <c:layout>
            <c:manualLayout>
              <c:xMode val="edge"/>
              <c:yMode val="edge"/>
              <c:x val="1.9891500904159139E-2"/>
              <c:y val="0.16988416988416991"/>
            </c:manualLayout>
          </c:layout>
          <c:spPr>
            <a:noFill/>
            <a:ln w="19680">
              <a:noFill/>
            </a:ln>
          </c:spPr>
        </c:title>
        <c:numFmt formatCode="General" sourceLinked="1"/>
        <c:tickLblPos val="nextTo"/>
        <c:spPr>
          <a:ln w="2460">
            <a:solidFill>
              <a:srgbClr val="000000"/>
            </a:solidFill>
            <a:prstDash val="solid"/>
          </a:ln>
        </c:spPr>
        <c:txPr>
          <a:bodyPr rot="0" vert="horz"/>
          <a:lstStyle/>
          <a:p>
            <a:pPr>
              <a:defRPr sz="930" b="0" i="0" u="none" strike="noStrike" baseline="0">
                <a:solidFill>
                  <a:srgbClr val="000000"/>
                </a:solidFill>
                <a:latin typeface="Arial"/>
                <a:ea typeface="Arial"/>
                <a:cs typeface="Arial"/>
              </a:defRPr>
            </a:pPr>
            <a:endParaRPr lang="es-ES"/>
          </a:p>
        </c:txPr>
        <c:crossAx val="129325312"/>
        <c:crosses val="autoZero"/>
        <c:crossBetween val="between"/>
      </c:valAx>
      <c:spPr>
        <a:noFill/>
        <a:ln w="9840">
          <a:solidFill>
            <a:srgbClr val="808080"/>
          </a:solidFill>
          <a:prstDash val="solid"/>
        </a:ln>
      </c:spPr>
    </c:plotArea>
    <c:plotVisOnly val="1"/>
    <c:dispBlanksAs val="gap"/>
  </c:chart>
  <c:spPr>
    <a:solidFill>
      <a:srgbClr val="FFFFFF"/>
    </a:solidFill>
    <a:ln w="2460">
      <a:solidFill>
        <a:srgbClr val="000000"/>
      </a:solidFill>
      <a:prstDash val="solid"/>
    </a:ln>
  </c:spPr>
  <c:txPr>
    <a:bodyPr/>
    <a:lstStyle/>
    <a:p>
      <a:pPr>
        <a:defRPr sz="930"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5675675675675679"/>
          <c:y val="9.4262295081967207E-2"/>
          <c:w val="0.79639639639639659"/>
          <c:h val="0.71721311475409832"/>
        </c:manualLayout>
      </c:layout>
      <c:scatterChart>
        <c:scatterStyle val="smoothMarker"/>
        <c:ser>
          <c:idx val="0"/>
          <c:order val="0"/>
          <c:spPr>
            <a:ln w="9805">
              <a:solidFill>
                <a:srgbClr val="000080"/>
              </a:solidFill>
              <a:prstDash val="solid"/>
            </a:ln>
          </c:spPr>
          <c:marker>
            <c:symbol val="none"/>
          </c:marker>
          <c:xVal>
            <c:numRef>
              <c:f>Hoja4!$I$5:$I$68</c:f>
              <c:numCache>
                <c:formatCode>General</c:formatCode>
                <c:ptCount val="64"/>
                <c:pt idx="0">
                  <c:v>15</c:v>
                </c:pt>
                <c:pt idx="1">
                  <c:v>20</c:v>
                </c:pt>
                <c:pt idx="2">
                  <c:v>22</c:v>
                </c:pt>
                <c:pt idx="3">
                  <c:v>23</c:v>
                </c:pt>
                <c:pt idx="4">
                  <c:v>25</c:v>
                </c:pt>
                <c:pt idx="5">
                  <c:v>26</c:v>
                </c:pt>
                <c:pt idx="6">
                  <c:v>27</c:v>
                </c:pt>
                <c:pt idx="7">
                  <c:v>28</c:v>
                </c:pt>
                <c:pt idx="8">
                  <c:v>29</c:v>
                </c:pt>
                <c:pt idx="9">
                  <c:v>30</c:v>
                </c:pt>
                <c:pt idx="10">
                  <c:v>31</c:v>
                </c:pt>
                <c:pt idx="11">
                  <c:v>32</c:v>
                </c:pt>
                <c:pt idx="12">
                  <c:v>33</c:v>
                </c:pt>
                <c:pt idx="13">
                  <c:v>34</c:v>
                </c:pt>
                <c:pt idx="14">
                  <c:v>35</c:v>
                </c:pt>
                <c:pt idx="15">
                  <c:v>36</c:v>
                </c:pt>
                <c:pt idx="16">
                  <c:v>37</c:v>
                </c:pt>
                <c:pt idx="17">
                  <c:v>38</c:v>
                </c:pt>
                <c:pt idx="18">
                  <c:v>39</c:v>
                </c:pt>
                <c:pt idx="19">
                  <c:v>40</c:v>
                </c:pt>
                <c:pt idx="20">
                  <c:v>41</c:v>
                </c:pt>
                <c:pt idx="21">
                  <c:v>42</c:v>
                </c:pt>
                <c:pt idx="22">
                  <c:v>43</c:v>
                </c:pt>
                <c:pt idx="23">
                  <c:v>44</c:v>
                </c:pt>
                <c:pt idx="24">
                  <c:v>45</c:v>
                </c:pt>
                <c:pt idx="25">
                  <c:v>46</c:v>
                </c:pt>
                <c:pt idx="26">
                  <c:v>47</c:v>
                </c:pt>
                <c:pt idx="27">
                  <c:v>48</c:v>
                </c:pt>
                <c:pt idx="28">
                  <c:v>49</c:v>
                </c:pt>
                <c:pt idx="29">
                  <c:v>50</c:v>
                </c:pt>
                <c:pt idx="30">
                  <c:v>51</c:v>
                </c:pt>
                <c:pt idx="31">
                  <c:v>52</c:v>
                </c:pt>
                <c:pt idx="32">
                  <c:v>53</c:v>
                </c:pt>
                <c:pt idx="33">
                  <c:v>54</c:v>
                </c:pt>
                <c:pt idx="34">
                  <c:v>55</c:v>
                </c:pt>
                <c:pt idx="35">
                  <c:v>56</c:v>
                </c:pt>
                <c:pt idx="36">
                  <c:v>57</c:v>
                </c:pt>
                <c:pt idx="37">
                  <c:v>58</c:v>
                </c:pt>
                <c:pt idx="38">
                  <c:v>59</c:v>
                </c:pt>
                <c:pt idx="39">
                  <c:v>60</c:v>
                </c:pt>
                <c:pt idx="40">
                  <c:v>61</c:v>
                </c:pt>
                <c:pt idx="41">
                  <c:v>62</c:v>
                </c:pt>
                <c:pt idx="42">
                  <c:v>63</c:v>
                </c:pt>
                <c:pt idx="43">
                  <c:v>64</c:v>
                </c:pt>
                <c:pt idx="44">
                  <c:v>65</c:v>
                </c:pt>
                <c:pt idx="45">
                  <c:v>66</c:v>
                </c:pt>
                <c:pt idx="46">
                  <c:v>67</c:v>
                </c:pt>
                <c:pt idx="47">
                  <c:v>68</c:v>
                </c:pt>
                <c:pt idx="48">
                  <c:v>69</c:v>
                </c:pt>
                <c:pt idx="49">
                  <c:v>70</c:v>
                </c:pt>
                <c:pt idx="50">
                  <c:v>71</c:v>
                </c:pt>
                <c:pt idx="51">
                  <c:v>72</c:v>
                </c:pt>
                <c:pt idx="52">
                  <c:v>73</c:v>
                </c:pt>
                <c:pt idx="53">
                  <c:v>74</c:v>
                </c:pt>
                <c:pt idx="54">
                  <c:v>75</c:v>
                </c:pt>
                <c:pt idx="55">
                  <c:v>76</c:v>
                </c:pt>
                <c:pt idx="56">
                  <c:v>77</c:v>
                </c:pt>
                <c:pt idx="57">
                  <c:v>78</c:v>
                </c:pt>
                <c:pt idx="58">
                  <c:v>79</c:v>
                </c:pt>
                <c:pt idx="59">
                  <c:v>81</c:v>
                </c:pt>
                <c:pt idx="60">
                  <c:v>83</c:v>
                </c:pt>
                <c:pt idx="61">
                  <c:v>85</c:v>
                </c:pt>
                <c:pt idx="62">
                  <c:v>87</c:v>
                </c:pt>
                <c:pt idx="63">
                  <c:v>88</c:v>
                </c:pt>
              </c:numCache>
            </c:numRef>
          </c:xVal>
          <c:yVal>
            <c:numRef>
              <c:f>Hoja4!$J$5:$J$68</c:f>
              <c:numCache>
                <c:formatCode>General</c:formatCode>
                <c:ptCount val="64"/>
                <c:pt idx="0">
                  <c:v>3.6166365280289347E-3</c:v>
                </c:pt>
                <c:pt idx="1">
                  <c:v>5.4249547920434014E-3</c:v>
                </c:pt>
                <c:pt idx="2">
                  <c:v>7.2332730560578712E-3</c:v>
                </c:pt>
                <c:pt idx="3">
                  <c:v>9.0415913200723331E-3</c:v>
                </c:pt>
                <c:pt idx="4">
                  <c:v>1.2658227848101266E-2</c:v>
                </c:pt>
                <c:pt idx="5">
                  <c:v>1.9891500904159139E-2</c:v>
                </c:pt>
                <c:pt idx="6">
                  <c:v>2.1699819168173616E-2</c:v>
                </c:pt>
                <c:pt idx="7">
                  <c:v>2.3508137432188068E-2</c:v>
                </c:pt>
                <c:pt idx="8">
                  <c:v>2.5316455696202531E-2</c:v>
                </c:pt>
                <c:pt idx="9">
                  <c:v>2.8933092224231471E-2</c:v>
                </c:pt>
                <c:pt idx="10">
                  <c:v>3.6166365280289346E-2</c:v>
                </c:pt>
                <c:pt idx="11">
                  <c:v>4.3399638336347232E-2</c:v>
                </c:pt>
                <c:pt idx="12">
                  <c:v>4.8824593128390617E-2</c:v>
                </c:pt>
                <c:pt idx="13">
                  <c:v>5.6057866184448482E-2</c:v>
                </c:pt>
                <c:pt idx="14">
                  <c:v>5.7866184448462941E-2</c:v>
                </c:pt>
                <c:pt idx="15">
                  <c:v>5.9674502712477373E-2</c:v>
                </c:pt>
                <c:pt idx="16">
                  <c:v>7.5949367088607597E-2</c:v>
                </c:pt>
                <c:pt idx="17">
                  <c:v>8.6799276672694395E-2</c:v>
                </c:pt>
                <c:pt idx="18">
                  <c:v>0.10307414104882463</c:v>
                </c:pt>
                <c:pt idx="19">
                  <c:v>0.11754068716094032</c:v>
                </c:pt>
                <c:pt idx="20">
                  <c:v>0.13200723327305602</c:v>
                </c:pt>
                <c:pt idx="21">
                  <c:v>0.14647377938517175</c:v>
                </c:pt>
                <c:pt idx="22">
                  <c:v>0.16817359855334538</c:v>
                </c:pt>
                <c:pt idx="23">
                  <c:v>0.18083182640144668</c:v>
                </c:pt>
                <c:pt idx="24">
                  <c:v>0.19891500904159143</c:v>
                </c:pt>
                <c:pt idx="25">
                  <c:v>0.22423146473779393</c:v>
                </c:pt>
                <c:pt idx="26">
                  <c:v>0.24773960216998198</c:v>
                </c:pt>
                <c:pt idx="27">
                  <c:v>0.28028933092224245</c:v>
                </c:pt>
                <c:pt idx="28">
                  <c:v>0.30018083182640165</c:v>
                </c:pt>
                <c:pt idx="29">
                  <c:v>0.32368896925858975</c:v>
                </c:pt>
                <c:pt idx="30">
                  <c:v>0.35081374321880665</c:v>
                </c:pt>
                <c:pt idx="31">
                  <c:v>0.37974683544303794</c:v>
                </c:pt>
                <c:pt idx="32">
                  <c:v>0.42133815551537068</c:v>
                </c:pt>
                <c:pt idx="33">
                  <c:v>0.45027124773960231</c:v>
                </c:pt>
                <c:pt idx="34">
                  <c:v>0.46654611211573233</c:v>
                </c:pt>
                <c:pt idx="35">
                  <c:v>0.48824593128390614</c:v>
                </c:pt>
                <c:pt idx="36">
                  <c:v>0.52260397830018113</c:v>
                </c:pt>
                <c:pt idx="37">
                  <c:v>0.55696202531645556</c:v>
                </c:pt>
                <c:pt idx="38">
                  <c:v>0.57866184448462965</c:v>
                </c:pt>
                <c:pt idx="39">
                  <c:v>0.60397830018083221</c:v>
                </c:pt>
                <c:pt idx="40">
                  <c:v>0.63652802893309268</c:v>
                </c:pt>
                <c:pt idx="41">
                  <c:v>0.65822784810126589</c:v>
                </c:pt>
                <c:pt idx="42">
                  <c:v>0.6980108499095844</c:v>
                </c:pt>
                <c:pt idx="43">
                  <c:v>0.7197106690777576</c:v>
                </c:pt>
                <c:pt idx="44">
                  <c:v>0.74502712477396027</c:v>
                </c:pt>
                <c:pt idx="45">
                  <c:v>0.79385171790235087</c:v>
                </c:pt>
                <c:pt idx="46">
                  <c:v>0.82459312839059695</c:v>
                </c:pt>
                <c:pt idx="47">
                  <c:v>0.8444846292947561</c:v>
                </c:pt>
                <c:pt idx="48">
                  <c:v>0.86256781193490051</c:v>
                </c:pt>
                <c:pt idx="49">
                  <c:v>0.88065099457504525</c:v>
                </c:pt>
                <c:pt idx="50">
                  <c:v>0.89692585895117583</c:v>
                </c:pt>
                <c:pt idx="51">
                  <c:v>0.92043399638336354</c:v>
                </c:pt>
                <c:pt idx="52">
                  <c:v>0.92405063291139278</c:v>
                </c:pt>
                <c:pt idx="53">
                  <c:v>0.9439421338155517</c:v>
                </c:pt>
                <c:pt idx="54">
                  <c:v>0.95117540687160962</c:v>
                </c:pt>
                <c:pt idx="55">
                  <c:v>0.95660036166365292</c:v>
                </c:pt>
                <c:pt idx="56">
                  <c:v>0.96564195298372579</c:v>
                </c:pt>
                <c:pt idx="57">
                  <c:v>0.97649186256781251</c:v>
                </c:pt>
                <c:pt idx="58">
                  <c:v>0.98734177215189911</c:v>
                </c:pt>
                <c:pt idx="59">
                  <c:v>0.99276672694394197</c:v>
                </c:pt>
                <c:pt idx="60">
                  <c:v>0.99457504520795637</c:v>
                </c:pt>
                <c:pt idx="61">
                  <c:v>0.99638336347197087</c:v>
                </c:pt>
                <c:pt idx="62">
                  <c:v>0.99819168173598549</c:v>
                </c:pt>
                <c:pt idx="63">
                  <c:v>1</c:v>
                </c:pt>
              </c:numCache>
            </c:numRef>
          </c:yVal>
          <c:smooth val="1"/>
        </c:ser>
        <c:axId val="129346560"/>
        <c:axId val="139121408"/>
      </c:scatterChart>
      <c:valAx>
        <c:axId val="129346560"/>
        <c:scaling>
          <c:orientation val="minMax"/>
        </c:scaling>
        <c:axPos val="b"/>
        <c:numFmt formatCode="General" sourceLinked="1"/>
        <c:tickLblPos val="nextTo"/>
        <c:spPr>
          <a:ln w="2451">
            <a:solidFill>
              <a:srgbClr val="000000"/>
            </a:solidFill>
            <a:prstDash val="solid"/>
          </a:ln>
        </c:spPr>
        <c:txPr>
          <a:bodyPr rot="0" vert="horz"/>
          <a:lstStyle/>
          <a:p>
            <a:pPr>
              <a:defRPr sz="926" b="0" i="0" u="none" strike="noStrike" baseline="0">
                <a:solidFill>
                  <a:srgbClr val="000000"/>
                </a:solidFill>
                <a:latin typeface="Arial"/>
                <a:ea typeface="Arial"/>
                <a:cs typeface="Arial"/>
              </a:defRPr>
            </a:pPr>
            <a:endParaRPr lang="es-ES"/>
          </a:p>
        </c:txPr>
        <c:crossAx val="139121408"/>
        <c:crosses val="autoZero"/>
        <c:crossBetween val="midCat"/>
        <c:majorUnit val="10"/>
      </c:valAx>
      <c:valAx>
        <c:axId val="139121408"/>
        <c:scaling>
          <c:orientation val="minMax"/>
          <c:max val="1"/>
          <c:min val="0"/>
        </c:scaling>
        <c:axPos val="l"/>
        <c:majorGridlines>
          <c:spPr>
            <a:ln w="2451">
              <a:solidFill>
                <a:srgbClr val="000000"/>
              </a:solidFill>
              <a:prstDash val="solid"/>
            </a:ln>
          </c:spPr>
        </c:majorGridlines>
        <c:title>
          <c:tx>
            <c:rich>
              <a:bodyPr/>
              <a:lstStyle/>
              <a:p>
                <a:pPr>
                  <a:defRPr sz="926" b="1" i="0" u="none" strike="noStrike" baseline="0">
                    <a:solidFill>
                      <a:srgbClr val="000000"/>
                    </a:solidFill>
                    <a:latin typeface="Arial"/>
                    <a:ea typeface="Arial"/>
                    <a:cs typeface="Arial"/>
                  </a:defRPr>
                </a:pPr>
                <a:r>
                  <a:t>Frecuencia relativa</a:t>
                </a:r>
              </a:p>
            </c:rich>
          </c:tx>
          <c:layout>
            <c:manualLayout>
              <c:xMode val="edge"/>
              <c:yMode val="edge"/>
              <c:x val="1.9819819819819829E-2"/>
              <c:y val="0.14344262295081966"/>
            </c:manualLayout>
          </c:layout>
          <c:spPr>
            <a:noFill/>
            <a:ln w="19610">
              <a:noFill/>
            </a:ln>
          </c:spPr>
        </c:title>
        <c:numFmt formatCode="General" sourceLinked="1"/>
        <c:tickLblPos val="nextTo"/>
        <c:spPr>
          <a:ln w="2451">
            <a:solidFill>
              <a:srgbClr val="000000"/>
            </a:solidFill>
            <a:prstDash val="solid"/>
          </a:ln>
        </c:spPr>
        <c:txPr>
          <a:bodyPr rot="0" vert="horz"/>
          <a:lstStyle/>
          <a:p>
            <a:pPr>
              <a:defRPr sz="926" b="0" i="0" u="none" strike="noStrike" baseline="0">
                <a:solidFill>
                  <a:srgbClr val="000000"/>
                </a:solidFill>
                <a:latin typeface="Arial"/>
                <a:ea typeface="Arial"/>
                <a:cs typeface="Arial"/>
              </a:defRPr>
            </a:pPr>
            <a:endParaRPr lang="es-ES"/>
          </a:p>
        </c:txPr>
        <c:crossAx val="129346560"/>
        <c:crosses val="autoZero"/>
        <c:crossBetween val="midCat"/>
        <c:majorUnit val="0.15000000000000005"/>
      </c:valAx>
      <c:spPr>
        <a:noFill/>
        <a:ln w="9805">
          <a:solidFill>
            <a:srgbClr val="808080"/>
          </a:solidFill>
          <a:prstDash val="solid"/>
        </a:ln>
      </c:spPr>
    </c:plotArea>
    <c:plotVisOnly val="1"/>
    <c:dispBlanksAs val="gap"/>
  </c:chart>
  <c:spPr>
    <a:solidFill>
      <a:srgbClr val="FFFFFF"/>
    </a:solidFill>
    <a:ln w="2451">
      <a:solidFill>
        <a:srgbClr val="000000"/>
      </a:solidFill>
      <a:prstDash val="solid"/>
    </a:ln>
  </c:spPr>
  <c:txPr>
    <a:bodyPr/>
    <a:lstStyle/>
    <a:p>
      <a:pPr>
        <a:defRPr sz="926"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5675675675675679"/>
          <c:y val="0.10176991150442476"/>
          <c:w val="0.82522522522522523"/>
          <c:h val="0.70353982300884965"/>
        </c:manualLayout>
      </c:layout>
      <c:barChart>
        <c:barDir val="col"/>
        <c:grouping val="clustered"/>
        <c:ser>
          <c:idx val="0"/>
          <c:order val="0"/>
          <c:spPr>
            <a:solidFill>
              <a:srgbClr val="9999FF"/>
            </a:solidFill>
            <a:ln w="9804">
              <a:solidFill>
                <a:srgbClr val="000000"/>
              </a:solidFill>
              <a:prstDash val="solid"/>
            </a:ln>
          </c:spPr>
          <c:cat>
            <c:numRef>
              <c:f>Hoja3!$C$4:$C$49</c:f>
              <c:numCache>
                <c:formatCode>General</c:formatCode>
                <c:ptCount val="46"/>
                <c:pt idx="0">
                  <c:v>15</c:v>
                </c:pt>
                <c:pt idx="1">
                  <c:v>17</c:v>
                </c:pt>
                <c:pt idx="2">
                  <c:v>18</c:v>
                </c:pt>
                <c:pt idx="3">
                  <c:v>20</c:v>
                </c:pt>
                <c:pt idx="4">
                  <c:v>21</c:v>
                </c:pt>
                <c:pt idx="5">
                  <c:v>22</c:v>
                </c:pt>
                <c:pt idx="6">
                  <c:v>23</c:v>
                </c:pt>
                <c:pt idx="7">
                  <c:v>24</c:v>
                </c:pt>
                <c:pt idx="8">
                  <c:v>25</c:v>
                </c:pt>
                <c:pt idx="9">
                  <c:v>26</c:v>
                </c:pt>
                <c:pt idx="10">
                  <c:v>27</c:v>
                </c:pt>
                <c:pt idx="11">
                  <c:v>28</c:v>
                </c:pt>
                <c:pt idx="12">
                  <c:v>29</c:v>
                </c:pt>
                <c:pt idx="13">
                  <c:v>30</c:v>
                </c:pt>
                <c:pt idx="14">
                  <c:v>31</c:v>
                </c:pt>
                <c:pt idx="15">
                  <c:v>32</c:v>
                </c:pt>
                <c:pt idx="16">
                  <c:v>33</c:v>
                </c:pt>
                <c:pt idx="17">
                  <c:v>34</c:v>
                </c:pt>
                <c:pt idx="18">
                  <c:v>35</c:v>
                </c:pt>
                <c:pt idx="19">
                  <c:v>36</c:v>
                </c:pt>
                <c:pt idx="20">
                  <c:v>37</c:v>
                </c:pt>
                <c:pt idx="21">
                  <c:v>38</c:v>
                </c:pt>
                <c:pt idx="22">
                  <c:v>39</c:v>
                </c:pt>
                <c:pt idx="23">
                  <c:v>40</c:v>
                </c:pt>
                <c:pt idx="24">
                  <c:v>41</c:v>
                </c:pt>
                <c:pt idx="25">
                  <c:v>42</c:v>
                </c:pt>
                <c:pt idx="26">
                  <c:v>43</c:v>
                </c:pt>
                <c:pt idx="27">
                  <c:v>44</c:v>
                </c:pt>
                <c:pt idx="28">
                  <c:v>45</c:v>
                </c:pt>
                <c:pt idx="29">
                  <c:v>46</c:v>
                </c:pt>
                <c:pt idx="30">
                  <c:v>47</c:v>
                </c:pt>
                <c:pt idx="31">
                  <c:v>48</c:v>
                </c:pt>
                <c:pt idx="32">
                  <c:v>49</c:v>
                </c:pt>
                <c:pt idx="33">
                  <c:v>50</c:v>
                </c:pt>
                <c:pt idx="34">
                  <c:v>51</c:v>
                </c:pt>
                <c:pt idx="35">
                  <c:v>52</c:v>
                </c:pt>
                <c:pt idx="36">
                  <c:v>53</c:v>
                </c:pt>
                <c:pt idx="37">
                  <c:v>54</c:v>
                </c:pt>
                <c:pt idx="38">
                  <c:v>55</c:v>
                </c:pt>
                <c:pt idx="39">
                  <c:v>56</c:v>
                </c:pt>
                <c:pt idx="40">
                  <c:v>57</c:v>
                </c:pt>
                <c:pt idx="41">
                  <c:v>58</c:v>
                </c:pt>
                <c:pt idx="42">
                  <c:v>59</c:v>
                </c:pt>
                <c:pt idx="43">
                  <c:v>60</c:v>
                </c:pt>
                <c:pt idx="44">
                  <c:v>62</c:v>
                </c:pt>
                <c:pt idx="45">
                  <c:v>69</c:v>
                </c:pt>
              </c:numCache>
            </c:numRef>
          </c:cat>
          <c:val>
            <c:numRef>
              <c:f>Hoja3!$D$4:$D$49</c:f>
              <c:numCache>
                <c:formatCode>General</c:formatCode>
                <c:ptCount val="46"/>
                <c:pt idx="0">
                  <c:v>1.8083182640144669E-3</c:v>
                </c:pt>
                <c:pt idx="1">
                  <c:v>3.6166365280289347E-3</c:v>
                </c:pt>
                <c:pt idx="2">
                  <c:v>3.6166365280289347E-3</c:v>
                </c:pt>
                <c:pt idx="3">
                  <c:v>1.8083182640144669E-3</c:v>
                </c:pt>
                <c:pt idx="4">
                  <c:v>5.4249547920434014E-3</c:v>
                </c:pt>
                <c:pt idx="5">
                  <c:v>7.2332730560578712E-3</c:v>
                </c:pt>
                <c:pt idx="6">
                  <c:v>9.0415913200723331E-3</c:v>
                </c:pt>
                <c:pt idx="7">
                  <c:v>9.0415913200723331E-3</c:v>
                </c:pt>
                <c:pt idx="8">
                  <c:v>9.0415913200723331E-3</c:v>
                </c:pt>
                <c:pt idx="9">
                  <c:v>1.9891500904159139E-2</c:v>
                </c:pt>
                <c:pt idx="10">
                  <c:v>2.1699819168173616E-2</c:v>
                </c:pt>
                <c:pt idx="11">
                  <c:v>2.3508137432188065E-2</c:v>
                </c:pt>
                <c:pt idx="12">
                  <c:v>2.3508137432188065E-2</c:v>
                </c:pt>
                <c:pt idx="13">
                  <c:v>2.5316455696202528E-2</c:v>
                </c:pt>
                <c:pt idx="14">
                  <c:v>3.2549728752260407E-2</c:v>
                </c:pt>
                <c:pt idx="15">
                  <c:v>2.7124773960217001E-2</c:v>
                </c:pt>
                <c:pt idx="16">
                  <c:v>3.2549728752260407E-2</c:v>
                </c:pt>
                <c:pt idx="17">
                  <c:v>4.1591320072332717E-2</c:v>
                </c:pt>
                <c:pt idx="18">
                  <c:v>4.1591320072332717E-2</c:v>
                </c:pt>
                <c:pt idx="19">
                  <c:v>4.5207956600361671E-2</c:v>
                </c:pt>
                <c:pt idx="20">
                  <c:v>4.3399638336347225E-2</c:v>
                </c:pt>
                <c:pt idx="21">
                  <c:v>2.8933092224231471E-2</c:v>
                </c:pt>
                <c:pt idx="22">
                  <c:v>5.7866184448462941E-2</c:v>
                </c:pt>
                <c:pt idx="23">
                  <c:v>3.6166365280289346E-2</c:v>
                </c:pt>
                <c:pt idx="24">
                  <c:v>3.9783001808318265E-2</c:v>
                </c:pt>
                <c:pt idx="25">
                  <c:v>4.7016274864376165E-2</c:v>
                </c:pt>
                <c:pt idx="26">
                  <c:v>5.6057866184448482E-2</c:v>
                </c:pt>
                <c:pt idx="27">
                  <c:v>4.7016274864376165E-2</c:v>
                </c:pt>
                <c:pt idx="28">
                  <c:v>2.8933092224231471E-2</c:v>
                </c:pt>
                <c:pt idx="29">
                  <c:v>3.2549728752260407E-2</c:v>
                </c:pt>
                <c:pt idx="30">
                  <c:v>3.435804701627488E-2</c:v>
                </c:pt>
                <c:pt idx="31">
                  <c:v>3.6166365280289346E-2</c:v>
                </c:pt>
                <c:pt idx="32">
                  <c:v>2.3508137432188065E-2</c:v>
                </c:pt>
                <c:pt idx="33">
                  <c:v>1.6274864376130203E-2</c:v>
                </c:pt>
                <c:pt idx="34">
                  <c:v>1.6274864376130203E-2</c:v>
                </c:pt>
                <c:pt idx="35">
                  <c:v>1.2658227848101266E-2</c:v>
                </c:pt>
                <c:pt idx="36">
                  <c:v>7.2332730560578712E-3</c:v>
                </c:pt>
                <c:pt idx="37">
                  <c:v>1.2658227848101266E-2</c:v>
                </c:pt>
                <c:pt idx="38">
                  <c:v>1.0849909584086799E-2</c:v>
                </c:pt>
                <c:pt idx="39">
                  <c:v>5.4249547920434014E-3</c:v>
                </c:pt>
                <c:pt idx="40">
                  <c:v>7.2332730560578712E-3</c:v>
                </c:pt>
                <c:pt idx="41">
                  <c:v>1.8083182640144669E-3</c:v>
                </c:pt>
                <c:pt idx="42">
                  <c:v>3.6166365280289347E-3</c:v>
                </c:pt>
                <c:pt idx="43">
                  <c:v>3.6166365280289347E-3</c:v>
                </c:pt>
                <c:pt idx="44">
                  <c:v>3.6166365280289347E-3</c:v>
                </c:pt>
                <c:pt idx="45">
                  <c:v>1.8083182640144669E-3</c:v>
                </c:pt>
              </c:numCache>
            </c:numRef>
          </c:val>
        </c:ser>
        <c:gapWidth val="30"/>
        <c:axId val="139510528"/>
        <c:axId val="139512064"/>
      </c:barChart>
      <c:catAx>
        <c:axId val="139510528"/>
        <c:scaling>
          <c:orientation val="minMax"/>
        </c:scaling>
        <c:axPos val="b"/>
        <c:numFmt formatCode="General" sourceLinked="1"/>
        <c:tickLblPos val="nextTo"/>
        <c:spPr>
          <a:ln w="2451">
            <a:solidFill>
              <a:srgbClr val="000000"/>
            </a:solidFill>
            <a:prstDash val="solid"/>
          </a:ln>
        </c:spPr>
        <c:txPr>
          <a:bodyPr rot="-5400000" vert="horz"/>
          <a:lstStyle/>
          <a:p>
            <a:pPr>
              <a:defRPr sz="926" b="0" i="0" u="none" strike="noStrike" baseline="0">
                <a:solidFill>
                  <a:srgbClr val="000000"/>
                </a:solidFill>
                <a:latin typeface="Arial"/>
                <a:ea typeface="Arial"/>
                <a:cs typeface="Arial"/>
              </a:defRPr>
            </a:pPr>
            <a:endParaRPr lang="es-ES"/>
          </a:p>
        </c:txPr>
        <c:crossAx val="139512064"/>
        <c:crosses val="autoZero"/>
        <c:auto val="1"/>
        <c:lblAlgn val="ctr"/>
        <c:lblOffset val="100"/>
        <c:tickLblSkip val="3"/>
        <c:tickMarkSkip val="1"/>
      </c:catAx>
      <c:valAx>
        <c:axId val="139512064"/>
        <c:scaling>
          <c:orientation val="minMax"/>
        </c:scaling>
        <c:axPos val="l"/>
        <c:majorGridlines>
          <c:spPr>
            <a:ln w="2451">
              <a:solidFill>
                <a:srgbClr val="000000"/>
              </a:solidFill>
              <a:prstDash val="solid"/>
            </a:ln>
          </c:spPr>
        </c:majorGridlines>
        <c:title>
          <c:tx>
            <c:rich>
              <a:bodyPr/>
              <a:lstStyle/>
              <a:p>
                <a:pPr>
                  <a:defRPr sz="926" b="1" i="0" u="none" strike="noStrike" baseline="0">
                    <a:solidFill>
                      <a:srgbClr val="000000"/>
                    </a:solidFill>
                    <a:latin typeface="Arial"/>
                    <a:ea typeface="Arial"/>
                    <a:cs typeface="Arial"/>
                  </a:defRPr>
                </a:pPr>
                <a:r>
                  <a:t>Frecuencia relativa</a:t>
                </a:r>
              </a:p>
            </c:rich>
          </c:tx>
          <c:layout>
            <c:manualLayout>
              <c:xMode val="edge"/>
              <c:yMode val="edge"/>
              <c:x val="1.9819819819819829E-2"/>
              <c:y val="0.1194690265486726"/>
            </c:manualLayout>
          </c:layout>
          <c:spPr>
            <a:noFill/>
            <a:ln w="19608">
              <a:noFill/>
            </a:ln>
          </c:spPr>
        </c:title>
        <c:numFmt formatCode="General" sourceLinked="1"/>
        <c:tickLblPos val="nextTo"/>
        <c:spPr>
          <a:ln w="2451">
            <a:solidFill>
              <a:srgbClr val="000000"/>
            </a:solidFill>
            <a:prstDash val="solid"/>
          </a:ln>
        </c:spPr>
        <c:txPr>
          <a:bodyPr rot="0" vert="horz"/>
          <a:lstStyle/>
          <a:p>
            <a:pPr>
              <a:defRPr sz="926" b="0" i="0" u="none" strike="noStrike" baseline="0">
                <a:solidFill>
                  <a:srgbClr val="000000"/>
                </a:solidFill>
                <a:latin typeface="Arial"/>
                <a:ea typeface="Arial"/>
                <a:cs typeface="Arial"/>
              </a:defRPr>
            </a:pPr>
            <a:endParaRPr lang="es-ES"/>
          </a:p>
        </c:txPr>
        <c:crossAx val="139510528"/>
        <c:crosses val="autoZero"/>
        <c:crossBetween val="between"/>
      </c:valAx>
      <c:spPr>
        <a:noFill/>
        <a:ln w="9804">
          <a:solidFill>
            <a:srgbClr val="808080"/>
          </a:solidFill>
          <a:prstDash val="solid"/>
        </a:ln>
      </c:spPr>
    </c:plotArea>
    <c:plotVisOnly val="1"/>
    <c:dispBlanksAs val="gap"/>
  </c:chart>
  <c:spPr>
    <a:solidFill>
      <a:srgbClr val="FFFFFF"/>
    </a:solidFill>
    <a:ln w="2451">
      <a:solidFill>
        <a:srgbClr val="000000"/>
      </a:solidFill>
      <a:prstDash val="solid"/>
    </a:ln>
  </c:spPr>
  <c:txPr>
    <a:bodyPr/>
    <a:lstStyle/>
    <a:p>
      <a:pPr>
        <a:defRPr sz="926" b="0" i="0" u="none" strike="noStrike" baseline="0">
          <a:solidFill>
            <a:srgbClr val="000000"/>
          </a:solidFill>
          <a:latin typeface="Arial"/>
          <a:ea typeface="Arial"/>
          <a:cs typeface="Arial"/>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5732368896925858"/>
          <c:y val="9.5041322314049673E-2"/>
          <c:w val="0.80289330922242319"/>
          <c:h val="0.71487603305785141"/>
        </c:manualLayout>
      </c:layout>
      <c:scatterChart>
        <c:scatterStyle val="smoothMarker"/>
        <c:ser>
          <c:idx val="0"/>
          <c:order val="0"/>
          <c:spPr>
            <a:ln w="9840">
              <a:solidFill>
                <a:srgbClr val="000080"/>
              </a:solidFill>
              <a:prstDash val="solid"/>
            </a:ln>
          </c:spPr>
          <c:marker>
            <c:symbol val="none"/>
          </c:marker>
          <c:xVal>
            <c:numRef>
              <c:f>Hoja3!$I$4:$I$49</c:f>
              <c:numCache>
                <c:formatCode>General</c:formatCode>
                <c:ptCount val="46"/>
                <c:pt idx="0">
                  <c:v>15</c:v>
                </c:pt>
                <c:pt idx="1">
                  <c:v>17</c:v>
                </c:pt>
                <c:pt idx="2">
                  <c:v>18</c:v>
                </c:pt>
                <c:pt idx="3">
                  <c:v>20</c:v>
                </c:pt>
                <c:pt idx="4">
                  <c:v>21</c:v>
                </c:pt>
                <c:pt idx="5">
                  <c:v>22</c:v>
                </c:pt>
                <c:pt idx="6">
                  <c:v>23</c:v>
                </c:pt>
                <c:pt idx="7">
                  <c:v>24</c:v>
                </c:pt>
                <c:pt idx="8">
                  <c:v>25</c:v>
                </c:pt>
                <c:pt idx="9">
                  <c:v>26</c:v>
                </c:pt>
                <c:pt idx="10">
                  <c:v>27</c:v>
                </c:pt>
                <c:pt idx="11">
                  <c:v>28</c:v>
                </c:pt>
                <c:pt idx="12">
                  <c:v>29</c:v>
                </c:pt>
                <c:pt idx="13">
                  <c:v>30</c:v>
                </c:pt>
                <c:pt idx="14">
                  <c:v>31</c:v>
                </c:pt>
                <c:pt idx="15">
                  <c:v>32</c:v>
                </c:pt>
                <c:pt idx="16">
                  <c:v>33</c:v>
                </c:pt>
                <c:pt idx="17">
                  <c:v>34</c:v>
                </c:pt>
                <c:pt idx="18">
                  <c:v>35</c:v>
                </c:pt>
                <c:pt idx="19">
                  <c:v>36</c:v>
                </c:pt>
                <c:pt idx="20">
                  <c:v>37</c:v>
                </c:pt>
                <c:pt idx="21">
                  <c:v>38</c:v>
                </c:pt>
                <c:pt idx="22">
                  <c:v>39</c:v>
                </c:pt>
                <c:pt idx="23">
                  <c:v>40</c:v>
                </c:pt>
                <c:pt idx="24">
                  <c:v>41</c:v>
                </c:pt>
                <c:pt idx="25">
                  <c:v>42</c:v>
                </c:pt>
                <c:pt idx="26">
                  <c:v>43</c:v>
                </c:pt>
                <c:pt idx="27">
                  <c:v>44</c:v>
                </c:pt>
                <c:pt idx="28">
                  <c:v>45</c:v>
                </c:pt>
                <c:pt idx="29">
                  <c:v>46</c:v>
                </c:pt>
                <c:pt idx="30">
                  <c:v>47</c:v>
                </c:pt>
                <c:pt idx="31">
                  <c:v>48</c:v>
                </c:pt>
                <c:pt idx="32">
                  <c:v>49</c:v>
                </c:pt>
                <c:pt idx="33">
                  <c:v>50</c:v>
                </c:pt>
                <c:pt idx="34">
                  <c:v>51</c:v>
                </c:pt>
                <c:pt idx="35">
                  <c:v>52</c:v>
                </c:pt>
                <c:pt idx="36">
                  <c:v>53</c:v>
                </c:pt>
                <c:pt idx="37">
                  <c:v>54</c:v>
                </c:pt>
                <c:pt idx="38">
                  <c:v>55</c:v>
                </c:pt>
                <c:pt idx="39">
                  <c:v>56</c:v>
                </c:pt>
                <c:pt idx="40">
                  <c:v>57</c:v>
                </c:pt>
                <c:pt idx="41">
                  <c:v>58</c:v>
                </c:pt>
                <c:pt idx="42">
                  <c:v>59</c:v>
                </c:pt>
                <c:pt idx="43">
                  <c:v>60</c:v>
                </c:pt>
                <c:pt idx="44">
                  <c:v>62</c:v>
                </c:pt>
                <c:pt idx="45">
                  <c:v>69</c:v>
                </c:pt>
              </c:numCache>
            </c:numRef>
          </c:xVal>
          <c:yVal>
            <c:numRef>
              <c:f>Hoja3!$J$4:$J$49</c:f>
              <c:numCache>
                <c:formatCode>General</c:formatCode>
                <c:ptCount val="46"/>
                <c:pt idx="0">
                  <c:v>1.8083182640144669E-3</c:v>
                </c:pt>
                <c:pt idx="1">
                  <c:v>5.4249547920434014E-3</c:v>
                </c:pt>
                <c:pt idx="2">
                  <c:v>9.0415913200723331E-3</c:v>
                </c:pt>
                <c:pt idx="3">
                  <c:v>1.0849909584086799E-2</c:v>
                </c:pt>
                <c:pt idx="4">
                  <c:v>1.6274864376130203E-2</c:v>
                </c:pt>
                <c:pt idx="5">
                  <c:v>2.3508137432188065E-2</c:v>
                </c:pt>
                <c:pt idx="6">
                  <c:v>3.2549728752260407E-2</c:v>
                </c:pt>
                <c:pt idx="7">
                  <c:v>4.1591320072332724E-2</c:v>
                </c:pt>
                <c:pt idx="8">
                  <c:v>5.063291139240509E-2</c:v>
                </c:pt>
                <c:pt idx="9">
                  <c:v>7.0524412296564185E-2</c:v>
                </c:pt>
                <c:pt idx="10">
                  <c:v>9.2224231464737766E-2</c:v>
                </c:pt>
                <c:pt idx="11">
                  <c:v>0.11573236889692587</c:v>
                </c:pt>
                <c:pt idx="12">
                  <c:v>0.13924050632911392</c:v>
                </c:pt>
                <c:pt idx="13">
                  <c:v>0.16455696202531642</c:v>
                </c:pt>
                <c:pt idx="14">
                  <c:v>0.19710669077757692</c:v>
                </c:pt>
                <c:pt idx="15">
                  <c:v>0.22423146473779398</c:v>
                </c:pt>
                <c:pt idx="16">
                  <c:v>0.25678119349005435</c:v>
                </c:pt>
                <c:pt idx="17">
                  <c:v>0.29837251356238725</c:v>
                </c:pt>
                <c:pt idx="18">
                  <c:v>0.33996383363471994</c:v>
                </c:pt>
                <c:pt idx="19">
                  <c:v>0.38517179023508152</c:v>
                </c:pt>
                <c:pt idx="20">
                  <c:v>0.4285714285714286</c:v>
                </c:pt>
                <c:pt idx="21">
                  <c:v>0.45750452079566023</c:v>
                </c:pt>
                <c:pt idx="22">
                  <c:v>0.51537070524412298</c:v>
                </c:pt>
                <c:pt idx="23">
                  <c:v>0.55153707052441259</c:v>
                </c:pt>
                <c:pt idx="24">
                  <c:v>0.59132007233273054</c:v>
                </c:pt>
                <c:pt idx="25">
                  <c:v>0.63833634719710652</c:v>
                </c:pt>
                <c:pt idx="26">
                  <c:v>0.69439421338155571</c:v>
                </c:pt>
                <c:pt idx="27">
                  <c:v>0.74141048824593137</c:v>
                </c:pt>
                <c:pt idx="28">
                  <c:v>0.77034358047016271</c:v>
                </c:pt>
                <c:pt idx="29">
                  <c:v>0.8028933092224233</c:v>
                </c:pt>
                <c:pt idx="30">
                  <c:v>0.83725135623869862</c:v>
                </c:pt>
                <c:pt idx="31">
                  <c:v>0.87341772151898767</c:v>
                </c:pt>
                <c:pt idx="32">
                  <c:v>0.89692585895117594</c:v>
                </c:pt>
                <c:pt idx="33">
                  <c:v>0.91320072332730551</c:v>
                </c:pt>
                <c:pt idx="34">
                  <c:v>0.92947558770343586</c:v>
                </c:pt>
                <c:pt idx="35">
                  <c:v>0.94213381555153741</c:v>
                </c:pt>
                <c:pt idx="36">
                  <c:v>0.94936708860759511</c:v>
                </c:pt>
                <c:pt idx="37">
                  <c:v>0.96202531645569689</c:v>
                </c:pt>
                <c:pt idx="38">
                  <c:v>0.97287522603978371</c:v>
                </c:pt>
                <c:pt idx="39">
                  <c:v>0.97830018083182624</c:v>
                </c:pt>
                <c:pt idx="40">
                  <c:v>0.98553345388788438</c:v>
                </c:pt>
                <c:pt idx="41">
                  <c:v>0.98734177215189911</c:v>
                </c:pt>
                <c:pt idx="42">
                  <c:v>0.99095840867992779</c:v>
                </c:pt>
                <c:pt idx="43">
                  <c:v>0.99457504520795637</c:v>
                </c:pt>
                <c:pt idx="44">
                  <c:v>0.99819168173598549</c:v>
                </c:pt>
                <c:pt idx="45">
                  <c:v>1</c:v>
                </c:pt>
              </c:numCache>
            </c:numRef>
          </c:yVal>
          <c:smooth val="1"/>
        </c:ser>
        <c:axId val="139516160"/>
        <c:axId val="139603968"/>
      </c:scatterChart>
      <c:valAx>
        <c:axId val="139516160"/>
        <c:scaling>
          <c:orientation val="minMax"/>
        </c:scaling>
        <c:axPos val="b"/>
        <c:numFmt formatCode="General" sourceLinked="1"/>
        <c:tickLblPos val="nextTo"/>
        <c:spPr>
          <a:ln w="2460">
            <a:solidFill>
              <a:srgbClr val="000000"/>
            </a:solidFill>
            <a:prstDash val="solid"/>
          </a:ln>
        </c:spPr>
        <c:txPr>
          <a:bodyPr rot="0" vert="horz"/>
          <a:lstStyle/>
          <a:p>
            <a:pPr>
              <a:defRPr sz="930" b="0" i="0" u="none" strike="noStrike" baseline="0">
                <a:solidFill>
                  <a:srgbClr val="000000"/>
                </a:solidFill>
                <a:latin typeface="Arial"/>
                <a:ea typeface="Arial"/>
                <a:cs typeface="Arial"/>
              </a:defRPr>
            </a:pPr>
            <a:endParaRPr lang="es-ES"/>
          </a:p>
        </c:txPr>
        <c:crossAx val="139603968"/>
        <c:crosses val="autoZero"/>
        <c:crossBetween val="midCat"/>
        <c:majorUnit val="10"/>
      </c:valAx>
      <c:valAx>
        <c:axId val="139603968"/>
        <c:scaling>
          <c:orientation val="minMax"/>
          <c:max val="1"/>
          <c:min val="0"/>
        </c:scaling>
        <c:axPos val="l"/>
        <c:majorGridlines>
          <c:spPr>
            <a:ln w="2460">
              <a:solidFill>
                <a:srgbClr val="000000"/>
              </a:solidFill>
              <a:prstDash val="solid"/>
            </a:ln>
          </c:spPr>
        </c:majorGridlines>
        <c:title>
          <c:tx>
            <c:rich>
              <a:bodyPr/>
              <a:lstStyle/>
              <a:p>
                <a:pPr>
                  <a:defRPr sz="930" b="1" i="0" u="none" strike="noStrike" baseline="0">
                    <a:solidFill>
                      <a:srgbClr val="000000"/>
                    </a:solidFill>
                    <a:latin typeface="Arial"/>
                    <a:ea typeface="Arial"/>
                    <a:cs typeface="Arial"/>
                  </a:defRPr>
                </a:pPr>
                <a:r>
                  <a:t>Frecuencia relativa</a:t>
                </a:r>
              </a:p>
            </c:rich>
          </c:tx>
          <c:layout>
            <c:manualLayout>
              <c:xMode val="edge"/>
              <c:yMode val="edge"/>
              <c:x val="1.9891500904159139E-2"/>
              <c:y val="0.1404958677685951"/>
            </c:manualLayout>
          </c:layout>
          <c:spPr>
            <a:noFill/>
            <a:ln w="19680">
              <a:noFill/>
            </a:ln>
          </c:spPr>
        </c:title>
        <c:numFmt formatCode="General" sourceLinked="1"/>
        <c:tickLblPos val="nextTo"/>
        <c:spPr>
          <a:ln w="2460">
            <a:solidFill>
              <a:srgbClr val="000000"/>
            </a:solidFill>
            <a:prstDash val="solid"/>
          </a:ln>
        </c:spPr>
        <c:txPr>
          <a:bodyPr rot="0" vert="horz"/>
          <a:lstStyle/>
          <a:p>
            <a:pPr>
              <a:defRPr sz="930" b="0" i="0" u="none" strike="noStrike" baseline="0">
                <a:solidFill>
                  <a:srgbClr val="000000"/>
                </a:solidFill>
                <a:latin typeface="Arial"/>
                <a:ea typeface="Arial"/>
                <a:cs typeface="Arial"/>
              </a:defRPr>
            </a:pPr>
            <a:endParaRPr lang="es-ES"/>
          </a:p>
        </c:txPr>
        <c:crossAx val="139516160"/>
        <c:crosses val="autoZero"/>
        <c:crossBetween val="midCat"/>
        <c:majorUnit val="0.15000000000000005"/>
      </c:valAx>
      <c:spPr>
        <a:noFill/>
        <a:ln w="9840">
          <a:solidFill>
            <a:srgbClr val="808080"/>
          </a:solidFill>
          <a:prstDash val="solid"/>
        </a:ln>
      </c:spPr>
    </c:plotArea>
    <c:plotVisOnly val="1"/>
    <c:dispBlanksAs val="gap"/>
  </c:chart>
  <c:spPr>
    <a:solidFill>
      <a:srgbClr val="FFFFFF"/>
    </a:solidFill>
    <a:ln w="2460">
      <a:solidFill>
        <a:srgbClr val="000000"/>
      </a:solidFill>
      <a:prstDash val="solid"/>
    </a:ln>
  </c:spPr>
  <c:txPr>
    <a:bodyPr/>
    <a:lstStyle/>
    <a:p>
      <a:pPr>
        <a:defRPr sz="930"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1999</Words>
  <Characters>10996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"Determinación del nivel de conocimientos de matemáticas y lenguaje, de los alumnos del décimo año de educación básica, de los colegios fiscales urbanos del cantón Guayaquil: Un enfoque estadístico"</vt:lpstr>
    </vt:vector>
  </TitlesOfParts>
  <Company>Familia Cabezas</Company>
  <LinksUpToDate>false</LinksUpToDate>
  <CharactersWithSpaces>12970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"Determinación del nivel de conocimientos de matemáticas y lenguaje, de los alumnos del décimo año de educación básica, de los colegios fiscales urbanos del cantón Guayaquil: Un enfoque estadístico"</dc:title>
  <dc:subject/>
  <dc:creator>Usuario</dc:creator>
  <cp:keywords/>
  <cp:lastModifiedBy>Ayudante</cp:lastModifiedBy>
  <cp:revision>2</cp:revision>
  <cp:lastPrinted>2001-05-10T17:57:00Z</cp:lastPrinted>
  <dcterms:created xsi:type="dcterms:W3CDTF">2009-07-01T15:17:00Z</dcterms:created>
  <dcterms:modified xsi:type="dcterms:W3CDTF">2009-07-01T15:17:00Z</dcterms:modified>
</cp:coreProperties>
</file>