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ESPOL CICYT REVISTA TECNOLÓGICA</w:t>
      </w: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ARTÍCULO SOBRE TESIS DE GRADO</w:t>
      </w: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“EVALUACIÓN DE LA CALIDAD Y NIVEL DE SATISFACCIÓN DE LOS SERVICIOS BÁSICOS DE LAS PARROQUIAS: AYACUCHO, BOLÍVAR, OLMEDO, PEDRO CARBO, ROCA Y ROCAFUERTE DE LA CIUDAD DE GUAYAQUIL”.</w:t>
      </w: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</w:rPr>
        <w:pict>
          <v:line id="_x0000_s1029" style="position:absolute;left:0;text-align:left;z-index:251658240" from="135pt,9.95pt" to="306pt,9.95pt"/>
        </w:pict>
      </w: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pt;margin-top:7.25pt;width:162pt;height:54pt;z-index:251657216" stroked="f">
            <v:textbox style="mso-next-textbox:#_x0000_s1028">
              <w:txbxContent>
                <w:p w:rsidR="00000000" w:rsidRDefault="00D7668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Mat. Fernando </w:t>
                  </w:r>
                  <w:proofErr w:type="spellStart"/>
                  <w:r>
                    <w:rPr>
                      <w:rFonts w:ascii="Arial" w:hAnsi="Arial" w:cs="Arial"/>
                    </w:rPr>
                    <w:t>Sandoya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000000" w:rsidRDefault="00D76681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DIRECTOR DE TESIS</w:t>
                  </w:r>
                </w:p>
              </w:txbxContent>
            </v:textbox>
          </v:shape>
        </w:pict>
      </w: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EVALUACIÓN DE LA CALIDAD Y NIVEL DE SATISFACCIÓN DE LOS SERVICIOS BÁSICOS DE LAS PARROQUIAS:</w:t>
      </w: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AYACUCHO, BOLÍVAR, OLMEDO, PEDRO CARBO, ROCA Y ROCAFUERTE</w:t>
      </w:r>
    </w:p>
    <w:p w:rsidR="00000000" w:rsidRDefault="00D76681">
      <w:pPr>
        <w:pStyle w:val="Textoindependiente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LA CIUDAD DE GUAYAQUIL.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</w:pPr>
      <w:proofErr w:type="spellStart"/>
      <w:r>
        <w:t>Holger</w:t>
      </w:r>
      <w:proofErr w:type="spellEnd"/>
      <w:r>
        <w:t xml:space="preserve"> David </w:t>
      </w:r>
      <w:proofErr w:type="spellStart"/>
      <w:r>
        <w:t>Gaibor</w:t>
      </w:r>
      <w:proofErr w:type="spellEnd"/>
      <w:r>
        <w:t xml:space="preserve"> </w:t>
      </w:r>
      <w:proofErr w:type="spellStart"/>
      <w:r>
        <w:t>Gualpa</w:t>
      </w:r>
      <w:proofErr w:type="spellEnd"/>
      <w:r>
        <w:rPr>
          <w:position w:val="-4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pt" o:ole="">
            <v:imagedata r:id="rId5" o:title=""/>
          </v:shape>
          <o:OLEObject Type="Embed" ProgID="Equation.3" ShapeID="_x0000_i1025" DrawAspect="Content" ObjectID="_1308377170" r:id="rId6"/>
        </w:object>
      </w:r>
      <w:r>
        <w:t xml:space="preserve">, Fernando </w:t>
      </w:r>
      <w:proofErr w:type="spellStart"/>
      <w:r>
        <w:t>Sa</w:t>
      </w:r>
      <w:r>
        <w:t>ndoya</w:t>
      </w:r>
      <w:proofErr w:type="spellEnd"/>
      <w:r>
        <w:rPr>
          <w:position w:val="-4"/>
        </w:rPr>
        <w:object w:dxaOrig="160" w:dyaOrig="340">
          <v:shape id="_x0000_i1026" type="#_x0000_t75" style="width:8pt;height:17pt" o:ole="">
            <v:imagedata r:id="rId7" o:title=""/>
          </v:shape>
          <o:OLEObject Type="Embed" ProgID="Equation.3" ShapeID="_x0000_i1026" DrawAspect="Content" ObjectID="_1308377171" r:id="rId8"/>
        </w:object>
      </w:r>
      <w:r>
        <w:t>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</w:pPr>
      <w:r>
        <w:rPr>
          <w:b/>
          <w:bCs/>
          <w:position w:val="-4"/>
        </w:rPr>
        <w:object w:dxaOrig="120" w:dyaOrig="340">
          <v:shape id="_x0000_i1027" type="#_x0000_t75" style="width:6pt;height:17pt" o:ole="" o:bullet="t">
            <v:imagedata r:id="rId9" o:title=""/>
          </v:shape>
          <o:OLEObject Type="Embed" ProgID="Equation.3" ShapeID="_x0000_i1027" DrawAspect="Content" ObjectID="_1308377172" r:id="rId10"/>
        </w:object>
      </w:r>
      <w:r>
        <w:t>Ingeniero en Estadística e Informática 2002.</w:t>
      </w:r>
    </w:p>
    <w:p w:rsidR="00000000" w:rsidRDefault="00D76681">
      <w:pPr>
        <w:spacing w:line="360" w:lineRule="auto"/>
        <w:ind w:left="180" w:hanging="180"/>
        <w:jc w:val="both"/>
      </w:pPr>
      <w:r>
        <w:rPr>
          <w:b/>
          <w:bCs/>
          <w:position w:val="-4"/>
        </w:rPr>
        <w:object w:dxaOrig="160" w:dyaOrig="340">
          <v:shape id="_x0000_i1028" type="#_x0000_t75" style="width:8pt;height:17pt" o:ole="">
            <v:imagedata r:id="rId7" o:title=""/>
          </v:shape>
          <o:OLEObject Type="Embed" ProgID="Equation.3" ShapeID="_x0000_i1028" DrawAspect="Content" ObjectID="_1308377173" r:id="rId11"/>
        </w:object>
      </w:r>
      <w:r>
        <w:t xml:space="preserve">Director de Tesis. Matemático, Escuela Politécnica Nacional, 1995, Profesor de ESPOL desde 1995. 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  <w:rPr>
          <w:b/>
          <w:bCs/>
        </w:rPr>
      </w:pPr>
      <w:r>
        <w:rPr>
          <w:b/>
          <w:bCs/>
        </w:rPr>
        <w:t>RESUMEN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</w:pPr>
      <w:r>
        <w:t>Este estudio ha sido desar</w:t>
      </w:r>
      <w:r>
        <w:t>rollado con la finalidad de analizar estadísticamente el nivel de satisfacción actual de la población en un sector de la ciudad de Guayaquil (Parroquias: Ayacucho, Bolívar, Olmedo, Pedro Carbo, Roca y Rocafuerte) respecto a la cobertura de los servicios bá</w:t>
      </w:r>
      <w:r>
        <w:t>sicos tales como: Recolección de basura, dotación de agua potable, energía eléctrica, telefonía fija, alcantarillado sanitario y drenaje pluvial; así como también evaluar su calidad a través de la percepción que tiene la población.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</w:pPr>
      <w:r>
        <w:t>La información estadíst</w:t>
      </w:r>
      <w:r>
        <w:t xml:space="preserve">ica que se pretende desarrollar servirá para tomar decisiones que apunten a superar problemas de una incorrecta distribución del bienestar en la ciudad de Guayaquil, así como también se podrá analizar comparativamente las características de los habitantes </w:t>
      </w:r>
      <w:r>
        <w:t>de la ciudad de Guayaquil en cuanto a la calidad de los servicios básicos y localizar geográficamente la población con carencias de servicios básicos.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pStyle w:val="Ttulo1"/>
        <w:spacing w:line="360" w:lineRule="auto"/>
      </w:pPr>
      <w:r>
        <w:t>INTRODUCCIÓN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spacing w:line="360" w:lineRule="auto"/>
        <w:jc w:val="both"/>
      </w:pPr>
      <w:r>
        <w:t xml:space="preserve">La principal fuente de información que se utilizará para el análisis estadístico será una </w:t>
      </w:r>
      <w:r>
        <w:t>encuesta realizada a los habitantes de las siguientes parroquias  de la ciudad de Guayaquil: Ayacucho, Bolívar, Olmedo, Pedro Carbo, Roca y Rocafuerte.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pStyle w:val="Textoindependiente2"/>
        <w:spacing w:line="360" w:lineRule="auto"/>
      </w:pPr>
      <w:r>
        <w:lastRenderedPageBreak/>
        <w:t>Uno de los objetivos generales de esta tesis, es el de proporcionar resultados que permitan cuantificar</w:t>
      </w:r>
      <w:r>
        <w:t>, visualizar y localizar en forma simple y objetiva el grado de carencias y satisfacción de las necesidades básicas de los habitantes de un sector de la ciudad de Guayaquil, esto es, la disponibilidad de servicios básicos en las viviendas del sector compre</w:t>
      </w:r>
      <w:r>
        <w:t>ndido por las parroquias en estudio.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pStyle w:val="Ttulo1"/>
        <w:spacing w:line="360" w:lineRule="auto"/>
      </w:pPr>
      <w:r>
        <w:t>CONTENIDO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Todas las viviendas en cada parroquia analizada, disponen del servicio de agua potable, lo cual nos indica que la cobertura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“Disponibilidad del Servicio de Agua Potable”</w:t>
      </w:r>
      <w:r>
        <w:rPr>
          <w:rFonts w:ascii="Times New Roman" w:hAnsi="Times New Roman" w:cs="Times New Roman"/>
        </w:rPr>
        <w:t xml:space="preserve"> para las parroquias consideradas a</w:t>
      </w:r>
      <w:r>
        <w:rPr>
          <w:rFonts w:ascii="Times New Roman" w:hAnsi="Times New Roman" w:cs="Times New Roman"/>
        </w:rPr>
        <w:t>lcanza el 100%.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“Sistema de Abastecimiento de Agua Potable”</w:t>
      </w:r>
      <w:r>
        <w:rPr>
          <w:rFonts w:ascii="Times New Roman" w:hAnsi="Times New Roman" w:cs="Times New Roman"/>
        </w:rPr>
        <w:t xml:space="preserve">, para todas las parroquias consideradas tiene mayor cobertura en la categoría: </w:t>
      </w:r>
      <w:r>
        <w:rPr>
          <w:rFonts w:ascii="Times New Roman" w:hAnsi="Times New Roman" w:cs="Times New Roman"/>
          <w:b/>
          <w:bCs/>
          <w:i/>
          <w:iCs/>
        </w:rPr>
        <w:t>por tubería dentro de la vivienda</w:t>
      </w:r>
      <w:r>
        <w:rPr>
          <w:rFonts w:ascii="Times New Roman" w:hAnsi="Times New Roman" w:cs="Times New Roman"/>
        </w:rPr>
        <w:t xml:space="preserve"> (Ayacucho: 77.32%, Bolívar: 78.18%, Olmedo: 82.98%, P. Carbo: 80.95%, Roca: 81.</w:t>
      </w:r>
      <w:r>
        <w:rPr>
          <w:rFonts w:ascii="Times New Roman" w:hAnsi="Times New Roman" w:cs="Times New Roman"/>
        </w:rPr>
        <w:t xml:space="preserve">82% y Rocafuerte: 84.93%); seguido de la categoría: </w:t>
      </w:r>
      <w:r>
        <w:rPr>
          <w:rFonts w:ascii="Times New Roman" w:hAnsi="Times New Roman" w:cs="Times New Roman"/>
          <w:b/>
          <w:bCs/>
          <w:i/>
          <w:iCs/>
        </w:rPr>
        <w:t xml:space="preserve">por tubería dentro de la vivienda, pero fuera del edificio </w:t>
      </w:r>
      <w:r>
        <w:rPr>
          <w:rFonts w:ascii="Times New Roman" w:hAnsi="Times New Roman" w:cs="Times New Roman"/>
        </w:rPr>
        <w:t xml:space="preserve">(Ayacucho: 17.53%, Bolívar: 14.55%, Olmedo: 12.77%, P. Carbo: 16.67%, Roca: 16.36% y Rocafuerte: 10.96%) y la categoría: </w:t>
      </w:r>
      <w:r>
        <w:rPr>
          <w:rFonts w:ascii="Times New Roman" w:hAnsi="Times New Roman" w:cs="Times New Roman"/>
          <w:b/>
          <w:bCs/>
          <w:i/>
          <w:iCs/>
        </w:rPr>
        <w:t>por tubería fuera del ed</w:t>
      </w:r>
      <w:r>
        <w:rPr>
          <w:rFonts w:ascii="Times New Roman" w:hAnsi="Times New Roman" w:cs="Times New Roman"/>
          <w:b/>
          <w:bCs/>
          <w:i/>
          <w:iCs/>
        </w:rPr>
        <w:t>ificio</w:t>
      </w:r>
      <w:r>
        <w:rPr>
          <w:rFonts w:ascii="Times New Roman" w:hAnsi="Times New Roman" w:cs="Times New Roman"/>
        </w:rPr>
        <w:t xml:space="preserve"> (Ayacucho: 5.15%, Bolívar: 7.27%, Olmedo: 4.26%, P. Carbo: 2.38%, Roca: 1.82% y Rocafuerte: 4.11%).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“Medio de Abastecimiento de Agua Potable hacia la Vivienda”</w:t>
      </w:r>
      <w:r>
        <w:rPr>
          <w:rFonts w:ascii="Times New Roman" w:hAnsi="Times New Roman" w:cs="Times New Roman"/>
        </w:rPr>
        <w:t xml:space="preserve">, para todas las parroquias analizadas, alcanza el 100% de cobertura en la categoría: </w:t>
      </w:r>
      <w:r>
        <w:rPr>
          <w:rFonts w:ascii="Times New Roman" w:hAnsi="Times New Roman" w:cs="Times New Roman"/>
          <w:b/>
          <w:bCs/>
          <w:i/>
          <w:iCs/>
        </w:rPr>
        <w:t>red pública</w:t>
      </w:r>
      <w:r>
        <w:rPr>
          <w:rFonts w:ascii="Times New Roman" w:hAnsi="Times New Roman" w:cs="Times New Roman"/>
        </w:rPr>
        <w:t xml:space="preserve">; mientras que para la categoría: </w:t>
      </w:r>
      <w:r>
        <w:rPr>
          <w:rFonts w:ascii="Times New Roman" w:hAnsi="Times New Roman" w:cs="Times New Roman"/>
          <w:b/>
          <w:bCs/>
          <w:i/>
          <w:iCs/>
        </w:rPr>
        <w:t>carro repartidor</w:t>
      </w:r>
      <w:r>
        <w:rPr>
          <w:rFonts w:ascii="Times New Roman" w:hAnsi="Times New Roman" w:cs="Times New Roman"/>
        </w:rPr>
        <w:t xml:space="preserve">, y la categoría: </w:t>
      </w:r>
      <w:r>
        <w:rPr>
          <w:rFonts w:ascii="Times New Roman" w:hAnsi="Times New Roman" w:cs="Times New Roman"/>
          <w:b/>
          <w:bCs/>
          <w:i/>
          <w:iCs/>
        </w:rPr>
        <w:t>otro</w:t>
      </w:r>
      <w:r>
        <w:rPr>
          <w:rFonts w:ascii="Times New Roman" w:hAnsi="Times New Roman" w:cs="Times New Roman"/>
        </w:rPr>
        <w:t>, la cobertura es del 0%.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“Suspensión del Servicio de Agua Potable”</w:t>
      </w:r>
      <w:r>
        <w:rPr>
          <w:rFonts w:ascii="Times New Roman" w:hAnsi="Times New Roman" w:cs="Times New Roman"/>
        </w:rPr>
        <w:t xml:space="preserve"> para todas las parroquias, tiene un mayor porcentaje en la categoría: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rara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vez</w:t>
      </w:r>
      <w:r>
        <w:rPr>
          <w:rFonts w:ascii="Times New Roman" w:hAnsi="Times New Roman" w:cs="Times New Roman"/>
        </w:rPr>
        <w:t>; (Ayacucho: 47</w:t>
      </w:r>
      <w:r>
        <w:rPr>
          <w:rFonts w:ascii="Times New Roman" w:hAnsi="Times New Roman" w:cs="Times New Roman"/>
        </w:rPr>
        <w:t>.42% y 25.77%; Bolívar: 38.18% y 32.73%; Olmedo: 44.68% y 29.79%; P. Carbo: 35.71% y 33.33%; Roca: 43.64% y 20%; Rocafuerte: 34.25% y 39.73%) mientras que las demás categorías tienen porcentajes limitados.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“Cobros Injustificados en las Planillas del S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ervicio de Agua Potable”</w:t>
      </w:r>
      <w:r>
        <w:rPr>
          <w:rFonts w:ascii="Times New Roman" w:hAnsi="Times New Roman" w:cs="Times New Roman"/>
        </w:rPr>
        <w:t xml:space="preserve"> para cada una de las parroquias alcanza mayor cobertura en la categoría: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(Ayacucho: 36.08%, Bolívar: 45.45%, Olmedo: 42.55%, P. Carbo: 57.14%, Roca: 41.82% y Rocafuerte: 43.84%), seguido </w:t>
      </w:r>
      <w:r>
        <w:rPr>
          <w:rFonts w:ascii="Times New Roman" w:hAnsi="Times New Roman" w:cs="Times New Roman"/>
        </w:rPr>
        <w:lastRenderedPageBreak/>
        <w:t xml:space="preserve">por la categoría: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(Ayacucho: </w:t>
      </w:r>
      <w:r>
        <w:rPr>
          <w:rFonts w:ascii="Times New Roman" w:hAnsi="Times New Roman" w:cs="Times New Roman"/>
        </w:rPr>
        <w:t>35.05%, Bolívar: 29.09%, Olmedo: 25.53%, P. Carbo: 23.81%, Roca: 25.45% y Rocafuerte: 28.77%), mientras que en el resto de las categorías el porcentaje no es tan significativo.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todas las parroquias consideradas en este estudio 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“Retraso en la Entre</w:t>
      </w:r>
      <w:r>
        <w:rPr>
          <w:rFonts w:ascii="Times New Roman" w:hAnsi="Times New Roman" w:cs="Times New Roman"/>
          <w:b/>
          <w:bCs/>
          <w:i/>
          <w:iCs/>
          <w:u w:val="single"/>
        </w:rPr>
        <w:t>ga de Planillas de Agua Potable”</w:t>
      </w:r>
      <w:r>
        <w:rPr>
          <w:rFonts w:ascii="Times New Roman" w:hAnsi="Times New Roman" w:cs="Times New Roman"/>
        </w:rPr>
        <w:t xml:space="preserve"> alcanza un mayor porcentaje en la categoría: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(Ayacucho: 40.21%, Bolívar: 27.27%, Olmedo: 44.68%, P. Carbo: 47.62%, Roca: 47.27% y Rocafuerte: 43.84%) y en la categoría: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(Ayacucho: 26.80%, Bolívar: 32.73%, Olm</w:t>
      </w:r>
      <w:r>
        <w:rPr>
          <w:rFonts w:ascii="Times New Roman" w:hAnsi="Times New Roman" w:cs="Times New Roman"/>
        </w:rPr>
        <w:t>edo: 34.04%, P. Carbo: 23.81%, Roca: 32.73% y Rocafuerte: 24.66%), el porcentaje de las demás categorías es reducido.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“Falta de Atención a Reclamos del Servicio de Agua Potable”</w:t>
      </w:r>
      <w:r>
        <w:rPr>
          <w:rFonts w:ascii="Times New Roman" w:hAnsi="Times New Roman" w:cs="Times New Roman"/>
        </w:rPr>
        <w:t xml:space="preserve">,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,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tiene mayor porcentaje </w:t>
      </w:r>
      <w:r>
        <w:rPr>
          <w:rFonts w:ascii="Times New Roman" w:hAnsi="Times New Roman" w:cs="Times New Roman"/>
        </w:rPr>
        <w:t>en las parroquias: Ayacucho (35.05%, 25.77%, 17.53%); Bolívar (34.55%, 23.64%, 21.82%); Olmedo (25.53%, 34.04%, 14.89%) y P. Carbo (23.81%, 21.43%, 26.19%); que el resto de las parroquias analizadas.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todas las parroquias consideradas, entre el 80% y el</w:t>
      </w:r>
      <w:r>
        <w:rPr>
          <w:rFonts w:ascii="Times New Roman" w:hAnsi="Times New Roman" w:cs="Times New Roman"/>
        </w:rPr>
        <w:t xml:space="preserve"> 84% de las personas entrevistadas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han realizado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“Presentación de Reclamos de Agua Potable</w:t>
      </w:r>
      <w:proofErr w:type="gramStart"/>
      <w:r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mientras que entre el 17% y 22% </w:t>
      </w:r>
      <w:r>
        <w:rPr>
          <w:rFonts w:ascii="Times New Roman" w:hAnsi="Times New Roman" w:cs="Times New Roman"/>
          <w:b/>
          <w:bCs/>
          <w:i/>
          <w:iCs/>
        </w:rPr>
        <w:t>sí</w:t>
      </w:r>
      <w:r>
        <w:rPr>
          <w:rFonts w:ascii="Times New Roman" w:hAnsi="Times New Roman" w:cs="Times New Roman"/>
        </w:rPr>
        <w:t xml:space="preserve"> lo han hecho.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los reclamos que se han presentado a la empresa de agua potable en las parroquias: Ayacucho, Bolívar, Olme</w:t>
      </w:r>
      <w:r>
        <w:rPr>
          <w:rFonts w:ascii="Times New Roman" w:hAnsi="Times New Roman" w:cs="Times New Roman"/>
        </w:rPr>
        <w:t xml:space="preserve">do, P. Carbo y Rocafuerte, entre el 55% y 75% sí han tenido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“Solución a Reclamos de Agua Potable”</w:t>
      </w:r>
      <w:r>
        <w:rPr>
          <w:rFonts w:ascii="Times New Roman" w:hAnsi="Times New Roman" w:cs="Times New Roman"/>
        </w:rPr>
        <w:t>; mientras que en la parroquia Roca, solamente el 22,22%.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“Calificación del Servicio de Agua Potable”</w:t>
      </w:r>
      <w:r>
        <w:rPr>
          <w:rFonts w:ascii="Times New Roman" w:hAnsi="Times New Roman" w:cs="Times New Roman"/>
        </w:rPr>
        <w:t xml:space="preserve"> alcanza una mayor cobertura en las categorías </w:t>
      </w:r>
      <w:r>
        <w:rPr>
          <w:rFonts w:ascii="Times New Roman" w:hAnsi="Times New Roman" w:cs="Times New Roman"/>
          <w:b/>
          <w:bCs/>
          <w:i/>
          <w:iCs/>
        </w:rPr>
        <w:t>muy bue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(Ayacucho: 48.45%, 27.84%; Bolívar: 43.64%, 32.73%; Olmedo: 25.53%, 42.55% y P. Carbo: 47.62%, 19.05%; Roca: 36.36%, 34.55% y Rocafuerte: 34.25%, 39.73%); que el resto de las categorías analizadas.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“Sistema de Eliminación de Aguas Servidas”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tiene un 100% de cobertura en la categoría </w:t>
      </w:r>
      <w:r>
        <w:rPr>
          <w:rFonts w:ascii="Times New Roman" w:hAnsi="Times New Roman" w:cs="Times New Roman"/>
          <w:b/>
          <w:bCs/>
          <w:i/>
          <w:iCs/>
        </w:rPr>
        <w:t>conectado a red pública</w:t>
      </w:r>
      <w:r>
        <w:rPr>
          <w:rFonts w:ascii="Times New Roman" w:hAnsi="Times New Roman" w:cs="Times New Roman"/>
        </w:rPr>
        <w:t xml:space="preserve"> para las parroquias Ayacucho, Bolívar y P. Carbo; mientras que para las parroquias: Olmedo, Roca y Rocafuerte la categoría: </w:t>
      </w:r>
      <w:r>
        <w:rPr>
          <w:rFonts w:ascii="Times New Roman" w:hAnsi="Times New Roman" w:cs="Times New Roman"/>
          <w:b/>
          <w:bCs/>
          <w:i/>
          <w:iCs/>
        </w:rPr>
        <w:t>pozo ciego</w:t>
      </w:r>
      <w:r>
        <w:rPr>
          <w:rFonts w:ascii="Times New Roman" w:hAnsi="Times New Roman" w:cs="Times New Roman"/>
        </w:rPr>
        <w:t>, tiene el 2,13%, 1,82% y 1,37% respectivamente.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va</w:t>
      </w:r>
      <w:r>
        <w:rPr>
          <w:rFonts w:ascii="Times New Roman" w:hAnsi="Times New Roman" w:cs="Times New Roman"/>
        </w:rPr>
        <w:t xml:space="preserve">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“Taponamiento de Canales”</w:t>
      </w:r>
      <w:r>
        <w:rPr>
          <w:rFonts w:ascii="Times New Roman" w:hAnsi="Times New Roman" w:cs="Times New Roman"/>
        </w:rPr>
        <w:t xml:space="preserve">, presenta mayor porcentaje en la categoría: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(Ayacucho: 29.90%, Bolívar: 41.82%, Olmedo: 42.55%, P. Carbo: 28.57%, Roca: 54.55% y Rocafuerte: 53.42%); la categoría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(Ayacucho: 30.93%, Bolívar: 29.09%, Olmedo: 2</w:t>
      </w:r>
      <w:r>
        <w:rPr>
          <w:rFonts w:ascii="Times New Roman" w:hAnsi="Times New Roman" w:cs="Times New Roman"/>
        </w:rPr>
        <w:t xml:space="preserve">5.53%, P. Carbo: 50%, Roca: 23.64% y Rocafuerte: 21.92%); y la categoría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(Ayacucho: 22.68%, Bolívar: 12.73%, Olmedo: 14.89%, P. Carbo: 11.90%, Roca: 9.09% y Rocafuerte: 10.96%); que el resto de categorías en las parroquias analizadas.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fre</w:t>
      </w:r>
      <w:r>
        <w:rPr>
          <w:rFonts w:ascii="Times New Roman" w:hAnsi="Times New Roman" w:cs="Times New Roman"/>
        </w:rPr>
        <w:t xml:space="preserve">cuencia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“Inundaciones por Taponamientos”</w:t>
      </w:r>
      <w:r>
        <w:rPr>
          <w:rFonts w:ascii="Times New Roman" w:hAnsi="Times New Roman" w:cs="Times New Roman"/>
        </w:rPr>
        <w:t xml:space="preserve"> para las parroquias consideradas tiene un mayor porcentaje en las categorías: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(Ayacucho: 38.14%, Bolívar: 41.82%, Olmedo: 31.91%, P. Carbo: 35.71%, Roca: 23.64% y Rocafuerte: 30.14%), seguido de la categ</w:t>
      </w:r>
      <w:r>
        <w:rPr>
          <w:rFonts w:ascii="Times New Roman" w:hAnsi="Times New Roman" w:cs="Times New Roman"/>
        </w:rPr>
        <w:t xml:space="preserve">oría </w:t>
      </w:r>
      <w:r>
        <w:rPr>
          <w:rFonts w:ascii="Times New Roman" w:hAnsi="Times New Roman" w:cs="Times New Roman"/>
          <w:b/>
          <w:bCs/>
          <w:i/>
          <w:iCs/>
        </w:rPr>
        <w:t xml:space="preserve">nunca </w:t>
      </w:r>
      <w:r>
        <w:rPr>
          <w:rFonts w:ascii="Times New Roman" w:hAnsi="Times New Roman" w:cs="Times New Roman"/>
        </w:rPr>
        <w:t>(Ayacucho: 26.80%, Bolívar: 29.09%, Olmedo: 29.79%, P. Carbo: 19.05%, Roca: 29.09% y Rocafuerte: 28.77%), las demás categorías tienen porcentajes limitados.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todas las parroquias analizadas, la mayoría de las personas entrevistadas (entre el </w:t>
      </w:r>
      <w:r>
        <w:rPr>
          <w:rFonts w:ascii="Times New Roman" w:hAnsi="Times New Roman" w:cs="Times New Roman"/>
        </w:rPr>
        <w:t xml:space="preserve">85% y el 95%)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han realizado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“Presentación de Reclamos de Alcantarillado Sanitario”</w:t>
      </w:r>
      <w:r>
        <w:rPr>
          <w:rFonts w:ascii="Times New Roman" w:hAnsi="Times New Roman" w:cs="Times New Roman"/>
        </w:rPr>
        <w:t xml:space="preserve">; mientras que aquellas que </w:t>
      </w:r>
      <w:r>
        <w:rPr>
          <w:rFonts w:ascii="Times New Roman" w:hAnsi="Times New Roman" w:cs="Times New Roman"/>
          <w:b/>
          <w:bCs/>
          <w:i/>
          <w:iCs/>
        </w:rPr>
        <w:t>sí</w:t>
      </w:r>
      <w:r>
        <w:rPr>
          <w:rFonts w:ascii="Times New Roman" w:hAnsi="Times New Roman" w:cs="Times New Roman"/>
        </w:rPr>
        <w:t xml:space="preserve"> lo han hecho, están entre el 7% y 14 %.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las personas que presentaron reclamos a la empresa de alcantarillado sanitario en las parroquias</w:t>
      </w:r>
      <w:r>
        <w:rPr>
          <w:rFonts w:ascii="Times New Roman" w:hAnsi="Times New Roman" w:cs="Times New Roman"/>
        </w:rPr>
        <w:t xml:space="preserve"> investigadas, (entre el 50% y el 85%) </w:t>
      </w:r>
      <w:r>
        <w:rPr>
          <w:rFonts w:ascii="Times New Roman" w:hAnsi="Times New Roman" w:cs="Times New Roman"/>
          <w:b/>
          <w:bCs/>
          <w:i/>
          <w:iCs/>
        </w:rPr>
        <w:t>sí</w:t>
      </w:r>
      <w:r>
        <w:rPr>
          <w:rFonts w:ascii="Times New Roman" w:hAnsi="Times New Roman" w:cs="Times New Roman"/>
        </w:rPr>
        <w:t xml:space="preserve"> han tenido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“Solución a Reclamos de Alcantarillado Sanitario”</w:t>
      </w:r>
      <w:r>
        <w:rPr>
          <w:rFonts w:ascii="Times New Roman" w:hAnsi="Times New Roman" w:cs="Times New Roman"/>
        </w:rPr>
        <w:t xml:space="preserve">; mientras que las que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lo han hecho, tienen porcentajes no tan significativos.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mayoría de las personas entrevistadas en todas las parroquias consid</w:t>
      </w:r>
      <w:r>
        <w:rPr>
          <w:rFonts w:ascii="Times New Roman" w:hAnsi="Times New Roman" w:cs="Times New Roman"/>
        </w:rPr>
        <w:t xml:space="preserve">eran que el servicio de alcantarillado sanitario ha mejorado durante la nueva administración. 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“Calificación del Servicio de Alcantarillado Sanitario”</w:t>
      </w:r>
      <w:r>
        <w:rPr>
          <w:rFonts w:ascii="Times New Roman" w:hAnsi="Times New Roman" w:cs="Times New Roman"/>
        </w:rPr>
        <w:t xml:space="preserve"> alcanza mayor porcentaje en las categorías </w:t>
      </w:r>
      <w:r>
        <w:rPr>
          <w:rFonts w:ascii="Times New Roman" w:hAnsi="Times New Roman" w:cs="Times New Roman"/>
          <w:b/>
          <w:bCs/>
          <w:i/>
          <w:iCs/>
        </w:rPr>
        <w:t xml:space="preserve">bueno </w:t>
      </w:r>
      <w:r>
        <w:rPr>
          <w:rFonts w:ascii="Times New Roman" w:hAnsi="Times New Roman" w:cs="Times New Roman"/>
        </w:rPr>
        <w:t>(entre el 27% y el 40 %)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b/>
          <w:bCs/>
          <w:i/>
          <w:iCs/>
        </w:rPr>
        <w:t xml:space="preserve"> muy bueno </w:t>
      </w:r>
      <w:r>
        <w:rPr>
          <w:rFonts w:ascii="Times New Roman" w:hAnsi="Times New Roman" w:cs="Times New Roman"/>
        </w:rPr>
        <w:t>(entre el 20% y e</w:t>
      </w:r>
      <w:r>
        <w:rPr>
          <w:rFonts w:ascii="Times New Roman" w:hAnsi="Times New Roman" w:cs="Times New Roman"/>
        </w:rPr>
        <w:t xml:space="preserve">l 40%), mientras que la categoría </w:t>
      </w:r>
      <w:r>
        <w:rPr>
          <w:rFonts w:ascii="Times New Roman" w:hAnsi="Times New Roman" w:cs="Times New Roman"/>
          <w:b/>
          <w:bCs/>
          <w:i/>
          <w:iCs/>
        </w:rPr>
        <w:t xml:space="preserve">regular </w:t>
      </w:r>
      <w:r>
        <w:rPr>
          <w:rFonts w:ascii="Times New Roman" w:hAnsi="Times New Roman" w:cs="Times New Roman"/>
        </w:rPr>
        <w:t xml:space="preserve">está entre el 15% y el 22%. 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Todas las viviendas en cada una de las parroquias consideradas, disponen del servicio de energía eléctrica; es decir, 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“Disponibilidad del Servicio de Energía Eléctrica”</w:t>
      </w:r>
      <w:r>
        <w:rPr>
          <w:rFonts w:ascii="Times New Roman" w:hAnsi="Times New Roman" w:cs="Times New Roman"/>
        </w:rPr>
        <w:t xml:space="preserve"> alcanza el 1</w:t>
      </w:r>
      <w:r>
        <w:rPr>
          <w:rFonts w:ascii="Times New Roman" w:hAnsi="Times New Roman" w:cs="Times New Roman"/>
        </w:rPr>
        <w:t>00% de cobertura.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“Suspensión del Servicio de Energía Eléctrica”</w:t>
      </w:r>
      <w:r>
        <w:rPr>
          <w:rFonts w:ascii="Times New Roman" w:hAnsi="Times New Roman" w:cs="Times New Roman"/>
        </w:rPr>
        <w:t xml:space="preserve"> para cada una de las parroquias, alcanza porcentajes mayores en las categorías: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35% y el 48%),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32% y el 40%),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(entre el 10% y e</w:t>
      </w:r>
      <w:r>
        <w:rPr>
          <w:rFonts w:ascii="Times New Roman" w:hAnsi="Times New Roman" w:cs="Times New Roman"/>
        </w:rPr>
        <w:t>l 20%); mientras que el resto de categorías presentan porcentajes limitados.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“Cobros Injustificados en Planillas de Energía Eléctrica”</w:t>
      </w:r>
      <w:r>
        <w:rPr>
          <w:rFonts w:ascii="Times New Roman" w:hAnsi="Times New Roman" w:cs="Times New Roman"/>
        </w:rPr>
        <w:t xml:space="preserve"> para todas las parroquias investigadas, tiene un alto porcentaje en las tres primeras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</w:t>
      </w:r>
      <w:r>
        <w:rPr>
          <w:rFonts w:ascii="Times New Roman" w:hAnsi="Times New Roman" w:cs="Times New Roman"/>
        </w:rPr>
        <w:t xml:space="preserve">re el 36% y el 48%),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25% y el 33%)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(entre el 10% y el 15%); el resto de categorías están entre el 2 % y el 9 %.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todas las parroquias investigadas, 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“Retraso en la Entrega de Planillas de Energía Eléctrica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está entre el 22% y el 40% en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; mientras que en la categoría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el porcentaje está entre el 10% y el 20%; el resto de categorías tiene un porcentaje entre el 3% y el 10%.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mayoría de las personas entrevistada</w:t>
      </w:r>
      <w:r>
        <w:rPr>
          <w:rFonts w:ascii="Times New Roman" w:hAnsi="Times New Roman" w:cs="Times New Roman"/>
        </w:rPr>
        <w:t xml:space="preserve">s consideran que 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“Falta de Atención a Reclamos de Energía Eléctrica”</w:t>
      </w:r>
      <w:r>
        <w:rPr>
          <w:rFonts w:ascii="Times New Roman" w:hAnsi="Times New Roman" w:cs="Times New Roman"/>
        </w:rPr>
        <w:t xml:space="preserve"> por parte del personal de la empresa de energía eléctrica ha mejorado; el porcentaje de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25% y el 40%) y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27% y el 38%) es significativ</w:t>
      </w:r>
      <w:r>
        <w:rPr>
          <w:rFonts w:ascii="Times New Roman" w:hAnsi="Times New Roman" w:cs="Times New Roman"/>
        </w:rPr>
        <w:t>amente mayor que el resto de las categorías.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“Presentación de Reclamos por el Servicio de Energía Eléctrica”</w:t>
      </w:r>
      <w:r>
        <w:rPr>
          <w:rFonts w:ascii="Times New Roman" w:hAnsi="Times New Roman" w:cs="Times New Roman"/>
        </w:rPr>
        <w:t xml:space="preserve"> para cada una de las parroquias investigadas, está entre el 73% y el 82% para aquellas personas que </w:t>
      </w:r>
      <w:r>
        <w:rPr>
          <w:rFonts w:ascii="Times New Roman" w:hAnsi="Times New Roman" w:cs="Times New Roman"/>
          <w:b/>
          <w:bCs/>
          <w:i/>
          <w:iCs/>
        </w:rPr>
        <w:t>sí</w:t>
      </w:r>
      <w:r>
        <w:rPr>
          <w:rFonts w:ascii="Times New Roman" w:hAnsi="Times New Roman" w:cs="Times New Roman"/>
        </w:rPr>
        <w:t xml:space="preserve"> han presentado reclamos; mientras que en</w:t>
      </w:r>
      <w:r>
        <w:rPr>
          <w:rFonts w:ascii="Times New Roman" w:hAnsi="Times New Roman" w:cs="Times New Roman"/>
        </w:rPr>
        <w:t xml:space="preserve">tre el 19 % y el 28 %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lo han hecho.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las personas que han presentado reclamos por el servicio de energía eléctrica en todas las parroquias estudiadas, la mayoría (entre el 55% y el 80%) </w:t>
      </w:r>
      <w:r>
        <w:rPr>
          <w:rFonts w:ascii="Times New Roman" w:hAnsi="Times New Roman" w:cs="Times New Roman"/>
          <w:b/>
          <w:bCs/>
          <w:i/>
          <w:iCs/>
        </w:rPr>
        <w:t>sí</w:t>
      </w:r>
      <w:r>
        <w:rPr>
          <w:rFonts w:ascii="Times New Roman" w:hAnsi="Times New Roman" w:cs="Times New Roman"/>
        </w:rPr>
        <w:t xml:space="preserve"> ha tenido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“Solución a Reclamos de Energía Eléctrica”</w:t>
      </w:r>
      <w:r>
        <w:rPr>
          <w:rFonts w:ascii="Times New Roman" w:hAnsi="Times New Roman" w:cs="Times New Roman"/>
        </w:rPr>
        <w:t>; mientra</w:t>
      </w:r>
      <w:r>
        <w:rPr>
          <w:rFonts w:ascii="Times New Roman" w:hAnsi="Times New Roman" w:cs="Times New Roman"/>
        </w:rPr>
        <w:t xml:space="preserve">s que aquellas que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han tenido solución, están entre el 20% y el 45%.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servicio de energía eléctrica tiene un buen nivel de aceptación en cada una de las parroquias consideradas; 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“Calificación del Servicio de Energía Eléctrica”</w:t>
      </w:r>
      <w:r>
        <w:rPr>
          <w:rFonts w:ascii="Times New Roman" w:hAnsi="Times New Roman" w:cs="Times New Roman"/>
        </w:rPr>
        <w:t xml:space="preserve"> para las categorías: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(entre el 28% y el 46%) y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(entre el 29% y el 43%) alcanzan mayor porcentaje que el resto de categorías.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el 88% y el 94% de las viviendas </w:t>
      </w:r>
      <w:r>
        <w:rPr>
          <w:rFonts w:ascii="Times New Roman" w:hAnsi="Times New Roman" w:cs="Times New Roman"/>
          <w:b/>
          <w:bCs/>
          <w:i/>
          <w:iCs/>
        </w:rPr>
        <w:t>si</w:t>
      </w:r>
      <w:r>
        <w:rPr>
          <w:rFonts w:ascii="Times New Roman" w:hAnsi="Times New Roman" w:cs="Times New Roman"/>
        </w:rPr>
        <w:t xml:space="preserve"> tienen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“Disponibilidad de Teléfono Fijo”</w:t>
      </w:r>
      <w:r>
        <w:rPr>
          <w:rFonts w:ascii="Times New Roman" w:hAnsi="Times New Roman" w:cs="Times New Roman"/>
        </w:rPr>
        <w:t xml:space="preserve"> en cada una de las parroquias; mientras que aquella</w:t>
      </w:r>
      <w:r>
        <w:rPr>
          <w:rFonts w:ascii="Times New Roman" w:hAnsi="Times New Roman" w:cs="Times New Roman"/>
        </w:rPr>
        <w:t xml:space="preserve">s que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lo tienen, están entre el 6% y el 12%; lo cual indica que existe un alto porcentaje de cobertura de este servicio básico.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“Suspensión del Servicio de Telefonía”</w:t>
      </w:r>
      <w:r>
        <w:rPr>
          <w:rFonts w:ascii="Times New Roman" w:hAnsi="Times New Roman" w:cs="Times New Roman"/>
        </w:rPr>
        <w:t>, en todas las parroquias analizadas tiene mayor porcentaje en las categor</w:t>
      </w:r>
      <w:r>
        <w:rPr>
          <w:rFonts w:ascii="Times New Roman" w:hAnsi="Times New Roman" w:cs="Times New Roman"/>
        </w:rPr>
        <w:t xml:space="preserve">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25% y el 44%),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30% y el 42%)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(entre el 10% y el 20%); mientras que en las demás categorías el porcentaje no es muy significativo.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“Cobros Injustificados en Planillas de Teléfono”</w:t>
      </w:r>
      <w:r>
        <w:rPr>
          <w:rFonts w:ascii="Times New Roman" w:hAnsi="Times New Roman" w:cs="Times New Roman"/>
        </w:rPr>
        <w:t xml:space="preserve"> en todas</w:t>
      </w:r>
      <w:r>
        <w:rPr>
          <w:rFonts w:ascii="Times New Roman" w:hAnsi="Times New Roman" w:cs="Times New Roman"/>
        </w:rPr>
        <w:t xml:space="preserve"> las parroquias consideradas, alcanza un mayor porcentaje en las categorías: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30% y el 40%),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25% y el 40%),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(entre el 13% y el 22%); mientras que el resto de las categorías están entre el 2% y el 9%.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“R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etraso en la Entrega de Planillas de Teléfono”</w:t>
      </w:r>
      <w:r>
        <w:rPr>
          <w:rFonts w:ascii="Times New Roman" w:hAnsi="Times New Roman" w:cs="Times New Roman"/>
        </w:rPr>
        <w:t xml:space="preserve"> tiene mayor porcentaje en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(Ayacucho: 25.27%, 28.57%; Bolívar:29.41%,35.29%, Olmedo: 31.71%, 29.27%; P. Carbo: 23.68%, 44.74%; Roca:52%, 26% y Rocafuerte: 34.38%, 32.81%); mient</w:t>
      </w:r>
      <w:r>
        <w:rPr>
          <w:rFonts w:ascii="Times New Roman" w:hAnsi="Times New Roman" w:cs="Times New Roman"/>
        </w:rPr>
        <w:t>ras que el resto de categorías están entre el 2% y el 14%.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“Falta de Atención a Reclamos presentados por los Usuarios del Servicio de Telefonía”</w:t>
      </w:r>
      <w:r>
        <w:rPr>
          <w:rFonts w:ascii="Times New Roman" w:hAnsi="Times New Roman" w:cs="Times New Roman"/>
        </w:rPr>
        <w:t xml:space="preserve"> es un problema que no ha mejorado, pues las categorías: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24% y el 36%) y </w:t>
      </w:r>
      <w:r>
        <w:rPr>
          <w:rFonts w:ascii="Times New Roman" w:hAnsi="Times New Roman" w:cs="Times New Roman"/>
          <w:b/>
          <w:bCs/>
          <w:i/>
          <w:iCs/>
        </w:rPr>
        <w:t>algunas veces</w:t>
      </w:r>
      <w:r>
        <w:rPr>
          <w:rFonts w:ascii="Times New Roman" w:hAnsi="Times New Roman" w:cs="Times New Roman"/>
        </w:rPr>
        <w:t xml:space="preserve"> (e</w:t>
      </w:r>
      <w:r>
        <w:rPr>
          <w:rFonts w:ascii="Times New Roman" w:hAnsi="Times New Roman" w:cs="Times New Roman"/>
        </w:rPr>
        <w:t>ntre el 14% y el 27%) alcanzan porcentajes significativos en cada una de las parroquias consideradas.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todas las parroquias analizadas, entre el 10% y el 18% de las personas </w:t>
      </w:r>
      <w:r>
        <w:rPr>
          <w:rFonts w:ascii="Times New Roman" w:hAnsi="Times New Roman" w:cs="Times New Roman"/>
          <w:b/>
          <w:bCs/>
          <w:i/>
          <w:iCs/>
        </w:rPr>
        <w:t xml:space="preserve">si </w:t>
      </w:r>
      <w:r>
        <w:rPr>
          <w:rFonts w:ascii="Times New Roman" w:hAnsi="Times New Roman" w:cs="Times New Roman"/>
        </w:rPr>
        <w:t xml:space="preserve">han hecho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“Presentación de Reclamos a la Empresa de Teléfono”</w:t>
      </w:r>
      <w:r>
        <w:rPr>
          <w:rFonts w:ascii="Times New Roman" w:hAnsi="Times New Roman" w:cs="Times New Roman"/>
        </w:rPr>
        <w:t xml:space="preserve">; mientras que </w:t>
      </w:r>
      <w:r>
        <w:rPr>
          <w:rFonts w:ascii="Times New Roman" w:hAnsi="Times New Roman" w:cs="Times New Roman"/>
        </w:rPr>
        <w:t xml:space="preserve">entre el 82 % y 89 %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lo han hecho.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las personas que han presentado reclamos a la empresa de telefonía, en las parroquias: Bolívar y Rocafuerte entre el 60% y el 63% de las personas </w:t>
      </w:r>
      <w:r>
        <w:rPr>
          <w:rFonts w:ascii="Times New Roman" w:hAnsi="Times New Roman" w:cs="Times New Roman"/>
          <w:b/>
          <w:bCs/>
          <w:i/>
          <w:iCs/>
        </w:rPr>
        <w:t xml:space="preserve">si </w:t>
      </w:r>
      <w:r>
        <w:rPr>
          <w:rFonts w:ascii="Times New Roman" w:hAnsi="Times New Roman" w:cs="Times New Roman"/>
        </w:rPr>
        <w:t xml:space="preserve">han tenido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“Solución a Reclamos de Telefonía Fija”</w:t>
      </w:r>
      <w:r>
        <w:rPr>
          <w:rFonts w:ascii="Times New Roman" w:hAnsi="Times New Roman" w:cs="Times New Roman"/>
        </w:rPr>
        <w:t xml:space="preserve">, mientras que </w:t>
      </w:r>
      <w:r>
        <w:rPr>
          <w:rFonts w:ascii="Times New Roman" w:hAnsi="Times New Roman" w:cs="Times New Roman"/>
        </w:rPr>
        <w:t xml:space="preserve">en las parroquias: Ayacucho, Olmedo y P. Carbo entre el 25% y el 43% 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han solucionado sus reclamos; en la parroquia Roca el 50% sí lo ha hecho.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“Calificación del Servicio de Telefonía Fija”</w:t>
      </w:r>
      <w:r>
        <w:rPr>
          <w:rFonts w:ascii="Times New Roman" w:hAnsi="Times New Roman" w:cs="Times New Roman"/>
        </w:rPr>
        <w:t xml:space="preserve"> para todas las parroquias estudiadas no tiene un alto nivel</w:t>
      </w:r>
      <w:r>
        <w:rPr>
          <w:rFonts w:ascii="Times New Roman" w:hAnsi="Times New Roman" w:cs="Times New Roman"/>
        </w:rPr>
        <w:t xml:space="preserve"> de aceptación, puesto que las categorías: </w:t>
      </w:r>
      <w:r>
        <w:rPr>
          <w:rFonts w:ascii="Times New Roman" w:hAnsi="Times New Roman" w:cs="Times New Roman"/>
          <w:b/>
          <w:bCs/>
          <w:i/>
          <w:iCs/>
        </w:rPr>
        <w:t>regular</w:t>
      </w:r>
      <w:r>
        <w:rPr>
          <w:rFonts w:ascii="Times New Roman" w:hAnsi="Times New Roman" w:cs="Times New Roman"/>
        </w:rPr>
        <w:t xml:space="preserve"> (entre el 20% y el 29%), </w:t>
      </w:r>
      <w:r>
        <w:rPr>
          <w:rFonts w:ascii="Times New Roman" w:hAnsi="Times New Roman" w:cs="Times New Roman"/>
          <w:b/>
          <w:bCs/>
          <w:i/>
          <w:iCs/>
        </w:rPr>
        <w:t>malo</w:t>
      </w:r>
      <w:r>
        <w:rPr>
          <w:rFonts w:ascii="Times New Roman" w:hAnsi="Times New Roman" w:cs="Times New Roman"/>
        </w:rPr>
        <w:t xml:space="preserve"> (entre el 12% y el 22%) tienen proporciones significativas, mientras que la categoría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está entre 22% y el 34%.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“Sistema de Eliminación de la Basura”</w:t>
      </w:r>
      <w:r>
        <w:rPr>
          <w:rFonts w:ascii="Times New Roman" w:hAnsi="Times New Roman" w:cs="Times New Roman"/>
        </w:rPr>
        <w:t xml:space="preserve"> en general para </w:t>
      </w:r>
      <w:r>
        <w:rPr>
          <w:rFonts w:ascii="Times New Roman" w:hAnsi="Times New Roman" w:cs="Times New Roman"/>
        </w:rPr>
        <w:t xml:space="preserve">cada parroquia considerada tiene un alto porcentaje en la categoría: </w:t>
      </w:r>
      <w:r>
        <w:rPr>
          <w:rFonts w:ascii="Times New Roman" w:hAnsi="Times New Roman" w:cs="Times New Roman"/>
          <w:b/>
          <w:bCs/>
          <w:i/>
          <w:iCs/>
        </w:rPr>
        <w:t>por carro recolector</w:t>
      </w:r>
      <w:r>
        <w:rPr>
          <w:rFonts w:ascii="Times New Roman" w:hAnsi="Times New Roman" w:cs="Times New Roman"/>
        </w:rPr>
        <w:t xml:space="preserve">, esta categoría alcanza aproximadamente entre el 98 % y el 100 %. de cobertura, mientras que la categoría </w:t>
      </w:r>
      <w:r>
        <w:rPr>
          <w:rFonts w:ascii="Times New Roman" w:hAnsi="Times New Roman" w:cs="Times New Roman"/>
          <w:b/>
          <w:bCs/>
          <w:i/>
          <w:iCs/>
        </w:rPr>
        <w:t>otra forma</w:t>
      </w:r>
      <w:r>
        <w:rPr>
          <w:rFonts w:ascii="Times New Roman" w:hAnsi="Times New Roman" w:cs="Times New Roman"/>
        </w:rPr>
        <w:t xml:space="preserve"> está entre el 1% y el 2%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el 30% y el 48% d</w:t>
      </w:r>
      <w:r>
        <w:rPr>
          <w:rFonts w:ascii="Times New Roman" w:hAnsi="Times New Roman" w:cs="Times New Roman"/>
        </w:rPr>
        <w:t xml:space="preserve">e las personas entrevistadas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han observado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“Incumplimiento en Horario de Recolección de Basura”</w:t>
      </w:r>
      <w:r>
        <w:rPr>
          <w:rFonts w:ascii="Times New Roman" w:hAnsi="Times New Roman" w:cs="Times New Roman"/>
        </w:rPr>
        <w:t xml:space="preserve">; mientras que entre el 20% y el 37%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>; el resto de las categorías tienen porcentajes limitados en cada parroquia analizada.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“Acumulaci</w:t>
      </w:r>
      <w:r>
        <w:rPr>
          <w:rFonts w:ascii="Times New Roman" w:hAnsi="Times New Roman" w:cs="Times New Roman"/>
          <w:b/>
          <w:bCs/>
          <w:i/>
          <w:iCs/>
          <w:u w:val="single"/>
        </w:rPr>
        <w:t>ón de Basura en las Calles”</w:t>
      </w:r>
      <w:r>
        <w:rPr>
          <w:rFonts w:ascii="Times New Roman" w:hAnsi="Times New Roman" w:cs="Times New Roman"/>
        </w:rPr>
        <w:t xml:space="preserve"> tiene mayor porcentaje en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50% y el 58%) y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25% y el 33%); las demás categorías tienen porcentajes menos significativos, lo cual nos permite concluir que la frecuencia de este pro</w:t>
      </w:r>
      <w:r>
        <w:rPr>
          <w:rFonts w:ascii="Times New Roman" w:hAnsi="Times New Roman" w:cs="Times New Roman"/>
        </w:rPr>
        <w:t>blema ha decrecido en la actualidad.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variable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“No Recoge toda la Basura el Carro Recolector”</w:t>
      </w:r>
      <w:r>
        <w:rPr>
          <w:rFonts w:ascii="Times New Roman" w:hAnsi="Times New Roman" w:cs="Times New Roman"/>
        </w:rPr>
        <w:t xml:space="preserve"> para las parroquias investigadas, tiene mayor porcentaje en las categorías: </w:t>
      </w:r>
      <w:r>
        <w:rPr>
          <w:rFonts w:ascii="Times New Roman" w:hAnsi="Times New Roman" w:cs="Times New Roman"/>
          <w:b/>
          <w:bCs/>
          <w:i/>
          <w:iCs/>
        </w:rPr>
        <w:t>nunca</w:t>
      </w:r>
      <w:r>
        <w:rPr>
          <w:rFonts w:ascii="Times New Roman" w:hAnsi="Times New Roman" w:cs="Times New Roman"/>
        </w:rPr>
        <w:t xml:space="preserve"> (entre el 40% y el 68%) y </w:t>
      </w:r>
      <w:r>
        <w:rPr>
          <w:rFonts w:ascii="Times New Roman" w:hAnsi="Times New Roman" w:cs="Times New Roman"/>
          <w:b/>
          <w:bCs/>
          <w:i/>
          <w:iCs/>
        </w:rPr>
        <w:t>rara vez</w:t>
      </w:r>
      <w:r>
        <w:rPr>
          <w:rFonts w:ascii="Times New Roman" w:hAnsi="Times New Roman" w:cs="Times New Roman"/>
        </w:rPr>
        <w:t xml:space="preserve"> (entre el 20% y el 35%); mientras que en e</w:t>
      </w:r>
      <w:r>
        <w:rPr>
          <w:rFonts w:ascii="Times New Roman" w:hAnsi="Times New Roman" w:cs="Times New Roman"/>
        </w:rPr>
        <w:t>l resto de categorías el porcentaje es menor a 12%.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las parroquias: Bolívar, P. Carbo, Roca y Rocafuerte el 100% de las personas entrevistadas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han hecho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“Presentación de Reclamos a la Empresa de Recolección de Basura”</w:t>
      </w:r>
      <w:r>
        <w:rPr>
          <w:rFonts w:ascii="Times New Roman" w:hAnsi="Times New Roman" w:cs="Times New Roman"/>
        </w:rPr>
        <w:t>; mientras que en las parroquias</w:t>
      </w:r>
      <w:r>
        <w:rPr>
          <w:rFonts w:ascii="Times New Roman" w:hAnsi="Times New Roman" w:cs="Times New Roman"/>
        </w:rPr>
        <w:t xml:space="preserve">: Ayacucho y Olmedo el 1,03% y el 2,13% respectivamente </w:t>
      </w:r>
      <w:r>
        <w:rPr>
          <w:rFonts w:ascii="Times New Roman" w:hAnsi="Times New Roman" w:cs="Times New Roman"/>
          <w:b/>
          <w:bCs/>
          <w:i/>
          <w:iCs/>
        </w:rPr>
        <w:t xml:space="preserve">si </w:t>
      </w:r>
      <w:r>
        <w:rPr>
          <w:rFonts w:ascii="Times New Roman" w:hAnsi="Times New Roman" w:cs="Times New Roman"/>
        </w:rPr>
        <w:t>lo han hecho.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en la parroquia Ayacucho y Olmedo solamente hubo un reclamo, la persona que presentó reclamos en la parroquia Ayacucho </w:t>
      </w:r>
      <w:r>
        <w:rPr>
          <w:rFonts w:ascii="Times New Roman" w:hAnsi="Times New Roman" w:cs="Times New Roman"/>
          <w:b/>
          <w:bCs/>
          <w:i/>
          <w:iCs/>
        </w:rPr>
        <w:t>no</w:t>
      </w:r>
      <w:r>
        <w:rPr>
          <w:rFonts w:ascii="Times New Roman" w:hAnsi="Times New Roman" w:cs="Times New Roman"/>
        </w:rPr>
        <w:t xml:space="preserve"> tuvo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“Solución de Reclamos por el servicio de Recolecc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ión de Basura”</w:t>
      </w:r>
      <w:r>
        <w:rPr>
          <w:rFonts w:ascii="Times New Roman" w:hAnsi="Times New Roman" w:cs="Times New Roman"/>
          <w:u w:val="single"/>
        </w:rPr>
        <w:t>;</w:t>
      </w:r>
      <w:r>
        <w:rPr>
          <w:rFonts w:ascii="Times New Roman" w:hAnsi="Times New Roman" w:cs="Times New Roman"/>
        </w:rPr>
        <w:t xml:space="preserve"> mientras que el reclamo que se presentó en la parroquia Olmedo, </w:t>
      </w:r>
      <w:r>
        <w:rPr>
          <w:rFonts w:ascii="Times New Roman" w:hAnsi="Times New Roman" w:cs="Times New Roman"/>
          <w:b/>
          <w:bCs/>
          <w:i/>
          <w:iCs/>
        </w:rPr>
        <w:t>si</w:t>
      </w:r>
      <w:r>
        <w:rPr>
          <w:rFonts w:ascii="Times New Roman" w:hAnsi="Times New Roman" w:cs="Times New Roman"/>
        </w:rPr>
        <w:t xml:space="preserve"> tuvo solución.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servicio de recolección de basura en general, es uno de los servicios básicos mejor atendido en todas las parroquias, puesto que la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“Calificación del Serv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icio de Recolección de Basura”</w:t>
      </w:r>
      <w:r>
        <w:rPr>
          <w:rFonts w:ascii="Times New Roman" w:hAnsi="Times New Roman" w:cs="Times New Roman"/>
        </w:rPr>
        <w:t xml:space="preserve"> alcanza un mayor porcentaje en las categorías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(entre el 50% y el 65%) y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(entre el 28% y el 40%).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mayoría de las personas entrevistadas en cada una de las parroquias estudiadas (entre el 50% y el 70%), cons</w:t>
      </w:r>
      <w:r>
        <w:rPr>
          <w:rFonts w:ascii="Times New Roman" w:hAnsi="Times New Roman" w:cs="Times New Roman"/>
        </w:rPr>
        <w:t xml:space="preserve">ideran que 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“Nivel de Ingreso Mensual de todos los Perceptores de Ingresos en la Vivienda”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se ubica en la categoría: </w:t>
      </w:r>
      <w:r>
        <w:rPr>
          <w:rFonts w:ascii="Times New Roman" w:hAnsi="Times New Roman" w:cs="Times New Roman"/>
          <w:b/>
          <w:bCs/>
          <w:i/>
          <w:iCs/>
        </w:rPr>
        <w:t>entre $100 y $300</w:t>
      </w:r>
      <w:r>
        <w:rPr>
          <w:rFonts w:ascii="Times New Roman" w:hAnsi="Times New Roman" w:cs="Times New Roman"/>
        </w:rPr>
        <w:t xml:space="preserve">, seguido de la categoría: </w:t>
      </w:r>
      <w:r>
        <w:rPr>
          <w:rFonts w:ascii="Times New Roman" w:hAnsi="Times New Roman" w:cs="Times New Roman"/>
          <w:b/>
          <w:bCs/>
          <w:i/>
          <w:iCs/>
        </w:rPr>
        <w:t>menos de $100</w:t>
      </w:r>
      <w:r>
        <w:rPr>
          <w:rFonts w:ascii="Times New Roman" w:hAnsi="Times New Roman" w:cs="Times New Roman"/>
        </w:rPr>
        <w:t xml:space="preserve"> (entre el25% y 40%).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Ttulo1"/>
        <w:spacing w:line="360" w:lineRule="auto"/>
      </w:pPr>
      <w:r>
        <w:t>CONCLUSIONES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acuerdo a los resultados obtenidos del </w:t>
      </w:r>
      <w:r>
        <w:rPr>
          <w:rFonts w:ascii="Times New Roman" w:hAnsi="Times New Roman" w:cs="Times New Roman"/>
          <w:b/>
          <w:bCs/>
        </w:rPr>
        <w:t>Análisis de Homogeneidad</w:t>
      </w:r>
      <w:r>
        <w:rPr>
          <w:rFonts w:ascii="Times New Roman" w:hAnsi="Times New Roman" w:cs="Times New Roman"/>
        </w:rPr>
        <w:t xml:space="preserve"> se puede concluir que:</w:t>
      </w:r>
    </w:p>
    <w:p w:rsidR="00000000" w:rsidRDefault="00D76681">
      <w:pPr>
        <w:pStyle w:val="Sangra2detindependiente"/>
        <w:spacing w:line="360" w:lineRule="auto"/>
        <w:ind w:left="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El mayor número de casos califica al servicio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“Agua Potable”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a las parroquias: Roca y Rocafuerte; como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a las parroquias: Bolívar y P. Carbo; y como </w:t>
      </w:r>
      <w:r>
        <w:rPr>
          <w:rFonts w:ascii="Times New Roman" w:hAnsi="Times New Roman" w:cs="Times New Roman"/>
          <w:b/>
          <w:bCs/>
          <w:i/>
          <w:iCs/>
        </w:rPr>
        <w:t>Regular</w:t>
      </w:r>
      <w:r>
        <w:rPr>
          <w:rFonts w:ascii="Times New Roman" w:hAnsi="Times New Roman" w:cs="Times New Roman"/>
        </w:rPr>
        <w:t xml:space="preserve"> a las parroquias: Ayacu</w:t>
      </w:r>
      <w:r>
        <w:rPr>
          <w:rFonts w:ascii="Times New Roman" w:hAnsi="Times New Roman" w:cs="Times New Roman"/>
        </w:rPr>
        <w:t>cho y Olmedo.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El mayor número de casos califica al servicio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“Alcantarillado Sanitario”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a la parroquia: Rocafuerte; como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a las parroquias: Bolívar y Olmedo; como </w:t>
      </w:r>
      <w:r>
        <w:rPr>
          <w:rFonts w:ascii="Times New Roman" w:hAnsi="Times New Roman" w:cs="Times New Roman"/>
          <w:b/>
          <w:bCs/>
          <w:i/>
          <w:iCs/>
        </w:rPr>
        <w:t>Regular</w:t>
      </w:r>
      <w:r>
        <w:rPr>
          <w:rFonts w:ascii="Times New Roman" w:hAnsi="Times New Roman" w:cs="Times New Roman"/>
        </w:rPr>
        <w:t xml:space="preserve"> a las parroquias: P. Carbo y Roca; y como </w:t>
      </w:r>
      <w:r>
        <w:rPr>
          <w:rFonts w:ascii="Times New Roman" w:hAnsi="Times New Roman" w:cs="Times New Roman"/>
          <w:b/>
          <w:bCs/>
          <w:i/>
          <w:iCs/>
        </w:rPr>
        <w:t>Muy Malo</w:t>
      </w:r>
      <w:r>
        <w:rPr>
          <w:rFonts w:ascii="Times New Roman" w:hAnsi="Times New Roman" w:cs="Times New Roman"/>
        </w:rPr>
        <w:t xml:space="preserve"> a la pa</w:t>
      </w:r>
      <w:r>
        <w:rPr>
          <w:rFonts w:ascii="Times New Roman" w:hAnsi="Times New Roman" w:cs="Times New Roman"/>
        </w:rPr>
        <w:t>rroquia Ayacucho.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El mayor número de casos califica al servicio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“Energía Eléctrica”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a las parroquias: Roca y Rocafuerte; y como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a las parroquias: Ayacucho, Bolívar, Olmedo y P. Carbo.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El mayor número de casos califica al s</w:t>
      </w:r>
      <w:r>
        <w:rPr>
          <w:rFonts w:ascii="Times New Roman" w:hAnsi="Times New Roman" w:cs="Times New Roman"/>
        </w:rPr>
        <w:t xml:space="preserve">ervicio 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“Telefonía Fija”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a la parroquia: Bolívar; como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a las parroquias: Olmedo y Roca; como </w:t>
      </w:r>
      <w:r>
        <w:rPr>
          <w:rFonts w:ascii="Times New Roman" w:hAnsi="Times New Roman" w:cs="Times New Roman"/>
          <w:b/>
          <w:bCs/>
          <w:i/>
          <w:iCs/>
        </w:rPr>
        <w:t>Malo</w:t>
      </w:r>
      <w:r>
        <w:rPr>
          <w:rFonts w:ascii="Times New Roman" w:hAnsi="Times New Roman" w:cs="Times New Roman"/>
        </w:rPr>
        <w:t xml:space="preserve"> a la parroquia: Ayacucho; y como </w:t>
      </w:r>
      <w:r>
        <w:rPr>
          <w:rFonts w:ascii="Times New Roman" w:hAnsi="Times New Roman" w:cs="Times New Roman"/>
          <w:b/>
          <w:bCs/>
          <w:i/>
          <w:iCs/>
        </w:rPr>
        <w:t>Muy Malo</w:t>
      </w:r>
      <w:r>
        <w:rPr>
          <w:rFonts w:ascii="Times New Roman" w:hAnsi="Times New Roman" w:cs="Times New Roman"/>
        </w:rPr>
        <w:t xml:space="preserve"> a las parroquias: P. Carbo y Rocafuerte.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El mayor número de casos califica al servicio 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“Recolección de Basura”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b/>
          <w:bCs/>
          <w:i/>
          <w:iCs/>
        </w:rPr>
        <w:t>Muy Bueno</w:t>
      </w:r>
      <w:r>
        <w:rPr>
          <w:rFonts w:ascii="Times New Roman" w:hAnsi="Times New Roman" w:cs="Times New Roman"/>
        </w:rPr>
        <w:t xml:space="preserve"> a las parroquias: Bolívar, Olmedo, P. Carbo y Roca; y como </w:t>
      </w:r>
      <w:r>
        <w:rPr>
          <w:rFonts w:ascii="Times New Roman" w:hAnsi="Times New Roman" w:cs="Times New Roman"/>
          <w:b/>
          <w:bCs/>
          <w:i/>
          <w:iCs/>
        </w:rPr>
        <w:t>Bueno</w:t>
      </w:r>
      <w:r>
        <w:rPr>
          <w:rFonts w:ascii="Times New Roman" w:hAnsi="Times New Roman" w:cs="Times New Roman"/>
        </w:rPr>
        <w:t xml:space="preserve"> a las parroquias: Ayacucho y Rocafuerte; 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En la parroquia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Ayacucho</w:t>
      </w:r>
      <w:r>
        <w:rPr>
          <w:rFonts w:ascii="Times New Roman" w:hAnsi="Times New Roman" w:cs="Times New Roman"/>
        </w:rPr>
        <w:t>, los servicios mejor atendidos son: Energía Eléctrica y Recolección de Basura</w:t>
      </w:r>
      <w:r>
        <w:rPr>
          <w:rFonts w:ascii="Times New Roman" w:hAnsi="Times New Roman" w:cs="Times New Roman"/>
        </w:rPr>
        <w:t>; el servicio que tiene un nivel medio de satisfacción es el de Agua Potable; mientras que los servicios que tienen un bajo nivel de satisfacción son: Telefonía y Alcantarillado Sanitario.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En la parroquia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Bolívar</w:t>
      </w:r>
      <w:r>
        <w:rPr>
          <w:rFonts w:ascii="Times New Roman" w:hAnsi="Times New Roman" w:cs="Times New Roman"/>
        </w:rPr>
        <w:t>, los servicios mejor atendidos son: Te</w:t>
      </w:r>
      <w:r>
        <w:rPr>
          <w:rFonts w:ascii="Times New Roman" w:hAnsi="Times New Roman" w:cs="Times New Roman"/>
        </w:rPr>
        <w:t>lefonía y Recolección de Basura; los servicios que tienen un nivel medio de satisfacción son: Agua Potable, Alcantarillado Sanitario y Energía Eléctrica.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En la parroquia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Olmedo</w:t>
      </w:r>
      <w:r>
        <w:rPr>
          <w:rFonts w:ascii="Times New Roman" w:hAnsi="Times New Roman" w:cs="Times New Roman"/>
        </w:rPr>
        <w:t>, el servicio mejor atendido es el de Recolección de Basura; los servicios q</w:t>
      </w:r>
      <w:r>
        <w:rPr>
          <w:rFonts w:ascii="Times New Roman" w:hAnsi="Times New Roman" w:cs="Times New Roman"/>
        </w:rPr>
        <w:t>ue tiene un nivel medio de satisfacción son: Alcantarillado Sanitario, Energía Eléctrica y Telefonía; mientras que el servicio que tiene un bajo nivel de satisfacción es el de Agua Potable.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En la parroquia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P. Carbo</w:t>
      </w:r>
      <w:r>
        <w:rPr>
          <w:rFonts w:ascii="Times New Roman" w:hAnsi="Times New Roman" w:cs="Times New Roman"/>
        </w:rPr>
        <w:t xml:space="preserve">, el servicio mejor atendido es el de </w:t>
      </w:r>
      <w:r>
        <w:rPr>
          <w:rFonts w:ascii="Times New Roman" w:hAnsi="Times New Roman" w:cs="Times New Roman"/>
        </w:rPr>
        <w:t>Recolección de Basura; los servicios que tienen un nivel medio de satisfacción son: Agua Potable y Energía Eléctrica; mientras que los servicios que tienen un bajo nivel de satisfacción son: Telefonía y Alcantarillado Sanitario.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En la parroquia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Roca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los servicios mejor atendidos son: Agua Potable, Energía Eléctrica y Recolección de Basura; el servicio que tiene un nivel medio de satisfacción es el de Telefonía; mientras que el servicio con bajo nivel de satisfacción es el de Alcantarillado Sanitario.</w:t>
      </w:r>
    </w:p>
    <w:p w:rsidR="00000000" w:rsidRDefault="00D76681">
      <w:pPr>
        <w:pStyle w:val="Sangra2detindependiente"/>
        <w:spacing w:line="360" w:lineRule="auto"/>
        <w:ind w:left="360" w:hanging="360"/>
        <w:rPr>
          <w:rFonts w:ascii="Times New Roman" w:hAnsi="Times New Roman" w:cs="Times New Roman"/>
        </w:rPr>
      </w:pPr>
    </w:p>
    <w:p w:rsidR="00000000" w:rsidRDefault="00D76681">
      <w:pPr>
        <w:spacing w:line="360" w:lineRule="auto"/>
        <w:ind w:left="360" w:hanging="360"/>
        <w:jc w:val="both"/>
      </w:pPr>
      <w:r>
        <w:t xml:space="preserve">11. En la parroquia </w:t>
      </w:r>
      <w:r>
        <w:rPr>
          <w:b/>
          <w:bCs/>
          <w:i/>
          <w:iCs/>
          <w:u w:val="single"/>
        </w:rPr>
        <w:t>Rocafuerte</w:t>
      </w:r>
      <w:r>
        <w:t xml:space="preserve">, los servicios mejor atendidos son: Agua Potable, Alcantarillado Sanitario y Energía Eléctrica; el servicio que tiene un nivel medio de satisfacción es el de Recolección de Basura; mientras que el servicio con bajo nivel de </w:t>
      </w:r>
      <w:r>
        <w:t>satisfacción es el de Telefonía.</w:t>
      </w:r>
    </w:p>
    <w:p w:rsidR="00000000" w:rsidRDefault="00D76681">
      <w:pPr>
        <w:spacing w:line="360" w:lineRule="auto"/>
        <w:jc w:val="both"/>
      </w:pPr>
    </w:p>
    <w:p w:rsidR="00000000" w:rsidRDefault="00D76681">
      <w:pPr>
        <w:pStyle w:val="Ttulo1"/>
        <w:spacing w:line="360" w:lineRule="auto"/>
      </w:pPr>
      <w:r>
        <w:t>REFERENCIAS</w:t>
      </w:r>
    </w:p>
    <w:p w:rsidR="00000000" w:rsidRDefault="00D76681">
      <w:pPr>
        <w:spacing w:line="360" w:lineRule="auto"/>
        <w:jc w:val="both"/>
        <w:rPr>
          <w:lang w:val="es-MX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 xml:space="preserve">Azorín F. &amp; Sánchez L., </w:t>
      </w:r>
      <w:r>
        <w:rPr>
          <w:u w:val="single"/>
          <w:lang w:val="es-MX"/>
        </w:rPr>
        <w:t>Métodos y Aplicaciones del Muestreo</w:t>
      </w:r>
      <w:r>
        <w:rPr>
          <w:lang w:val="es-MX"/>
        </w:rPr>
        <w:t xml:space="preserve"> (2da. Edición, España, Alianza, 1986), pp. 26 - 28, 83 – 100.</w:t>
      </w:r>
    </w:p>
    <w:p w:rsidR="00000000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s-MX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s-MX"/>
        </w:rPr>
      </w:pPr>
      <w:proofErr w:type="spellStart"/>
      <w:r>
        <w:rPr>
          <w:lang w:val="es-MX"/>
        </w:rPr>
        <w:t>Mendenhall</w:t>
      </w:r>
      <w:proofErr w:type="spellEnd"/>
      <w:r>
        <w:rPr>
          <w:lang w:val="es-MX"/>
        </w:rPr>
        <w:t xml:space="preserve"> William, </w:t>
      </w:r>
      <w:proofErr w:type="spellStart"/>
      <w:r>
        <w:rPr>
          <w:lang w:val="es-MX"/>
        </w:rPr>
        <w:t>Scheaffer</w:t>
      </w:r>
      <w:proofErr w:type="spellEnd"/>
      <w:r>
        <w:rPr>
          <w:lang w:val="es-MX"/>
        </w:rPr>
        <w:t xml:space="preserve"> Richard, </w:t>
      </w:r>
      <w:proofErr w:type="spellStart"/>
      <w:r>
        <w:rPr>
          <w:lang w:val="es-MX"/>
        </w:rPr>
        <w:t>Wackerly</w:t>
      </w:r>
      <w:proofErr w:type="spellEnd"/>
      <w:r>
        <w:rPr>
          <w:lang w:val="es-MX"/>
        </w:rPr>
        <w:t xml:space="preserve"> Dennis, </w:t>
      </w:r>
      <w:r>
        <w:rPr>
          <w:u w:val="single"/>
          <w:lang w:val="es-MX"/>
        </w:rPr>
        <w:t>Estadística Matemática con Apl</w:t>
      </w:r>
      <w:r>
        <w:rPr>
          <w:u w:val="single"/>
          <w:lang w:val="es-MX"/>
        </w:rPr>
        <w:t>icaciones</w:t>
      </w:r>
      <w:r>
        <w:rPr>
          <w:lang w:val="es-MX"/>
        </w:rPr>
        <w:t xml:space="preserve"> (2da. Edición</w:t>
      </w:r>
      <w:r>
        <w:rPr>
          <w:u w:val="single"/>
          <w:lang w:val="es-MX"/>
        </w:rPr>
        <w:t>,</w:t>
      </w:r>
      <w:r>
        <w:rPr>
          <w:lang w:val="es-MX"/>
        </w:rPr>
        <w:t xml:space="preserve"> México, Grupo Editorial </w:t>
      </w:r>
      <w:proofErr w:type="spellStart"/>
      <w:r>
        <w:rPr>
          <w:lang w:val="es-MX"/>
        </w:rPr>
        <w:t>Iberoamerica</w:t>
      </w:r>
      <w:proofErr w:type="spellEnd"/>
      <w:r>
        <w:rPr>
          <w:lang w:val="es-MX"/>
        </w:rPr>
        <w:t>, 1990), pp. 606 – 619.</w:t>
      </w:r>
    </w:p>
    <w:p w:rsidR="00000000" w:rsidRDefault="00D76681">
      <w:pPr>
        <w:spacing w:line="360" w:lineRule="auto"/>
        <w:jc w:val="both"/>
        <w:rPr>
          <w:lang w:val="es-MX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 xml:space="preserve">George </w:t>
      </w:r>
      <w:proofErr w:type="spellStart"/>
      <w:r>
        <w:rPr>
          <w:lang w:val="en-US"/>
        </w:rPr>
        <w:t>Michaidillis</w:t>
      </w:r>
      <w:proofErr w:type="spellEnd"/>
      <w:r>
        <w:rPr>
          <w:lang w:val="en-US"/>
        </w:rPr>
        <w:t xml:space="preserve">, </w:t>
      </w:r>
      <w:r>
        <w:rPr>
          <w:u w:val="single"/>
          <w:lang w:val="en-US"/>
        </w:rPr>
        <w:t>Multilevel Homogeneity Analysis</w:t>
      </w:r>
      <w:r>
        <w:rPr>
          <w:lang w:val="en-US"/>
        </w:rPr>
        <w:t>.</w:t>
      </w:r>
    </w:p>
    <w:p w:rsidR="00000000" w:rsidRDefault="00D76681">
      <w:pPr>
        <w:spacing w:line="360" w:lineRule="auto"/>
        <w:jc w:val="both"/>
        <w:rPr>
          <w:lang w:val="en-US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 xml:space="preserve">Van </w:t>
      </w:r>
      <w:proofErr w:type="spellStart"/>
      <w:r>
        <w:rPr>
          <w:lang w:val="en-US"/>
        </w:rPr>
        <w:t>Deger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Jhon</w:t>
      </w:r>
      <w:proofErr w:type="spellEnd"/>
      <w:r>
        <w:rPr>
          <w:lang w:val="en-US"/>
        </w:rPr>
        <w:t xml:space="preserve"> P., </w:t>
      </w:r>
      <w:r>
        <w:rPr>
          <w:u w:val="single"/>
          <w:lang w:val="en-US"/>
        </w:rPr>
        <w:t xml:space="preserve">Multivariate Analysis of Categorical Date: </w:t>
      </w:r>
      <w:proofErr w:type="spellStart"/>
      <w:r>
        <w:rPr>
          <w:u w:val="single"/>
          <w:lang w:val="en-US"/>
        </w:rPr>
        <w:t>Aplications</w:t>
      </w:r>
      <w:proofErr w:type="spellEnd"/>
      <w:r>
        <w:rPr>
          <w:lang w:val="en-US"/>
        </w:rPr>
        <w:t>.</w:t>
      </w:r>
    </w:p>
    <w:p w:rsidR="00000000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n-US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>Instituto Nacional de Estadísticas y Ce</w:t>
      </w:r>
      <w:r>
        <w:rPr>
          <w:lang w:val="es-MX"/>
        </w:rPr>
        <w:t>nsos INEC. “Compendio de Necesidades Básicas Insatisfechas de la Población Ecuatoriana”, 1995.</w:t>
      </w:r>
    </w:p>
    <w:p w:rsidR="00000000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s-MX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 xml:space="preserve">César Pérez, </w:t>
      </w:r>
      <w:r>
        <w:rPr>
          <w:u w:val="single"/>
          <w:lang w:val="es-MX"/>
        </w:rPr>
        <w:t>Técnicas Estadísticas con SPSS</w:t>
      </w:r>
      <w:r>
        <w:rPr>
          <w:lang w:val="es-MX"/>
        </w:rPr>
        <w:t xml:space="preserve"> (2da. Edición, España, </w:t>
      </w:r>
      <w:proofErr w:type="spellStart"/>
      <w:r>
        <w:rPr>
          <w:lang w:val="es-MX"/>
        </w:rPr>
        <w:t>Prentice</w:t>
      </w:r>
      <w:proofErr w:type="spellEnd"/>
      <w:r>
        <w:rPr>
          <w:lang w:val="es-MX"/>
        </w:rPr>
        <w:t xml:space="preserve"> Hall, 2001), pp. 521 – 534.</w:t>
      </w:r>
    </w:p>
    <w:p w:rsidR="00000000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s-MX"/>
        </w:rPr>
      </w:pPr>
    </w:p>
    <w:p w:rsidR="00000000" w:rsidRDefault="00D7668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s-MX"/>
        </w:rPr>
      </w:pPr>
      <w:r>
        <w:rPr>
          <w:lang w:val="es-MX"/>
        </w:rPr>
        <w:t xml:space="preserve">Nelson Olaya Yagual, </w:t>
      </w:r>
      <w:r>
        <w:rPr>
          <w:u w:val="single"/>
          <w:lang w:val="es-MX"/>
        </w:rPr>
        <w:t>La Crisis de la Basura en Guayaqui</w:t>
      </w:r>
      <w:r>
        <w:rPr>
          <w:u w:val="single"/>
          <w:lang w:val="es-MX"/>
        </w:rPr>
        <w:t>l</w:t>
      </w:r>
      <w:r>
        <w:rPr>
          <w:lang w:val="es-MX"/>
        </w:rPr>
        <w:t xml:space="preserve"> (1ra. Edición, Ecuador, ILDIS, 1991), pp. 20 – 25</w:t>
      </w:r>
    </w:p>
    <w:p w:rsidR="00000000" w:rsidRDefault="00D76681">
      <w:pPr>
        <w:spacing w:line="360" w:lineRule="auto"/>
        <w:jc w:val="both"/>
        <w:rPr>
          <w:lang w:val="es-MX"/>
        </w:rPr>
      </w:pPr>
    </w:p>
    <w:p w:rsidR="00000000" w:rsidRDefault="00D76681">
      <w:pPr>
        <w:spacing w:line="360" w:lineRule="auto"/>
        <w:jc w:val="both"/>
        <w:rPr>
          <w:lang w:val="es-MX"/>
        </w:rPr>
      </w:pPr>
    </w:p>
    <w:p w:rsidR="00000000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s-MX"/>
        </w:rPr>
      </w:pPr>
    </w:p>
    <w:p w:rsidR="00D76681" w:rsidRDefault="00D76681">
      <w:pPr>
        <w:tabs>
          <w:tab w:val="num" w:pos="360"/>
        </w:tabs>
        <w:spacing w:line="360" w:lineRule="auto"/>
        <w:ind w:left="360" w:hanging="360"/>
        <w:jc w:val="both"/>
        <w:rPr>
          <w:lang w:val="es-MX"/>
        </w:rPr>
      </w:pPr>
    </w:p>
    <w:sectPr w:rsidR="00D76681">
      <w:pgSz w:w="11906" w:h="16838" w:code="9"/>
      <w:pgMar w:top="1618" w:right="1106" w:bottom="1618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4F8"/>
    <w:multiLevelType w:val="hybridMultilevel"/>
    <w:tmpl w:val="49304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168EA"/>
    <w:multiLevelType w:val="hybridMultilevel"/>
    <w:tmpl w:val="5D283DC2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ED27C3"/>
    <w:multiLevelType w:val="hybridMultilevel"/>
    <w:tmpl w:val="4A2CED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8061A"/>
    <w:multiLevelType w:val="hybridMultilevel"/>
    <w:tmpl w:val="8506A1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8D3B83"/>
    <w:rsid w:val="008D3B83"/>
    <w:rsid w:val="00D7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  <w:lang w:val="en-US"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page" w:hAnchor="margin" w:y="4069"/>
      <w:jc w:val="center"/>
      <w:outlineLvl w:val="2"/>
    </w:pPr>
    <w:rPr>
      <w:rFonts w:ascii="Arial" w:hAnsi="Arial" w:cs="Arial"/>
      <w:b/>
      <w:bCs/>
      <w:sz w:val="20"/>
      <w:lang w:val="es-MX"/>
    </w:rPr>
  </w:style>
  <w:style w:type="paragraph" w:styleId="Ttulo4">
    <w:name w:val="heading 4"/>
    <w:basedOn w:val="Normal"/>
    <w:next w:val="Normal"/>
    <w:qFormat/>
    <w:pPr>
      <w:keepNext/>
      <w:shd w:val="clear" w:color="auto" w:fill="CCFFFF"/>
      <w:jc w:val="center"/>
      <w:outlineLvl w:val="3"/>
    </w:pPr>
    <w:rPr>
      <w:b/>
      <w:bCs/>
      <w:sz w:val="28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</w:style>
  <w:style w:type="paragraph" w:styleId="Sangra2detindependiente">
    <w:name w:val="Body Text Indent 2"/>
    <w:basedOn w:val="Normal"/>
    <w:semiHidden/>
    <w:pPr>
      <w:spacing w:line="480" w:lineRule="auto"/>
      <w:ind w:left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2883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CALIDAD Y NIVEL DE SATISFACCIÓN DE LOS SERVICIOS BÁSICOS DE LAS PARROQUIAS: AYACUCHO, BOLÍVAR, OLMEDO, PEDRO </vt:lpstr>
    </vt:vector>
  </TitlesOfParts>
  <Company> 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CALIDAD Y NIVEL DE SATISFACCIÓN DE LOS SERVICIOS BÁSICOS DE LAS PARROQUIAS: AYACUCHO, BOLÍVAR, OLMEDO, PEDRO </dc:title>
  <dc:subject/>
  <dc:creator>HOLGER </dc:creator>
  <cp:keywords/>
  <dc:description/>
  <cp:lastModifiedBy>Ayudante</cp:lastModifiedBy>
  <cp:revision>2</cp:revision>
  <dcterms:created xsi:type="dcterms:W3CDTF">2009-07-06T14:20:00Z</dcterms:created>
  <dcterms:modified xsi:type="dcterms:W3CDTF">2009-07-06T14:20:00Z</dcterms:modified>
</cp:coreProperties>
</file>