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83505">
      <w:pPr>
        <w:spacing w:line="480" w:lineRule="auto"/>
        <w:jc w:val="both"/>
        <w:rPr>
          <w:rFonts w:ascii="Arial" w:hAnsi="Arial" w:cs="Arial"/>
        </w:rPr>
      </w:pPr>
    </w:p>
    <w:p w:rsidR="00000000" w:rsidRDefault="00A83505">
      <w:pPr>
        <w:spacing w:line="480" w:lineRule="auto"/>
        <w:jc w:val="both"/>
        <w:rPr>
          <w:rFonts w:ascii="Arial" w:hAnsi="Arial" w:cs="Arial"/>
        </w:rPr>
      </w:pPr>
    </w:p>
    <w:p w:rsidR="00000000" w:rsidRDefault="00A83505">
      <w:pPr>
        <w:spacing w:line="480" w:lineRule="auto"/>
        <w:jc w:val="both"/>
        <w:rPr>
          <w:rFonts w:ascii="Arial" w:hAnsi="Arial" w:cs="Arial"/>
        </w:rPr>
      </w:pPr>
    </w:p>
    <w:p w:rsidR="00000000" w:rsidRDefault="00A83505">
      <w:pPr>
        <w:pStyle w:val="Ttulo1"/>
      </w:pPr>
      <w:r>
        <w:t>CAPITULO 8</w:t>
      </w:r>
    </w:p>
    <w:p w:rsidR="00000000" w:rsidRDefault="00A83505">
      <w:pPr>
        <w:spacing w:line="480" w:lineRule="auto"/>
        <w:jc w:val="both"/>
        <w:rPr>
          <w:rFonts w:ascii="Arial" w:hAnsi="Arial" w:cs="Arial"/>
        </w:rPr>
      </w:pPr>
    </w:p>
    <w:p w:rsidR="00000000" w:rsidRDefault="00A83505">
      <w:pPr>
        <w:pStyle w:val="Sangradetextonormal"/>
        <w:spacing w:line="480" w:lineRule="auto"/>
        <w:ind w:right="-183"/>
        <w:jc w:val="both"/>
      </w:pPr>
      <w:r>
        <w:t>8. CONCLUSIONES Y RECOMENDACIONES.</w:t>
      </w:r>
    </w:p>
    <w:p w:rsidR="00000000" w:rsidRDefault="00A83505">
      <w:pPr>
        <w:spacing w:line="480" w:lineRule="auto"/>
        <w:ind w:left="360"/>
        <w:jc w:val="both"/>
        <w:rPr>
          <w:rFonts w:ascii="Arial" w:hAnsi="Arial" w:cs="Arial"/>
        </w:rPr>
      </w:pPr>
    </w:p>
    <w:p w:rsidR="00000000" w:rsidRDefault="00A83505">
      <w:pPr>
        <w:spacing w:line="480" w:lineRule="auto"/>
        <w:ind w:left="360"/>
        <w:jc w:val="both"/>
        <w:rPr>
          <w:rFonts w:ascii="Arial" w:hAnsi="Arial" w:cs="Arial"/>
        </w:rPr>
      </w:pPr>
      <w:r>
        <w:rPr>
          <w:rFonts w:ascii="Arial" w:hAnsi="Arial" w:cs="Arial"/>
        </w:rPr>
        <w:t>En el presente capítulo se exponen las conclusiones y recomendaciones del análisis estadístico realizado en este estudio; conclusiones que permiten cuantificar, visualizar y localizar en forma simple y obj</w:t>
      </w:r>
      <w:r>
        <w:rPr>
          <w:rFonts w:ascii="Arial" w:hAnsi="Arial" w:cs="Arial"/>
        </w:rPr>
        <w:t xml:space="preserve">etiva el grado de carencias y la satisfacción de las necesidades básicas de los habitantes de un sector de la ciudad de Guayaquil, esto es, la disponibilidad de servicios básicos (agua potable, alcantarillado sanitario, energía eléctrica, telefonía fija y </w:t>
      </w:r>
      <w:r>
        <w:rPr>
          <w:rFonts w:ascii="Arial" w:hAnsi="Arial" w:cs="Arial"/>
        </w:rPr>
        <w:t>recolección de basura) en las viviendas del sector comprendido por las parroquias: Ayacucho, Bolívar, Olmedo, Pedro Carbo, Roca y Rocafuerte.</w:t>
      </w:r>
    </w:p>
    <w:p w:rsidR="00000000" w:rsidRDefault="00A83505">
      <w:pPr>
        <w:spacing w:line="480" w:lineRule="auto"/>
        <w:ind w:left="360"/>
        <w:jc w:val="both"/>
        <w:rPr>
          <w:rFonts w:ascii="Arial" w:hAnsi="Arial" w:cs="Arial"/>
        </w:rPr>
      </w:pPr>
    </w:p>
    <w:p w:rsidR="00000000" w:rsidRDefault="00A83505">
      <w:pPr>
        <w:pStyle w:val="Sangra3detindependiente"/>
        <w:spacing w:line="480" w:lineRule="auto"/>
      </w:pPr>
      <w:r>
        <w:t xml:space="preserve">Las recomendaciones ayudarán a encontrar posibles soluciones que se necesitan para mejorar la calidad y el nivel </w:t>
      </w:r>
      <w:r>
        <w:t>de satisfacción de los servicios básicos considerados en este estudio.</w:t>
      </w:r>
    </w:p>
    <w:p w:rsidR="00000000" w:rsidRDefault="00A83505">
      <w:pPr>
        <w:spacing w:line="480" w:lineRule="auto"/>
        <w:ind w:left="360"/>
        <w:jc w:val="both"/>
        <w:rPr>
          <w:rFonts w:ascii="Arial" w:hAnsi="Arial" w:cs="Arial"/>
        </w:rPr>
      </w:pPr>
    </w:p>
    <w:p w:rsidR="00000000" w:rsidRDefault="00A83505">
      <w:pPr>
        <w:spacing w:line="480" w:lineRule="auto"/>
        <w:ind w:left="360"/>
        <w:rPr>
          <w:rFonts w:ascii="Arial" w:hAnsi="Arial" w:cs="Arial"/>
          <w:b/>
          <w:bCs/>
        </w:rPr>
      </w:pPr>
      <w:r>
        <w:rPr>
          <w:rFonts w:ascii="Arial" w:hAnsi="Arial" w:cs="Arial"/>
          <w:b/>
          <w:bCs/>
        </w:rPr>
        <w:lastRenderedPageBreak/>
        <w:t>8.1 Conclusiones.</w:t>
      </w:r>
    </w:p>
    <w:p w:rsidR="00000000" w:rsidRDefault="00A83505">
      <w:pPr>
        <w:spacing w:line="480" w:lineRule="auto"/>
        <w:ind w:left="720"/>
        <w:jc w:val="both"/>
        <w:rPr>
          <w:rFonts w:ascii="Arial" w:hAnsi="Arial" w:cs="Arial"/>
        </w:rPr>
      </w:pPr>
    </w:p>
    <w:p w:rsidR="00000000" w:rsidRDefault="00A83505">
      <w:pPr>
        <w:pStyle w:val="Sangra2detindependiente"/>
      </w:pPr>
      <w:r>
        <w:t xml:space="preserve">De acuerdo a los resultados obtenidos en el </w:t>
      </w:r>
      <w:r>
        <w:rPr>
          <w:b/>
          <w:bCs/>
        </w:rPr>
        <w:t>Análisis Estadístico Univariado</w:t>
      </w:r>
      <w:r>
        <w:t xml:space="preserve"> se puede concluir que:</w:t>
      </w:r>
    </w:p>
    <w:p w:rsidR="00000000" w:rsidRDefault="00A83505">
      <w:pPr>
        <w:pStyle w:val="Sangra2detindependiente"/>
      </w:pPr>
    </w:p>
    <w:p w:rsidR="00000000" w:rsidRDefault="00A83505">
      <w:pPr>
        <w:pStyle w:val="Sangra2detindependiente"/>
        <w:ind w:hanging="360"/>
      </w:pPr>
      <w:r>
        <w:t>1.  Todas las viviendas en cada parroquia analizada, disponen del</w:t>
      </w:r>
      <w:r>
        <w:t xml:space="preserve"> servicio de agua potable, lo cual nos indica que la cobertura de </w:t>
      </w:r>
      <w:r>
        <w:rPr>
          <w:b/>
          <w:bCs/>
          <w:i/>
          <w:iCs/>
          <w:u w:val="single"/>
        </w:rPr>
        <w:t>“Disponibilidad del Servicio de Agua Potable”</w:t>
      </w:r>
      <w:r>
        <w:t xml:space="preserve"> para las parroquias consideradas alcanza el 100%.</w:t>
      </w:r>
    </w:p>
    <w:p w:rsidR="00000000" w:rsidRDefault="00A83505">
      <w:pPr>
        <w:pStyle w:val="Sangra2detindependiente"/>
        <w:ind w:hanging="360"/>
      </w:pPr>
    </w:p>
    <w:p w:rsidR="00000000" w:rsidRDefault="00A83505">
      <w:pPr>
        <w:pStyle w:val="Sangra2detindependiente"/>
        <w:ind w:hanging="360"/>
      </w:pPr>
      <w:r>
        <w:t xml:space="preserve">2.  El </w:t>
      </w:r>
      <w:r>
        <w:rPr>
          <w:b/>
          <w:bCs/>
          <w:i/>
          <w:iCs/>
          <w:u w:val="single"/>
        </w:rPr>
        <w:t>“Sistema de Abastecimiento de Agua Potable”</w:t>
      </w:r>
      <w:r>
        <w:t>, para todas las parroquias consideradas ti</w:t>
      </w:r>
      <w:r>
        <w:t xml:space="preserve">ene mayor cobertura en la categoría: </w:t>
      </w:r>
      <w:r>
        <w:rPr>
          <w:b/>
          <w:bCs/>
          <w:i/>
          <w:iCs/>
        </w:rPr>
        <w:t>por tubería dentro de la vivienda</w:t>
      </w:r>
      <w:r>
        <w:t xml:space="preserve"> (Ayacucho: 77.32%, Bolívar: 78.18%, Olmedo: 82.98%, P. Carbo: 80.95%, Roca: 81.82% y Rocafuerte: 84.93%); seguido de la categoría: </w:t>
      </w:r>
      <w:r>
        <w:rPr>
          <w:b/>
          <w:bCs/>
          <w:i/>
          <w:iCs/>
        </w:rPr>
        <w:t>por tubería dentro de la vivienda, pero fuera del edif</w:t>
      </w:r>
      <w:r>
        <w:rPr>
          <w:b/>
          <w:bCs/>
          <w:i/>
          <w:iCs/>
        </w:rPr>
        <w:t xml:space="preserve">icio </w:t>
      </w:r>
      <w:r>
        <w:t xml:space="preserve">(Ayacucho: 17.53%, Bolívar: 14.55%, Olmedo: 12.77%, P. Carbo: 16.67%, Roca: 16.36% y Rocafuerte: 10.96%) y la categoría: </w:t>
      </w:r>
      <w:r>
        <w:rPr>
          <w:b/>
          <w:bCs/>
          <w:i/>
          <w:iCs/>
        </w:rPr>
        <w:t>por tubería fuera del edificio</w:t>
      </w:r>
      <w:r>
        <w:t xml:space="preserve"> (Ayacucho: 5.15%, Bolívar: 7.27%, Olmedo: 4.26%, P. Carbo: 2.38%, Roca: 1.82% y Rocafuerte: 4.11%).</w:t>
      </w:r>
    </w:p>
    <w:p w:rsidR="00000000" w:rsidRDefault="00A83505">
      <w:pPr>
        <w:pStyle w:val="Sangra2detindependiente"/>
        <w:ind w:hanging="360"/>
      </w:pPr>
    </w:p>
    <w:p w:rsidR="00000000" w:rsidRDefault="00A83505">
      <w:pPr>
        <w:pStyle w:val="Sangra2detindependiente"/>
        <w:ind w:hanging="360"/>
      </w:pPr>
      <w:r>
        <w:lastRenderedPageBreak/>
        <w:t xml:space="preserve">3.  El </w:t>
      </w:r>
      <w:r>
        <w:rPr>
          <w:b/>
          <w:bCs/>
          <w:i/>
          <w:iCs/>
          <w:u w:val="single"/>
        </w:rPr>
        <w:t>“Medio de Abastecimiento de Agua Potable hacia la Vivienda”</w:t>
      </w:r>
      <w:r>
        <w:t xml:space="preserve">, para todas las parroquias analizadas, alcanza el 100% de cobertura en la categoría: </w:t>
      </w:r>
      <w:r>
        <w:rPr>
          <w:b/>
          <w:bCs/>
          <w:i/>
          <w:iCs/>
        </w:rPr>
        <w:t>red pública</w:t>
      </w:r>
      <w:r>
        <w:t xml:space="preserve">; mientras que para la categoría: </w:t>
      </w:r>
      <w:r>
        <w:rPr>
          <w:b/>
          <w:bCs/>
          <w:i/>
          <w:iCs/>
        </w:rPr>
        <w:t>carro repartidor</w:t>
      </w:r>
      <w:r>
        <w:t xml:space="preserve">, y la categoría: </w:t>
      </w:r>
      <w:r>
        <w:rPr>
          <w:b/>
          <w:bCs/>
          <w:i/>
          <w:iCs/>
        </w:rPr>
        <w:t>otro</w:t>
      </w:r>
      <w:r>
        <w:t>, la cobertura es d</w:t>
      </w:r>
      <w:r>
        <w:t>el 0%.</w:t>
      </w:r>
    </w:p>
    <w:p w:rsidR="00000000" w:rsidRDefault="00A83505">
      <w:pPr>
        <w:pStyle w:val="Sangra2detindependiente"/>
        <w:ind w:hanging="360"/>
      </w:pPr>
    </w:p>
    <w:p w:rsidR="00000000" w:rsidRDefault="00A83505">
      <w:pPr>
        <w:pStyle w:val="Sangra2detindependiente"/>
        <w:ind w:hanging="360"/>
      </w:pPr>
      <w:r>
        <w:t xml:space="preserve">4. La </w:t>
      </w:r>
      <w:r>
        <w:rPr>
          <w:b/>
          <w:bCs/>
          <w:i/>
          <w:iCs/>
          <w:u w:val="single"/>
        </w:rPr>
        <w:t>“Suspensión del Servicio de Agua Potable”</w:t>
      </w:r>
      <w:r>
        <w:t xml:space="preserve"> para todas las parroquias, tiene un mayor porcentaje en la categoría: </w:t>
      </w:r>
      <w:r>
        <w:rPr>
          <w:b/>
          <w:bCs/>
          <w:i/>
          <w:iCs/>
        </w:rPr>
        <w:t>nunca</w:t>
      </w:r>
      <w:r>
        <w:t xml:space="preserve"> y </w:t>
      </w:r>
      <w:r>
        <w:rPr>
          <w:b/>
          <w:bCs/>
          <w:i/>
          <w:iCs/>
        </w:rPr>
        <w:t>rara</w:t>
      </w:r>
      <w:r>
        <w:t xml:space="preserve"> </w:t>
      </w:r>
      <w:r>
        <w:rPr>
          <w:b/>
          <w:bCs/>
          <w:i/>
          <w:iCs/>
        </w:rPr>
        <w:t>vez</w:t>
      </w:r>
      <w:r>
        <w:t xml:space="preserve">; (Ayacucho: 47.42% y 25.77%; Bolívar: 38.18% y 32.73%; Olmedo: 44.68% y 29.79%; P. Carbo: 35.71% y 33.33%; Roca: </w:t>
      </w:r>
      <w:r>
        <w:t>43.64% y 20%; Rocafuerte: 34.25% y 39.73%) mientras que las demás categorías tienen porcentajes limitados.</w:t>
      </w:r>
    </w:p>
    <w:p w:rsidR="00000000" w:rsidRDefault="00A83505">
      <w:pPr>
        <w:pStyle w:val="Sangra2detindependiente"/>
        <w:ind w:hanging="360"/>
      </w:pPr>
    </w:p>
    <w:p w:rsidR="00000000" w:rsidRDefault="00A83505">
      <w:pPr>
        <w:pStyle w:val="Sangra2detindependiente"/>
        <w:ind w:hanging="360"/>
      </w:pPr>
      <w:r>
        <w:t xml:space="preserve">5.  Los </w:t>
      </w:r>
      <w:r>
        <w:rPr>
          <w:b/>
          <w:bCs/>
          <w:i/>
          <w:iCs/>
          <w:u w:val="single"/>
        </w:rPr>
        <w:t>“Cobros Injustificados en las Planillas del Servicio de Agua Potable”</w:t>
      </w:r>
      <w:r>
        <w:t xml:space="preserve"> para cada una de las parroquias alcanza mayor cobertura en la categorí</w:t>
      </w:r>
      <w:r>
        <w:t xml:space="preserve">a: </w:t>
      </w:r>
      <w:r>
        <w:rPr>
          <w:b/>
          <w:bCs/>
          <w:i/>
          <w:iCs/>
        </w:rPr>
        <w:t>nunca</w:t>
      </w:r>
      <w:r>
        <w:t xml:space="preserve"> (Ayacucho: 36.08%, Bolívar: 45.45%, Olmedo: 42.55%, P. Carbo: 57.14%, Roca: 41.82% y Rocafuerte: 43.84%), seguido por la categoría: </w:t>
      </w:r>
      <w:r>
        <w:rPr>
          <w:b/>
          <w:bCs/>
          <w:i/>
          <w:iCs/>
        </w:rPr>
        <w:t>rara vez</w:t>
      </w:r>
      <w:r>
        <w:t xml:space="preserve"> (Ayacucho: 35.05%, Bolívar: 29.09%, Olmedo: 25.53%, P. Carbo: 23.81%, Roca: 25.45% y Rocafuerte: 28.77%), </w:t>
      </w:r>
      <w:r>
        <w:t>mientras que en el resto de las categorías el porcentaje no es tan significativo.</w:t>
      </w:r>
    </w:p>
    <w:p w:rsidR="00000000" w:rsidRDefault="00A83505">
      <w:pPr>
        <w:pStyle w:val="Sangra2detindependiente"/>
        <w:ind w:hanging="360"/>
      </w:pPr>
    </w:p>
    <w:p w:rsidR="00000000" w:rsidRDefault="00A83505">
      <w:pPr>
        <w:pStyle w:val="Sangra2detindependiente"/>
        <w:ind w:hanging="360"/>
      </w:pPr>
      <w:r>
        <w:lastRenderedPageBreak/>
        <w:t xml:space="preserve">6.  Para todas las parroquias consideradas en este estudio el </w:t>
      </w:r>
      <w:r>
        <w:rPr>
          <w:b/>
          <w:bCs/>
          <w:i/>
          <w:iCs/>
          <w:u w:val="single"/>
        </w:rPr>
        <w:t>“Retraso en la Entrega de Planillas de Agua Potable”</w:t>
      </w:r>
      <w:r>
        <w:t xml:space="preserve"> alcanza un mayor porcentaje en la categoría: </w:t>
      </w:r>
      <w:r>
        <w:rPr>
          <w:b/>
          <w:bCs/>
          <w:i/>
          <w:iCs/>
        </w:rPr>
        <w:t>nunca</w:t>
      </w:r>
      <w:r>
        <w:t xml:space="preserve"> (Ayacuc</w:t>
      </w:r>
      <w:r>
        <w:t xml:space="preserve">ho: 40.21%, Bolívar: 27.27%, Olmedo: 44.68%, P. Carbo: 47.62%, Roca: 47.27% y Rocafuerte: 43.84%) y en la categoría: </w:t>
      </w:r>
      <w:r>
        <w:rPr>
          <w:b/>
          <w:bCs/>
          <w:i/>
          <w:iCs/>
        </w:rPr>
        <w:t>rara vez</w:t>
      </w:r>
      <w:r>
        <w:t xml:space="preserve"> (Ayacucho: 26.80%, Bolívar: 32.73%, Olmedo: 34.04%, P. Carbo: 23.81%, Roca: 32.73% y Rocafuerte: 24.66%), el porcentaje de las dem</w:t>
      </w:r>
      <w:r>
        <w:t>ás categorías es reducido.</w:t>
      </w:r>
    </w:p>
    <w:p w:rsidR="00000000" w:rsidRDefault="00A83505">
      <w:pPr>
        <w:pStyle w:val="Sangra2detindependiente"/>
        <w:ind w:hanging="360"/>
      </w:pPr>
    </w:p>
    <w:p w:rsidR="00000000" w:rsidRDefault="00A83505">
      <w:pPr>
        <w:pStyle w:val="Sangra2detindependiente"/>
        <w:ind w:hanging="360"/>
      </w:pPr>
      <w:r>
        <w:t xml:space="preserve">7.  En  </w:t>
      </w:r>
      <w:r>
        <w:rPr>
          <w:b/>
          <w:bCs/>
          <w:i/>
          <w:iCs/>
          <w:u w:val="single"/>
        </w:rPr>
        <w:t>“Falta de Atención a Reclamos del Servicio de Agua Potable”</w:t>
      </w:r>
      <w:r>
        <w:t xml:space="preserve">, las categorías: </w:t>
      </w:r>
      <w:r>
        <w:rPr>
          <w:b/>
          <w:bCs/>
          <w:i/>
          <w:iCs/>
        </w:rPr>
        <w:t>nunca</w:t>
      </w:r>
      <w:r>
        <w:t xml:space="preserve">, </w:t>
      </w:r>
      <w:r>
        <w:rPr>
          <w:b/>
          <w:bCs/>
          <w:i/>
          <w:iCs/>
        </w:rPr>
        <w:t>rara vez</w:t>
      </w:r>
      <w:r>
        <w:t xml:space="preserve">, y </w:t>
      </w:r>
      <w:r>
        <w:rPr>
          <w:b/>
          <w:bCs/>
          <w:i/>
          <w:iCs/>
        </w:rPr>
        <w:t>algunas veces</w:t>
      </w:r>
      <w:r>
        <w:t xml:space="preserve"> tiene mayor porcentaje en las parroquias: Ayacucho (35.05%, 25.77%, 17.53%); Bolívar (34.55%, 23.64%, 21.82%);</w:t>
      </w:r>
      <w:r>
        <w:t xml:space="preserve"> Olmedo (25.53%, 34.04%, 14.89%) y P. Carbo (23.81%, 21.43%, 26.19%); que el resto de las parroquias analizadas.</w:t>
      </w:r>
    </w:p>
    <w:p w:rsidR="00000000" w:rsidRDefault="00A83505">
      <w:pPr>
        <w:pStyle w:val="Sangra2detindependiente"/>
        <w:ind w:hanging="360"/>
      </w:pPr>
    </w:p>
    <w:p w:rsidR="00000000" w:rsidRDefault="00A83505">
      <w:pPr>
        <w:pStyle w:val="Sangra2detindependiente"/>
        <w:ind w:hanging="360"/>
      </w:pPr>
      <w:r>
        <w:t xml:space="preserve">8.  En todas las parroquias consideradas, entre el 80% y el 84% de las personas entrevistadas </w:t>
      </w:r>
      <w:r>
        <w:rPr>
          <w:b/>
          <w:bCs/>
          <w:i/>
          <w:iCs/>
        </w:rPr>
        <w:t>no</w:t>
      </w:r>
      <w:r>
        <w:t xml:space="preserve"> han realizado </w:t>
      </w:r>
      <w:r>
        <w:rPr>
          <w:b/>
          <w:bCs/>
          <w:i/>
          <w:iCs/>
          <w:u w:val="single"/>
        </w:rPr>
        <w:t>“Presentación de Reclamos de Ag</w:t>
      </w:r>
      <w:r>
        <w:rPr>
          <w:b/>
          <w:bCs/>
          <w:i/>
          <w:iCs/>
          <w:u w:val="single"/>
        </w:rPr>
        <w:t>ua Potable”</w:t>
      </w:r>
      <w:r>
        <w:t xml:space="preserve"> ; mientras que entre el 17% y 22% </w:t>
      </w:r>
      <w:r>
        <w:rPr>
          <w:b/>
          <w:bCs/>
          <w:i/>
          <w:iCs/>
        </w:rPr>
        <w:t>sí</w:t>
      </w:r>
      <w:r>
        <w:t xml:space="preserve"> lo han hecho.</w:t>
      </w:r>
    </w:p>
    <w:p w:rsidR="00000000" w:rsidRDefault="00A83505">
      <w:pPr>
        <w:pStyle w:val="Sangra2detindependiente"/>
        <w:ind w:hanging="360"/>
      </w:pPr>
    </w:p>
    <w:p w:rsidR="00000000" w:rsidRDefault="00A83505">
      <w:pPr>
        <w:pStyle w:val="Sangra2detindependiente"/>
        <w:ind w:hanging="360"/>
      </w:pPr>
      <w:r>
        <w:lastRenderedPageBreak/>
        <w:t xml:space="preserve">9.  De los reclamos que se han presentado a la empresa de agua potable en las parroquias: Ayacucho, Bolívar, Olmedo, P. Carbo y Rocafuerte, entre el 55% y 75% sí han tenido </w:t>
      </w:r>
      <w:r>
        <w:rPr>
          <w:b/>
          <w:bCs/>
          <w:i/>
          <w:iCs/>
          <w:u w:val="single"/>
        </w:rPr>
        <w:t>“Solución a Reclamo</w:t>
      </w:r>
      <w:r>
        <w:rPr>
          <w:b/>
          <w:bCs/>
          <w:i/>
          <w:iCs/>
          <w:u w:val="single"/>
        </w:rPr>
        <w:t>s de Agua Potable”</w:t>
      </w:r>
      <w:r>
        <w:t>; mientras que en la parroquia Roca, solamente el 22,22%.</w:t>
      </w:r>
    </w:p>
    <w:p w:rsidR="00000000" w:rsidRDefault="00A83505">
      <w:pPr>
        <w:pStyle w:val="Sangra2detindependiente"/>
        <w:ind w:hanging="360"/>
      </w:pPr>
    </w:p>
    <w:p w:rsidR="00000000" w:rsidRDefault="00A83505">
      <w:pPr>
        <w:pStyle w:val="Sangra2detindependiente"/>
        <w:ind w:hanging="360"/>
      </w:pPr>
      <w:r>
        <w:t xml:space="preserve">10. La </w:t>
      </w:r>
      <w:r>
        <w:rPr>
          <w:b/>
          <w:bCs/>
          <w:i/>
          <w:iCs/>
          <w:u w:val="single"/>
        </w:rPr>
        <w:t>“Calificación del Servicio de Agua Potable”</w:t>
      </w:r>
      <w:r>
        <w:t xml:space="preserve"> alcanza una mayor cobertura en las categorías </w:t>
      </w:r>
      <w:r>
        <w:rPr>
          <w:b/>
          <w:bCs/>
          <w:i/>
          <w:iCs/>
        </w:rPr>
        <w:t>muy bueno</w:t>
      </w:r>
      <w:r>
        <w:t xml:space="preserve"> y </w:t>
      </w:r>
      <w:r>
        <w:rPr>
          <w:b/>
          <w:bCs/>
          <w:i/>
          <w:iCs/>
        </w:rPr>
        <w:t>bueno</w:t>
      </w:r>
      <w:r>
        <w:t xml:space="preserve"> (Ayacucho: 48.45%, 27.84%; Bolívar: 43.64%, 32.73%; Olmedo: 25.5</w:t>
      </w:r>
      <w:r>
        <w:t>3%, 42.55% y P. Carbo: 47.62%, 19.05%; Roca: 36.36%, 34.55% y Rocafuerte: 34.25%, 39.73%); que el resto de las categorías analizadas.</w:t>
      </w:r>
    </w:p>
    <w:p w:rsidR="00000000" w:rsidRDefault="00A83505">
      <w:pPr>
        <w:pStyle w:val="Sangra2detindependiente"/>
        <w:ind w:hanging="360"/>
      </w:pPr>
    </w:p>
    <w:p w:rsidR="00000000" w:rsidRDefault="00A83505">
      <w:pPr>
        <w:pStyle w:val="Sangra2detindependiente"/>
        <w:ind w:hanging="360"/>
      </w:pPr>
      <w:r>
        <w:t xml:space="preserve">11. El </w:t>
      </w:r>
      <w:r>
        <w:rPr>
          <w:b/>
          <w:bCs/>
          <w:i/>
          <w:iCs/>
          <w:u w:val="single"/>
        </w:rPr>
        <w:t>“Sistema de Eliminación de Aguas Servidas”</w:t>
      </w:r>
      <w:r>
        <w:t xml:space="preserve"> tiene un 100% de cobertura en la categoría </w:t>
      </w:r>
      <w:r>
        <w:rPr>
          <w:b/>
          <w:bCs/>
          <w:i/>
          <w:iCs/>
        </w:rPr>
        <w:t>conectado a red pública</w:t>
      </w:r>
      <w:r>
        <w:t xml:space="preserve"> para</w:t>
      </w:r>
      <w:r>
        <w:t xml:space="preserve"> las parroquias Ayacucho, Bolívar y P. Carbo; mientras que para las parroquias: Olmedo, Roca y Rocafuerte la categoría: </w:t>
      </w:r>
      <w:r>
        <w:rPr>
          <w:b/>
          <w:bCs/>
          <w:i/>
          <w:iCs/>
        </w:rPr>
        <w:t>pozo ciego</w:t>
      </w:r>
      <w:r>
        <w:t>, tiene el 2,13%, 1,82% y 1,37% respectivamente.</w:t>
      </w:r>
    </w:p>
    <w:p w:rsidR="00000000" w:rsidRDefault="00A83505">
      <w:pPr>
        <w:pStyle w:val="Sangra2detindependiente"/>
        <w:ind w:hanging="360"/>
      </w:pPr>
    </w:p>
    <w:p w:rsidR="00000000" w:rsidRDefault="00A83505">
      <w:pPr>
        <w:pStyle w:val="Sangra2detindependiente"/>
        <w:ind w:hanging="360"/>
      </w:pPr>
      <w:r>
        <w:t xml:space="preserve">12. La variable </w:t>
      </w:r>
      <w:r>
        <w:rPr>
          <w:b/>
          <w:bCs/>
          <w:i/>
          <w:iCs/>
          <w:u w:val="single"/>
        </w:rPr>
        <w:t>“Taponamiento de Canales”</w:t>
      </w:r>
      <w:r>
        <w:t>, presenta mayor porcentaje en la c</w:t>
      </w:r>
      <w:r>
        <w:t xml:space="preserve">ategoría: </w:t>
      </w:r>
      <w:r>
        <w:rPr>
          <w:b/>
          <w:bCs/>
          <w:i/>
          <w:iCs/>
        </w:rPr>
        <w:t>nunca</w:t>
      </w:r>
      <w:r>
        <w:t xml:space="preserve"> (Ayacucho: 29.90%, Bolívar: 41.82%, Olmedo: 42.55%, P. Carbo: 28.57%, Roca: 54.55% y Rocafuerte: 53.42%); la categoría </w:t>
      </w:r>
      <w:r>
        <w:rPr>
          <w:b/>
          <w:bCs/>
          <w:i/>
          <w:iCs/>
        </w:rPr>
        <w:t>rara vez</w:t>
      </w:r>
      <w:r>
        <w:t xml:space="preserve"> (Ayacucho: 30.93%, Bolívar: 29.09%, Olmedo: 25.53%, P. Carbo: 50%, Roca: 23.64% y Rocafuerte: 21.92%); y la </w:t>
      </w:r>
      <w:r>
        <w:lastRenderedPageBreak/>
        <w:t>cate</w:t>
      </w:r>
      <w:r>
        <w:t xml:space="preserve">goría </w:t>
      </w:r>
      <w:r>
        <w:rPr>
          <w:b/>
          <w:bCs/>
          <w:i/>
          <w:iCs/>
        </w:rPr>
        <w:t>algunas veces</w:t>
      </w:r>
      <w:r>
        <w:t xml:space="preserve"> (Ayacucho: 22.68%, Bolívar: 12.73%, Olmedo: 14.89%, P. Carbo: 11.90%, Roca: 9.09% y Rocafuerte: 10.96%); que el resto de categorías en las parroquias analizadas.</w:t>
      </w:r>
    </w:p>
    <w:p w:rsidR="00000000" w:rsidRDefault="00A83505">
      <w:pPr>
        <w:pStyle w:val="Sangra2detindependiente"/>
        <w:ind w:hanging="360"/>
      </w:pPr>
    </w:p>
    <w:p w:rsidR="00000000" w:rsidRDefault="00A83505">
      <w:pPr>
        <w:pStyle w:val="Sangra2detindependiente"/>
        <w:ind w:hanging="360"/>
      </w:pPr>
      <w:r>
        <w:t xml:space="preserve">13. La frecuencia de </w:t>
      </w:r>
      <w:r>
        <w:rPr>
          <w:b/>
          <w:bCs/>
          <w:i/>
          <w:iCs/>
          <w:u w:val="single"/>
        </w:rPr>
        <w:t>“Inundaciones por Taponamientos”</w:t>
      </w:r>
      <w:r>
        <w:t xml:space="preserve"> para las parroquias</w:t>
      </w:r>
      <w:r>
        <w:t xml:space="preserve"> consideradas tiene un mayor porcentaje en las categorías: </w:t>
      </w:r>
      <w:r>
        <w:rPr>
          <w:b/>
          <w:bCs/>
          <w:i/>
          <w:iCs/>
        </w:rPr>
        <w:t>rara vez</w:t>
      </w:r>
      <w:r>
        <w:t xml:space="preserve"> (Ayacucho: 38.14%, Bolívar: 41.82%, Olmedo: 31.91%, P. Carbo: 35.71%, Roca: 23.64% y Rocafuerte: 30.14%), seguido de la categoría </w:t>
      </w:r>
      <w:r>
        <w:rPr>
          <w:b/>
          <w:bCs/>
          <w:i/>
          <w:iCs/>
        </w:rPr>
        <w:t xml:space="preserve">nunca </w:t>
      </w:r>
      <w:r>
        <w:t xml:space="preserve">(Ayacucho: 26.80%, Bolívar: 29.09%, Olmedo: 29.79%, </w:t>
      </w:r>
      <w:r>
        <w:t>P. Carbo: 19.05%, Roca: 29.09% y Rocafuerte: 28.77%), las demás categorías tienen porcentajes limitados.</w:t>
      </w:r>
    </w:p>
    <w:p w:rsidR="00000000" w:rsidRDefault="00A83505">
      <w:pPr>
        <w:pStyle w:val="Sangra2detindependiente"/>
        <w:ind w:hanging="360"/>
      </w:pPr>
    </w:p>
    <w:p w:rsidR="00000000" w:rsidRDefault="00A83505">
      <w:pPr>
        <w:pStyle w:val="Sangra2detindependiente"/>
        <w:ind w:hanging="360"/>
      </w:pPr>
      <w:r>
        <w:t xml:space="preserve">14. En todas las parroquias analizadas, la mayoría de las personas entrevistadas (entre el 85% y el 95%) </w:t>
      </w:r>
      <w:r>
        <w:rPr>
          <w:b/>
          <w:bCs/>
          <w:i/>
          <w:iCs/>
        </w:rPr>
        <w:t>no</w:t>
      </w:r>
      <w:r>
        <w:t xml:space="preserve"> han realizado </w:t>
      </w:r>
      <w:r>
        <w:rPr>
          <w:b/>
          <w:bCs/>
          <w:i/>
          <w:iCs/>
          <w:u w:val="single"/>
        </w:rPr>
        <w:t>“Presentación de Reclamos de</w:t>
      </w:r>
      <w:r>
        <w:rPr>
          <w:b/>
          <w:bCs/>
          <w:i/>
          <w:iCs/>
          <w:u w:val="single"/>
        </w:rPr>
        <w:t xml:space="preserve"> Alcantarillado Sanitario”</w:t>
      </w:r>
      <w:r>
        <w:t xml:space="preserve">; mientras que aquellas que </w:t>
      </w:r>
      <w:r>
        <w:rPr>
          <w:b/>
          <w:bCs/>
          <w:i/>
          <w:iCs/>
        </w:rPr>
        <w:t>sí</w:t>
      </w:r>
      <w:r>
        <w:t xml:space="preserve"> lo han hecho, están entre el 7% y 14 %.</w:t>
      </w:r>
    </w:p>
    <w:p w:rsidR="00000000" w:rsidRDefault="00A83505">
      <w:pPr>
        <w:pStyle w:val="Sangra2detindependiente"/>
        <w:ind w:hanging="360"/>
      </w:pPr>
    </w:p>
    <w:p w:rsidR="00000000" w:rsidRDefault="00A83505">
      <w:pPr>
        <w:pStyle w:val="Sangra2detindependiente"/>
        <w:ind w:hanging="360"/>
      </w:pPr>
      <w:r>
        <w:t xml:space="preserve">15. De las personas que presentaron reclamos a la empresa de alcantarillado sanitario en las parroquias investigadas, (entre el 50% y el 85%) </w:t>
      </w:r>
      <w:r>
        <w:rPr>
          <w:b/>
          <w:bCs/>
          <w:i/>
          <w:iCs/>
        </w:rPr>
        <w:t>sí</w:t>
      </w:r>
      <w:r>
        <w:t xml:space="preserve"> han tenido </w:t>
      </w:r>
      <w:r>
        <w:rPr>
          <w:b/>
          <w:bCs/>
          <w:i/>
          <w:iCs/>
          <w:u w:val="single"/>
        </w:rPr>
        <w:t>“S</w:t>
      </w:r>
      <w:r>
        <w:rPr>
          <w:b/>
          <w:bCs/>
          <w:i/>
          <w:iCs/>
          <w:u w:val="single"/>
        </w:rPr>
        <w:t>olución a Reclamos de Alcantarillado Sanitario”</w:t>
      </w:r>
      <w:r>
        <w:t xml:space="preserve">; mientras que las que </w:t>
      </w:r>
      <w:r>
        <w:rPr>
          <w:b/>
          <w:bCs/>
          <w:i/>
          <w:iCs/>
        </w:rPr>
        <w:t>no</w:t>
      </w:r>
      <w:r>
        <w:t xml:space="preserve"> lo han hecho, tienen porcentajes no tan significativos.</w:t>
      </w:r>
    </w:p>
    <w:p w:rsidR="00000000" w:rsidRDefault="00A83505">
      <w:pPr>
        <w:pStyle w:val="Sangra2detindependiente"/>
        <w:ind w:hanging="360"/>
      </w:pPr>
      <w:r>
        <w:lastRenderedPageBreak/>
        <w:t xml:space="preserve">16. La mayoría de las personas entrevistadas en todas las parroquias consideran que el servicio de alcantarillado sanitario ha </w:t>
      </w:r>
      <w:r>
        <w:t xml:space="preserve">mejorado durante la nueva administración. La </w:t>
      </w:r>
      <w:r>
        <w:rPr>
          <w:b/>
          <w:bCs/>
          <w:i/>
          <w:iCs/>
          <w:u w:val="single"/>
        </w:rPr>
        <w:t>“Calificación del Servicio de Alcantarillado Sanitario”</w:t>
      </w:r>
      <w:r>
        <w:t xml:space="preserve"> alcanza mayor porcentaje en las categorías </w:t>
      </w:r>
      <w:r>
        <w:rPr>
          <w:b/>
          <w:bCs/>
          <w:i/>
          <w:iCs/>
        </w:rPr>
        <w:t xml:space="preserve">bueno </w:t>
      </w:r>
      <w:r>
        <w:t>(entre el 27% y el 40 %)</w:t>
      </w:r>
      <w:r>
        <w:rPr>
          <w:b/>
          <w:bCs/>
          <w:i/>
          <w:iCs/>
        </w:rPr>
        <w:t xml:space="preserve"> </w:t>
      </w:r>
      <w:r>
        <w:t>y</w:t>
      </w:r>
      <w:r>
        <w:rPr>
          <w:b/>
          <w:bCs/>
          <w:i/>
          <w:iCs/>
        </w:rPr>
        <w:t xml:space="preserve"> muy bueno </w:t>
      </w:r>
      <w:r>
        <w:t xml:space="preserve">(entre el 20% y el 40%), mientras que la categoría </w:t>
      </w:r>
      <w:r>
        <w:rPr>
          <w:b/>
          <w:bCs/>
          <w:i/>
          <w:iCs/>
        </w:rPr>
        <w:t xml:space="preserve">regular </w:t>
      </w:r>
      <w:r>
        <w:t>está entre</w:t>
      </w:r>
      <w:r>
        <w:t xml:space="preserve"> el 15% y el 22%. </w:t>
      </w:r>
    </w:p>
    <w:p w:rsidR="00000000" w:rsidRDefault="00A83505">
      <w:pPr>
        <w:pStyle w:val="Sangra2detindependiente"/>
        <w:ind w:hanging="360"/>
      </w:pPr>
    </w:p>
    <w:p w:rsidR="00000000" w:rsidRDefault="00A83505">
      <w:pPr>
        <w:pStyle w:val="Sangra2detindependiente"/>
        <w:ind w:hanging="360"/>
      </w:pPr>
      <w:r>
        <w:t xml:space="preserve">17. Todas las viviendas en cada una de las parroquias consideradas, disponen del servicio de energía eléctrica; es decir, la </w:t>
      </w:r>
      <w:r>
        <w:rPr>
          <w:b/>
          <w:bCs/>
          <w:i/>
          <w:iCs/>
          <w:u w:val="single"/>
        </w:rPr>
        <w:t>“Disponibilidad del Servicio de Energía Eléctrica”</w:t>
      </w:r>
      <w:r>
        <w:t xml:space="preserve"> alcanza el 100% de cobertura.</w:t>
      </w:r>
    </w:p>
    <w:p w:rsidR="00000000" w:rsidRDefault="00A83505">
      <w:pPr>
        <w:pStyle w:val="Sangra2detindependiente"/>
        <w:ind w:hanging="360"/>
      </w:pPr>
    </w:p>
    <w:p w:rsidR="00000000" w:rsidRDefault="00A83505">
      <w:pPr>
        <w:pStyle w:val="Sangra2detindependiente"/>
        <w:ind w:hanging="360"/>
      </w:pPr>
      <w:r>
        <w:t xml:space="preserve">18. La variable </w:t>
      </w:r>
      <w:r>
        <w:rPr>
          <w:b/>
          <w:bCs/>
          <w:i/>
          <w:iCs/>
          <w:u w:val="single"/>
        </w:rPr>
        <w:t>“Suspensión d</w:t>
      </w:r>
      <w:r>
        <w:rPr>
          <w:b/>
          <w:bCs/>
          <w:i/>
          <w:iCs/>
          <w:u w:val="single"/>
        </w:rPr>
        <w:t>el Servicio de Energía Eléctrica”</w:t>
      </w:r>
      <w:r>
        <w:t xml:space="preserve"> para cada una de las parroquias, alcanza porcentajes mayores en las categorías: </w:t>
      </w:r>
      <w:r>
        <w:rPr>
          <w:b/>
          <w:bCs/>
          <w:i/>
          <w:iCs/>
        </w:rPr>
        <w:t>rara vez</w:t>
      </w:r>
      <w:r>
        <w:t xml:space="preserve"> (entre el 35% y el 48%), </w:t>
      </w:r>
      <w:r>
        <w:rPr>
          <w:b/>
          <w:bCs/>
          <w:i/>
          <w:iCs/>
        </w:rPr>
        <w:t>nunca</w:t>
      </w:r>
      <w:r>
        <w:t xml:space="preserve"> (entre el 32% y el 40%), y </w:t>
      </w:r>
      <w:r>
        <w:rPr>
          <w:b/>
          <w:bCs/>
          <w:i/>
          <w:iCs/>
        </w:rPr>
        <w:t>algunas veces</w:t>
      </w:r>
      <w:r>
        <w:t xml:space="preserve"> (entre el 10% y el 20%); mientras que el resto de categorías </w:t>
      </w:r>
      <w:r>
        <w:t>presentan porcentajes limitados.</w:t>
      </w:r>
    </w:p>
    <w:p w:rsidR="00000000" w:rsidRDefault="00A83505">
      <w:pPr>
        <w:pStyle w:val="Sangra2detindependiente"/>
        <w:ind w:hanging="360"/>
      </w:pPr>
    </w:p>
    <w:p w:rsidR="00000000" w:rsidRDefault="00A83505">
      <w:pPr>
        <w:pStyle w:val="Sangra2detindependiente"/>
        <w:ind w:hanging="360"/>
      </w:pPr>
      <w:r>
        <w:t xml:space="preserve">19. La variable </w:t>
      </w:r>
      <w:r>
        <w:rPr>
          <w:b/>
          <w:bCs/>
          <w:i/>
          <w:iCs/>
          <w:u w:val="single"/>
        </w:rPr>
        <w:t>“Cobros Injustificados en Planillas de Energía Eléctrica”</w:t>
      </w:r>
      <w:r>
        <w:t xml:space="preserve"> para todas las parroquias investigadas, tiene un alto porcentaje en las tres primeras categorías: </w:t>
      </w:r>
      <w:r>
        <w:rPr>
          <w:b/>
          <w:bCs/>
          <w:i/>
          <w:iCs/>
        </w:rPr>
        <w:t>nunca</w:t>
      </w:r>
      <w:r>
        <w:t xml:space="preserve"> (entre el 36% y el 48%), </w:t>
      </w:r>
      <w:r>
        <w:rPr>
          <w:b/>
          <w:bCs/>
          <w:i/>
          <w:iCs/>
        </w:rPr>
        <w:t>rara vez</w:t>
      </w:r>
      <w:r>
        <w:t xml:space="preserve"> (entre el </w:t>
      </w:r>
      <w:r>
        <w:t xml:space="preserve">25% y el 33%) y </w:t>
      </w:r>
      <w:r>
        <w:rPr>
          <w:b/>
          <w:bCs/>
          <w:i/>
          <w:iCs/>
        </w:rPr>
        <w:t>algunas veces</w:t>
      </w:r>
      <w:r>
        <w:t xml:space="preserve"> (entre el 10% y el 15%); el resto de categorías están entre el 2 % y el 9 %.</w:t>
      </w:r>
    </w:p>
    <w:p w:rsidR="00000000" w:rsidRDefault="00A83505">
      <w:pPr>
        <w:pStyle w:val="Sangra2detindependiente"/>
        <w:ind w:hanging="360"/>
      </w:pPr>
      <w:r>
        <w:lastRenderedPageBreak/>
        <w:t xml:space="preserve">20. Para todas las parroquias investigadas, la variable </w:t>
      </w:r>
      <w:r>
        <w:rPr>
          <w:b/>
          <w:bCs/>
          <w:i/>
          <w:iCs/>
          <w:u w:val="single"/>
        </w:rPr>
        <w:t>“Retraso en la Entrega de Planillas de Energía Eléctrica”</w:t>
      </w:r>
      <w:r>
        <w:rPr>
          <w:b/>
          <w:bCs/>
          <w:i/>
          <w:iCs/>
        </w:rPr>
        <w:t xml:space="preserve"> </w:t>
      </w:r>
      <w:r>
        <w:t>está entre el 22% y el 40% en las c</w:t>
      </w:r>
      <w:r>
        <w:t xml:space="preserve">ategorías: </w:t>
      </w:r>
      <w:r>
        <w:rPr>
          <w:b/>
          <w:bCs/>
          <w:i/>
          <w:iCs/>
        </w:rPr>
        <w:t>nunca</w:t>
      </w:r>
      <w:r>
        <w:t xml:space="preserve"> y </w:t>
      </w:r>
      <w:r>
        <w:rPr>
          <w:b/>
          <w:bCs/>
          <w:i/>
          <w:iCs/>
        </w:rPr>
        <w:t>rara vez</w:t>
      </w:r>
      <w:r>
        <w:t xml:space="preserve">; mientras que en la categoría </w:t>
      </w:r>
      <w:r>
        <w:rPr>
          <w:b/>
          <w:bCs/>
          <w:i/>
          <w:iCs/>
        </w:rPr>
        <w:t>algunas veces</w:t>
      </w:r>
      <w:r>
        <w:t xml:space="preserve"> el porcentaje está entre el 10% y el 20%; el resto de categorías tiene un porcentaje entre el 3% y el 10%.</w:t>
      </w:r>
    </w:p>
    <w:p w:rsidR="00000000" w:rsidRDefault="00A83505">
      <w:pPr>
        <w:pStyle w:val="Sangra2detindependiente"/>
        <w:ind w:hanging="360"/>
      </w:pPr>
    </w:p>
    <w:p w:rsidR="00000000" w:rsidRDefault="00A83505">
      <w:pPr>
        <w:pStyle w:val="Sangra2detindependiente"/>
        <w:ind w:hanging="360"/>
      </w:pPr>
      <w:r>
        <w:t xml:space="preserve">21. La mayoría de las personas entrevistadas consideran que la </w:t>
      </w:r>
      <w:r>
        <w:rPr>
          <w:b/>
          <w:bCs/>
          <w:i/>
          <w:iCs/>
          <w:u w:val="single"/>
        </w:rPr>
        <w:t>“Falta de Ate</w:t>
      </w:r>
      <w:r>
        <w:rPr>
          <w:b/>
          <w:bCs/>
          <w:i/>
          <w:iCs/>
          <w:u w:val="single"/>
        </w:rPr>
        <w:t>nción a Reclamos de Energía Eléctrica”</w:t>
      </w:r>
      <w:r>
        <w:t xml:space="preserve"> por parte del personal de la empresa de energía eléctrica ha mejorado; el porcentaje de las categorías: </w:t>
      </w:r>
      <w:r>
        <w:rPr>
          <w:b/>
          <w:bCs/>
          <w:i/>
          <w:iCs/>
        </w:rPr>
        <w:t>nunca</w:t>
      </w:r>
      <w:r>
        <w:t xml:space="preserve"> (entre el 25% y el 40%) y </w:t>
      </w:r>
      <w:r>
        <w:rPr>
          <w:b/>
          <w:bCs/>
          <w:i/>
          <w:iCs/>
        </w:rPr>
        <w:t>rara vez</w:t>
      </w:r>
      <w:r>
        <w:t xml:space="preserve"> (entre el 27% y el 38%) es significativamente mayor que el resto de las </w:t>
      </w:r>
      <w:r>
        <w:t>categorías.</w:t>
      </w:r>
    </w:p>
    <w:p w:rsidR="00000000" w:rsidRDefault="00A83505">
      <w:pPr>
        <w:pStyle w:val="Sangra2detindependiente"/>
        <w:ind w:hanging="360"/>
      </w:pPr>
    </w:p>
    <w:p w:rsidR="00000000" w:rsidRDefault="00A83505">
      <w:pPr>
        <w:pStyle w:val="Sangra2detindependiente"/>
        <w:ind w:hanging="360"/>
      </w:pPr>
      <w:r>
        <w:t xml:space="preserve">22. La </w:t>
      </w:r>
      <w:r>
        <w:rPr>
          <w:b/>
          <w:bCs/>
          <w:i/>
          <w:iCs/>
          <w:u w:val="single"/>
        </w:rPr>
        <w:t>“Presentación de Reclamos por el Servicio de Energía Eléctrica”</w:t>
      </w:r>
      <w:r>
        <w:t xml:space="preserve"> para cada una de las parroquias investigadas, está entre el 73% y el 82% para aquellas personas que </w:t>
      </w:r>
      <w:r>
        <w:rPr>
          <w:b/>
          <w:bCs/>
          <w:i/>
          <w:iCs/>
        </w:rPr>
        <w:t>sí</w:t>
      </w:r>
      <w:r>
        <w:t xml:space="preserve"> han presentado reclamos; mientras que entre el 19 % y el 28 % </w:t>
      </w:r>
      <w:r>
        <w:rPr>
          <w:b/>
          <w:bCs/>
          <w:i/>
          <w:iCs/>
        </w:rPr>
        <w:t>no</w:t>
      </w:r>
      <w:r>
        <w:t xml:space="preserve"> lo h</w:t>
      </w:r>
      <w:r>
        <w:t>an hecho.</w:t>
      </w:r>
    </w:p>
    <w:p w:rsidR="00000000" w:rsidRDefault="00A83505">
      <w:pPr>
        <w:pStyle w:val="Sangra2detindependiente"/>
        <w:ind w:hanging="360"/>
      </w:pPr>
    </w:p>
    <w:p w:rsidR="00000000" w:rsidRDefault="00A83505">
      <w:pPr>
        <w:pStyle w:val="Sangra2detindependiente"/>
        <w:ind w:hanging="360"/>
      </w:pPr>
      <w:r>
        <w:t xml:space="preserve">23. De las personas que han presentado reclamos por el servicio de energía eléctrica en todas las parroquias estudiadas, la mayoría (entre el 55% y el 80%) </w:t>
      </w:r>
      <w:r>
        <w:rPr>
          <w:b/>
          <w:bCs/>
          <w:i/>
          <w:iCs/>
        </w:rPr>
        <w:t>sí</w:t>
      </w:r>
      <w:r>
        <w:t xml:space="preserve"> ha tenido </w:t>
      </w:r>
      <w:r>
        <w:rPr>
          <w:b/>
          <w:bCs/>
          <w:i/>
          <w:iCs/>
          <w:u w:val="single"/>
        </w:rPr>
        <w:t>“Solución a Reclamos de Energía Eléctrica”</w:t>
      </w:r>
      <w:r>
        <w:t xml:space="preserve">; mientras que aquellas que </w:t>
      </w:r>
      <w:r>
        <w:rPr>
          <w:b/>
          <w:bCs/>
          <w:i/>
          <w:iCs/>
        </w:rPr>
        <w:t>no</w:t>
      </w:r>
      <w:r>
        <w:t xml:space="preserve"> han</w:t>
      </w:r>
      <w:r>
        <w:t xml:space="preserve"> tenido solución, están entre el 20% y el 45%.</w:t>
      </w:r>
    </w:p>
    <w:p w:rsidR="00000000" w:rsidRDefault="00A83505">
      <w:pPr>
        <w:pStyle w:val="Sangra2detindependiente"/>
        <w:ind w:hanging="360"/>
      </w:pPr>
      <w:r>
        <w:lastRenderedPageBreak/>
        <w:t xml:space="preserve">24. El servicio de energía eléctrica tiene un buen nivel de aceptación en cada una de las parroquias consideradas; la </w:t>
      </w:r>
      <w:r>
        <w:rPr>
          <w:b/>
          <w:bCs/>
          <w:i/>
          <w:iCs/>
          <w:u w:val="single"/>
        </w:rPr>
        <w:t>“Calificación del Servicio de Energía Eléctrica”</w:t>
      </w:r>
      <w:r>
        <w:t xml:space="preserve"> para las categorías: </w:t>
      </w:r>
      <w:r>
        <w:rPr>
          <w:b/>
          <w:bCs/>
          <w:i/>
          <w:iCs/>
        </w:rPr>
        <w:t>muy bueno</w:t>
      </w:r>
      <w:r>
        <w:t xml:space="preserve"> (entre el 2</w:t>
      </w:r>
      <w:r>
        <w:t xml:space="preserve">8% y el 46%) y </w:t>
      </w:r>
      <w:r>
        <w:rPr>
          <w:b/>
          <w:bCs/>
          <w:i/>
          <w:iCs/>
        </w:rPr>
        <w:t>bueno</w:t>
      </w:r>
      <w:r>
        <w:t xml:space="preserve"> (entre el 29% y el 43%) alcanzan mayor porcentaje que el resto de categorías.</w:t>
      </w:r>
    </w:p>
    <w:p w:rsidR="00000000" w:rsidRDefault="00A83505">
      <w:pPr>
        <w:pStyle w:val="Sangra2detindependiente"/>
        <w:ind w:hanging="360"/>
      </w:pPr>
    </w:p>
    <w:p w:rsidR="00000000" w:rsidRDefault="00A83505">
      <w:pPr>
        <w:pStyle w:val="Sangra2detindependiente"/>
        <w:ind w:hanging="360"/>
      </w:pPr>
      <w:r>
        <w:t xml:space="preserve">25. Entre el 88% y el 94% de las viviendas </w:t>
      </w:r>
      <w:r>
        <w:rPr>
          <w:b/>
          <w:bCs/>
          <w:i/>
          <w:iCs/>
        </w:rPr>
        <w:t>si</w:t>
      </w:r>
      <w:r>
        <w:t xml:space="preserve"> tienen </w:t>
      </w:r>
      <w:r>
        <w:rPr>
          <w:b/>
          <w:bCs/>
          <w:i/>
          <w:iCs/>
          <w:u w:val="single"/>
        </w:rPr>
        <w:t>“Disponibilidad de Teléfono Fijo”</w:t>
      </w:r>
      <w:r>
        <w:t xml:space="preserve"> en cada una de las parroquias; mientras que aquellas que </w:t>
      </w:r>
      <w:r>
        <w:rPr>
          <w:b/>
          <w:bCs/>
          <w:i/>
          <w:iCs/>
        </w:rPr>
        <w:t>no</w:t>
      </w:r>
      <w:r>
        <w:t xml:space="preserve"> lo tienen</w:t>
      </w:r>
      <w:r>
        <w:t>, están entre el 6% y el 12%; lo cual indica que existe un alto porcentaje de cobertura de este servicio básico.</w:t>
      </w:r>
    </w:p>
    <w:p w:rsidR="00000000" w:rsidRDefault="00A83505">
      <w:pPr>
        <w:pStyle w:val="Sangra2detindependiente"/>
        <w:ind w:hanging="360"/>
      </w:pPr>
    </w:p>
    <w:p w:rsidR="00000000" w:rsidRDefault="00A83505">
      <w:pPr>
        <w:pStyle w:val="Sangra2detindependiente"/>
        <w:ind w:hanging="360"/>
      </w:pPr>
      <w:r>
        <w:t xml:space="preserve">26. La variable </w:t>
      </w:r>
      <w:r>
        <w:rPr>
          <w:b/>
          <w:bCs/>
          <w:i/>
          <w:iCs/>
          <w:u w:val="single"/>
        </w:rPr>
        <w:t>“Suspensión del Servicio de Telefonía”</w:t>
      </w:r>
      <w:r>
        <w:t xml:space="preserve">, en todas las parroquias analizadas tiene mayor porcentaje en las categorías: </w:t>
      </w:r>
      <w:r>
        <w:rPr>
          <w:b/>
          <w:bCs/>
          <w:i/>
          <w:iCs/>
        </w:rPr>
        <w:t>nunca</w:t>
      </w:r>
      <w:r>
        <w:t xml:space="preserve"> (en</w:t>
      </w:r>
      <w:r>
        <w:t xml:space="preserve">tre el 25% y el 44%), </w:t>
      </w:r>
      <w:r>
        <w:rPr>
          <w:b/>
          <w:bCs/>
          <w:i/>
          <w:iCs/>
        </w:rPr>
        <w:t>rara vez</w:t>
      </w:r>
      <w:r>
        <w:t xml:space="preserve"> (entre el 30% y el 42%) y </w:t>
      </w:r>
      <w:r>
        <w:rPr>
          <w:b/>
          <w:bCs/>
          <w:i/>
          <w:iCs/>
        </w:rPr>
        <w:t>algunas veces</w:t>
      </w:r>
      <w:r>
        <w:t xml:space="preserve"> (entre el 10% y el 20%); mientras que en las demás categorías el porcentaje no es muy significativo.</w:t>
      </w:r>
    </w:p>
    <w:p w:rsidR="00000000" w:rsidRDefault="00A83505">
      <w:pPr>
        <w:pStyle w:val="Sangra2detindependiente"/>
        <w:ind w:hanging="360"/>
      </w:pPr>
    </w:p>
    <w:p w:rsidR="00000000" w:rsidRDefault="00A83505">
      <w:pPr>
        <w:pStyle w:val="Sangra2detindependiente"/>
        <w:ind w:hanging="360"/>
      </w:pPr>
      <w:r>
        <w:t xml:space="preserve">27. La variable </w:t>
      </w:r>
      <w:r>
        <w:rPr>
          <w:b/>
          <w:bCs/>
          <w:i/>
          <w:iCs/>
          <w:u w:val="single"/>
        </w:rPr>
        <w:t>“Cobros Injustificados en Planillas de Teléfono”</w:t>
      </w:r>
      <w:r>
        <w:t xml:space="preserve"> en todas las parro</w:t>
      </w:r>
      <w:r>
        <w:t xml:space="preserve">quias consideradas, alcanza un mayor porcentaje en las categorías: </w:t>
      </w:r>
      <w:r>
        <w:rPr>
          <w:b/>
          <w:bCs/>
          <w:i/>
          <w:iCs/>
        </w:rPr>
        <w:t>rara vez</w:t>
      </w:r>
      <w:r>
        <w:t xml:space="preserve"> (entre el 30% y el 40%), </w:t>
      </w:r>
      <w:r>
        <w:rPr>
          <w:b/>
          <w:bCs/>
          <w:i/>
          <w:iCs/>
        </w:rPr>
        <w:t>nunca</w:t>
      </w:r>
      <w:r>
        <w:t xml:space="preserve"> (entre el 25% y el 40%), y </w:t>
      </w:r>
      <w:r>
        <w:rPr>
          <w:b/>
          <w:bCs/>
          <w:i/>
          <w:iCs/>
        </w:rPr>
        <w:t>algunas veces</w:t>
      </w:r>
      <w:r>
        <w:t xml:space="preserve"> (entre el 13% y el 22%); mientras que el resto de las categorías están entre el 2% y el 9%.</w:t>
      </w:r>
    </w:p>
    <w:p w:rsidR="00000000" w:rsidRDefault="00A83505">
      <w:pPr>
        <w:pStyle w:val="Sangra2detindependiente"/>
        <w:ind w:hanging="360"/>
      </w:pPr>
      <w:r>
        <w:lastRenderedPageBreak/>
        <w:t xml:space="preserve">28. El </w:t>
      </w:r>
      <w:r>
        <w:rPr>
          <w:b/>
          <w:bCs/>
          <w:i/>
          <w:iCs/>
          <w:u w:val="single"/>
        </w:rPr>
        <w:t xml:space="preserve">“Retraso </w:t>
      </w:r>
      <w:r>
        <w:rPr>
          <w:b/>
          <w:bCs/>
          <w:i/>
          <w:iCs/>
          <w:u w:val="single"/>
        </w:rPr>
        <w:t>en la Entrega de Planillas de Teléfono”</w:t>
      </w:r>
      <w:r>
        <w:t xml:space="preserve"> tiene mayor porcentaje en las categorías: </w:t>
      </w:r>
      <w:r>
        <w:rPr>
          <w:b/>
          <w:bCs/>
          <w:i/>
          <w:iCs/>
        </w:rPr>
        <w:t>nunca</w:t>
      </w:r>
      <w:r>
        <w:t xml:space="preserve"> y </w:t>
      </w:r>
      <w:r>
        <w:rPr>
          <w:b/>
          <w:bCs/>
          <w:i/>
          <w:iCs/>
        </w:rPr>
        <w:t>rara vez</w:t>
      </w:r>
      <w:r>
        <w:t xml:space="preserve"> (Ayacucho: 25.27%, 28.57%; Bolívar:29.41%,35.29%, Olmedo: 31.71%, 29.27%; P. Carbo: 23.68%, 44.74%; Roca:52%, 26% y Rocafuerte: 34.38%, 32.81%); mientras que</w:t>
      </w:r>
      <w:r>
        <w:t xml:space="preserve"> el resto de categorías están entre el 2% y el 14%.</w:t>
      </w:r>
    </w:p>
    <w:p w:rsidR="00000000" w:rsidRDefault="00A83505">
      <w:pPr>
        <w:pStyle w:val="Sangra2detindependiente"/>
        <w:ind w:hanging="360"/>
      </w:pPr>
    </w:p>
    <w:p w:rsidR="00000000" w:rsidRDefault="00A83505">
      <w:pPr>
        <w:pStyle w:val="Sangra2detindependiente"/>
        <w:ind w:hanging="360"/>
      </w:pPr>
      <w:r>
        <w:t xml:space="preserve">29. La </w:t>
      </w:r>
      <w:r>
        <w:rPr>
          <w:b/>
          <w:bCs/>
          <w:i/>
          <w:iCs/>
          <w:u w:val="single"/>
        </w:rPr>
        <w:t>“Falta de Atención a Reclamos presentados por los Usuarios del Servicio de Telefonía”</w:t>
      </w:r>
      <w:r>
        <w:t xml:space="preserve"> es un problema que no ha mejorado, pues las categorías: </w:t>
      </w:r>
      <w:r>
        <w:rPr>
          <w:b/>
          <w:bCs/>
          <w:i/>
          <w:iCs/>
        </w:rPr>
        <w:t>rara vez</w:t>
      </w:r>
      <w:r>
        <w:t xml:space="preserve"> (entre el 24% y el 36%) y </w:t>
      </w:r>
      <w:r>
        <w:rPr>
          <w:b/>
          <w:bCs/>
          <w:i/>
          <w:iCs/>
        </w:rPr>
        <w:t>algunas veces</w:t>
      </w:r>
      <w:r>
        <w:t xml:space="preserve"> (entr</w:t>
      </w:r>
      <w:r>
        <w:t>e el 14% y el 27%) alcanzan porcentajes significativos en cada una de las parroquias consideradas.</w:t>
      </w:r>
    </w:p>
    <w:p w:rsidR="00000000" w:rsidRDefault="00A83505">
      <w:pPr>
        <w:pStyle w:val="Sangra2detindependiente"/>
        <w:ind w:hanging="360"/>
      </w:pPr>
    </w:p>
    <w:p w:rsidR="00000000" w:rsidRDefault="00A83505">
      <w:pPr>
        <w:pStyle w:val="Sangra2detindependiente"/>
        <w:ind w:hanging="360"/>
      </w:pPr>
      <w:r>
        <w:t xml:space="preserve">30. En todas las parroquias analizadas, entre el 10% y el 18% de las personas </w:t>
      </w:r>
      <w:r>
        <w:rPr>
          <w:b/>
          <w:bCs/>
          <w:i/>
          <w:iCs/>
        </w:rPr>
        <w:t xml:space="preserve">si </w:t>
      </w:r>
      <w:r>
        <w:t xml:space="preserve">han hecho </w:t>
      </w:r>
      <w:r>
        <w:rPr>
          <w:b/>
          <w:bCs/>
          <w:i/>
          <w:iCs/>
          <w:u w:val="single"/>
        </w:rPr>
        <w:t>“Presentación de Reclamos a la Empresa de Teléfono”</w:t>
      </w:r>
      <w:r>
        <w:t>; mientras que</w:t>
      </w:r>
      <w:r>
        <w:t xml:space="preserve"> entre el 82 % y 89 % </w:t>
      </w:r>
      <w:r>
        <w:rPr>
          <w:b/>
          <w:bCs/>
          <w:i/>
          <w:iCs/>
        </w:rPr>
        <w:t>no</w:t>
      </w:r>
      <w:r>
        <w:t xml:space="preserve"> lo han hecho.</w:t>
      </w:r>
    </w:p>
    <w:p w:rsidR="00000000" w:rsidRDefault="00A83505">
      <w:pPr>
        <w:pStyle w:val="Sangra2detindependiente"/>
        <w:ind w:hanging="360"/>
      </w:pPr>
    </w:p>
    <w:p w:rsidR="00000000" w:rsidRDefault="00A83505">
      <w:pPr>
        <w:pStyle w:val="Sangra2detindependiente"/>
        <w:ind w:hanging="360"/>
      </w:pPr>
      <w:r>
        <w:t xml:space="preserve">31. De las personas que han presentado reclamos a la empresa de telefonía, en las parroquias: Bolívar y Rocafuerte entre el 60% y el 63% de las personas </w:t>
      </w:r>
      <w:r>
        <w:rPr>
          <w:b/>
          <w:bCs/>
          <w:i/>
          <w:iCs/>
        </w:rPr>
        <w:t xml:space="preserve">si </w:t>
      </w:r>
      <w:r>
        <w:t xml:space="preserve">han tenido </w:t>
      </w:r>
      <w:r>
        <w:rPr>
          <w:b/>
          <w:bCs/>
          <w:i/>
          <w:iCs/>
          <w:u w:val="single"/>
        </w:rPr>
        <w:t>“Solución a Reclamos de Telefonía Fija”</w:t>
      </w:r>
      <w:r>
        <w:t>, mientras</w:t>
      </w:r>
      <w:r>
        <w:t xml:space="preserve"> que en las parroquias: Ayacucho, Olmedo y P. Carbo entre el 25% y el 43%  </w:t>
      </w:r>
      <w:r>
        <w:rPr>
          <w:b/>
          <w:bCs/>
          <w:i/>
          <w:iCs/>
        </w:rPr>
        <w:t>no</w:t>
      </w:r>
      <w:r>
        <w:t xml:space="preserve"> han solucionado sus reclamos; en la parroquia Roca el 50% sí lo ha hecho.</w:t>
      </w:r>
    </w:p>
    <w:p w:rsidR="00000000" w:rsidRDefault="00A83505">
      <w:pPr>
        <w:pStyle w:val="Sangra2detindependiente"/>
        <w:ind w:hanging="360"/>
      </w:pPr>
      <w:r>
        <w:lastRenderedPageBreak/>
        <w:t xml:space="preserve">32. La </w:t>
      </w:r>
      <w:r>
        <w:rPr>
          <w:b/>
          <w:bCs/>
          <w:i/>
          <w:iCs/>
          <w:u w:val="single"/>
        </w:rPr>
        <w:t>“Calificación del Servicio de Telefonía Fija”</w:t>
      </w:r>
      <w:r>
        <w:t xml:space="preserve"> para todas las parroquias estudiadas no tiene un al</w:t>
      </w:r>
      <w:r>
        <w:t xml:space="preserve">to nivel de aceptación, puesto que las categorías: </w:t>
      </w:r>
      <w:r>
        <w:rPr>
          <w:b/>
          <w:bCs/>
          <w:i/>
          <w:iCs/>
        </w:rPr>
        <w:t>regular</w:t>
      </w:r>
      <w:r>
        <w:t xml:space="preserve"> (entre el 20% y el 29%), </w:t>
      </w:r>
      <w:r>
        <w:rPr>
          <w:b/>
          <w:bCs/>
          <w:i/>
          <w:iCs/>
        </w:rPr>
        <w:t>malo</w:t>
      </w:r>
      <w:r>
        <w:t xml:space="preserve"> (entre el 12% y el 22%) tienen proporciones significativas, mientras que la categoría </w:t>
      </w:r>
      <w:r>
        <w:rPr>
          <w:b/>
          <w:bCs/>
          <w:i/>
          <w:iCs/>
        </w:rPr>
        <w:t>bueno</w:t>
      </w:r>
      <w:r>
        <w:t xml:space="preserve"> está entre 22% y el 34%.</w:t>
      </w:r>
    </w:p>
    <w:p w:rsidR="00000000" w:rsidRDefault="00A83505">
      <w:pPr>
        <w:pStyle w:val="Sangra2detindependiente"/>
        <w:ind w:hanging="360"/>
      </w:pPr>
    </w:p>
    <w:p w:rsidR="00000000" w:rsidRDefault="00A83505">
      <w:pPr>
        <w:pStyle w:val="Sangra2detindependiente"/>
        <w:ind w:hanging="360"/>
      </w:pPr>
      <w:r>
        <w:t xml:space="preserve">33. El </w:t>
      </w:r>
      <w:r>
        <w:rPr>
          <w:b/>
          <w:bCs/>
          <w:i/>
          <w:iCs/>
          <w:u w:val="single"/>
        </w:rPr>
        <w:t>“Sistema de Eliminación de la Basura”</w:t>
      </w:r>
      <w:r>
        <w:t xml:space="preserve"> en g</w:t>
      </w:r>
      <w:r>
        <w:t xml:space="preserve">eneral para cada parroquia considerada tiene un alto porcentaje en la categoría: </w:t>
      </w:r>
      <w:r>
        <w:rPr>
          <w:b/>
          <w:bCs/>
          <w:i/>
          <w:iCs/>
        </w:rPr>
        <w:t>por carro recolector</w:t>
      </w:r>
      <w:r>
        <w:t xml:space="preserve">, esta categoría alcanza aproximadamente entre el 98 % y el 100 %. de cobertura, mientras que la categoría </w:t>
      </w:r>
      <w:r>
        <w:rPr>
          <w:b/>
          <w:bCs/>
          <w:i/>
          <w:iCs/>
        </w:rPr>
        <w:t>otra forma</w:t>
      </w:r>
      <w:r>
        <w:t xml:space="preserve"> está entre el 1% y el 2%</w:t>
      </w:r>
    </w:p>
    <w:p w:rsidR="00000000" w:rsidRDefault="00A83505">
      <w:pPr>
        <w:pStyle w:val="Sangra2detindependiente"/>
        <w:ind w:hanging="360"/>
      </w:pPr>
    </w:p>
    <w:p w:rsidR="00000000" w:rsidRDefault="00A83505">
      <w:pPr>
        <w:pStyle w:val="Sangra2detindependiente"/>
        <w:ind w:hanging="360"/>
      </w:pPr>
      <w:r>
        <w:t>34. Entre e</w:t>
      </w:r>
      <w:r>
        <w:t xml:space="preserve">l 30% y el 48% de las personas entrevistadas </w:t>
      </w:r>
      <w:r>
        <w:rPr>
          <w:b/>
          <w:bCs/>
          <w:i/>
          <w:iCs/>
        </w:rPr>
        <w:t>nunca</w:t>
      </w:r>
      <w:r>
        <w:t xml:space="preserve"> han observado </w:t>
      </w:r>
      <w:r>
        <w:rPr>
          <w:b/>
          <w:bCs/>
          <w:i/>
          <w:iCs/>
          <w:u w:val="single"/>
        </w:rPr>
        <w:t>“Incumplimiento en Horario de Recolección de Basura”</w:t>
      </w:r>
      <w:r>
        <w:t xml:space="preserve">; mientras que entre el 20% y el 37% </w:t>
      </w:r>
      <w:r>
        <w:rPr>
          <w:b/>
          <w:bCs/>
          <w:i/>
          <w:iCs/>
        </w:rPr>
        <w:t>rara vez</w:t>
      </w:r>
      <w:r>
        <w:t>; el resto de las categorías tienen porcentajes limitados en cada parroquia analizada.</w:t>
      </w:r>
    </w:p>
    <w:p w:rsidR="00000000" w:rsidRDefault="00A83505">
      <w:pPr>
        <w:pStyle w:val="Sangra2detindependiente"/>
        <w:ind w:hanging="360"/>
      </w:pPr>
    </w:p>
    <w:p w:rsidR="00000000" w:rsidRDefault="00A83505">
      <w:pPr>
        <w:pStyle w:val="Sangra2detindependiente"/>
        <w:ind w:hanging="360"/>
      </w:pPr>
      <w:r>
        <w:t>35. La</w:t>
      </w:r>
      <w:r>
        <w:t xml:space="preserve"> variable </w:t>
      </w:r>
      <w:r>
        <w:rPr>
          <w:b/>
          <w:bCs/>
          <w:i/>
          <w:iCs/>
          <w:u w:val="single"/>
        </w:rPr>
        <w:t>“Acumulación de Basura en las Calles”</w:t>
      </w:r>
      <w:r>
        <w:t xml:space="preserve"> tiene mayor porcentaje en las categorías: </w:t>
      </w:r>
      <w:r>
        <w:rPr>
          <w:b/>
          <w:bCs/>
          <w:i/>
          <w:iCs/>
        </w:rPr>
        <w:t>nunca</w:t>
      </w:r>
      <w:r>
        <w:t xml:space="preserve"> (entre el 50% y el 58%) y </w:t>
      </w:r>
      <w:r>
        <w:rPr>
          <w:b/>
          <w:bCs/>
          <w:i/>
          <w:iCs/>
        </w:rPr>
        <w:t>rara vez</w:t>
      </w:r>
      <w:r>
        <w:t xml:space="preserve"> (entre el 25% y el 33%); las demás categorías tienen porcentajes menos significativos, lo cual nos permite concluir que la fr</w:t>
      </w:r>
      <w:r>
        <w:t>ecuencia de este problema ha decrecido en la actualidad.</w:t>
      </w:r>
    </w:p>
    <w:p w:rsidR="00000000" w:rsidRDefault="00A83505">
      <w:pPr>
        <w:pStyle w:val="Sangra2detindependiente"/>
        <w:ind w:hanging="360"/>
      </w:pPr>
      <w:r>
        <w:lastRenderedPageBreak/>
        <w:t xml:space="preserve">36. La variable </w:t>
      </w:r>
      <w:r>
        <w:rPr>
          <w:b/>
          <w:bCs/>
          <w:i/>
          <w:iCs/>
          <w:u w:val="single"/>
        </w:rPr>
        <w:t>“No Recoge toda la Basura el Carro Recolector”</w:t>
      </w:r>
      <w:r>
        <w:t xml:space="preserve"> para las parroquias investigadas, tiene mayor porcentaje en las categorías: </w:t>
      </w:r>
      <w:r>
        <w:rPr>
          <w:b/>
          <w:bCs/>
          <w:i/>
          <w:iCs/>
        </w:rPr>
        <w:t>nunca</w:t>
      </w:r>
      <w:r>
        <w:t xml:space="preserve"> (entre el 40% y el 68%) y </w:t>
      </w:r>
      <w:r>
        <w:rPr>
          <w:b/>
          <w:bCs/>
          <w:i/>
          <w:iCs/>
        </w:rPr>
        <w:t>rara vez</w:t>
      </w:r>
      <w:r>
        <w:t xml:space="preserve"> (entre el 20% y el </w:t>
      </w:r>
      <w:r>
        <w:t>35%); mientras que en el resto de categorías el porcentaje es menor a 12%.</w:t>
      </w:r>
    </w:p>
    <w:p w:rsidR="00000000" w:rsidRDefault="00A83505">
      <w:pPr>
        <w:pStyle w:val="Sangra2detindependiente"/>
        <w:ind w:hanging="360"/>
      </w:pPr>
    </w:p>
    <w:p w:rsidR="00000000" w:rsidRDefault="00A83505">
      <w:pPr>
        <w:pStyle w:val="Sangra2detindependiente"/>
        <w:ind w:hanging="360"/>
      </w:pPr>
      <w:r>
        <w:t xml:space="preserve">37. En las parroquias: Bolívar, P. Carbo, Roca y Rocafuerte el 100% de las personas entrevistadas </w:t>
      </w:r>
      <w:r>
        <w:rPr>
          <w:b/>
          <w:bCs/>
          <w:i/>
          <w:iCs/>
        </w:rPr>
        <w:t>no</w:t>
      </w:r>
      <w:r>
        <w:t xml:space="preserve"> han hecho </w:t>
      </w:r>
      <w:r>
        <w:rPr>
          <w:b/>
          <w:bCs/>
          <w:i/>
          <w:iCs/>
          <w:u w:val="single"/>
        </w:rPr>
        <w:t>“Presentación de Reclamos a la Empresa de Recolección de Basura”</w:t>
      </w:r>
      <w:r>
        <w:t>; mie</w:t>
      </w:r>
      <w:r>
        <w:t xml:space="preserve">ntras que en las parroquias: Ayacucho y Olmedo el 1,03% y el 2,13% respectivamente </w:t>
      </w:r>
      <w:r>
        <w:rPr>
          <w:b/>
          <w:bCs/>
          <w:i/>
          <w:iCs/>
        </w:rPr>
        <w:t xml:space="preserve">si </w:t>
      </w:r>
      <w:r>
        <w:t>lo han hecho.</w:t>
      </w:r>
    </w:p>
    <w:p w:rsidR="00000000" w:rsidRDefault="00A83505">
      <w:pPr>
        <w:pStyle w:val="Sangra2detindependiente"/>
        <w:ind w:hanging="360"/>
      </w:pPr>
    </w:p>
    <w:p w:rsidR="00000000" w:rsidRDefault="00A83505">
      <w:pPr>
        <w:pStyle w:val="Sangra2detindependiente"/>
        <w:ind w:hanging="360"/>
      </w:pPr>
      <w:r>
        <w:t xml:space="preserve">38. Tanto en la parroquia Ayacucho y Olmedo solamente hubo un reclamo, la persona que presentó reclamos en la parroquia Ayacucho </w:t>
      </w:r>
      <w:r>
        <w:rPr>
          <w:b/>
          <w:bCs/>
          <w:i/>
          <w:iCs/>
        </w:rPr>
        <w:t>no</w:t>
      </w:r>
      <w:r>
        <w:t xml:space="preserve"> tuvo </w:t>
      </w:r>
      <w:r>
        <w:rPr>
          <w:b/>
          <w:bCs/>
          <w:i/>
          <w:iCs/>
          <w:u w:val="single"/>
        </w:rPr>
        <w:t>“Solución de Recla</w:t>
      </w:r>
      <w:r>
        <w:rPr>
          <w:b/>
          <w:bCs/>
          <w:i/>
          <w:iCs/>
          <w:u w:val="single"/>
        </w:rPr>
        <w:t>mos por el servicio de Recolección de Basura”</w:t>
      </w:r>
      <w:r>
        <w:rPr>
          <w:u w:val="single"/>
        </w:rPr>
        <w:t>;</w:t>
      </w:r>
      <w:r>
        <w:t xml:space="preserve"> mientras que el reclamo que se presentó en la parroquia Olmedo, </w:t>
      </w:r>
      <w:r>
        <w:rPr>
          <w:b/>
          <w:bCs/>
          <w:i/>
          <w:iCs/>
        </w:rPr>
        <w:t>si</w:t>
      </w:r>
      <w:r>
        <w:t xml:space="preserve"> tuvo solución.</w:t>
      </w:r>
    </w:p>
    <w:p w:rsidR="00000000" w:rsidRDefault="00A83505">
      <w:pPr>
        <w:pStyle w:val="Sangra2detindependiente"/>
        <w:ind w:hanging="360"/>
      </w:pPr>
    </w:p>
    <w:p w:rsidR="00000000" w:rsidRDefault="00A83505">
      <w:pPr>
        <w:pStyle w:val="Sangra2detindependiente"/>
        <w:ind w:hanging="360"/>
      </w:pPr>
      <w:r>
        <w:t>39. El servicio de recolección de basura en general, es uno de los servicios básicos mejor atendido en todas las parroquias, p</w:t>
      </w:r>
      <w:r>
        <w:t xml:space="preserve">uesto que la </w:t>
      </w:r>
      <w:r>
        <w:rPr>
          <w:b/>
          <w:bCs/>
          <w:i/>
          <w:iCs/>
          <w:u w:val="single"/>
        </w:rPr>
        <w:t>“Calificación del Servicio de Recolección de Basura”</w:t>
      </w:r>
      <w:r>
        <w:t xml:space="preserve"> alcanza un mayor porcentaje en las categorías </w:t>
      </w:r>
      <w:r>
        <w:rPr>
          <w:b/>
          <w:bCs/>
          <w:i/>
          <w:iCs/>
        </w:rPr>
        <w:t>muy bueno</w:t>
      </w:r>
      <w:r>
        <w:t xml:space="preserve"> (entre el 50% y el 65%) y </w:t>
      </w:r>
      <w:r>
        <w:rPr>
          <w:b/>
          <w:bCs/>
          <w:i/>
          <w:iCs/>
        </w:rPr>
        <w:t>bueno</w:t>
      </w:r>
      <w:r>
        <w:t xml:space="preserve"> (entre el 28% y el 40%).</w:t>
      </w:r>
    </w:p>
    <w:p w:rsidR="00000000" w:rsidRDefault="00A83505">
      <w:pPr>
        <w:pStyle w:val="Sangra2detindependiente"/>
        <w:ind w:hanging="360"/>
      </w:pPr>
      <w:r>
        <w:lastRenderedPageBreak/>
        <w:t>40. La mayoría de las personas entrevistadas en cada una de las parroquias es</w:t>
      </w:r>
      <w:r>
        <w:t xml:space="preserve">tudiadas (entre el 50% y el 70%), consideran que el </w:t>
      </w:r>
      <w:r>
        <w:rPr>
          <w:b/>
          <w:bCs/>
          <w:i/>
          <w:iCs/>
          <w:u w:val="single"/>
        </w:rPr>
        <w:t>“Nivel de Ingreso Mensual de todos los Perceptores de Ingresos en la Vivienda”</w:t>
      </w:r>
      <w:r>
        <w:rPr>
          <w:b/>
          <w:bCs/>
          <w:i/>
          <w:iCs/>
        </w:rPr>
        <w:t xml:space="preserve"> </w:t>
      </w:r>
      <w:r>
        <w:t xml:space="preserve"> se ubica en la categoría: </w:t>
      </w:r>
      <w:r>
        <w:rPr>
          <w:b/>
          <w:bCs/>
          <w:i/>
          <w:iCs/>
        </w:rPr>
        <w:t>entre $100 y $300</w:t>
      </w:r>
      <w:r>
        <w:t xml:space="preserve">, seguido de la categoría: </w:t>
      </w:r>
      <w:r>
        <w:rPr>
          <w:b/>
          <w:bCs/>
          <w:i/>
          <w:iCs/>
        </w:rPr>
        <w:t>menos de $100</w:t>
      </w:r>
      <w:r>
        <w:t xml:space="preserve"> (entre el25% y 40%).</w:t>
      </w:r>
    </w:p>
    <w:p w:rsidR="00000000" w:rsidRDefault="00A83505">
      <w:pPr>
        <w:pStyle w:val="Sangra2detindependiente"/>
      </w:pPr>
    </w:p>
    <w:p w:rsidR="00000000" w:rsidRDefault="00A83505">
      <w:pPr>
        <w:pStyle w:val="Sangra2detindependiente"/>
      </w:pPr>
      <w:r>
        <w:t>De acuerdo a los r</w:t>
      </w:r>
      <w:r>
        <w:t xml:space="preserve">esultados de la Tabla LI obtenidos del </w:t>
      </w:r>
      <w:r>
        <w:rPr>
          <w:b/>
          <w:bCs/>
        </w:rPr>
        <w:t>Análisis de Homogeneidad</w:t>
      </w:r>
      <w:r>
        <w:t xml:space="preserve"> se puede concluir que:</w:t>
      </w:r>
    </w:p>
    <w:p w:rsidR="00000000" w:rsidRDefault="00A83505">
      <w:pPr>
        <w:pStyle w:val="Sangra2detindependiente"/>
      </w:pPr>
    </w:p>
    <w:p w:rsidR="00000000" w:rsidRDefault="00A83505">
      <w:pPr>
        <w:pStyle w:val="Sangra2detindependiente"/>
        <w:ind w:hanging="360"/>
      </w:pPr>
      <w:r>
        <w:t xml:space="preserve">1.  El mayor número de casos califica al servicio de </w:t>
      </w:r>
      <w:r>
        <w:rPr>
          <w:b/>
          <w:bCs/>
          <w:i/>
          <w:iCs/>
          <w:u w:val="single"/>
        </w:rPr>
        <w:t>“Agua Potable”</w:t>
      </w:r>
      <w:r>
        <w:rPr>
          <w:b/>
          <w:bCs/>
        </w:rPr>
        <w:t xml:space="preserve"> </w:t>
      </w:r>
      <w:r>
        <w:t xml:space="preserve">como </w:t>
      </w:r>
      <w:r>
        <w:rPr>
          <w:b/>
          <w:bCs/>
          <w:i/>
          <w:iCs/>
        </w:rPr>
        <w:t>Muy Bueno</w:t>
      </w:r>
      <w:r>
        <w:t xml:space="preserve"> a las parroquias: Roca y Rocafuerte; como </w:t>
      </w:r>
      <w:r>
        <w:rPr>
          <w:b/>
          <w:bCs/>
          <w:i/>
          <w:iCs/>
        </w:rPr>
        <w:t>Bueno</w:t>
      </w:r>
      <w:r>
        <w:t xml:space="preserve"> a las parroquias: Bolívar y P. Carbo;</w:t>
      </w:r>
      <w:r>
        <w:t xml:space="preserve"> y como </w:t>
      </w:r>
      <w:r>
        <w:rPr>
          <w:b/>
          <w:bCs/>
          <w:i/>
          <w:iCs/>
        </w:rPr>
        <w:t>Regular</w:t>
      </w:r>
      <w:r>
        <w:t xml:space="preserve"> a las parroquias: Ayacucho y Olmedo.</w:t>
      </w:r>
    </w:p>
    <w:p w:rsidR="00000000" w:rsidRDefault="00A83505">
      <w:pPr>
        <w:pStyle w:val="Sangra2detindependiente"/>
        <w:ind w:hanging="360"/>
      </w:pPr>
    </w:p>
    <w:p w:rsidR="00000000" w:rsidRDefault="00A83505">
      <w:pPr>
        <w:pStyle w:val="Sangra2detindependiente"/>
        <w:ind w:hanging="360"/>
      </w:pPr>
      <w:r>
        <w:t xml:space="preserve">2.  El mayor número de casos califica al servicio de </w:t>
      </w:r>
      <w:r>
        <w:rPr>
          <w:b/>
          <w:bCs/>
          <w:i/>
          <w:iCs/>
          <w:u w:val="single"/>
        </w:rPr>
        <w:t>“Alcantarillado Sanitario”</w:t>
      </w:r>
      <w:r>
        <w:rPr>
          <w:b/>
          <w:bCs/>
        </w:rPr>
        <w:t xml:space="preserve"> </w:t>
      </w:r>
      <w:r>
        <w:t xml:space="preserve">como </w:t>
      </w:r>
      <w:r>
        <w:rPr>
          <w:b/>
          <w:bCs/>
          <w:i/>
          <w:iCs/>
        </w:rPr>
        <w:t>Muy Bueno</w:t>
      </w:r>
      <w:r>
        <w:t xml:space="preserve"> a la parroquia: Rocafuerte; como </w:t>
      </w:r>
      <w:r>
        <w:rPr>
          <w:b/>
          <w:bCs/>
          <w:i/>
          <w:iCs/>
        </w:rPr>
        <w:t>Bueno</w:t>
      </w:r>
      <w:r>
        <w:t xml:space="preserve"> a las parroquias: Bolívar y Olmedo; como </w:t>
      </w:r>
      <w:r>
        <w:rPr>
          <w:b/>
          <w:bCs/>
          <w:i/>
          <w:iCs/>
        </w:rPr>
        <w:t>Regular</w:t>
      </w:r>
      <w:r>
        <w:t xml:space="preserve"> a las parroquias: P</w:t>
      </w:r>
      <w:r>
        <w:t xml:space="preserve">. Carbo y Roca; y como </w:t>
      </w:r>
      <w:r>
        <w:rPr>
          <w:b/>
          <w:bCs/>
          <w:i/>
          <w:iCs/>
        </w:rPr>
        <w:t>Muy Malo</w:t>
      </w:r>
      <w:r>
        <w:t xml:space="preserve"> a la parroquia Ayacucho..</w:t>
      </w:r>
    </w:p>
    <w:p w:rsidR="00000000" w:rsidRDefault="00A83505">
      <w:pPr>
        <w:pStyle w:val="Sangra2detindependiente"/>
        <w:ind w:hanging="360"/>
      </w:pPr>
    </w:p>
    <w:p w:rsidR="00000000" w:rsidRDefault="00A83505">
      <w:pPr>
        <w:pStyle w:val="Sangra2detindependiente"/>
        <w:ind w:hanging="360"/>
      </w:pPr>
      <w:r>
        <w:t xml:space="preserve">3.  El mayor número de casos califica al servicio de </w:t>
      </w:r>
      <w:r>
        <w:rPr>
          <w:b/>
          <w:bCs/>
          <w:i/>
          <w:iCs/>
          <w:u w:val="single"/>
        </w:rPr>
        <w:t>“Energía Eléctrica”</w:t>
      </w:r>
      <w:r>
        <w:rPr>
          <w:b/>
          <w:bCs/>
        </w:rPr>
        <w:t xml:space="preserve"> </w:t>
      </w:r>
      <w:r>
        <w:t xml:space="preserve">como </w:t>
      </w:r>
      <w:r>
        <w:rPr>
          <w:b/>
          <w:bCs/>
          <w:i/>
          <w:iCs/>
        </w:rPr>
        <w:t>Muy Bueno</w:t>
      </w:r>
      <w:r>
        <w:t xml:space="preserve"> a las parroquias: Roca y Rocafuerte; y como </w:t>
      </w:r>
      <w:r>
        <w:rPr>
          <w:b/>
          <w:bCs/>
          <w:i/>
          <w:iCs/>
        </w:rPr>
        <w:t>Bueno</w:t>
      </w:r>
      <w:r>
        <w:t xml:space="preserve"> a las parroquias: Ayacucho, Bolívar, Olmedo y P. Carbo.</w:t>
      </w:r>
    </w:p>
    <w:p w:rsidR="00000000" w:rsidRDefault="00A83505">
      <w:pPr>
        <w:pStyle w:val="Sangra2detindependiente"/>
        <w:ind w:hanging="360"/>
      </w:pPr>
      <w:r>
        <w:lastRenderedPageBreak/>
        <w:t xml:space="preserve">4. </w:t>
      </w:r>
      <w:r>
        <w:t xml:space="preserve"> El mayor número de casos califica al servicio de </w:t>
      </w:r>
      <w:r>
        <w:rPr>
          <w:b/>
          <w:bCs/>
          <w:i/>
          <w:iCs/>
          <w:u w:val="single"/>
        </w:rPr>
        <w:t>“Telefonía Fija”</w:t>
      </w:r>
      <w:r>
        <w:rPr>
          <w:b/>
          <w:bCs/>
        </w:rPr>
        <w:t xml:space="preserve"> </w:t>
      </w:r>
      <w:r>
        <w:t xml:space="preserve">como </w:t>
      </w:r>
      <w:r>
        <w:rPr>
          <w:b/>
          <w:bCs/>
          <w:i/>
          <w:iCs/>
        </w:rPr>
        <w:t>Muy Bueno</w:t>
      </w:r>
      <w:r>
        <w:t xml:space="preserve"> a la parroquia: Bolívar; como </w:t>
      </w:r>
      <w:r>
        <w:rPr>
          <w:b/>
          <w:bCs/>
          <w:i/>
          <w:iCs/>
        </w:rPr>
        <w:t>Bueno</w:t>
      </w:r>
      <w:r>
        <w:t xml:space="preserve"> a las parroquias: Olmedo y Roca; como </w:t>
      </w:r>
      <w:r>
        <w:rPr>
          <w:b/>
          <w:bCs/>
          <w:i/>
          <w:iCs/>
        </w:rPr>
        <w:t>Malo</w:t>
      </w:r>
      <w:r>
        <w:t xml:space="preserve"> a la parroquia: Ayacucho; y como </w:t>
      </w:r>
      <w:r>
        <w:rPr>
          <w:b/>
          <w:bCs/>
          <w:i/>
          <w:iCs/>
        </w:rPr>
        <w:t>Muy Malo</w:t>
      </w:r>
      <w:r>
        <w:t xml:space="preserve"> a las parroquias: P. Carbo y Rocafuerte.</w:t>
      </w:r>
    </w:p>
    <w:p w:rsidR="00000000" w:rsidRDefault="00A83505">
      <w:pPr>
        <w:pStyle w:val="Sangra2detindependiente"/>
        <w:ind w:hanging="360"/>
      </w:pPr>
    </w:p>
    <w:p w:rsidR="00000000" w:rsidRDefault="00A83505">
      <w:pPr>
        <w:pStyle w:val="Sangra2detindependiente"/>
        <w:ind w:hanging="360"/>
      </w:pPr>
      <w:r>
        <w:t>5.  El mayo</w:t>
      </w:r>
      <w:r>
        <w:t xml:space="preserve">r número de casos califica al servicio de </w:t>
      </w:r>
      <w:r>
        <w:rPr>
          <w:b/>
          <w:bCs/>
          <w:i/>
          <w:iCs/>
          <w:u w:val="single"/>
        </w:rPr>
        <w:t>“Recolección de Basura”</w:t>
      </w:r>
      <w:r>
        <w:rPr>
          <w:b/>
          <w:bCs/>
        </w:rPr>
        <w:t xml:space="preserve"> </w:t>
      </w:r>
      <w:r>
        <w:t xml:space="preserve">como </w:t>
      </w:r>
      <w:r>
        <w:rPr>
          <w:b/>
          <w:bCs/>
          <w:i/>
          <w:iCs/>
        </w:rPr>
        <w:t>Muy Bueno</w:t>
      </w:r>
      <w:r>
        <w:t xml:space="preserve"> a las parroquias: Bolívar, Olmedo, P. Carbo y Roca; y como </w:t>
      </w:r>
      <w:r>
        <w:rPr>
          <w:b/>
          <w:bCs/>
          <w:i/>
          <w:iCs/>
        </w:rPr>
        <w:t>Bueno</w:t>
      </w:r>
      <w:r>
        <w:t xml:space="preserve"> a las parroquias: Ayacucho y Rocafuerte; </w:t>
      </w:r>
    </w:p>
    <w:p w:rsidR="00000000" w:rsidRDefault="00A83505">
      <w:pPr>
        <w:pStyle w:val="Sangra2detindependiente"/>
        <w:ind w:hanging="360"/>
      </w:pPr>
    </w:p>
    <w:p w:rsidR="00000000" w:rsidRDefault="00A83505">
      <w:pPr>
        <w:pStyle w:val="Sangra2detindependiente"/>
        <w:ind w:hanging="360"/>
      </w:pPr>
      <w:r>
        <w:t xml:space="preserve">6.  En la parroquia </w:t>
      </w:r>
      <w:r>
        <w:rPr>
          <w:b/>
          <w:bCs/>
          <w:i/>
          <w:iCs/>
          <w:u w:val="single"/>
        </w:rPr>
        <w:t>Ayacucho</w:t>
      </w:r>
      <w:r>
        <w:t>, los servicios mejor atendidos son: En</w:t>
      </w:r>
      <w:r>
        <w:t>ergía Eléctrica y Recolección de Basura; el servicio que tiene un nivel medio de satisfacción es el de Agua Potable; mientras que los servicios que tienen un bajo nivel de satisfacción son: Telefonía y Alcantarillado Sanitario.</w:t>
      </w:r>
    </w:p>
    <w:p w:rsidR="00000000" w:rsidRDefault="00A83505">
      <w:pPr>
        <w:pStyle w:val="Sangra2detindependiente"/>
        <w:ind w:hanging="360"/>
      </w:pPr>
    </w:p>
    <w:p w:rsidR="00000000" w:rsidRDefault="00A83505">
      <w:pPr>
        <w:pStyle w:val="Sangra2detindependiente"/>
        <w:ind w:hanging="360"/>
      </w:pPr>
      <w:r>
        <w:t xml:space="preserve">7.  En la parroquia </w:t>
      </w:r>
      <w:r>
        <w:rPr>
          <w:b/>
          <w:bCs/>
          <w:i/>
          <w:iCs/>
          <w:u w:val="single"/>
        </w:rPr>
        <w:t>Bolívar</w:t>
      </w:r>
      <w:r>
        <w:t>, los servicios mejor atendidos son: Telefonía y Recolección de Basura; los servicios que tienen un nivel medio de satisfacción son: Agua Potable, Alcantarillado Sanitario y Energía Eléctrica.</w:t>
      </w:r>
    </w:p>
    <w:p w:rsidR="00000000" w:rsidRDefault="00A83505">
      <w:pPr>
        <w:pStyle w:val="Sangra2detindependiente"/>
        <w:ind w:hanging="360"/>
      </w:pPr>
    </w:p>
    <w:p w:rsidR="00000000" w:rsidRDefault="00A83505">
      <w:pPr>
        <w:pStyle w:val="Sangra2detindependiente"/>
        <w:ind w:hanging="360"/>
      </w:pPr>
      <w:r>
        <w:lastRenderedPageBreak/>
        <w:t xml:space="preserve">8. En la parroquia </w:t>
      </w:r>
      <w:r>
        <w:rPr>
          <w:b/>
          <w:bCs/>
          <w:i/>
          <w:iCs/>
          <w:u w:val="single"/>
        </w:rPr>
        <w:t>Olmedo</w:t>
      </w:r>
      <w:r>
        <w:t>, el servicio mejor atendido es el de</w:t>
      </w:r>
      <w:r>
        <w:t xml:space="preserve"> Recolección de Basura; los servicios que tiene un nivel medio de satisfacción son: Alcantarillado Sanitario, Energía Eléctrica y Telefonía; mientras que el servicio que tiene un bajo nivel de satisfacción es el de Agua Potable.</w:t>
      </w:r>
    </w:p>
    <w:p w:rsidR="00000000" w:rsidRDefault="00A83505">
      <w:pPr>
        <w:pStyle w:val="Sangra2detindependiente"/>
        <w:ind w:hanging="360"/>
      </w:pPr>
    </w:p>
    <w:p w:rsidR="00000000" w:rsidRDefault="00A83505">
      <w:pPr>
        <w:pStyle w:val="Sangra2detindependiente"/>
        <w:ind w:hanging="360"/>
      </w:pPr>
      <w:r>
        <w:t xml:space="preserve">9. En la parroquia </w:t>
      </w:r>
      <w:r>
        <w:rPr>
          <w:b/>
          <w:bCs/>
          <w:i/>
          <w:iCs/>
          <w:u w:val="single"/>
        </w:rPr>
        <w:t>P. Carb</w:t>
      </w:r>
      <w:r>
        <w:rPr>
          <w:b/>
          <w:bCs/>
          <w:i/>
          <w:iCs/>
          <w:u w:val="single"/>
        </w:rPr>
        <w:t>o</w:t>
      </w:r>
      <w:r>
        <w:t>, el servicio mejor atendido es el de Recolección de Basura; los servicios que tienen un nivel medio de satisfacción son: Agua Potable y Energía Eléctrica; mientras que los servicios que tienen un bajo nivel de satisfacción son: Telefonía y Alcantarillado</w:t>
      </w:r>
      <w:r>
        <w:t xml:space="preserve"> Sanitario.</w:t>
      </w:r>
    </w:p>
    <w:p w:rsidR="00000000" w:rsidRDefault="00A83505">
      <w:pPr>
        <w:pStyle w:val="Sangra2detindependiente"/>
        <w:ind w:hanging="360"/>
      </w:pPr>
    </w:p>
    <w:p w:rsidR="00000000" w:rsidRDefault="00A83505">
      <w:pPr>
        <w:pStyle w:val="Sangra2detindependiente"/>
        <w:ind w:hanging="360"/>
      </w:pPr>
      <w:r>
        <w:t xml:space="preserve">10. En la parroquia </w:t>
      </w:r>
      <w:r>
        <w:rPr>
          <w:b/>
          <w:bCs/>
          <w:i/>
          <w:iCs/>
          <w:u w:val="single"/>
        </w:rPr>
        <w:t>Roca</w:t>
      </w:r>
      <w:r>
        <w:t>, los servicios mejor atendidos son: Agua Potable, Energía Eléctrica y Recolección de Basura; el servicio que tiene un nivel medio de satisfacción es el de Telefonía; mientras que el servicio con bajo nivel de satisfacc</w:t>
      </w:r>
      <w:r>
        <w:t>ión es el de Alcantarillado Sanitario.</w:t>
      </w:r>
    </w:p>
    <w:p w:rsidR="00000000" w:rsidRDefault="00A83505">
      <w:pPr>
        <w:pStyle w:val="Sangra2detindependiente"/>
        <w:ind w:hanging="360"/>
      </w:pPr>
    </w:p>
    <w:p w:rsidR="00000000" w:rsidRDefault="00A83505">
      <w:pPr>
        <w:pStyle w:val="Sangra2detindependiente"/>
        <w:ind w:hanging="360"/>
      </w:pPr>
      <w:r>
        <w:t xml:space="preserve">11. En la parroquia </w:t>
      </w:r>
      <w:r>
        <w:rPr>
          <w:b/>
          <w:bCs/>
          <w:i/>
          <w:iCs/>
          <w:u w:val="single"/>
        </w:rPr>
        <w:t>Rocafuerte</w:t>
      </w:r>
      <w:r>
        <w:t>, los servicios mejor atendidos son: Agua Potable, Alcantarillado Sanitario y Energía Eléctrica; el servicio que tiene un nivel medio de satisfacción es el de Recolección de Basura; mien</w:t>
      </w:r>
      <w:r>
        <w:t>tras que el servicio con bajo nivel de satisfacción es el de Telefonía.</w:t>
      </w:r>
    </w:p>
    <w:p w:rsidR="00000000" w:rsidRDefault="00A83505">
      <w:pPr>
        <w:spacing w:line="480" w:lineRule="auto"/>
        <w:ind w:firstLine="708"/>
        <w:rPr>
          <w:rFonts w:ascii="Arial" w:hAnsi="Arial" w:cs="Arial"/>
          <w:lang w:val="es-MX"/>
        </w:rPr>
      </w:pPr>
    </w:p>
    <w:p w:rsidR="00000000" w:rsidRDefault="00A83505">
      <w:pPr>
        <w:pStyle w:val="Ttulo1"/>
        <w:rPr>
          <w:sz w:val="24"/>
          <w:lang w:val="en-US"/>
        </w:rPr>
      </w:pPr>
      <w:r>
        <w:rPr>
          <w:b w:val="0"/>
          <w:bCs w:val="0"/>
          <w:noProof/>
          <w:sz w:val="20"/>
          <w:lang w:val="en-US"/>
        </w:rPr>
        <w:pict>
          <v:shapetype id="_x0000_t202" coordsize="21600,21600" o:spt="202" path="m,l,21600r21600,l21600,xe">
            <v:stroke joinstyle="miter"/>
            <v:path gradientshapeok="t" o:connecttype="rect"/>
          </v:shapetype>
          <v:shape id="_x0000_s1026" type="#_x0000_t202" style="position:absolute;left:0;text-align:left;margin-left:54pt;margin-top:26.4pt;width:315pt;height:27pt;z-index:-251658752;mso-wrap-edited:f;mso-position-horizontal-relative:margin" wrapcoords="-103 0 -103 21600 21703 21600 21703 0 -103 0" fillcolor="#0cf" strokeweight="4.5pt">
            <v:fill opacity=".5"/>
            <v:stroke linestyle="thinThick"/>
            <v:textbox style="mso-next-textbox:#_x0000_s1026">
              <w:txbxContent>
                <w:p w:rsidR="00000000" w:rsidRDefault="00A83505">
                  <w:pPr>
                    <w:pStyle w:val="Ttulo4"/>
                    <w:shd w:val="clear" w:color="auto" w:fill="auto"/>
                    <w:rPr>
                      <w:rFonts w:ascii="Arial" w:hAnsi="Arial" w:cs="Arial"/>
                      <w:lang w:val="es-ES"/>
                    </w:rPr>
                  </w:pPr>
                  <w:r>
                    <w:rPr>
                      <w:rFonts w:ascii="Arial" w:hAnsi="Arial" w:cs="Arial"/>
                      <w:lang w:val="es-ES"/>
                    </w:rPr>
                    <w:t>SOLUCIÓN HOMALS</w:t>
                  </w:r>
                </w:p>
                <w:p w:rsidR="00000000" w:rsidRDefault="00A83505">
                  <w:pPr>
                    <w:jc w:val="center"/>
                    <w:rPr>
                      <w:b/>
                      <w:bCs/>
                      <w:sz w:val="28"/>
                    </w:rPr>
                  </w:pPr>
                </w:p>
              </w:txbxContent>
            </v:textbox>
            <w10:wrap type="tight" anchorx="margin"/>
          </v:shape>
        </w:pict>
      </w:r>
      <w:r>
        <w:rPr>
          <w:sz w:val="24"/>
          <w:lang w:val="en-US"/>
        </w:rPr>
        <w:t>TABLA LI</w:t>
      </w:r>
    </w:p>
    <w:p w:rsidR="00000000" w:rsidRDefault="00A83505">
      <w:pPr>
        <w:spacing w:line="480" w:lineRule="auto"/>
        <w:rPr>
          <w:rFonts w:ascii="Arial" w:hAnsi="Arial" w:cs="Arial"/>
          <w:lang w:val="es-MX"/>
        </w:rPr>
      </w:pPr>
    </w:p>
    <w:tbl>
      <w:tblPr>
        <w:tblpPr w:leftFromText="141" w:rightFromText="141" w:vertAnchor="page" w:horzAnchor="margin" w:tblpY="4069"/>
        <w:tblW w:w="8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60"/>
        <w:gridCol w:w="1330"/>
        <w:gridCol w:w="1120"/>
        <w:gridCol w:w="1080"/>
        <w:gridCol w:w="1220"/>
        <w:gridCol w:w="900"/>
        <w:gridCol w:w="1620"/>
      </w:tblGrid>
      <w:tr w:rsidR="00000000">
        <w:tblPrEx>
          <w:tblCellMar>
            <w:top w:w="0" w:type="dxa"/>
            <w:bottom w:w="0" w:type="dxa"/>
          </w:tblCellMar>
        </w:tblPrEx>
        <w:trPr>
          <w:trHeight w:val="537"/>
        </w:trPr>
        <w:tc>
          <w:tcPr>
            <w:tcW w:w="1260" w:type="dxa"/>
            <w:shd w:val="clear" w:color="auto" w:fill="FFCC99"/>
            <w:vAlign w:val="center"/>
          </w:tcPr>
          <w:p w:rsidR="00000000" w:rsidRDefault="00A83505">
            <w:pPr>
              <w:jc w:val="center"/>
              <w:rPr>
                <w:b/>
                <w:bCs/>
                <w:sz w:val="20"/>
                <w:lang w:val="es-MX"/>
              </w:rPr>
            </w:pPr>
            <w:r>
              <w:rPr>
                <w:b/>
                <w:bCs/>
                <w:sz w:val="20"/>
                <w:lang w:val="es-MX"/>
              </w:rPr>
              <w:t>CATEG.</w:t>
            </w:r>
          </w:p>
        </w:tc>
        <w:tc>
          <w:tcPr>
            <w:tcW w:w="1330" w:type="dxa"/>
            <w:shd w:val="clear" w:color="auto" w:fill="FFCC99"/>
            <w:vAlign w:val="center"/>
          </w:tcPr>
          <w:p w:rsidR="00000000" w:rsidRDefault="00A83505">
            <w:pPr>
              <w:jc w:val="center"/>
              <w:rPr>
                <w:b/>
                <w:bCs/>
                <w:sz w:val="20"/>
                <w:lang w:val="es-MX"/>
              </w:rPr>
            </w:pPr>
            <w:r>
              <w:rPr>
                <w:b/>
                <w:bCs/>
                <w:sz w:val="20"/>
                <w:lang w:val="es-MX"/>
              </w:rPr>
              <w:t>AYACUCHO</w:t>
            </w:r>
          </w:p>
        </w:tc>
        <w:tc>
          <w:tcPr>
            <w:tcW w:w="1120" w:type="dxa"/>
            <w:shd w:val="clear" w:color="auto" w:fill="FFCC99"/>
            <w:vAlign w:val="center"/>
          </w:tcPr>
          <w:p w:rsidR="00000000" w:rsidRDefault="00A83505">
            <w:pPr>
              <w:jc w:val="center"/>
              <w:rPr>
                <w:b/>
                <w:bCs/>
                <w:sz w:val="20"/>
                <w:lang w:val="es-MX"/>
              </w:rPr>
            </w:pPr>
            <w:r>
              <w:rPr>
                <w:b/>
                <w:bCs/>
                <w:sz w:val="20"/>
                <w:lang w:val="es-MX"/>
              </w:rPr>
              <w:t>BOLÍVAR</w:t>
            </w:r>
          </w:p>
        </w:tc>
        <w:tc>
          <w:tcPr>
            <w:tcW w:w="1080" w:type="dxa"/>
            <w:shd w:val="clear" w:color="auto" w:fill="FFCC99"/>
            <w:vAlign w:val="center"/>
          </w:tcPr>
          <w:p w:rsidR="00000000" w:rsidRDefault="00A83505">
            <w:pPr>
              <w:pStyle w:val="Ttulo3"/>
              <w:framePr w:hSpace="0" w:wrap="auto" w:vAnchor="margin" w:hAnchor="text" w:yAlign="inline"/>
              <w:rPr>
                <w:rFonts w:ascii="Times New Roman" w:hAnsi="Times New Roman" w:cs="Times New Roman"/>
              </w:rPr>
            </w:pPr>
            <w:r>
              <w:rPr>
                <w:rFonts w:ascii="Times New Roman" w:hAnsi="Times New Roman" w:cs="Times New Roman"/>
              </w:rPr>
              <w:t>OLMEDO</w:t>
            </w:r>
          </w:p>
        </w:tc>
        <w:tc>
          <w:tcPr>
            <w:tcW w:w="1220" w:type="dxa"/>
            <w:shd w:val="clear" w:color="auto" w:fill="FFCC99"/>
            <w:vAlign w:val="center"/>
          </w:tcPr>
          <w:p w:rsidR="00000000" w:rsidRDefault="00A83505">
            <w:pPr>
              <w:jc w:val="center"/>
              <w:rPr>
                <w:b/>
                <w:bCs/>
                <w:sz w:val="20"/>
                <w:lang w:val="es-MX"/>
              </w:rPr>
            </w:pPr>
            <w:r>
              <w:rPr>
                <w:b/>
                <w:bCs/>
                <w:sz w:val="20"/>
                <w:lang w:val="es-MX"/>
              </w:rPr>
              <w:t>P. CARBO</w:t>
            </w:r>
          </w:p>
        </w:tc>
        <w:tc>
          <w:tcPr>
            <w:tcW w:w="900" w:type="dxa"/>
            <w:shd w:val="clear" w:color="auto" w:fill="FFCC99"/>
            <w:vAlign w:val="center"/>
          </w:tcPr>
          <w:p w:rsidR="00000000" w:rsidRDefault="00A83505">
            <w:pPr>
              <w:jc w:val="center"/>
              <w:rPr>
                <w:b/>
                <w:bCs/>
                <w:sz w:val="20"/>
                <w:lang w:val="es-MX"/>
              </w:rPr>
            </w:pPr>
            <w:r>
              <w:rPr>
                <w:b/>
                <w:bCs/>
                <w:sz w:val="20"/>
                <w:lang w:val="es-MX"/>
              </w:rPr>
              <w:t>ROCA</w:t>
            </w:r>
          </w:p>
        </w:tc>
        <w:tc>
          <w:tcPr>
            <w:tcW w:w="1620" w:type="dxa"/>
            <w:shd w:val="clear" w:color="auto" w:fill="FFCC99"/>
            <w:vAlign w:val="center"/>
          </w:tcPr>
          <w:p w:rsidR="00000000" w:rsidRDefault="00A83505">
            <w:pPr>
              <w:jc w:val="center"/>
              <w:rPr>
                <w:b/>
                <w:bCs/>
                <w:sz w:val="20"/>
                <w:lang w:val="es-MX"/>
              </w:rPr>
            </w:pPr>
            <w:r>
              <w:rPr>
                <w:b/>
                <w:bCs/>
                <w:sz w:val="20"/>
                <w:lang w:val="es-MX"/>
              </w:rPr>
              <w:t>ROCAFUERTE</w:t>
            </w:r>
          </w:p>
        </w:tc>
      </w:tr>
      <w:tr w:rsidR="00000000">
        <w:tblPrEx>
          <w:tblCellMar>
            <w:top w:w="0" w:type="dxa"/>
            <w:bottom w:w="0" w:type="dxa"/>
          </w:tblCellMar>
        </w:tblPrEx>
        <w:trPr>
          <w:trHeight w:val="1166"/>
        </w:trPr>
        <w:tc>
          <w:tcPr>
            <w:tcW w:w="1260" w:type="dxa"/>
          </w:tcPr>
          <w:p w:rsidR="00000000" w:rsidRDefault="00A83505">
            <w:pPr>
              <w:spacing w:line="360" w:lineRule="auto"/>
              <w:jc w:val="both"/>
              <w:rPr>
                <w:b/>
                <w:bCs/>
                <w:sz w:val="20"/>
                <w:lang w:val="en-US"/>
              </w:rPr>
            </w:pPr>
            <w:r>
              <w:rPr>
                <w:b/>
                <w:bCs/>
                <w:sz w:val="20"/>
                <w:lang w:val="en-US"/>
              </w:rPr>
              <w:t>CALIF_AP</w:t>
            </w:r>
          </w:p>
          <w:p w:rsidR="00000000" w:rsidRDefault="00A83505">
            <w:pPr>
              <w:spacing w:line="360" w:lineRule="auto"/>
              <w:jc w:val="both"/>
              <w:rPr>
                <w:b/>
                <w:bCs/>
                <w:sz w:val="20"/>
                <w:lang w:val="en-US"/>
              </w:rPr>
            </w:pPr>
            <w:r>
              <w:rPr>
                <w:b/>
                <w:bCs/>
                <w:sz w:val="20"/>
                <w:lang w:val="en-US"/>
              </w:rPr>
              <w:t>SUSP_AP</w:t>
            </w:r>
          </w:p>
          <w:p w:rsidR="00000000" w:rsidRDefault="00A83505">
            <w:pPr>
              <w:spacing w:line="360" w:lineRule="auto"/>
              <w:jc w:val="both"/>
              <w:rPr>
                <w:b/>
                <w:bCs/>
                <w:sz w:val="20"/>
                <w:lang w:val="en-US"/>
              </w:rPr>
            </w:pPr>
            <w:r>
              <w:rPr>
                <w:b/>
                <w:bCs/>
                <w:sz w:val="20"/>
                <w:lang w:val="en-US"/>
              </w:rPr>
              <w:t>CO_IN_AP</w:t>
            </w:r>
          </w:p>
          <w:p w:rsidR="00000000" w:rsidRDefault="00A83505">
            <w:pPr>
              <w:pStyle w:val="Ttulo2"/>
              <w:spacing w:line="360" w:lineRule="auto"/>
              <w:jc w:val="both"/>
            </w:pPr>
            <w:r>
              <w:t>RE_PL_AP</w:t>
            </w:r>
          </w:p>
          <w:p w:rsidR="00000000" w:rsidRDefault="00A83505">
            <w:pPr>
              <w:spacing w:line="360" w:lineRule="auto"/>
              <w:jc w:val="both"/>
              <w:rPr>
                <w:b/>
                <w:bCs/>
                <w:sz w:val="20"/>
                <w:lang w:val="en-US"/>
              </w:rPr>
            </w:pPr>
            <w:r>
              <w:rPr>
                <w:b/>
                <w:bCs/>
                <w:sz w:val="20"/>
                <w:lang w:val="en-US"/>
              </w:rPr>
              <w:t>FA_AT_AP</w:t>
            </w:r>
          </w:p>
        </w:tc>
        <w:tc>
          <w:tcPr>
            <w:tcW w:w="1330" w:type="dxa"/>
            <w:vAlign w:val="center"/>
          </w:tcPr>
          <w:p w:rsidR="00000000" w:rsidRDefault="00A83505">
            <w:pPr>
              <w:spacing w:line="360" w:lineRule="auto"/>
              <w:jc w:val="center"/>
              <w:rPr>
                <w:sz w:val="20"/>
                <w:lang w:val="en-US"/>
              </w:rPr>
            </w:pPr>
            <w:r>
              <w:rPr>
                <w:sz w:val="20"/>
                <w:lang w:val="en-US"/>
              </w:rPr>
              <w:t>R</w:t>
            </w:r>
          </w:p>
          <w:p w:rsidR="00000000" w:rsidRDefault="00A83505">
            <w:pPr>
              <w:spacing w:line="360" w:lineRule="auto"/>
              <w:jc w:val="center"/>
              <w:rPr>
                <w:sz w:val="20"/>
                <w:lang w:val="en-US"/>
              </w:rPr>
            </w:pPr>
            <w:r>
              <w:rPr>
                <w:sz w:val="20"/>
                <w:lang w:val="en-US"/>
              </w:rPr>
              <w:t>N</w:t>
            </w:r>
          </w:p>
          <w:p w:rsidR="00000000" w:rsidRDefault="00A83505">
            <w:pPr>
              <w:spacing w:line="360" w:lineRule="auto"/>
              <w:jc w:val="center"/>
              <w:rPr>
                <w:sz w:val="20"/>
                <w:lang w:val="en-US"/>
              </w:rPr>
            </w:pPr>
            <w:r>
              <w:rPr>
                <w:sz w:val="20"/>
                <w:lang w:val="en-US"/>
              </w:rPr>
              <w:t>N</w:t>
            </w:r>
          </w:p>
          <w:p w:rsidR="00000000" w:rsidRDefault="00A83505">
            <w:pPr>
              <w:spacing w:line="360" w:lineRule="auto"/>
              <w:jc w:val="center"/>
              <w:rPr>
                <w:sz w:val="20"/>
                <w:lang w:val="en-US"/>
              </w:rPr>
            </w:pPr>
            <w:r>
              <w:rPr>
                <w:sz w:val="20"/>
                <w:lang w:val="en-US"/>
              </w:rPr>
              <w:t>R</w:t>
            </w:r>
          </w:p>
          <w:p w:rsidR="00000000" w:rsidRDefault="00A83505">
            <w:pPr>
              <w:spacing w:line="360" w:lineRule="auto"/>
              <w:jc w:val="center"/>
              <w:rPr>
                <w:sz w:val="20"/>
                <w:lang w:val="en-US"/>
              </w:rPr>
            </w:pPr>
            <w:r>
              <w:rPr>
                <w:sz w:val="20"/>
                <w:lang w:val="en-US"/>
              </w:rPr>
              <w:t>R</w:t>
            </w:r>
          </w:p>
        </w:tc>
        <w:tc>
          <w:tcPr>
            <w:tcW w:w="1120" w:type="dxa"/>
            <w:vAlign w:val="center"/>
          </w:tcPr>
          <w:p w:rsidR="00000000" w:rsidRDefault="00A83505">
            <w:pPr>
              <w:spacing w:line="360" w:lineRule="auto"/>
              <w:jc w:val="center"/>
              <w:rPr>
                <w:sz w:val="20"/>
                <w:lang w:val="en-US"/>
              </w:rPr>
            </w:pPr>
            <w:r>
              <w:rPr>
                <w:sz w:val="20"/>
                <w:lang w:val="en-US"/>
              </w:rPr>
              <w:t>B</w:t>
            </w:r>
          </w:p>
          <w:p w:rsidR="00000000" w:rsidRDefault="00A83505">
            <w:pPr>
              <w:spacing w:line="360" w:lineRule="auto"/>
              <w:jc w:val="center"/>
              <w:rPr>
                <w:sz w:val="20"/>
                <w:lang w:val="en-US"/>
              </w:rPr>
            </w:pPr>
            <w:r>
              <w:rPr>
                <w:sz w:val="20"/>
                <w:lang w:val="en-US"/>
              </w:rPr>
              <w:t>N</w:t>
            </w:r>
          </w:p>
          <w:p w:rsidR="00000000" w:rsidRDefault="00A83505">
            <w:pPr>
              <w:spacing w:line="360" w:lineRule="auto"/>
              <w:jc w:val="center"/>
              <w:rPr>
                <w:sz w:val="20"/>
                <w:lang w:val="en-US"/>
              </w:rPr>
            </w:pPr>
            <w:r>
              <w:rPr>
                <w:sz w:val="20"/>
                <w:lang w:val="en-US"/>
              </w:rPr>
              <w:t>N</w:t>
            </w:r>
          </w:p>
          <w:p w:rsidR="00000000" w:rsidRDefault="00A83505">
            <w:pPr>
              <w:spacing w:line="360" w:lineRule="auto"/>
              <w:jc w:val="center"/>
              <w:rPr>
                <w:sz w:val="20"/>
                <w:lang w:val="en-US"/>
              </w:rPr>
            </w:pPr>
            <w:r>
              <w:rPr>
                <w:sz w:val="20"/>
                <w:lang w:val="en-US"/>
              </w:rPr>
              <w:t>A, S</w:t>
            </w:r>
          </w:p>
          <w:p w:rsidR="00000000" w:rsidRDefault="00A83505">
            <w:pPr>
              <w:spacing w:line="360" w:lineRule="auto"/>
              <w:jc w:val="center"/>
              <w:rPr>
                <w:sz w:val="20"/>
                <w:lang w:val="en-US"/>
              </w:rPr>
            </w:pPr>
            <w:r>
              <w:rPr>
                <w:sz w:val="20"/>
                <w:lang w:val="en-US"/>
              </w:rPr>
              <w:t>A</w:t>
            </w:r>
          </w:p>
        </w:tc>
        <w:tc>
          <w:tcPr>
            <w:tcW w:w="1080" w:type="dxa"/>
            <w:vAlign w:val="center"/>
          </w:tcPr>
          <w:p w:rsidR="00000000" w:rsidRDefault="00A83505">
            <w:pPr>
              <w:spacing w:line="360" w:lineRule="auto"/>
              <w:jc w:val="center"/>
              <w:rPr>
                <w:sz w:val="20"/>
                <w:lang w:val="en-US"/>
              </w:rPr>
            </w:pPr>
            <w:r>
              <w:rPr>
                <w:sz w:val="20"/>
                <w:lang w:val="en-US"/>
              </w:rPr>
              <w:t>R</w:t>
            </w:r>
          </w:p>
          <w:p w:rsidR="00000000" w:rsidRDefault="00A83505">
            <w:pPr>
              <w:spacing w:line="360" w:lineRule="auto"/>
              <w:jc w:val="center"/>
              <w:rPr>
                <w:sz w:val="20"/>
                <w:lang w:val="en-US"/>
              </w:rPr>
            </w:pPr>
            <w:r>
              <w:rPr>
                <w:sz w:val="20"/>
                <w:lang w:val="en-US"/>
              </w:rPr>
              <w:t>N</w:t>
            </w:r>
          </w:p>
          <w:p w:rsidR="00000000" w:rsidRDefault="00A83505">
            <w:pPr>
              <w:spacing w:line="360" w:lineRule="auto"/>
              <w:jc w:val="center"/>
              <w:rPr>
                <w:sz w:val="20"/>
                <w:lang w:val="en-US"/>
              </w:rPr>
            </w:pPr>
            <w:r>
              <w:rPr>
                <w:sz w:val="20"/>
                <w:lang w:val="en-US"/>
              </w:rPr>
              <w:t>F, S</w:t>
            </w:r>
          </w:p>
          <w:p w:rsidR="00000000" w:rsidRDefault="00A83505">
            <w:pPr>
              <w:spacing w:line="360" w:lineRule="auto"/>
              <w:jc w:val="center"/>
              <w:rPr>
                <w:sz w:val="20"/>
                <w:lang w:val="en-US"/>
              </w:rPr>
            </w:pPr>
            <w:r>
              <w:rPr>
                <w:sz w:val="20"/>
                <w:lang w:val="en-US"/>
              </w:rPr>
              <w:t>R</w:t>
            </w:r>
          </w:p>
          <w:p w:rsidR="00000000" w:rsidRDefault="00A83505">
            <w:pPr>
              <w:spacing w:line="360" w:lineRule="auto"/>
              <w:jc w:val="center"/>
              <w:rPr>
                <w:sz w:val="20"/>
                <w:lang w:val="en-US"/>
              </w:rPr>
            </w:pPr>
            <w:r>
              <w:rPr>
                <w:sz w:val="20"/>
                <w:lang w:val="en-US"/>
              </w:rPr>
              <w:t>A, N</w:t>
            </w:r>
          </w:p>
        </w:tc>
        <w:tc>
          <w:tcPr>
            <w:tcW w:w="1220" w:type="dxa"/>
            <w:vAlign w:val="center"/>
          </w:tcPr>
          <w:p w:rsidR="00000000" w:rsidRDefault="00A83505">
            <w:pPr>
              <w:spacing w:line="360" w:lineRule="auto"/>
              <w:jc w:val="center"/>
              <w:rPr>
                <w:sz w:val="20"/>
                <w:lang w:val="en-US"/>
              </w:rPr>
            </w:pPr>
            <w:r>
              <w:rPr>
                <w:sz w:val="20"/>
                <w:lang w:val="en-US"/>
              </w:rPr>
              <w:t>B</w:t>
            </w:r>
          </w:p>
          <w:p w:rsidR="00000000" w:rsidRDefault="00A83505">
            <w:pPr>
              <w:spacing w:line="360" w:lineRule="auto"/>
              <w:jc w:val="center"/>
              <w:rPr>
                <w:sz w:val="20"/>
                <w:lang w:val="en-US"/>
              </w:rPr>
            </w:pPr>
            <w:r>
              <w:rPr>
                <w:sz w:val="20"/>
                <w:lang w:val="en-US"/>
              </w:rPr>
              <w:t>N</w:t>
            </w:r>
          </w:p>
          <w:p w:rsidR="00000000" w:rsidRDefault="00A83505">
            <w:pPr>
              <w:spacing w:line="360" w:lineRule="auto"/>
              <w:jc w:val="center"/>
              <w:rPr>
                <w:sz w:val="20"/>
                <w:lang w:val="en-US"/>
              </w:rPr>
            </w:pPr>
            <w:r>
              <w:rPr>
                <w:sz w:val="20"/>
                <w:lang w:val="en-US"/>
              </w:rPr>
              <w:t>F</w:t>
            </w:r>
          </w:p>
          <w:p w:rsidR="00000000" w:rsidRDefault="00A83505">
            <w:pPr>
              <w:spacing w:line="360" w:lineRule="auto"/>
              <w:jc w:val="center"/>
              <w:rPr>
                <w:sz w:val="20"/>
                <w:lang w:val="en-US"/>
              </w:rPr>
            </w:pPr>
            <w:r>
              <w:rPr>
                <w:sz w:val="20"/>
                <w:lang w:val="en-US"/>
              </w:rPr>
              <w:t>F, S</w:t>
            </w:r>
          </w:p>
          <w:p w:rsidR="00000000" w:rsidRDefault="00A83505">
            <w:pPr>
              <w:spacing w:line="360" w:lineRule="auto"/>
              <w:jc w:val="center"/>
              <w:rPr>
                <w:sz w:val="20"/>
                <w:lang w:val="en-US"/>
              </w:rPr>
            </w:pPr>
            <w:r>
              <w:rPr>
                <w:sz w:val="20"/>
                <w:lang w:val="en-US"/>
              </w:rPr>
              <w:t>S</w:t>
            </w:r>
          </w:p>
        </w:tc>
        <w:tc>
          <w:tcPr>
            <w:tcW w:w="900" w:type="dxa"/>
            <w:vAlign w:val="center"/>
          </w:tcPr>
          <w:p w:rsidR="00000000" w:rsidRDefault="00A83505">
            <w:pPr>
              <w:spacing w:line="360" w:lineRule="auto"/>
              <w:jc w:val="center"/>
              <w:rPr>
                <w:sz w:val="20"/>
                <w:lang w:val="en-US"/>
              </w:rPr>
            </w:pPr>
            <w:r>
              <w:rPr>
                <w:sz w:val="20"/>
                <w:lang w:val="en-US"/>
              </w:rPr>
              <w:t>MB</w:t>
            </w:r>
          </w:p>
          <w:p w:rsidR="00000000" w:rsidRDefault="00A83505">
            <w:pPr>
              <w:spacing w:line="360" w:lineRule="auto"/>
              <w:jc w:val="center"/>
              <w:rPr>
                <w:sz w:val="20"/>
                <w:lang w:val="en-US"/>
              </w:rPr>
            </w:pPr>
            <w:r>
              <w:rPr>
                <w:sz w:val="20"/>
                <w:lang w:val="en-US"/>
              </w:rPr>
              <w:t>N</w:t>
            </w:r>
          </w:p>
          <w:p w:rsidR="00000000" w:rsidRDefault="00A83505">
            <w:pPr>
              <w:spacing w:line="360" w:lineRule="auto"/>
              <w:jc w:val="center"/>
              <w:rPr>
                <w:sz w:val="20"/>
                <w:lang w:val="en-US"/>
              </w:rPr>
            </w:pPr>
            <w:r>
              <w:rPr>
                <w:sz w:val="20"/>
                <w:lang w:val="en-US"/>
              </w:rPr>
              <w:t>R</w:t>
            </w:r>
          </w:p>
          <w:p w:rsidR="00000000" w:rsidRDefault="00A83505">
            <w:pPr>
              <w:spacing w:line="360" w:lineRule="auto"/>
              <w:jc w:val="center"/>
              <w:rPr>
                <w:sz w:val="20"/>
                <w:lang w:val="en-US"/>
              </w:rPr>
            </w:pPr>
            <w:r>
              <w:rPr>
                <w:sz w:val="20"/>
                <w:lang w:val="en-US"/>
              </w:rPr>
              <w:t>N, R</w:t>
            </w:r>
          </w:p>
          <w:p w:rsidR="00000000" w:rsidRDefault="00A83505">
            <w:pPr>
              <w:spacing w:line="360" w:lineRule="auto"/>
              <w:jc w:val="center"/>
              <w:rPr>
                <w:sz w:val="20"/>
                <w:lang w:val="en-US"/>
              </w:rPr>
            </w:pPr>
            <w:r>
              <w:rPr>
                <w:sz w:val="20"/>
                <w:lang w:val="en-US"/>
              </w:rPr>
              <w:t>R, F</w:t>
            </w:r>
          </w:p>
        </w:tc>
        <w:tc>
          <w:tcPr>
            <w:tcW w:w="1620" w:type="dxa"/>
            <w:vAlign w:val="center"/>
          </w:tcPr>
          <w:p w:rsidR="00000000" w:rsidRDefault="00A83505">
            <w:pPr>
              <w:spacing w:line="360" w:lineRule="auto"/>
              <w:jc w:val="center"/>
              <w:rPr>
                <w:sz w:val="20"/>
                <w:lang w:val="en-US"/>
              </w:rPr>
            </w:pPr>
            <w:r>
              <w:rPr>
                <w:sz w:val="20"/>
                <w:lang w:val="en-US"/>
              </w:rPr>
              <w:t>MB</w:t>
            </w:r>
          </w:p>
          <w:p w:rsidR="00000000" w:rsidRDefault="00A83505">
            <w:pPr>
              <w:spacing w:line="360" w:lineRule="auto"/>
              <w:jc w:val="center"/>
              <w:rPr>
                <w:sz w:val="20"/>
                <w:lang w:val="en-US"/>
              </w:rPr>
            </w:pPr>
            <w:r>
              <w:rPr>
                <w:sz w:val="20"/>
                <w:lang w:val="en-US"/>
              </w:rPr>
              <w:t>N</w:t>
            </w:r>
          </w:p>
          <w:p w:rsidR="00000000" w:rsidRDefault="00A83505">
            <w:pPr>
              <w:spacing w:line="360" w:lineRule="auto"/>
              <w:jc w:val="center"/>
              <w:rPr>
                <w:sz w:val="20"/>
                <w:lang w:val="en-US"/>
              </w:rPr>
            </w:pPr>
            <w:r>
              <w:rPr>
                <w:sz w:val="20"/>
                <w:lang w:val="en-US"/>
              </w:rPr>
              <w:t>A</w:t>
            </w:r>
          </w:p>
          <w:p w:rsidR="00000000" w:rsidRDefault="00A83505">
            <w:pPr>
              <w:spacing w:line="360" w:lineRule="auto"/>
              <w:jc w:val="center"/>
              <w:rPr>
                <w:sz w:val="20"/>
                <w:lang w:val="en-US"/>
              </w:rPr>
            </w:pPr>
            <w:r>
              <w:rPr>
                <w:sz w:val="20"/>
                <w:lang w:val="en-US"/>
              </w:rPr>
              <w:t>N</w:t>
            </w:r>
          </w:p>
          <w:p w:rsidR="00000000" w:rsidRDefault="00A83505">
            <w:pPr>
              <w:spacing w:line="360" w:lineRule="auto"/>
              <w:jc w:val="center"/>
              <w:rPr>
                <w:sz w:val="20"/>
                <w:lang w:val="en-US"/>
              </w:rPr>
            </w:pPr>
            <w:r>
              <w:rPr>
                <w:sz w:val="20"/>
                <w:lang w:val="en-US"/>
              </w:rPr>
              <w:t>R</w:t>
            </w:r>
          </w:p>
        </w:tc>
      </w:tr>
      <w:tr w:rsidR="00000000">
        <w:tblPrEx>
          <w:tblCellMar>
            <w:top w:w="0" w:type="dxa"/>
            <w:bottom w:w="0" w:type="dxa"/>
          </w:tblCellMar>
        </w:tblPrEx>
        <w:trPr>
          <w:trHeight w:val="694"/>
        </w:trPr>
        <w:tc>
          <w:tcPr>
            <w:tcW w:w="1260" w:type="dxa"/>
          </w:tcPr>
          <w:p w:rsidR="00000000" w:rsidRDefault="00A83505">
            <w:pPr>
              <w:spacing w:line="360" w:lineRule="auto"/>
              <w:jc w:val="both"/>
              <w:rPr>
                <w:b/>
                <w:bCs/>
                <w:sz w:val="20"/>
                <w:lang w:val="en-US"/>
              </w:rPr>
            </w:pPr>
            <w:r>
              <w:rPr>
                <w:b/>
                <w:bCs/>
                <w:sz w:val="20"/>
                <w:lang w:val="en-US"/>
              </w:rPr>
              <w:t>CALIF_AS</w:t>
            </w:r>
          </w:p>
          <w:p w:rsidR="00000000" w:rsidRDefault="00A83505">
            <w:pPr>
              <w:spacing w:line="360" w:lineRule="auto"/>
              <w:jc w:val="both"/>
              <w:rPr>
                <w:b/>
                <w:bCs/>
                <w:sz w:val="20"/>
                <w:lang w:val="en-US"/>
              </w:rPr>
            </w:pPr>
            <w:r>
              <w:rPr>
                <w:b/>
                <w:bCs/>
                <w:sz w:val="20"/>
                <w:lang w:val="en-US"/>
              </w:rPr>
              <w:t>TA_CA_AS</w:t>
            </w:r>
          </w:p>
          <w:p w:rsidR="00000000" w:rsidRDefault="00A83505">
            <w:pPr>
              <w:spacing w:line="360" w:lineRule="auto"/>
              <w:jc w:val="both"/>
              <w:rPr>
                <w:b/>
                <w:bCs/>
                <w:sz w:val="20"/>
                <w:lang w:val="en-US"/>
              </w:rPr>
            </w:pPr>
            <w:r>
              <w:rPr>
                <w:b/>
                <w:bCs/>
                <w:sz w:val="20"/>
                <w:lang w:val="en-US"/>
              </w:rPr>
              <w:t>IN_TA_AS</w:t>
            </w:r>
          </w:p>
        </w:tc>
        <w:tc>
          <w:tcPr>
            <w:tcW w:w="1330" w:type="dxa"/>
            <w:vAlign w:val="center"/>
          </w:tcPr>
          <w:p w:rsidR="00000000" w:rsidRDefault="00A83505">
            <w:pPr>
              <w:spacing w:line="360" w:lineRule="auto"/>
              <w:jc w:val="center"/>
              <w:rPr>
                <w:sz w:val="20"/>
                <w:lang w:val="en-US"/>
              </w:rPr>
            </w:pPr>
            <w:r>
              <w:rPr>
                <w:sz w:val="20"/>
                <w:lang w:val="en-US"/>
              </w:rPr>
              <w:t>MM</w:t>
            </w:r>
          </w:p>
          <w:p w:rsidR="00000000" w:rsidRDefault="00A83505">
            <w:pPr>
              <w:spacing w:line="360" w:lineRule="auto"/>
              <w:jc w:val="center"/>
              <w:rPr>
                <w:sz w:val="20"/>
                <w:lang w:val="en-US"/>
              </w:rPr>
            </w:pPr>
            <w:r>
              <w:rPr>
                <w:sz w:val="20"/>
                <w:lang w:val="en-US"/>
              </w:rPr>
              <w:t>R</w:t>
            </w:r>
          </w:p>
          <w:p w:rsidR="00000000" w:rsidRDefault="00A83505">
            <w:pPr>
              <w:spacing w:line="360" w:lineRule="auto"/>
              <w:jc w:val="center"/>
              <w:rPr>
                <w:sz w:val="20"/>
                <w:lang w:val="en-US"/>
              </w:rPr>
            </w:pPr>
            <w:r>
              <w:rPr>
                <w:sz w:val="20"/>
                <w:lang w:val="en-US"/>
              </w:rPr>
              <w:t>N, R</w:t>
            </w:r>
          </w:p>
        </w:tc>
        <w:tc>
          <w:tcPr>
            <w:tcW w:w="1120" w:type="dxa"/>
            <w:vAlign w:val="center"/>
          </w:tcPr>
          <w:p w:rsidR="00000000" w:rsidRDefault="00A83505">
            <w:pPr>
              <w:spacing w:line="360" w:lineRule="auto"/>
              <w:jc w:val="center"/>
              <w:rPr>
                <w:sz w:val="20"/>
                <w:lang w:val="en-US"/>
              </w:rPr>
            </w:pPr>
            <w:r>
              <w:rPr>
                <w:sz w:val="20"/>
                <w:lang w:val="en-US"/>
              </w:rPr>
              <w:t>B</w:t>
            </w:r>
          </w:p>
          <w:p w:rsidR="00000000" w:rsidRDefault="00A83505">
            <w:pPr>
              <w:spacing w:line="360" w:lineRule="auto"/>
              <w:jc w:val="center"/>
              <w:rPr>
                <w:sz w:val="20"/>
                <w:lang w:val="en-US"/>
              </w:rPr>
            </w:pPr>
            <w:r>
              <w:rPr>
                <w:sz w:val="20"/>
                <w:lang w:val="en-US"/>
              </w:rPr>
              <w:t>N</w:t>
            </w:r>
          </w:p>
          <w:p w:rsidR="00000000" w:rsidRDefault="00A83505">
            <w:pPr>
              <w:spacing w:line="360" w:lineRule="auto"/>
              <w:jc w:val="center"/>
              <w:rPr>
                <w:sz w:val="20"/>
                <w:lang w:val="en-US"/>
              </w:rPr>
            </w:pPr>
            <w:r>
              <w:rPr>
                <w:sz w:val="20"/>
                <w:lang w:val="en-US"/>
              </w:rPr>
              <w:t>S</w:t>
            </w:r>
          </w:p>
        </w:tc>
        <w:tc>
          <w:tcPr>
            <w:tcW w:w="1080" w:type="dxa"/>
            <w:vAlign w:val="center"/>
          </w:tcPr>
          <w:p w:rsidR="00000000" w:rsidRDefault="00A83505">
            <w:pPr>
              <w:spacing w:line="360" w:lineRule="auto"/>
              <w:jc w:val="center"/>
              <w:rPr>
                <w:sz w:val="20"/>
                <w:lang w:val="en-US"/>
              </w:rPr>
            </w:pPr>
            <w:r>
              <w:rPr>
                <w:sz w:val="20"/>
                <w:lang w:val="en-US"/>
              </w:rPr>
              <w:t>B</w:t>
            </w:r>
          </w:p>
          <w:p w:rsidR="00000000" w:rsidRDefault="00A83505">
            <w:pPr>
              <w:spacing w:line="360" w:lineRule="auto"/>
              <w:jc w:val="center"/>
              <w:rPr>
                <w:sz w:val="20"/>
                <w:lang w:val="en-US"/>
              </w:rPr>
            </w:pPr>
            <w:r>
              <w:rPr>
                <w:sz w:val="20"/>
                <w:lang w:val="en-US"/>
              </w:rPr>
              <w:t>F, R</w:t>
            </w:r>
          </w:p>
          <w:p w:rsidR="00000000" w:rsidRDefault="00A83505">
            <w:pPr>
              <w:spacing w:line="360" w:lineRule="auto"/>
              <w:jc w:val="center"/>
              <w:rPr>
                <w:sz w:val="20"/>
                <w:lang w:val="en-US"/>
              </w:rPr>
            </w:pPr>
            <w:r>
              <w:rPr>
                <w:sz w:val="20"/>
                <w:lang w:val="en-US"/>
              </w:rPr>
              <w:t>R</w:t>
            </w:r>
          </w:p>
        </w:tc>
        <w:tc>
          <w:tcPr>
            <w:tcW w:w="1220" w:type="dxa"/>
            <w:vAlign w:val="center"/>
          </w:tcPr>
          <w:p w:rsidR="00000000" w:rsidRDefault="00A83505">
            <w:pPr>
              <w:spacing w:line="360" w:lineRule="auto"/>
              <w:jc w:val="center"/>
              <w:rPr>
                <w:sz w:val="20"/>
                <w:lang w:val="en-US"/>
              </w:rPr>
            </w:pPr>
            <w:r>
              <w:rPr>
                <w:sz w:val="20"/>
                <w:lang w:val="en-US"/>
              </w:rPr>
              <w:t>R</w:t>
            </w:r>
          </w:p>
          <w:p w:rsidR="00000000" w:rsidRDefault="00A83505">
            <w:pPr>
              <w:spacing w:line="360" w:lineRule="auto"/>
              <w:jc w:val="center"/>
              <w:rPr>
                <w:sz w:val="20"/>
                <w:lang w:val="en-US"/>
              </w:rPr>
            </w:pPr>
            <w:r>
              <w:rPr>
                <w:sz w:val="20"/>
                <w:lang w:val="en-US"/>
              </w:rPr>
              <w:t>R</w:t>
            </w:r>
          </w:p>
          <w:p w:rsidR="00000000" w:rsidRDefault="00A83505">
            <w:pPr>
              <w:spacing w:line="360" w:lineRule="auto"/>
              <w:jc w:val="center"/>
              <w:rPr>
                <w:sz w:val="20"/>
                <w:lang w:val="en-US"/>
              </w:rPr>
            </w:pPr>
            <w:r>
              <w:rPr>
                <w:sz w:val="20"/>
                <w:lang w:val="en-US"/>
              </w:rPr>
              <w:t>A</w:t>
            </w:r>
          </w:p>
        </w:tc>
        <w:tc>
          <w:tcPr>
            <w:tcW w:w="900" w:type="dxa"/>
            <w:vAlign w:val="center"/>
          </w:tcPr>
          <w:p w:rsidR="00000000" w:rsidRDefault="00A83505">
            <w:pPr>
              <w:spacing w:line="360" w:lineRule="auto"/>
              <w:jc w:val="center"/>
              <w:rPr>
                <w:sz w:val="20"/>
                <w:lang w:val="en-US"/>
              </w:rPr>
            </w:pPr>
            <w:r>
              <w:rPr>
                <w:sz w:val="20"/>
                <w:lang w:val="en-US"/>
              </w:rPr>
              <w:t>R</w:t>
            </w:r>
          </w:p>
          <w:p w:rsidR="00000000" w:rsidRDefault="00A83505">
            <w:pPr>
              <w:spacing w:line="360" w:lineRule="auto"/>
              <w:jc w:val="center"/>
              <w:rPr>
                <w:sz w:val="20"/>
                <w:lang w:val="en-US"/>
              </w:rPr>
            </w:pPr>
            <w:r>
              <w:rPr>
                <w:sz w:val="20"/>
                <w:lang w:val="en-US"/>
              </w:rPr>
              <w:t>R</w:t>
            </w:r>
          </w:p>
          <w:p w:rsidR="00000000" w:rsidRDefault="00A83505">
            <w:pPr>
              <w:spacing w:line="360" w:lineRule="auto"/>
              <w:jc w:val="center"/>
              <w:rPr>
                <w:sz w:val="20"/>
                <w:lang w:val="en-US"/>
              </w:rPr>
            </w:pPr>
            <w:r>
              <w:rPr>
                <w:sz w:val="20"/>
                <w:lang w:val="en-US"/>
              </w:rPr>
              <w:t>S</w:t>
            </w:r>
          </w:p>
        </w:tc>
        <w:tc>
          <w:tcPr>
            <w:tcW w:w="1620" w:type="dxa"/>
            <w:vAlign w:val="center"/>
          </w:tcPr>
          <w:p w:rsidR="00000000" w:rsidRDefault="00A83505">
            <w:pPr>
              <w:spacing w:line="360" w:lineRule="auto"/>
              <w:jc w:val="center"/>
              <w:rPr>
                <w:sz w:val="20"/>
                <w:lang w:val="en-US"/>
              </w:rPr>
            </w:pPr>
            <w:r>
              <w:rPr>
                <w:sz w:val="20"/>
                <w:lang w:val="en-US"/>
              </w:rPr>
              <w:t>MB</w:t>
            </w:r>
          </w:p>
          <w:p w:rsidR="00000000" w:rsidRDefault="00A83505">
            <w:pPr>
              <w:spacing w:line="360" w:lineRule="auto"/>
              <w:jc w:val="center"/>
              <w:rPr>
                <w:sz w:val="20"/>
                <w:lang w:val="en-US"/>
              </w:rPr>
            </w:pPr>
            <w:r>
              <w:rPr>
                <w:sz w:val="20"/>
                <w:lang w:val="en-US"/>
              </w:rPr>
              <w:t>S</w:t>
            </w:r>
          </w:p>
          <w:p w:rsidR="00000000" w:rsidRDefault="00A83505">
            <w:pPr>
              <w:spacing w:line="360" w:lineRule="auto"/>
              <w:jc w:val="center"/>
              <w:rPr>
                <w:sz w:val="20"/>
                <w:lang w:val="en-US"/>
              </w:rPr>
            </w:pPr>
            <w:r>
              <w:rPr>
                <w:sz w:val="20"/>
                <w:lang w:val="en-US"/>
              </w:rPr>
              <w:t>N</w:t>
            </w:r>
          </w:p>
        </w:tc>
      </w:tr>
      <w:tr w:rsidR="00000000">
        <w:tblPrEx>
          <w:tblCellMar>
            <w:top w:w="0" w:type="dxa"/>
            <w:bottom w:w="0" w:type="dxa"/>
          </w:tblCellMar>
        </w:tblPrEx>
        <w:trPr>
          <w:trHeight w:val="1166"/>
        </w:trPr>
        <w:tc>
          <w:tcPr>
            <w:tcW w:w="1260" w:type="dxa"/>
          </w:tcPr>
          <w:p w:rsidR="00000000" w:rsidRDefault="00A83505">
            <w:pPr>
              <w:spacing w:line="360" w:lineRule="auto"/>
              <w:jc w:val="both"/>
              <w:rPr>
                <w:b/>
                <w:bCs/>
                <w:sz w:val="20"/>
              </w:rPr>
            </w:pPr>
            <w:r>
              <w:rPr>
                <w:b/>
                <w:bCs/>
                <w:sz w:val="20"/>
              </w:rPr>
              <w:t>CALIF_EE</w:t>
            </w:r>
          </w:p>
          <w:p w:rsidR="00000000" w:rsidRDefault="00A83505">
            <w:pPr>
              <w:spacing w:line="360" w:lineRule="auto"/>
              <w:jc w:val="both"/>
              <w:rPr>
                <w:b/>
                <w:bCs/>
                <w:sz w:val="20"/>
              </w:rPr>
            </w:pPr>
            <w:r>
              <w:rPr>
                <w:b/>
                <w:bCs/>
                <w:sz w:val="20"/>
              </w:rPr>
              <w:t>SUSP_EE</w:t>
            </w:r>
          </w:p>
          <w:p w:rsidR="00000000" w:rsidRDefault="00A83505">
            <w:pPr>
              <w:spacing w:line="360" w:lineRule="auto"/>
              <w:jc w:val="both"/>
              <w:rPr>
                <w:b/>
                <w:bCs/>
                <w:sz w:val="20"/>
              </w:rPr>
            </w:pPr>
            <w:r>
              <w:rPr>
                <w:b/>
                <w:bCs/>
                <w:sz w:val="20"/>
              </w:rPr>
              <w:t>CO_IN_EE</w:t>
            </w:r>
          </w:p>
          <w:p w:rsidR="00000000" w:rsidRDefault="00A83505">
            <w:pPr>
              <w:spacing w:line="360" w:lineRule="auto"/>
              <w:jc w:val="both"/>
              <w:rPr>
                <w:b/>
                <w:bCs/>
                <w:sz w:val="20"/>
              </w:rPr>
            </w:pPr>
            <w:r>
              <w:rPr>
                <w:b/>
                <w:bCs/>
                <w:sz w:val="20"/>
              </w:rPr>
              <w:t>RE_PL_EE</w:t>
            </w:r>
          </w:p>
          <w:p w:rsidR="00000000" w:rsidRDefault="00A83505">
            <w:pPr>
              <w:spacing w:line="360" w:lineRule="auto"/>
              <w:jc w:val="both"/>
              <w:rPr>
                <w:b/>
                <w:bCs/>
                <w:sz w:val="20"/>
              </w:rPr>
            </w:pPr>
            <w:r>
              <w:rPr>
                <w:b/>
                <w:bCs/>
                <w:sz w:val="20"/>
              </w:rPr>
              <w:t>FA_AT_EE</w:t>
            </w:r>
          </w:p>
        </w:tc>
        <w:tc>
          <w:tcPr>
            <w:tcW w:w="1330" w:type="dxa"/>
            <w:vAlign w:val="center"/>
          </w:tcPr>
          <w:p w:rsidR="00000000" w:rsidRDefault="00A83505">
            <w:pPr>
              <w:spacing w:line="360" w:lineRule="auto"/>
              <w:jc w:val="center"/>
              <w:rPr>
                <w:sz w:val="20"/>
              </w:rPr>
            </w:pPr>
            <w:r>
              <w:rPr>
                <w:sz w:val="20"/>
              </w:rPr>
              <w:t>B</w:t>
            </w:r>
          </w:p>
          <w:p w:rsidR="00000000" w:rsidRDefault="00A83505">
            <w:pPr>
              <w:spacing w:line="360" w:lineRule="auto"/>
              <w:jc w:val="center"/>
              <w:rPr>
                <w:sz w:val="20"/>
              </w:rPr>
            </w:pPr>
            <w:r>
              <w:rPr>
                <w:sz w:val="20"/>
              </w:rPr>
              <w:t>R</w:t>
            </w:r>
          </w:p>
          <w:p w:rsidR="00000000" w:rsidRDefault="00A83505">
            <w:pPr>
              <w:spacing w:line="360" w:lineRule="auto"/>
              <w:jc w:val="center"/>
              <w:rPr>
                <w:sz w:val="20"/>
              </w:rPr>
            </w:pPr>
            <w:r>
              <w:rPr>
                <w:sz w:val="20"/>
              </w:rPr>
              <w:t>A</w:t>
            </w:r>
          </w:p>
          <w:p w:rsidR="00000000" w:rsidRDefault="00A83505">
            <w:pPr>
              <w:spacing w:line="360" w:lineRule="auto"/>
              <w:jc w:val="center"/>
              <w:rPr>
                <w:sz w:val="20"/>
              </w:rPr>
            </w:pPr>
            <w:r>
              <w:rPr>
                <w:sz w:val="20"/>
              </w:rPr>
              <w:t>A</w:t>
            </w:r>
          </w:p>
          <w:p w:rsidR="00000000" w:rsidRDefault="00A83505">
            <w:pPr>
              <w:spacing w:line="360" w:lineRule="auto"/>
              <w:jc w:val="center"/>
              <w:rPr>
                <w:sz w:val="20"/>
              </w:rPr>
            </w:pPr>
            <w:r>
              <w:rPr>
                <w:sz w:val="20"/>
              </w:rPr>
              <w:t>R, A</w:t>
            </w:r>
          </w:p>
        </w:tc>
        <w:tc>
          <w:tcPr>
            <w:tcW w:w="1120" w:type="dxa"/>
            <w:vAlign w:val="center"/>
          </w:tcPr>
          <w:p w:rsidR="00000000" w:rsidRDefault="00A83505">
            <w:pPr>
              <w:spacing w:line="360" w:lineRule="auto"/>
              <w:jc w:val="center"/>
              <w:rPr>
                <w:sz w:val="20"/>
              </w:rPr>
            </w:pPr>
            <w:r>
              <w:rPr>
                <w:sz w:val="20"/>
              </w:rPr>
              <w:t>B</w:t>
            </w:r>
          </w:p>
          <w:p w:rsidR="00000000" w:rsidRDefault="00A83505">
            <w:pPr>
              <w:spacing w:line="360" w:lineRule="auto"/>
              <w:jc w:val="center"/>
              <w:rPr>
                <w:sz w:val="20"/>
              </w:rPr>
            </w:pPr>
            <w:r>
              <w:rPr>
                <w:sz w:val="20"/>
              </w:rPr>
              <w:t>R</w:t>
            </w:r>
          </w:p>
          <w:p w:rsidR="00000000" w:rsidRDefault="00A83505">
            <w:pPr>
              <w:spacing w:line="360" w:lineRule="auto"/>
              <w:jc w:val="center"/>
              <w:rPr>
                <w:sz w:val="20"/>
              </w:rPr>
            </w:pPr>
            <w:r>
              <w:rPr>
                <w:sz w:val="20"/>
              </w:rPr>
              <w:t>N</w:t>
            </w:r>
          </w:p>
          <w:p w:rsidR="00000000" w:rsidRDefault="00A83505">
            <w:pPr>
              <w:spacing w:line="360" w:lineRule="auto"/>
              <w:jc w:val="center"/>
              <w:rPr>
                <w:sz w:val="20"/>
              </w:rPr>
            </w:pPr>
            <w:r>
              <w:rPr>
                <w:sz w:val="20"/>
              </w:rPr>
              <w:t>F</w:t>
            </w:r>
          </w:p>
          <w:p w:rsidR="00000000" w:rsidRDefault="00A83505">
            <w:pPr>
              <w:spacing w:line="360" w:lineRule="auto"/>
              <w:jc w:val="center"/>
              <w:rPr>
                <w:sz w:val="20"/>
              </w:rPr>
            </w:pPr>
            <w:r>
              <w:rPr>
                <w:sz w:val="20"/>
              </w:rPr>
              <w:t>N</w:t>
            </w:r>
          </w:p>
        </w:tc>
        <w:tc>
          <w:tcPr>
            <w:tcW w:w="1080" w:type="dxa"/>
            <w:vAlign w:val="center"/>
          </w:tcPr>
          <w:p w:rsidR="00000000" w:rsidRDefault="00A83505">
            <w:pPr>
              <w:spacing w:line="360" w:lineRule="auto"/>
              <w:jc w:val="center"/>
              <w:rPr>
                <w:sz w:val="20"/>
                <w:lang w:val="en-US"/>
              </w:rPr>
            </w:pPr>
            <w:r>
              <w:rPr>
                <w:sz w:val="20"/>
                <w:lang w:val="en-US"/>
              </w:rPr>
              <w:t>B</w:t>
            </w:r>
          </w:p>
          <w:p w:rsidR="00000000" w:rsidRDefault="00A83505">
            <w:pPr>
              <w:spacing w:line="360" w:lineRule="auto"/>
              <w:jc w:val="center"/>
              <w:rPr>
                <w:sz w:val="20"/>
                <w:lang w:val="en-US"/>
              </w:rPr>
            </w:pPr>
            <w:r>
              <w:rPr>
                <w:sz w:val="20"/>
                <w:lang w:val="en-US"/>
              </w:rPr>
              <w:t>N</w:t>
            </w:r>
          </w:p>
          <w:p w:rsidR="00000000" w:rsidRDefault="00A83505">
            <w:pPr>
              <w:spacing w:line="360" w:lineRule="auto"/>
              <w:jc w:val="center"/>
              <w:rPr>
                <w:sz w:val="20"/>
                <w:lang w:val="en-US"/>
              </w:rPr>
            </w:pPr>
            <w:r>
              <w:rPr>
                <w:sz w:val="20"/>
                <w:lang w:val="en-US"/>
              </w:rPr>
              <w:t>F, R</w:t>
            </w:r>
          </w:p>
          <w:p w:rsidR="00000000" w:rsidRDefault="00A83505">
            <w:pPr>
              <w:spacing w:line="360" w:lineRule="auto"/>
              <w:jc w:val="center"/>
              <w:rPr>
                <w:sz w:val="20"/>
                <w:lang w:val="en-US"/>
              </w:rPr>
            </w:pPr>
            <w:r>
              <w:rPr>
                <w:sz w:val="20"/>
                <w:lang w:val="en-US"/>
              </w:rPr>
              <w:t>N</w:t>
            </w:r>
          </w:p>
          <w:p w:rsidR="00000000" w:rsidRDefault="00A83505">
            <w:pPr>
              <w:spacing w:line="360" w:lineRule="auto"/>
              <w:jc w:val="center"/>
              <w:rPr>
                <w:sz w:val="20"/>
                <w:lang w:val="en-US"/>
              </w:rPr>
            </w:pPr>
            <w:r>
              <w:rPr>
                <w:sz w:val="20"/>
                <w:lang w:val="en-US"/>
              </w:rPr>
              <w:t>R</w:t>
            </w:r>
          </w:p>
        </w:tc>
        <w:tc>
          <w:tcPr>
            <w:tcW w:w="1220" w:type="dxa"/>
            <w:vAlign w:val="center"/>
          </w:tcPr>
          <w:p w:rsidR="00000000" w:rsidRDefault="00A83505">
            <w:pPr>
              <w:spacing w:line="360" w:lineRule="auto"/>
              <w:jc w:val="center"/>
              <w:rPr>
                <w:sz w:val="20"/>
                <w:lang w:val="en-US"/>
              </w:rPr>
            </w:pPr>
            <w:r>
              <w:rPr>
                <w:sz w:val="20"/>
                <w:lang w:val="en-US"/>
              </w:rPr>
              <w:t>B</w:t>
            </w:r>
          </w:p>
          <w:p w:rsidR="00000000" w:rsidRDefault="00A83505">
            <w:pPr>
              <w:spacing w:line="360" w:lineRule="auto"/>
              <w:jc w:val="center"/>
              <w:rPr>
                <w:sz w:val="20"/>
                <w:lang w:val="en-US"/>
              </w:rPr>
            </w:pPr>
            <w:r>
              <w:rPr>
                <w:sz w:val="20"/>
                <w:lang w:val="en-US"/>
              </w:rPr>
              <w:t>A</w:t>
            </w:r>
          </w:p>
          <w:p w:rsidR="00000000" w:rsidRDefault="00A83505">
            <w:pPr>
              <w:spacing w:line="360" w:lineRule="auto"/>
              <w:jc w:val="center"/>
              <w:rPr>
                <w:sz w:val="20"/>
                <w:lang w:val="en-US"/>
              </w:rPr>
            </w:pPr>
            <w:r>
              <w:rPr>
                <w:sz w:val="20"/>
                <w:lang w:val="en-US"/>
              </w:rPr>
              <w:t>A</w:t>
            </w:r>
          </w:p>
          <w:p w:rsidR="00000000" w:rsidRDefault="00A83505">
            <w:pPr>
              <w:spacing w:line="360" w:lineRule="auto"/>
              <w:jc w:val="center"/>
              <w:rPr>
                <w:sz w:val="20"/>
                <w:lang w:val="en-US"/>
              </w:rPr>
            </w:pPr>
            <w:r>
              <w:rPr>
                <w:sz w:val="20"/>
                <w:lang w:val="en-US"/>
              </w:rPr>
              <w:t>A</w:t>
            </w:r>
          </w:p>
          <w:p w:rsidR="00000000" w:rsidRDefault="00A83505">
            <w:pPr>
              <w:spacing w:line="360" w:lineRule="auto"/>
              <w:jc w:val="center"/>
              <w:rPr>
                <w:sz w:val="20"/>
                <w:lang w:val="en-US"/>
              </w:rPr>
            </w:pPr>
            <w:r>
              <w:rPr>
                <w:sz w:val="20"/>
                <w:lang w:val="en-US"/>
              </w:rPr>
              <w:t>N</w:t>
            </w:r>
          </w:p>
        </w:tc>
        <w:tc>
          <w:tcPr>
            <w:tcW w:w="900" w:type="dxa"/>
            <w:vAlign w:val="center"/>
          </w:tcPr>
          <w:p w:rsidR="00000000" w:rsidRDefault="00A83505">
            <w:pPr>
              <w:spacing w:line="360" w:lineRule="auto"/>
              <w:jc w:val="center"/>
              <w:rPr>
                <w:sz w:val="20"/>
                <w:lang w:val="en-US"/>
              </w:rPr>
            </w:pPr>
            <w:r>
              <w:rPr>
                <w:sz w:val="20"/>
                <w:lang w:val="en-US"/>
              </w:rPr>
              <w:t>MB</w:t>
            </w:r>
          </w:p>
          <w:p w:rsidR="00000000" w:rsidRDefault="00A83505">
            <w:pPr>
              <w:spacing w:line="360" w:lineRule="auto"/>
              <w:jc w:val="center"/>
              <w:rPr>
                <w:sz w:val="20"/>
                <w:lang w:val="en-US"/>
              </w:rPr>
            </w:pPr>
            <w:r>
              <w:rPr>
                <w:sz w:val="20"/>
                <w:lang w:val="en-US"/>
              </w:rPr>
              <w:t>R</w:t>
            </w:r>
          </w:p>
          <w:p w:rsidR="00000000" w:rsidRDefault="00A83505">
            <w:pPr>
              <w:spacing w:line="360" w:lineRule="auto"/>
              <w:jc w:val="center"/>
              <w:rPr>
                <w:sz w:val="20"/>
                <w:lang w:val="en-US"/>
              </w:rPr>
            </w:pPr>
            <w:r>
              <w:rPr>
                <w:sz w:val="20"/>
                <w:lang w:val="en-US"/>
              </w:rPr>
              <w:t>R</w:t>
            </w:r>
          </w:p>
          <w:p w:rsidR="00000000" w:rsidRDefault="00A83505">
            <w:pPr>
              <w:spacing w:line="360" w:lineRule="auto"/>
              <w:jc w:val="center"/>
              <w:rPr>
                <w:sz w:val="20"/>
                <w:lang w:val="en-US"/>
              </w:rPr>
            </w:pPr>
            <w:r>
              <w:rPr>
                <w:sz w:val="20"/>
                <w:lang w:val="en-US"/>
              </w:rPr>
              <w:t>N</w:t>
            </w:r>
          </w:p>
          <w:p w:rsidR="00000000" w:rsidRDefault="00A83505">
            <w:pPr>
              <w:spacing w:line="360" w:lineRule="auto"/>
              <w:jc w:val="center"/>
              <w:rPr>
                <w:sz w:val="20"/>
                <w:lang w:val="en-US"/>
              </w:rPr>
            </w:pPr>
            <w:r>
              <w:rPr>
                <w:sz w:val="20"/>
                <w:lang w:val="en-US"/>
              </w:rPr>
              <w:t>N</w:t>
            </w:r>
          </w:p>
        </w:tc>
        <w:tc>
          <w:tcPr>
            <w:tcW w:w="1620" w:type="dxa"/>
            <w:vAlign w:val="center"/>
          </w:tcPr>
          <w:p w:rsidR="00000000" w:rsidRDefault="00A83505">
            <w:pPr>
              <w:spacing w:line="360" w:lineRule="auto"/>
              <w:jc w:val="center"/>
              <w:rPr>
                <w:sz w:val="20"/>
                <w:lang w:val="en-US"/>
              </w:rPr>
            </w:pPr>
            <w:r>
              <w:rPr>
                <w:sz w:val="20"/>
                <w:lang w:val="en-US"/>
              </w:rPr>
              <w:t>MB</w:t>
            </w:r>
          </w:p>
          <w:p w:rsidR="00000000" w:rsidRDefault="00A83505">
            <w:pPr>
              <w:spacing w:line="360" w:lineRule="auto"/>
              <w:jc w:val="center"/>
              <w:rPr>
                <w:sz w:val="20"/>
                <w:lang w:val="en-US"/>
              </w:rPr>
            </w:pPr>
            <w:r>
              <w:rPr>
                <w:sz w:val="20"/>
                <w:lang w:val="en-US"/>
              </w:rPr>
              <w:t>R</w:t>
            </w:r>
          </w:p>
          <w:p w:rsidR="00000000" w:rsidRDefault="00A83505">
            <w:pPr>
              <w:spacing w:line="360" w:lineRule="auto"/>
              <w:jc w:val="center"/>
              <w:rPr>
                <w:sz w:val="20"/>
                <w:lang w:val="en-US"/>
              </w:rPr>
            </w:pPr>
            <w:r>
              <w:rPr>
                <w:sz w:val="20"/>
                <w:lang w:val="en-US"/>
              </w:rPr>
              <w:t>R</w:t>
            </w:r>
          </w:p>
          <w:p w:rsidR="00000000" w:rsidRDefault="00A83505">
            <w:pPr>
              <w:spacing w:line="360" w:lineRule="auto"/>
              <w:jc w:val="center"/>
              <w:rPr>
                <w:sz w:val="20"/>
                <w:lang w:val="en-US"/>
              </w:rPr>
            </w:pPr>
            <w:r>
              <w:rPr>
                <w:sz w:val="20"/>
                <w:lang w:val="en-US"/>
              </w:rPr>
              <w:t>R</w:t>
            </w:r>
          </w:p>
          <w:p w:rsidR="00000000" w:rsidRDefault="00A83505">
            <w:pPr>
              <w:spacing w:line="360" w:lineRule="auto"/>
              <w:jc w:val="center"/>
              <w:rPr>
                <w:sz w:val="20"/>
                <w:lang w:val="en-US"/>
              </w:rPr>
            </w:pPr>
            <w:r>
              <w:rPr>
                <w:sz w:val="20"/>
                <w:lang w:val="en-US"/>
              </w:rPr>
              <w:t>R</w:t>
            </w:r>
          </w:p>
        </w:tc>
      </w:tr>
      <w:tr w:rsidR="00000000">
        <w:tblPrEx>
          <w:tblCellMar>
            <w:top w:w="0" w:type="dxa"/>
            <w:bottom w:w="0" w:type="dxa"/>
          </w:tblCellMar>
        </w:tblPrEx>
        <w:trPr>
          <w:trHeight w:val="1146"/>
        </w:trPr>
        <w:tc>
          <w:tcPr>
            <w:tcW w:w="1260" w:type="dxa"/>
          </w:tcPr>
          <w:p w:rsidR="00000000" w:rsidRDefault="00A83505">
            <w:pPr>
              <w:spacing w:line="360" w:lineRule="auto"/>
              <w:jc w:val="both"/>
              <w:rPr>
                <w:b/>
                <w:bCs/>
                <w:sz w:val="20"/>
                <w:lang w:val="en-US"/>
              </w:rPr>
            </w:pPr>
            <w:r>
              <w:rPr>
                <w:b/>
                <w:bCs/>
                <w:sz w:val="20"/>
                <w:lang w:val="en-US"/>
              </w:rPr>
              <w:t>CALIF_TF</w:t>
            </w:r>
          </w:p>
          <w:p w:rsidR="00000000" w:rsidRDefault="00A83505">
            <w:pPr>
              <w:spacing w:line="360" w:lineRule="auto"/>
              <w:jc w:val="both"/>
              <w:rPr>
                <w:b/>
                <w:bCs/>
                <w:sz w:val="20"/>
                <w:lang w:val="en-US"/>
              </w:rPr>
            </w:pPr>
            <w:r>
              <w:rPr>
                <w:b/>
                <w:bCs/>
                <w:sz w:val="20"/>
                <w:lang w:val="en-US"/>
              </w:rPr>
              <w:t>SUSP_TF</w:t>
            </w:r>
          </w:p>
          <w:p w:rsidR="00000000" w:rsidRDefault="00A83505">
            <w:pPr>
              <w:spacing w:line="360" w:lineRule="auto"/>
              <w:jc w:val="both"/>
              <w:rPr>
                <w:b/>
                <w:bCs/>
                <w:sz w:val="20"/>
                <w:lang w:val="en-US"/>
              </w:rPr>
            </w:pPr>
            <w:r>
              <w:rPr>
                <w:b/>
                <w:bCs/>
                <w:sz w:val="20"/>
                <w:lang w:val="en-US"/>
              </w:rPr>
              <w:t>CO_IN_TF</w:t>
            </w:r>
          </w:p>
          <w:p w:rsidR="00000000" w:rsidRDefault="00A83505">
            <w:pPr>
              <w:spacing w:line="360" w:lineRule="auto"/>
              <w:jc w:val="both"/>
              <w:rPr>
                <w:b/>
                <w:bCs/>
                <w:sz w:val="20"/>
                <w:lang w:val="en-US"/>
              </w:rPr>
            </w:pPr>
            <w:r>
              <w:rPr>
                <w:b/>
                <w:bCs/>
                <w:sz w:val="20"/>
                <w:lang w:val="en-US"/>
              </w:rPr>
              <w:t>RE_PL_TF</w:t>
            </w:r>
          </w:p>
          <w:p w:rsidR="00000000" w:rsidRDefault="00A83505">
            <w:pPr>
              <w:spacing w:line="360" w:lineRule="auto"/>
              <w:jc w:val="both"/>
              <w:rPr>
                <w:b/>
                <w:bCs/>
                <w:sz w:val="20"/>
                <w:lang w:val="en-US"/>
              </w:rPr>
            </w:pPr>
            <w:r>
              <w:rPr>
                <w:b/>
                <w:bCs/>
                <w:sz w:val="20"/>
                <w:lang w:val="en-US"/>
              </w:rPr>
              <w:t>FA_AT_TF</w:t>
            </w:r>
          </w:p>
        </w:tc>
        <w:tc>
          <w:tcPr>
            <w:tcW w:w="1330" w:type="dxa"/>
            <w:vAlign w:val="center"/>
          </w:tcPr>
          <w:p w:rsidR="00000000" w:rsidRDefault="00A83505">
            <w:pPr>
              <w:spacing w:line="360" w:lineRule="auto"/>
              <w:jc w:val="center"/>
              <w:rPr>
                <w:sz w:val="20"/>
                <w:lang w:val="en-US"/>
              </w:rPr>
            </w:pPr>
            <w:r>
              <w:rPr>
                <w:sz w:val="20"/>
                <w:lang w:val="en-US"/>
              </w:rPr>
              <w:t>M</w:t>
            </w:r>
          </w:p>
          <w:p w:rsidR="00000000" w:rsidRDefault="00A83505">
            <w:pPr>
              <w:spacing w:line="360" w:lineRule="auto"/>
              <w:jc w:val="center"/>
              <w:rPr>
                <w:sz w:val="20"/>
                <w:lang w:val="en-US"/>
              </w:rPr>
            </w:pPr>
            <w:r>
              <w:rPr>
                <w:sz w:val="20"/>
                <w:lang w:val="en-US"/>
              </w:rPr>
              <w:t>R</w:t>
            </w:r>
          </w:p>
          <w:p w:rsidR="00000000" w:rsidRDefault="00A83505">
            <w:pPr>
              <w:spacing w:line="360" w:lineRule="auto"/>
              <w:jc w:val="center"/>
              <w:rPr>
                <w:sz w:val="20"/>
                <w:lang w:val="en-US"/>
              </w:rPr>
            </w:pPr>
            <w:r>
              <w:rPr>
                <w:sz w:val="20"/>
                <w:lang w:val="en-US"/>
              </w:rPr>
              <w:t>N</w:t>
            </w:r>
          </w:p>
          <w:p w:rsidR="00000000" w:rsidRDefault="00A83505">
            <w:pPr>
              <w:spacing w:line="360" w:lineRule="auto"/>
              <w:jc w:val="center"/>
              <w:rPr>
                <w:sz w:val="20"/>
                <w:lang w:val="en-US"/>
              </w:rPr>
            </w:pPr>
            <w:r>
              <w:rPr>
                <w:sz w:val="20"/>
                <w:lang w:val="en-US"/>
              </w:rPr>
              <w:t>N</w:t>
            </w:r>
          </w:p>
          <w:p w:rsidR="00000000" w:rsidRDefault="00A83505">
            <w:pPr>
              <w:spacing w:line="360" w:lineRule="auto"/>
              <w:jc w:val="center"/>
              <w:rPr>
                <w:sz w:val="20"/>
                <w:lang w:val="en-US"/>
              </w:rPr>
            </w:pPr>
            <w:r>
              <w:rPr>
                <w:sz w:val="20"/>
                <w:lang w:val="en-US"/>
              </w:rPr>
              <w:t>S</w:t>
            </w:r>
          </w:p>
        </w:tc>
        <w:tc>
          <w:tcPr>
            <w:tcW w:w="1120" w:type="dxa"/>
            <w:vAlign w:val="center"/>
          </w:tcPr>
          <w:p w:rsidR="00000000" w:rsidRDefault="00A83505">
            <w:pPr>
              <w:spacing w:line="360" w:lineRule="auto"/>
              <w:jc w:val="center"/>
              <w:rPr>
                <w:sz w:val="20"/>
                <w:lang w:val="en-US"/>
              </w:rPr>
            </w:pPr>
            <w:r>
              <w:rPr>
                <w:sz w:val="20"/>
                <w:lang w:val="en-US"/>
              </w:rPr>
              <w:t>MB</w:t>
            </w:r>
          </w:p>
          <w:p w:rsidR="00000000" w:rsidRDefault="00A83505">
            <w:pPr>
              <w:spacing w:line="360" w:lineRule="auto"/>
              <w:jc w:val="center"/>
              <w:rPr>
                <w:sz w:val="20"/>
                <w:lang w:val="en-US"/>
              </w:rPr>
            </w:pPr>
            <w:r>
              <w:rPr>
                <w:sz w:val="20"/>
                <w:lang w:val="en-US"/>
              </w:rPr>
              <w:t>R</w:t>
            </w:r>
          </w:p>
          <w:p w:rsidR="00000000" w:rsidRDefault="00A83505">
            <w:pPr>
              <w:spacing w:line="360" w:lineRule="auto"/>
              <w:jc w:val="center"/>
              <w:rPr>
                <w:sz w:val="20"/>
                <w:lang w:val="en-US"/>
              </w:rPr>
            </w:pPr>
            <w:r>
              <w:rPr>
                <w:sz w:val="20"/>
                <w:lang w:val="en-US"/>
              </w:rPr>
              <w:t>N</w:t>
            </w:r>
          </w:p>
          <w:p w:rsidR="00000000" w:rsidRDefault="00A83505">
            <w:pPr>
              <w:spacing w:line="360" w:lineRule="auto"/>
              <w:jc w:val="center"/>
              <w:rPr>
                <w:sz w:val="20"/>
                <w:lang w:val="en-US"/>
              </w:rPr>
            </w:pPr>
            <w:r>
              <w:rPr>
                <w:sz w:val="20"/>
                <w:lang w:val="en-US"/>
              </w:rPr>
              <w:t>N</w:t>
            </w:r>
          </w:p>
          <w:p w:rsidR="00000000" w:rsidRDefault="00A83505">
            <w:pPr>
              <w:spacing w:line="360" w:lineRule="auto"/>
              <w:jc w:val="center"/>
              <w:rPr>
                <w:sz w:val="20"/>
                <w:lang w:val="en-US"/>
              </w:rPr>
            </w:pPr>
            <w:r>
              <w:rPr>
                <w:sz w:val="20"/>
                <w:lang w:val="en-US"/>
              </w:rPr>
              <w:t>N</w:t>
            </w:r>
          </w:p>
        </w:tc>
        <w:tc>
          <w:tcPr>
            <w:tcW w:w="1080" w:type="dxa"/>
            <w:vAlign w:val="center"/>
          </w:tcPr>
          <w:p w:rsidR="00000000" w:rsidRDefault="00A83505">
            <w:pPr>
              <w:spacing w:line="360" w:lineRule="auto"/>
              <w:jc w:val="center"/>
              <w:rPr>
                <w:sz w:val="20"/>
                <w:lang w:val="en-US"/>
              </w:rPr>
            </w:pPr>
            <w:r>
              <w:rPr>
                <w:sz w:val="20"/>
                <w:lang w:val="en-US"/>
              </w:rPr>
              <w:t>B</w:t>
            </w:r>
          </w:p>
          <w:p w:rsidR="00000000" w:rsidRDefault="00A83505">
            <w:pPr>
              <w:spacing w:line="360" w:lineRule="auto"/>
              <w:jc w:val="center"/>
              <w:rPr>
                <w:sz w:val="20"/>
                <w:lang w:val="en-US"/>
              </w:rPr>
            </w:pPr>
            <w:r>
              <w:rPr>
                <w:sz w:val="20"/>
                <w:lang w:val="en-US"/>
              </w:rPr>
              <w:t>N</w:t>
            </w:r>
          </w:p>
          <w:p w:rsidR="00000000" w:rsidRDefault="00A83505">
            <w:pPr>
              <w:spacing w:line="360" w:lineRule="auto"/>
              <w:jc w:val="center"/>
              <w:rPr>
                <w:sz w:val="20"/>
                <w:lang w:val="en-US"/>
              </w:rPr>
            </w:pPr>
            <w:r>
              <w:rPr>
                <w:sz w:val="20"/>
                <w:lang w:val="en-US"/>
              </w:rPr>
              <w:t>R</w:t>
            </w:r>
          </w:p>
          <w:p w:rsidR="00000000" w:rsidRDefault="00A83505">
            <w:pPr>
              <w:spacing w:line="360" w:lineRule="auto"/>
              <w:jc w:val="center"/>
              <w:rPr>
                <w:sz w:val="20"/>
                <w:lang w:val="en-US"/>
              </w:rPr>
            </w:pPr>
            <w:r>
              <w:rPr>
                <w:sz w:val="20"/>
                <w:lang w:val="en-US"/>
              </w:rPr>
              <w:t>F, S</w:t>
            </w:r>
          </w:p>
          <w:p w:rsidR="00000000" w:rsidRDefault="00A83505">
            <w:pPr>
              <w:spacing w:line="360" w:lineRule="auto"/>
              <w:jc w:val="center"/>
              <w:rPr>
                <w:sz w:val="20"/>
                <w:lang w:val="en-US"/>
              </w:rPr>
            </w:pPr>
            <w:r>
              <w:rPr>
                <w:sz w:val="20"/>
                <w:lang w:val="en-US"/>
              </w:rPr>
              <w:t>F</w:t>
            </w:r>
          </w:p>
        </w:tc>
        <w:tc>
          <w:tcPr>
            <w:tcW w:w="1220" w:type="dxa"/>
            <w:vAlign w:val="center"/>
          </w:tcPr>
          <w:p w:rsidR="00000000" w:rsidRDefault="00A83505">
            <w:pPr>
              <w:spacing w:line="360" w:lineRule="auto"/>
              <w:jc w:val="center"/>
              <w:rPr>
                <w:sz w:val="20"/>
                <w:lang w:val="en-US"/>
              </w:rPr>
            </w:pPr>
            <w:r>
              <w:rPr>
                <w:sz w:val="20"/>
                <w:lang w:val="en-US"/>
              </w:rPr>
              <w:t>MM</w:t>
            </w:r>
          </w:p>
          <w:p w:rsidR="00000000" w:rsidRDefault="00A83505">
            <w:pPr>
              <w:spacing w:line="360" w:lineRule="auto"/>
              <w:jc w:val="center"/>
              <w:rPr>
                <w:sz w:val="20"/>
                <w:lang w:val="en-US"/>
              </w:rPr>
            </w:pPr>
            <w:r>
              <w:rPr>
                <w:sz w:val="20"/>
                <w:lang w:val="en-US"/>
              </w:rPr>
              <w:t>N</w:t>
            </w:r>
          </w:p>
          <w:p w:rsidR="00000000" w:rsidRDefault="00A83505">
            <w:pPr>
              <w:spacing w:line="360" w:lineRule="auto"/>
              <w:jc w:val="center"/>
              <w:rPr>
                <w:sz w:val="20"/>
                <w:lang w:val="en-US"/>
              </w:rPr>
            </w:pPr>
            <w:r>
              <w:rPr>
                <w:sz w:val="20"/>
                <w:lang w:val="en-US"/>
              </w:rPr>
              <w:t>N, R</w:t>
            </w:r>
          </w:p>
          <w:p w:rsidR="00000000" w:rsidRDefault="00A83505">
            <w:pPr>
              <w:spacing w:line="360" w:lineRule="auto"/>
              <w:jc w:val="center"/>
              <w:rPr>
                <w:sz w:val="20"/>
                <w:lang w:val="en-US"/>
              </w:rPr>
            </w:pPr>
            <w:r>
              <w:rPr>
                <w:sz w:val="20"/>
                <w:lang w:val="en-US"/>
              </w:rPr>
              <w:t>R</w:t>
            </w:r>
          </w:p>
          <w:p w:rsidR="00000000" w:rsidRDefault="00A83505">
            <w:pPr>
              <w:spacing w:line="360" w:lineRule="auto"/>
              <w:jc w:val="center"/>
              <w:rPr>
                <w:sz w:val="20"/>
                <w:lang w:val="en-US"/>
              </w:rPr>
            </w:pPr>
            <w:r>
              <w:rPr>
                <w:sz w:val="20"/>
                <w:lang w:val="en-US"/>
              </w:rPr>
              <w:t>F</w:t>
            </w:r>
          </w:p>
        </w:tc>
        <w:tc>
          <w:tcPr>
            <w:tcW w:w="900" w:type="dxa"/>
            <w:vAlign w:val="center"/>
          </w:tcPr>
          <w:p w:rsidR="00000000" w:rsidRDefault="00A83505">
            <w:pPr>
              <w:spacing w:line="360" w:lineRule="auto"/>
              <w:jc w:val="center"/>
              <w:rPr>
                <w:sz w:val="20"/>
                <w:lang w:val="en-US"/>
              </w:rPr>
            </w:pPr>
            <w:r>
              <w:rPr>
                <w:sz w:val="20"/>
                <w:lang w:val="en-US"/>
              </w:rPr>
              <w:t>B</w:t>
            </w:r>
          </w:p>
          <w:p w:rsidR="00000000" w:rsidRDefault="00A83505">
            <w:pPr>
              <w:spacing w:line="360" w:lineRule="auto"/>
              <w:jc w:val="center"/>
              <w:rPr>
                <w:sz w:val="20"/>
                <w:lang w:val="en-US"/>
              </w:rPr>
            </w:pPr>
            <w:r>
              <w:rPr>
                <w:sz w:val="20"/>
                <w:lang w:val="en-US"/>
              </w:rPr>
              <w:t>F</w:t>
            </w:r>
          </w:p>
          <w:p w:rsidR="00000000" w:rsidRDefault="00A83505">
            <w:pPr>
              <w:spacing w:line="360" w:lineRule="auto"/>
              <w:jc w:val="center"/>
              <w:rPr>
                <w:sz w:val="20"/>
                <w:lang w:val="en-US"/>
              </w:rPr>
            </w:pPr>
            <w:r>
              <w:rPr>
                <w:sz w:val="20"/>
                <w:lang w:val="en-US"/>
              </w:rPr>
              <w:t>N, R</w:t>
            </w:r>
          </w:p>
          <w:p w:rsidR="00000000" w:rsidRDefault="00A83505">
            <w:pPr>
              <w:spacing w:line="360" w:lineRule="auto"/>
              <w:jc w:val="center"/>
              <w:rPr>
                <w:sz w:val="20"/>
                <w:lang w:val="en-US"/>
              </w:rPr>
            </w:pPr>
            <w:r>
              <w:rPr>
                <w:sz w:val="20"/>
                <w:lang w:val="en-US"/>
              </w:rPr>
              <w:t>N</w:t>
            </w:r>
          </w:p>
          <w:p w:rsidR="00000000" w:rsidRDefault="00A83505">
            <w:pPr>
              <w:spacing w:line="360" w:lineRule="auto"/>
              <w:jc w:val="center"/>
              <w:rPr>
                <w:sz w:val="20"/>
                <w:lang w:val="en-US"/>
              </w:rPr>
            </w:pPr>
            <w:r>
              <w:rPr>
                <w:sz w:val="20"/>
                <w:lang w:val="en-US"/>
              </w:rPr>
              <w:t>R</w:t>
            </w:r>
          </w:p>
        </w:tc>
        <w:tc>
          <w:tcPr>
            <w:tcW w:w="1620" w:type="dxa"/>
            <w:vAlign w:val="center"/>
          </w:tcPr>
          <w:p w:rsidR="00000000" w:rsidRDefault="00A83505">
            <w:pPr>
              <w:spacing w:line="360" w:lineRule="auto"/>
              <w:jc w:val="center"/>
              <w:rPr>
                <w:sz w:val="20"/>
                <w:lang w:val="en-US"/>
              </w:rPr>
            </w:pPr>
            <w:r>
              <w:rPr>
                <w:sz w:val="20"/>
                <w:lang w:val="en-US"/>
              </w:rPr>
              <w:t>MM</w:t>
            </w:r>
          </w:p>
          <w:p w:rsidR="00000000" w:rsidRDefault="00A83505">
            <w:pPr>
              <w:spacing w:line="360" w:lineRule="auto"/>
              <w:jc w:val="center"/>
              <w:rPr>
                <w:sz w:val="20"/>
                <w:lang w:val="en-US"/>
              </w:rPr>
            </w:pPr>
            <w:r>
              <w:rPr>
                <w:sz w:val="20"/>
                <w:lang w:val="en-US"/>
              </w:rPr>
              <w:t>S</w:t>
            </w:r>
          </w:p>
          <w:p w:rsidR="00000000" w:rsidRDefault="00A83505">
            <w:pPr>
              <w:spacing w:line="360" w:lineRule="auto"/>
              <w:jc w:val="center"/>
              <w:rPr>
                <w:sz w:val="20"/>
                <w:lang w:val="en-US"/>
              </w:rPr>
            </w:pPr>
            <w:r>
              <w:rPr>
                <w:sz w:val="20"/>
                <w:lang w:val="en-US"/>
              </w:rPr>
              <w:t>A</w:t>
            </w:r>
          </w:p>
          <w:p w:rsidR="00000000" w:rsidRDefault="00A83505">
            <w:pPr>
              <w:spacing w:line="360" w:lineRule="auto"/>
              <w:jc w:val="center"/>
              <w:rPr>
                <w:sz w:val="20"/>
                <w:lang w:val="en-US"/>
              </w:rPr>
            </w:pPr>
            <w:r>
              <w:rPr>
                <w:sz w:val="20"/>
                <w:lang w:val="en-US"/>
              </w:rPr>
              <w:t>R</w:t>
            </w:r>
          </w:p>
          <w:p w:rsidR="00000000" w:rsidRDefault="00A83505">
            <w:pPr>
              <w:spacing w:line="360" w:lineRule="auto"/>
              <w:jc w:val="center"/>
              <w:rPr>
                <w:sz w:val="20"/>
                <w:lang w:val="en-US"/>
              </w:rPr>
            </w:pPr>
            <w:r>
              <w:rPr>
                <w:sz w:val="20"/>
                <w:lang w:val="en-US"/>
              </w:rPr>
              <w:t>N</w:t>
            </w:r>
          </w:p>
        </w:tc>
      </w:tr>
      <w:tr w:rsidR="00000000">
        <w:tblPrEx>
          <w:tblCellMar>
            <w:top w:w="0" w:type="dxa"/>
            <w:bottom w:w="0" w:type="dxa"/>
          </w:tblCellMar>
        </w:tblPrEx>
        <w:trPr>
          <w:trHeight w:val="263"/>
        </w:trPr>
        <w:tc>
          <w:tcPr>
            <w:tcW w:w="1260" w:type="dxa"/>
          </w:tcPr>
          <w:p w:rsidR="00000000" w:rsidRDefault="00A83505">
            <w:pPr>
              <w:spacing w:line="360" w:lineRule="auto"/>
              <w:jc w:val="both"/>
              <w:rPr>
                <w:b/>
                <w:bCs/>
                <w:sz w:val="20"/>
                <w:lang w:val="en-US"/>
              </w:rPr>
            </w:pPr>
            <w:r>
              <w:rPr>
                <w:b/>
                <w:bCs/>
                <w:sz w:val="20"/>
                <w:lang w:val="en-US"/>
              </w:rPr>
              <w:t>CALIF_BS</w:t>
            </w:r>
          </w:p>
          <w:p w:rsidR="00000000" w:rsidRDefault="00A83505">
            <w:pPr>
              <w:spacing w:line="360" w:lineRule="auto"/>
              <w:jc w:val="both"/>
              <w:rPr>
                <w:b/>
                <w:bCs/>
                <w:sz w:val="20"/>
                <w:lang w:val="en-US"/>
              </w:rPr>
            </w:pPr>
            <w:r>
              <w:rPr>
                <w:b/>
                <w:bCs/>
                <w:sz w:val="20"/>
                <w:lang w:val="en-US"/>
              </w:rPr>
              <w:t>IN_HO_BS</w:t>
            </w:r>
          </w:p>
          <w:p w:rsidR="00000000" w:rsidRDefault="00A83505">
            <w:pPr>
              <w:spacing w:line="360" w:lineRule="auto"/>
              <w:jc w:val="both"/>
              <w:rPr>
                <w:b/>
                <w:bCs/>
                <w:sz w:val="20"/>
                <w:lang w:val="en-US"/>
              </w:rPr>
            </w:pPr>
            <w:r>
              <w:rPr>
                <w:b/>
                <w:bCs/>
                <w:sz w:val="20"/>
                <w:lang w:val="en-US"/>
              </w:rPr>
              <w:t>AC_CA_BS</w:t>
            </w:r>
          </w:p>
          <w:p w:rsidR="00000000" w:rsidRDefault="00A83505">
            <w:pPr>
              <w:spacing w:line="360" w:lineRule="auto"/>
              <w:jc w:val="both"/>
              <w:rPr>
                <w:b/>
                <w:bCs/>
                <w:sz w:val="20"/>
              </w:rPr>
            </w:pPr>
            <w:r>
              <w:rPr>
                <w:b/>
                <w:bCs/>
                <w:sz w:val="20"/>
              </w:rPr>
              <w:t>NO_LL_BS</w:t>
            </w:r>
          </w:p>
        </w:tc>
        <w:tc>
          <w:tcPr>
            <w:tcW w:w="1330" w:type="dxa"/>
            <w:vAlign w:val="center"/>
          </w:tcPr>
          <w:p w:rsidR="00000000" w:rsidRDefault="00A83505">
            <w:pPr>
              <w:spacing w:line="360" w:lineRule="auto"/>
              <w:jc w:val="center"/>
              <w:rPr>
                <w:sz w:val="20"/>
                <w:lang w:val="en-US"/>
              </w:rPr>
            </w:pPr>
            <w:r>
              <w:rPr>
                <w:sz w:val="20"/>
                <w:lang w:val="en-US"/>
              </w:rPr>
              <w:t>B</w:t>
            </w:r>
          </w:p>
          <w:p w:rsidR="00000000" w:rsidRDefault="00A83505">
            <w:pPr>
              <w:spacing w:line="360" w:lineRule="auto"/>
              <w:jc w:val="center"/>
              <w:rPr>
                <w:sz w:val="20"/>
                <w:lang w:val="en-US"/>
              </w:rPr>
            </w:pPr>
            <w:r>
              <w:rPr>
                <w:sz w:val="20"/>
                <w:lang w:val="en-US"/>
              </w:rPr>
              <w:t>R</w:t>
            </w:r>
          </w:p>
          <w:p w:rsidR="00000000" w:rsidRDefault="00A83505">
            <w:pPr>
              <w:spacing w:line="360" w:lineRule="auto"/>
              <w:jc w:val="center"/>
              <w:rPr>
                <w:sz w:val="20"/>
                <w:lang w:val="en-US"/>
              </w:rPr>
            </w:pPr>
            <w:r>
              <w:rPr>
                <w:sz w:val="20"/>
                <w:lang w:val="en-US"/>
              </w:rPr>
              <w:t>R</w:t>
            </w:r>
          </w:p>
          <w:p w:rsidR="00000000" w:rsidRDefault="00A83505">
            <w:pPr>
              <w:spacing w:line="360" w:lineRule="auto"/>
              <w:jc w:val="center"/>
              <w:rPr>
                <w:sz w:val="20"/>
                <w:lang w:val="en-US"/>
              </w:rPr>
            </w:pPr>
            <w:r>
              <w:rPr>
                <w:sz w:val="20"/>
                <w:lang w:val="en-US"/>
              </w:rPr>
              <w:t>R</w:t>
            </w:r>
          </w:p>
        </w:tc>
        <w:tc>
          <w:tcPr>
            <w:tcW w:w="1120" w:type="dxa"/>
            <w:vAlign w:val="center"/>
          </w:tcPr>
          <w:p w:rsidR="00000000" w:rsidRDefault="00A83505">
            <w:pPr>
              <w:spacing w:line="360" w:lineRule="auto"/>
              <w:jc w:val="center"/>
              <w:rPr>
                <w:sz w:val="20"/>
                <w:lang w:val="en-US"/>
              </w:rPr>
            </w:pPr>
            <w:r>
              <w:rPr>
                <w:sz w:val="20"/>
                <w:lang w:val="en-US"/>
              </w:rPr>
              <w:t>MB</w:t>
            </w:r>
          </w:p>
          <w:p w:rsidR="00000000" w:rsidRDefault="00A83505">
            <w:pPr>
              <w:spacing w:line="360" w:lineRule="auto"/>
              <w:jc w:val="center"/>
              <w:rPr>
                <w:sz w:val="20"/>
                <w:lang w:val="en-US"/>
              </w:rPr>
            </w:pPr>
            <w:r>
              <w:rPr>
                <w:sz w:val="20"/>
                <w:lang w:val="en-US"/>
              </w:rPr>
              <w:t>N, A</w:t>
            </w:r>
          </w:p>
          <w:p w:rsidR="00000000" w:rsidRDefault="00A83505">
            <w:pPr>
              <w:spacing w:line="360" w:lineRule="auto"/>
              <w:jc w:val="center"/>
              <w:rPr>
                <w:sz w:val="20"/>
                <w:lang w:val="en-US"/>
              </w:rPr>
            </w:pPr>
            <w:r>
              <w:rPr>
                <w:sz w:val="20"/>
                <w:lang w:val="en-US"/>
              </w:rPr>
              <w:t>R</w:t>
            </w:r>
          </w:p>
          <w:p w:rsidR="00000000" w:rsidRDefault="00A83505">
            <w:pPr>
              <w:spacing w:line="360" w:lineRule="auto"/>
              <w:jc w:val="center"/>
              <w:rPr>
                <w:sz w:val="20"/>
                <w:lang w:val="en-US"/>
              </w:rPr>
            </w:pPr>
            <w:r>
              <w:rPr>
                <w:sz w:val="20"/>
                <w:lang w:val="en-US"/>
              </w:rPr>
              <w:t>N</w:t>
            </w:r>
          </w:p>
        </w:tc>
        <w:tc>
          <w:tcPr>
            <w:tcW w:w="1080" w:type="dxa"/>
            <w:vAlign w:val="center"/>
          </w:tcPr>
          <w:p w:rsidR="00000000" w:rsidRDefault="00A83505">
            <w:pPr>
              <w:spacing w:line="360" w:lineRule="auto"/>
              <w:jc w:val="center"/>
              <w:rPr>
                <w:sz w:val="20"/>
                <w:lang w:val="en-US"/>
              </w:rPr>
            </w:pPr>
            <w:r>
              <w:rPr>
                <w:sz w:val="20"/>
                <w:lang w:val="en-US"/>
              </w:rPr>
              <w:t>MB</w:t>
            </w:r>
          </w:p>
          <w:p w:rsidR="00000000" w:rsidRDefault="00A83505">
            <w:pPr>
              <w:spacing w:line="360" w:lineRule="auto"/>
              <w:jc w:val="center"/>
              <w:rPr>
                <w:sz w:val="20"/>
                <w:lang w:val="en-US"/>
              </w:rPr>
            </w:pPr>
            <w:r>
              <w:rPr>
                <w:sz w:val="20"/>
                <w:lang w:val="en-US"/>
              </w:rPr>
              <w:t>N</w:t>
            </w:r>
          </w:p>
          <w:p w:rsidR="00000000" w:rsidRDefault="00A83505">
            <w:pPr>
              <w:spacing w:line="360" w:lineRule="auto"/>
              <w:jc w:val="center"/>
              <w:rPr>
                <w:sz w:val="20"/>
                <w:lang w:val="en-US"/>
              </w:rPr>
            </w:pPr>
            <w:r>
              <w:rPr>
                <w:sz w:val="20"/>
                <w:lang w:val="en-US"/>
              </w:rPr>
              <w:t>N</w:t>
            </w:r>
          </w:p>
          <w:p w:rsidR="00000000" w:rsidRDefault="00A83505">
            <w:pPr>
              <w:spacing w:line="360" w:lineRule="auto"/>
              <w:jc w:val="center"/>
              <w:rPr>
                <w:sz w:val="20"/>
                <w:lang w:val="en-US"/>
              </w:rPr>
            </w:pPr>
            <w:r>
              <w:rPr>
                <w:sz w:val="20"/>
                <w:lang w:val="en-US"/>
              </w:rPr>
              <w:t>R</w:t>
            </w:r>
          </w:p>
        </w:tc>
        <w:tc>
          <w:tcPr>
            <w:tcW w:w="1220" w:type="dxa"/>
            <w:vAlign w:val="center"/>
          </w:tcPr>
          <w:p w:rsidR="00000000" w:rsidRDefault="00A83505">
            <w:pPr>
              <w:spacing w:line="360" w:lineRule="auto"/>
              <w:jc w:val="center"/>
              <w:rPr>
                <w:sz w:val="20"/>
                <w:lang w:val="en-US"/>
              </w:rPr>
            </w:pPr>
            <w:r>
              <w:rPr>
                <w:sz w:val="20"/>
                <w:lang w:val="en-US"/>
              </w:rPr>
              <w:t>MB</w:t>
            </w:r>
          </w:p>
          <w:p w:rsidR="00000000" w:rsidRDefault="00A83505">
            <w:pPr>
              <w:spacing w:line="360" w:lineRule="auto"/>
              <w:jc w:val="center"/>
              <w:rPr>
                <w:sz w:val="20"/>
                <w:lang w:val="en-US"/>
              </w:rPr>
            </w:pPr>
            <w:r>
              <w:rPr>
                <w:sz w:val="20"/>
                <w:lang w:val="en-US"/>
              </w:rPr>
              <w:t>R</w:t>
            </w:r>
          </w:p>
          <w:p w:rsidR="00000000" w:rsidRDefault="00A83505">
            <w:pPr>
              <w:spacing w:line="360" w:lineRule="auto"/>
              <w:jc w:val="center"/>
              <w:rPr>
                <w:sz w:val="20"/>
                <w:lang w:val="en-US"/>
              </w:rPr>
            </w:pPr>
            <w:r>
              <w:rPr>
                <w:sz w:val="20"/>
                <w:lang w:val="en-US"/>
              </w:rPr>
              <w:t>N</w:t>
            </w:r>
          </w:p>
          <w:p w:rsidR="00000000" w:rsidRDefault="00A83505">
            <w:pPr>
              <w:spacing w:line="360" w:lineRule="auto"/>
              <w:jc w:val="center"/>
              <w:rPr>
                <w:sz w:val="20"/>
                <w:lang w:val="en-US"/>
              </w:rPr>
            </w:pPr>
            <w:r>
              <w:rPr>
                <w:sz w:val="20"/>
                <w:lang w:val="en-US"/>
              </w:rPr>
              <w:t>R</w:t>
            </w:r>
          </w:p>
        </w:tc>
        <w:tc>
          <w:tcPr>
            <w:tcW w:w="900" w:type="dxa"/>
            <w:vAlign w:val="center"/>
          </w:tcPr>
          <w:p w:rsidR="00000000" w:rsidRDefault="00A83505">
            <w:pPr>
              <w:spacing w:line="360" w:lineRule="auto"/>
              <w:jc w:val="center"/>
              <w:rPr>
                <w:sz w:val="20"/>
                <w:lang w:val="en-US"/>
              </w:rPr>
            </w:pPr>
            <w:r>
              <w:rPr>
                <w:sz w:val="20"/>
                <w:lang w:val="en-US"/>
              </w:rPr>
              <w:t>MB</w:t>
            </w:r>
          </w:p>
          <w:p w:rsidR="00000000" w:rsidRDefault="00A83505">
            <w:pPr>
              <w:spacing w:line="360" w:lineRule="auto"/>
              <w:jc w:val="center"/>
              <w:rPr>
                <w:sz w:val="20"/>
                <w:lang w:val="en-US"/>
              </w:rPr>
            </w:pPr>
            <w:r>
              <w:rPr>
                <w:sz w:val="20"/>
                <w:lang w:val="en-US"/>
              </w:rPr>
              <w:t>R</w:t>
            </w:r>
          </w:p>
          <w:p w:rsidR="00000000" w:rsidRDefault="00A83505">
            <w:pPr>
              <w:spacing w:line="360" w:lineRule="auto"/>
              <w:jc w:val="center"/>
              <w:rPr>
                <w:sz w:val="20"/>
                <w:lang w:val="en-US"/>
              </w:rPr>
            </w:pPr>
            <w:r>
              <w:rPr>
                <w:sz w:val="20"/>
                <w:lang w:val="en-US"/>
              </w:rPr>
              <w:t>N</w:t>
            </w:r>
          </w:p>
          <w:p w:rsidR="00000000" w:rsidRDefault="00A83505">
            <w:pPr>
              <w:spacing w:line="360" w:lineRule="auto"/>
              <w:jc w:val="center"/>
              <w:rPr>
                <w:sz w:val="20"/>
                <w:lang w:val="en-US"/>
              </w:rPr>
            </w:pPr>
            <w:r>
              <w:rPr>
                <w:sz w:val="20"/>
                <w:lang w:val="en-US"/>
              </w:rPr>
              <w:t>R</w:t>
            </w:r>
          </w:p>
        </w:tc>
        <w:tc>
          <w:tcPr>
            <w:tcW w:w="1620" w:type="dxa"/>
            <w:vAlign w:val="center"/>
          </w:tcPr>
          <w:p w:rsidR="00000000" w:rsidRDefault="00A83505">
            <w:pPr>
              <w:spacing w:line="360" w:lineRule="auto"/>
              <w:jc w:val="center"/>
              <w:rPr>
                <w:sz w:val="20"/>
                <w:lang w:val="en-US"/>
              </w:rPr>
            </w:pPr>
            <w:r>
              <w:rPr>
                <w:sz w:val="20"/>
                <w:lang w:val="en-US"/>
              </w:rPr>
              <w:t>B</w:t>
            </w:r>
          </w:p>
          <w:p w:rsidR="00000000" w:rsidRDefault="00A83505">
            <w:pPr>
              <w:spacing w:line="360" w:lineRule="auto"/>
              <w:jc w:val="center"/>
              <w:rPr>
                <w:sz w:val="20"/>
                <w:lang w:val="en-US"/>
              </w:rPr>
            </w:pPr>
            <w:r>
              <w:rPr>
                <w:sz w:val="20"/>
                <w:lang w:val="en-US"/>
              </w:rPr>
              <w:t>R</w:t>
            </w:r>
          </w:p>
          <w:p w:rsidR="00000000" w:rsidRDefault="00A83505">
            <w:pPr>
              <w:spacing w:line="360" w:lineRule="auto"/>
              <w:jc w:val="center"/>
              <w:rPr>
                <w:sz w:val="20"/>
                <w:lang w:val="en-US"/>
              </w:rPr>
            </w:pPr>
            <w:r>
              <w:rPr>
                <w:sz w:val="20"/>
                <w:lang w:val="en-US"/>
              </w:rPr>
              <w:t>R</w:t>
            </w:r>
          </w:p>
          <w:p w:rsidR="00000000" w:rsidRDefault="00A83505">
            <w:pPr>
              <w:spacing w:line="360" w:lineRule="auto"/>
              <w:jc w:val="center"/>
              <w:rPr>
                <w:sz w:val="20"/>
                <w:lang w:val="en-US"/>
              </w:rPr>
            </w:pPr>
            <w:r>
              <w:rPr>
                <w:sz w:val="20"/>
                <w:lang w:val="en-US"/>
              </w:rPr>
              <w:t>N</w:t>
            </w:r>
          </w:p>
        </w:tc>
      </w:tr>
    </w:tbl>
    <w:p w:rsidR="00000000" w:rsidRDefault="00A83505">
      <w:pPr>
        <w:spacing w:line="480" w:lineRule="auto"/>
        <w:ind w:left="720"/>
        <w:rPr>
          <w:rFonts w:ascii="Arial" w:hAnsi="Arial" w:cs="Arial"/>
          <w:lang w:val="es-MX"/>
        </w:rPr>
      </w:pPr>
    </w:p>
    <w:p w:rsidR="00000000" w:rsidRDefault="00A83505">
      <w:pPr>
        <w:pStyle w:val="Sangra2detindependiente"/>
        <w:rPr>
          <w:u w:val="single"/>
        </w:rPr>
      </w:pPr>
    </w:p>
    <w:p w:rsidR="00000000" w:rsidRDefault="00A83505">
      <w:pPr>
        <w:pStyle w:val="Sangra2detindependiente"/>
        <w:rPr>
          <w:u w:val="single"/>
        </w:rPr>
      </w:pPr>
    </w:p>
    <w:p w:rsidR="00000000" w:rsidRDefault="00A83505">
      <w:pPr>
        <w:pStyle w:val="Sangra2detindependiente"/>
        <w:rPr>
          <w:u w:val="single"/>
        </w:rPr>
      </w:pPr>
    </w:p>
    <w:p w:rsidR="00000000" w:rsidRDefault="00A83505">
      <w:pPr>
        <w:spacing w:line="480" w:lineRule="auto"/>
        <w:ind w:left="360"/>
        <w:rPr>
          <w:rFonts w:ascii="Arial" w:hAnsi="Arial" w:cs="Arial"/>
          <w:b/>
          <w:bCs/>
        </w:rPr>
      </w:pPr>
      <w:r>
        <w:rPr>
          <w:rFonts w:ascii="Arial" w:hAnsi="Arial" w:cs="Arial"/>
          <w:b/>
          <w:bCs/>
        </w:rPr>
        <w:t>8.2 Recomendaciones.</w:t>
      </w:r>
    </w:p>
    <w:p w:rsidR="00000000" w:rsidRDefault="00A83505">
      <w:pPr>
        <w:spacing w:line="480" w:lineRule="auto"/>
        <w:ind w:left="720"/>
        <w:jc w:val="both"/>
        <w:rPr>
          <w:rFonts w:ascii="Arial" w:hAnsi="Arial" w:cs="Arial"/>
        </w:rPr>
      </w:pPr>
    </w:p>
    <w:p w:rsidR="00000000" w:rsidRDefault="00A83505">
      <w:pPr>
        <w:pStyle w:val="Sangra2detindependiente"/>
      </w:pPr>
      <w:r>
        <w:t>Las recomendaciones que cierran este estudio, son una síntesis de distintas propue</w:t>
      </w:r>
      <w:r>
        <w:t>stas, que ayudarán a encontrar posibles soluciones que se necesitan, para mejorar la calidad y el nivel de satisfacción de los servicios básicos en la ciudad de Guayaquil.</w:t>
      </w:r>
    </w:p>
    <w:p w:rsidR="00000000" w:rsidRDefault="00A83505">
      <w:pPr>
        <w:pStyle w:val="Sangra2detindependiente"/>
      </w:pPr>
    </w:p>
    <w:p w:rsidR="00000000" w:rsidRDefault="00A83505">
      <w:pPr>
        <w:pStyle w:val="Sangra2detindependiente"/>
        <w:ind w:hanging="360"/>
      </w:pPr>
      <w:r>
        <w:t>1. En todos los casos de servicio al consumidor, las empresas relacionadas con la p</w:t>
      </w:r>
      <w:r>
        <w:t>restación de los servicios básicos considerados, deberán brindar las facilidades de información y de atención, creando o habilitando suficientes locales o puntos de atención, dentro de su área, para que el consumidor pueda solicitar o pagar los servicios a</w:t>
      </w:r>
      <w:r>
        <w:t xml:space="preserve"> los que tiene derecho; los locales de atención al público deberán ser dispuestos y acondicionados a fin de posibilitar una atención personalizada, evitando demoras y acumulación de público, con personal que oriente al consumidor sobre el trámite a realiza</w:t>
      </w:r>
      <w:r>
        <w:t>r.</w:t>
      </w:r>
    </w:p>
    <w:p w:rsidR="00000000" w:rsidRDefault="00A83505">
      <w:pPr>
        <w:pStyle w:val="Sangra2detindependiente"/>
        <w:ind w:hanging="360"/>
      </w:pPr>
    </w:p>
    <w:p w:rsidR="00A83505" w:rsidRDefault="00A83505">
      <w:pPr>
        <w:pStyle w:val="Sangra2detindependiente"/>
        <w:ind w:hanging="360"/>
      </w:pPr>
      <w:r>
        <w:t>2.  Las empresas responsables de proporcionar una buena calidad en la prestación del servicio, deberán efectuar al menos anualmente, una encuesta similar a la realizada en este estudio, a los consumidores ubicados en su zona, para obtener datos que per</w:t>
      </w:r>
      <w:r>
        <w:t>mitan calificar la calidad de la prestación del servicio, y observar cómo ha evolucionado la solución a los problemas que se presentan.</w:t>
      </w:r>
    </w:p>
    <w:sectPr w:rsidR="00A83505">
      <w:headerReference w:type="even" r:id="rId7"/>
      <w:headerReference w:type="default" r:id="rId8"/>
      <w:headerReference w:type="first" r:id="rId9"/>
      <w:type w:val="continuous"/>
      <w:pgSz w:w="11906" w:h="16838" w:code="9"/>
      <w:pgMar w:top="2268" w:right="1361" w:bottom="2268" w:left="2268" w:header="709" w:footer="709" w:gutter="0"/>
      <w:pgNumType w:start="36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505" w:rsidRDefault="00A83505">
      <w:r>
        <w:separator/>
      </w:r>
    </w:p>
  </w:endnote>
  <w:endnote w:type="continuationSeparator" w:id="1">
    <w:p w:rsidR="00A83505" w:rsidRDefault="00A8350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505" w:rsidRDefault="00A83505">
      <w:r>
        <w:separator/>
      </w:r>
    </w:p>
  </w:footnote>
  <w:footnote w:type="continuationSeparator" w:id="1">
    <w:p w:rsidR="00A83505" w:rsidRDefault="00A835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350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A83505">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3505">
    <w:pPr>
      <w:pStyle w:val="Encabezado"/>
      <w:tabs>
        <w:tab w:val="clear" w:pos="8504"/>
        <w:tab w:val="right" w:pos="8100"/>
      </w:tabs>
      <w:ind w:right="360"/>
      <w:rPr>
        <w:lang w:val="es-MX"/>
      </w:rPr>
    </w:pPr>
    <w:r>
      <w:rPr>
        <w:lang w:val="es-MX"/>
      </w:rPr>
      <w:tab/>
    </w:r>
    <w:r>
      <w:rPr>
        <w:lang w:val="es-MX"/>
      </w:rPr>
      <w:tab/>
    </w:r>
  </w:p>
  <w:p w:rsidR="00000000" w:rsidRDefault="00A83505">
    <w:pPr>
      <w:pStyle w:val="Encabezado"/>
      <w:tabs>
        <w:tab w:val="clear" w:pos="8504"/>
        <w:tab w:val="right" w:pos="8100"/>
      </w:tabs>
      <w:rPr>
        <w:rFonts w:ascii="Arial" w:hAnsi="Arial" w:cs="Arial"/>
        <w:lang w:val="es-MX"/>
      </w:rPr>
    </w:pPr>
    <w:r>
      <w:rPr>
        <w:lang w:val="es-MX"/>
      </w:rPr>
      <w:tab/>
    </w:r>
    <w:r>
      <w:rPr>
        <w:lang w:val="es-MX"/>
      </w:rPr>
      <w:tab/>
    </w:r>
    <w:r>
      <w:rPr>
        <w:rStyle w:val="Nmerodepgina"/>
        <w:rFonts w:ascii="Arial" w:hAnsi="Arial" w:cs="Arial"/>
      </w:rPr>
      <w:fldChar w:fldCharType="begin"/>
    </w:r>
    <w:r>
      <w:rPr>
        <w:rStyle w:val="Nmerodepgina"/>
        <w:rFonts w:ascii="Arial" w:hAnsi="Arial" w:cs="Arial"/>
      </w:rPr>
      <w:instrText xml:space="preserve"> PAGE </w:instrText>
    </w:r>
    <w:r>
      <w:rPr>
        <w:rStyle w:val="Nmerodepgina"/>
        <w:rFonts w:ascii="Arial" w:hAnsi="Arial" w:cs="Arial"/>
      </w:rPr>
      <w:fldChar w:fldCharType="separate"/>
    </w:r>
    <w:r w:rsidR="00F73F72">
      <w:rPr>
        <w:rStyle w:val="Nmerodepgina"/>
        <w:rFonts w:ascii="Arial" w:hAnsi="Arial" w:cs="Arial"/>
        <w:noProof/>
      </w:rPr>
      <w:t>365</w:t>
    </w:r>
    <w:r>
      <w:rPr>
        <w:rStyle w:val="Nmerodepgina"/>
        <w:rFonts w:ascii="Arial" w:hAnsi="Arial" w:cs="Arial"/>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83505">
    <w:pPr>
      <w:pStyle w:val="Encabezado"/>
      <w:tabs>
        <w:tab w:val="clear" w:pos="8504"/>
        <w:tab w:val="right" w:pos="8100"/>
      </w:tabs>
      <w:ind w:right="360"/>
      <w:rPr>
        <w:lang w:val="es-MX"/>
      </w:rPr>
    </w:pPr>
    <w:r>
      <w:rPr>
        <w:lang w:val="es-MX"/>
      </w:rPr>
      <w:tab/>
    </w:r>
    <w:r>
      <w:rPr>
        <w:lang w:val="es-MX"/>
      </w:rPr>
      <w:tab/>
    </w:r>
  </w:p>
  <w:p w:rsidR="00000000" w:rsidRDefault="00A83505">
    <w:pPr>
      <w:pStyle w:val="Encabezado"/>
      <w:tabs>
        <w:tab w:val="clear" w:pos="8504"/>
        <w:tab w:val="right" w:pos="8100"/>
      </w:tabs>
      <w:rPr>
        <w:lang w:val="es-MX"/>
      </w:rPr>
    </w:pPr>
    <w:r>
      <w:rPr>
        <w:lang w:val="es-MX"/>
      </w:rPr>
      <w:tab/>
    </w:r>
    <w:r>
      <w:rPr>
        <w:lang w:val="es-MX"/>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168EA"/>
    <w:multiLevelType w:val="hybridMultilevel"/>
    <w:tmpl w:val="5D283DC2"/>
    <w:lvl w:ilvl="0" w:tplc="0C0A0009">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noPunctuationKerning/>
  <w:characterSpacingControl w:val="doNotCompress"/>
  <w:footnotePr>
    <w:footnote w:id="0"/>
    <w:footnote w:id="1"/>
  </w:footnotePr>
  <w:endnotePr>
    <w:endnote w:id="0"/>
    <w:endnote w:id="1"/>
  </w:endnotePr>
  <w:compat/>
  <w:rsids>
    <w:rsidRoot w:val="00F73F72"/>
    <w:rsid w:val="00A83505"/>
    <w:rsid w:val="00F73F7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spacing w:line="480" w:lineRule="auto"/>
      <w:jc w:val="center"/>
      <w:outlineLvl w:val="0"/>
    </w:pPr>
    <w:rPr>
      <w:rFonts w:ascii="Arial" w:hAnsi="Arial" w:cs="Arial"/>
      <w:b/>
      <w:bCs/>
      <w:sz w:val="48"/>
    </w:rPr>
  </w:style>
  <w:style w:type="paragraph" w:styleId="Ttulo2">
    <w:name w:val="heading 2"/>
    <w:basedOn w:val="Normal"/>
    <w:next w:val="Normal"/>
    <w:qFormat/>
    <w:pPr>
      <w:keepNext/>
      <w:outlineLvl w:val="1"/>
    </w:pPr>
    <w:rPr>
      <w:b/>
      <w:bCs/>
      <w:sz w:val="20"/>
      <w:lang w:val="en-US"/>
    </w:rPr>
  </w:style>
  <w:style w:type="paragraph" w:styleId="Ttulo3">
    <w:name w:val="heading 3"/>
    <w:basedOn w:val="Normal"/>
    <w:next w:val="Normal"/>
    <w:qFormat/>
    <w:pPr>
      <w:keepNext/>
      <w:framePr w:hSpace="141" w:wrap="around" w:vAnchor="page" w:hAnchor="margin" w:y="4069"/>
      <w:jc w:val="center"/>
      <w:outlineLvl w:val="2"/>
    </w:pPr>
    <w:rPr>
      <w:rFonts w:ascii="Arial" w:hAnsi="Arial" w:cs="Arial"/>
      <w:b/>
      <w:bCs/>
      <w:sz w:val="20"/>
      <w:lang w:val="es-MX"/>
    </w:rPr>
  </w:style>
  <w:style w:type="paragraph" w:styleId="Ttulo4">
    <w:name w:val="heading 4"/>
    <w:basedOn w:val="Normal"/>
    <w:next w:val="Normal"/>
    <w:qFormat/>
    <w:pPr>
      <w:keepNext/>
      <w:shd w:val="clear" w:color="auto" w:fill="CCFFFF"/>
      <w:jc w:val="center"/>
      <w:outlineLvl w:val="3"/>
    </w:pPr>
    <w:rPr>
      <w:b/>
      <w:bCs/>
      <w:sz w:val="28"/>
      <w:lang w:val="en-U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360" w:hanging="360"/>
    </w:pPr>
    <w:rPr>
      <w:rFonts w:ascii="Arial" w:hAnsi="Arial" w:cs="Arial"/>
      <w:b/>
      <w:bCs/>
      <w:sz w:val="32"/>
    </w:rPr>
  </w:style>
  <w:style w:type="paragraph" w:styleId="Sangra3detindependiente">
    <w:name w:val="Body Text Indent 3"/>
    <w:basedOn w:val="Normal"/>
    <w:semiHidden/>
    <w:pPr>
      <w:ind w:left="360"/>
      <w:jc w:val="both"/>
    </w:pPr>
    <w:rPr>
      <w:rFonts w:ascii="Arial" w:hAnsi="Arial" w:cs="Arial"/>
    </w:rPr>
  </w:style>
  <w:style w:type="paragraph" w:styleId="Sangra2detindependiente">
    <w:name w:val="Body Text Indent 2"/>
    <w:basedOn w:val="Normal"/>
    <w:semiHidden/>
    <w:pPr>
      <w:spacing w:line="480" w:lineRule="auto"/>
      <w:ind w:left="720"/>
      <w:jc w:val="both"/>
    </w:pPr>
    <w:rPr>
      <w:rFonts w:ascii="Arial" w:hAnsi="Arial" w:cs="Arial"/>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2856</Words>
  <Characters>15712</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CAPITULO 8</vt:lpstr>
    </vt:vector>
  </TitlesOfParts>
  <Company> </Company>
  <LinksUpToDate>false</LinksUpToDate>
  <CharactersWithSpaces>18531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8</dc:title>
  <dc:subject/>
  <dc:creator>HOLGER </dc:creator>
  <cp:keywords/>
  <dc:description/>
  <cp:lastModifiedBy>Ayudante</cp:lastModifiedBy>
  <cp:revision>2</cp:revision>
  <dcterms:created xsi:type="dcterms:W3CDTF">2009-07-06T14:21:00Z</dcterms:created>
  <dcterms:modified xsi:type="dcterms:W3CDTF">2009-07-06T14:21:00Z</dcterms:modified>
</cp:coreProperties>
</file>