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9741B">
      <w:pPr>
        <w:pStyle w:val="Sangra3detindependiente"/>
        <w:jc w:val="left"/>
        <w:rPr>
          <w:rFonts w:ascii="Arial" w:hAnsi="Arial" w:cs="Arial"/>
          <w:sz w:val="24"/>
          <w:lang w:val="es-ES_tradnl"/>
        </w:rPr>
      </w:pPr>
    </w:p>
    <w:p w:rsidR="00000000" w:rsidRDefault="0019741B">
      <w:pPr>
        <w:pStyle w:val="Sangra3detindependiente"/>
        <w:jc w:val="left"/>
        <w:rPr>
          <w:rFonts w:ascii="Arial" w:hAnsi="Arial" w:cs="Arial"/>
          <w:sz w:val="24"/>
          <w:lang w:val="es-ES_tradnl"/>
        </w:rPr>
      </w:pPr>
    </w:p>
    <w:p w:rsidR="00000000" w:rsidRDefault="0019741B">
      <w:pPr>
        <w:pStyle w:val="Sangra3detindependiente"/>
        <w:jc w:val="left"/>
        <w:rPr>
          <w:rFonts w:ascii="Arial" w:hAnsi="Arial" w:cs="Arial"/>
          <w:sz w:val="24"/>
          <w:lang w:val="es-ES_tradnl"/>
        </w:rPr>
      </w:pPr>
    </w:p>
    <w:p w:rsidR="00000000" w:rsidRDefault="0019741B">
      <w:pPr>
        <w:pStyle w:val="Sangra3detindependiente"/>
        <w:jc w:val="left"/>
        <w:rPr>
          <w:rFonts w:ascii="Arial" w:hAnsi="Arial" w:cs="Arial"/>
          <w:sz w:val="24"/>
          <w:lang w:val="es-ES_tradnl"/>
        </w:rPr>
      </w:pPr>
    </w:p>
    <w:p w:rsidR="00000000" w:rsidRDefault="0019741B">
      <w:pPr>
        <w:pStyle w:val="Sangra3detindependiente"/>
        <w:jc w:val="left"/>
        <w:rPr>
          <w:rFonts w:ascii="Arial" w:hAnsi="Arial" w:cs="Arial"/>
          <w:sz w:val="24"/>
          <w:lang w:val="es-ES_tradnl"/>
        </w:rPr>
      </w:pPr>
    </w:p>
    <w:p w:rsidR="00000000" w:rsidRDefault="0019741B">
      <w:pPr>
        <w:pStyle w:val="Sangra3detindependiente"/>
        <w:jc w:val="left"/>
        <w:rPr>
          <w:rFonts w:ascii="Arial" w:hAnsi="Arial" w:cs="Arial"/>
          <w:sz w:val="24"/>
          <w:lang w:val="es-ES_tradnl"/>
        </w:rPr>
      </w:pPr>
    </w:p>
    <w:p w:rsidR="00000000" w:rsidRDefault="0019741B">
      <w:pPr>
        <w:pStyle w:val="Sangra3detindependiente"/>
        <w:jc w:val="center"/>
        <w:rPr>
          <w:rFonts w:ascii="Arial" w:hAnsi="Arial" w:cs="Arial"/>
          <w:b/>
          <w:bCs/>
          <w:sz w:val="32"/>
          <w:lang w:val="es-ES_tradnl"/>
        </w:rPr>
      </w:pPr>
      <w:r>
        <w:rPr>
          <w:rFonts w:ascii="Arial" w:hAnsi="Arial" w:cs="Arial"/>
          <w:b/>
          <w:bCs/>
          <w:sz w:val="32"/>
          <w:lang w:val="es-ES_tradnl"/>
        </w:rPr>
        <w:t>INTRODUCCIÓN</w:t>
      </w:r>
    </w:p>
    <w:p w:rsidR="00000000" w:rsidRDefault="0019741B">
      <w:pPr>
        <w:pStyle w:val="Sangra3detindependiente"/>
        <w:jc w:val="left"/>
        <w:rPr>
          <w:rFonts w:ascii="Arial" w:hAnsi="Arial" w:cs="Arial"/>
          <w:sz w:val="24"/>
          <w:lang w:val="es-ES_tradnl"/>
        </w:rPr>
      </w:pPr>
    </w:p>
    <w:p w:rsidR="00000000" w:rsidRDefault="0019741B">
      <w:pPr>
        <w:pStyle w:val="Sangra3detindependiente"/>
        <w:jc w:val="left"/>
        <w:rPr>
          <w:rFonts w:ascii="Arial" w:hAnsi="Arial" w:cs="Arial"/>
          <w:sz w:val="24"/>
          <w:lang w:val="es-ES_tradnl"/>
        </w:rPr>
      </w:pPr>
    </w:p>
    <w:p w:rsidR="00000000" w:rsidRDefault="0019741B">
      <w:pPr>
        <w:pStyle w:val="Sangra3detindependiente"/>
        <w:jc w:val="left"/>
        <w:rPr>
          <w:rFonts w:ascii="Arial" w:hAnsi="Arial" w:cs="Arial"/>
          <w:sz w:val="24"/>
          <w:lang w:val="es-ES_tradnl"/>
        </w:rPr>
      </w:pPr>
    </w:p>
    <w:p w:rsidR="00000000" w:rsidRDefault="0019741B">
      <w:pPr>
        <w:pStyle w:val="Sangra3detindependiente"/>
        <w:jc w:val="left"/>
        <w:rPr>
          <w:rFonts w:ascii="Arial" w:hAnsi="Arial" w:cs="Arial"/>
          <w:sz w:val="24"/>
          <w:lang w:val="es-ES_tradnl"/>
        </w:rPr>
      </w:pPr>
    </w:p>
    <w:p w:rsidR="00000000" w:rsidRDefault="0019741B">
      <w:pPr>
        <w:pStyle w:val="Sangra3detindependiente"/>
        <w:spacing w:line="480" w:lineRule="auto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La educación es indispensable en el crecimiento moral o espiritual del ser humano, por este motivo se necesita que exista calidad en la educación,  la misma debe ser continuamente monitoreada a través de índices sociales, que indique</w:t>
      </w:r>
      <w:r>
        <w:rPr>
          <w:rFonts w:ascii="Arial" w:hAnsi="Arial" w:cs="Arial"/>
          <w:sz w:val="24"/>
          <w:lang w:val="es-ES_tradnl"/>
        </w:rPr>
        <w:t>n el grado de desarrollo de un país y que le permita competir en un mundo globalizado. Un acontecimiento muy importante para el sector educacional en el Ecuador, fue planificado por el Ministerio de Educación y Cultura (MEC), el cual realizó un empadronami</w:t>
      </w:r>
      <w:r>
        <w:rPr>
          <w:rFonts w:ascii="Arial" w:hAnsi="Arial" w:cs="Arial"/>
          <w:sz w:val="24"/>
          <w:lang w:val="es-ES_tradnl"/>
        </w:rPr>
        <w:t>ento denominado Censo del Magisterio Fiscal y de los Servidores Públicos del MEC, este evento se llevo a cabo el 14 de Diciembre de 2000, en un horario de 08h00 a 17h30 a nivel nacional,  tenía como objetivo principal percibir características y repartimien</w:t>
      </w:r>
      <w:r>
        <w:rPr>
          <w:rFonts w:ascii="Arial" w:hAnsi="Arial" w:cs="Arial"/>
          <w:sz w:val="24"/>
          <w:lang w:val="es-ES_tradnl"/>
        </w:rPr>
        <w:t>to del recurso humano que labora en tal Ministerio.</w:t>
      </w:r>
    </w:p>
    <w:p w:rsidR="00000000" w:rsidRDefault="0019741B">
      <w:pPr>
        <w:pStyle w:val="Sangra3detindependiente"/>
        <w:spacing w:line="480" w:lineRule="auto"/>
        <w:rPr>
          <w:rFonts w:ascii="Arial" w:hAnsi="Arial" w:cs="Arial"/>
          <w:sz w:val="24"/>
          <w:lang w:val="es-ES_tradnl"/>
        </w:rPr>
      </w:pPr>
    </w:p>
    <w:p w:rsidR="00000000" w:rsidRDefault="0019741B">
      <w:pPr>
        <w:pStyle w:val="Sangra3detindependiente"/>
        <w:spacing w:line="480" w:lineRule="auto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Se utilizó una boleta censal dirigida para profesores, directivos y otros empleados del MEC e instituciones anexas para la recolección de datos,  dicho cuestionario consta de cuatro secciones que son:</w:t>
      </w:r>
    </w:p>
    <w:p w:rsidR="00000000" w:rsidRDefault="0019741B">
      <w:pPr>
        <w:pStyle w:val="Sangra3detindependiente"/>
        <w:spacing w:line="480" w:lineRule="auto"/>
        <w:rPr>
          <w:rFonts w:ascii="Arial" w:hAnsi="Arial" w:cs="Arial"/>
          <w:sz w:val="24"/>
          <w:lang w:val="es-ES_tradnl"/>
        </w:rPr>
      </w:pPr>
    </w:p>
    <w:p w:rsidR="00000000" w:rsidRDefault="0019741B">
      <w:pPr>
        <w:pStyle w:val="Sangra3detindependiente"/>
        <w:spacing w:line="480" w:lineRule="auto"/>
        <w:ind w:left="750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lastRenderedPageBreak/>
        <w:t>1</w:t>
      </w:r>
      <w:r>
        <w:rPr>
          <w:rFonts w:ascii="Arial" w:hAnsi="Arial" w:cs="Arial"/>
          <w:sz w:val="24"/>
          <w:lang w:val="es-ES_tradnl"/>
        </w:rPr>
        <w:t xml:space="preserve">. Identificación personal </w:t>
      </w:r>
      <w:r>
        <w:rPr>
          <w:rFonts w:ascii="Arial" w:hAnsi="Arial" w:cs="Arial"/>
          <w:i/>
          <w:iCs/>
          <w:sz w:val="22"/>
          <w:lang w:val="es-ES_tradnl"/>
        </w:rPr>
        <w:t>(información personal del empadronado),</w:t>
      </w:r>
      <w:r>
        <w:rPr>
          <w:rFonts w:ascii="Arial" w:hAnsi="Arial" w:cs="Arial"/>
          <w:sz w:val="22"/>
          <w:lang w:val="es-ES_tradnl"/>
        </w:rPr>
        <w:t xml:space="preserve">     </w:t>
      </w:r>
    </w:p>
    <w:p w:rsidR="00000000" w:rsidRDefault="0019741B">
      <w:pPr>
        <w:pStyle w:val="Sangra3detindependiente"/>
        <w:spacing w:line="480" w:lineRule="auto"/>
        <w:ind w:left="750"/>
        <w:rPr>
          <w:rFonts w:ascii="Arial" w:hAnsi="Arial" w:cs="Arial"/>
          <w:i/>
          <w:iCs/>
          <w:sz w:val="22"/>
          <w:lang w:val="es-ES_tradnl"/>
        </w:rPr>
      </w:pPr>
      <w:r>
        <w:rPr>
          <w:rFonts w:ascii="Arial" w:hAnsi="Arial" w:cs="Arial"/>
          <w:sz w:val="24"/>
          <w:lang w:val="es-ES_tradnl"/>
        </w:rPr>
        <w:t xml:space="preserve">2. Instrucción y experiencia </w:t>
      </w:r>
      <w:r>
        <w:rPr>
          <w:rFonts w:ascii="Arial" w:hAnsi="Arial" w:cs="Arial"/>
          <w:i/>
          <w:iCs/>
          <w:sz w:val="22"/>
          <w:lang w:val="es-ES_tradnl"/>
        </w:rPr>
        <w:t xml:space="preserve">(información sobre el nivel de instrucción, nombramiento, años de experiencia, función de desempeño actual y categoría docente), </w:t>
      </w:r>
    </w:p>
    <w:p w:rsidR="00000000" w:rsidRDefault="0019741B">
      <w:pPr>
        <w:pStyle w:val="Sangra3detindependiente"/>
        <w:spacing w:line="480" w:lineRule="auto"/>
        <w:ind w:left="750"/>
        <w:rPr>
          <w:rFonts w:ascii="Arial" w:hAnsi="Arial" w:cs="Arial"/>
          <w:i/>
          <w:iCs/>
          <w:sz w:val="22"/>
          <w:lang w:val="es-ES_tradnl"/>
        </w:rPr>
      </w:pPr>
      <w:r>
        <w:rPr>
          <w:rFonts w:ascii="Arial" w:hAnsi="Arial" w:cs="Arial"/>
          <w:sz w:val="24"/>
          <w:lang w:val="es-ES_tradnl"/>
        </w:rPr>
        <w:t xml:space="preserve">3. Información laboral </w:t>
      </w:r>
      <w:r>
        <w:rPr>
          <w:rFonts w:ascii="Arial" w:hAnsi="Arial" w:cs="Arial"/>
          <w:i/>
          <w:iCs/>
          <w:sz w:val="22"/>
          <w:lang w:val="es-ES_tradnl"/>
        </w:rPr>
        <w:t>(co</w:t>
      </w:r>
      <w:r>
        <w:rPr>
          <w:rFonts w:ascii="Arial" w:hAnsi="Arial" w:cs="Arial"/>
          <w:i/>
          <w:iCs/>
          <w:sz w:val="22"/>
          <w:lang w:val="es-ES_tradnl"/>
        </w:rPr>
        <w:t>nsta de información relacionada con la institución que actualmente labora el servidor público y su relación laboral ); y ,</w:t>
      </w:r>
    </w:p>
    <w:p w:rsidR="00000000" w:rsidRDefault="0019741B">
      <w:pPr>
        <w:pStyle w:val="Sangra3detindependiente"/>
        <w:spacing w:line="480" w:lineRule="auto"/>
        <w:ind w:left="750"/>
        <w:rPr>
          <w:i/>
          <w:iCs/>
          <w:snapToGrid w:val="0"/>
          <w:sz w:val="18"/>
          <w:lang w:val="es-ES_tradnl"/>
        </w:rPr>
      </w:pPr>
      <w:r>
        <w:rPr>
          <w:rFonts w:ascii="Arial" w:hAnsi="Arial" w:cs="Arial"/>
          <w:sz w:val="24"/>
          <w:lang w:val="es-ES_tradnl"/>
        </w:rPr>
        <w:t xml:space="preserve">4. Sólo para directores o rectores de planteles educativos </w:t>
      </w:r>
      <w:r>
        <w:rPr>
          <w:rFonts w:ascii="Arial" w:hAnsi="Arial" w:cs="Arial"/>
          <w:i/>
          <w:iCs/>
          <w:sz w:val="22"/>
          <w:lang w:val="es-ES_tradnl"/>
        </w:rPr>
        <w:t>(en esta sección solo la llenan los directores o rectores de los planteles</w:t>
      </w:r>
      <w:r>
        <w:rPr>
          <w:rFonts w:ascii="Arial" w:hAnsi="Arial" w:cs="Arial"/>
          <w:i/>
          <w:iCs/>
          <w:sz w:val="22"/>
          <w:lang w:val="es-ES_tradnl"/>
        </w:rPr>
        <w:t xml:space="preserve"> educativos de los subsistemas de educación identificando en primer lugar el subsistema y luego la modalidad ya sea presencial o a distancia, luego datos de identificación del establecimiento y del personal que labora).</w:t>
      </w:r>
      <w:r>
        <w:rPr>
          <w:i/>
          <w:iCs/>
          <w:snapToGrid w:val="0"/>
          <w:sz w:val="18"/>
          <w:lang w:val="es-ES_tradnl"/>
        </w:rPr>
        <w:t xml:space="preserve"> </w:t>
      </w:r>
    </w:p>
    <w:p w:rsidR="00000000" w:rsidRDefault="0019741B">
      <w:pPr>
        <w:pStyle w:val="Sangradetextonormal"/>
        <w:ind w:left="375"/>
      </w:pPr>
    </w:p>
    <w:p w:rsidR="00000000" w:rsidRDefault="0019741B">
      <w:pPr>
        <w:pStyle w:val="Sangradetextonormal"/>
        <w:ind w:left="375"/>
      </w:pPr>
      <w:r>
        <w:t>El censo se efectuó en todo el paí</w:t>
      </w:r>
      <w:r>
        <w:t>s y la provincia del Pichincha fue uno de los ámbitos geográficos estudiados; esta provincia con el 19.7% de la población nacional ocupa el segundo lugar entre las veintidós provincias existentes en Ecuador, su capital es Quito, la misma que también es cap</w:t>
      </w:r>
      <w:r>
        <w:t>ital de la República del Ecuador, Pichincha cuenta con nueve cantones, treinta y cuatro parroquias urbanas, y, cincuenta y siete parroquias rurales. Los entes de estudio fueron clasificados como: Directivos, Profesores y Otros; para efectos de esta investi</w:t>
      </w:r>
      <w:r>
        <w:t>gación se presentarán los resultados de algunas características de los profesores, sean estos a nivel preprimario, primario, media, educación básica, etc.</w:t>
      </w:r>
    </w:p>
    <w:p w:rsidR="00000000" w:rsidRDefault="0019741B">
      <w:pPr>
        <w:spacing w:line="480" w:lineRule="auto"/>
        <w:ind w:left="375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lastRenderedPageBreak/>
        <w:t>En primer instancia se plantearon varias hipótesis respecto a la población de estudio, las mismas que</w:t>
      </w:r>
      <w:r>
        <w:rPr>
          <w:rFonts w:ascii="Arial" w:hAnsi="Arial" w:cs="Arial"/>
          <w:lang w:val="es-ES_tradnl"/>
        </w:rPr>
        <w:t xml:space="preserve"> serán aceptadas o rechazadas de acuerdo a los resultados de los análisis estadísticos :</w:t>
      </w:r>
    </w:p>
    <w:p w:rsidR="00000000" w:rsidRDefault="0019741B">
      <w:pPr>
        <w:ind w:left="375"/>
        <w:rPr>
          <w:rFonts w:ascii="Arial" w:hAnsi="Arial" w:cs="Arial"/>
          <w:lang w:val="es-ES_tradnl"/>
        </w:rPr>
      </w:pPr>
    </w:p>
    <w:p w:rsidR="00000000" w:rsidRDefault="0019741B">
      <w:pPr>
        <w:numPr>
          <w:ilvl w:val="0"/>
          <w:numId w:val="2"/>
        </w:numPr>
        <w:tabs>
          <w:tab w:val="clear" w:pos="735"/>
          <w:tab w:val="num" w:pos="1125"/>
        </w:tabs>
        <w:spacing w:line="480" w:lineRule="auto"/>
        <w:ind w:left="1125" w:hanging="45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En la provincia del Pichincha, el número de empadronados como docentes mayoritariamente tiene relación laboral con nombramiento.</w:t>
      </w:r>
    </w:p>
    <w:p w:rsidR="00000000" w:rsidRDefault="0019741B">
      <w:pPr>
        <w:numPr>
          <w:ilvl w:val="0"/>
          <w:numId w:val="2"/>
        </w:numPr>
        <w:tabs>
          <w:tab w:val="clear" w:pos="735"/>
          <w:tab w:val="num" w:pos="1125"/>
        </w:tabs>
        <w:spacing w:line="480" w:lineRule="auto"/>
        <w:ind w:left="1125" w:hanging="45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En cuanto al género de los profesores</w:t>
      </w:r>
      <w:r>
        <w:rPr>
          <w:rFonts w:ascii="Arial" w:hAnsi="Arial" w:cs="Arial"/>
          <w:lang w:val="es-ES_tradnl"/>
        </w:rPr>
        <w:t>, es mayor  la cantidad de docentes hombres que laboran en la zona rural de la provincia del Pichincha.</w:t>
      </w:r>
    </w:p>
    <w:p w:rsidR="00000000" w:rsidRDefault="0019741B">
      <w:pPr>
        <w:numPr>
          <w:ilvl w:val="0"/>
          <w:numId w:val="2"/>
        </w:numPr>
        <w:tabs>
          <w:tab w:val="clear" w:pos="735"/>
          <w:tab w:val="num" w:pos="1125"/>
        </w:tabs>
        <w:spacing w:line="480" w:lineRule="auto"/>
        <w:ind w:left="1125" w:hanging="45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La edad promedio de los profesores que laboran en el MEC en la provincia del Pichincha es de treinta y cinco años.</w:t>
      </w:r>
    </w:p>
    <w:p w:rsidR="00000000" w:rsidRDefault="0019741B">
      <w:pPr>
        <w:numPr>
          <w:ilvl w:val="0"/>
          <w:numId w:val="2"/>
        </w:numPr>
        <w:tabs>
          <w:tab w:val="clear" w:pos="735"/>
          <w:tab w:val="num" w:pos="1125"/>
        </w:tabs>
        <w:spacing w:line="480" w:lineRule="auto"/>
        <w:ind w:left="1125" w:hanging="45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El mayor porcentaje de docentes que l</w:t>
      </w:r>
      <w:r>
        <w:rPr>
          <w:rFonts w:ascii="Arial" w:hAnsi="Arial" w:cs="Arial"/>
          <w:lang w:val="es-ES_tradnl"/>
        </w:rPr>
        <w:t>aboran en Pichincha tienen un nivel de instrucción superior.</w:t>
      </w:r>
    </w:p>
    <w:p w:rsidR="00000000" w:rsidRDefault="0019741B">
      <w:pPr>
        <w:numPr>
          <w:ilvl w:val="0"/>
          <w:numId w:val="2"/>
        </w:numPr>
        <w:tabs>
          <w:tab w:val="clear" w:pos="735"/>
          <w:tab w:val="num" w:pos="1125"/>
        </w:tabs>
        <w:spacing w:line="480" w:lineRule="auto"/>
        <w:ind w:left="1125" w:hanging="45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En cuanto a los años de experiencia de los docentes, el menor porcentaje de profesores tienen experiencia menor a quince años.</w:t>
      </w:r>
    </w:p>
    <w:p w:rsidR="00000000" w:rsidRDefault="0019741B">
      <w:pPr>
        <w:numPr>
          <w:ilvl w:val="0"/>
          <w:numId w:val="2"/>
        </w:numPr>
        <w:tabs>
          <w:tab w:val="clear" w:pos="735"/>
          <w:tab w:val="num" w:pos="1125"/>
        </w:tabs>
        <w:spacing w:line="480" w:lineRule="auto"/>
        <w:ind w:left="1125" w:hanging="45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El cantón Quito por ser el más poblado de la provincia de Pichincha,</w:t>
      </w:r>
      <w:r>
        <w:rPr>
          <w:rFonts w:ascii="Arial" w:hAnsi="Arial" w:cs="Arial"/>
          <w:lang w:val="es-ES_tradnl"/>
        </w:rPr>
        <w:t xml:space="preserve"> posee la suficiente cantidad de profesores por habitante.</w:t>
      </w:r>
    </w:p>
    <w:p w:rsidR="00000000" w:rsidRDefault="0019741B">
      <w:pPr>
        <w:numPr>
          <w:ilvl w:val="0"/>
          <w:numId w:val="2"/>
        </w:numPr>
        <w:tabs>
          <w:tab w:val="clear" w:pos="735"/>
          <w:tab w:val="num" w:pos="1125"/>
        </w:tabs>
        <w:spacing w:line="480" w:lineRule="auto"/>
        <w:ind w:left="1125" w:hanging="45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El cantón de la provincia de Pichincha que mayor número de profesores con postgrado en Docencia por habitante es Quito.</w:t>
      </w:r>
    </w:p>
    <w:p w:rsidR="00000000" w:rsidRDefault="0019741B">
      <w:pPr>
        <w:numPr>
          <w:ilvl w:val="0"/>
          <w:numId w:val="2"/>
        </w:numPr>
        <w:tabs>
          <w:tab w:val="clear" w:pos="735"/>
          <w:tab w:val="num" w:pos="1125"/>
        </w:tabs>
        <w:spacing w:line="480" w:lineRule="auto"/>
        <w:ind w:left="1125" w:hanging="45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Los años de experiencia y el nivel de instrucción de la población investigada</w:t>
      </w:r>
      <w:r>
        <w:rPr>
          <w:rFonts w:ascii="Arial" w:hAnsi="Arial" w:cs="Arial"/>
          <w:lang w:val="es-ES_tradnl"/>
        </w:rPr>
        <w:t xml:space="preserve"> son variables independientes.</w:t>
      </w:r>
    </w:p>
    <w:p w:rsidR="00000000" w:rsidRDefault="0019741B">
      <w:pPr>
        <w:numPr>
          <w:ilvl w:val="0"/>
          <w:numId w:val="2"/>
        </w:numPr>
        <w:tabs>
          <w:tab w:val="clear" w:pos="735"/>
          <w:tab w:val="num" w:pos="1125"/>
        </w:tabs>
        <w:spacing w:line="480" w:lineRule="auto"/>
        <w:ind w:left="1125" w:hanging="45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lastRenderedPageBreak/>
        <w:t>Existe un equilibrio entre el número de profesores con nombramiento del MEC que laboran en la zona urbana y rural  de la provincia de Pichincha.</w:t>
      </w:r>
    </w:p>
    <w:p w:rsidR="00000000" w:rsidRDefault="0019741B">
      <w:pPr>
        <w:numPr>
          <w:ilvl w:val="0"/>
          <w:numId w:val="2"/>
        </w:numPr>
        <w:tabs>
          <w:tab w:val="clear" w:pos="735"/>
          <w:tab w:val="num" w:pos="1125"/>
        </w:tabs>
        <w:spacing w:line="480" w:lineRule="auto"/>
        <w:ind w:left="1125" w:hanging="45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Mayoritariamente los profesores que laboran en la zona rural de la provincia de </w:t>
      </w:r>
      <w:r>
        <w:rPr>
          <w:rFonts w:ascii="Arial" w:hAnsi="Arial" w:cs="Arial"/>
          <w:lang w:val="es-ES_tradnl"/>
        </w:rPr>
        <w:t>Pichincha, habitan en la escuela.</w:t>
      </w:r>
    </w:p>
    <w:p w:rsidR="00000000" w:rsidRDefault="0019741B">
      <w:pPr>
        <w:spacing w:line="480" w:lineRule="auto"/>
        <w:ind w:left="375"/>
        <w:jc w:val="both"/>
        <w:rPr>
          <w:rFonts w:ascii="Arial" w:hAnsi="Arial" w:cs="Arial"/>
          <w:lang w:val="es-ES_tradnl"/>
        </w:rPr>
      </w:pPr>
    </w:p>
    <w:p w:rsidR="00000000" w:rsidRDefault="0019741B">
      <w:pPr>
        <w:pStyle w:val="Sangra2detindependiente"/>
        <w:spacing w:line="480" w:lineRule="auto"/>
      </w:pPr>
      <w:r>
        <w:t>Con los datos recolectados de la base de datos del Censo del Magisterio Fiscal se efectuará un análisis individual de ciertas características investigadas a los Profesores y consecutivamente se realizará un análisis utili</w:t>
      </w:r>
      <w:r>
        <w:t xml:space="preserve">zando técnicas multivariadas, tales como: Componentes Principales, Distribuciones Conjuntas, Correlaciones Canónicas, etc,. </w:t>
      </w:r>
    </w:p>
    <w:p w:rsidR="00000000" w:rsidRDefault="0019741B">
      <w:pPr>
        <w:spacing w:line="480" w:lineRule="auto"/>
        <w:jc w:val="both"/>
        <w:rPr>
          <w:rFonts w:ascii="Arial" w:hAnsi="Arial" w:cs="Arial"/>
          <w:lang w:val="es-ES_tradnl"/>
        </w:rPr>
      </w:pPr>
    </w:p>
    <w:p w:rsidR="00000000" w:rsidRDefault="0019741B">
      <w:pPr>
        <w:spacing w:line="480" w:lineRule="auto"/>
        <w:rPr>
          <w:rFonts w:ascii="Arial" w:hAnsi="Arial" w:cs="Arial"/>
          <w:lang w:val="es-ES_tradnl"/>
        </w:rPr>
      </w:pPr>
    </w:p>
    <w:p w:rsidR="00000000" w:rsidRDefault="0019741B">
      <w:pPr>
        <w:spacing w:line="480" w:lineRule="auto"/>
        <w:rPr>
          <w:rFonts w:ascii="Arial" w:hAnsi="Arial" w:cs="Arial"/>
          <w:lang w:val="es-ES_tradnl"/>
        </w:rPr>
      </w:pPr>
    </w:p>
    <w:p w:rsidR="00000000" w:rsidRDefault="0019741B">
      <w:pPr>
        <w:spacing w:line="480" w:lineRule="auto"/>
        <w:ind w:left="375" w:firstLine="90"/>
        <w:rPr>
          <w:rFonts w:ascii="Arial" w:hAnsi="Arial" w:cs="Arial"/>
          <w:lang w:val="es-ES_tradnl"/>
        </w:rPr>
      </w:pPr>
    </w:p>
    <w:p w:rsidR="00000000" w:rsidRDefault="0019741B">
      <w:pPr>
        <w:spacing w:line="480" w:lineRule="auto"/>
        <w:ind w:left="375" w:firstLine="90"/>
        <w:rPr>
          <w:rFonts w:ascii="Arial" w:hAnsi="Arial" w:cs="Arial"/>
          <w:lang w:val="es-ES_tradnl"/>
        </w:rPr>
      </w:pPr>
    </w:p>
    <w:p w:rsidR="0019741B" w:rsidRDefault="0019741B">
      <w:pPr>
        <w:spacing w:line="480" w:lineRule="auto"/>
        <w:ind w:left="375"/>
        <w:rPr>
          <w:rFonts w:ascii="Arial" w:hAnsi="Arial" w:cs="Arial"/>
          <w:lang w:val="es-ES_tradnl"/>
        </w:rPr>
      </w:pPr>
    </w:p>
    <w:sectPr w:rsidR="0019741B">
      <w:pgSz w:w="11906" w:h="16838" w:code="9"/>
      <w:pgMar w:top="2268" w:right="1361" w:bottom="2268" w:left="2268" w:header="720" w:footer="720" w:gutter="0"/>
      <w:cols w:space="708"/>
      <w:docGrid w:linePitch="2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E586D"/>
    <w:multiLevelType w:val="hybridMultilevel"/>
    <w:tmpl w:val="F35A7F80"/>
    <w:lvl w:ilvl="0" w:tplc="8644816E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60B127DE"/>
    <w:multiLevelType w:val="hybridMultilevel"/>
    <w:tmpl w:val="C934775A"/>
    <w:lvl w:ilvl="0" w:tplc="78C0BFC0">
      <w:start w:val="1"/>
      <w:numFmt w:val="lowerLetter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compat/>
  <w:rsids>
    <w:rsidRoot w:val="001C4CD2"/>
    <w:rsid w:val="0019741B"/>
    <w:rsid w:val="001C4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3detindependiente">
    <w:name w:val="Body Text Indent 3"/>
    <w:basedOn w:val="Normal"/>
    <w:semiHidden/>
    <w:pPr>
      <w:ind w:left="360"/>
      <w:jc w:val="both"/>
    </w:pPr>
    <w:rPr>
      <w:sz w:val="20"/>
    </w:rPr>
  </w:style>
  <w:style w:type="paragraph" w:styleId="Sangradetextonormal">
    <w:name w:val="Body Text Indent"/>
    <w:basedOn w:val="Normal"/>
    <w:semiHidden/>
    <w:pPr>
      <w:spacing w:line="480" w:lineRule="auto"/>
      <w:ind w:left="360"/>
      <w:jc w:val="both"/>
    </w:pPr>
    <w:rPr>
      <w:rFonts w:ascii="Arial" w:hAnsi="Arial" w:cs="Arial"/>
      <w:lang w:val="es-ES_tradnl"/>
    </w:rPr>
  </w:style>
  <w:style w:type="paragraph" w:styleId="Sangra2detindependiente">
    <w:name w:val="Body Text Indent 2"/>
    <w:basedOn w:val="Normal"/>
    <w:semiHidden/>
    <w:pPr>
      <w:spacing w:line="360" w:lineRule="auto"/>
      <w:ind w:left="375"/>
      <w:jc w:val="both"/>
    </w:pPr>
    <w:rPr>
      <w:rFonts w:ascii="Arial" w:hAnsi="Arial" w:cs="Arial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INTRODUCCION</vt:lpstr>
    </vt:vector>
  </TitlesOfParts>
  <Company>Pepo´s Bar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INTRODUCCION</dc:title>
  <dc:subject/>
  <dc:creator>Rita Bella</dc:creator>
  <cp:keywords/>
  <dc:description/>
  <cp:lastModifiedBy>Ayudante</cp:lastModifiedBy>
  <cp:revision>2</cp:revision>
  <dcterms:created xsi:type="dcterms:W3CDTF">2009-07-14T16:45:00Z</dcterms:created>
  <dcterms:modified xsi:type="dcterms:W3CDTF">2009-07-14T16:45:00Z</dcterms:modified>
</cp:coreProperties>
</file>