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8D1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5078D1">
      <w:pPr>
        <w:pStyle w:val="Textoindependiente"/>
        <w:spacing w:line="360" w:lineRule="auto"/>
        <w:rPr>
          <w:rFonts w:ascii="Arial" w:hAnsi="Arial"/>
        </w:rPr>
      </w:pPr>
    </w:p>
    <w:p w:rsidR="00000000" w:rsidRDefault="005078D1">
      <w:pPr>
        <w:pStyle w:val="Ttulo3"/>
        <w:rPr>
          <w:sz w:val="32"/>
          <w:lang w:val="es-ES_tradnl"/>
        </w:rPr>
      </w:pPr>
    </w:p>
    <w:p w:rsidR="00000000" w:rsidRDefault="005078D1">
      <w:pPr>
        <w:pStyle w:val="Ttulo3"/>
        <w:rPr>
          <w:sz w:val="32"/>
          <w:lang w:val="es-ES_tradnl"/>
        </w:rPr>
      </w:pPr>
      <w:r>
        <w:rPr>
          <w:sz w:val="32"/>
          <w:lang w:val="es-ES_tradnl"/>
        </w:rPr>
        <w:t>BIBLIOGRAFÍA</w:t>
      </w:r>
    </w:p>
    <w:p w:rsidR="00000000" w:rsidRDefault="005078D1"/>
    <w:p w:rsidR="00000000" w:rsidRDefault="005078D1"/>
    <w:p w:rsidR="00000000" w:rsidRDefault="005078D1">
      <w:pPr>
        <w:rPr>
          <w:sz w:val="24"/>
        </w:rPr>
      </w:pPr>
    </w:p>
    <w:p w:rsidR="00000000" w:rsidRDefault="005078D1">
      <w:pPr>
        <w:pStyle w:val="Textoindependiente"/>
        <w:spacing w:line="360" w:lineRule="auto"/>
        <w:rPr>
          <w:rFonts w:ascii="Arial" w:hAnsi="Arial"/>
          <w:lang w:val="es-ES_tradnl"/>
        </w:rPr>
      </w:pPr>
    </w:p>
    <w:p w:rsidR="00000000" w:rsidRDefault="005078D1">
      <w:pPr>
        <w:pStyle w:val="Textoindependiente"/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DICCIONARIO ENCICLOPÉDICO HACHETTE CASTELL (1981); Volumen II; Editorial Castell. España.</w:t>
      </w:r>
    </w:p>
    <w:p w:rsidR="00000000" w:rsidRDefault="005078D1">
      <w:pPr>
        <w:pStyle w:val="Textoindependiente"/>
        <w:spacing w:line="360" w:lineRule="auto"/>
        <w:rPr>
          <w:rFonts w:ascii="Arial" w:hAnsi="Arial"/>
          <w:lang w:val="es-ES_tradnl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ESPOL (1996), Catálogo de la ESPOL 1996 – 1998, Talleres  del Centro de Difusión y Publicación de la  ESPOL, Guayaquil, Ecuador</w:t>
      </w:r>
    </w:p>
    <w:p w:rsidR="00000000" w:rsidRDefault="005078D1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5078D1">
      <w:pPr>
        <w:pStyle w:val="Textoindependiente"/>
        <w:spacing w:line="360" w:lineRule="auto"/>
        <w:rPr>
          <w:rFonts w:ascii="Arial" w:hAnsi="Arial"/>
        </w:rPr>
      </w:pPr>
      <w:r>
        <w:rPr>
          <w:rFonts w:ascii="Arial" w:hAnsi="Arial"/>
        </w:rPr>
        <w:t>ESPOL (1998) Pla</w:t>
      </w:r>
      <w:r>
        <w:rPr>
          <w:rFonts w:ascii="Arial" w:hAnsi="Arial"/>
        </w:rPr>
        <w:t>n de Desarrollo Estratégico 1998 – 2002, Talleres  del Centro de Difusión y Publicación de la  ESPOL, Guayaquil, Ecuador</w:t>
      </w:r>
    </w:p>
    <w:p w:rsidR="00000000" w:rsidRDefault="005078D1">
      <w:pPr>
        <w:pStyle w:val="Textoindependiente"/>
        <w:spacing w:line="360" w:lineRule="auto"/>
        <w:rPr>
          <w:rFonts w:ascii="Arial" w:hAnsi="Arial"/>
        </w:rPr>
      </w:pPr>
      <w:r>
        <w:rPr>
          <w:rFonts w:ascii="Arial" w:hAnsi="Arial"/>
        </w:rPr>
        <w:t>INEC (1998) Encuesta de condiciones de Vida Tercera Ronda, 1998, Talleres gráficos, Guayaquil, Ecuador.</w:t>
      </w:r>
    </w:p>
    <w:p w:rsidR="00000000" w:rsidRDefault="005078D1"/>
    <w:p w:rsidR="00000000" w:rsidRDefault="005078D1">
      <w:pPr>
        <w:pStyle w:val="Ttulo1"/>
      </w:pPr>
      <w:r>
        <w:t>INEC (1999) Encuesta de condic</w:t>
      </w:r>
      <w:r>
        <w:t>iones de  Vida Serie Estadística 1994-1999, Talleres gráficos, Guayaquil, Ecuador</w:t>
      </w:r>
    </w:p>
    <w:p w:rsidR="00000000" w:rsidRDefault="005078D1"/>
    <w:p w:rsidR="00000000" w:rsidRDefault="005078D1">
      <w:pPr>
        <w:pStyle w:val="Textoindependiente2"/>
        <w:jc w:val="both"/>
        <w:rPr>
          <w:lang w:val="es-MX"/>
        </w:rPr>
      </w:pPr>
      <w:r>
        <w:rPr>
          <w:lang w:val="es-MX"/>
        </w:rPr>
        <w:t xml:space="preserve">Azorín, Francisco y Sánchez Crespo, José </w:t>
      </w:r>
      <w:proofErr w:type="gramStart"/>
      <w:r>
        <w:rPr>
          <w:lang w:val="es-MX"/>
        </w:rPr>
        <w:t>( 1986</w:t>
      </w:r>
      <w:proofErr w:type="gramEnd"/>
      <w:r>
        <w:rPr>
          <w:lang w:val="es-MX"/>
        </w:rPr>
        <w:t>);   Métodos y Aplicación del</w:t>
      </w:r>
      <w:r>
        <w:rPr>
          <w:i/>
        </w:rPr>
        <w:t xml:space="preserve"> </w:t>
      </w:r>
      <w:r>
        <w:rPr>
          <w:lang w:val="es-MX"/>
        </w:rPr>
        <w:t>Muestreo; Alianza  Editorial S. A. ; Madrid, España</w:t>
      </w:r>
    </w:p>
    <w:p w:rsidR="00000000" w:rsidRDefault="005078D1">
      <w:pPr>
        <w:pStyle w:val="Textoindependiente2"/>
        <w:jc w:val="both"/>
        <w:rPr>
          <w:lang w:val="es-MX"/>
        </w:rPr>
      </w:pPr>
    </w:p>
    <w:p w:rsidR="00000000" w:rsidRDefault="005078D1">
      <w:pPr>
        <w:pStyle w:val="Textoindependiente2"/>
        <w:jc w:val="both"/>
        <w:rPr>
          <w:lang w:val="es-MX"/>
        </w:rPr>
      </w:pPr>
      <w:r>
        <w:rPr>
          <w:lang w:val="es-MX"/>
        </w:rPr>
        <w:t xml:space="preserve">Pérez, César (2000);  Técnicas de Muestreo </w:t>
      </w:r>
      <w:r>
        <w:rPr>
          <w:lang w:val="es-MX"/>
        </w:rPr>
        <w:t xml:space="preserve">Estadístico, </w:t>
      </w:r>
      <w:proofErr w:type="spellStart"/>
      <w:r>
        <w:rPr>
          <w:lang w:val="es-MX"/>
        </w:rPr>
        <w:t>AlfaOmega</w:t>
      </w:r>
      <w:proofErr w:type="spellEnd"/>
      <w:r>
        <w:rPr>
          <w:lang w:val="es-MX"/>
        </w:rPr>
        <w:t xml:space="preserve"> Grupo Editorial S.A.; México D.F., México</w:t>
      </w:r>
    </w:p>
    <w:p w:rsidR="00000000" w:rsidRDefault="005078D1">
      <w:pPr>
        <w:pStyle w:val="Textoindependiente2"/>
        <w:jc w:val="both"/>
        <w:rPr>
          <w:rFonts w:ascii="Arial Narrow" w:hAnsi="Arial Narrow"/>
        </w:rPr>
      </w:pPr>
    </w:p>
    <w:p w:rsidR="00000000" w:rsidRDefault="005078D1">
      <w:pPr>
        <w:ind w:left="80"/>
        <w:rPr>
          <w:rFonts w:ascii="Arial" w:hAnsi="Arial"/>
          <w:snapToGrid w:val="0"/>
          <w:color w:val="000000"/>
          <w:sz w:val="24"/>
          <w:lang w:val="es-MX"/>
        </w:rPr>
      </w:pPr>
    </w:p>
    <w:p w:rsidR="00000000" w:rsidRDefault="005078D1">
      <w:pPr>
        <w:pStyle w:val="Textoindependiente2"/>
        <w:jc w:val="both"/>
        <w:rPr>
          <w:rFonts w:ascii="Arial Narrow" w:hAnsi="Arial Narrow"/>
        </w:rPr>
      </w:pPr>
      <w:r>
        <w:rPr>
          <w:lang w:val="es-MX"/>
        </w:rPr>
        <w:t xml:space="preserve">Johnson, R. A. y </w:t>
      </w:r>
      <w:proofErr w:type="spellStart"/>
      <w:r>
        <w:rPr>
          <w:lang w:val="es-MX"/>
        </w:rPr>
        <w:t>Wichern</w:t>
      </w:r>
      <w:proofErr w:type="spellEnd"/>
      <w:r>
        <w:rPr>
          <w:lang w:val="es-MX"/>
        </w:rPr>
        <w:t xml:space="preserve">, D. W. (1998);  </w:t>
      </w:r>
      <w:proofErr w:type="spellStart"/>
      <w:r>
        <w:rPr>
          <w:lang w:val="es-MX"/>
        </w:rPr>
        <w:t>Applied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Multivariate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Statiscal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Analysis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Prentice</w:t>
      </w:r>
      <w:proofErr w:type="spellEnd"/>
      <w:r>
        <w:rPr>
          <w:lang w:val="es-MX"/>
        </w:rPr>
        <w:t xml:space="preserve"> – Hall, Inc.; Estados Unidos de América </w:t>
      </w:r>
    </w:p>
    <w:p w:rsidR="00000000" w:rsidRDefault="005078D1">
      <w:pPr>
        <w:ind w:left="80"/>
        <w:rPr>
          <w:rFonts w:ascii="Arial" w:hAnsi="Arial"/>
          <w:snapToGrid w:val="0"/>
          <w:color w:val="000000"/>
          <w:sz w:val="24"/>
          <w:lang w:val="es-MX"/>
        </w:rPr>
      </w:pPr>
    </w:p>
    <w:p w:rsidR="00000000" w:rsidRDefault="005078D1">
      <w:pPr>
        <w:ind w:left="80"/>
        <w:rPr>
          <w:rFonts w:ascii="Arial" w:hAnsi="Arial"/>
          <w:snapToGrid w:val="0"/>
          <w:color w:val="000000"/>
          <w:sz w:val="24"/>
          <w:lang w:val="es-MX"/>
        </w:rPr>
      </w:pPr>
      <w:hyperlink r:id="rId4" w:history="1">
        <w:r>
          <w:rPr>
            <w:rStyle w:val="Hipervnculo"/>
            <w:rFonts w:ascii="Arial" w:hAnsi="Arial"/>
            <w:sz w:val="24"/>
          </w:rPr>
          <w:t>http://ecuador.derecho.org/base/LEGISLACI@ON_ECUTAORIANA/Texto_completo_de_Leyes/LEY_DE_EDUCACION_SUPERIOR</w:t>
        </w:r>
      </w:hyperlink>
    </w:p>
    <w:p w:rsidR="00000000" w:rsidRDefault="005078D1">
      <w:pPr>
        <w:ind w:left="80"/>
        <w:rPr>
          <w:rFonts w:ascii="Courier New" w:hAnsi="Courier New"/>
          <w:snapToGrid w:val="0"/>
          <w:color w:val="000000"/>
          <w:sz w:val="18"/>
          <w:lang w:val="es-MX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  <w:hyperlink r:id="rId5" w:history="1">
        <w:r>
          <w:rPr>
            <w:rStyle w:val="Hipervnculo"/>
            <w:rFonts w:ascii="Arial" w:hAnsi="Arial"/>
            <w:sz w:val="24"/>
          </w:rPr>
          <w:t>http://instruct1.cit.cornell.edu/Courses/crp522/ecua_esp.htm</w:t>
        </w:r>
      </w:hyperlink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  <w:hyperlink r:id="rId6" w:history="1">
        <w:r>
          <w:rPr>
            <w:rStyle w:val="Hipervnculo"/>
            <w:rFonts w:ascii="Arial" w:hAnsi="Arial"/>
            <w:sz w:val="24"/>
          </w:rPr>
          <w:t>http://www.conesup.org.ec/Instituto/menup.htmhttp://www.conesup.org.ec/Instituto/menup.htmhttp://www.conesup.org.ec/Instituto/menup.htmhttp://www.conesup.org.ec/Instituto/menup.htm</w:t>
        </w:r>
      </w:hyperlink>
    </w:p>
    <w:p w:rsidR="00000000" w:rsidRDefault="005078D1">
      <w:pPr>
        <w:pStyle w:val="Sangradetextonormal"/>
      </w:pPr>
    </w:p>
    <w:p w:rsidR="00000000" w:rsidRDefault="005078D1">
      <w:pPr>
        <w:pStyle w:val="Sangradetextonormal"/>
      </w:pPr>
    </w:p>
    <w:p w:rsidR="00000000" w:rsidRDefault="005078D1">
      <w:pPr>
        <w:ind w:left="80"/>
        <w:rPr>
          <w:rFonts w:ascii="Arial" w:hAnsi="Arial"/>
          <w:snapToGrid w:val="0"/>
          <w:color w:val="000000"/>
          <w:sz w:val="24"/>
          <w:lang w:val="es-MX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5078D1">
      <w:pPr>
        <w:ind w:left="80"/>
        <w:rPr>
          <w:rFonts w:ascii="Courier New" w:hAnsi="Courier New"/>
          <w:snapToGrid w:val="0"/>
          <w:color w:val="000000"/>
          <w:sz w:val="18"/>
          <w:lang w:val="es-MX"/>
        </w:rPr>
      </w:pPr>
    </w:p>
    <w:p w:rsidR="00000000" w:rsidRDefault="005078D1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5078D1">
      <w:pPr>
        <w:ind w:left="80"/>
        <w:rPr>
          <w:rFonts w:ascii="Courier New" w:hAnsi="Courier New"/>
          <w:snapToGrid w:val="0"/>
          <w:color w:val="000000"/>
          <w:sz w:val="18"/>
          <w:lang w:val="es-MX"/>
        </w:rPr>
      </w:pPr>
    </w:p>
    <w:p w:rsidR="005078D1" w:rsidRDefault="005078D1"/>
    <w:sectPr w:rsidR="005078D1">
      <w:type w:val="continuous"/>
      <w:pgSz w:w="11907" w:h="16840" w:code="9"/>
      <w:pgMar w:top="1701" w:right="1418" w:bottom="1701" w:left="1418" w:header="1440" w:footer="720" w:gutter="170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3C4E"/>
    <w:rsid w:val="004B3C4E"/>
    <w:rsid w:val="005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character" w:styleId="Hipervnculo">
    <w:name w:val="Hyperlink"/>
    <w:basedOn w:val="Fuentedeprrafopredeter"/>
    <w:semiHidden/>
    <w:rPr>
      <w:color w:val="0000EE"/>
      <w:u w:val="single"/>
    </w:rPr>
  </w:style>
  <w:style w:type="paragraph" w:styleId="Sangradetextonormal">
    <w:name w:val="Body Text Indent"/>
    <w:basedOn w:val="Normal"/>
    <w:semiHidden/>
    <w:pPr>
      <w:ind w:left="80"/>
    </w:pPr>
    <w:rPr>
      <w:rFonts w:ascii="Arial" w:hAnsi="Arial"/>
      <w:snapToGrid w:val="0"/>
      <w:color w:val="000000"/>
      <w:sz w:val="24"/>
      <w:lang w:val="es-MX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esup.org.ec/Instituto/menup.htmhttp://www.conesup.org.ec/Instituto/menup.htmhttp://www.conesup.org.ec/Instituto/menup.htmhttp://www.conesup.org.ec/Instituto/menup.htm" TargetMode="External"/><Relationship Id="rId5" Type="http://schemas.openxmlformats.org/officeDocument/2006/relationships/hyperlink" Target="http://instruct1.cit.cornell.edu/Courses/crp522/ecua_esp.htm" TargetMode="External"/><Relationship Id="rId4" Type="http://schemas.openxmlformats.org/officeDocument/2006/relationships/hyperlink" Target="http://ecuador.derecho.org/base/LEGISLACI@ON_ECUTAORIANA/Texto_completo_de_Leyes/LEY_DE_EDUCACION_SUPERI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SoftMax 3000</Company>
  <LinksUpToDate>false</LinksUpToDate>
  <CharactersWithSpaces>1725</CharactersWithSpaces>
  <SharedDoc>false</SharedDoc>
  <HLinks>
    <vt:vector size="18" baseType="variant"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http://www.conesup.org.ec/Instituto/menup.htmhttp://www.conesup.org.ec/Instituto/menup.htmhttp://www.conesup.org.ec/Instituto/menup.htmhttp://www.conesup.org.ec/Instituto/menup.htm</vt:lpwstr>
      </vt:variant>
      <vt:variant>
        <vt:lpwstr/>
      </vt:variant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http://instruct1.cit.cornell.edu/Courses/crp522/ecua_esp.htm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http://ecuador.derecho.org/base/LEGISLACI@ON_ECUTAORIANA/Texto_completo_de_Leyes/LEY_DE_EDUCACION_SUPERIOR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Soila Cabeza de León</dc:creator>
  <cp:keywords/>
  <cp:lastModifiedBy>Ayudante</cp:lastModifiedBy>
  <cp:revision>2</cp:revision>
  <cp:lastPrinted>2002-06-04T02:58:00Z</cp:lastPrinted>
  <dcterms:created xsi:type="dcterms:W3CDTF">2009-07-14T17:11:00Z</dcterms:created>
  <dcterms:modified xsi:type="dcterms:W3CDTF">2009-07-14T17:11:00Z</dcterms:modified>
</cp:coreProperties>
</file>