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42D74">
      <w:pPr>
        <w:pStyle w:val="Ttulo"/>
      </w:pPr>
    </w:p>
    <w:p w:rsidR="00000000" w:rsidRDefault="00842D74">
      <w:pPr>
        <w:pStyle w:val="Ttulo"/>
      </w:pPr>
    </w:p>
    <w:p w:rsidR="00000000" w:rsidRDefault="00842D74">
      <w:pPr>
        <w:pStyle w:val="Ttulo"/>
      </w:pPr>
    </w:p>
    <w:p w:rsidR="00000000" w:rsidRDefault="00842D74">
      <w:pPr>
        <w:pStyle w:val="Ttulo"/>
      </w:pPr>
    </w:p>
    <w:p w:rsidR="00000000" w:rsidRDefault="00842D74">
      <w:pPr>
        <w:pStyle w:val="Ttulo"/>
      </w:pPr>
    </w:p>
    <w:p w:rsidR="00000000" w:rsidRDefault="00842D74">
      <w:pPr>
        <w:pStyle w:val="Ttulo"/>
      </w:pPr>
    </w:p>
    <w:p w:rsidR="00000000" w:rsidRDefault="00842D74">
      <w:pPr>
        <w:pStyle w:val="Ttulo"/>
        <w:rPr>
          <w:sz w:val="48"/>
        </w:rPr>
      </w:pPr>
      <w:r>
        <w:rPr>
          <w:sz w:val="48"/>
        </w:rPr>
        <w:t>CAPÍTULO 5</w:t>
      </w:r>
    </w:p>
    <w:p w:rsidR="00000000" w:rsidRDefault="00842D74">
      <w:pPr>
        <w:pStyle w:val="Ttulo"/>
      </w:pPr>
    </w:p>
    <w:p w:rsidR="00000000" w:rsidRDefault="00842D74">
      <w:pPr>
        <w:pStyle w:val="Ttulo"/>
      </w:pPr>
    </w:p>
    <w:p w:rsidR="00000000" w:rsidRDefault="00842D74">
      <w:pPr>
        <w:pStyle w:val="Ttulo"/>
      </w:pPr>
    </w:p>
    <w:p w:rsidR="00000000" w:rsidRDefault="00842D74">
      <w:pPr>
        <w:pStyle w:val="Ttulo"/>
      </w:pPr>
    </w:p>
    <w:p w:rsidR="00000000" w:rsidRDefault="00842D74">
      <w:pPr>
        <w:pStyle w:val="Ttulo"/>
        <w:rPr>
          <w:sz w:val="32"/>
        </w:rPr>
      </w:pPr>
      <w:r>
        <w:rPr>
          <w:sz w:val="32"/>
        </w:rPr>
        <w:t>CONCLUSIONES</w:t>
      </w:r>
    </w:p>
    <w:p w:rsidR="00000000" w:rsidRDefault="00842D74">
      <w:pPr>
        <w:jc w:val="both"/>
        <w:rPr>
          <w:rFonts w:ascii="Arial" w:hAnsi="Arial"/>
          <w:sz w:val="24"/>
          <w:lang w:val="es-ES"/>
        </w:rPr>
      </w:pPr>
    </w:p>
    <w:p w:rsidR="00000000" w:rsidRDefault="00842D74">
      <w:pPr>
        <w:spacing w:line="480" w:lineRule="auto"/>
        <w:jc w:val="both"/>
        <w:rPr>
          <w:rFonts w:ascii="Arial" w:hAnsi="Arial"/>
          <w:sz w:val="24"/>
          <w:lang w:val="es-ES"/>
        </w:rPr>
      </w:pPr>
    </w:p>
    <w:p w:rsidR="00000000" w:rsidRDefault="00842D74">
      <w:pPr>
        <w:spacing w:line="480" w:lineRule="auto"/>
        <w:jc w:val="both"/>
        <w:rPr>
          <w:rFonts w:ascii="Arial" w:hAnsi="Arial"/>
          <w:sz w:val="24"/>
          <w:lang w:val="es-ES"/>
        </w:rPr>
      </w:pP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Como dato interesante se observó que en las carreras tradicionales que se dictan en la ESPOL, predominan los estudiantes del sexo masculino, pues en la encuesta realizada sobre el perfil del estudiante politécnico a la</w:t>
      </w:r>
      <w:r>
        <w:rPr>
          <w:rFonts w:ascii="Arial" w:hAnsi="Arial"/>
          <w:sz w:val="24"/>
          <w:lang w:val="es-ES"/>
        </w:rPr>
        <w:t>s puertas del siglo XXI,  el 87% de los 450 estudiantes entrevistados fueron hombres y el 13% fueron mujeres.  Y con respecto a la edad de los estudiantes  se presenta entre 19.48 y 22.9 siendo  el promedio 21.49 años cumplidos.</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El 89% de los estudiantes </w:t>
      </w:r>
      <w:r>
        <w:rPr>
          <w:rFonts w:ascii="Arial" w:hAnsi="Arial"/>
          <w:sz w:val="24"/>
          <w:lang w:val="es-ES"/>
        </w:rPr>
        <w:t>de la muestra viven en la ciudad de Guayaquil y el 11% fuera de la ciudad siendo Durán y Milagro las ciudades en que existe mayor porcentaje  de estudiantes; de este  11% (35% y 20% respectivamente). El 90%  de los estudiantes investigados vive con sus fam</w:t>
      </w:r>
      <w:r>
        <w:rPr>
          <w:rFonts w:ascii="Arial" w:hAnsi="Arial"/>
          <w:sz w:val="24"/>
          <w:lang w:val="es-ES"/>
        </w:rPr>
        <w:t>iliares y  se puede decir además que el 75% de estos mismo se dedica sólo a estudiar, un 8% trabaja dentro de la ESPOL y el 17% lo hace  fuera de la ESPOL.</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El 41% de los estudiantes que ingresan a la ESPOL provienen de colegios fiscales, aunque  si tomamo</w:t>
      </w:r>
      <w:r>
        <w:rPr>
          <w:rFonts w:ascii="Arial" w:hAnsi="Arial"/>
          <w:sz w:val="24"/>
          <w:lang w:val="es-ES"/>
        </w:rPr>
        <w:t>s en cuenta los colegios particulares religiosos y laicos son el 50% de estudiantes de la muestra.</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El 60% de los estudiantes de la muestra han obtenido su título de bachiller con la especialidad de físico -  matemático,  un 14% son de informática, y un 6%</w:t>
      </w:r>
      <w:r>
        <w:rPr>
          <w:rFonts w:ascii="Arial" w:hAnsi="Arial"/>
          <w:sz w:val="24"/>
          <w:lang w:val="es-ES"/>
        </w:rPr>
        <w:t xml:space="preserve">  químico – biólogo,  las demás especialidades especialmente las que están relacionadas con las ciencias económicas (como comercio o contabilidad, secretariado español y/o bilingüe, mercadotecnia) y ciencias sociales no tienen incidencia en las carreras tr</w:t>
      </w:r>
      <w:r>
        <w:rPr>
          <w:rFonts w:ascii="Arial" w:hAnsi="Arial"/>
          <w:sz w:val="24"/>
          <w:lang w:val="es-ES"/>
        </w:rPr>
        <w:t>adicionales, puesto que ninguno de los estudiantes cursaron dichas especializaciones.</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esta investigación se pudo observar que  el 62% de los estudiantes que fueron objeto de investigación, declararon no domina  otro idioma a más del castellano y el  33</w:t>
      </w:r>
      <w:r>
        <w:rPr>
          <w:rFonts w:ascii="Arial" w:hAnsi="Arial"/>
          <w:sz w:val="24"/>
          <w:lang w:val="es-ES"/>
        </w:rPr>
        <w:t xml:space="preserve">% expresó dominar el inglés. </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 Así también en cuanto a la religión de los estudiantes el 80% se consideran católicos, el 18% declaró no pertenecer religión alguna y apenas el 2% de ellos respondió profesar la religión protestante.</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Es muy interesante nota</w:t>
      </w:r>
      <w:r>
        <w:rPr>
          <w:rFonts w:ascii="Arial" w:hAnsi="Arial"/>
          <w:sz w:val="24"/>
          <w:lang w:val="es-ES"/>
        </w:rPr>
        <w:t xml:space="preserve">r que el 48% de los estudiantes en la muestra aún no tiene hermanos estudiando en la ESPOL, aunque el 29% son hijos únicos; un 12% tiene hermanos en las carreras tradicionales y un 10% en las </w:t>
      </w:r>
      <w:r>
        <w:rPr>
          <w:rFonts w:ascii="Arial" w:hAnsi="Arial"/>
          <w:sz w:val="24"/>
          <w:lang w:val="es-ES"/>
        </w:rPr>
        <w:lastRenderedPageBreak/>
        <w:t>autofinanciadas; sólo el 2% tiene hermanos en ambas carreras que</w:t>
      </w:r>
      <w:r>
        <w:rPr>
          <w:rFonts w:ascii="Arial" w:hAnsi="Arial"/>
          <w:sz w:val="24"/>
          <w:lang w:val="es-ES"/>
        </w:rPr>
        <w:t xml:space="preserve"> se dictan en la ESPOL.</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El 37%  de los estudiantes de la muestra han estimado los ingresos para el gasto familiar entre  $100 y $250  y de $251 a $800 mensuales 33% de los entrevistados. </w:t>
      </w:r>
    </w:p>
    <w:p w:rsidR="00000000" w:rsidRDefault="00842D74">
      <w:pPr>
        <w:spacing w:line="480" w:lineRule="auto"/>
        <w:jc w:val="both"/>
        <w:rPr>
          <w:rFonts w:ascii="Arial" w:hAnsi="Arial"/>
          <w:sz w:val="24"/>
          <w:lang w:val="es-ES"/>
        </w:rPr>
      </w:pP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cuanto a la frecuencia con que utilizan los  medios de transpo</w:t>
      </w:r>
      <w:r>
        <w:rPr>
          <w:rFonts w:ascii="Arial" w:hAnsi="Arial"/>
          <w:sz w:val="24"/>
          <w:lang w:val="es-ES"/>
        </w:rPr>
        <w:t xml:space="preserve">rtes para movilizarse desde y hacia su lugar de estudio, el 67% de los estudiantes entrevistados respondió usar el transporte público (buses y busetas que transitan en la ciudad)  y/o transporte de la ESPOL (servicio de transporte con busetas y furgonetas </w:t>
      </w:r>
      <w:r>
        <w:rPr>
          <w:rFonts w:ascii="Arial" w:hAnsi="Arial"/>
          <w:sz w:val="24"/>
          <w:lang w:val="es-ES"/>
        </w:rPr>
        <w:t xml:space="preserve">que presta hasta la fecha TRANSESPOL cuyo recorrido es del paradero de la piscina olímpica al campus Gustavo Galindo) y sólo un 11% utilizan  los Expresos de la ESPOL (buses que presta el servicio de transporte desde y hacia los paraderos de la ESPOL  los </w:t>
      </w:r>
      <w:r>
        <w:rPr>
          <w:rFonts w:ascii="Arial" w:hAnsi="Arial"/>
          <w:sz w:val="24"/>
          <w:lang w:val="es-ES"/>
        </w:rPr>
        <w:t>paraderos como el Terminal, Acacias o viceversa).</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 Descubrimos también el 52% de los estudiantes declaró haber ingresado por su propia decisión; el 18% por el renombre de la institución; el 17% porque era el único lugar donde se imparte la carrera  que de</w:t>
      </w:r>
      <w:r>
        <w:rPr>
          <w:rFonts w:ascii="Arial" w:hAnsi="Arial"/>
          <w:sz w:val="24"/>
          <w:lang w:val="es-ES"/>
        </w:rPr>
        <w:t>seaba estudiar y sólo el 8% su motivo de ingreso fue por insinuación de terceros.</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Al preguntarles sobre si la carrera que se encuentra cursando actualmente es por la cual ingreso inicialmente, el 54% respondieron que sí, pero sin embargo el 30% de los ent</w:t>
      </w:r>
      <w:r>
        <w:rPr>
          <w:rFonts w:ascii="Arial" w:hAnsi="Arial"/>
          <w:sz w:val="24"/>
          <w:lang w:val="es-ES"/>
        </w:rPr>
        <w:t>revistados declararon que no.   También podemos decir que el 16% todavía no ha elegido que carrera seguirán, éste es el caso de los estudiantes que se encuentran cursando el Ciclo Básico para ingeniería.</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En lo que tiene que ver con el sitio que prefieren </w:t>
      </w:r>
      <w:r>
        <w:rPr>
          <w:rFonts w:ascii="Arial" w:hAnsi="Arial"/>
          <w:sz w:val="24"/>
          <w:lang w:val="es-ES"/>
        </w:rPr>
        <w:t xml:space="preserve">para estudiar se encontró un 14% de los entrevistados siempre  utilizan la biblioteca; un 17% declaró utilizar los laboratorios con mucha frecuencia para este fin.  Pero cabe recalcar que a pesar de lo expuesto anteriormente, todos los  sitios  propuestos </w:t>
      </w:r>
      <w:r>
        <w:rPr>
          <w:rFonts w:ascii="Arial" w:hAnsi="Arial"/>
          <w:sz w:val="24"/>
          <w:lang w:val="es-ES"/>
        </w:rPr>
        <w:t>como lugares de estudio (biblioteca, laboratorios, sala de estudio libre y bares) no son de elección preferida por los estudiantes, pues parecen optar por estudiar en sus casas o en las casas de compañeros.</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lo referente a la compra del texto que propon</w:t>
      </w:r>
      <w:r>
        <w:rPr>
          <w:rFonts w:ascii="Arial" w:hAnsi="Arial"/>
          <w:sz w:val="24"/>
          <w:lang w:val="es-ES"/>
        </w:rPr>
        <w:t xml:space="preserve">en de una materia el 34%  de los estudiantes en la muestra rara vez lo adquiere y el 32% no lo hace; y sólo el 1% siempre lo adquiere los libros propuestos por el profesor que dicta la materia. </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Pero en caso de que no poder adquirir los textos, el 32% de </w:t>
      </w:r>
      <w:r>
        <w:rPr>
          <w:rFonts w:ascii="Arial" w:hAnsi="Arial"/>
          <w:sz w:val="24"/>
          <w:lang w:val="es-ES"/>
        </w:rPr>
        <w:t>los estudiantes prestan los libros guías la mayoría de las veces; el 29% algunas veces reproduce la sección de ejercicios, el 27% la mayoría de las veces reproduce sólo los capítulos que necesita y el 4% declaró que nunca reproduce todo el libro.</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Entre la</w:t>
      </w:r>
      <w:r>
        <w:rPr>
          <w:rFonts w:ascii="Arial" w:hAnsi="Arial"/>
          <w:sz w:val="24"/>
          <w:lang w:val="es-ES"/>
        </w:rPr>
        <w:t>s fuentes de estudio que son preferidos por los entrevistados,  el 54%  contestó que les gusta estudiar de sus apuntes personales y el 25%  en la muestra contestó que siempre estudia de los textos guía; la fuente menos popular en las carreras tradicionales</w:t>
      </w:r>
      <w:r>
        <w:rPr>
          <w:rFonts w:ascii="Arial" w:hAnsi="Arial"/>
          <w:sz w:val="24"/>
          <w:lang w:val="es-ES"/>
        </w:rPr>
        <w:t xml:space="preserve"> son los apuntes prestados de semestres anteriores.</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A la pregunta de con qué frecuencia realizan ciertas actividades la semana previa a los exámenes el 41% de los estudiantes respondió que comienza a estudiar para los exámenes, así como el 30% contestó que</w:t>
      </w:r>
      <w:r>
        <w:rPr>
          <w:rFonts w:ascii="Arial" w:hAnsi="Arial"/>
          <w:sz w:val="24"/>
          <w:lang w:val="es-ES"/>
        </w:rPr>
        <w:t xml:space="preserve"> reúne toda la información necesaria para estudiar, el 11% sigue la misma rutina de las semanas anteriores, el 5% realizan proyectos y sólo el 2% entrega deberes atrasados.  </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También se preguntó acerca de la forma de estudio de lo que resultó que el 76% d</w:t>
      </w:r>
      <w:r>
        <w:rPr>
          <w:rFonts w:ascii="Arial" w:hAnsi="Arial"/>
          <w:sz w:val="24"/>
          <w:lang w:val="es-ES"/>
        </w:rPr>
        <w:t>e los estudiantes en la muestra prefieren estudiar solos. El 56%  de los mismos que prefieren con mucha frecuencia estudiar en grupos de 2 a 3 personas.  En cambio, es difícil encontrar en las carreras tradicionales grupos de estudios de 5 o más personas.</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Dentro de las actividades extra - curriculares (coro, teatro, cheerleaders, metropolitécnico y campeonatos de su unidad académica) el 64% contestó no haber participado nunca en dichas actividades y sólo el 4% siempre lo hace. </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 De una forma parecida se apr</w:t>
      </w:r>
      <w:r>
        <w:rPr>
          <w:rFonts w:ascii="Arial" w:hAnsi="Arial"/>
          <w:sz w:val="24"/>
          <w:lang w:val="es-ES"/>
        </w:rPr>
        <w:t>eció la asistencia a las asambleas estudiantiles, puesto que  sólo el 2% siempre ha asistido a estas convocatorias hechas por las federaciones estudiantiles de la ESPOL, mientras que el 71% declaró nunca asistir.</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Entre las actividades que los estudiantes d</w:t>
      </w:r>
      <w:r>
        <w:rPr>
          <w:rFonts w:ascii="Arial" w:hAnsi="Arial"/>
          <w:sz w:val="24"/>
          <w:lang w:val="es-ES"/>
        </w:rPr>
        <w:t>e las carreras tradicionales realizan en su tiempo libre la más frecuente es escuchar música (52% de los entrevistados) y la menos optada es ir al cine (6%) e ir a bailar (4%). El 30% en la muestra declaró que algunas veces realiza deporte y el 38% expresó</w:t>
      </w:r>
      <w:r>
        <w:rPr>
          <w:rFonts w:ascii="Arial" w:hAnsi="Arial"/>
          <w:sz w:val="24"/>
          <w:lang w:val="es-ES"/>
        </w:rPr>
        <w:t xml:space="preserve"> leer libros algunas veces en su tiempo libre.</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Entre el número de libros leídos de literatura clásica por los estudiantes politécnicos de las carreras tradicionales, tenemos que el  41% en la muestra han leído de 1 a 3 libros y el 48% de 4 a 7 libros; sól</w:t>
      </w:r>
      <w:r>
        <w:rPr>
          <w:rFonts w:ascii="Arial" w:hAnsi="Arial"/>
          <w:sz w:val="24"/>
          <w:lang w:val="es-ES"/>
        </w:rPr>
        <w:t>o el 2% ha leído 12 o más libro de literatura.</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 xml:space="preserve">En las preguntas de actitud presentan como resultados que,  los estudiantes cuando se presentan a registrarse en una materia su pensamiento se centra en aprender y mejorar como personas. </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Pero sobre si al co</w:t>
      </w:r>
      <w:r>
        <w:rPr>
          <w:rFonts w:ascii="Arial" w:hAnsi="Arial"/>
          <w:sz w:val="24"/>
          <w:lang w:val="es-ES"/>
        </w:rPr>
        <w:t xml:space="preserve">nocer alguna forma ilegal en que podría registrarse, el 46% de los entrevistados respondió que definitivamente no se registraría, aunque el 18% pensaría seriamente en registrarse por la vía ilegal, el 14% se lo comentaría a sus compañeros, 11% denunciaría </w:t>
      </w:r>
      <w:r>
        <w:rPr>
          <w:rFonts w:ascii="Arial" w:hAnsi="Arial"/>
          <w:sz w:val="24"/>
          <w:lang w:val="es-ES"/>
        </w:rPr>
        <w:t xml:space="preserve">la existencia de esa ilegalidad y no se registraría y el 10% se registraría por la vía ilegal sin pensarlo dos veces. </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cuanto al tema sobre de ser incluido en un grupo de trabajo y que actitud toma con frecuencia, el 48% de los estudiantes entrevistados</w:t>
      </w:r>
      <w:r>
        <w:rPr>
          <w:rFonts w:ascii="Arial" w:hAnsi="Arial"/>
          <w:sz w:val="24"/>
          <w:lang w:val="es-ES"/>
        </w:rPr>
        <w:t xml:space="preserve"> respondió que la mayoría de las veces coopera con algún compañero para empezar a realizar el trabajo; así mismo el 33%  de ellos con mucha frecuencia incentiva a un compañero  a que tome la iniciativa, y lo ayuda, en cambio el 27% declaró que muchas veces</w:t>
      </w:r>
      <w:r>
        <w:rPr>
          <w:rFonts w:ascii="Arial" w:hAnsi="Arial"/>
          <w:sz w:val="24"/>
          <w:lang w:val="es-ES"/>
        </w:rPr>
        <w:t xml:space="preserve"> toma la iniciativa.</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El 46% de los estudiantes respondieron que la mayoría de las veces asisten puntualmente a clases y un 44% lo hace siempre. Sólo el 1% de los estudiantes afirmó nunca llegar a tiempo a una clase.</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la pregunta que se les planteó acer</w:t>
      </w:r>
      <w:r>
        <w:rPr>
          <w:rFonts w:ascii="Arial" w:hAnsi="Arial"/>
          <w:sz w:val="24"/>
          <w:lang w:val="es-ES"/>
        </w:rPr>
        <w:t>⨪⨪⨪⨪⨪⨪⨪⨪⨪⨪⨪⨪⨪⨪⨪⨪⨪⨪⨪⨪⨪⨪⨪⨪⨪⨪⨪⨪⨪⨪⨪⨪⨪⨪⨪⨪⨪⨪⨪⨪⨪⨪⨪⨪⨪⨪⨪⨪⨪⨪⨪⨪⨪⨪⨪⨪⨪⨪⨪⨪⨪⨪⨪⨪⨪⨪⨪⨪⨪⨪⨪⨪⨪⨪⨪⨪⨪⨪⨪⨪⨪⨪⨪⨪⨪⨪⨪⨪⨪⨪⨪⨪⨪⨪⨪⨪⨪⨪⨪⨪⨪⨪⨪⨪⨪⨪⨪⨪⨪⨪⨪⨪⨪⨪⨪⨪⨪⨪⨪⨪⨪⨪⨪⨪⨪⨪⨪⨪</w:t>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t>⨪⨪⨪⨪⨪⨪⨪⨪⨪⨪⨪⨪⨪⨪⨪⨪⨪⨪⨪⨪⨪⨪⨪⨪⨪⨪⨪⨪⨪⨪⨪⨪⨪⨪⨪⨪⨪⨪⨪⨪⨪⨪⨪⨪⨪⨪⨪⨪⨪⨪⨪⨪⨪⨪⨪⨪⨪⨪⨪⨪⨪⨪⨪⨪⨪⨪⨪⨪⨪⨪⨪⨪⨪⨪⨪⨪⨪⨪⨪⨪⨪⨪⨪⨪⨪⨪⨪⨪⨪⨪⨪⨪⨪⨪⨪⨪⨪⨪⨪⨪⨪⨪⨪⨪⨪⨪⨪⨪⨪⨪⨪⨪⨪⨪⨪⨪⨪⨪⨪⨪⨪⨪⨪⨪⨪⨪⨪⨪</w:t>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pgNum/>
      </w:r>
      <w: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pgNum/>
      </w:r>
      <w:r>
        <w:rPr>
          <w:rFonts w:ascii="Arial" w:hAnsi="Arial"/>
          <w:sz w:val="24"/>
          <w:lang w:val="es-ES"/>
        </w:rPr>
        <w:t>ento se pudo apreciar que un 56% lo hace por mejorar nota y un 44% por no haber aprobado la materia. El resto de las opciones como ver la posibilidad de ayudar a un compañero y pasar el tiempo poseen porcentaje muy bajo.</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el planteamiento que se hizo ac</w:t>
      </w:r>
      <w:r>
        <w:rPr>
          <w:rFonts w:ascii="Arial" w:hAnsi="Arial"/>
          <w:sz w:val="24"/>
          <w:lang w:val="es-ES"/>
        </w:rPr>
        <w:t>erca de conocer  de que alguien obtuvo el texto de la prueba de alguna materia a ser tomada posteriormente en la semana de exámenes y cual sería su actitud se presentaron los siguientes casos: el 46% dejaría las cosas como están es decir, no se preocuparía</w:t>
      </w:r>
      <w:r>
        <w:rPr>
          <w:rFonts w:ascii="Arial" w:hAnsi="Arial"/>
          <w:sz w:val="24"/>
          <w:lang w:val="es-ES"/>
        </w:rPr>
        <w:t xml:space="preserve"> por enterarse del contenido de la prueba, ni tampoco haría nada al respecto por denunciar el acto ilícito; el 39% intentaría conocer el contenido de la prueba y lo resolvería y un solo 8% denunciaría la substracción del examen.</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Cuando un estudiante asist</w:t>
      </w:r>
      <w:r>
        <w:rPr>
          <w:rFonts w:ascii="Arial" w:hAnsi="Arial"/>
          <w:sz w:val="24"/>
          <w:lang w:val="es-ES"/>
        </w:rPr>
        <w:t>e a una fiesta siempre va con la intención de divertirse con un grupo de amigos (51%  de los entrevistados), un 20% asiste por conocer más gente, sólo ir a bailar un 13%, en encontrar pareja un 4% y tomar licor hasta emborracharse 2%.</w:t>
      </w:r>
    </w:p>
    <w:p w:rsidR="00000000" w:rsidRDefault="00842D74">
      <w:pPr>
        <w:spacing w:line="480" w:lineRule="auto"/>
        <w:jc w:val="both"/>
        <w:rPr>
          <w:rFonts w:ascii="Arial" w:hAnsi="Arial"/>
          <w:sz w:val="24"/>
          <w:lang w:val="es-ES"/>
        </w:rPr>
      </w:pP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lo referente al c</w:t>
      </w:r>
      <w:r>
        <w:rPr>
          <w:rFonts w:ascii="Arial" w:hAnsi="Arial"/>
          <w:sz w:val="24"/>
          <w:lang w:val="es-ES"/>
        </w:rPr>
        <w:t>umplimiento  de sus objetivos, se le preguntó cuan frecuente los ha realizado un 55% respondió que la mayoría de las veces los ha cumplido, pero sólo un 20% ha contestado que siempre los ha realizado.</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Los estudiantes de las carreras tradicionales en la ESP</w:t>
      </w:r>
      <w:r>
        <w:rPr>
          <w:rFonts w:ascii="Arial" w:hAnsi="Arial"/>
          <w:sz w:val="24"/>
          <w:lang w:val="es-ES"/>
        </w:rPr>
        <w:t>OL esperan en su vida profesional una vez concluidos sus estudios, desempeñarse en el área que más le gusta de su profesión (44% de los entrevistados), ser un profesional de prestigio en segundo lugar (26%),  y seguir desarrollando sus capacidades intelect</w:t>
      </w:r>
      <w:r>
        <w:rPr>
          <w:rFonts w:ascii="Arial" w:hAnsi="Arial"/>
          <w:sz w:val="24"/>
          <w:lang w:val="es-ES"/>
        </w:rPr>
        <w:t>uales (20%) en tercer lugar.</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En cuanto al conocimiento de las autoridades el 62% declaró conocer el nombre del rector y un 70% conocer su apellido,  pero en lo que se refieren al conocimiento del nombre del Decano o Director de la Unidad académica a la que</w:t>
      </w:r>
      <w:r>
        <w:rPr>
          <w:rFonts w:ascii="Arial" w:hAnsi="Arial"/>
          <w:sz w:val="24"/>
          <w:lang w:val="es-ES"/>
        </w:rPr>
        <w:t xml:space="preserve"> pertenece su carrera, el 63% respondió que no conoce el nombre de dicha autoridad, este resultado se puede deber a que existe gran cantidad de estudiantes novatos y del ciclo básico, él cual esta a cargo de tres unidades académicas como son el Instituto d</w:t>
      </w:r>
      <w:r>
        <w:rPr>
          <w:rFonts w:ascii="Arial" w:hAnsi="Arial"/>
          <w:sz w:val="24"/>
          <w:lang w:val="es-ES"/>
        </w:rPr>
        <w:t>e Ciencias Matemáticas, Instituto de Ciencias Físicas y el Instituto de Ciencias Físicas en su primer año.</w:t>
      </w:r>
    </w:p>
    <w:p w:rsidR="00000000" w:rsidRDefault="00842D74">
      <w:pPr>
        <w:numPr>
          <w:ilvl w:val="0"/>
          <w:numId w:val="1"/>
        </w:numPr>
        <w:spacing w:line="480" w:lineRule="auto"/>
        <w:jc w:val="both"/>
        <w:rPr>
          <w:rFonts w:ascii="Arial" w:hAnsi="Arial"/>
          <w:sz w:val="24"/>
        </w:rPr>
      </w:pPr>
      <w:r>
        <w:rPr>
          <w:rFonts w:ascii="Arial" w:hAnsi="Arial"/>
          <w:sz w:val="24"/>
        </w:rPr>
        <w:t>Se pudo observar que de cada 100 estudiantes que cursa el nivel 100 de estudio 25 de estos tienen su edad comprendida entre los 17 y 19.99 años; pero</w:t>
      </w:r>
      <w:r>
        <w:rPr>
          <w:rFonts w:ascii="Arial" w:hAnsi="Arial"/>
          <w:sz w:val="24"/>
        </w:rPr>
        <w:t xml:space="preserve"> así mismo vemos que es raro encontrar alumnos con edades superiores a 24 años cursando el nivel 100 en las carreras tradicionales. Además de cada 17 estudiantes que cursan el nivel 200, 5 de estos últimos tienen edades entre 17 a 19.99 años y 10 de los mi</w:t>
      </w:r>
      <w:r>
        <w:rPr>
          <w:rFonts w:ascii="Arial" w:hAnsi="Arial"/>
          <w:sz w:val="24"/>
        </w:rPr>
        <w:t xml:space="preserve">smos se encuentran en los 20 y 23.99 años de edad. También se tiene que 13 de cada 54 estudiantes que tiene entre 20 y 23.99 años, cursan el nivel 300; pero de cada 27 alumnos que cursa el nivel 400 20 de estos últimos tiene de 20 a 23.99 años y de cada 7 </w:t>
      </w:r>
      <w:r>
        <w:rPr>
          <w:rFonts w:ascii="Arial" w:hAnsi="Arial"/>
          <w:sz w:val="24"/>
        </w:rPr>
        <w:t>estudiantes que cursan el nivel 500, 4 de estos últimos tiene edades comprendidas entre 20 y 23.99 y 3 de cada 7 tiene edades de 24 y más. Se pudo observar también que de cada 32 estudiantes cuyas edades se encuentran entre 17 y 19.99 años el 1 de aquellos</w:t>
      </w:r>
      <w:r>
        <w:rPr>
          <w:rFonts w:ascii="Arial" w:hAnsi="Arial"/>
          <w:sz w:val="24"/>
        </w:rPr>
        <w:t xml:space="preserve">  pertenece al nivel 400, aunque parezca que su edad es menor para el nivel que cursan, no lo es puesto que son alumnos que estudian las carreras de tecnologías cuya duración es de dos años y sus niveles son por semestres y no por años. </w:t>
      </w:r>
    </w:p>
    <w:p w:rsidR="00000000" w:rsidRDefault="00842D74">
      <w:pPr>
        <w:numPr>
          <w:ilvl w:val="0"/>
          <w:numId w:val="1"/>
        </w:numPr>
        <w:spacing w:line="480" w:lineRule="auto"/>
        <w:jc w:val="both"/>
        <w:rPr>
          <w:rFonts w:ascii="Arial" w:hAnsi="Arial"/>
          <w:sz w:val="24"/>
          <w:lang w:val="es-ES"/>
        </w:rPr>
      </w:pPr>
      <w:r>
        <w:rPr>
          <w:rFonts w:ascii="Arial" w:hAnsi="Arial"/>
          <w:sz w:val="24"/>
          <w:lang w:val="es-ES"/>
        </w:rPr>
        <w:t>Al analizar la rel</w:t>
      </w:r>
      <w:r>
        <w:rPr>
          <w:rFonts w:ascii="Arial" w:hAnsi="Arial"/>
          <w:sz w:val="24"/>
          <w:lang w:val="es-ES"/>
        </w:rPr>
        <w:t>igión con el tipo de colegio de donde proviene el estudiante, se tuvo el que 18 de cada 100 dicen profesar la religión católica,  provienen de colegios particulares laicos;   23 de estos mismo se educó en colegios particulares religiosos; y  31 de cada 100</w:t>
      </w:r>
      <w:r>
        <w:rPr>
          <w:rFonts w:ascii="Arial" w:hAnsi="Arial"/>
          <w:sz w:val="24"/>
          <w:lang w:val="es-ES"/>
        </w:rPr>
        <w:t xml:space="preserve"> que declararon ser católicos, provienen  de colegios fiscales; en tanto que un 18 de cada 100  profesan otra o ninguna religión y tan sólo un 2 de estos últimos se considera protestante.</w:t>
      </w:r>
    </w:p>
    <w:p w:rsidR="00000000" w:rsidRDefault="00842D74">
      <w:pPr>
        <w:numPr>
          <w:ilvl w:val="0"/>
          <w:numId w:val="1"/>
        </w:numPr>
        <w:spacing w:line="480" w:lineRule="auto"/>
        <w:jc w:val="both"/>
        <w:rPr>
          <w:rFonts w:ascii="Arial" w:hAnsi="Arial"/>
          <w:sz w:val="24"/>
        </w:rPr>
      </w:pPr>
      <w:r>
        <w:rPr>
          <w:rFonts w:ascii="Arial" w:hAnsi="Arial"/>
          <w:sz w:val="24"/>
        </w:rPr>
        <w:t>En cuanto a la frecuencia del uso de la biblioteca versus el préstam</w:t>
      </w:r>
      <w:r>
        <w:rPr>
          <w:rFonts w:ascii="Arial" w:hAnsi="Arial"/>
          <w:sz w:val="24"/>
        </w:rPr>
        <w:t>o de los libros de consulta, de cada 100 estudiantes sólo 2 de ellos ni van a la biblioteca para estudiar ni mucho menos presta libros de consulta cuando no puede comprarlos.  De  cada 39 estudiantes que utiliza la biblioteca algunas veces como sitio de es</w:t>
      </w:r>
      <w:r>
        <w:rPr>
          <w:rFonts w:ascii="Arial" w:hAnsi="Arial"/>
          <w:sz w:val="24"/>
        </w:rPr>
        <w:t>tudio, 5 de estos nunca prestan libros de consulta, 13 lo hace sólo algunas veces y también 13 de los 39 presta con mucha frecuencia libros de consulta, en tanto que 5 de aquellos va a la biblioteca a estudiar y presta libros de consulta. De  cada 32 estud</w:t>
      </w:r>
      <w:r>
        <w:rPr>
          <w:rFonts w:ascii="Arial" w:hAnsi="Arial"/>
          <w:sz w:val="24"/>
        </w:rPr>
        <w:t>iantes que la mayoría de las veces presta libros de consulta, 11 también la mayoría de las veces utiliza la biblioteca como sitio de estudio.</w:t>
      </w:r>
    </w:p>
    <w:p w:rsidR="00000000" w:rsidRDefault="00842D74">
      <w:pPr>
        <w:numPr>
          <w:ilvl w:val="0"/>
          <w:numId w:val="1"/>
        </w:numPr>
        <w:spacing w:line="480" w:lineRule="auto"/>
        <w:jc w:val="both"/>
        <w:rPr>
          <w:rFonts w:ascii="Arial" w:hAnsi="Arial"/>
          <w:sz w:val="24"/>
          <w:lang w:val="es-ES"/>
        </w:rPr>
      </w:pPr>
      <w:r>
        <w:rPr>
          <w:rFonts w:ascii="Arial" w:hAnsi="Arial"/>
          <w:sz w:val="24"/>
        </w:rPr>
        <w:t>De cada 14 estudiantes que siempre estudian en la biblioteca, 4 de ellos siempre le gusta utilizar el texto guía c</w:t>
      </w:r>
      <w:r>
        <w:rPr>
          <w:rFonts w:ascii="Arial" w:hAnsi="Arial"/>
          <w:sz w:val="24"/>
        </w:rPr>
        <w:t xml:space="preserve">omo fuente de estudio, 2 de 14 en cambio no les gusta utilizar esta fuente de estudio.  De 12 estudiantes que no les gusta estudiar del texto guía, 2 de ellos siempre prefieren la biblioteca como sitio de estudio, en tanto que 4 de estos la mayoría de las </w:t>
      </w:r>
      <w:r>
        <w:rPr>
          <w:rFonts w:ascii="Arial" w:hAnsi="Arial"/>
          <w:sz w:val="24"/>
        </w:rPr>
        <w:t>veces utiliza la biblioteca.</w:t>
      </w:r>
    </w:p>
    <w:p w:rsidR="00000000" w:rsidRDefault="00842D74">
      <w:pPr>
        <w:keepNext/>
        <w:numPr>
          <w:ilvl w:val="0"/>
          <w:numId w:val="1"/>
        </w:numPr>
        <w:spacing w:line="480" w:lineRule="auto"/>
        <w:jc w:val="both"/>
        <w:outlineLvl w:val="0"/>
        <w:rPr>
          <w:rFonts w:ascii="Arial" w:hAnsi="Arial"/>
          <w:sz w:val="24"/>
          <w:lang w:val="es-ES"/>
        </w:rPr>
      </w:pPr>
      <w:r>
        <w:rPr>
          <w:rFonts w:ascii="Arial" w:hAnsi="Arial"/>
          <w:sz w:val="24"/>
        </w:rPr>
        <w:t>También notamos que de cada 38 estudiantes que les gusta estudiar solos, 14 de estos algunas veces les gusta hacerlo en la biblioteca y sólo 4 de aquellos siempre estudian en la biblioteca.  De cada 27 personas que la mayoría d</w:t>
      </w:r>
      <w:r>
        <w:rPr>
          <w:rFonts w:ascii="Arial" w:hAnsi="Arial"/>
          <w:sz w:val="24"/>
        </w:rPr>
        <w:t>e las veces, 13 de estos últimos estudia la mayoría de las veces solos, 9 siempre estudia sin compañía y 2 nunca estudia solo.</w:t>
      </w:r>
    </w:p>
    <w:p w:rsidR="00000000" w:rsidRDefault="00842D74">
      <w:pPr>
        <w:keepNext/>
        <w:numPr>
          <w:ilvl w:val="0"/>
          <w:numId w:val="1"/>
        </w:numPr>
        <w:spacing w:line="480" w:lineRule="auto"/>
        <w:jc w:val="both"/>
        <w:outlineLvl w:val="0"/>
        <w:rPr>
          <w:rFonts w:ascii="Arial" w:hAnsi="Arial"/>
          <w:sz w:val="24"/>
          <w:lang w:val="es-ES"/>
        </w:rPr>
      </w:pPr>
      <w:r>
        <w:rPr>
          <w:rFonts w:ascii="Arial" w:hAnsi="Arial"/>
          <w:sz w:val="24"/>
        </w:rPr>
        <w:t xml:space="preserve">Vimos que de cada 6 estudiantes que les gusta estudiar en grupo de 2 a 3 personas, 1 de estos siempre lo hacen en la biblioteca. </w:t>
      </w:r>
      <w:r>
        <w:rPr>
          <w:rFonts w:ascii="Arial" w:hAnsi="Arial"/>
          <w:sz w:val="24"/>
        </w:rPr>
        <w:t xml:space="preserve"> Se observa también que de cada 27 estudiantes que la mayoría de las veces les gusta estudiar en la biblioteca, 11 de estos algunas veces prefieren estudiar en grupo de 2 a 3 personas, 6 de aquellos  nunca estudia en grupos de este tamaño.   En manera gene</w:t>
      </w:r>
      <w:r>
        <w:rPr>
          <w:rFonts w:ascii="Arial" w:hAnsi="Arial"/>
          <w:sz w:val="24"/>
        </w:rPr>
        <w:t>ral vemos que de cada 100 estudiantes 35 de ellos algunas veces prefieren estudiar en grupo de 2 a 3 personas, pero también 23 de estos 100 no les gusta estudiar en grupos de este tamaño.</w:t>
      </w:r>
    </w:p>
    <w:p w:rsidR="00000000" w:rsidRDefault="00842D74">
      <w:pPr>
        <w:numPr>
          <w:ilvl w:val="0"/>
          <w:numId w:val="1"/>
        </w:numPr>
        <w:spacing w:line="480" w:lineRule="auto"/>
        <w:jc w:val="both"/>
        <w:rPr>
          <w:rFonts w:ascii="Arial" w:hAnsi="Arial"/>
          <w:sz w:val="24"/>
        </w:rPr>
      </w:pPr>
      <w:r>
        <w:rPr>
          <w:rFonts w:ascii="Arial" w:hAnsi="Arial"/>
          <w:sz w:val="24"/>
        </w:rPr>
        <w:t>Se reflejó también que, de cada 57  estudiantes les gusta utilizar s</w:t>
      </w:r>
      <w:r>
        <w:rPr>
          <w:rFonts w:ascii="Arial" w:hAnsi="Arial"/>
          <w:sz w:val="24"/>
        </w:rPr>
        <w:t>us apuntes personales para estudiar, 23 de estos siempre estudian solo y solamente 2 de estos mismo nunca estudian en compañía.  Vemos también que de cada 38 estudiantes que prefieren la mayoría de las veces estudiar solos, 10 de estos también  utilizan su</w:t>
      </w:r>
      <w:r>
        <w:rPr>
          <w:rFonts w:ascii="Arial" w:hAnsi="Arial"/>
          <w:sz w:val="24"/>
        </w:rPr>
        <w:t>s apuntes personales en la misma frecuencia, 2 de aquellos nunca utilizan apuntes personales.</w:t>
      </w:r>
    </w:p>
    <w:p w:rsidR="00000000" w:rsidRDefault="00842D74">
      <w:pPr>
        <w:keepNext/>
        <w:numPr>
          <w:ilvl w:val="0"/>
          <w:numId w:val="1"/>
        </w:numPr>
        <w:spacing w:line="480" w:lineRule="auto"/>
        <w:jc w:val="both"/>
        <w:outlineLvl w:val="0"/>
        <w:rPr>
          <w:rFonts w:ascii="Arial" w:hAnsi="Arial"/>
          <w:sz w:val="24"/>
          <w:lang w:val="es-ES"/>
        </w:rPr>
      </w:pPr>
      <w:r>
        <w:rPr>
          <w:rFonts w:ascii="Arial" w:hAnsi="Arial"/>
          <w:sz w:val="24"/>
        </w:rPr>
        <w:t>En cuanto a la motivación ante un registro de una materia vs. Vía ilegal de registro se tuvo, que de cada 27  personas cuya actitud antes de registrarse en una ma</w:t>
      </w:r>
      <w:r>
        <w:rPr>
          <w:rFonts w:ascii="Arial" w:hAnsi="Arial"/>
          <w:sz w:val="24"/>
        </w:rPr>
        <w:t xml:space="preserve">teria es la de aprender; 12 de ellas definitivamente no se registraría en caso de conocer alguna vía ilegal, 5 de aquellos pensaría seriamente en registrarse ilegalmente; 4 de los 27 se lo comentaría a sus compañeros; 3 estos denunciaría el hecho ilegal.  </w:t>
      </w:r>
      <w:r>
        <w:rPr>
          <w:rFonts w:ascii="Arial" w:hAnsi="Arial"/>
          <w:sz w:val="24"/>
        </w:rPr>
        <w:t xml:space="preserve">Por otro lado vemos que de cada 14 personas que se registra sin motivación y sólo porque la materia se encuentra en el pensum académico; 6 de estos denunciaría el hecho de un registro ilegal; 4 de los mismos pensaría seriamente en registrarse ilegalmente; </w:t>
      </w:r>
      <w:r>
        <w:rPr>
          <w:rFonts w:ascii="Arial" w:hAnsi="Arial"/>
          <w:sz w:val="24"/>
        </w:rPr>
        <w:t>2 de estos pensaría seriamente en registrarse por la vía no legal.</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Se vio también que de cada 87 hombres, 26 de estos nunca siguen la misma rutina antes de la semana de exámenes; 18 de estos mismos la mayoría de las veces continúa con la misma rutina de si</w:t>
      </w:r>
      <w:r>
        <w:rPr>
          <w:rFonts w:ascii="Arial" w:hAnsi="Arial"/>
          <w:sz w:val="24"/>
        </w:rPr>
        <w:t>empre antes de la semana de exámenes; en tanto que 10 de estos 87 hombres nunca cambia sus actividades aunque sea la semana previa a la de exámenes.  De cada 11 personas que siempre mantiene la misma rutina una semana antes de rendir pruebas, apenas 1 de e</w:t>
      </w:r>
      <w:r>
        <w:rPr>
          <w:rFonts w:ascii="Arial" w:hAnsi="Arial"/>
          <w:sz w:val="24"/>
        </w:rPr>
        <w:t>stos últimos son mujeres.</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De cada 41 estudiantes que siempre tiene el hábito de comenzar a estudiar la semana previa a la de exámenes, 36 de estos son del sexo masculino y 5 del sexo femenino.  De cada 100 alumnos 11 de ellos nunca estudia una semana antes</w:t>
      </w:r>
      <w:r>
        <w:rPr>
          <w:rFonts w:ascii="Arial" w:hAnsi="Arial"/>
          <w:sz w:val="24"/>
        </w:rPr>
        <w:t xml:space="preserve"> de rendir las pruebas, de estos 11, son hombres 9 de estos últimos y sólo 2 mujeres.  También podemos decir de esta tabla que de cada 13 mujeres, 5 de éstas se preocupan de estudiar siempre la semana antes de dar sus exámenes e igualmente 5 de cada 13 dec</w:t>
      </w:r>
      <w:r>
        <w:rPr>
          <w:rFonts w:ascii="Arial" w:hAnsi="Arial"/>
          <w:sz w:val="24"/>
        </w:rPr>
        <w:t>laró que la mayoría de las veces adopta dicho hábito y sólo 1 de estas 13 solamente se dedica a estudiar con anterioridad algunas veces.</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En lo referente a las actitudes que toma cuando no entiende un tema de la materia que se encuentra viendo  versus el se</w:t>
      </w:r>
      <w:r>
        <w:rPr>
          <w:rFonts w:ascii="Arial" w:hAnsi="Arial"/>
          <w:sz w:val="24"/>
        </w:rPr>
        <w:t>xo del estudiante se tuvo que, 22 de cada 100 estudiantes cuando no tienen aún comprendidas algunas ideas de una clase dictada jamás optan por consultarle al mismo profesor.  Pero 26 de cada 100 algunas veces si le consulta a su propio profesor,  de los cu</w:t>
      </w:r>
      <w:r>
        <w:rPr>
          <w:rFonts w:ascii="Arial" w:hAnsi="Arial"/>
          <w:sz w:val="24"/>
        </w:rPr>
        <w:t>ales 23 de cada 26 son hombres y 3 son mujeres.  Se observa también que sólo 14 de cada 100 siempre tiene por costumbre preguntarle directamente su profesor, de aquellos 14, son hombres 13 y 1 mujeres.  Analizando la tabla por otra vía vemos que de cada 13</w:t>
      </w:r>
      <w:r>
        <w:rPr>
          <w:rFonts w:ascii="Arial" w:hAnsi="Arial"/>
          <w:sz w:val="24"/>
        </w:rPr>
        <w:t xml:space="preserve"> mujeres, 3 de ellas algunas veces se atreve a preguntarle al mismo profesor que le dicta la materia, 4 de las mismas respondió hacerlo la mayoría de las veces y sólo  1 de estas 13 siempre que requiere de alguna consulta recurre a su profesor.</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Pudimos apr</w:t>
      </w:r>
      <w:r>
        <w:rPr>
          <w:rFonts w:ascii="Arial" w:hAnsi="Arial"/>
          <w:sz w:val="24"/>
        </w:rPr>
        <w:t>eciar que 269 de cada 340 estudiantes  del Ciclo Básico nunca asisten a las asambleas convocadas por las federaciones estudiantiles, 42 de éstos rara vez ha asistido y sólo 2 de cada 340 siempre se presenta a la convocatoria de las federaciones estudiantil</w:t>
      </w:r>
      <w:r>
        <w:rPr>
          <w:rFonts w:ascii="Arial" w:hAnsi="Arial"/>
          <w:sz w:val="24"/>
        </w:rPr>
        <w:t>es.  De  cada 340 estudiantes que se encuentran estudiando en la Facultad de Ingeniería Eléctrica, 269  de aquellos no asisten a las asambleas y apenas  11 de cada 340 va la mayoría de las veces a dichas convocatorias.  También se puede observar que de cad</w:t>
      </w:r>
      <w:r>
        <w:rPr>
          <w:rFonts w:ascii="Arial" w:hAnsi="Arial"/>
          <w:sz w:val="24"/>
        </w:rPr>
        <w:t>a 33 estudiantes que declararon asistir la mayoría de las veces a las asambleas, 16 de estos pertenecen al Ciclo Básico,  11 de los mismos  a ingeniería Eléctrica, 2 de cada 33 estudian en Ingeniería Mecánica,  4 de cada 33 pertenecen a la Facultad de Cien</w:t>
      </w:r>
      <w:r>
        <w:rPr>
          <w:rFonts w:ascii="Arial" w:hAnsi="Arial"/>
          <w:sz w:val="24"/>
        </w:rPr>
        <w:t>cias de la Tierra.</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 xml:space="preserve">Se observó que de cada 340 estudiantes que pertenecen al Ciclo Básico 144 de estos, intentaría conocer el contenido de la prueba y lo resolvería, pero también 138 de cada 340 no haría nada al respecto, 29 de es estos  últimos intentaría </w:t>
      </w:r>
      <w:r>
        <w:rPr>
          <w:rFonts w:ascii="Arial" w:hAnsi="Arial"/>
          <w:sz w:val="24"/>
        </w:rPr>
        <w:t>conocer el contenido de la prueba una vez resulto, pero también 29 de cada 340 denunciaría el hecho del hurto.  En cuanto que de cada 120 estudiantes de tecnologías, 53 de estos intentaría conocer el contenido de la prueba para resolverlo e igualmente 53 d</w:t>
      </w:r>
      <w:r>
        <w:rPr>
          <w:rFonts w:ascii="Arial" w:hAnsi="Arial"/>
          <w:sz w:val="24"/>
        </w:rPr>
        <w:t>e cada 120 dejaría las cosas como están, apenas 7 de aquellos denunciaría la substracción del examen.  De cada 73 estudiantes que declararon que si intentaría conocer el examen ya resulto, 29 de estos pertenecen al Ciclo Básico, 18 de los mismos a la Facul</w:t>
      </w:r>
      <w:r>
        <w:rPr>
          <w:rFonts w:ascii="Arial" w:hAnsi="Arial"/>
          <w:sz w:val="24"/>
        </w:rPr>
        <w:t>tad de Eléctrica, 7 de aquellos son de tecnologías, 9 de cada 73, pertenecen a Ingeniería Mecánica y en la misma proporción los que pertenecen a la Facultad de Ciencia de la Tierra, 2 de dichos 73 estudian en la Facultad de Ciencias del Mar.</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De cada 202 es</w:t>
      </w:r>
      <w:r>
        <w:rPr>
          <w:rFonts w:ascii="Arial" w:hAnsi="Arial"/>
          <w:sz w:val="24"/>
        </w:rPr>
        <w:t>tudiante que desean seguir desarrollando sus capacidades intelectuales, 53 de estos corresponden al Ciclo Básico, 71 de los mismos estudian en la Facultad de Eléctrica, 31 de cada 202 pertenecen a las carreras de Tecnologías, 24 de aquellos estudian en Ing</w:t>
      </w:r>
      <w:r>
        <w:rPr>
          <w:rFonts w:ascii="Arial" w:hAnsi="Arial"/>
          <w:sz w:val="24"/>
        </w:rPr>
        <w:t>eniería Mecánica, 18 de cada 202 estudiantes pertenecen a la Facultad de Ciencia de la tierra y sólo 4 de  estos últimos estudian en la Facultad de Ciencias del Mar.</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En cuanto al conocimiento de las autoridades de la unidad académica o facultad a la cual p</w:t>
      </w:r>
      <w:r>
        <w:rPr>
          <w:rFonts w:ascii="Arial" w:hAnsi="Arial"/>
          <w:sz w:val="24"/>
        </w:rPr>
        <w:t xml:space="preserve">ertenece el estudiante, se observa en la </w:t>
      </w:r>
      <w:r>
        <w:rPr>
          <w:rFonts w:ascii="Arial" w:hAnsi="Arial"/>
          <w:i/>
          <w:sz w:val="24"/>
        </w:rPr>
        <w:t xml:space="preserve">tabla 4.23, </w:t>
      </w:r>
      <w:r>
        <w:rPr>
          <w:rFonts w:ascii="Arial" w:hAnsi="Arial"/>
          <w:sz w:val="24"/>
        </w:rPr>
        <w:t>que de cada 1.00 estudiantes del Ciclo Básico 973 de ellos declararon no conocer a la autoridad que los rige, en tanto que un 27 de los mismos mencionó al menos uno de los directores de los Institutos de</w:t>
      </w:r>
      <w:r>
        <w:rPr>
          <w:rFonts w:ascii="Arial" w:hAnsi="Arial"/>
          <w:sz w:val="24"/>
        </w:rPr>
        <w:t xml:space="preserve"> la ESPOL (Instituto de Matemática, de Química y de Física).  En la misma proporción sucede con los estudiantes de las carreras de Tecnologías que no conocen el nombre de la autoridad que tiene a su cargo la dirección de las carreras de Tecnologías y en ca</w:t>
      </w:r>
      <w:r>
        <w:rPr>
          <w:rFonts w:ascii="Arial" w:hAnsi="Arial"/>
          <w:sz w:val="24"/>
        </w:rPr>
        <w:t>mbio confunde dicho cargo con el de coordinador de la carrera.  En cambio de cada 1000 estudiantes pertenecientes a la Facultad de Eléctrica 111  de estos conocen bajo quien están a cargo, en tanto 889 no saben quien es su autoridad.</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También se pudo observ</w:t>
      </w:r>
      <w:r>
        <w:rPr>
          <w:rFonts w:ascii="Arial" w:hAnsi="Arial"/>
          <w:sz w:val="24"/>
        </w:rPr>
        <w:t>ar que de cada 869 estudiantes varones 180 de ellos, no toma la iniciativa en un grupo de trabajo cuando es incluido en él, pero 101 de los mismo declararon siempre tomar la iniciativa.  Por otra parte de cada 131 mujeres, 20 de ellas nunca toma la iniciat</w:t>
      </w:r>
      <w:r>
        <w:rPr>
          <w:rFonts w:ascii="Arial" w:hAnsi="Arial"/>
          <w:sz w:val="24"/>
        </w:rPr>
        <w:t>iva cuando es incluida en un grupo de trabajo, pero 16 de las mismas declararon siempre tomar la iniciativa para empezar a trabajar cuando es incluida en un grupo de trabajo; tal como se puede observar en el Anexo 5.</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 xml:space="preserve"> De igual forma en el mismo anexo se ti</w:t>
      </w:r>
      <w:r>
        <w:rPr>
          <w:rFonts w:ascii="Arial" w:hAnsi="Arial"/>
          <w:sz w:val="24"/>
        </w:rPr>
        <w:t>ene que  de cada 869 hombres, 67 de estos denunciaría el hurto de una prueba y 9 de cada 131 mujeres también lo haría, mientras  que de los 464 entrevistados que contestaron que dejaría las cosas como están en caso de encontrarse en dicha situación, 382 de</w:t>
      </w:r>
      <w:r>
        <w:rPr>
          <w:rFonts w:ascii="Arial" w:hAnsi="Arial"/>
          <w:sz w:val="24"/>
        </w:rPr>
        <w:t xml:space="preserve"> ellos fueron hombres y 82 de ellos mujeres.</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Por otra parte de los 149 personas entrevistadas que no conoce2 de ellos declaró siempre comprar el libro que proponen en la materia que está tomando, 49 de los mismos algunas veces lo hace y 51 de estos 149 res</w:t>
      </w:r>
      <w:r>
        <w:rPr>
          <w:rFonts w:ascii="Arial" w:hAnsi="Arial"/>
          <w:sz w:val="24"/>
        </w:rPr>
        <w:t>pondió que rara vez compra libros de consulta.  De cada 47 estudiantes cuyo factor P es igual o mayor a 21, 7 de ellos declaró comprar dichos libros algunas veces, de igual manera de cada 440 estudiantes cuyo factor P se encuentra entre 7 y 13, 104 de ello</w:t>
      </w:r>
      <w:r>
        <w:rPr>
          <w:rFonts w:ascii="Arial" w:hAnsi="Arial"/>
          <w:sz w:val="24"/>
        </w:rPr>
        <w:t>s respondieron que sólo algunas veces compra los textos y 147 declararon que nunca compran libros de consulta.</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Por medio de las tablas de contingencia nos pudimos dar cuenta que el factor P asignado al estudiante fue independiente a la estimación de ingres</w:t>
      </w:r>
      <w:r>
        <w:rPr>
          <w:rFonts w:ascii="Arial" w:hAnsi="Arial"/>
          <w:sz w:val="24"/>
        </w:rPr>
        <w:t>os que ellos mismo hicieron.  Se pudo ver también que la edad depende del nivel que se encuentre cursando el estudiante. Otras relaciones de dependencia que se encontraron fueron entre las variables relacionadas con el Factor P del estudiante y su ocupació</w:t>
      </w:r>
      <w:r>
        <w:rPr>
          <w:rFonts w:ascii="Arial" w:hAnsi="Arial"/>
          <w:sz w:val="24"/>
        </w:rPr>
        <w:t>n a más de estudiar en la ESPOL, entre la variable que concierne a que con qué frecuencia los estudiantes prefieren estudiar en grupo de 2 a 3 personas y la frecuencia con que gustan ir a la biblioteca a estudiar. Al igual que en las variables referentes a</w:t>
      </w:r>
      <w:r>
        <w:rPr>
          <w:rFonts w:ascii="Arial" w:hAnsi="Arial"/>
          <w:sz w:val="24"/>
        </w:rPr>
        <w:t xml:space="preserve"> los que les gusta estudiar de sus apuntes personales resultó ser dependiente  con la variable que representa el que realiza proyectos la semana previa a la de exámenes, e igualmente con la que tiene que ver de reunir toda la información para estudiar ante</w:t>
      </w:r>
      <w:r>
        <w:rPr>
          <w:rFonts w:ascii="Arial" w:hAnsi="Arial"/>
          <w:sz w:val="24"/>
        </w:rPr>
        <w:t>s de las pruebas.</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El análisis de componentes principales no fue procedente para nuestros datos, pues no cumplían con los supuestos de normalidad que requiere la prueba de Bartlet.</w:t>
      </w:r>
    </w:p>
    <w:p w:rsidR="00000000" w:rsidRDefault="00842D74">
      <w:pPr>
        <w:pStyle w:val="Encabezado"/>
        <w:numPr>
          <w:ilvl w:val="0"/>
          <w:numId w:val="1"/>
        </w:numPr>
        <w:tabs>
          <w:tab w:val="clear" w:pos="4419"/>
          <w:tab w:val="clear" w:pos="8838"/>
        </w:tabs>
        <w:spacing w:line="480" w:lineRule="auto"/>
        <w:jc w:val="both"/>
        <w:rPr>
          <w:rFonts w:ascii="Arial" w:hAnsi="Arial"/>
          <w:sz w:val="24"/>
        </w:rPr>
      </w:pPr>
      <w:r>
        <w:rPr>
          <w:rFonts w:ascii="Arial" w:hAnsi="Arial"/>
          <w:sz w:val="24"/>
        </w:rPr>
        <w:t>Así mismo en el análisis de correlación canónica, se presentan solamente dos</w:t>
      </w:r>
      <w:r>
        <w:rPr>
          <w:rFonts w:ascii="Arial" w:hAnsi="Arial"/>
          <w:sz w:val="24"/>
        </w:rPr>
        <w:t xml:space="preserve"> grupos de correlaciones canónicas, ya que al igual que en la técnica de componentes principales no cumple los supuestos de normalidad.  </w:t>
      </w:r>
    </w:p>
    <w:p w:rsidR="00000000" w:rsidRDefault="00842D74">
      <w:pPr>
        <w:keepNext/>
        <w:spacing w:line="480" w:lineRule="auto"/>
        <w:jc w:val="both"/>
        <w:outlineLvl w:val="0"/>
        <w:rPr>
          <w:rFonts w:ascii="Arial" w:hAnsi="Arial"/>
          <w:sz w:val="24"/>
          <w:lang w:val="es-ES"/>
        </w:rPr>
      </w:pPr>
    </w:p>
    <w:p w:rsidR="00000000" w:rsidRDefault="00842D74">
      <w:pPr>
        <w:pStyle w:val="Ttulo1"/>
        <w:rPr>
          <w:sz w:val="28"/>
        </w:rPr>
      </w:pPr>
    </w:p>
    <w:p w:rsidR="00000000" w:rsidRDefault="00842D74">
      <w:pPr>
        <w:pStyle w:val="Ttulo1"/>
        <w:rPr>
          <w:sz w:val="32"/>
        </w:rPr>
      </w:pPr>
      <w:r>
        <w:rPr>
          <w:sz w:val="32"/>
        </w:rPr>
        <w:t>RECOMENDACIONES</w:t>
      </w:r>
    </w:p>
    <w:p w:rsidR="00000000" w:rsidRDefault="00842D74"/>
    <w:p w:rsidR="00000000" w:rsidRDefault="00842D74"/>
    <w:p w:rsidR="00000000" w:rsidRDefault="00842D74"/>
    <w:p w:rsidR="00000000" w:rsidRDefault="00842D74">
      <w:pPr>
        <w:pStyle w:val="Textoindependiente"/>
      </w:pPr>
      <w:r>
        <w:t>Los siguientes párrafos son recomendaciones propuestas en base al análisis estadístico desarrolla</w:t>
      </w:r>
      <w:r>
        <w:t>do a través de esta tesis:</w:t>
      </w:r>
    </w:p>
    <w:p w:rsidR="00000000" w:rsidRDefault="00842D74">
      <w:pPr>
        <w:pStyle w:val="Textoindependiente"/>
      </w:pP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 xml:space="preserve">Si bien es cierto que son una cantidad pequeña de estudiantes que residen fuera de Guayaquil, también es cierto que se debería tomar en cuenta que los medios de transporte (particularmente los expresos que parten del terminal) </w:t>
      </w:r>
      <w:r>
        <w:rPr>
          <w:rFonts w:ascii="Arial" w:hAnsi="Arial"/>
          <w:sz w:val="24"/>
        </w:rPr>
        <w:t>proporcionados por la ESPOL no abastece  la demanda  de las personas que viven tanto dentro de la ciudad como fuera de ella. En todo caso se recomienda que se podría tomar como base estos resultados junto con el análisis del perfil del estudiante politécni</w:t>
      </w:r>
      <w:r>
        <w:rPr>
          <w:rFonts w:ascii="Arial" w:hAnsi="Arial"/>
          <w:sz w:val="24"/>
        </w:rPr>
        <w:t xml:space="preserve">co relacionado a las carreras autofinaciadas y determinar cuán grande es la demanda de transporte para las personas que viven fuera de la ciudad y de aquellos que habitan hacia el norte, para con ello incrementar las unidades de transporte respectivas. </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E</w:t>
      </w:r>
      <w:r>
        <w:rPr>
          <w:rFonts w:ascii="Arial" w:hAnsi="Arial"/>
          <w:sz w:val="24"/>
        </w:rPr>
        <w:t xml:space="preserve">n vista que los estudiantes declararon no dominar idioma alguno y considerando que el inglés es indispensable dentro de la formación del alumno politécnico, se debería cambiar las exigencias y la forma como se toma los módulos de inglés, de tal manera que </w:t>
      </w:r>
      <w:r>
        <w:rPr>
          <w:rFonts w:ascii="Arial" w:hAnsi="Arial"/>
          <w:sz w:val="24"/>
        </w:rPr>
        <w:t>los estudiantes culminen con un buen nivel de inglés que llene sus expectativas y que además le sirva de soporte en sus actividades académicas y extra - académicas.</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Como se pudo apreciar en los resultados anteriores existe gran porcentaje de estudiantes q</w:t>
      </w:r>
      <w:r>
        <w:rPr>
          <w:rFonts w:ascii="Arial" w:hAnsi="Arial"/>
          <w:sz w:val="24"/>
        </w:rPr>
        <w:t>ue declararon haberse cambiado de carrera, sería bueno que se tratara de buscar las causas de estos cambios y si en su mayoría son por razones académicas, tal vez con la ayuda de un guía académico en cada unidad  con el objetivo de ayudar al alumno a defin</w:t>
      </w:r>
      <w:r>
        <w:rPr>
          <w:rFonts w:ascii="Arial" w:hAnsi="Arial"/>
          <w:sz w:val="24"/>
        </w:rPr>
        <w:t xml:space="preserve">irse y de poder plantear mejores soluciones a dicho fenómeno. </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Seria necesario investigar porque los sitios de estudio (biblioteca, laboratorios, salas de estudio libres principalmente) dentro de la ESPOL no tienen mucha acogida a pesar de que muchos alum</w:t>
      </w:r>
      <w:r>
        <w:rPr>
          <w:rFonts w:ascii="Arial" w:hAnsi="Arial"/>
          <w:sz w:val="24"/>
        </w:rPr>
        <w:t xml:space="preserve">nos tienen que pasar su mayor parte de tiempo dentro del campus, si es por falta de acondicionamiento o porque no cubre con las expectativas del estudiante con respecto al abastecimiento necesario de libros en la biblioteca. </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 xml:space="preserve"> Así mismo vemos que la fuent</w:t>
      </w:r>
      <w:r>
        <w:rPr>
          <w:rFonts w:ascii="Arial" w:hAnsi="Arial"/>
          <w:sz w:val="24"/>
        </w:rPr>
        <w:t>e de estudio más utilizada son los apuntes personales frente a los textos guías, de lo que se puede deducir que existe poca cultura de investigación por parte de los estudiantes.  Los profesores deberían fomentar dicho hábito, puesto que dentro de lo que s</w:t>
      </w:r>
      <w:r>
        <w:rPr>
          <w:rFonts w:ascii="Arial" w:hAnsi="Arial"/>
          <w:sz w:val="24"/>
        </w:rPr>
        <w:t>e espera de un profesional politécnico es su capacidad de poder auto – educarse en cosas nuevas relacionadas a  su especialidad después de culminados sus estudios.</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Para un profesional es tan importante contar con material de apoyo después de su vida estud</w:t>
      </w:r>
      <w:r>
        <w:rPr>
          <w:rFonts w:ascii="Arial" w:hAnsi="Arial"/>
          <w:sz w:val="24"/>
        </w:rPr>
        <w:t>iantil y abastecerse de su propia biblioteca, pero vemos según el estudio realizado que esta actitud en los estudiantes de las carreras tradicionales no se da, puede ser como ya se ha vista por falta de recursos económicos.  Una solución podría ser impleme</w:t>
      </w:r>
      <w:r>
        <w:rPr>
          <w:rFonts w:ascii="Arial" w:hAnsi="Arial"/>
          <w:sz w:val="24"/>
        </w:rPr>
        <w:t xml:space="preserve">ntar un proyecto, en el cual el estudiante puede arrendar el texto guía que necesite o cualquier otro libro y que se le dé la opción a la compra del mismo; o en todo caso diferir los pagos accesibles de los textos que desee comprar, o que este lugar donde </w:t>
      </w:r>
      <w:r>
        <w:rPr>
          <w:rFonts w:ascii="Arial" w:hAnsi="Arial"/>
          <w:sz w:val="24"/>
        </w:rPr>
        <w:t>se implemente dicho plan sirva también como intercambio de texto; pero antes que todo primero se tiene que investigar  qué textos son los mayormente requerido y en base a ello proporcionarlos no sólo en base a la demanda sino también a lo que podría requer</w:t>
      </w:r>
      <w:r>
        <w:rPr>
          <w:rFonts w:ascii="Arial" w:hAnsi="Arial"/>
          <w:sz w:val="24"/>
        </w:rPr>
        <w:t>ir el pensum académico.</w:t>
      </w:r>
    </w:p>
    <w:p w:rsidR="00000000" w:rsidRDefault="00842D74">
      <w:pPr>
        <w:spacing w:line="480" w:lineRule="auto"/>
        <w:jc w:val="both"/>
        <w:rPr>
          <w:rFonts w:ascii="Arial" w:hAnsi="Arial"/>
          <w:sz w:val="24"/>
        </w:rPr>
      </w:pP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Esta es una recomendación para las Federaciones estudiantiles, debería formar campañas fomentando la importancia de la asistencias a las asambleas estudiantiles y hacer énfasis en la difusión de los lugares, fechas y el objetivo d</w:t>
      </w:r>
      <w:r>
        <w:rPr>
          <w:rFonts w:ascii="Arial" w:hAnsi="Arial"/>
          <w:sz w:val="24"/>
        </w:rPr>
        <w:t>e dichas asambleas en vista de la poca audiencia obtenidas en ellas.</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 xml:space="preserve">Puesto que se espera formar estudiantes politécnicos líderes y emprendedores, se nota que estas características específicas no se encuentran bien afianzadas aún en el perfil del alumno, </w:t>
      </w:r>
      <w:r>
        <w:rPr>
          <w:rFonts w:ascii="Arial" w:hAnsi="Arial"/>
          <w:sz w:val="24"/>
        </w:rPr>
        <w:t>ya que son pocos los estudiantes que se atreven a tomar la iniciativa en un grupo y más bien incentivan a compañeros que creen que posean cualidades de mando y colaborar con él para sacar adelante un proyecto.  Aunque no es malo el buscar apoyo en otra u o</w:t>
      </w:r>
      <w:r>
        <w:rPr>
          <w:rFonts w:ascii="Arial" w:hAnsi="Arial"/>
          <w:sz w:val="24"/>
        </w:rPr>
        <w:t>tras  persona, es necesario que los maestros busquen la forma de desarrollar la confianza en sus alumnos para que sean capaces de emprender por sí solos proyectos en un futuro.  Por otra parte se nota que no existe aun suficiente confianza por parte del es</w:t>
      </w:r>
      <w:r>
        <w:rPr>
          <w:rFonts w:ascii="Arial" w:hAnsi="Arial"/>
          <w:sz w:val="24"/>
        </w:rPr>
        <w:t>tudiante para consultarle a sus profesores en caso de una duda.  Una buena opción para solucionar en parte esto dos casos planteados (la timidez de los estudiantes y la falta de liderazgo) es asignar en algunas materias, a que los alumnos realicen conferen</w:t>
      </w:r>
      <w:r>
        <w:rPr>
          <w:rFonts w:ascii="Arial" w:hAnsi="Arial"/>
          <w:sz w:val="24"/>
        </w:rPr>
        <w:t xml:space="preserve">cias, charlas o foros abiertos para que puedan discutir sobre un tema en particular y de esta manera  desarrollar poco a poco su capacidad de expresión. </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Se pudo notar que son pocos los estudiantes  participan en eventos de integración dentro de la Univer</w:t>
      </w:r>
      <w:r>
        <w:rPr>
          <w:rFonts w:ascii="Arial" w:hAnsi="Arial"/>
          <w:sz w:val="24"/>
        </w:rPr>
        <w:t>sidad, especialmente los eventos deportivos, esto demuestra que los estudiantes politécnicos no tienen el hábito de ejercitarse y como se sabe que la preparación físico es parte importante en la vida de una persona y que surte efectos en el rendimiento men</w:t>
      </w:r>
      <w:r>
        <w:rPr>
          <w:rFonts w:ascii="Arial" w:hAnsi="Arial"/>
          <w:sz w:val="24"/>
        </w:rPr>
        <w:t xml:space="preserve">tal, como parte de la preocupación por la formación del alumno sería una opción el implementar dentro de los primeros años la materia de educación física y serviría mucho en caso de representaciones futuras en eventos externos a la institución.  </w:t>
      </w:r>
    </w:p>
    <w:p w:rsidR="00000000" w:rsidRDefault="00842D74">
      <w:pPr>
        <w:spacing w:line="480" w:lineRule="auto"/>
        <w:jc w:val="both"/>
        <w:rPr>
          <w:rFonts w:ascii="Arial" w:hAnsi="Arial"/>
          <w:sz w:val="24"/>
        </w:rPr>
      </w:pPr>
    </w:p>
    <w:p w:rsidR="00000000" w:rsidRDefault="00842D74">
      <w:pPr>
        <w:numPr>
          <w:ilvl w:val="0"/>
          <w:numId w:val="2"/>
        </w:numPr>
        <w:spacing w:line="480" w:lineRule="auto"/>
        <w:jc w:val="both"/>
        <w:rPr>
          <w:rFonts w:ascii="Arial" w:hAnsi="Arial"/>
          <w:sz w:val="24"/>
        </w:rPr>
      </w:pPr>
      <w:r>
        <w:rPr>
          <w:rFonts w:ascii="Arial" w:hAnsi="Arial"/>
          <w:sz w:val="24"/>
        </w:rPr>
        <w:t>Se deber</w:t>
      </w:r>
      <w:r>
        <w:rPr>
          <w:rFonts w:ascii="Arial" w:hAnsi="Arial"/>
          <w:sz w:val="24"/>
        </w:rPr>
        <w:t>ía tener en cuenta una planificación de las maestrías  y becas a las que puede tener acceso los estudiantes graduados, y que dicha información sea difundida junto con los requisitos necesarios puesto que muchos estudiantes a más de considerar importante de</w:t>
      </w:r>
      <w:r>
        <w:rPr>
          <w:rFonts w:ascii="Arial" w:hAnsi="Arial"/>
          <w:sz w:val="24"/>
        </w:rPr>
        <w:t>sarrollarse y ser un profesional de prestigio  como profesional, no descartan que también es necesario avanzar a un nivel superior dentro de su formación profesional y académica.</w:t>
      </w:r>
    </w:p>
    <w:p w:rsidR="00000000" w:rsidRDefault="00842D74">
      <w:pPr>
        <w:spacing w:line="480" w:lineRule="auto"/>
        <w:rPr>
          <w:rFonts w:ascii="Arial" w:hAnsi="Arial"/>
          <w:sz w:val="24"/>
        </w:rPr>
      </w:pPr>
    </w:p>
    <w:p w:rsidR="00000000" w:rsidRDefault="00842D74"/>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000000" w:rsidRDefault="00842D74">
      <w:pPr>
        <w:keepNext/>
        <w:spacing w:line="480" w:lineRule="auto"/>
        <w:jc w:val="both"/>
        <w:outlineLvl w:val="0"/>
        <w:rPr>
          <w:rFonts w:ascii="Arial" w:hAnsi="Arial"/>
          <w:sz w:val="24"/>
          <w:lang w:val="es-ES"/>
        </w:rPr>
      </w:pPr>
    </w:p>
    <w:p w:rsidR="00842D74" w:rsidRDefault="00842D74">
      <w:pPr>
        <w:keepNext/>
        <w:spacing w:line="480" w:lineRule="auto"/>
        <w:jc w:val="both"/>
        <w:outlineLvl w:val="0"/>
        <w:rPr>
          <w:rFonts w:ascii="Arial" w:hAnsi="Arial"/>
          <w:sz w:val="24"/>
          <w:lang w:val="es-ES"/>
        </w:rPr>
      </w:pPr>
    </w:p>
    <w:sectPr w:rsidR="00842D74">
      <w:headerReference w:type="default" r:id="rId7"/>
      <w:headerReference w:type="first" r:id="rId8"/>
      <w:pgSz w:w="12240" w:h="15840"/>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D74" w:rsidRDefault="00842D74">
      <w:r>
        <w:separator/>
      </w:r>
    </w:p>
  </w:endnote>
  <w:endnote w:type="continuationSeparator" w:id="1">
    <w:p w:rsidR="00842D74" w:rsidRDefault="00842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D74" w:rsidRDefault="00842D74">
      <w:r>
        <w:separator/>
      </w:r>
    </w:p>
  </w:footnote>
  <w:footnote w:type="continuationSeparator" w:id="1">
    <w:p w:rsidR="00842D74" w:rsidRDefault="00842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2D74">
    <w:pPr>
      <w:pStyle w:val="Encabezado"/>
      <w:jc w:val="right"/>
      <w:rPr>
        <w:rFonts w:ascii="Arial" w:hAnsi="Arial"/>
        <w:sz w:val="22"/>
      </w:rPr>
    </w:pPr>
    <w:r>
      <w:rPr>
        <w:rStyle w:val="Nmerodepgina"/>
        <w:rFonts w:ascii="Arial" w:hAnsi="Arial"/>
        <w:sz w:val="22"/>
      </w:rPr>
      <w:t xml:space="preserve"> PÁGINA </w:t>
    </w:r>
    <w:r>
      <w:rPr>
        <w:rStyle w:val="Nmerodepgina"/>
        <w:rFonts w:ascii="Arial" w:hAnsi="Arial"/>
        <w:sz w:val="22"/>
      </w:rPr>
      <w:t/>
    </w:r>
    <w:r w:rsidR="001647C3">
      <w:rPr>
        <w:rStyle w:val="Nmerodepgina"/>
        <w:rFonts w:ascii="Arial" w:hAnsi="Arial"/>
        <w:noProof/>
        <w:sz w:val="22"/>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42D74">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C319C"/>
    <w:multiLevelType w:val="singleLevel"/>
    <w:tmpl w:val="0C0A000F"/>
    <w:lvl w:ilvl="0">
      <w:start w:val="1"/>
      <w:numFmt w:val="decimal"/>
      <w:lvlText w:val="%1."/>
      <w:lvlJc w:val="left"/>
      <w:pPr>
        <w:tabs>
          <w:tab w:val="num" w:pos="360"/>
        </w:tabs>
        <w:ind w:left="360" w:hanging="360"/>
      </w:pPr>
    </w:lvl>
  </w:abstractNum>
  <w:abstractNum w:abstractNumId="1">
    <w:nsid w:val="27C143F3"/>
    <w:multiLevelType w:val="singleLevel"/>
    <w:tmpl w:val="0C0A000F"/>
    <w:lvl w:ilvl="0">
      <w:start w:val="1"/>
      <w:numFmt w:val="decimal"/>
      <w:lvlText w:val="%1."/>
      <w:lvlJc w:val="left"/>
      <w:pPr>
        <w:tabs>
          <w:tab w:val="num" w:pos="360"/>
        </w:tabs>
        <w:ind w:left="360" w:hanging="360"/>
      </w:pPr>
    </w:lvl>
  </w:abstractNum>
  <w:abstractNum w:abstractNumId="2">
    <w:nsid w:val="556C5BC9"/>
    <w:multiLevelType w:val="singleLevel"/>
    <w:tmpl w:val="0C0A000F"/>
    <w:lvl w:ilvl="0">
      <w:start w:val="1"/>
      <w:numFmt w:val="decimal"/>
      <w:lvlText w:val="%1."/>
      <w:lvlJc w:val="left"/>
      <w:pPr>
        <w:tabs>
          <w:tab w:val="num" w:pos="360"/>
        </w:tabs>
        <w:ind w:left="360" w:hanging="360"/>
      </w:pPr>
    </w:lvl>
  </w:abstractNum>
  <w:abstractNum w:abstractNumId="3">
    <w:nsid w:val="67434FB9"/>
    <w:multiLevelType w:val="singleLevel"/>
    <w:tmpl w:val="0C0A000F"/>
    <w:lvl w:ilvl="0">
      <w:start w:val="1"/>
      <w:numFmt w:val="decimal"/>
      <w:lvlText w:val="%1."/>
      <w:lvlJc w:val="left"/>
      <w:pPr>
        <w:tabs>
          <w:tab w:val="num" w:pos="360"/>
        </w:tabs>
        <w:ind w:left="36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647C3"/>
    <w:rsid w:val="001647C3"/>
    <w:rsid w:val="00842D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next w:val="Normal"/>
    <w:qFormat/>
    <w:pPr>
      <w:keepNext/>
      <w:spacing w:line="480" w:lineRule="auto"/>
      <w:jc w:val="center"/>
      <w:outlineLvl w:val="0"/>
    </w:pPr>
    <w:rPr>
      <w:rFonts w:ascii="Arial" w:hAnsi="Arial"/>
      <w:b/>
      <w:sz w:val="24"/>
      <w:lang w:val="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b/>
      <w:sz w:val="24"/>
      <w:lang w:val="es-ES"/>
    </w:rPr>
  </w:style>
  <w:style w:type="paragraph" w:styleId="Encabezado">
    <w:name w:val="header"/>
    <w:basedOn w:val="Normal"/>
    <w:semiHidden/>
    <w:pPr>
      <w:tabs>
        <w:tab w:val="center" w:pos="4419"/>
        <w:tab w:val="right" w:pos="8838"/>
      </w:tabs>
    </w:pPr>
  </w:style>
  <w:style w:type="paragraph" w:styleId="Piedepgina">
    <w:name w:val="footer"/>
    <w:basedOn w:val="Normal"/>
    <w:semiHidden/>
    <w:pPr>
      <w:tabs>
        <w:tab w:val="center" w:pos="4419"/>
        <w:tab w:val="right" w:pos="8838"/>
      </w:tabs>
    </w:pPr>
  </w:style>
  <w:style w:type="paragraph" w:styleId="Textoindependiente">
    <w:name w:val="Body Text"/>
    <w:basedOn w:val="Normal"/>
    <w:semiHidden/>
    <w:pPr>
      <w:spacing w:line="480" w:lineRule="auto"/>
      <w:jc w:val="both"/>
    </w:pPr>
    <w:rPr>
      <w:rFonts w:ascii="Arial" w:hAnsi="Arial"/>
      <w:sz w:val="24"/>
    </w:r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4519</Words>
  <Characters>24858</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esto nos indica que la mayoría de las edades de los estudiantes se encuentran entre los 18 y 20 años de edad</vt:lpstr>
    </vt:vector>
  </TitlesOfParts>
  <Company>SoftMax 3000</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nos indica que la mayoría de las edades de los estudiantes se encuentran entre los 18 y 20 años de edad</dc:title>
  <dc:subject/>
  <dc:creator>Soila Cabeza de León</dc:creator>
  <cp:keywords/>
  <cp:lastModifiedBy>Ayudante</cp:lastModifiedBy>
  <cp:revision>2</cp:revision>
  <cp:lastPrinted>2002-06-04T01:50:00Z</cp:lastPrinted>
  <dcterms:created xsi:type="dcterms:W3CDTF">2009-07-14T17:15:00Z</dcterms:created>
  <dcterms:modified xsi:type="dcterms:W3CDTF">2009-07-14T17:15:00Z</dcterms:modified>
</cp:coreProperties>
</file>