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22D5">
      <w:pPr>
        <w:tabs>
          <w:tab w:val="left" w:pos="567"/>
        </w:tabs>
        <w:ind w:left="567"/>
        <w:rPr>
          <w:rFonts w:ascii="Arial" w:hAnsi="Arial"/>
          <w:sz w:val="24"/>
          <w:lang w:val="es-MX"/>
        </w:rPr>
      </w:pPr>
    </w:p>
    <w:p w:rsidR="00000000" w:rsidRDefault="00A122D5">
      <w:pPr>
        <w:numPr>
          <w:ilvl w:val="2"/>
          <w:numId w:val="1"/>
        </w:numPr>
        <w:tabs>
          <w:tab w:val="left" w:pos="567"/>
        </w:tabs>
        <w:rPr>
          <w:rFonts w:ascii="Arial" w:hAnsi="Arial"/>
          <w:b/>
          <w:sz w:val="24"/>
          <w:lang w:val="es-MX"/>
        </w:rPr>
      </w:pPr>
      <w:r>
        <w:rPr>
          <w:rFonts w:ascii="Arial" w:hAnsi="Arial"/>
          <w:b/>
          <w:sz w:val="24"/>
          <w:lang w:val="es-MX"/>
        </w:rPr>
        <w:t>Análisis Bivariado</w:t>
      </w:r>
    </w:p>
    <w:p w:rsidR="00000000" w:rsidRDefault="00A122D5">
      <w:pPr>
        <w:tabs>
          <w:tab w:val="left" w:pos="567"/>
        </w:tabs>
        <w:rPr>
          <w:rFonts w:ascii="Arial" w:hAnsi="Arial"/>
          <w:sz w:val="24"/>
          <w:lang w:val="es-MX"/>
        </w:rPr>
      </w:pPr>
    </w:p>
    <w:p w:rsidR="00000000" w:rsidRDefault="00A122D5">
      <w:pPr>
        <w:tabs>
          <w:tab w:val="left" w:pos="567"/>
        </w:tabs>
        <w:rPr>
          <w:rFonts w:ascii="Arial" w:hAnsi="Arial"/>
          <w:sz w:val="24"/>
          <w:lang w:val="es-MX"/>
        </w:rPr>
      </w:pPr>
    </w:p>
    <w:p w:rsidR="00000000" w:rsidRDefault="00A122D5">
      <w:pPr>
        <w:tabs>
          <w:tab w:val="left" w:pos="567"/>
        </w:tabs>
        <w:ind w:firstLine="567"/>
        <w:rPr>
          <w:rFonts w:ascii="Arial" w:hAnsi="Arial"/>
          <w:sz w:val="24"/>
          <w:lang w:val="es-MX"/>
        </w:rPr>
      </w:pPr>
      <w:r>
        <w:rPr>
          <w:rFonts w:ascii="Arial" w:hAnsi="Arial"/>
          <w:noProof/>
          <w:sz w:val="24"/>
        </w:rPr>
        <w:pict>
          <v:shapetype id="_x0000_t202" coordsize="21600,21600" o:spt="202" path="m,l,21600r21600,l21600,xe">
            <v:stroke joinstyle="miter"/>
            <v:path gradientshapeok="t" o:connecttype="rect"/>
          </v:shapetype>
          <v:shape id="_x0000_s1027" type="#_x0000_t202" style="position:absolute;left:0;text-align:left;margin-left:87.75pt;margin-top:10.75pt;width:331.2pt;height:230.4pt;z-index:251652096" o:allowincell="f">
            <v:textbox>
              <w:txbxContent>
                <w:p w:rsidR="00000000" w:rsidRDefault="00A122D5">
                  <w:pPr>
                    <w:pStyle w:val="Ttulo1"/>
                  </w:pPr>
                  <w:r>
                    <w:t>Tabla XX</w:t>
                  </w:r>
                </w:p>
                <w:p w:rsidR="00000000" w:rsidRDefault="00A122D5">
                  <w:pPr>
                    <w:jc w:val="center"/>
                    <w:rPr>
                      <w:b/>
                      <w:lang w:val="es-MX"/>
                    </w:rPr>
                  </w:pPr>
                </w:p>
                <w:p w:rsidR="00000000" w:rsidRDefault="00A122D5">
                  <w:pPr>
                    <w:pStyle w:val="Textoindependiente"/>
                  </w:pPr>
                  <w:r>
                    <w:t>Distribución Conjunta de la Fecha denuncia de delitos  y Tipo de denunciante</w:t>
                  </w:r>
                </w:p>
                <w:p w:rsidR="00000000" w:rsidRDefault="00A122D5">
                  <w:pPr>
                    <w:pStyle w:val="Textoindependiente"/>
                  </w:pPr>
                </w:p>
                <w:p w:rsidR="00000000" w:rsidRDefault="00F2272F">
                  <w:pPr>
                    <w:pStyle w:val="Textoindependiente"/>
                  </w:pPr>
                  <w:r>
                    <w:rPr>
                      <w:b w:val="0"/>
                      <w:noProof/>
                      <w:lang w:val="es-ES"/>
                    </w:rPr>
                    <w:drawing>
                      <wp:inline distT="0" distB="0" distL="0" distR="0">
                        <wp:extent cx="3873500" cy="17907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73500" cy="1790700"/>
                                </a:xfrm>
                                <a:prstGeom prst="rect">
                                  <a:avLst/>
                                </a:prstGeom>
                                <a:noFill/>
                                <a:ln w="9525">
                                  <a:noFill/>
                                  <a:miter lim="800000"/>
                                  <a:headEnd/>
                                  <a:tailEnd/>
                                </a:ln>
                              </pic:spPr>
                            </pic:pic>
                          </a:graphicData>
                        </a:graphic>
                      </wp:inline>
                    </w:drawing>
                  </w:r>
                </w:p>
              </w:txbxContent>
            </v:textbox>
          </v:shape>
        </w:pic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pStyle w:val="Sangradetextonormal"/>
        <w:spacing w:line="480" w:lineRule="auto"/>
        <w:ind w:left="567" w:firstLine="0"/>
      </w:pPr>
      <w:r>
        <w:t>Al analizar la distribución conjunta  de la fecha de denuncia de delitos  y tipo de denunciante se puede determinar, que el Ministerio Fiscal tuvo más casos de delitos en el mes de enero, y el mes de noviembre con</w:t>
      </w:r>
      <w:r>
        <w:t xml:space="preserve"> el 20 por ciento, y 19.7 por ciento respectivamente, conformadas  en el mes de noviembre con denuncias realizadas por personas naturales  representa el 17.9 por ciento, y por personas jurídicas representa el 1.8 por ciento y   en el mes de enero  las denu</w:t>
      </w:r>
      <w:r>
        <w:t xml:space="preserve">ncias realizadas por personas naturales representa el 19.7 por ciento y  por personas jurídicas con 0.9 por ciento.  </w:t>
      </w:r>
      <w:r>
        <w:lastRenderedPageBreak/>
        <w:t>Las denuncias realizadas por personas jurídicas que representan la mayor frecuencia,  se encuentran en el mes de noviembre con 1.8 por cien</w:t>
      </w:r>
      <w:r>
        <w:t>to y el mes de febrero con 1.1 por ciento.   Las denuncias de personas naturales en el mes de octubre representa el 16 por ciento, las denuncias de personas naturales en el mes de diciembre representa el 15.2 por ciento, las denuncias de personas naturales</w:t>
      </w:r>
      <w:r>
        <w:t xml:space="preserve"> en el mes de febrero  representa el 11 por ciento del total,  y las denuncias de personas naturales  en el mes de marzo representa el 14.7 por ciento del total,  en tanto que las denuncias de personas jurídicas en el mes de octubre  representa el 0.9 por </w:t>
      </w:r>
      <w:r>
        <w:t>ciento, no existió denuncia de personas jurídicas en el mes de diciembre, las denuncias por personas jurídicas en el mes de enero al igual que en el mes de marzo representa el 0.9 por ciento del total.</w:t>
      </w:r>
    </w:p>
    <w:p w:rsidR="00000000" w:rsidRDefault="00A122D5">
      <w:pPr>
        <w:tabs>
          <w:tab w:val="left" w:pos="567"/>
        </w:tabs>
        <w:ind w:left="567"/>
        <w:rPr>
          <w:rFonts w:ascii="Arial" w:hAnsi="Arial"/>
          <w:sz w:val="24"/>
          <w:lang w:val="es-MX"/>
        </w:rPr>
      </w:pPr>
      <w:r>
        <w:rPr>
          <w:rFonts w:ascii="Arial" w:hAnsi="Arial"/>
          <w:noProof/>
          <w:sz w:val="24"/>
        </w:rPr>
        <w:pict>
          <v:shape id="_x0000_s1028" type="#_x0000_t202" style="position:absolute;left:0;text-align:left;margin-left:95.4pt;margin-top:1.85pt;width:324pt;height:193.9pt;z-index:251653120" o:allowincell="f">
            <v:textbox>
              <w:txbxContent>
                <w:p w:rsidR="00000000" w:rsidRDefault="00A122D5">
                  <w:pPr>
                    <w:pStyle w:val="Ttulo1"/>
                  </w:pPr>
                  <w:r>
                    <w:t xml:space="preserve">Tabla </w:t>
                  </w:r>
                  <w:r>
                    <w:t>XXI</w:t>
                  </w:r>
                  <w:r>
                    <w:tab/>
                  </w:r>
                </w:p>
                <w:p w:rsidR="00000000" w:rsidRDefault="00A122D5">
                  <w:pPr>
                    <w:pStyle w:val="Ttulo2"/>
                  </w:pPr>
                  <w:r>
                    <w:t>Distribución Conjunta de la Fecha y Género de denunciantes</w:t>
                  </w:r>
                </w:p>
                <w:p w:rsidR="00000000" w:rsidRDefault="00A122D5">
                  <w:pPr>
                    <w:jc w:val="center"/>
                    <w:rPr>
                      <w:b/>
                      <w:sz w:val="24"/>
                      <w:lang w:val="es-MX"/>
                    </w:rPr>
                  </w:pPr>
                </w:p>
                <w:p w:rsidR="00000000" w:rsidRDefault="00A122D5">
                  <w:pPr>
                    <w:jc w:val="center"/>
                    <w:rPr>
                      <w:sz w:val="24"/>
                      <w:lang w:val="es-MX"/>
                    </w:rPr>
                  </w:pPr>
                  <w:r>
                    <w:rPr>
                      <w:b/>
                      <w:sz w:val="24"/>
                      <w:lang w:val="es-MX"/>
                    </w:rPr>
                    <w:object w:dxaOrig="6161" w:dyaOrig="2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128.25pt" o:ole="" fillcolor="window">
                        <v:imagedata r:id="rId8" o:title=""/>
                      </v:shape>
                      <o:OLEObject Type="Embed" ProgID="Word.Picture.8" ShapeID="_x0000_i1025" DrawAspect="Content" ObjectID="_1309084896" r:id="rId9"/>
                    </w:object>
                  </w:r>
                </w:p>
                <w:p w:rsidR="00000000" w:rsidRDefault="00A122D5">
                  <w:pPr>
                    <w:rPr>
                      <w:lang w:val="es-MX"/>
                    </w:rPr>
                  </w:pPr>
                </w:p>
              </w:txbxContent>
            </v:textbox>
          </v:shape>
        </w:pic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 w:val="left" w:pos="709"/>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rPr>
          <w:rFonts w:ascii="Arial" w:hAnsi="Arial"/>
          <w:sz w:val="24"/>
          <w:lang w:val="es-MX"/>
        </w:rPr>
      </w:pPr>
    </w:p>
    <w:p w:rsidR="00000000" w:rsidRDefault="00A122D5">
      <w:pPr>
        <w:pStyle w:val="Sangradetextonormal"/>
        <w:spacing w:line="480" w:lineRule="auto"/>
        <w:ind w:left="567" w:firstLine="0"/>
      </w:pPr>
      <w:r>
        <w:t xml:space="preserve">En la tabla XXI se puede observar </w:t>
      </w:r>
      <w:r>
        <w:t xml:space="preserve"> los hombres realizaron mas denuncias en los meses de noviembre  representando el 12.2 por ciento, en el mes de enero representando el 12.3 por ciento, el mes de marzo representando  el 10.6 por ciento. </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En el mes de octubre las denuncias realizadas por ho</w:t>
      </w:r>
      <w:r>
        <w:rPr>
          <w:rFonts w:ascii="Arial" w:hAnsi="Arial"/>
          <w:sz w:val="24"/>
          <w:lang w:val="es-MX"/>
        </w:rPr>
        <w:t xml:space="preserve">mbres representa el 9.7 por ciento, en el mes de diciembre las denuncias realizadas por hombres representa el 9.1 por ciento, en el mes de febrero  las denuncias realizadas por hombres representa el 7 por ciento.   </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Se puede observar que el mayor porcentaj</w:t>
      </w:r>
      <w:r>
        <w:rPr>
          <w:rFonts w:ascii="Arial" w:hAnsi="Arial"/>
          <w:sz w:val="24"/>
          <w:lang w:val="es-MX"/>
        </w:rPr>
        <w:t>e de mujeres que denunciaron fueron en los meses de enero, octubre, noviembre, representando 8 por ciento,  por ciento, 7.1 por ciento  respectivamente.  En el mes de diciembre denuncias realizadas por mujeres representa el 6.1 por ciento, en el mes de feb</w:t>
      </w:r>
      <w:r>
        <w:rPr>
          <w:rFonts w:ascii="Arial" w:hAnsi="Arial"/>
          <w:sz w:val="24"/>
          <w:lang w:val="es-MX"/>
        </w:rPr>
        <w:t>rero denuncias realizadas por mujeres representa  4.2 por ciento, en el mes de marzo denuncias realizadas por mujeres representa el 4.7 por ciento del total.</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Se puede determinar que las denuncias compuestas por hombre y mujer  son muy pocas en tanto que en</w:t>
      </w:r>
      <w:r>
        <w:rPr>
          <w:rFonts w:ascii="Arial" w:hAnsi="Arial"/>
          <w:sz w:val="24"/>
          <w:lang w:val="es-MX"/>
        </w:rPr>
        <w:t xml:space="preserve"> el mes de enero y febrero no existieron denuncias.  Las denuncias compuestos por hombre y mujer en los meses de diciembre, enero, febrero  y marzo representan muy poco con respecto a las denuncias de hombres y mujeres individuales con 0.9 por ciento, 0.6 </w:t>
      </w:r>
      <w:r>
        <w:rPr>
          <w:rFonts w:ascii="Arial" w:hAnsi="Arial"/>
          <w:sz w:val="24"/>
          <w:lang w:val="es-MX"/>
        </w:rPr>
        <w:t>por ciento, 0.4 por ciento, 0.1 por ciento respectivamente del total.</w: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r>
        <w:rPr>
          <w:rFonts w:ascii="Arial" w:hAnsi="Arial"/>
          <w:noProof/>
          <w:sz w:val="24"/>
        </w:rPr>
        <w:pict>
          <v:shape id="_x0000_s1029" type="#_x0000_t202" style="position:absolute;left:0;text-align:left;margin-left:30.6pt;margin-top:12pt;width:381.6pt;height:3in;z-index:251654144" o:allowincell="f">
            <v:textbox>
              <w:txbxContent>
                <w:p w:rsidR="00000000" w:rsidRDefault="00A122D5">
                  <w:pPr>
                    <w:jc w:val="center"/>
                    <w:rPr>
                      <w:b/>
                      <w:lang w:val="es-MX"/>
                    </w:rPr>
                  </w:pPr>
                  <w:r>
                    <w:rPr>
                      <w:b/>
                      <w:lang w:val="es-MX"/>
                    </w:rPr>
                    <w:t>Tabla XXII</w:t>
                  </w:r>
                </w:p>
                <w:p w:rsidR="00000000" w:rsidRDefault="00A122D5">
                  <w:pPr>
                    <w:pStyle w:val="Ttulo2"/>
                  </w:pPr>
                  <w:r>
                    <w:t>Distribución Conjunta de la Fecha denuncia de delitos y Tipo de Imputados</w:t>
                  </w:r>
                </w:p>
                <w:p w:rsidR="00000000" w:rsidRDefault="00A122D5">
                  <w:pPr>
                    <w:jc w:val="center"/>
                    <w:rPr>
                      <w:b/>
                      <w:sz w:val="24"/>
                      <w:lang w:val="es-MX"/>
                    </w:rPr>
                  </w:pPr>
                </w:p>
                <w:p w:rsidR="00000000" w:rsidRDefault="00F2272F">
                  <w:pPr>
                    <w:jc w:val="center"/>
                    <w:rPr>
                      <w:sz w:val="24"/>
                      <w:lang w:val="es-MX"/>
                    </w:rPr>
                  </w:pPr>
                  <w:r>
                    <w:rPr>
                      <w:b/>
                      <w:noProof/>
                      <w:sz w:val="24"/>
                    </w:rPr>
                    <w:drawing>
                      <wp:inline distT="0" distB="0" distL="0" distR="0">
                        <wp:extent cx="4292600" cy="17145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292600" cy="1714500"/>
                                </a:xfrm>
                                <a:prstGeom prst="rect">
                                  <a:avLst/>
                                </a:prstGeom>
                                <a:noFill/>
                                <a:ln w="9525">
                                  <a:noFill/>
                                  <a:miter lim="800000"/>
                                  <a:headEnd/>
                                  <a:tailEnd/>
                                </a:ln>
                              </pic:spPr>
                            </pic:pic>
                          </a:graphicData>
                        </a:graphic>
                      </wp:inline>
                    </w:drawing>
                  </w:r>
                </w:p>
              </w:txbxContent>
            </v:textbox>
          </v:shape>
        </w:pic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r>
        <w:rPr>
          <w:rFonts w:ascii="Arial" w:hAnsi="Arial"/>
          <w:sz w:val="24"/>
          <w:lang w:val="es-MX"/>
        </w:rPr>
        <w:t xml:space="preserve">  </w: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rPr>
          <w:rFonts w:ascii="Arial" w:hAnsi="Arial"/>
          <w:sz w:val="24"/>
          <w:lang w:val="es-MX"/>
        </w:rPr>
      </w:pPr>
    </w:p>
    <w:p w:rsidR="00000000" w:rsidRDefault="00A122D5">
      <w:pPr>
        <w:tabs>
          <w:tab w:val="left" w:pos="567"/>
        </w:tabs>
        <w:rPr>
          <w:rFonts w:ascii="Arial" w:hAnsi="Arial"/>
          <w:sz w:val="24"/>
          <w:lang w:val="es-MX"/>
        </w:rPr>
      </w:pPr>
    </w:p>
    <w:p w:rsidR="00000000" w:rsidRDefault="00A122D5">
      <w:pPr>
        <w:pStyle w:val="Ttulo4"/>
        <w:spacing w:line="480" w:lineRule="auto"/>
        <w:jc w:val="both"/>
      </w:pPr>
      <w:r>
        <w:t>En la tabla XXII se puede determinar los denunciados o imputados   como personas naturales, con mayor porcentaje  en los meses de octubre, marzo, febrero,  están</w:t>
      </w:r>
      <w:r>
        <w:t xml:space="preserve"> representados con 16.6 por ciento, 15.4 por ciento,  11.7 por ciento respectivamente.  En el mes de noviembre los imputados como persona natural  representa el 10.7 por ciento, en el mes de diciembre  los imputados como persona natural representa el 9.3 p</w:t>
      </w:r>
      <w:r>
        <w:t xml:space="preserve">or ciento, en el mes de enero los imputados como persona natural representa el 11.7 por ciento. </w:t>
      </w:r>
    </w:p>
    <w:p w:rsidR="00000000" w:rsidRDefault="00A122D5">
      <w:pPr>
        <w:pStyle w:val="Ttulo4"/>
        <w:spacing w:line="480" w:lineRule="auto"/>
        <w:jc w:val="both"/>
      </w:pPr>
      <w:r>
        <w:t>Los porcentajes de imputados como personas jurídicas, en los 6 meses de estudio son pocos, y el mayor porcentaje se encuentra en el mes de enero con  0.5 por c</w:t>
      </w:r>
      <w:r>
        <w:t>iento.</w:t>
      </w:r>
    </w:p>
    <w:p w:rsidR="00000000" w:rsidRDefault="00A122D5">
      <w:pPr>
        <w:pStyle w:val="Ttulo4"/>
        <w:spacing w:line="480" w:lineRule="auto"/>
        <w:jc w:val="both"/>
      </w:pPr>
      <w:r>
        <w:t>Los denunciantes que desconocen las personas que cometieron el delito es decir de tipo indagatorio, en los meses de octubre,  noviembre, diciembre, enero,  representan el 0.3 por ciento,  8.7 por ciento, 5.6 por ciento, 8.3 por ciento,  respectivame</w:t>
      </w:r>
      <w:r>
        <w:t xml:space="preserve">nte. </w:t>
      </w:r>
    </w:p>
    <w:p w:rsidR="00000000" w:rsidRDefault="00A122D5"/>
    <w:p w:rsidR="00000000" w:rsidRDefault="00A122D5">
      <w:r>
        <w:rPr>
          <w:noProof/>
        </w:rPr>
        <w:pict>
          <v:shape id="_x0000_s1031" type="#_x0000_t202" style="position:absolute;margin-left:58.95pt;margin-top:10.75pt;width:354.15pt;height:201.6pt;z-index:251655168" o:allowincell="f">
            <v:textbox>
              <w:txbxContent>
                <w:p w:rsidR="00000000" w:rsidRDefault="00A122D5">
                  <w:pPr>
                    <w:pStyle w:val="Ttulo3"/>
                    <w:rPr>
                      <w:rFonts w:ascii="Times New Roman" w:hAnsi="Times New Roman"/>
                    </w:rPr>
                  </w:pPr>
                  <w:r>
                    <w:rPr>
                      <w:rFonts w:ascii="Times New Roman" w:hAnsi="Times New Roman"/>
                    </w:rPr>
                    <w:t>Tabla XXIII</w:t>
                  </w:r>
                </w:p>
                <w:p w:rsidR="00000000" w:rsidRDefault="00A122D5">
                  <w:pPr>
                    <w:pStyle w:val="Ttulo2"/>
                    <w:rPr>
                      <w:lang w:val="es-ES"/>
                    </w:rPr>
                  </w:pPr>
                  <w:r>
                    <w:rPr>
                      <w:lang w:val="es-ES"/>
                    </w:rPr>
                    <w:t xml:space="preserve">Distribución Conjunta de la Fecha denuncia de delitos y </w:t>
                  </w:r>
                  <w:r>
                    <w:rPr>
                      <w:lang w:val="es-ES"/>
                    </w:rPr>
                    <w:t>Género de imputados</w:t>
                  </w:r>
                </w:p>
                <w:p w:rsidR="00000000" w:rsidRDefault="00A122D5">
                  <w:pPr>
                    <w:jc w:val="center"/>
                    <w:rPr>
                      <w:b/>
                      <w:sz w:val="24"/>
                    </w:rPr>
                  </w:pPr>
                </w:p>
                <w:p w:rsidR="00000000" w:rsidRDefault="00F2272F">
                  <w:pPr>
                    <w:jc w:val="center"/>
                    <w:rPr>
                      <w:b/>
                      <w:sz w:val="24"/>
                    </w:rPr>
                  </w:pPr>
                  <w:r>
                    <w:rPr>
                      <w:b/>
                      <w:noProof/>
                      <w:sz w:val="24"/>
                    </w:rPr>
                    <w:drawing>
                      <wp:inline distT="0" distB="0" distL="0" distR="0">
                        <wp:extent cx="4305300" cy="17653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305300" cy="1765300"/>
                                </a:xfrm>
                                <a:prstGeom prst="rect">
                                  <a:avLst/>
                                </a:prstGeom>
                                <a:noFill/>
                                <a:ln w="9525">
                                  <a:noFill/>
                                  <a:miter lim="800000"/>
                                  <a:headEnd/>
                                  <a:tailEnd/>
                                </a:ln>
                              </pic:spPr>
                            </pic:pic>
                          </a:graphicData>
                        </a:graphic>
                      </wp:inline>
                    </w:drawing>
                  </w:r>
                </w:p>
                <w:p w:rsidR="00000000" w:rsidRDefault="00A122D5">
                  <w:pPr>
                    <w:jc w:val="center"/>
                  </w:pPr>
                </w:p>
                <w:p w:rsidR="00000000" w:rsidRDefault="00A122D5">
                  <w:pPr>
                    <w:jc w:val="center"/>
                  </w:pPr>
                </w:p>
                <w:p w:rsidR="00000000" w:rsidRDefault="00A122D5">
                  <w:pPr>
                    <w:tabs>
                      <w:tab w:val="left" w:pos="567"/>
                    </w:tabs>
                    <w:ind w:firstLine="567"/>
                    <w:jc w:val="center"/>
                    <w:rPr>
                      <w:rFonts w:ascii="Arial" w:hAnsi="Arial"/>
                      <w:sz w:val="24"/>
                      <w:lang w:val="es-MX"/>
                    </w:rPr>
                  </w:pPr>
                </w:p>
                <w:p w:rsidR="00000000" w:rsidRDefault="00A122D5">
                  <w:pPr>
                    <w:jc w:val="center"/>
                  </w:pPr>
                </w:p>
              </w:txbxContent>
            </v:textbox>
            <w10:wrap type="square"/>
          </v:shape>
        </w:pict>
      </w:r>
    </w:p>
    <w:p w:rsidR="00000000" w:rsidRDefault="00A122D5"/>
    <w:p w:rsidR="00000000" w:rsidRDefault="00A122D5"/>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pStyle w:val="Sangradetextonormal"/>
        <w:spacing w:line="480" w:lineRule="auto"/>
        <w:ind w:left="567" w:firstLine="0"/>
      </w:pPr>
      <w:r>
        <w:t>En la  tabla XXIII, la distribución conjunto de la fecha de denuncia de delitos y género de imputados   se puede observar, que en el mes de octubre los imputados hombres representan el 16.3 por ciento, en cambio las mujeres repre</w:t>
      </w:r>
      <w:r>
        <w:t>senta el 5.1 por ciento, en el mes de noviembre  los imputados hombres representa el 11.6 por ciento, en cambio las mujeres representan el 1.9 por ciento, en el mes de enero los imputados hombres representa el 10.9 por ciento, en cambio las  mujeres repres</w:t>
      </w:r>
      <w:r>
        <w:t>enta 4.2 por ciento, en el mes de febrero los imputados hombres representa el 10.3 por ciento, en el caso de las mujeres representa el 3.9 por ciento, en el mes de marzo los imputados hombres representan  el 16.3 por ciento, en el caso de las mujeres repre</w:t>
      </w:r>
      <w:r>
        <w:t>senta el 3.2 por ciento.</w:t>
      </w:r>
    </w:p>
    <w:p w:rsidR="00000000" w:rsidRDefault="00A122D5">
      <w:pPr>
        <w:tabs>
          <w:tab w:val="left" w:pos="567"/>
        </w:tabs>
        <w:spacing w:line="480" w:lineRule="auto"/>
        <w:ind w:left="567"/>
        <w:jc w:val="both"/>
        <w:rPr>
          <w:rFonts w:ascii="Arial" w:hAnsi="Arial"/>
          <w:sz w:val="24"/>
          <w:lang w:val="es-MX"/>
        </w:rPr>
      </w:pPr>
    </w:p>
    <w:p w:rsidR="00000000" w:rsidRDefault="00A122D5">
      <w:pPr>
        <w:pStyle w:val="Textoindependiente2"/>
        <w:ind w:left="567"/>
      </w:pPr>
      <w:r>
        <w:t>En los meses que tienen mayor porcentaje  de imputados  compuestos por hombre y mujer, son  enero y febrero con 1.1 por ciento, 1.2 por  ciento respectivamente.  En el resto de los meses el porcentaje es menor a 1 por ciento.</w:t>
      </w:r>
    </w:p>
    <w:p w:rsidR="00000000" w:rsidRDefault="00A122D5">
      <w:pPr>
        <w:tabs>
          <w:tab w:val="left" w:pos="567"/>
        </w:tabs>
        <w:spacing w:line="480" w:lineRule="auto"/>
        <w:jc w:val="both"/>
        <w:rPr>
          <w:rFonts w:ascii="Arial" w:hAnsi="Arial"/>
          <w:sz w:val="24"/>
          <w:lang w:val="es-MX"/>
        </w:rPr>
      </w:pPr>
    </w:p>
    <w:p w:rsidR="00000000" w:rsidRDefault="00A122D5">
      <w:pPr>
        <w:tabs>
          <w:tab w:val="left" w:pos="567"/>
        </w:tabs>
        <w:spacing w:line="480" w:lineRule="auto"/>
        <w:jc w:val="both"/>
        <w:rPr>
          <w:rFonts w:ascii="Arial" w:hAnsi="Arial"/>
          <w:sz w:val="24"/>
          <w:lang w:val="es-MX"/>
        </w:rPr>
      </w:pPr>
    </w:p>
    <w:p w:rsidR="00000000" w:rsidRDefault="00A122D5">
      <w:pPr>
        <w:tabs>
          <w:tab w:val="left" w:pos="567"/>
        </w:tabs>
        <w:spacing w:line="480" w:lineRule="auto"/>
        <w:ind w:firstLine="567"/>
        <w:jc w:val="both"/>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r>
        <w:rPr>
          <w:rFonts w:ascii="Arial" w:hAnsi="Arial"/>
          <w:noProof/>
          <w:sz w:val="24"/>
        </w:rPr>
        <w:pict>
          <v:shape id="_x0000_s1032" type="#_x0000_t202" style="position:absolute;left:0;text-align:left;margin-left:-19.8pt;margin-top:9pt;width:475.2pt;height:396pt;z-index:251656192" o:allowincell="f">
            <v:textbox>
              <w:txbxContent>
                <w:p w:rsidR="00000000" w:rsidRDefault="00A122D5">
                  <w:pPr>
                    <w:jc w:val="center"/>
                    <w:rPr>
                      <w:b/>
                      <w:lang w:val="es-MX"/>
                    </w:rPr>
                  </w:pPr>
                  <w:r>
                    <w:rPr>
                      <w:b/>
                      <w:lang w:val="es-MX"/>
                    </w:rPr>
                    <w:t>Tabla XXIV</w:t>
                  </w:r>
                </w:p>
                <w:p w:rsidR="00000000" w:rsidRDefault="00A122D5">
                  <w:pPr>
                    <w:pStyle w:val="Ttulo2"/>
                  </w:pPr>
                  <w:r>
                    <w:t>Distribución Conjunta de la Fecha denuncia de delitos y Delitos en  Particular</w:t>
                  </w:r>
                </w:p>
                <w:p w:rsidR="00000000" w:rsidRDefault="00A122D5">
                  <w:pPr>
                    <w:jc w:val="center"/>
                    <w:rPr>
                      <w:b/>
                      <w:sz w:val="24"/>
                      <w:lang w:val="es-MX"/>
                    </w:rPr>
                  </w:pPr>
                </w:p>
                <w:p w:rsidR="00000000" w:rsidRDefault="00F2272F">
                  <w:pPr>
                    <w:jc w:val="center"/>
                    <w:rPr>
                      <w:b/>
                      <w:lang w:val="es-MX"/>
                    </w:rPr>
                  </w:pPr>
                  <w:r>
                    <w:rPr>
                      <w:b/>
                      <w:noProof/>
                    </w:rPr>
                    <w:drawing>
                      <wp:inline distT="0" distB="0" distL="0" distR="0">
                        <wp:extent cx="5626100" cy="21717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626100" cy="2171700"/>
                                </a:xfrm>
                                <a:prstGeom prst="rect">
                                  <a:avLst/>
                                </a:prstGeom>
                                <a:noFill/>
                                <a:ln w="9525">
                                  <a:noFill/>
                                  <a:miter lim="800000"/>
                                  <a:headEnd/>
                                  <a:tailEnd/>
                                </a:ln>
                              </pic:spPr>
                            </pic:pic>
                          </a:graphicData>
                        </a:graphic>
                      </wp:inline>
                    </w:drawing>
                  </w:r>
                </w:p>
                <w:p w:rsidR="00000000" w:rsidRDefault="00A122D5">
                  <w:pPr>
                    <w:rPr>
                      <w:lang w:val="es-MX"/>
                    </w:rPr>
                  </w:pPr>
                </w:p>
                <w:p w:rsidR="00000000" w:rsidRDefault="00A122D5">
                  <w:pPr>
                    <w:rPr>
                      <w:lang w:val="es-MX"/>
                    </w:rPr>
                  </w:pPr>
                </w:p>
                <w:p w:rsidR="00000000" w:rsidRDefault="00F2272F">
                  <w:pPr>
                    <w:jc w:val="center"/>
                    <w:rPr>
                      <w:lang w:val="es-MX"/>
                    </w:rPr>
                  </w:pPr>
                  <w:r>
                    <w:rPr>
                      <w:noProof/>
                    </w:rPr>
                    <w:drawing>
                      <wp:inline distT="0" distB="0" distL="0" distR="0">
                        <wp:extent cx="5842000" cy="179070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842000" cy="1790700"/>
                                </a:xfrm>
                                <a:prstGeom prst="rect">
                                  <a:avLst/>
                                </a:prstGeom>
                                <a:noFill/>
                                <a:ln w="9525">
                                  <a:noFill/>
                                  <a:miter lim="800000"/>
                                  <a:headEnd/>
                                  <a:tailEnd/>
                                </a:ln>
                              </pic:spPr>
                            </pic:pic>
                          </a:graphicData>
                        </a:graphic>
                      </wp:inline>
                    </w:drawing>
                  </w:r>
                </w:p>
              </w:txbxContent>
            </v:textbox>
          </v:shape>
        </w:pic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jc w:val="both"/>
        <w:rPr>
          <w:rFonts w:ascii="Arial" w:hAnsi="Arial"/>
          <w:sz w:val="24"/>
          <w:lang w:val="es-MX"/>
        </w:rPr>
      </w:pPr>
    </w:p>
    <w:p w:rsidR="00000000" w:rsidRDefault="00A122D5">
      <w:pPr>
        <w:pStyle w:val="Sangra2detindependiente"/>
        <w:spacing w:line="480" w:lineRule="auto"/>
        <w:ind w:firstLine="0"/>
        <w:jc w:val="both"/>
      </w:pPr>
      <w:r>
        <w:t xml:space="preserve">En la tabla  XXIV,  se puede observar que los </w:t>
      </w:r>
      <w:r>
        <w:rPr>
          <w:i/>
        </w:rPr>
        <w:t>Delitos contra las personas</w:t>
      </w:r>
      <w:r>
        <w:t xml:space="preserve">, en el mes de noviembre tuvo un mayor porcentaje con el 2 por ciento,  en los meses de octubre, diciembre, enero, febrero fueron menores al mes </w:t>
      </w:r>
      <w:r>
        <w:t>de noviembre,  con 1.4 por ciento, 1.3 por ciento, 0.9 por ciento, 0.7 por ciento,  1.3 por ciento respectivamente.</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En los </w:t>
      </w:r>
      <w:r>
        <w:rPr>
          <w:rFonts w:ascii="Arial" w:hAnsi="Arial"/>
          <w:i/>
          <w:sz w:val="24"/>
          <w:lang w:val="es-MX"/>
        </w:rPr>
        <w:t>delitos contra la propiedad</w:t>
      </w:r>
      <w:r>
        <w:rPr>
          <w:rFonts w:ascii="Arial" w:hAnsi="Arial"/>
          <w:sz w:val="24"/>
          <w:lang w:val="es-MX"/>
        </w:rPr>
        <w:t xml:space="preserve">  que es el de mayor representatividad con 39 por ciento,  con un mayor porcentaje en los meses de noviemb</w:t>
      </w:r>
      <w:r>
        <w:rPr>
          <w:rFonts w:ascii="Arial" w:hAnsi="Arial"/>
          <w:sz w:val="24"/>
          <w:lang w:val="es-MX"/>
        </w:rPr>
        <w:t>re de 8.2 y en el mes de enero de 8.7 por ciento.   Contra la propiedad en el mes de diciembre representa de 7.5  por ciento,  en el mes de marzo 5.6 por ciento, en el mes de octubre representa un 5.1 por ciento,  en el mes de febrero bajó  en consideració</w:t>
      </w:r>
      <w:r>
        <w:rPr>
          <w:rFonts w:ascii="Arial" w:hAnsi="Arial"/>
          <w:sz w:val="24"/>
          <w:lang w:val="es-MX"/>
        </w:rPr>
        <w:t>n a los otros meses con 3.8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Los </w:t>
      </w:r>
      <w:r>
        <w:rPr>
          <w:rFonts w:ascii="Arial" w:hAnsi="Arial"/>
          <w:i/>
          <w:sz w:val="24"/>
          <w:lang w:val="es-MX"/>
        </w:rPr>
        <w:t>delitos  contra la administración pública</w:t>
      </w:r>
      <w:r>
        <w:rPr>
          <w:rFonts w:ascii="Arial" w:hAnsi="Arial"/>
          <w:sz w:val="24"/>
          <w:lang w:val="es-MX"/>
        </w:rPr>
        <w:t xml:space="preserve"> que representa el 3.8  por ciento, encontramos que  el mes de octubre representa 0.7 por ciento, en el mes noviembre representa 0.6 por ciento, en el mes de diciembre rep</w:t>
      </w:r>
      <w:r>
        <w:rPr>
          <w:rFonts w:ascii="Arial" w:hAnsi="Arial"/>
          <w:sz w:val="24"/>
          <w:lang w:val="es-MX"/>
        </w:rPr>
        <w:t>resenta 0.5 por ciento, en el mes de enero representa 0.12, en el mes de febrero representa 0.4  por ciento, en el mes de marzo representa el 0.4 por ciento de los delitos.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Los </w:t>
      </w:r>
      <w:r>
        <w:rPr>
          <w:rFonts w:ascii="Arial" w:hAnsi="Arial"/>
          <w:i/>
          <w:sz w:val="24"/>
          <w:lang w:val="es-MX"/>
        </w:rPr>
        <w:t>delitos contra la seguridad pública</w:t>
      </w:r>
      <w:r>
        <w:rPr>
          <w:rFonts w:ascii="Arial" w:hAnsi="Arial"/>
          <w:sz w:val="24"/>
          <w:lang w:val="es-MX"/>
        </w:rPr>
        <w:t xml:space="preserve"> en los meses de octubre, noviembre, diciemb</w:t>
      </w:r>
      <w:r>
        <w:rPr>
          <w:rFonts w:ascii="Arial" w:hAnsi="Arial"/>
          <w:sz w:val="24"/>
          <w:lang w:val="es-MX"/>
        </w:rPr>
        <w:t>re, enero, febrero, marzo, representan el 4.6 por ciento, 2.8 por ciento, 1.2 por ciento, 2.7 por ciento, 2.6 por ciento,  3.3 por ciento respectivamente.</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Los </w:t>
      </w:r>
      <w:r>
        <w:rPr>
          <w:rFonts w:ascii="Arial" w:hAnsi="Arial"/>
          <w:i/>
          <w:sz w:val="24"/>
          <w:lang w:val="es-MX"/>
        </w:rPr>
        <w:t>delitos contra la honra</w:t>
      </w:r>
      <w:r>
        <w:rPr>
          <w:rFonts w:ascii="Arial" w:hAnsi="Arial"/>
          <w:sz w:val="24"/>
          <w:lang w:val="es-MX"/>
        </w:rPr>
        <w:t xml:space="preserve"> en porcentaje en todos los meses, es menor que 1 por ciento.  </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Los </w:t>
      </w:r>
      <w:r>
        <w:rPr>
          <w:rFonts w:ascii="Arial" w:hAnsi="Arial"/>
          <w:i/>
          <w:sz w:val="24"/>
          <w:lang w:val="es-MX"/>
        </w:rPr>
        <w:t>delito</w:t>
      </w:r>
      <w:r>
        <w:rPr>
          <w:rFonts w:ascii="Arial" w:hAnsi="Arial"/>
          <w:i/>
          <w:sz w:val="24"/>
          <w:lang w:val="es-MX"/>
        </w:rPr>
        <w:t>s  contra la fe pública</w:t>
      </w:r>
      <w:r>
        <w:rPr>
          <w:rFonts w:ascii="Arial" w:hAnsi="Arial"/>
          <w:sz w:val="24"/>
          <w:lang w:val="es-MX"/>
        </w:rPr>
        <w:t xml:space="preserve"> con mayor porcentaje  en el mes de noviembre con 3 por ciento,  en octubre representa el 2.3 por ciento, diciembre representa 2.5 por ciento, enero representa 1.9 por ciento,  febrero representa  1 por ciento,  marzo representa 2.5 </w:t>
      </w:r>
      <w:r>
        <w:rPr>
          <w:rFonts w:ascii="Arial" w:hAnsi="Arial"/>
          <w:sz w:val="24"/>
          <w:lang w:val="es-MX"/>
        </w:rPr>
        <w:t xml:space="preserve">por ciento. </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Los </w:t>
      </w:r>
      <w:r>
        <w:rPr>
          <w:rFonts w:ascii="Arial" w:hAnsi="Arial"/>
          <w:i/>
          <w:sz w:val="24"/>
          <w:lang w:val="es-MX"/>
        </w:rPr>
        <w:t>delitos contra las garantías constitucionales y la igualdad racial</w:t>
      </w:r>
      <w:r>
        <w:rPr>
          <w:rFonts w:ascii="Arial" w:hAnsi="Arial"/>
          <w:sz w:val="24"/>
          <w:lang w:val="es-MX"/>
        </w:rPr>
        <w:t xml:space="preserve"> en los meses de octubre, noviembre, diciembre, enero, febrero, marzo representan respectivamente el 0.3 por ciento, 0.5 por ciento, 0.2 por ciento, 1.7 por ciento, 0.4 por </w:t>
      </w:r>
      <w:r>
        <w:rPr>
          <w:rFonts w:ascii="Arial" w:hAnsi="Arial"/>
          <w:sz w:val="24"/>
          <w:lang w:val="es-MX"/>
        </w:rPr>
        <w:t>ciento, 0.5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Los </w:t>
      </w:r>
      <w:r>
        <w:rPr>
          <w:rFonts w:ascii="Arial" w:hAnsi="Arial"/>
          <w:i/>
          <w:sz w:val="24"/>
          <w:lang w:val="es-MX"/>
        </w:rPr>
        <w:t>delitos sexuales</w:t>
      </w:r>
      <w:r>
        <w:rPr>
          <w:rFonts w:ascii="Arial" w:hAnsi="Arial"/>
          <w:sz w:val="24"/>
          <w:lang w:val="es-MX"/>
        </w:rPr>
        <w:t>,   en los meses de octubre, noviembre, diciembre, enero, febrero, marzo representan respectivamente el  0.6 por ciento, 0.9 por ciento, 0.7 por ciento, 1.1 por ciento, 0.7 por ciento y 0.6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Determinamo</w:t>
      </w:r>
      <w:r>
        <w:rPr>
          <w:rFonts w:ascii="Arial" w:hAnsi="Arial"/>
          <w:sz w:val="24"/>
          <w:lang w:val="es-MX"/>
        </w:rPr>
        <w:t xml:space="preserve">s que los </w:t>
      </w:r>
      <w:r>
        <w:rPr>
          <w:rFonts w:ascii="Arial" w:hAnsi="Arial"/>
          <w:i/>
          <w:sz w:val="24"/>
          <w:lang w:val="es-MX"/>
        </w:rPr>
        <w:t>delitos contra el Estado civil</w:t>
      </w:r>
      <w:r>
        <w:rPr>
          <w:rFonts w:ascii="Arial" w:hAnsi="Arial"/>
          <w:sz w:val="24"/>
          <w:lang w:val="es-MX"/>
        </w:rPr>
        <w:t>,  en los meses de estudio casi no existen,  tanto que en el mes de enero representa el 0.2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La distribución conjunta de los meses de estudio y los </w:t>
      </w:r>
      <w:r>
        <w:rPr>
          <w:rFonts w:ascii="Arial" w:hAnsi="Arial"/>
          <w:i/>
          <w:sz w:val="24"/>
          <w:lang w:val="es-MX"/>
        </w:rPr>
        <w:t>delitos contra la seguridad del estado</w:t>
      </w:r>
      <w:r>
        <w:rPr>
          <w:rFonts w:ascii="Arial" w:hAnsi="Arial"/>
          <w:sz w:val="24"/>
          <w:lang w:val="es-MX"/>
        </w:rPr>
        <w:t>, representan en lo</w:t>
      </w:r>
      <w:r>
        <w:rPr>
          <w:rFonts w:ascii="Arial" w:hAnsi="Arial"/>
          <w:sz w:val="24"/>
          <w:lang w:val="es-MX"/>
        </w:rPr>
        <w:t>s meses de octubre 0.3 por ciento, noviembre 0.6 por ciento, diciembre 0.3 por ciento, enero 0.8 por ciento, febrero 0.5 por ciento, marzo 0.2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Los </w:t>
      </w:r>
      <w:r>
        <w:rPr>
          <w:rFonts w:ascii="Arial" w:hAnsi="Arial"/>
          <w:i/>
          <w:sz w:val="24"/>
          <w:lang w:val="es-MX"/>
        </w:rPr>
        <w:t>delitos aduaneros</w:t>
      </w:r>
      <w:r>
        <w:rPr>
          <w:rFonts w:ascii="Arial" w:hAnsi="Arial"/>
          <w:sz w:val="24"/>
          <w:lang w:val="es-MX"/>
        </w:rPr>
        <w:t xml:space="preserve">  que representan el 5.6 por ciento total en los 6 meses representan, el  0.7 po</w:t>
      </w:r>
      <w:r>
        <w:rPr>
          <w:rFonts w:ascii="Arial" w:hAnsi="Arial"/>
          <w:sz w:val="24"/>
          <w:lang w:val="es-MX"/>
        </w:rPr>
        <w:t>r ciento en el mes de  octubre, el  1.1 por ciento en el mes de noviembre, el 0.6 por ciento en el mes de diciembre, el  0.7 por ciento en el mes de enero, el  1.4 por ciento en el mes de febrero, el  1 por ciento en el mes de marzo.</w: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r>
        <w:rPr>
          <w:rFonts w:ascii="Arial" w:hAnsi="Arial"/>
          <w:noProof/>
          <w:sz w:val="24"/>
        </w:rPr>
        <w:pict>
          <v:shape id="_x0000_s1033" type="#_x0000_t202" style="position:absolute;left:0;text-align:left;margin-left:-12.6pt;margin-top:9pt;width:446.4pt;height:561.6pt;z-index:251657216" o:allowincell="f">
            <v:textbox>
              <w:txbxContent>
                <w:p w:rsidR="00000000" w:rsidRDefault="00A122D5">
                  <w:pPr>
                    <w:jc w:val="center"/>
                    <w:rPr>
                      <w:b/>
                      <w:lang w:val="es-MX"/>
                    </w:rPr>
                  </w:pPr>
                  <w:r>
                    <w:rPr>
                      <w:b/>
                      <w:lang w:val="es-MX"/>
                    </w:rPr>
                    <w:t>Tabla XXV</w:t>
                  </w:r>
                </w:p>
                <w:p w:rsidR="00000000" w:rsidRDefault="00A122D5">
                  <w:pPr>
                    <w:pStyle w:val="Ttulo2"/>
                  </w:pPr>
                  <w:r>
                    <w:t>Distribución Conjunta de la Fecha denuncia de delitos y Fiscal Actuante</w:t>
                  </w:r>
                </w:p>
                <w:p w:rsidR="00000000" w:rsidRDefault="00A122D5">
                  <w:pPr>
                    <w:rPr>
                      <w:lang w:val="es-MX"/>
                    </w:rPr>
                  </w:pPr>
                </w:p>
                <w:p w:rsidR="00000000" w:rsidRDefault="00F2272F">
                  <w:pPr>
                    <w:jc w:val="center"/>
                    <w:rPr>
                      <w:lang w:val="es-MX"/>
                    </w:rPr>
                  </w:pPr>
                  <w:r>
                    <w:rPr>
                      <w:noProof/>
                    </w:rPr>
                    <w:drawing>
                      <wp:inline distT="0" distB="0" distL="0" distR="0">
                        <wp:extent cx="5359400" cy="15240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359400" cy="1524000"/>
                                </a:xfrm>
                                <a:prstGeom prst="rect">
                                  <a:avLst/>
                                </a:prstGeom>
                                <a:noFill/>
                                <a:ln w="9525">
                                  <a:noFill/>
                                  <a:miter lim="800000"/>
                                  <a:headEnd/>
                                  <a:tailEnd/>
                                </a:ln>
                              </pic:spPr>
                            </pic:pic>
                          </a:graphicData>
                        </a:graphic>
                      </wp:inline>
                    </w:drawing>
                  </w:r>
                </w:p>
                <w:p w:rsidR="00000000" w:rsidRDefault="00A122D5">
                  <w:pPr>
                    <w:jc w:val="center"/>
                    <w:rPr>
                      <w:lang w:val="es-MX"/>
                    </w:rPr>
                  </w:pPr>
                </w:p>
                <w:p w:rsidR="00000000" w:rsidRDefault="00A122D5">
                  <w:pPr>
                    <w:jc w:val="center"/>
                    <w:rPr>
                      <w:lang w:val="es-MX"/>
                    </w:rPr>
                  </w:pPr>
                </w:p>
                <w:p w:rsidR="00000000" w:rsidRDefault="00F2272F">
                  <w:pPr>
                    <w:jc w:val="center"/>
                    <w:rPr>
                      <w:lang w:val="es-MX"/>
                    </w:rPr>
                  </w:pPr>
                  <w:r>
                    <w:rPr>
                      <w:noProof/>
                    </w:rPr>
                    <w:drawing>
                      <wp:inline distT="0" distB="0" distL="0" distR="0">
                        <wp:extent cx="5473700" cy="14859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473700" cy="1485900"/>
                                </a:xfrm>
                                <a:prstGeom prst="rect">
                                  <a:avLst/>
                                </a:prstGeom>
                                <a:noFill/>
                                <a:ln w="9525">
                                  <a:noFill/>
                                  <a:miter lim="800000"/>
                                  <a:headEnd/>
                                  <a:tailEnd/>
                                </a:ln>
                              </pic:spPr>
                            </pic:pic>
                          </a:graphicData>
                        </a:graphic>
                      </wp:inline>
                    </w:drawing>
                  </w:r>
                </w:p>
                <w:p w:rsidR="00000000" w:rsidRDefault="00A122D5">
                  <w:pPr>
                    <w:jc w:val="center"/>
                    <w:rPr>
                      <w:lang w:val="es-MX"/>
                    </w:rPr>
                  </w:pPr>
                </w:p>
                <w:p w:rsidR="00000000" w:rsidRDefault="00F2272F">
                  <w:pPr>
                    <w:jc w:val="center"/>
                    <w:rPr>
                      <w:lang w:val="es-MX"/>
                    </w:rPr>
                  </w:pPr>
                  <w:r>
                    <w:rPr>
                      <w:noProof/>
                    </w:rPr>
                    <w:drawing>
                      <wp:inline distT="0" distB="0" distL="0" distR="0">
                        <wp:extent cx="5473700" cy="14859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473700" cy="1485900"/>
                                </a:xfrm>
                                <a:prstGeom prst="rect">
                                  <a:avLst/>
                                </a:prstGeom>
                                <a:noFill/>
                                <a:ln w="9525">
                                  <a:noFill/>
                                  <a:miter lim="800000"/>
                                  <a:headEnd/>
                                  <a:tailEnd/>
                                </a:ln>
                              </pic:spPr>
                            </pic:pic>
                          </a:graphicData>
                        </a:graphic>
                      </wp:inline>
                    </w:drawing>
                  </w:r>
                </w:p>
                <w:p w:rsidR="00000000" w:rsidRDefault="00A122D5">
                  <w:pPr>
                    <w:jc w:val="center"/>
                    <w:rPr>
                      <w:lang w:val="es-MX"/>
                    </w:rPr>
                  </w:pPr>
                </w:p>
                <w:p w:rsidR="00000000" w:rsidRDefault="00F2272F">
                  <w:pPr>
                    <w:jc w:val="center"/>
                    <w:rPr>
                      <w:lang w:val="es-MX"/>
                    </w:rPr>
                  </w:pPr>
                  <w:r>
                    <w:rPr>
                      <w:noProof/>
                    </w:rPr>
                    <w:drawing>
                      <wp:inline distT="0" distB="0" distL="0" distR="0">
                        <wp:extent cx="5473700" cy="14859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473700" cy="1485900"/>
                                </a:xfrm>
                                <a:prstGeom prst="rect">
                                  <a:avLst/>
                                </a:prstGeom>
                                <a:noFill/>
                                <a:ln w="9525">
                                  <a:noFill/>
                                  <a:miter lim="800000"/>
                                  <a:headEnd/>
                                  <a:tailEnd/>
                                </a:ln>
                              </pic:spPr>
                            </pic:pic>
                          </a:graphicData>
                        </a:graphic>
                      </wp:inline>
                    </w:drawing>
                  </w:r>
                </w:p>
              </w:txbxContent>
            </v:textbox>
          </v:shape>
        </w:pic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ind w:left="567" w:firstLine="567"/>
        <w:jc w:val="both"/>
        <w:rPr>
          <w:rFonts w:ascii="Arial" w:hAnsi="Arial"/>
          <w:sz w:val="24"/>
          <w:lang w:val="es-MX"/>
        </w:rPr>
      </w:pPr>
    </w:p>
    <w:p w:rsidR="00000000" w:rsidRDefault="00A122D5">
      <w:pPr>
        <w:tabs>
          <w:tab w:val="left" w:pos="567"/>
        </w:tabs>
        <w:spacing w:line="480" w:lineRule="auto"/>
        <w:jc w:val="both"/>
        <w:rPr>
          <w:rFonts w:ascii="Arial" w:hAnsi="Arial"/>
          <w:sz w:val="24"/>
          <w:lang w:val="es-MX"/>
        </w:rPr>
      </w:pP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 tabla XXV permite determinar el porcentaje de casos, que cada fiscal manejo en los meses de estudio.</w:t>
      </w:r>
    </w:p>
    <w:p w:rsidR="00000000" w:rsidRDefault="00A122D5">
      <w:pPr>
        <w:pStyle w:val="Sangra3detindependiente"/>
        <w:spacing w:line="480" w:lineRule="auto"/>
        <w:jc w:val="both"/>
      </w:pPr>
      <w:r>
        <w:t>Se puede observar que El fiscal  AG tiene una mayor cantidad de casos que representa el 6.3 por ciento,  que comp</w:t>
      </w:r>
      <w:r>
        <w:t>renden en el mes de octubre con 1.6 por ciento, noviembre 1.1 por ciento, diciembre 0.5 por ciento, enero 1.3 por ciento,  febrero 1.3 por ciento, marzo 0.6 por ciento.  El Fiscal G en el mes de octubre  representa 0.9 por ciento de casos, noviembre repres</w:t>
      </w:r>
      <w:r>
        <w:t>enta 0.9 por ciento de casos, diciembre 0.5 por ciento de casos, enero 0.9 por ciento de casos, febrero 0.5 por ciento de casos, 0.6 por ciento de casos.  El fiscal S en los meses octubre, noviembre, diciembre, enero, febrero, marzo cada mes con el siguien</w:t>
      </w:r>
      <w:r>
        <w:t>te porcentaje de casos  0.8 por ciento, 0.9 por ciento,  0.7 por ciento, 0.6 por ciento, 0.2 por ciento de casos,  0.7 por ciento de casos,  respectivamente.</w:t>
      </w:r>
    </w:p>
    <w:p w:rsidR="00000000" w:rsidRDefault="00A122D5">
      <w:pPr>
        <w:pStyle w:val="Sangra3detindependiente"/>
        <w:spacing w:line="480" w:lineRule="auto"/>
        <w:jc w:val="both"/>
      </w:pPr>
      <w:r>
        <w:t>El fiscal que casi no tiene casos es el fiscal X con un solo caso que representa con el total 0.04</w:t>
      </w:r>
      <w:r>
        <w:t>6 por ciento.</w: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r>
        <w:rPr>
          <w:rFonts w:ascii="Arial" w:hAnsi="Arial"/>
          <w:noProof/>
          <w:sz w:val="24"/>
        </w:rPr>
        <w:pict>
          <v:shape id="_x0000_s1034" type="#_x0000_t202" style="position:absolute;left:0;text-align:left;margin-left:51.75pt;margin-top:-.6pt;width:5in;height:121.85pt;z-index:251658240" o:allowincell="f">
            <v:textbox>
              <w:txbxContent>
                <w:p w:rsidR="00000000" w:rsidRDefault="00A122D5">
                  <w:pPr>
                    <w:pStyle w:val="Ttulo1"/>
                  </w:pPr>
                  <w:r>
                    <w:t>Tabla XXVI</w:t>
                  </w:r>
                </w:p>
                <w:p w:rsidR="00000000" w:rsidRDefault="00A122D5">
                  <w:pPr>
                    <w:jc w:val="center"/>
                    <w:rPr>
                      <w:b/>
                      <w:sz w:val="24"/>
                      <w:lang w:val="es-MX"/>
                    </w:rPr>
                  </w:pPr>
                  <w:r>
                    <w:rPr>
                      <w:b/>
                      <w:sz w:val="24"/>
                      <w:lang w:val="es-MX"/>
                    </w:rPr>
                    <w:t>Distribución Conjunta d</w:t>
                  </w:r>
                  <w:r>
                    <w:rPr>
                      <w:b/>
                      <w:sz w:val="24"/>
                      <w:lang w:val="es-MX"/>
                    </w:rPr>
                    <w:t>e Tipo de denunciante y Tipo de imputado</w:t>
                  </w:r>
                </w:p>
                <w:p w:rsidR="00000000" w:rsidRDefault="00A122D5">
                  <w:pPr>
                    <w:jc w:val="center"/>
                    <w:rPr>
                      <w:b/>
                      <w:sz w:val="24"/>
                      <w:lang w:val="es-MX"/>
                    </w:rPr>
                  </w:pPr>
                </w:p>
                <w:p w:rsidR="00000000" w:rsidRDefault="00F2272F">
                  <w:pPr>
                    <w:jc w:val="center"/>
                    <w:rPr>
                      <w:b/>
                      <w:sz w:val="24"/>
                      <w:lang w:val="es-MX"/>
                    </w:rPr>
                  </w:pPr>
                  <w:r>
                    <w:rPr>
                      <w:b/>
                      <w:noProof/>
                      <w:sz w:val="24"/>
                    </w:rPr>
                    <w:drawing>
                      <wp:inline distT="0" distB="0" distL="0" distR="0">
                        <wp:extent cx="4381500" cy="9525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381500" cy="952500"/>
                                </a:xfrm>
                                <a:prstGeom prst="rect">
                                  <a:avLst/>
                                </a:prstGeom>
                                <a:noFill/>
                                <a:ln w="9525">
                                  <a:noFill/>
                                  <a:miter lim="800000"/>
                                  <a:headEnd/>
                                  <a:tailEnd/>
                                </a:ln>
                              </pic:spPr>
                            </pic:pic>
                          </a:graphicData>
                        </a:graphic>
                      </wp:inline>
                    </w:drawing>
                  </w:r>
                </w:p>
              </w:txbxContent>
            </v:textbox>
          </v:shape>
        </w:pic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rPr>
          <w:rFonts w:ascii="Arial" w:hAnsi="Arial"/>
          <w:sz w:val="24"/>
          <w:lang w:val="es-MX"/>
        </w:rPr>
      </w:pP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 tabla XVI  se puede determinar,   que representa en  mayor porcentaje los denunciantes como personas naturales y los tipos de  imputados  personas naturales con el 71.7 por ciento,  en tanto que las denuncias realizadas por pers</w:t>
      </w:r>
      <w:r>
        <w:rPr>
          <w:rFonts w:ascii="Arial" w:hAnsi="Arial"/>
          <w:sz w:val="24"/>
          <w:lang w:val="es-MX"/>
        </w:rPr>
        <w:t>onas jurídicas contra personas naturales representa el 4 por ciento.</w:t>
      </w:r>
    </w:p>
    <w:p w:rsidR="00000000" w:rsidRDefault="00A122D5">
      <w:pPr>
        <w:tabs>
          <w:tab w:val="left" w:pos="567"/>
        </w:tabs>
        <w:spacing w:line="480" w:lineRule="auto"/>
        <w:ind w:left="567"/>
        <w:jc w:val="both"/>
        <w:rPr>
          <w:rFonts w:ascii="Arial" w:hAnsi="Arial"/>
          <w:sz w:val="24"/>
          <w:lang w:val="es-MX"/>
        </w:rPr>
      </w:pPr>
      <w:r>
        <w:rPr>
          <w:rFonts w:ascii="Arial" w:hAnsi="Arial"/>
          <w:noProof/>
          <w:sz w:val="24"/>
        </w:rPr>
        <w:pict>
          <v:shape id="_x0000_s1035" type="#_x0000_t202" style="position:absolute;left:0;text-align:left;margin-left:9pt;margin-top:159pt;width:424.8pt;height:244.85pt;z-index:251659264" o:allowincell="f">
            <v:textbox style="mso-next-textbox:#_x0000_s1035">
              <w:txbxContent>
                <w:p w:rsidR="00000000" w:rsidRDefault="00A122D5">
                  <w:pPr>
                    <w:pStyle w:val="Ttulo1"/>
                  </w:pPr>
                  <w:r>
                    <w:t>Tabla XXVII</w:t>
                  </w:r>
                </w:p>
                <w:p w:rsidR="00000000" w:rsidRDefault="00A122D5">
                  <w:pPr>
                    <w:pStyle w:val="Ttulo2"/>
                  </w:pPr>
                  <w:r>
                    <w:t>Distribución Conjunta de la Fecha denuncia de delitos y Delitos en Particular</w:t>
                  </w:r>
                </w:p>
                <w:p w:rsidR="00000000" w:rsidRDefault="00A122D5"/>
                <w:p w:rsidR="00000000" w:rsidRDefault="00F2272F">
                  <w:pPr>
                    <w:jc w:val="center"/>
                  </w:pPr>
                  <w:r>
                    <w:rPr>
                      <w:noProof/>
                    </w:rPr>
                    <w:drawing>
                      <wp:inline distT="0" distB="0" distL="0" distR="0">
                        <wp:extent cx="5054600" cy="11303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054600" cy="1130300"/>
                                </a:xfrm>
                                <a:prstGeom prst="rect">
                                  <a:avLst/>
                                </a:prstGeom>
                                <a:noFill/>
                                <a:ln w="9525">
                                  <a:noFill/>
                                  <a:miter lim="800000"/>
                                  <a:headEnd/>
                                  <a:tailEnd/>
                                </a:ln>
                              </pic:spPr>
                            </pic:pic>
                          </a:graphicData>
                        </a:graphic>
                      </wp:inline>
                    </w:drawing>
                  </w:r>
                </w:p>
                <w:p w:rsidR="00000000" w:rsidRDefault="00A122D5">
                  <w:pPr>
                    <w:jc w:val="center"/>
                    <w:rPr>
                      <w:sz w:val="24"/>
                      <w:lang w:val="es-MX"/>
                    </w:rPr>
                  </w:pPr>
                </w:p>
                <w:p w:rsidR="00000000" w:rsidRDefault="00F2272F">
                  <w:pPr>
                    <w:jc w:val="center"/>
                    <w:rPr>
                      <w:sz w:val="24"/>
                      <w:lang w:val="es-MX"/>
                    </w:rPr>
                  </w:pPr>
                  <w:r>
                    <w:rPr>
                      <w:noProof/>
                      <w:sz w:val="24"/>
                    </w:rPr>
                    <w:drawing>
                      <wp:inline distT="0" distB="0" distL="0" distR="0">
                        <wp:extent cx="5207000" cy="11938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5207000" cy="1193800"/>
                                </a:xfrm>
                                <a:prstGeom prst="rect">
                                  <a:avLst/>
                                </a:prstGeom>
                                <a:noFill/>
                                <a:ln w="9525">
                                  <a:noFill/>
                                  <a:miter lim="800000"/>
                                  <a:headEnd/>
                                  <a:tailEnd/>
                                </a:ln>
                              </pic:spPr>
                            </pic:pic>
                          </a:graphicData>
                        </a:graphic>
                      </wp:inline>
                    </w:drawing>
                  </w:r>
                </w:p>
              </w:txbxContent>
            </v:textbox>
          </v:shape>
        </w:pict>
      </w:r>
      <w:r>
        <w:rPr>
          <w:rFonts w:ascii="Arial" w:hAnsi="Arial"/>
          <w:sz w:val="24"/>
          <w:lang w:val="es-MX"/>
        </w:rPr>
        <w:t>Las denuncias de personas naturales contra personas jurídicas representa 1.5 por ciento, en tanto que denuncias de personas jurídicas contra imputados jurídicos no existen en los meses d</w:t>
      </w:r>
      <w:r>
        <w:rPr>
          <w:rFonts w:ascii="Arial" w:hAnsi="Arial"/>
          <w:sz w:val="24"/>
          <w:lang w:val="es-MX"/>
        </w:rPr>
        <w:t>e estudios.  Las denuncias de personas naturales que no conocen quien cometió el delito  representa el 21.2 por ciento, en tanto que las denuncias de personas jurídicas  y que desconocen  quien cometió el delito representa el 1.6 por ciento.</w: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rPr>
          <w:rFonts w:ascii="Arial" w:hAnsi="Arial"/>
          <w:sz w:val="24"/>
          <w:lang w:val="es-MX"/>
        </w:rPr>
      </w:pP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En la tabla XVII se puede determinar, que las  denuncias  de personas  naturales,  representa  el 7.3 por ciento, y de personas jurídicas 0.02 y esto de personas jurídicas  se entiende ya que los delitos contra las personas por lo general son denuncias</w:t>
      </w:r>
      <w:r>
        <w:rPr>
          <w:rFonts w:ascii="Arial" w:hAnsi="Arial"/>
          <w:sz w:val="24"/>
          <w:lang w:val="es-MX"/>
        </w:rPr>
        <w:t xml:space="preserve"> personales.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En un mayor porcentaje encontramos, las denuncias por personas naturales, de delitos contra la propiedad que  representa un 37.2 por ciento, en tanto por personas jurídicas representa 1.7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Las denuncias de personas naturales, delito</w:t>
      </w:r>
      <w:r>
        <w:rPr>
          <w:rFonts w:ascii="Arial" w:hAnsi="Arial"/>
          <w:sz w:val="24"/>
          <w:lang w:val="es-MX"/>
        </w:rPr>
        <w:t>s contra la administración  pública representa  un 3.5 por ciento, en tanto que de personas jurídicas representa un 0.3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Las denuncias de personas naturales, delitos contra la seguridad pública representa  un 2.7 por ciento, en tanto que de pers</w:t>
      </w:r>
      <w:r>
        <w:rPr>
          <w:rFonts w:ascii="Arial" w:hAnsi="Arial"/>
          <w:sz w:val="24"/>
          <w:lang w:val="es-MX"/>
        </w:rPr>
        <w:t>onas jurídicas no tienen denuncias.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Las denuncias de personas naturales, delitos contra la honra  un 2.8 por ciento, en tanto que no existe denuncias  de personas jurídicas.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Las denuncias de personas naturales, delitos contra la fe pública representa  un 1</w:t>
      </w:r>
      <w:r>
        <w:rPr>
          <w:rFonts w:ascii="Arial" w:hAnsi="Arial"/>
          <w:sz w:val="24"/>
          <w:lang w:val="es-MX"/>
        </w:rPr>
        <w:t>2.9  por ciento, en tanto que de personas jurídicas representa un 0.4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Las denuncias de personas naturales, delitos contra  las garantías constitucionales y la igualdad racial representa  un 3.5 por ciento, en tanto que de personas jurídicas no </w:t>
      </w:r>
      <w:r>
        <w:rPr>
          <w:rFonts w:ascii="Arial" w:hAnsi="Arial"/>
          <w:sz w:val="24"/>
          <w:lang w:val="es-MX"/>
        </w:rPr>
        <w:t>existen denunciantes de ese delito.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Las denuncias de personas naturales, de delitos sexuales  representa  un 4.8 por ciento, y no existen denunciantes jurídicos.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Las denuncias de personas naturales, delitos contra el estado civil representa  un  0.2 por ci</w:t>
      </w:r>
      <w:r>
        <w:rPr>
          <w:rFonts w:ascii="Arial" w:hAnsi="Arial"/>
          <w:sz w:val="24"/>
          <w:lang w:val="es-MX"/>
        </w:rPr>
        <w:t>ento, y no existen denunciantes jurídicos.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Las denuncias de personas naturales, delitos contra la seguridad del estado representa  un 2.7 por ciento, y no existen denunciantes jurídicos.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Las denuncias de personas naturales, delitos aduaneros representa  un</w:t>
      </w:r>
      <w:r>
        <w:rPr>
          <w:rFonts w:ascii="Arial" w:hAnsi="Arial"/>
          <w:sz w:val="24"/>
          <w:lang w:val="es-MX"/>
        </w:rPr>
        <w:t xml:space="preserve"> 2.6 por ciento, en tanto que de personas jurídicas representa un 0.3 por ciento.</w: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r>
        <w:rPr>
          <w:rFonts w:ascii="Arial" w:hAnsi="Arial"/>
          <w:noProof/>
          <w:sz w:val="24"/>
        </w:rPr>
        <w:pict>
          <v:shape id="_x0000_s1036" type="#_x0000_t202" style="position:absolute;left:0;text-align:left;margin-left:44.55pt;margin-top:2.35pt;width:367.2pt;height:172.8pt;z-index:251660288" o:allowincell="f">
            <v:textbox>
              <w:txbxContent>
                <w:p w:rsidR="00000000" w:rsidRDefault="00A122D5">
                  <w:pPr>
                    <w:pStyle w:val="Ttulo1"/>
                  </w:pPr>
                  <w:r>
                    <w:t>Tabla XXVIII</w:t>
                  </w:r>
                </w:p>
                <w:p w:rsidR="00000000" w:rsidRDefault="00A122D5">
                  <w:pPr>
                    <w:pStyle w:val="Ttulo2"/>
                  </w:pPr>
                  <w:r>
                    <w:t>Distribución Conjunta de Género denunciante y Género de Imputado</w:t>
                  </w:r>
                </w:p>
                <w:p w:rsidR="00000000" w:rsidRDefault="00A122D5">
                  <w:pPr>
                    <w:jc w:val="center"/>
                  </w:pPr>
                </w:p>
                <w:p w:rsidR="00000000" w:rsidRDefault="00A122D5">
                  <w:pPr>
                    <w:jc w:val="center"/>
                  </w:pPr>
                  <w:r>
                    <w:object w:dxaOrig="7021" w:dyaOrig="1801">
                      <v:shape id="_x0000_i1026" type="#_x0000_t75" style="width:351pt;height:90pt" o:ole="" fillcolor="window">
                        <v:imagedata r:id="rId21" o:title=""/>
                      </v:shape>
                      <o:OLEObject Type="Embed" ProgID="Word.Picture.8" ShapeID="_x0000_i1026" DrawAspect="Content" ObjectID="_1309084897" r:id="rId22"/>
                    </w:object>
                  </w:r>
                </w:p>
              </w:txbxContent>
            </v:textbox>
          </v:shape>
        </w:pic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La tabla XXVIII determina la distribución conjunta de género de denunciante y género de imputado, y se puede observar  que un mayor porcentaje el hombre </w:t>
      </w:r>
      <w:r>
        <w:rPr>
          <w:rFonts w:ascii="Arial" w:hAnsi="Arial"/>
          <w:sz w:val="24"/>
          <w:lang w:val="es-MX"/>
        </w:rPr>
        <w:t xml:space="preserve">imputa al hombre con 35 por ciento, las mujeres denuncian a los hombres en un 17.5 por ciento,  las denuncias compuestas por hombre y mujer  contra hombres representa  un  0.3 por ciento.  </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denuncias impuestas por hombres a mujeres representa un 10 por</w:t>
      </w:r>
      <w:r>
        <w:rPr>
          <w:rFonts w:ascii="Arial" w:hAnsi="Arial"/>
          <w:sz w:val="24"/>
          <w:lang w:val="es-MX"/>
        </w:rPr>
        <w:t xml:space="preserve"> ciento, y denuncias de mujer a mujer representa un 5.5 por ciento,  y denuncias compuesta por hombre y mujer  contra mujer representa un 0.3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Las  denuncias realizadas por hombres, mujeres contra tipo de imputado ambos representan 2 por ciento</w:t>
      </w:r>
      <w:r>
        <w:rPr>
          <w:rFonts w:ascii="Arial" w:hAnsi="Arial"/>
          <w:sz w:val="24"/>
          <w:lang w:val="es-MX"/>
        </w:rPr>
        <w:t xml:space="preserve">, 1.2 por ciento, respectivamente. </w: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r>
        <w:rPr>
          <w:rFonts w:ascii="Arial" w:hAnsi="Arial"/>
          <w:noProof/>
          <w:sz w:val="24"/>
        </w:rPr>
        <w:pict>
          <v:shape id="_x0000_s1037" type="#_x0000_t202" style="position:absolute;left:0;text-align:left;margin-left:9pt;margin-top:9pt;width:417.6pt;height:324pt;z-index:251661312" o:allowincell="f">
            <v:textbox>
              <w:txbxContent>
                <w:p w:rsidR="00000000" w:rsidRDefault="00A122D5">
                  <w:pPr>
                    <w:jc w:val="center"/>
                    <w:rPr>
                      <w:b/>
                      <w:lang w:val="es-MX"/>
                    </w:rPr>
                  </w:pPr>
                  <w:r>
                    <w:rPr>
                      <w:b/>
                      <w:lang w:val="es-MX"/>
                    </w:rPr>
                    <w:t>Ta</w:t>
                  </w:r>
                  <w:r>
                    <w:rPr>
                      <w:b/>
                      <w:lang w:val="es-MX"/>
                    </w:rPr>
                    <w:t>bla XXIX</w:t>
                  </w:r>
                </w:p>
                <w:p w:rsidR="00000000" w:rsidRDefault="00A122D5">
                  <w:pPr>
                    <w:pStyle w:val="Ttulo2"/>
                  </w:pPr>
                  <w:r>
                    <w:t>Distribución Conjunta de Género de denunciante y Delito en Particular</w:t>
                  </w:r>
                </w:p>
                <w:p w:rsidR="00000000" w:rsidRDefault="00A122D5">
                  <w:pPr>
                    <w:rPr>
                      <w:lang w:val="es-MX"/>
                    </w:rPr>
                  </w:pPr>
                </w:p>
                <w:p w:rsidR="00000000" w:rsidRDefault="00F2272F">
                  <w:pPr>
                    <w:rPr>
                      <w:lang w:val="es-MX"/>
                    </w:rPr>
                  </w:pPr>
                  <w:r>
                    <w:rPr>
                      <w:noProof/>
                    </w:rPr>
                    <w:drawing>
                      <wp:inline distT="0" distB="0" distL="0" distR="0">
                        <wp:extent cx="5118100" cy="1485900"/>
                        <wp:effectExtent l="1905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5118100" cy="1485900"/>
                                </a:xfrm>
                                <a:prstGeom prst="rect">
                                  <a:avLst/>
                                </a:prstGeom>
                                <a:noFill/>
                                <a:ln w="9525">
                                  <a:noFill/>
                                  <a:miter lim="800000"/>
                                  <a:headEnd/>
                                  <a:tailEnd/>
                                </a:ln>
                              </pic:spPr>
                            </pic:pic>
                          </a:graphicData>
                        </a:graphic>
                      </wp:inline>
                    </w:drawing>
                  </w:r>
                </w:p>
                <w:p w:rsidR="00000000" w:rsidRDefault="00A122D5">
                  <w:pPr>
                    <w:rPr>
                      <w:lang w:val="es-MX"/>
                    </w:rPr>
                  </w:pPr>
                </w:p>
                <w:p w:rsidR="00000000" w:rsidRDefault="00A122D5">
                  <w:pPr>
                    <w:rPr>
                      <w:lang w:val="es-MX"/>
                    </w:rPr>
                  </w:pPr>
                </w:p>
                <w:p w:rsidR="00000000" w:rsidRDefault="00F2272F">
                  <w:pPr>
                    <w:jc w:val="center"/>
                    <w:rPr>
                      <w:lang w:val="es-MX"/>
                    </w:rPr>
                  </w:pPr>
                  <w:r>
                    <w:rPr>
                      <w:noProof/>
                    </w:rPr>
                    <w:drawing>
                      <wp:inline distT="0" distB="0" distL="0" distR="0">
                        <wp:extent cx="5118100" cy="1536700"/>
                        <wp:effectExtent l="1905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5118100" cy="1536700"/>
                                </a:xfrm>
                                <a:prstGeom prst="rect">
                                  <a:avLst/>
                                </a:prstGeom>
                                <a:noFill/>
                                <a:ln w="9525">
                                  <a:noFill/>
                                  <a:miter lim="800000"/>
                                  <a:headEnd/>
                                  <a:tailEnd/>
                                </a:ln>
                              </pic:spPr>
                            </pic:pic>
                          </a:graphicData>
                        </a:graphic>
                      </wp:inline>
                    </w:drawing>
                  </w:r>
                </w:p>
              </w:txbxContent>
            </v:textbox>
          </v:shape>
        </w:pic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 tabla XXIX permite determinar los delitos y si estos son  cometidos contra hombre, mujeres o ambos.  Los delitos contra las personas, es más denunciado por hombres con 4.7 po</w:t>
      </w:r>
      <w:r>
        <w:rPr>
          <w:rFonts w:ascii="Arial" w:hAnsi="Arial"/>
          <w:sz w:val="24"/>
          <w:lang w:val="es-MX"/>
        </w:rPr>
        <w:t>r ciento,  que por las mujeres con 2.7 por ciento, y las denuncias compuesta por hombre y mujer no existe denuncia de este delito.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delitos contra la propiedad que tienen un mayor porcentaje  de denuncias de hombre que representa el 20.1 por ciento, que</w:t>
      </w:r>
      <w:r>
        <w:rPr>
          <w:rFonts w:ascii="Arial" w:hAnsi="Arial"/>
          <w:sz w:val="24"/>
          <w:lang w:val="es-MX"/>
        </w:rPr>
        <w:t xml:space="preserve"> con las mujeres con un  14.6 por ciento, y denuncias de hombre y mujer con 2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Las denuncias contra la  administración pública, realizadas por hombres tenemos un 2.3  por, cometido contra mujeres tenemos 1.3 por ciento, y cometido contra hombre </w:t>
      </w:r>
      <w:r>
        <w:rPr>
          <w:rFonts w:ascii="Arial" w:hAnsi="Arial"/>
          <w:sz w:val="24"/>
          <w:lang w:val="es-MX"/>
        </w:rPr>
        <w:t>y mujer representa 0.1 por ciento del total de los delitos cometidos.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delitos de seguridad pública cometidos contra hombres representa 12.7 por ciento, contra las mujeres representa 4.4 por ciento, y contra hombre y mujer no se cometió este delito.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Las</w:t>
      </w:r>
      <w:r>
        <w:rPr>
          <w:rFonts w:ascii="Arial" w:hAnsi="Arial"/>
          <w:sz w:val="24"/>
          <w:lang w:val="es-MX"/>
        </w:rPr>
        <w:t xml:space="preserve"> denuncias de delitos contra la honra son pocos tanto de los hombres que representa el 1.6 por ciento, y contra las mujeres representa 1.2 por ciento, y contra hombre y mujer no existe delito.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Delito  contra la fe pública denunciado por hombre tenemos un 9</w:t>
      </w:r>
      <w:r>
        <w:rPr>
          <w:rFonts w:ascii="Arial" w:hAnsi="Arial"/>
          <w:sz w:val="24"/>
          <w:lang w:val="es-MX"/>
        </w:rPr>
        <w:t>.5 por ciento, mujeres 3.4 por ciento, y no existe de hombre y mujer.</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Delitos contra las garantías constitucionales  y la igualdad racial se puede observar que casi es parecido las denuncias de hombre y mujer con 1.8 por ciento y 1.7 por ciento respectivam</w:t>
      </w:r>
      <w:r>
        <w:rPr>
          <w:rFonts w:ascii="Arial" w:hAnsi="Arial"/>
          <w:sz w:val="24"/>
          <w:lang w:val="es-MX"/>
        </w:rPr>
        <w:t>ente.</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Las denuncias de delitos sexuales es mas realizada por mujeres que representa 3.9 por ciento, que por los hombres con un 0.7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Como algo predecible las denuncias son más por parte de las mujeres, que de los hombres,  ya que la mujer denunc</w:t>
      </w:r>
      <w:r>
        <w:rPr>
          <w:rFonts w:ascii="Arial" w:hAnsi="Arial"/>
          <w:sz w:val="24"/>
          <w:lang w:val="es-MX"/>
        </w:rPr>
        <w:t>ia más  los delitos contra el estado  civil con 0.7 por ciento del total de todos los delitos.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delitos contra la seguridad del estado denunciado por hombres representa 2 por ciento y realizado por mujeres representa 0.7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delitos aduanero</w:t>
      </w:r>
      <w:r>
        <w:rPr>
          <w:rFonts w:ascii="Arial" w:hAnsi="Arial"/>
          <w:sz w:val="24"/>
          <w:lang w:val="es-MX"/>
        </w:rPr>
        <w:t>s  denunciado más por hombres que por mujeres con 1.9 por ciento por parte de hombre y 0.7 por mujeres esto del total de los delitos cometidos.</w:t>
      </w:r>
    </w:p>
    <w:p w:rsidR="00000000" w:rsidRDefault="00A122D5">
      <w:pPr>
        <w:tabs>
          <w:tab w:val="left" w:pos="567"/>
        </w:tabs>
        <w:ind w:firstLine="567"/>
        <w:rPr>
          <w:rFonts w:ascii="Arial" w:hAnsi="Arial"/>
          <w:sz w:val="24"/>
          <w:lang w:val="es-MX"/>
        </w:rPr>
      </w:pPr>
      <w:r>
        <w:rPr>
          <w:rFonts w:ascii="Arial" w:hAnsi="Arial"/>
          <w:noProof/>
          <w:sz w:val="24"/>
        </w:rPr>
        <w:pict>
          <v:shape id="_x0000_s1038" type="#_x0000_t202" style="position:absolute;left:0;text-align:left;margin-left:9pt;margin-top:4.2pt;width:424.8pt;height:295.25pt;z-index:251662336" o:allowincell="f">
            <v:textbox style="mso-next-textbox:#_x0000_s1038">
              <w:txbxContent>
                <w:p w:rsidR="00000000" w:rsidRDefault="00A122D5">
                  <w:pPr>
                    <w:jc w:val="center"/>
                    <w:rPr>
                      <w:b/>
                      <w:lang w:val="es-MX"/>
                    </w:rPr>
                  </w:pPr>
                  <w:r>
                    <w:rPr>
                      <w:b/>
                      <w:lang w:val="es-MX"/>
                    </w:rPr>
                    <w:t>Tabla XXX</w:t>
                  </w:r>
                </w:p>
                <w:p w:rsidR="00000000" w:rsidRDefault="00A122D5">
                  <w:pPr>
                    <w:pStyle w:val="Ttulo2"/>
                  </w:pPr>
                  <w:r>
                    <w:t>Distribución Conjunta de Tipo Imputados y Delito en Particular</w:t>
                  </w:r>
                </w:p>
                <w:p w:rsidR="00000000" w:rsidRDefault="00A122D5">
                  <w:pPr>
                    <w:jc w:val="center"/>
                    <w:rPr>
                      <w:b/>
                      <w:sz w:val="24"/>
                      <w:lang w:val="es-MX"/>
                    </w:rPr>
                  </w:pPr>
                </w:p>
                <w:p w:rsidR="00000000" w:rsidRDefault="00F2272F">
                  <w:pPr>
                    <w:jc w:val="center"/>
                    <w:rPr>
                      <w:b/>
                      <w:sz w:val="24"/>
                      <w:lang w:val="es-MX"/>
                    </w:rPr>
                  </w:pPr>
                  <w:r>
                    <w:rPr>
                      <w:b/>
                      <w:noProof/>
                      <w:sz w:val="24"/>
                    </w:rPr>
                    <w:drawing>
                      <wp:inline distT="0" distB="0" distL="0" distR="0">
                        <wp:extent cx="5207000" cy="125730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5207000" cy="1257300"/>
                                </a:xfrm>
                                <a:prstGeom prst="rect">
                                  <a:avLst/>
                                </a:prstGeom>
                                <a:noFill/>
                                <a:ln w="9525">
                                  <a:noFill/>
                                  <a:miter lim="800000"/>
                                  <a:headEnd/>
                                  <a:tailEnd/>
                                </a:ln>
                              </pic:spPr>
                            </pic:pic>
                          </a:graphicData>
                        </a:graphic>
                      </wp:inline>
                    </w:drawing>
                  </w:r>
                </w:p>
                <w:p w:rsidR="00000000" w:rsidRDefault="00A122D5">
                  <w:pPr>
                    <w:rPr>
                      <w:lang w:val="es-MX"/>
                    </w:rPr>
                  </w:pPr>
                </w:p>
                <w:p w:rsidR="00000000" w:rsidRDefault="00A122D5">
                  <w:pPr>
                    <w:rPr>
                      <w:lang w:val="es-MX"/>
                    </w:rPr>
                  </w:pPr>
                </w:p>
                <w:p w:rsidR="00000000" w:rsidRDefault="00F2272F">
                  <w:pPr>
                    <w:jc w:val="center"/>
                    <w:rPr>
                      <w:lang w:val="es-MX"/>
                    </w:rPr>
                  </w:pPr>
                  <w:r>
                    <w:rPr>
                      <w:noProof/>
                    </w:rPr>
                    <w:drawing>
                      <wp:inline distT="0" distB="0" distL="0" distR="0">
                        <wp:extent cx="5295900" cy="15621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5295900" cy="1562100"/>
                                </a:xfrm>
                                <a:prstGeom prst="rect">
                                  <a:avLst/>
                                </a:prstGeom>
                                <a:noFill/>
                                <a:ln w="9525">
                                  <a:noFill/>
                                  <a:miter lim="800000"/>
                                  <a:headEnd/>
                                  <a:tailEnd/>
                                </a:ln>
                              </pic:spPr>
                            </pic:pic>
                          </a:graphicData>
                        </a:graphic>
                      </wp:inline>
                    </w:drawing>
                  </w:r>
                </w:p>
              </w:txbxContent>
            </v:textbox>
          </v:shape>
        </w:pic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En la tabla XXX se puede determinar, que los  imputados por  delitos contra las person</w:t>
      </w:r>
      <w:r>
        <w:rPr>
          <w:rFonts w:ascii="Arial" w:hAnsi="Arial"/>
          <w:sz w:val="24"/>
          <w:lang w:val="es-MX"/>
        </w:rPr>
        <w:t>as, por parte de personas  naturales representa el 5.7 por ciento, cuando se desconoce quien fue el que cometió el delito es decir indagatorio representa 1.7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En un mayor porcentaje encontramos, los imputados  por personas naturales, de delitos</w:t>
      </w:r>
      <w:r>
        <w:rPr>
          <w:rFonts w:ascii="Arial" w:hAnsi="Arial"/>
          <w:sz w:val="24"/>
          <w:lang w:val="es-MX"/>
        </w:rPr>
        <w:t xml:space="preserve"> contra la propiedad que  representa un 29.4  por ciento, en tanto por personas jurídicas representa 0.6 por ciento, y cuando es indagatorio  un 8.9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imputados como  personas naturales, de delitos contra la administración  pública representa</w:t>
      </w:r>
      <w:r>
        <w:rPr>
          <w:rFonts w:ascii="Arial" w:hAnsi="Arial"/>
          <w:sz w:val="24"/>
          <w:lang w:val="es-MX"/>
        </w:rPr>
        <w:t xml:space="preserve">  un 2.9 por ciento, en tanto que de personas jurídicas representa un 0.1 por ciento, e indagatorio representa 0.9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imputados como  personas naturales, de delitos contra la seguridad pública representa  un 13.3  por ciento,  como personas ju</w:t>
      </w:r>
      <w:r>
        <w:rPr>
          <w:rFonts w:ascii="Arial" w:hAnsi="Arial"/>
          <w:sz w:val="24"/>
          <w:lang w:val="es-MX"/>
        </w:rPr>
        <w:t>rídicas representa 0.3 por ciento, e indagatorio representa 3.9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imputados como  personas naturales, de  delitos contra la honra  un 2.1 por ciento, en tanto que no existe denuncias  de personas jurídicas, e indagatorio representa  0.6 por c</w:t>
      </w:r>
      <w:r>
        <w:rPr>
          <w:rFonts w:ascii="Arial" w:hAnsi="Arial"/>
          <w:sz w:val="24"/>
          <w:lang w:val="es-MX"/>
        </w:rPr>
        <w:t>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imputados como personas naturales, de delitos contra la fe pública representa  un 10  por ciento, en tanto que de personas jurídicas representa un 0.2 por ciento, e indagatorio representa un 3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imputados como personas naturales, d</w:t>
      </w:r>
      <w:r>
        <w:rPr>
          <w:rFonts w:ascii="Arial" w:hAnsi="Arial"/>
          <w:sz w:val="24"/>
          <w:lang w:val="es-MX"/>
        </w:rPr>
        <w:t>e delitos contra  las garantías constitucionales y la igualdad racial representa  un 2.6  por ciento, en tanto que de personas jurídicas 0.1 por ciento, e indagatorio 0.8 por ciento del total de los delitos.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imputados como  personas naturales, de delit</w:t>
      </w:r>
      <w:r>
        <w:rPr>
          <w:rFonts w:ascii="Arial" w:hAnsi="Arial"/>
          <w:sz w:val="24"/>
          <w:lang w:val="es-MX"/>
        </w:rPr>
        <w:t>os sexuales  representa  un 4.1 por ciento, e indagatorio representa 1.1 por ciento.</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imputados como personas naturales, de delitos contra el estado civil representa  un  0.2 por ciento, y no existen denunciantes jurídicos.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Los imputados como personas n</w:t>
      </w:r>
      <w:r>
        <w:rPr>
          <w:rFonts w:ascii="Arial" w:hAnsi="Arial"/>
          <w:sz w:val="24"/>
          <w:lang w:val="es-MX"/>
        </w:rPr>
        <w:t>aturales, de delitos contra la seguridad del estado representa  un 2 por ciento, y no existen denunciantes jurídicos.</w:t>
      </w:r>
    </w:p>
    <w:p w:rsidR="00000000" w:rsidRDefault="00A122D5">
      <w:pPr>
        <w:tabs>
          <w:tab w:val="left" w:pos="567"/>
        </w:tabs>
        <w:spacing w:line="480" w:lineRule="auto"/>
        <w:ind w:left="567"/>
        <w:jc w:val="both"/>
        <w:rPr>
          <w:rFonts w:ascii="Arial" w:hAnsi="Arial"/>
          <w:sz w:val="24"/>
          <w:lang w:val="es-MX"/>
        </w:rPr>
      </w:pPr>
      <w:r>
        <w:rPr>
          <w:rFonts w:ascii="Arial" w:hAnsi="Arial"/>
          <w:sz w:val="24"/>
          <w:lang w:val="es-MX"/>
        </w:rPr>
        <w:t xml:space="preserve">Los imputados como personas naturales, delitos aduaneros representa  un 4.2  por ciento, en tanto que de personas jurídicas representa un </w:t>
      </w:r>
      <w:r>
        <w:rPr>
          <w:rFonts w:ascii="Arial" w:hAnsi="Arial"/>
          <w:sz w:val="24"/>
          <w:lang w:val="es-MX"/>
        </w:rPr>
        <w:t>0.1 por ciento, indagatorio representa  1.3 por ciento.</w:t>
      </w:r>
    </w:p>
    <w:p w:rsidR="00000000" w:rsidRDefault="00A122D5">
      <w:pPr>
        <w:tabs>
          <w:tab w:val="left" w:pos="567"/>
        </w:tabs>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r>
        <w:rPr>
          <w:rFonts w:ascii="Arial" w:hAnsi="Arial"/>
          <w:noProof/>
          <w:sz w:val="24"/>
        </w:rPr>
        <w:pict>
          <v:shape id="_x0000_s1039" type="#_x0000_t202" style="position:absolute;left:0;text-align:left;margin-left:1.8pt;margin-top:2.4pt;width:6in;height:4in;z-index:251663360" o:allowincell="f">
            <v:textbox style="mso-next-textbox:#_x0000_s1039">
              <w:txbxContent>
                <w:p w:rsidR="00000000" w:rsidRDefault="00A122D5">
                  <w:pPr>
                    <w:pStyle w:val="Ttulo1"/>
                  </w:pPr>
                  <w:r>
                    <w:t>Tabla XXXI</w:t>
                  </w:r>
                </w:p>
                <w:p w:rsidR="00000000" w:rsidRDefault="00A122D5">
                  <w:pPr>
                    <w:pStyle w:val="Ttulo2"/>
                  </w:pPr>
                  <w:r>
                    <w:t>Distribución Conjunta de Género de Imputado y Delitos en Particular</w:t>
                  </w:r>
                </w:p>
                <w:p w:rsidR="00000000" w:rsidRDefault="00A122D5">
                  <w:pPr>
                    <w:jc w:val="center"/>
                    <w:rPr>
                      <w:lang w:val="es-MX"/>
                    </w:rPr>
                  </w:pPr>
                </w:p>
                <w:p w:rsidR="00000000" w:rsidRDefault="00F2272F">
                  <w:pPr>
                    <w:jc w:val="center"/>
                    <w:rPr>
                      <w:lang w:val="es-MX"/>
                    </w:rPr>
                  </w:pPr>
                  <w:r>
                    <w:rPr>
                      <w:noProof/>
                    </w:rPr>
                    <w:drawing>
                      <wp:inline distT="0" distB="0" distL="0" distR="0">
                        <wp:extent cx="5295900" cy="13081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5295900" cy="1308100"/>
                                </a:xfrm>
                                <a:prstGeom prst="rect">
                                  <a:avLst/>
                                </a:prstGeom>
                                <a:noFill/>
                                <a:ln w="9525">
                                  <a:noFill/>
                                  <a:miter lim="800000"/>
                                  <a:headEnd/>
                                  <a:tailEnd/>
                                </a:ln>
                              </pic:spPr>
                            </pic:pic>
                          </a:graphicData>
                        </a:graphic>
                      </wp:inline>
                    </w:drawing>
                  </w:r>
                </w:p>
                <w:p w:rsidR="00000000" w:rsidRDefault="00A122D5">
                  <w:pPr>
                    <w:jc w:val="center"/>
                    <w:rPr>
                      <w:lang w:val="es-MX"/>
                    </w:rPr>
                  </w:pPr>
                </w:p>
                <w:p w:rsidR="00000000" w:rsidRDefault="00F2272F">
                  <w:pPr>
                    <w:jc w:val="center"/>
                    <w:rPr>
                      <w:lang w:val="es-MX"/>
                    </w:rPr>
                  </w:pPr>
                  <w:r>
                    <w:rPr>
                      <w:noProof/>
                    </w:rPr>
                    <w:drawing>
                      <wp:inline distT="0" distB="0" distL="0" distR="0">
                        <wp:extent cx="5283200" cy="14478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5283200" cy="1447800"/>
                                </a:xfrm>
                                <a:prstGeom prst="rect">
                                  <a:avLst/>
                                </a:prstGeom>
                                <a:noFill/>
                                <a:ln w="9525">
                                  <a:noFill/>
                                  <a:miter lim="800000"/>
                                  <a:headEnd/>
                                  <a:tailEnd/>
                                </a:ln>
                              </pic:spPr>
                            </pic:pic>
                          </a:graphicData>
                        </a:graphic>
                      </wp:inline>
                    </w:drawing>
                  </w:r>
                </w:p>
              </w:txbxContent>
            </v:textbox>
          </v:shape>
        </w:pic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rPr>
          <w:rFonts w:ascii="Arial" w:hAnsi="Arial"/>
          <w:sz w:val="24"/>
          <w:lang w:val="es-MX"/>
        </w:rPr>
      </w:pPr>
    </w:p>
    <w:p w:rsidR="00000000" w:rsidRDefault="00A122D5">
      <w:pPr>
        <w:tabs>
          <w:tab w:val="left" w:pos="567"/>
        </w:tabs>
        <w:rPr>
          <w:rFonts w:ascii="Arial" w:hAnsi="Arial"/>
          <w:sz w:val="24"/>
          <w:lang w:val="es-MX"/>
        </w:rPr>
      </w:pPr>
    </w:p>
    <w:p w:rsidR="00000000" w:rsidRDefault="00A122D5">
      <w:pPr>
        <w:pStyle w:val="Sangra3detindependiente"/>
        <w:spacing w:line="480" w:lineRule="auto"/>
        <w:jc w:val="both"/>
      </w:pPr>
    </w:p>
    <w:p w:rsidR="00000000" w:rsidRDefault="00A122D5">
      <w:pPr>
        <w:pStyle w:val="Sangra3detindependiente"/>
        <w:spacing w:line="480" w:lineRule="auto"/>
        <w:jc w:val="both"/>
      </w:pPr>
    </w:p>
    <w:p w:rsidR="00000000" w:rsidRDefault="00A122D5">
      <w:pPr>
        <w:pStyle w:val="Sangra3detindependiente"/>
        <w:spacing w:line="480" w:lineRule="auto"/>
        <w:jc w:val="both"/>
      </w:pPr>
    </w:p>
    <w:p w:rsidR="00000000" w:rsidRDefault="00A122D5">
      <w:pPr>
        <w:pStyle w:val="Sangra3detindependiente"/>
        <w:spacing w:line="480" w:lineRule="auto"/>
        <w:jc w:val="both"/>
      </w:pPr>
    </w:p>
    <w:p w:rsidR="00000000" w:rsidRDefault="00A122D5">
      <w:pPr>
        <w:pStyle w:val="Sangra3detindependiente"/>
        <w:spacing w:line="480" w:lineRule="auto"/>
        <w:jc w:val="both"/>
      </w:pPr>
      <w:r>
        <w:t xml:space="preserve">La tabla XXXI  permite determinar  la representatividad de las personas naturales en  cada uno de los delitos, en su género  masculino, femenino, y compuesto por hombre y </w:t>
      </w:r>
      <w:r>
        <w:t>mujer.  En el caso de hombres han cometido más delitos contra la persona con 4.3 por ciento, mujeres 3 por ciento, y ambos representa 1 por ciento del total de los delitos.</w:t>
      </w:r>
    </w:p>
    <w:p w:rsidR="00000000" w:rsidRDefault="00A122D5">
      <w:pPr>
        <w:pStyle w:val="Sangra3detindependiente"/>
        <w:spacing w:line="480" w:lineRule="auto"/>
        <w:jc w:val="both"/>
      </w:pPr>
      <w:r>
        <w:t>Los delitos contra la propiedad son más cometidos por hombres que representa un 18.</w:t>
      </w:r>
      <w:r>
        <w:t>4 por ciento, la mujer representa un 8.4 por ciento,  y ambos representa 1.2 por ciento.</w:t>
      </w:r>
    </w:p>
    <w:p w:rsidR="00000000" w:rsidRDefault="00A122D5">
      <w:pPr>
        <w:pStyle w:val="Sangra3detindependiente"/>
        <w:spacing w:line="480" w:lineRule="auto"/>
        <w:jc w:val="both"/>
      </w:pPr>
      <w:r>
        <w:t>Los delitos contra la administración pública representa un mayor porcentaje cometido por hombre con 2.3  por ciento, mujeres 0.5 por ciento, y ambos con 0.3 por ciento</w:t>
      </w:r>
      <w:r>
        <w:t>.</w:t>
      </w:r>
    </w:p>
    <w:p w:rsidR="00000000" w:rsidRDefault="00A122D5">
      <w:pPr>
        <w:pStyle w:val="Sangra3detindependiente"/>
        <w:spacing w:line="480" w:lineRule="auto"/>
        <w:jc w:val="both"/>
      </w:pPr>
      <w:r>
        <w:t>Los delitos contra la seguridad pública representa un mayor porcentaje los imputados hombre con 20.2 por ciento, mujeres 0.08 por ciento, y ambos 0.01 por ciento.</w:t>
      </w:r>
    </w:p>
    <w:p w:rsidR="00000000" w:rsidRDefault="00A122D5">
      <w:pPr>
        <w:pStyle w:val="Sangra3detindependiente"/>
        <w:spacing w:line="480" w:lineRule="auto"/>
        <w:jc w:val="both"/>
      </w:pPr>
      <w:r>
        <w:t>Los delitos contra la honra cometidos por hombres representa 2.8 por ciento, mujeres 0.8 po</w:t>
      </w:r>
      <w:r>
        <w:t>r ciento, mientras que ambos no existe.</w:t>
      </w:r>
    </w:p>
    <w:p w:rsidR="00000000" w:rsidRDefault="00A122D5">
      <w:pPr>
        <w:pStyle w:val="Sangra3detindependiente"/>
        <w:spacing w:line="480" w:lineRule="auto"/>
        <w:jc w:val="both"/>
      </w:pPr>
      <w:r>
        <w:t>Los delitos contra la fe pública cometidos por hombres representa 10 por  ciento, mujeres 4.4 por ciento, ambos 1.2 por ciento.</w:t>
      </w:r>
    </w:p>
    <w:p w:rsidR="00000000" w:rsidRDefault="00A122D5">
      <w:pPr>
        <w:pStyle w:val="Sangra3detindependiente"/>
        <w:spacing w:line="480" w:lineRule="auto"/>
        <w:jc w:val="both"/>
      </w:pPr>
      <w:r>
        <w:t>Los delitos contra las Garantías constitucionales y la igualdad racial cometidos por hom</w:t>
      </w:r>
      <w:r>
        <w:t>bres representa 3.5 por ciento, mujeres 0.5 por ciento.</w:t>
      </w:r>
    </w:p>
    <w:p w:rsidR="00000000" w:rsidRDefault="00A122D5">
      <w:pPr>
        <w:pStyle w:val="Sangra3detindependiente"/>
        <w:spacing w:line="480" w:lineRule="auto"/>
        <w:jc w:val="both"/>
      </w:pPr>
      <w:r>
        <w:t xml:space="preserve">Los delitos sexuales cometidos por hombres representa un 4.3 por ciento, mujeres 1.2 por ciento. </w:t>
      </w:r>
    </w:p>
    <w:p w:rsidR="00000000" w:rsidRDefault="00A122D5">
      <w:pPr>
        <w:pStyle w:val="Sangra3detindependiente"/>
        <w:spacing w:line="480" w:lineRule="auto"/>
        <w:jc w:val="both"/>
      </w:pPr>
      <w:r>
        <w:t>Los delitos contra el estado civil cometido por hombres representa  0.2 por ciento, mujeres 0.1 por ci</w:t>
      </w:r>
      <w:r>
        <w:t>ento.</w:t>
      </w:r>
    </w:p>
    <w:p w:rsidR="00000000" w:rsidRDefault="00A122D5">
      <w:pPr>
        <w:pStyle w:val="Sangra3detindependiente"/>
        <w:spacing w:line="480" w:lineRule="auto"/>
        <w:jc w:val="both"/>
      </w:pPr>
      <w:r>
        <w:t>Los delitos contra la seguridad del estado cometidos por hombres representa  un 2.3 por ciento, mujeres 10 por ciento y compuesto por mujer y hombre representa un 0.1 por ciento.</w:t>
      </w:r>
    </w:p>
    <w:p w:rsidR="00000000" w:rsidRDefault="00A122D5">
      <w:pPr>
        <w:pStyle w:val="Sangra3detindependiente"/>
        <w:spacing w:line="480" w:lineRule="auto"/>
        <w:jc w:val="both"/>
      </w:pPr>
      <w:r>
        <w:t>Los delitos aduaneros  cometidos por hombres representa un 4.9 por cien</w:t>
      </w:r>
      <w:r>
        <w:t xml:space="preserve">to, mujeres representa  1.4 por ciento, y ambos representa 0.8 por ciento. </w:t>
      </w: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000000" w:rsidRDefault="00A122D5">
      <w:pPr>
        <w:tabs>
          <w:tab w:val="left" w:pos="567"/>
        </w:tabs>
        <w:ind w:firstLine="567"/>
        <w:rPr>
          <w:rFonts w:ascii="Arial" w:hAnsi="Arial"/>
          <w:sz w:val="24"/>
          <w:lang w:val="es-MX"/>
        </w:rPr>
      </w:pPr>
    </w:p>
    <w:p w:rsidR="00A122D5" w:rsidRDefault="00A122D5">
      <w:pPr>
        <w:tabs>
          <w:tab w:val="left" w:pos="567"/>
        </w:tabs>
        <w:ind w:firstLine="567"/>
        <w:rPr>
          <w:rFonts w:ascii="Arial" w:hAnsi="Arial"/>
          <w:sz w:val="24"/>
          <w:lang w:val="es-MX"/>
        </w:rPr>
      </w:pPr>
    </w:p>
    <w:sectPr w:rsidR="00A122D5">
      <w:headerReference w:type="even" r:id="rId29"/>
      <w:headerReference w:type="default" r:id="rId30"/>
      <w:footerReference w:type="even" r:id="rId31"/>
      <w:footerReference w:type="default" r:id="rId32"/>
      <w:pgSz w:w="12240" w:h="15840"/>
      <w:pgMar w:top="2268" w:right="1361" w:bottom="2268" w:left="2268" w:header="720" w:footer="720" w:gutter="0"/>
      <w:pgNumType w:start="9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2D5" w:rsidRDefault="00A122D5">
      <w:r>
        <w:separator/>
      </w:r>
    </w:p>
  </w:endnote>
  <w:endnote w:type="continuationSeparator" w:id="1">
    <w:p w:rsidR="00A122D5" w:rsidRDefault="00A12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22D5">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91</w:t>
    </w:r>
    <w:r>
      <w:rPr>
        <w:rStyle w:val="Nmerodepgina"/>
      </w:rPr>
      <w:fldChar w:fldCharType="end"/>
    </w:r>
  </w:p>
  <w:p w:rsidR="00000000" w:rsidRDefault="00A122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22D5">
    <w:pPr>
      <w:pStyle w:val="Piedepgina"/>
      <w:framePr w:wrap="around" w:vAnchor="text" w:hAnchor="margin" w:xAlign="right" w:y="1"/>
      <w:rPr>
        <w:rStyle w:val="Nmerodepgina"/>
      </w:rPr>
    </w:pPr>
  </w:p>
  <w:p w:rsidR="00000000" w:rsidRDefault="00A122D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2D5" w:rsidRDefault="00A122D5">
      <w:r>
        <w:separator/>
      </w:r>
    </w:p>
  </w:footnote>
  <w:footnote w:type="continuationSeparator" w:id="1">
    <w:p w:rsidR="00A122D5" w:rsidRDefault="00A12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22D5">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A122D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22D5">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F2272F">
      <w:rPr>
        <w:rStyle w:val="Nmerodepgina"/>
        <w:noProof/>
      </w:rPr>
      <w:t>91</w:t>
    </w:r>
    <w:r>
      <w:rPr>
        <w:rStyle w:val="Nmerodepgina"/>
      </w:rPr>
      <w:fldChar w:fldCharType="end"/>
    </w:r>
  </w:p>
  <w:p w:rsidR="00000000" w:rsidRDefault="00A122D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650D6"/>
    <w:multiLevelType w:val="multilevel"/>
    <w:tmpl w:val="CA84DFE8"/>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1063"/>
        </w:tabs>
        <w:ind w:left="1063" w:hanging="780"/>
      </w:pPr>
      <w:rPr>
        <w:rFonts w:hint="default"/>
      </w:rPr>
    </w:lvl>
    <w:lvl w:ilvl="2">
      <w:start w:val="2"/>
      <w:numFmt w:val="decimal"/>
      <w:lvlText w:val="%1.%2.%3."/>
      <w:lvlJc w:val="left"/>
      <w:pPr>
        <w:tabs>
          <w:tab w:val="num" w:pos="1346"/>
        </w:tabs>
        <w:ind w:left="1346" w:hanging="78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2272F"/>
    <w:rsid w:val="00A122D5"/>
    <w:rsid w:val="00F227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lang w:val="es-MX"/>
    </w:rPr>
  </w:style>
  <w:style w:type="paragraph" w:styleId="Ttulo2">
    <w:name w:val="heading 2"/>
    <w:basedOn w:val="Normal"/>
    <w:next w:val="Normal"/>
    <w:qFormat/>
    <w:pPr>
      <w:keepNext/>
      <w:jc w:val="center"/>
      <w:outlineLvl w:val="1"/>
    </w:pPr>
    <w:rPr>
      <w:b/>
      <w:sz w:val="24"/>
      <w:lang w:val="es-MX"/>
    </w:rPr>
  </w:style>
  <w:style w:type="paragraph" w:styleId="Ttulo3">
    <w:name w:val="heading 3"/>
    <w:basedOn w:val="Normal"/>
    <w:next w:val="Normal"/>
    <w:qFormat/>
    <w:pPr>
      <w:keepNext/>
      <w:tabs>
        <w:tab w:val="left" w:pos="567"/>
      </w:tabs>
      <w:ind w:firstLine="567"/>
      <w:jc w:val="center"/>
      <w:outlineLvl w:val="2"/>
    </w:pPr>
    <w:rPr>
      <w:rFonts w:ascii="Arial" w:hAnsi="Arial"/>
      <w:b/>
      <w:lang w:val="es-MX"/>
    </w:rPr>
  </w:style>
  <w:style w:type="paragraph" w:styleId="Ttulo4">
    <w:name w:val="heading 4"/>
    <w:basedOn w:val="Normal"/>
    <w:next w:val="Normal"/>
    <w:qFormat/>
    <w:pPr>
      <w:keepNext/>
      <w:tabs>
        <w:tab w:val="left" w:pos="567"/>
      </w:tabs>
      <w:ind w:left="567"/>
      <w:outlineLvl w:val="3"/>
    </w:pPr>
    <w:rPr>
      <w:rFonts w:ascii="Arial" w:hAnsi="Arial"/>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sz w:val="24"/>
      <w:lang w:val="es-MX"/>
    </w:rPr>
  </w:style>
  <w:style w:type="paragraph" w:styleId="Sangradetextonormal">
    <w:name w:val="Body Text Indent"/>
    <w:basedOn w:val="Normal"/>
    <w:semiHidden/>
    <w:pPr>
      <w:tabs>
        <w:tab w:val="left" w:pos="567"/>
      </w:tabs>
      <w:ind w:firstLine="567"/>
      <w:jc w:val="both"/>
    </w:pPr>
    <w:rPr>
      <w:rFonts w:ascii="Arial" w:hAnsi="Arial"/>
      <w:sz w:val="24"/>
      <w:lang w:val="es-MX"/>
    </w:rPr>
  </w:style>
  <w:style w:type="paragraph" w:styleId="Textoindependiente2">
    <w:name w:val="Body Text 2"/>
    <w:basedOn w:val="Normal"/>
    <w:semiHidden/>
    <w:pPr>
      <w:tabs>
        <w:tab w:val="left" w:pos="567"/>
      </w:tabs>
      <w:spacing w:line="480" w:lineRule="auto"/>
      <w:jc w:val="both"/>
    </w:pPr>
    <w:rPr>
      <w:rFonts w:ascii="Arial" w:hAnsi="Arial"/>
      <w:sz w:val="24"/>
      <w:lang w:val="es-MX"/>
    </w:rPr>
  </w:style>
  <w:style w:type="paragraph" w:styleId="Sangra2detindependiente">
    <w:name w:val="Body Text Indent 2"/>
    <w:basedOn w:val="Normal"/>
    <w:semiHidden/>
    <w:pPr>
      <w:tabs>
        <w:tab w:val="left" w:pos="567"/>
      </w:tabs>
      <w:ind w:left="567" w:firstLine="567"/>
    </w:pPr>
    <w:rPr>
      <w:rFonts w:ascii="Arial" w:hAnsi="Arial"/>
      <w:sz w:val="24"/>
      <w:lang w:val="es-MX"/>
    </w:rPr>
  </w:style>
  <w:style w:type="paragraph" w:styleId="Sangra3detindependiente">
    <w:name w:val="Body Text Indent 3"/>
    <w:basedOn w:val="Normal"/>
    <w:semiHidden/>
    <w:pPr>
      <w:tabs>
        <w:tab w:val="left" w:pos="567"/>
      </w:tabs>
      <w:ind w:left="567"/>
    </w:pPr>
    <w:rPr>
      <w:rFonts w:ascii="Arial" w:hAnsi="Arial"/>
      <w:sz w:val="24"/>
      <w:lang w:val="es-MX"/>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oleObject" Target="embeddings/oleObject2.bin"/><Relationship Id="rId27" Type="http://schemas.openxmlformats.org/officeDocument/2006/relationships/image" Target="media/image19.wmf"/><Relationship Id="rId3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2852</Words>
  <Characters>15690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3</vt:lpstr>
    </vt:vector>
  </TitlesOfParts>
  <Company>SCVL</Company>
  <LinksUpToDate>false</LinksUpToDate>
  <CharactersWithSpaces>18505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Sixto</dc:creator>
  <cp:keywords/>
  <cp:lastModifiedBy>Ayudante</cp:lastModifiedBy>
  <cp:revision>2</cp:revision>
  <dcterms:created xsi:type="dcterms:W3CDTF">2009-07-14T18:54:00Z</dcterms:created>
  <dcterms:modified xsi:type="dcterms:W3CDTF">2009-07-14T18:54:00Z</dcterms:modified>
</cp:coreProperties>
</file>