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40EEE">
      <w:pPr>
        <w:numPr>
          <w:ilvl w:val="2"/>
          <w:numId w:val="1"/>
        </w:numPr>
        <w:tabs>
          <w:tab w:val="clear" w:pos="2364"/>
          <w:tab w:val="num" w:pos="993"/>
        </w:tabs>
        <w:spacing w:line="360" w:lineRule="auto"/>
        <w:ind w:hanging="1797"/>
        <w:jc w:val="both"/>
        <w:rPr>
          <w:rFonts w:ascii="Arial" w:hAnsi="Arial"/>
          <w:b/>
          <w:sz w:val="24"/>
          <w:lang w:val="es-MX"/>
        </w:rPr>
      </w:pPr>
      <w:r>
        <w:rPr>
          <w:rFonts w:ascii="Arial" w:hAnsi="Arial"/>
          <w:b/>
          <w:sz w:val="24"/>
          <w:lang w:val="es-MX"/>
        </w:rPr>
        <w:t xml:space="preserve"> Análisis  de componentes principales no lineales</w:t>
      </w:r>
    </w:p>
    <w:p w:rsidR="00000000" w:rsidRDefault="00040EEE">
      <w:pPr>
        <w:spacing w:line="360" w:lineRule="auto"/>
        <w:ind w:left="1134"/>
        <w:jc w:val="both"/>
        <w:rPr>
          <w:rFonts w:ascii="Arial" w:hAnsi="Arial"/>
          <w:sz w:val="24"/>
          <w:lang w:val="es-MX"/>
        </w:rPr>
      </w:pPr>
    </w:p>
    <w:p w:rsidR="00000000" w:rsidRDefault="00040EEE">
      <w:pPr>
        <w:spacing w:line="480" w:lineRule="auto"/>
        <w:ind w:left="567"/>
        <w:jc w:val="both"/>
        <w:rPr>
          <w:rFonts w:ascii="Arial" w:hAnsi="Arial"/>
          <w:sz w:val="24"/>
          <w:lang w:val="es-MX"/>
        </w:rPr>
      </w:pPr>
      <w:r>
        <w:rPr>
          <w:rFonts w:ascii="Arial" w:hAnsi="Arial"/>
          <w:sz w:val="24"/>
          <w:lang w:val="es-MX"/>
        </w:rPr>
        <w:t xml:space="preserve">El análisis de componentes principales no lineales,  trabaja con variables nominales, numéricas, y  ordinales, en este estudio multivariante es realizado por el  programa “CatPCA” .Componentes Principales </w:t>
      </w:r>
      <w:r>
        <w:rPr>
          <w:rFonts w:ascii="Arial" w:hAnsi="Arial"/>
          <w:sz w:val="24"/>
          <w:lang w:val="es-MX"/>
        </w:rPr>
        <w:t>Categóricos, del modulo de reducción de datos del paquete Estadístico SPSS10.0.</w:t>
      </w:r>
    </w:p>
    <w:p w:rsidR="00000000" w:rsidRDefault="00040EEE">
      <w:pPr>
        <w:spacing w:line="480" w:lineRule="auto"/>
        <w:ind w:left="567"/>
        <w:jc w:val="both"/>
        <w:rPr>
          <w:rFonts w:ascii="Arial" w:hAnsi="Arial"/>
          <w:sz w:val="24"/>
        </w:rPr>
      </w:pPr>
      <w:r>
        <w:rPr>
          <w:rFonts w:ascii="Arial" w:hAnsi="Arial"/>
          <w:sz w:val="24"/>
          <w:lang w:val="es-MX"/>
        </w:rPr>
        <w:t>CatPCA primero</w:t>
      </w:r>
      <w:r>
        <w:rPr>
          <w:rFonts w:ascii="Arial" w:hAnsi="Arial"/>
          <w:sz w:val="24"/>
        </w:rPr>
        <w:t xml:space="preserve"> pondera la codificación de las variables cualitativas o categóricas, luego a estas variables reponderadas les aplica el ACP clásico.</w:t>
      </w:r>
    </w:p>
    <w:p w:rsidR="00000000" w:rsidRDefault="00040EEE">
      <w:pPr>
        <w:spacing w:line="480" w:lineRule="auto"/>
        <w:ind w:left="567"/>
        <w:jc w:val="both"/>
        <w:rPr>
          <w:rFonts w:ascii="Arial" w:hAnsi="Arial"/>
          <w:sz w:val="24"/>
        </w:rPr>
      </w:pPr>
    </w:p>
    <w:p w:rsidR="00000000" w:rsidRDefault="00040EEE">
      <w:pPr>
        <w:spacing w:line="480" w:lineRule="auto"/>
        <w:ind w:left="567"/>
        <w:jc w:val="both"/>
        <w:rPr>
          <w:rFonts w:ascii="Arial" w:hAnsi="Arial"/>
          <w:sz w:val="24"/>
          <w:lang w:val="es-MX"/>
        </w:rPr>
      </w:pPr>
      <w:r>
        <w:rPr>
          <w:rFonts w:ascii="Arial" w:hAnsi="Arial"/>
          <w:sz w:val="24"/>
        </w:rPr>
        <w:t>El programa CatPCA  no mane</w:t>
      </w:r>
      <w:r>
        <w:rPr>
          <w:rFonts w:ascii="Arial" w:hAnsi="Arial"/>
          <w:sz w:val="24"/>
        </w:rPr>
        <w:t xml:space="preserve">ja la misma interpretación del análisis de componentes principales clásico,  es decir no utiliza </w:t>
      </w:r>
      <w:r>
        <w:rPr>
          <w:rFonts w:ascii="Arial" w:hAnsi="Arial"/>
          <w:sz w:val="24"/>
          <w:lang w:val="es-MX"/>
        </w:rPr>
        <w:t>el criterio de información explicada a través de la varianza.   En estos casos utiliza las dimensiones, para poder manejar un criterio de dimensionalidad que p</w:t>
      </w:r>
      <w:r>
        <w:rPr>
          <w:rFonts w:ascii="Arial" w:hAnsi="Arial"/>
          <w:sz w:val="24"/>
          <w:lang w:val="es-MX"/>
        </w:rPr>
        <w:t xml:space="preserve">ermita la mejor interpretación a una  cantidad de dimensiones, que es  en este caso con dos dimensiones, por que se considera que cuando tienen variables nominales, ordinales y numéricas  es apropiado tomar dos dimensiones.   Por este tipo de variables es </w:t>
      </w:r>
      <w:r>
        <w:rPr>
          <w:rFonts w:ascii="Arial" w:hAnsi="Arial"/>
          <w:sz w:val="24"/>
          <w:lang w:val="es-MX"/>
        </w:rPr>
        <w:t xml:space="preserve">recomendable trabajar  con dos componentes, ya que cada dimensión maneja un porcentaje de </w:t>
      </w:r>
      <w:r>
        <w:rPr>
          <w:rFonts w:ascii="Arial" w:hAnsi="Arial"/>
          <w:sz w:val="24"/>
          <w:lang w:val="es-MX"/>
        </w:rPr>
        <w:lastRenderedPageBreak/>
        <w:t xml:space="preserve">participación de la varianza en las variables que aportan mayor información. </w:t>
      </w:r>
    </w:p>
    <w:p w:rsidR="00000000" w:rsidRDefault="00040EEE">
      <w:pPr>
        <w:spacing w:line="480" w:lineRule="auto"/>
        <w:ind w:left="1418"/>
        <w:jc w:val="both"/>
        <w:rPr>
          <w:rFonts w:ascii="Arial" w:hAnsi="Arial"/>
          <w:sz w:val="24"/>
          <w:lang w:val="es-MX"/>
        </w:rPr>
      </w:pPr>
    </w:p>
    <w:p w:rsidR="00000000" w:rsidRDefault="00040EEE">
      <w:pPr>
        <w:spacing w:line="480" w:lineRule="auto"/>
        <w:ind w:left="1418"/>
        <w:jc w:val="both"/>
        <w:rPr>
          <w:rFonts w:ascii="Arial" w:hAnsi="Arial"/>
          <w:sz w:val="24"/>
          <w:lang w:val="es-MX"/>
        </w:rPr>
      </w:pPr>
      <w:r>
        <w:rPr>
          <w:rFonts w:ascii="Arial" w:hAnsi="Arial"/>
          <w:noProof/>
          <w:sz w:val="24"/>
        </w:rPr>
        <w:pict>
          <v:shapetype id="_x0000_t202" coordsize="21600,21600" o:spt="202" path="m,l,21600r21600,l21600,xe">
            <v:stroke joinstyle="miter"/>
            <v:path gradientshapeok="t" o:connecttype="rect"/>
          </v:shapetype>
          <v:shape id="_x0000_s1026" type="#_x0000_t202" style="position:absolute;left:0;text-align:left;margin-left:102.6pt;margin-top:27pt;width:252pt;height:2in;z-index:251652096" o:allowincell="f">
            <v:textbox style="mso-next-textbox:#_x0000_s1026">
              <w:txbxContent>
                <w:p w:rsidR="00000000" w:rsidRDefault="00040EEE">
                  <w:pPr>
                    <w:jc w:val="center"/>
                    <w:rPr>
                      <w:b/>
                      <w:lang w:val="es-MX"/>
                    </w:rPr>
                  </w:pPr>
                  <w:r>
                    <w:rPr>
                      <w:b/>
                      <w:lang w:val="es-MX"/>
                    </w:rPr>
                    <w:t>Tabla XXXIV</w:t>
                  </w:r>
                </w:p>
                <w:p w:rsidR="00000000" w:rsidRDefault="00040EEE">
                  <w:pPr>
                    <w:pStyle w:val="Ttulo1"/>
                  </w:pPr>
                  <w:r>
                    <w:t>Varianza explicada en cada dimensión</w:t>
                  </w:r>
                </w:p>
                <w:p w:rsidR="00000000" w:rsidRDefault="00040EEE">
                  <w:pPr>
                    <w:jc w:val="center"/>
                    <w:rPr>
                      <w:lang w:val="es-MX"/>
                    </w:rPr>
                  </w:pPr>
                </w:p>
                <w:p w:rsidR="00000000" w:rsidRDefault="000844AF">
                  <w:pPr>
                    <w:jc w:val="center"/>
                    <w:rPr>
                      <w:lang w:val="es-MX"/>
                    </w:rPr>
                  </w:pPr>
                  <w:r>
                    <w:rPr>
                      <w:noProof/>
                    </w:rPr>
                    <w:drawing>
                      <wp:inline distT="0" distB="0" distL="0" distR="0">
                        <wp:extent cx="2413000" cy="1041400"/>
                        <wp:effectExtent l="1905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13000" cy="1041400"/>
                                </a:xfrm>
                                <a:prstGeom prst="rect">
                                  <a:avLst/>
                                </a:prstGeom>
                                <a:noFill/>
                                <a:ln w="9525">
                                  <a:noFill/>
                                  <a:miter lim="800000"/>
                                  <a:headEnd/>
                                  <a:tailEnd/>
                                </a:ln>
                              </pic:spPr>
                            </pic:pic>
                          </a:graphicData>
                        </a:graphic>
                      </wp:inline>
                    </w:drawing>
                  </w:r>
                </w:p>
              </w:txbxContent>
            </v:textbox>
          </v:shape>
        </w:pict>
      </w:r>
    </w:p>
    <w:p w:rsidR="00000000" w:rsidRDefault="00040EEE">
      <w:pPr>
        <w:spacing w:line="480" w:lineRule="auto"/>
        <w:ind w:left="1418"/>
        <w:jc w:val="both"/>
        <w:rPr>
          <w:rFonts w:ascii="Arial" w:hAnsi="Arial"/>
          <w:sz w:val="24"/>
          <w:lang w:val="es-MX"/>
        </w:rPr>
      </w:pPr>
    </w:p>
    <w:p w:rsidR="00000000" w:rsidRDefault="00040EEE">
      <w:pPr>
        <w:spacing w:line="480" w:lineRule="auto"/>
        <w:ind w:left="1418"/>
        <w:jc w:val="both"/>
        <w:rPr>
          <w:rFonts w:ascii="Arial" w:hAnsi="Arial"/>
          <w:sz w:val="24"/>
          <w:lang w:val="es-MX"/>
        </w:rPr>
      </w:pPr>
    </w:p>
    <w:p w:rsidR="00000000" w:rsidRDefault="00040EEE">
      <w:pPr>
        <w:spacing w:line="480" w:lineRule="auto"/>
        <w:ind w:left="1418"/>
        <w:jc w:val="both"/>
        <w:rPr>
          <w:rFonts w:ascii="Arial" w:hAnsi="Arial"/>
          <w:sz w:val="24"/>
          <w:lang w:val="es-MX"/>
        </w:rPr>
      </w:pPr>
    </w:p>
    <w:p w:rsidR="00000000" w:rsidRDefault="00040EEE">
      <w:pPr>
        <w:spacing w:line="480" w:lineRule="auto"/>
        <w:ind w:left="1418"/>
        <w:jc w:val="both"/>
        <w:rPr>
          <w:rFonts w:ascii="Arial" w:hAnsi="Arial"/>
          <w:sz w:val="24"/>
          <w:lang w:val="es-MX"/>
        </w:rPr>
      </w:pPr>
    </w:p>
    <w:p w:rsidR="00000000" w:rsidRDefault="00040EEE">
      <w:pPr>
        <w:spacing w:line="480" w:lineRule="auto"/>
        <w:ind w:left="1418"/>
        <w:jc w:val="both"/>
        <w:rPr>
          <w:rFonts w:ascii="Arial" w:hAnsi="Arial"/>
          <w:sz w:val="24"/>
        </w:rPr>
      </w:pPr>
      <w:r>
        <w:rPr>
          <w:rFonts w:ascii="Arial" w:hAnsi="Arial"/>
          <w:sz w:val="24"/>
        </w:rPr>
        <w:t xml:space="preserve"> </w:t>
      </w:r>
    </w:p>
    <w:p w:rsidR="00000000" w:rsidRDefault="00040EEE">
      <w:pPr>
        <w:spacing w:line="480" w:lineRule="auto"/>
        <w:jc w:val="both"/>
        <w:rPr>
          <w:rFonts w:ascii="Arial" w:hAnsi="Arial"/>
          <w:sz w:val="24"/>
        </w:rPr>
      </w:pPr>
    </w:p>
    <w:p w:rsidR="00000000" w:rsidRDefault="00040EEE">
      <w:pPr>
        <w:spacing w:line="480" w:lineRule="auto"/>
        <w:jc w:val="both"/>
        <w:rPr>
          <w:rFonts w:ascii="Arial" w:hAnsi="Arial"/>
          <w:sz w:val="24"/>
          <w:lang w:val="es-MX"/>
        </w:rPr>
      </w:pPr>
    </w:p>
    <w:p w:rsidR="00000000" w:rsidRDefault="00040EEE">
      <w:pPr>
        <w:pStyle w:val="Sangradetextonormal"/>
        <w:ind w:left="567"/>
      </w:pPr>
      <w:r>
        <w:t>En la  tabla XXXII  muestra que manejando dos dimensiones se tiene el 38.94 p</w:t>
      </w:r>
      <w:r>
        <w:t>or ciento de la varianza explicada, y  la primera dimensión tiene un 22.54 por ciento, la segunda dimensión   13.86 por ciento.</w:t>
      </w:r>
    </w:p>
    <w:p w:rsidR="00000000" w:rsidRDefault="00040EEE">
      <w:pPr>
        <w:pStyle w:val="Sangradetextonormal"/>
        <w:ind w:left="567"/>
        <w:rPr>
          <w:b/>
        </w:rPr>
      </w:pPr>
    </w:p>
    <w:p w:rsidR="00000000" w:rsidRDefault="00040EEE">
      <w:pPr>
        <w:pStyle w:val="Sangradetextonormal"/>
        <w:ind w:left="567"/>
        <w:rPr>
          <w:b/>
        </w:rPr>
      </w:pPr>
      <w:r>
        <w:rPr>
          <w:b/>
        </w:rPr>
        <w:t>Identificación de las componentes.-</w:t>
      </w:r>
    </w:p>
    <w:p w:rsidR="00000000" w:rsidRDefault="00040EEE">
      <w:pPr>
        <w:pStyle w:val="Sangradetextonormal"/>
        <w:ind w:left="567"/>
      </w:pPr>
      <w:r>
        <w:t>Las  variables elegidas para trabajar en las componentes, encontramos las cargas de cada co</w:t>
      </w:r>
      <w:r>
        <w:t>mponente, obtenida por las dimensiones que permite  explicar la participación o determinar cuanto aportan  en información.</w:t>
      </w:r>
    </w:p>
    <w:p w:rsidR="00000000" w:rsidRDefault="00040EEE">
      <w:pPr>
        <w:pStyle w:val="Sangradetextonormal"/>
      </w:pPr>
    </w:p>
    <w:p w:rsidR="00000000" w:rsidRDefault="00040EEE">
      <w:pPr>
        <w:pStyle w:val="Sangradetextonormal"/>
      </w:pPr>
    </w:p>
    <w:p w:rsidR="00000000" w:rsidRDefault="00040EEE">
      <w:pPr>
        <w:pStyle w:val="Sangradetextonormal"/>
      </w:pPr>
      <w:r>
        <w:rPr>
          <w:noProof/>
        </w:rPr>
        <w:pict>
          <v:shape id="_x0000_s1027" type="#_x0000_t202" style="position:absolute;left:0;text-align:left;margin-left:59.4pt;margin-top:.6pt;width:331.2pt;height:223.2pt;z-index:251653120" o:allowincell="f">
            <v:textbox>
              <w:txbxContent>
                <w:p w:rsidR="00000000" w:rsidRDefault="00040EEE">
                  <w:pPr>
                    <w:jc w:val="center"/>
                    <w:rPr>
                      <w:b/>
                      <w:lang w:val="es-MX"/>
                    </w:rPr>
                  </w:pPr>
                  <w:r>
                    <w:rPr>
                      <w:b/>
                      <w:lang w:val="es-MX"/>
                    </w:rPr>
                    <w:t>Tabla XXXV</w:t>
                  </w:r>
                </w:p>
                <w:p w:rsidR="00000000" w:rsidRDefault="00040EEE">
                  <w:pPr>
                    <w:pStyle w:val="Ttulo2"/>
                    <w:jc w:val="center"/>
                  </w:pPr>
                  <w:r>
                    <w:t>Carga de componentes en dos dimensiones</w:t>
                  </w:r>
                </w:p>
                <w:p w:rsidR="00000000" w:rsidRDefault="00040EEE"/>
                <w:p w:rsidR="00000000" w:rsidRDefault="000844AF">
                  <w:pPr>
                    <w:jc w:val="center"/>
                  </w:pPr>
                  <w:r>
                    <w:rPr>
                      <w:noProof/>
                    </w:rPr>
                    <w:drawing>
                      <wp:inline distT="0" distB="0" distL="0" distR="0">
                        <wp:extent cx="4000500" cy="19812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000500" cy="1981200"/>
                                </a:xfrm>
                                <a:prstGeom prst="rect">
                                  <a:avLst/>
                                </a:prstGeom>
                                <a:noFill/>
                                <a:ln w="9525">
                                  <a:noFill/>
                                  <a:miter lim="800000"/>
                                  <a:headEnd/>
                                  <a:tailEnd/>
                                </a:ln>
                              </pic:spPr>
                            </pic:pic>
                          </a:graphicData>
                        </a:graphic>
                      </wp:inline>
                    </w:drawing>
                  </w:r>
                </w:p>
              </w:txbxContent>
            </v:textbox>
          </v:shape>
        </w:pict>
      </w:r>
    </w:p>
    <w:p w:rsidR="00000000" w:rsidRDefault="00040EEE">
      <w:pPr>
        <w:pStyle w:val="Sangradetextonormal"/>
      </w:pPr>
    </w:p>
    <w:p w:rsidR="00000000" w:rsidRDefault="00040EEE">
      <w:pPr>
        <w:pStyle w:val="Sangradetextonormal"/>
      </w:pPr>
    </w:p>
    <w:p w:rsidR="00000000" w:rsidRDefault="00040EEE">
      <w:pPr>
        <w:spacing w:line="480" w:lineRule="auto"/>
        <w:ind w:left="1418"/>
        <w:jc w:val="both"/>
        <w:rPr>
          <w:rFonts w:ascii="Arial" w:hAnsi="Arial"/>
          <w:sz w:val="24"/>
          <w:lang w:val="es-MX"/>
        </w:rPr>
      </w:pPr>
    </w:p>
    <w:p w:rsidR="00000000" w:rsidRDefault="00040EEE">
      <w:pPr>
        <w:spacing w:line="480" w:lineRule="auto"/>
        <w:ind w:left="1418"/>
        <w:jc w:val="both"/>
        <w:rPr>
          <w:rFonts w:ascii="Arial" w:hAnsi="Arial"/>
          <w:sz w:val="24"/>
          <w:lang w:val="es-MX"/>
        </w:rPr>
      </w:pPr>
    </w:p>
    <w:p w:rsidR="00000000" w:rsidRDefault="00040EEE">
      <w:pPr>
        <w:spacing w:line="480" w:lineRule="auto"/>
        <w:ind w:left="1418"/>
        <w:jc w:val="both"/>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rPr>
          <w:rFonts w:ascii="Arial" w:hAnsi="Arial"/>
          <w:sz w:val="24"/>
          <w:lang w:val="es-MX"/>
        </w:rPr>
      </w:pPr>
    </w:p>
    <w:p w:rsidR="00000000" w:rsidRDefault="00040EEE">
      <w:pPr>
        <w:spacing w:line="480" w:lineRule="auto"/>
        <w:ind w:left="708"/>
        <w:jc w:val="both"/>
        <w:rPr>
          <w:rFonts w:ascii="Arial" w:hAnsi="Arial"/>
          <w:sz w:val="24"/>
          <w:lang w:val="es-MX"/>
        </w:rPr>
      </w:pPr>
      <w:r>
        <w:rPr>
          <w:rFonts w:ascii="Arial" w:hAnsi="Arial"/>
          <w:sz w:val="24"/>
          <w:lang w:val="es-MX"/>
        </w:rPr>
        <w:t>La tabla XXXV  tiene las cargas de las componentes, y tenemos que las que aportan mayor  información en la primera compon</w:t>
      </w:r>
      <w:r>
        <w:rPr>
          <w:rFonts w:ascii="Arial" w:hAnsi="Arial"/>
          <w:sz w:val="24"/>
          <w:lang w:val="es-MX"/>
        </w:rPr>
        <w:t>ente  son Tipo de denunciante,  Género de denunciante, Delito, Fiscal, Dictamen, las  demás cargas explican información pero no como las que tienen valores cercanos a uno.   Con las variables que aporten mayor información, verificamos en el gráfico 3.12 qu</w:t>
      </w:r>
      <w:r>
        <w:rPr>
          <w:rFonts w:ascii="Arial" w:hAnsi="Arial"/>
          <w:sz w:val="24"/>
          <w:lang w:val="es-MX"/>
        </w:rPr>
        <w:t>e estas  variables presentan una mayor explicación cuando las líneas son más largas, y las que tienen poca aportación en la información son líneas  más cortas.</w:t>
      </w:r>
    </w:p>
    <w:p w:rsidR="00000000" w:rsidRDefault="00040EEE">
      <w:pPr>
        <w:spacing w:line="480" w:lineRule="auto"/>
        <w:ind w:left="708"/>
        <w:jc w:val="both"/>
        <w:rPr>
          <w:rFonts w:ascii="Arial" w:hAnsi="Arial"/>
          <w:sz w:val="24"/>
          <w:lang w:val="es-MX"/>
        </w:rPr>
      </w:pPr>
      <w:r>
        <w:rPr>
          <w:rFonts w:ascii="Arial" w:hAnsi="Arial"/>
          <w:sz w:val="24"/>
          <w:lang w:val="es-MX"/>
        </w:rPr>
        <w:t>La segunda componente  las variables que aportan mayor información son las variables  Tipo de im</w:t>
      </w:r>
      <w:r>
        <w:rPr>
          <w:rFonts w:ascii="Arial" w:hAnsi="Arial"/>
          <w:sz w:val="24"/>
          <w:lang w:val="es-MX"/>
        </w:rPr>
        <w:t>putado, Género de imputado, Dictamen, y no con menos aportación Dictamen, Fiscal, Tipo de denunciante,  estas variables no quiere decir que no aportan información, simplemente no tiene una mayor explicación en la componente, es por eso que las variables qu</w:t>
      </w:r>
      <w:r>
        <w:rPr>
          <w:rFonts w:ascii="Arial" w:hAnsi="Arial"/>
          <w:sz w:val="24"/>
          <w:lang w:val="es-MX"/>
        </w:rPr>
        <w:t>e aportan más,  mostrará un resultado mayor en cada componente y por ende mayor puntuación en los objetos del gráfico 3.12.</w:t>
      </w:r>
    </w:p>
    <w:p w:rsidR="00000000" w:rsidRDefault="00040EEE">
      <w:pPr>
        <w:spacing w:line="480" w:lineRule="auto"/>
        <w:ind w:left="708"/>
        <w:jc w:val="both"/>
        <w:rPr>
          <w:rFonts w:ascii="Arial" w:hAnsi="Arial"/>
          <w:sz w:val="24"/>
          <w:lang w:val="es-MX"/>
        </w:rPr>
      </w:pPr>
      <w:r>
        <w:rPr>
          <w:rFonts w:ascii="Arial" w:hAnsi="Arial"/>
          <w:noProof/>
          <w:sz w:val="24"/>
        </w:rPr>
        <w:pict>
          <v:shape id="_x0000_s1028" type="#_x0000_t202" style="position:absolute;left:0;text-align:left;margin-left:9pt;margin-top:.6pt;width:410.4pt;height:352.8pt;z-index:251654144" o:allowincell="f">
            <v:textbox style="mso-next-textbox:#_x0000_s1028">
              <w:txbxContent>
                <w:p w:rsidR="00000000" w:rsidRDefault="00040EEE">
                  <w:pPr>
                    <w:jc w:val="center"/>
                    <w:rPr>
                      <w:b/>
                      <w:lang w:val="es-MX"/>
                    </w:rPr>
                  </w:pPr>
                  <w:r>
                    <w:rPr>
                      <w:b/>
                      <w:lang w:val="es-MX"/>
                    </w:rPr>
                    <w:t>Gráfico 3.12</w:t>
                  </w:r>
                </w:p>
                <w:p w:rsidR="00000000" w:rsidRDefault="00040EEE">
                  <w:pPr>
                    <w:pStyle w:val="Ttulo1"/>
                  </w:pPr>
                  <w:r>
                    <w:t>Representación de las cargas de las variables en dos dimensiones</w:t>
                  </w:r>
                </w:p>
                <w:p w:rsidR="00000000" w:rsidRDefault="00040EEE"/>
                <w:p w:rsidR="00000000" w:rsidRDefault="000844AF">
                  <w:pPr>
                    <w:jc w:val="center"/>
                  </w:pPr>
                  <w:r>
                    <w:rPr>
                      <w:noProof/>
                    </w:rPr>
                    <w:drawing>
                      <wp:inline distT="0" distB="0" distL="0" distR="0">
                        <wp:extent cx="4597400" cy="3695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597400" cy="3695700"/>
                                </a:xfrm>
                                <a:prstGeom prst="rect">
                                  <a:avLst/>
                                </a:prstGeom>
                                <a:noFill/>
                                <a:ln w="9525">
                                  <a:noFill/>
                                  <a:miter lim="800000"/>
                                  <a:headEnd/>
                                  <a:tailEnd/>
                                </a:ln>
                              </pic:spPr>
                            </pic:pic>
                          </a:graphicData>
                        </a:graphic>
                      </wp:inline>
                    </w:drawing>
                  </w:r>
                </w:p>
                <w:p w:rsidR="00000000" w:rsidRDefault="00040EEE">
                  <w:pPr>
                    <w:jc w:val="center"/>
                    <w:rPr>
                      <w:b/>
                      <w:lang w:val="es-MX"/>
                    </w:rPr>
                  </w:pPr>
                </w:p>
              </w:txbxContent>
            </v:textbox>
          </v:shape>
        </w:pict>
      </w: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pStyle w:val="Sangra2detindependiente"/>
      </w:pPr>
      <w:r>
        <w:t>En el Gráfico  3.12  tenemos grupos de variables que se asemejan o con características similares X5, X7 (Tipo de imp</w:t>
      </w:r>
      <w:r>
        <w:t>utado, Género de Imputado), variables X4, X2, (Tipo de denunciante, Género de denunciante),  variables x9, x8, (Delito, Fiscal).  Los grupos mencionados son los que aportan mayor información con  líneas largas, y estos a su vez se encuentran correlacionado</w:t>
      </w:r>
      <w:r>
        <w:t>s con algún otro grupo u otras variables.</w:t>
      </w: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r>
        <w:rPr>
          <w:rFonts w:ascii="Arial" w:hAnsi="Arial"/>
          <w:sz w:val="24"/>
          <w:lang w:val="es-MX"/>
        </w:rPr>
        <w:t>Las variables X5, X7 (Tipo de imputado, Género de imputado),  este grupo esta correlacionado con la variable x11(Tiempo del dictamen),  las variables X4, X2, X8, X9, X6  (Género de denunciante, Tipo de denunciante</w:t>
      </w:r>
      <w:r>
        <w:rPr>
          <w:rFonts w:ascii="Arial" w:hAnsi="Arial"/>
          <w:sz w:val="24"/>
          <w:lang w:val="es-MX"/>
        </w:rPr>
        <w:t>, Delito, Fiscal, Número de imputados) tienen características similares aunque la variable Número de imputados no aporta mucha información como las demás variables.  La variable  x10 (Dictamen) esta correlacionada con la variable x11 (Tiempo del dictamen),</w:t>
      </w:r>
      <w:r>
        <w:rPr>
          <w:rFonts w:ascii="Arial" w:hAnsi="Arial"/>
          <w:sz w:val="24"/>
          <w:lang w:val="es-MX"/>
        </w:rPr>
        <w:t xml:space="preserve">  esta correlación  deja ver que cada juicio de valor que da un fiscal toma un tiempo dar su dictamen.</w:t>
      </w: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pStyle w:val="Ttulo3"/>
      </w:pPr>
      <w:r>
        <w:t>Saturación de las variables conjuntas</w:t>
      </w:r>
    </w:p>
    <w:p w:rsidR="00000000" w:rsidRDefault="00040EEE">
      <w:pPr>
        <w:spacing w:line="480" w:lineRule="auto"/>
        <w:ind w:left="708"/>
        <w:jc w:val="both"/>
        <w:rPr>
          <w:rFonts w:ascii="Arial" w:hAnsi="Arial"/>
          <w:sz w:val="24"/>
          <w:lang w:val="es-MX"/>
        </w:rPr>
      </w:pPr>
      <w:r>
        <w:rPr>
          <w:rFonts w:ascii="Arial" w:hAnsi="Arial"/>
          <w:noProof/>
          <w:sz w:val="24"/>
        </w:rPr>
        <w:pict>
          <v:shape id="_x0000_s1036" type="#_x0000_t202" style="position:absolute;left:0;text-align:left;margin-left:52.2pt;margin-top:10.2pt;width:5in;height:3in;z-index:251660288" o:allowincell="f">
            <v:textbox style="mso-next-textbox:#_x0000_s1036">
              <w:txbxContent>
                <w:p w:rsidR="00000000" w:rsidRDefault="00040EEE">
                  <w:pPr>
                    <w:pStyle w:val="Ttulo2"/>
                    <w:jc w:val="center"/>
                    <w:rPr>
                      <w:sz w:val="20"/>
                    </w:rPr>
                  </w:pPr>
                  <w:r>
                    <w:rPr>
                      <w:sz w:val="20"/>
                    </w:rPr>
                    <w:t>Gráfico 3.13</w:t>
                  </w:r>
                </w:p>
                <w:p w:rsidR="00000000" w:rsidRDefault="00040EEE">
                  <w:pPr>
                    <w:pStyle w:val="Ttulo1"/>
                  </w:pPr>
                  <w:r>
                    <w:t>Gráfico de saturaciones conjuntas de Tipo de denunciante y Dictamen Fiscal</w:t>
                  </w:r>
                </w:p>
                <w:p w:rsidR="00000000" w:rsidRDefault="00040EEE">
                  <w:pPr>
                    <w:jc w:val="center"/>
                  </w:pPr>
                  <w:r>
                    <w:object w:dxaOrig="5791" w:dyaOrig="3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146.25pt" o:ole="" fillcolor="window">
                        <v:imagedata r:id="rId10" o:title="" croptop="6934f" cropbottom="9381f" cropleft="226f" cropright="430f"/>
                        <w10:bordertop type="single" width="4"/>
                        <w10:borderleft type="single" width="4"/>
                        <w10:borderbottom type="single" width="4"/>
                        <w10:borderright type="single" width="4"/>
                      </v:shape>
                      <o:OLEObject Type="Embed" ProgID="Word.Picture.8" ShapeID="_x0000_i1025" DrawAspect="Content" ObjectID="_1309084916" r:id="rId11"/>
                    </w:object>
                  </w:r>
                </w:p>
                <w:p w:rsidR="00000000" w:rsidRDefault="00040EEE">
                  <w:pPr>
                    <w:jc w:val="center"/>
                    <w:rPr>
                      <w:lang w:val="es-MX"/>
                    </w:rPr>
                  </w:pPr>
                </w:p>
                <w:p w:rsidR="00000000" w:rsidRDefault="00040EEE">
                  <w:pPr>
                    <w:jc w:val="center"/>
                    <w:rPr>
                      <w:lang w:val="es-MX"/>
                    </w:rPr>
                  </w:pPr>
                </w:p>
              </w:txbxContent>
            </v:textbox>
          </v:shape>
        </w:pict>
      </w: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r>
        <w:rPr>
          <w:rFonts w:ascii="Arial" w:hAnsi="Arial"/>
          <w:sz w:val="24"/>
          <w:lang w:val="es-MX"/>
        </w:rPr>
        <w:t>La combinación de las dos variables permite explicar en las variables tipo de denunciante  y  dictam</w:t>
      </w:r>
      <w:r>
        <w:rPr>
          <w:rFonts w:ascii="Arial" w:hAnsi="Arial"/>
          <w:sz w:val="24"/>
          <w:lang w:val="es-MX"/>
        </w:rPr>
        <w:t xml:space="preserve">en fiscal,  determinar que estas  se agrupan más  en las categorías dictamen  acusatorio y tipo de persona natural.   La agrupación se da por la cantidad de denuncias de personas naturales y no quiere decir que no exista tipo de  denunciante  jurídica con </w:t>
      </w:r>
      <w:r>
        <w:rPr>
          <w:rFonts w:ascii="Arial" w:hAnsi="Arial"/>
          <w:sz w:val="24"/>
          <w:lang w:val="es-MX"/>
        </w:rPr>
        <w:t>dictamen acusatorio.</w:t>
      </w: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r>
        <w:rPr>
          <w:rFonts w:ascii="Arial" w:hAnsi="Arial"/>
          <w:noProof/>
          <w:sz w:val="24"/>
        </w:rPr>
        <w:pict>
          <v:shape id="_x0000_s1037" type="#_x0000_t202" style="position:absolute;left:0;text-align:left;margin-left:102.6pt;margin-top:-19.8pt;width:273.6pt;height:302.4pt;z-index:251661312" o:allowincell="f">
            <v:textbox>
              <w:txbxContent>
                <w:p w:rsidR="00000000" w:rsidRDefault="00040EEE">
                  <w:pPr>
                    <w:jc w:val="center"/>
                    <w:rPr>
                      <w:b/>
                      <w:lang w:val="es-MX"/>
                    </w:rPr>
                  </w:pPr>
                  <w:r>
                    <w:rPr>
                      <w:b/>
                      <w:lang w:val="es-MX"/>
                    </w:rPr>
                    <w:t>Gráfica 3.14</w:t>
                  </w:r>
                </w:p>
                <w:p w:rsidR="00000000" w:rsidRDefault="00040EEE">
                  <w:pPr>
                    <w:pStyle w:val="Textoindependiente"/>
                    <w:rPr>
                      <w:lang w:val="es-MX"/>
                    </w:rPr>
                  </w:pPr>
                  <w:r>
                    <w:t>Gráfico de saturaciones c</w:t>
                  </w:r>
                  <w:r>
                    <w:t>onjuntas de Tipo de imputado y Dictamen Fiscal</w:t>
                  </w:r>
                </w:p>
                <w:p w:rsidR="00000000" w:rsidRDefault="00040EEE">
                  <w:pPr>
                    <w:jc w:val="center"/>
                    <w:rPr>
                      <w:b/>
                      <w:lang w:val="es-MX"/>
                    </w:rPr>
                  </w:pPr>
                </w:p>
                <w:p w:rsidR="00000000" w:rsidRDefault="00040EEE">
                  <w:pPr>
                    <w:jc w:val="center"/>
                    <w:rPr>
                      <w:b/>
                      <w:lang w:val="es-MX"/>
                    </w:rPr>
                  </w:pPr>
                  <w:r>
                    <w:object w:dxaOrig="7171" w:dyaOrig="4771">
                      <v:shape id="_x0000_i1026" type="#_x0000_t75" style="width:3in;height:237.75pt" o:ole="" fillcolor="window">
                        <v:imagedata r:id="rId12" o:title="" cropbottom="109f" cropleft="18204f" cropright="7813f"/>
                        <w10:bordertop type="single" width="4"/>
                        <w10:borderleft type="single" width="4"/>
                        <w10:borderbottom type="single" width="4"/>
                        <w10:borderright type="single" width="4"/>
                      </v:shape>
                      <o:OLEObject Type="Embed" ProgID="Word.Picture.8" ShapeID="_x0000_i1026" DrawAspect="Content" ObjectID="_1309084917" r:id="rId13"/>
                    </w:object>
                  </w:r>
                </w:p>
              </w:txbxContent>
            </v:textbox>
          </v:shape>
        </w:pict>
      </w: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r>
        <w:rPr>
          <w:rFonts w:ascii="Arial" w:hAnsi="Arial"/>
          <w:sz w:val="24"/>
          <w:lang w:val="es-MX"/>
        </w:rPr>
        <w:t>En el gráfico 3.14 se puede apreciar la relación de las variables tipo de imputado y dictamen fiscal,  podemos determinar la agrupación de las categorías de las variables, en dictamen acusatorio y absolutorio con tipo d</w:t>
      </w:r>
      <w:r>
        <w:rPr>
          <w:rFonts w:ascii="Arial" w:hAnsi="Arial"/>
          <w:sz w:val="24"/>
          <w:lang w:val="es-MX"/>
        </w:rPr>
        <w:t>e imputado natural, y una relación más cercana con las categorías dictamen absolutorio y tipo de imputado jurídico.</w:t>
      </w: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r>
        <w:rPr>
          <w:rFonts w:ascii="Arial" w:hAnsi="Arial"/>
          <w:noProof/>
          <w:sz w:val="24"/>
        </w:rPr>
        <w:pict>
          <v:shape id="_x0000_s1038" type="#_x0000_t202" style="position:absolute;left:0;text-align:left;margin-left:37.8pt;margin-top:10.2pt;width:5in;height:244.8pt;z-index:251662336" o:allowincell="f">
            <v:textbox style="mso-next-textbox:#_x0000_s1038">
              <w:txbxContent>
                <w:p w:rsidR="00000000" w:rsidRDefault="00040EEE">
                  <w:pPr>
                    <w:pStyle w:val="Ttulo2"/>
                    <w:jc w:val="center"/>
                  </w:pPr>
                  <w:r>
                    <w:t>Gráfico 3.15</w:t>
                  </w:r>
                </w:p>
                <w:p w:rsidR="00000000" w:rsidRDefault="00040EEE">
                  <w:pPr>
                    <w:pStyle w:val="Textoindependiente"/>
                    <w:rPr>
                      <w:lang w:val="es-MX"/>
                    </w:rPr>
                  </w:pPr>
                  <w:r>
                    <w:t>Gráfico de saturaciones conjuntas Género de denunciante y Dictamen Fiscal</w:t>
                  </w:r>
                </w:p>
                <w:p w:rsidR="00000000" w:rsidRDefault="00040EEE">
                  <w:pPr>
                    <w:jc w:val="center"/>
                    <w:rPr>
                      <w:lang w:val="es-MX"/>
                    </w:rPr>
                  </w:pPr>
                </w:p>
                <w:p w:rsidR="00000000" w:rsidRDefault="00040EEE">
                  <w:pPr>
                    <w:jc w:val="center"/>
                    <w:rPr>
                      <w:lang w:val="es-MX"/>
                    </w:rPr>
                  </w:pPr>
                  <w:r>
                    <w:object w:dxaOrig="6886" w:dyaOrig="4576">
                      <v:shape id="_x0000_i1027" type="#_x0000_t75" style="width:344.25pt;height:178.5pt" o:ole="" fillcolor="window">
                        <v:imagedata r:id="rId14" o:title="" croptop="7246f" cropbottom="6702f"/>
                        <w10:bordertop type="single" width="4"/>
                        <w10:borderleft type="single" width="4"/>
                        <w10:borderbottom type="single" width="4"/>
                        <w10:borderright type="single" width="4"/>
                      </v:shape>
                      <o:OLEObject Type="Embed" ProgID="Word.Picture.8" ShapeID="_x0000_i1027" DrawAspect="Content" ObjectID="_1309084918" r:id="rId15"/>
                    </w:object>
                  </w:r>
                </w:p>
              </w:txbxContent>
            </v:textbox>
          </v:shape>
        </w:pict>
      </w: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r>
        <w:rPr>
          <w:rFonts w:ascii="Arial" w:hAnsi="Arial"/>
          <w:sz w:val="24"/>
          <w:lang w:val="es-MX"/>
        </w:rPr>
        <w:t>En el gráfico 3.15  se puede observar agrupación de casi todas las categorías de las variables género de denunciante y dicta</w:t>
      </w:r>
      <w:r>
        <w:rPr>
          <w:rFonts w:ascii="Arial" w:hAnsi="Arial"/>
          <w:sz w:val="24"/>
          <w:lang w:val="es-MX"/>
        </w:rPr>
        <w:t>men fiscal.   Estas categorías se agrupan de una mayor proporción tomando en cuenta que las categorías masculino, femenino, y mixta de la variable género de denunciante, con absolutorio y acusatorio del dictamen fiscal tienen respectivamente 44.2 por cient</w:t>
      </w:r>
      <w:r>
        <w:rPr>
          <w:rFonts w:ascii="Arial" w:hAnsi="Arial"/>
          <w:sz w:val="24"/>
          <w:lang w:val="es-MX"/>
        </w:rPr>
        <w:t>o,  55.8 por ciento,  respectivamente ocupando casi todos los géneros de denunciantes.</w:t>
      </w: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r>
        <w:rPr>
          <w:rFonts w:ascii="Arial" w:hAnsi="Arial"/>
          <w:noProof/>
          <w:sz w:val="24"/>
        </w:rPr>
        <w:pict>
          <v:shape id="_x0000_s1044" type="#_x0000_t202" style="position:absolute;left:0;text-align:left;margin-left:37.8pt;margin-top:23.4pt;width:388.8pt;height:266.4pt;z-index:251663360" o:allowincell="f">
            <v:textbox style="mso-next-textbox:#_x0000_s1044">
              <w:txbxContent>
                <w:p w:rsidR="00000000" w:rsidRDefault="00040EEE">
                  <w:pPr>
                    <w:pStyle w:val="Ttulo2"/>
                    <w:jc w:val="center"/>
                  </w:pPr>
                  <w:r>
                    <w:t>Gráfico 3.16</w:t>
                  </w:r>
                </w:p>
                <w:p w:rsidR="00000000" w:rsidRDefault="00040EEE">
                  <w:pPr>
                    <w:pStyle w:val="Ttulo2"/>
                    <w:jc w:val="center"/>
                    <w:rPr>
                      <w:lang w:val="es-ES"/>
                    </w:rPr>
                  </w:pPr>
                  <w:r>
                    <w:rPr>
                      <w:lang w:val="es-ES"/>
                    </w:rPr>
                    <w:t>Gráfico de saturaciones conjuntas Delito y Dict</w:t>
                  </w:r>
                  <w:r>
                    <w:rPr>
                      <w:lang w:val="es-ES"/>
                    </w:rPr>
                    <w:t>amen Fiscal</w:t>
                  </w:r>
                </w:p>
                <w:p w:rsidR="00000000" w:rsidRDefault="00040EEE">
                  <w:pPr>
                    <w:jc w:val="center"/>
                  </w:pPr>
                </w:p>
                <w:p w:rsidR="00000000" w:rsidRDefault="00040EEE">
                  <w:pPr>
                    <w:jc w:val="center"/>
                    <w:rPr>
                      <w:lang w:val="es-MX"/>
                    </w:rPr>
                  </w:pPr>
                  <w:r>
                    <w:rPr>
                      <w:lang w:val="es-MX"/>
                    </w:rPr>
                    <w:object w:dxaOrig="7021" w:dyaOrig="4681">
                      <v:shape id="_x0000_i1028" type="#_x0000_t75" style="width:369.75pt;height:218.25pt" o:ole="" fillcolor="window">
                        <v:imagedata r:id="rId16" o:title="" cropbottom="8232f" cropright="1082f"/>
                        <w10:bordertop type="single" width="4"/>
                        <w10:borderleft type="single" width="4"/>
                        <w10:borderbottom type="single" width="4"/>
                        <w10:borderright type="single" width="4"/>
                      </v:shape>
                      <o:OLEObject Type="Embed" ProgID="Word.Picture.8" ShapeID="_x0000_i1028" DrawAspect="Content" ObjectID="_1309084919" r:id="rId17"/>
                    </w:object>
                  </w:r>
                </w:p>
                <w:p w:rsidR="00000000" w:rsidRDefault="00040EEE">
                  <w:pPr>
                    <w:jc w:val="center"/>
                    <w:rPr>
                      <w:lang w:val="es-MX"/>
                    </w:rPr>
                  </w:pPr>
                </w:p>
              </w:txbxContent>
            </v:textbox>
          </v:shape>
        </w:pict>
      </w: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spacing w:line="480" w:lineRule="auto"/>
        <w:ind w:left="708"/>
        <w:jc w:val="both"/>
        <w:rPr>
          <w:rFonts w:ascii="Arial" w:hAnsi="Arial"/>
          <w:sz w:val="24"/>
          <w:lang w:val="es-MX"/>
        </w:rPr>
      </w:pPr>
    </w:p>
    <w:p w:rsidR="00000000" w:rsidRDefault="00040EEE">
      <w:pPr>
        <w:pStyle w:val="Sangradetextonormal"/>
        <w:ind w:left="0"/>
      </w:pPr>
    </w:p>
    <w:p w:rsidR="00000000" w:rsidRDefault="00040EEE">
      <w:pPr>
        <w:pStyle w:val="Sangradetextonormal"/>
        <w:ind w:left="567"/>
      </w:pPr>
      <w:r>
        <w:t>El gráfico 3.16 se puede observar las saturaciones conjuntas de Delito y Dictamen Fiscal, con sus respectivas categorías, Delito contra la propiedad, Delito</w:t>
      </w:r>
      <w:r>
        <w:t xml:space="preserve"> contra las personas, Delito contra la Administración Pública, Delito contra la Honra, Delito contra la Fe Pública, Delitos contra las Garantías Constitucionales y la Igualdad racial, Delitos sexuales, Delitos contra el Estado civil, Delito contra la Segur</w:t>
      </w:r>
      <w:r>
        <w:t>idad Pública,  se encuentran agrupados  más cercanos con las categorías  acusatorio y un poco más lejano del absolutorio,  al igual que delito contra la Seguridad del Estados y delito aduanero.  Esto puede indicar que se le da un tratamiento especial o dis</w:t>
      </w:r>
      <w:r>
        <w:t>tinto  a los delitos aduaneros y los delitos contra la Seguridad del Estado.</w:t>
      </w:r>
    </w:p>
    <w:p w:rsidR="00000000" w:rsidRDefault="00040EEE">
      <w:pPr>
        <w:pStyle w:val="Sangradetextonormal"/>
        <w:ind w:left="567"/>
      </w:pPr>
    </w:p>
    <w:p w:rsidR="00000000" w:rsidRDefault="00040EEE">
      <w:pPr>
        <w:pStyle w:val="Ttulo3"/>
      </w:pPr>
      <w:r>
        <w:t>Cuantificación de las variables.-</w:t>
      </w:r>
    </w:p>
    <w:p w:rsidR="00000000" w:rsidRDefault="00040EEE"/>
    <w:p w:rsidR="00000000" w:rsidRDefault="00040EEE">
      <w:pPr>
        <w:spacing w:line="480" w:lineRule="auto"/>
        <w:ind w:left="709"/>
        <w:jc w:val="both"/>
        <w:rPr>
          <w:rFonts w:ascii="Arial" w:hAnsi="Arial"/>
          <w:sz w:val="24"/>
        </w:rPr>
      </w:pPr>
      <w:r>
        <w:rPr>
          <w:rFonts w:ascii="Arial" w:hAnsi="Arial"/>
          <w:sz w:val="24"/>
        </w:rPr>
        <w:t>Cada variable es ponderada o se le asigna un valor, y este valor  es manejado  a partir del concepto  de homogeneidad para poder trabajar con v</w:t>
      </w:r>
      <w:r>
        <w:rPr>
          <w:rFonts w:ascii="Arial" w:hAnsi="Arial"/>
          <w:sz w:val="24"/>
        </w:rPr>
        <w:t>ariables a una misma escala que es manejada por el algoritmo que permite maximizar la homogeneidad de un grupo de variables.</w:t>
      </w:r>
    </w:p>
    <w:p w:rsidR="00000000" w:rsidRDefault="00040EEE">
      <w:pPr>
        <w:spacing w:line="480" w:lineRule="auto"/>
        <w:ind w:left="709"/>
        <w:jc w:val="both"/>
        <w:rPr>
          <w:rFonts w:ascii="Arial" w:hAnsi="Arial"/>
          <w:sz w:val="24"/>
        </w:rPr>
      </w:pPr>
    </w:p>
    <w:p w:rsidR="00000000" w:rsidRDefault="00040EEE">
      <w:pPr>
        <w:spacing w:line="480" w:lineRule="auto"/>
        <w:ind w:left="709"/>
        <w:jc w:val="both"/>
        <w:rPr>
          <w:rFonts w:ascii="Arial" w:hAnsi="Arial"/>
          <w:sz w:val="24"/>
        </w:rPr>
      </w:pPr>
    </w:p>
    <w:p w:rsidR="00000000" w:rsidRDefault="00040EEE">
      <w:pPr>
        <w:spacing w:line="480" w:lineRule="auto"/>
        <w:ind w:left="709"/>
        <w:jc w:val="both"/>
        <w:rPr>
          <w:rFonts w:ascii="Arial" w:hAnsi="Arial"/>
          <w:sz w:val="24"/>
        </w:rPr>
      </w:pPr>
      <w:r>
        <w:rPr>
          <w:rFonts w:ascii="Arial" w:hAnsi="Arial"/>
          <w:noProof/>
          <w:sz w:val="24"/>
        </w:rPr>
        <w:pict>
          <v:shape id="_x0000_s1030" type="#_x0000_t202" style="position:absolute;left:0;text-align:left;margin-left:37.8pt;margin-top:13.1pt;width:381.6pt;height:189.6pt;z-index:251655168" o:allowincell="f">
            <v:textbox>
              <w:txbxContent>
                <w:p w:rsidR="00000000" w:rsidRDefault="00040EEE">
                  <w:pPr>
                    <w:jc w:val="center"/>
                    <w:rPr>
                      <w:b/>
                      <w:lang w:val="es-MX"/>
                    </w:rPr>
                  </w:pPr>
                  <w:r>
                    <w:rPr>
                      <w:b/>
                      <w:lang w:val="es-MX"/>
                    </w:rPr>
                    <w:t>Tabla XXXVI</w:t>
                  </w:r>
                </w:p>
                <w:p w:rsidR="00000000" w:rsidRDefault="00040EEE">
                  <w:pPr>
                    <w:pStyle w:val="Ttulo4"/>
                    <w:jc w:val="center"/>
                  </w:pPr>
                  <w:r>
                    <w:rPr>
                      <w:b/>
                    </w:rPr>
                    <w:t>Cuantificación de las variables</w:t>
                  </w:r>
                </w:p>
                <w:p w:rsidR="00000000" w:rsidRDefault="00040EEE">
                  <w:pPr>
                    <w:rPr>
                      <w:lang w:val="es-MX"/>
                    </w:rPr>
                  </w:pPr>
                </w:p>
                <w:p w:rsidR="00000000" w:rsidRDefault="000844AF">
                  <w:pPr>
                    <w:jc w:val="center"/>
                    <w:rPr>
                      <w:lang w:val="es-MX"/>
                    </w:rPr>
                  </w:pPr>
                  <w:r>
                    <w:rPr>
                      <w:noProof/>
                    </w:rPr>
                    <w:drawing>
                      <wp:inline distT="0" distB="0" distL="0" distR="0">
                        <wp:extent cx="4165600" cy="1625600"/>
                        <wp:effectExtent l="1905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4165600" cy="1625600"/>
                                </a:xfrm>
                                <a:prstGeom prst="rect">
                                  <a:avLst/>
                                </a:prstGeom>
                                <a:noFill/>
                                <a:ln w="9525">
                                  <a:noFill/>
                                  <a:miter lim="800000"/>
                                  <a:headEnd/>
                                  <a:tailEnd/>
                                </a:ln>
                              </pic:spPr>
                            </pic:pic>
                          </a:graphicData>
                        </a:graphic>
                      </wp:inline>
                    </w:drawing>
                  </w:r>
                </w:p>
              </w:txbxContent>
            </v:textbox>
          </v:shape>
        </w:pict>
      </w:r>
    </w:p>
    <w:p w:rsidR="00000000" w:rsidRDefault="00040EEE">
      <w:pPr>
        <w:spacing w:line="480" w:lineRule="auto"/>
        <w:ind w:left="709"/>
        <w:jc w:val="both"/>
        <w:rPr>
          <w:rFonts w:ascii="Arial" w:hAnsi="Arial"/>
          <w:sz w:val="24"/>
        </w:rPr>
      </w:pPr>
    </w:p>
    <w:p w:rsidR="00000000" w:rsidRDefault="00040EEE">
      <w:pPr>
        <w:spacing w:line="480" w:lineRule="auto"/>
        <w:ind w:left="709"/>
        <w:jc w:val="both"/>
        <w:rPr>
          <w:rFonts w:ascii="Arial" w:hAnsi="Arial"/>
          <w:sz w:val="24"/>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r>
        <w:rPr>
          <w:rFonts w:ascii="Arial" w:hAnsi="Arial"/>
          <w:noProof/>
          <w:sz w:val="24"/>
        </w:rPr>
        <w:pict>
          <v:shape id="_x0000_s1031" type="#_x0000_t202" style="position:absolute;left:0;text-align:left;margin-left:16.2pt;margin-top:9pt;width:388.8pt;height:520.8pt;z-index:251656192" o:allowincell="f">
            <v:textbox>
              <w:txbxContent>
                <w:p w:rsidR="00000000" w:rsidRDefault="00040EEE">
                  <w:pPr>
                    <w:jc w:val="center"/>
                    <w:rPr>
                      <w:b/>
                      <w:sz w:val="24"/>
                      <w:lang w:val="es-MX"/>
                    </w:rPr>
                  </w:pPr>
                  <w:r>
                    <w:rPr>
                      <w:b/>
                      <w:sz w:val="24"/>
                      <w:lang w:val="es-MX"/>
                    </w:rPr>
                    <w:t>Cuantif</w:t>
                  </w:r>
                  <w:r>
                    <w:rPr>
                      <w:b/>
                      <w:sz w:val="24"/>
                      <w:lang w:val="es-MX"/>
                    </w:rPr>
                    <w:t>icación de las Variables</w:t>
                  </w:r>
                </w:p>
                <w:p w:rsidR="00000000" w:rsidRDefault="00040EEE">
                  <w:pPr>
                    <w:jc w:val="center"/>
                    <w:rPr>
                      <w:b/>
                      <w:lang w:val="es-MX"/>
                    </w:rPr>
                  </w:pPr>
                  <w:r>
                    <w:rPr>
                      <w:b/>
                      <w:sz w:val="24"/>
                      <w:lang w:val="es-MX"/>
                    </w:rPr>
                    <w:t>(Continuación)</w:t>
                  </w:r>
                </w:p>
                <w:p w:rsidR="00000000" w:rsidRDefault="00040EEE">
                  <w:pPr>
                    <w:jc w:val="center"/>
                    <w:rPr>
                      <w:b/>
                      <w:lang w:val="es-MX"/>
                    </w:rPr>
                  </w:pPr>
                </w:p>
                <w:p w:rsidR="00000000" w:rsidRDefault="000844AF">
                  <w:pPr>
                    <w:jc w:val="center"/>
                    <w:rPr>
                      <w:b/>
                      <w:lang w:val="es-MX"/>
                    </w:rPr>
                  </w:pPr>
                  <w:r>
                    <w:rPr>
                      <w:b/>
                      <w:noProof/>
                    </w:rPr>
                    <w:drawing>
                      <wp:inline distT="0" distB="0" distL="0" distR="0">
                        <wp:extent cx="4699000" cy="1168400"/>
                        <wp:effectExtent l="1905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4699000" cy="1168400"/>
                                </a:xfrm>
                                <a:prstGeom prst="rect">
                                  <a:avLst/>
                                </a:prstGeom>
                                <a:noFill/>
                                <a:ln w="9525">
                                  <a:noFill/>
                                  <a:miter lim="800000"/>
                                  <a:headEnd/>
                                  <a:tailEnd/>
                                </a:ln>
                              </pic:spPr>
                            </pic:pic>
                          </a:graphicData>
                        </a:graphic>
                      </wp:inline>
                    </w:drawing>
                  </w: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844AF">
                  <w:pPr>
                    <w:jc w:val="center"/>
                    <w:rPr>
                      <w:b/>
                      <w:lang w:val="es-MX"/>
                    </w:rPr>
                  </w:pPr>
                  <w:r>
                    <w:rPr>
                      <w:b/>
                      <w:noProof/>
                    </w:rPr>
                    <w:drawing>
                      <wp:inline distT="0" distB="0" distL="0" distR="0">
                        <wp:extent cx="4699000" cy="1308100"/>
                        <wp:effectExtent l="1905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4699000" cy="1308100"/>
                                </a:xfrm>
                                <a:prstGeom prst="rect">
                                  <a:avLst/>
                                </a:prstGeom>
                                <a:noFill/>
                                <a:ln w="9525">
                                  <a:noFill/>
                                  <a:miter lim="800000"/>
                                  <a:headEnd/>
                                  <a:tailEnd/>
                                </a:ln>
                              </pic:spPr>
                            </pic:pic>
                          </a:graphicData>
                        </a:graphic>
                      </wp:inline>
                    </w:drawing>
                  </w: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844AF">
                  <w:pPr>
                    <w:jc w:val="center"/>
                    <w:rPr>
                      <w:b/>
                      <w:lang w:val="es-MX"/>
                    </w:rPr>
                  </w:pPr>
                  <w:r>
                    <w:rPr>
                      <w:b/>
                      <w:noProof/>
                    </w:rPr>
                    <w:drawing>
                      <wp:inline distT="0" distB="0" distL="0" distR="0">
                        <wp:extent cx="4699000" cy="1333500"/>
                        <wp:effectExtent l="1905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4699000" cy="1333500"/>
                                </a:xfrm>
                                <a:prstGeom prst="rect">
                                  <a:avLst/>
                                </a:prstGeom>
                                <a:noFill/>
                                <a:ln w="9525">
                                  <a:noFill/>
                                  <a:miter lim="800000"/>
                                  <a:headEnd/>
                                  <a:tailEnd/>
                                </a:ln>
                              </pic:spPr>
                            </pic:pic>
                          </a:graphicData>
                        </a:graphic>
                      </wp:inline>
                    </w:drawing>
                  </w:r>
                </w:p>
                <w:p w:rsidR="00000000" w:rsidRDefault="00040EEE">
                  <w:pPr>
                    <w:jc w:val="center"/>
                    <w:rPr>
                      <w:b/>
                      <w:lang w:val="es-MX"/>
                    </w:rPr>
                  </w:pPr>
                </w:p>
                <w:p w:rsidR="00000000" w:rsidRDefault="00040EEE">
                  <w:pPr>
                    <w:jc w:val="center"/>
                    <w:rPr>
                      <w:b/>
                      <w:lang w:val="es-MX"/>
                    </w:rPr>
                  </w:pPr>
                </w:p>
                <w:p w:rsidR="00000000" w:rsidRDefault="000844AF">
                  <w:pPr>
                    <w:jc w:val="center"/>
                    <w:rPr>
                      <w:b/>
                      <w:lang w:val="es-MX"/>
                    </w:rPr>
                  </w:pPr>
                  <w:r>
                    <w:rPr>
                      <w:b/>
                      <w:noProof/>
                    </w:rPr>
                    <w:drawing>
                      <wp:inline distT="0" distB="0" distL="0" distR="0">
                        <wp:extent cx="4699000" cy="977900"/>
                        <wp:effectExtent l="1905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4699000" cy="977900"/>
                                </a:xfrm>
                                <a:prstGeom prst="rect">
                                  <a:avLst/>
                                </a:prstGeom>
                                <a:noFill/>
                                <a:ln w="9525">
                                  <a:noFill/>
                                  <a:miter lim="800000"/>
                                  <a:headEnd/>
                                  <a:tailEnd/>
                                </a:ln>
                              </pic:spPr>
                            </pic:pic>
                          </a:graphicData>
                        </a:graphic>
                      </wp:inline>
                    </w:drawing>
                  </w: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p w:rsidR="00000000" w:rsidRDefault="00040EEE">
                  <w:pPr>
                    <w:jc w:val="center"/>
                    <w:rPr>
                      <w:b/>
                      <w:lang w:val="es-MX"/>
                    </w:rPr>
                  </w:pPr>
                </w:p>
              </w:txbxContent>
            </v:textbox>
          </v:shape>
        </w:pict>
      </w: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r>
        <w:rPr>
          <w:rFonts w:ascii="Arial" w:hAnsi="Arial"/>
          <w:noProof/>
          <w:sz w:val="24"/>
        </w:rPr>
        <w:pict>
          <v:shape id="_x0000_s1032" type="#_x0000_t202" style="position:absolute;left:0;text-align:left;margin-left:30.6pt;margin-top:9pt;width:388.8pt;height:405.6pt;z-index:251657216" o:allowincell="f">
            <v:textbox>
              <w:txbxContent>
                <w:p w:rsidR="00000000" w:rsidRDefault="00040EEE">
                  <w:pPr>
                    <w:jc w:val="center"/>
                    <w:rPr>
                      <w:sz w:val="24"/>
                      <w:lang w:val="es-MX"/>
                    </w:rPr>
                  </w:pPr>
                  <w:r>
                    <w:rPr>
                      <w:sz w:val="24"/>
                      <w:lang w:val="es-MX"/>
                    </w:rPr>
                    <w:t>Cuantificación de las variables</w:t>
                  </w:r>
                </w:p>
                <w:p w:rsidR="00000000" w:rsidRDefault="00040EEE">
                  <w:pPr>
                    <w:jc w:val="center"/>
                    <w:rPr>
                      <w:lang w:val="es-MX"/>
                    </w:rPr>
                  </w:pPr>
                  <w:r>
                    <w:rPr>
                      <w:sz w:val="24"/>
                      <w:lang w:val="es-MX"/>
                    </w:rPr>
                    <w:t>(Continuación)</w:t>
                  </w:r>
                </w:p>
                <w:p w:rsidR="00000000" w:rsidRDefault="00040EEE">
                  <w:pPr>
                    <w:jc w:val="center"/>
                    <w:rPr>
                      <w:lang w:val="es-MX"/>
                    </w:rPr>
                  </w:pPr>
                </w:p>
                <w:p w:rsidR="00000000" w:rsidRDefault="000844AF">
                  <w:pPr>
                    <w:jc w:val="center"/>
                    <w:rPr>
                      <w:lang w:val="es-MX"/>
                    </w:rPr>
                  </w:pPr>
                  <w:r>
                    <w:rPr>
                      <w:noProof/>
                    </w:rPr>
                    <w:drawing>
                      <wp:inline distT="0" distB="0" distL="0" distR="0">
                        <wp:extent cx="4699000" cy="1803400"/>
                        <wp:effectExtent l="1905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4699000" cy="1803400"/>
                                </a:xfrm>
                                <a:prstGeom prst="rect">
                                  <a:avLst/>
                                </a:prstGeom>
                                <a:noFill/>
                                <a:ln w="9525">
                                  <a:noFill/>
                                  <a:miter lim="800000"/>
                                  <a:headEnd/>
                                  <a:tailEnd/>
                                </a:ln>
                              </pic:spPr>
                            </pic:pic>
                          </a:graphicData>
                        </a:graphic>
                      </wp:inline>
                    </w:drawing>
                  </w:r>
                </w:p>
                <w:p w:rsidR="00000000" w:rsidRDefault="00040EEE">
                  <w:pPr>
                    <w:rPr>
                      <w:lang w:val="es-MX"/>
                    </w:rPr>
                  </w:pPr>
                </w:p>
                <w:p w:rsidR="00000000" w:rsidRDefault="000844AF">
                  <w:pPr>
                    <w:jc w:val="center"/>
                    <w:rPr>
                      <w:lang w:val="es-MX"/>
                    </w:rPr>
                  </w:pPr>
                  <w:r>
                    <w:rPr>
                      <w:noProof/>
                    </w:rPr>
                    <w:drawing>
                      <wp:inline distT="0" distB="0" distL="0" distR="0">
                        <wp:extent cx="4699000" cy="1295400"/>
                        <wp:effectExtent l="1905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4699000" cy="1295400"/>
                                </a:xfrm>
                                <a:prstGeom prst="rect">
                                  <a:avLst/>
                                </a:prstGeom>
                                <a:noFill/>
                                <a:ln w="9525">
                                  <a:noFill/>
                                  <a:miter lim="800000"/>
                                  <a:headEnd/>
                                  <a:tailEnd/>
                                </a:ln>
                              </pic:spPr>
                            </pic:pic>
                          </a:graphicData>
                        </a:graphic>
                      </wp:inline>
                    </w:drawing>
                  </w:r>
                </w:p>
                <w:p w:rsidR="00000000" w:rsidRDefault="00040EEE">
                  <w:pPr>
                    <w:rPr>
                      <w:lang w:val="es-MX"/>
                    </w:rPr>
                  </w:pPr>
                </w:p>
                <w:p w:rsidR="00000000" w:rsidRDefault="000844AF">
                  <w:pPr>
                    <w:jc w:val="center"/>
                    <w:rPr>
                      <w:lang w:val="es-MX"/>
                    </w:rPr>
                  </w:pPr>
                  <w:r>
                    <w:rPr>
                      <w:noProof/>
                    </w:rPr>
                    <w:drawing>
                      <wp:inline distT="0" distB="0" distL="0" distR="0">
                        <wp:extent cx="4699000" cy="977900"/>
                        <wp:effectExtent l="1905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4699000" cy="977900"/>
                                </a:xfrm>
                                <a:prstGeom prst="rect">
                                  <a:avLst/>
                                </a:prstGeom>
                                <a:noFill/>
                                <a:ln w="9525">
                                  <a:noFill/>
                                  <a:miter lim="800000"/>
                                  <a:headEnd/>
                                  <a:tailEnd/>
                                </a:ln>
                              </pic:spPr>
                            </pic:pic>
                          </a:graphicData>
                        </a:graphic>
                      </wp:inline>
                    </w:drawing>
                  </w:r>
                </w:p>
                <w:p w:rsidR="00000000" w:rsidRDefault="00040EEE">
                  <w:pPr>
                    <w:jc w:val="center"/>
                    <w:rPr>
                      <w:lang w:val="es-MX"/>
                    </w:rPr>
                  </w:pPr>
                </w:p>
                <w:p w:rsidR="00000000" w:rsidRDefault="00040EEE">
                  <w:pPr>
                    <w:jc w:val="cente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p w:rsidR="00000000" w:rsidRDefault="00040EEE">
                  <w:pPr>
                    <w:rPr>
                      <w:lang w:val="es-MX"/>
                    </w:rPr>
                  </w:pPr>
                </w:p>
              </w:txbxContent>
            </v:textbox>
          </v:shape>
        </w:pict>
      </w: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r>
        <w:rPr>
          <w:rFonts w:ascii="Arial" w:hAnsi="Arial"/>
          <w:noProof/>
          <w:sz w:val="24"/>
        </w:rPr>
        <w:pict>
          <v:shape id="_x0000_s1034" type="#_x0000_t202" style="position:absolute;left:0;text-align:left;margin-left:52.2pt;margin-top:18.6pt;width:388.8pt;height:338.4pt;z-index:251658240" o:allowincell="f">
            <v:textbox style="mso-next-textbox:#_x0000_s1034">
              <w:txbxContent>
                <w:p w:rsidR="00000000" w:rsidRDefault="00040EEE">
                  <w:pPr>
                    <w:jc w:val="center"/>
                    <w:rPr>
                      <w:b/>
                      <w:sz w:val="24"/>
                      <w:lang w:val="es-MX"/>
                    </w:rPr>
                  </w:pPr>
                  <w:r>
                    <w:rPr>
                      <w:b/>
                      <w:sz w:val="24"/>
                      <w:lang w:val="es-MX"/>
                    </w:rPr>
                    <w:t>Cuan</w:t>
                  </w:r>
                  <w:r>
                    <w:rPr>
                      <w:b/>
                      <w:sz w:val="24"/>
                      <w:lang w:val="es-MX"/>
                    </w:rPr>
                    <w:t>tificación de las variables</w:t>
                  </w:r>
                </w:p>
                <w:p w:rsidR="00000000" w:rsidRDefault="00040EEE">
                  <w:pPr>
                    <w:jc w:val="center"/>
                    <w:rPr>
                      <w:b/>
                      <w:sz w:val="24"/>
                      <w:lang w:val="es-MX"/>
                    </w:rPr>
                  </w:pPr>
                  <w:r>
                    <w:rPr>
                      <w:b/>
                      <w:sz w:val="24"/>
                      <w:lang w:val="es-MX"/>
                    </w:rPr>
                    <w:t>(Continuación)</w:t>
                  </w:r>
                </w:p>
                <w:p w:rsidR="00000000" w:rsidRDefault="00040EEE"/>
                <w:p w:rsidR="00000000" w:rsidRDefault="000844AF">
                  <w:pPr>
                    <w:jc w:val="center"/>
                  </w:pPr>
                  <w:r>
                    <w:rPr>
                      <w:noProof/>
                    </w:rPr>
                    <w:drawing>
                      <wp:inline distT="0" distB="0" distL="0" distR="0">
                        <wp:extent cx="4699000" cy="3429000"/>
                        <wp:effectExtent l="19050" t="0" r="635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4699000" cy="3429000"/>
                                </a:xfrm>
                                <a:prstGeom prst="rect">
                                  <a:avLst/>
                                </a:prstGeom>
                                <a:noFill/>
                                <a:ln w="9525">
                                  <a:noFill/>
                                  <a:miter lim="800000"/>
                                  <a:headEnd/>
                                  <a:tailEnd/>
                                </a:ln>
                              </pic:spPr>
                            </pic:pic>
                          </a:graphicData>
                        </a:graphic>
                      </wp:inline>
                    </w:drawing>
                  </w: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p w:rsidR="00000000" w:rsidRDefault="00040EEE">
                  <w:pPr>
                    <w:jc w:val="center"/>
                  </w:pPr>
                </w:p>
              </w:txbxContent>
            </v:textbox>
          </v:shape>
        </w:pict>
      </w: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r>
        <w:rPr>
          <w:rFonts w:ascii="Arial" w:hAnsi="Arial"/>
          <w:noProof/>
          <w:sz w:val="24"/>
        </w:rPr>
        <w:pict>
          <v:shape id="_x0000_s1035" type="#_x0000_t202" style="position:absolute;left:0;text-align:left;margin-left:30.6pt;margin-top:11.4pt;width:388.8pt;height:316.8pt;z-index:251659264" o:allowincell="f">
            <v:textbox>
              <w:txbxContent>
                <w:p w:rsidR="00000000" w:rsidRDefault="00040EEE">
                  <w:pPr>
                    <w:jc w:val="center"/>
                    <w:rPr>
                      <w:b/>
                      <w:sz w:val="24"/>
                      <w:lang w:val="es-MX"/>
                    </w:rPr>
                  </w:pPr>
                  <w:r>
                    <w:rPr>
                      <w:b/>
                      <w:sz w:val="24"/>
                      <w:lang w:val="es-MX"/>
                    </w:rPr>
                    <w:t>Cuantificación de las variables</w:t>
                  </w:r>
                </w:p>
                <w:p w:rsidR="00000000" w:rsidRDefault="00040EEE">
                  <w:pPr>
                    <w:jc w:val="center"/>
                    <w:rPr>
                      <w:b/>
                      <w:sz w:val="24"/>
                      <w:lang w:val="es-MX"/>
                    </w:rPr>
                  </w:pPr>
                  <w:r>
                    <w:rPr>
                      <w:b/>
                      <w:sz w:val="24"/>
                      <w:lang w:val="es-MX"/>
                    </w:rPr>
                    <w:t>(Continuación)</w:t>
                  </w:r>
                </w:p>
                <w:p w:rsidR="00000000" w:rsidRDefault="00040EEE">
                  <w:pPr>
                    <w:rPr>
                      <w:lang w:val="es-MX"/>
                    </w:rPr>
                  </w:pPr>
                </w:p>
                <w:p w:rsidR="00000000" w:rsidRDefault="00040EEE">
                  <w:pPr>
                    <w:rPr>
                      <w:lang w:val="es-MX"/>
                    </w:rPr>
                  </w:pPr>
                </w:p>
                <w:p w:rsidR="00000000" w:rsidRDefault="000844AF">
                  <w:pPr>
                    <w:rPr>
                      <w:lang w:val="es-MX"/>
                    </w:rPr>
                  </w:pPr>
                  <w:r>
                    <w:rPr>
                      <w:noProof/>
                    </w:rPr>
                    <w:drawing>
                      <wp:inline distT="0" distB="0" distL="0" distR="0">
                        <wp:extent cx="4699000" cy="3111500"/>
                        <wp:effectExtent l="1905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srcRect/>
                                <a:stretch>
                                  <a:fillRect/>
                                </a:stretch>
                              </pic:blipFill>
                              <pic:spPr bwMode="auto">
                                <a:xfrm>
                                  <a:off x="0" y="0"/>
                                  <a:ext cx="4699000" cy="3111500"/>
                                </a:xfrm>
                                <a:prstGeom prst="rect">
                                  <a:avLst/>
                                </a:prstGeom>
                                <a:noFill/>
                                <a:ln w="9525">
                                  <a:noFill/>
                                  <a:miter lim="800000"/>
                                  <a:headEnd/>
                                  <a:tailEnd/>
                                </a:ln>
                              </pic:spPr>
                            </pic:pic>
                          </a:graphicData>
                        </a:graphic>
                      </wp:inline>
                    </w:drawing>
                  </w:r>
                </w:p>
              </w:txbxContent>
            </v:textbox>
          </v:shape>
        </w:pict>
      </w: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00000" w:rsidRDefault="00040EEE">
      <w:pPr>
        <w:spacing w:line="480" w:lineRule="auto"/>
        <w:ind w:left="708"/>
        <w:rPr>
          <w:rFonts w:ascii="Arial" w:hAnsi="Arial"/>
          <w:sz w:val="24"/>
          <w:lang w:val="es-MX"/>
        </w:rPr>
      </w:pPr>
    </w:p>
    <w:p w:rsidR="00040EEE" w:rsidRDefault="00040EEE">
      <w:pPr>
        <w:spacing w:line="480" w:lineRule="auto"/>
        <w:ind w:left="708"/>
        <w:rPr>
          <w:rFonts w:ascii="Arial" w:hAnsi="Arial"/>
          <w:sz w:val="24"/>
          <w:lang w:val="es-MX"/>
        </w:rPr>
      </w:pPr>
    </w:p>
    <w:sectPr w:rsidR="00040EEE">
      <w:headerReference w:type="even" r:id="rId28"/>
      <w:headerReference w:type="default" r:id="rId29"/>
      <w:footerReference w:type="even" r:id="rId30"/>
      <w:footerReference w:type="default" r:id="rId31"/>
      <w:pgSz w:w="12240" w:h="15840"/>
      <w:pgMar w:top="2268" w:right="1361" w:bottom="2268" w:left="2268" w:header="720" w:footer="720" w:gutter="0"/>
      <w:pgNumType w:start="11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EEE" w:rsidRDefault="00040EEE">
      <w:r>
        <w:separator/>
      </w:r>
    </w:p>
  </w:endnote>
  <w:endnote w:type="continuationSeparator" w:id="1">
    <w:p w:rsidR="00040EEE" w:rsidRDefault="00040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0EEE">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noProof/>
      </w:rPr>
      <w:t>27</w:t>
    </w:r>
    <w:r>
      <w:rPr>
        <w:rStyle w:val="Nmerodepgina"/>
      </w:rPr>
      <w:fldChar w:fldCharType="end"/>
    </w:r>
  </w:p>
  <w:p w:rsidR="00000000" w:rsidRDefault="00040EE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0EEE">
    <w:pPr>
      <w:pStyle w:val="Piedepgina"/>
      <w:framePr w:wrap="around" w:vAnchor="text" w:hAnchor="margin" w:xAlign="right" w:y="1"/>
      <w:rPr>
        <w:rStyle w:val="Nmerodepgina"/>
      </w:rPr>
    </w:pPr>
  </w:p>
  <w:p w:rsidR="00000000" w:rsidRDefault="00040EE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EEE" w:rsidRDefault="00040EEE">
      <w:r>
        <w:separator/>
      </w:r>
    </w:p>
  </w:footnote>
  <w:footnote w:type="continuationSeparator" w:id="1">
    <w:p w:rsidR="00040EEE" w:rsidRDefault="00040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0EEE">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040EE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0EEE">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0844AF">
      <w:rPr>
        <w:rStyle w:val="Nmerodepgina"/>
        <w:noProof/>
      </w:rPr>
      <w:t>119</w:t>
    </w:r>
    <w:r>
      <w:rPr>
        <w:rStyle w:val="Nmerodepgina"/>
      </w:rPr>
      <w:fldChar w:fldCharType="end"/>
    </w:r>
  </w:p>
  <w:p w:rsidR="00000000" w:rsidRDefault="00040EE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C7875"/>
    <w:multiLevelType w:val="multilevel"/>
    <w:tmpl w:val="E05CC05E"/>
    <w:lvl w:ilvl="0">
      <w:start w:val="3"/>
      <w:numFmt w:val="decimal"/>
      <w:lvlText w:val="%1"/>
      <w:lvlJc w:val="left"/>
      <w:pPr>
        <w:tabs>
          <w:tab w:val="num" w:pos="1230"/>
        </w:tabs>
        <w:ind w:left="1230" w:hanging="1230"/>
      </w:pPr>
      <w:rPr>
        <w:rFonts w:hint="default"/>
      </w:rPr>
    </w:lvl>
    <w:lvl w:ilvl="1">
      <w:start w:val="2"/>
      <w:numFmt w:val="decimal"/>
      <w:lvlText w:val="%1.%2"/>
      <w:lvlJc w:val="left"/>
      <w:pPr>
        <w:tabs>
          <w:tab w:val="num" w:pos="1797"/>
        </w:tabs>
        <w:ind w:left="1797" w:hanging="1230"/>
      </w:pPr>
      <w:rPr>
        <w:rFonts w:hint="default"/>
      </w:rPr>
    </w:lvl>
    <w:lvl w:ilvl="2">
      <w:start w:val="4"/>
      <w:numFmt w:val="decimal"/>
      <w:lvlText w:val="%1.%2.%3"/>
      <w:lvlJc w:val="left"/>
      <w:pPr>
        <w:tabs>
          <w:tab w:val="num" w:pos="2364"/>
        </w:tabs>
        <w:ind w:left="2364" w:hanging="1230"/>
      </w:pPr>
      <w:rPr>
        <w:rFonts w:hint="default"/>
      </w:rPr>
    </w:lvl>
    <w:lvl w:ilvl="3">
      <w:start w:val="1"/>
      <w:numFmt w:val="decimal"/>
      <w:lvlText w:val="%1.%2.%3.%4"/>
      <w:lvlJc w:val="left"/>
      <w:pPr>
        <w:tabs>
          <w:tab w:val="num" w:pos="2931"/>
        </w:tabs>
        <w:ind w:left="2931" w:hanging="1230"/>
      </w:pPr>
      <w:rPr>
        <w:rFonts w:hint="default"/>
      </w:rPr>
    </w:lvl>
    <w:lvl w:ilvl="4">
      <w:start w:val="1"/>
      <w:numFmt w:val="decimal"/>
      <w:lvlText w:val="%1.%2.%3.%4.%5"/>
      <w:lvlJc w:val="left"/>
      <w:pPr>
        <w:tabs>
          <w:tab w:val="num" w:pos="3498"/>
        </w:tabs>
        <w:ind w:left="3498" w:hanging="123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844AF"/>
    <w:rsid w:val="00040EEE"/>
    <w:rsid w:val="000844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b/>
      <w:sz w:val="24"/>
      <w:lang w:val="es-MX"/>
    </w:rPr>
  </w:style>
  <w:style w:type="paragraph" w:styleId="Ttulo2">
    <w:name w:val="heading 2"/>
    <w:basedOn w:val="Normal"/>
    <w:next w:val="Normal"/>
    <w:qFormat/>
    <w:pPr>
      <w:keepNext/>
      <w:outlineLvl w:val="1"/>
    </w:pPr>
    <w:rPr>
      <w:b/>
      <w:sz w:val="24"/>
      <w:lang w:val="es-MX"/>
    </w:rPr>
  </w:style>
  <w:style w:type="paragraph" w:styleId="Ttulo3">
    <w:name w:val="heading 3"/>
    <w:basedOn w:val="Normal"/>
    <w:next w:val="Normal"/>
    <w:qFormat/>
    <w:pPr>
      <w:keepNext/>
      <w:spacing w:line="480" w:lineRule="auto"/>
      <w:ind w:left="708"/>
      <w:jc w:val="both"/>
      <w:outlineLvl w:val="2"/>
    </w:pPr>
    <w:rPr>
      <w:rFonts w:ascii="Arial" w:hAnsi="Arial"/>
      <w:b/>
      <w:sz w:val="24"/>
      <w:lang w:val="es-MX"/>
    </w:rPr>
  </w:style>
  <w:style w:type="paragraph" w:styleId="Ttulo4">
    <w:name w:val="heading 4"/>
    <w:basedOn w:val="Normal"/>
    <w:next w:val="Normal"/>
    <w:qFormat/>
    <w:pPr>
      <w:keepNext/>
      <w:outlineLvl w:val="3"/>
    </w:pPr>
    <w:rPr>
      <w:sz w:val="24"/>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spacing w:line="480" w:lineRule="auto"/>
      <w:ind w:left="1418"/>
      <w:jc w:val="both"/>
    </w:pPr>
    <w:rPr>
      <w:rFonts w:ascii="Arial" w:hAnsi="Arial"/>
      <w:sz w:val="24"/>
      <w:lang w:val="es-MX"/>
    </w:rPr>
  </w:style>
  <w:style w:type="paragraph" w:styleId="Sangra2detindependiente">
    <w:name w:val="Body Text Indent 2"/>
    <w:basedOn w:val="Normal"/>
    <w:semiHidden/>
    <w:pPr>
      <w:spacing w:line="480" w:lineRule="auto"/>
      <w:ind w:left="708"/>
      <w:jc w:val="both"/>
    </w:pPr>
    <w:rPr>
      <w:rFonts w:ascii="Arial" w:hAnsi="Arial"/>
      <w:sz w:val="24"/>
      <w:lang w:val="es-MX"/>
    </w:rPr>
  </w:style>
  <w:style w:type="paragraph" w:styleId="Textoindependiente">
    <w:name w:val="Body Text"/>
    <w:basedOn w:val="Normal"/>
    <w:semiHidden/>
    <w:pPr>
      <w:jc w:val="center"/>
    </w:pPr>
    <w:rPr>
      <w:b/>
      <w:sz w:val="24"/>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image" Target="media/image15.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w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4.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3.wmf"/><Relationship Id="rId28"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5165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3</vt:lpstr>
    </vt:vector>
  </TitlesOfParts>
  <Company>SCVL</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Sixto</dc:creator>
  <cp:keywords/>
  <cp:lastModifiedBy>Ayudante</cp:lastModifiedBy>
  <cp:revision>2</cp:revision>
  <dcterms:created xsi:type="dcterms:W3CDTF">2009-07-14T18:54:00Z</dcterms:created>
  <dcterms:modified xsi:type="dcterms:W3CDTF">2009-07-14T18:54:00Z</dcterms:modified>
</cp:coreProperties>
</file>