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760A1">
      <w:pPr>
        <w:rPr>
          <w:lang w:val="es-MX"/>
        </w:rPr>
      </w:pPr>
    </w:p>
    <w:p w:rsidR="00000000" w:rsidRDefault="002760A1">
      <w:pPr>
        <w:rPr>
          <w:lang w:val="es-MX"/>
        </w:rPr>
      </w:pPr>
    </w:p>
    <w:p w:rsidR="00000000" w:rsidRDefault="002760A1">
      <w:pPr>
        <w:rPr>
          <w:lang w:val="es-MX"/>
        </w:rPr>
      </w:pPr>
    </w:p>
    <w:p w:rsidR="00000000" w:rsidRDefault="002760A1">
      <w:pPr>
        <w:rPr>
          <w:lang w:val="es-MX"/>
        </w:rPr>
      </w:pPr>
    </w:p>
    <w:p w:rsidR="00000000" w:rsidRDefault="002760A1">
      <w:pPr>
        <w:rPr>
          <w:lang w:val="es-MX"/>
        </w:rPr>
      </w:pPr>
    </w:p>
    <w:p w:rsidR="00000000" w:rsidRDefault="002760A1">
      <w:pPr>
        <w:pStyle w:val="Textoindependiente"/>
      </w:pPr>
      <w:r>
        <w:t>ESTUDIO ESTADISTICO DE LAS RESOLUCIONES TOMADAS POR EL MINISTERIO FISCAL</w:t>
      </w:r>
    </w:p>
    <w:p w:rsidR="00000000" w:rsidRDefault="002760A1">
      <w:pPr>
        <w:jc w:val="center"/>
        <w:rPr>
          <w:rFonts w:ascii="Arial" w:hAnsi="Arial"/>
          <w:sz w:val="48"/>
          <w:lang w:val="es-MX"/>
        </w:rPr>
      </w:pPr>
    </w:p>
    <w:p w:rsidR="00000000" w:rsidRDefault="002760A1">
      <w:pPr>
        <w:jc w:val="center"/>
        <w:rPr>
          <w:rFonts w:ascii="Arial" w:hAnsi="Arial"/>
          <w:sz w:val="48"/>
          <w:lang w:val="es-MX"/>
        </w:rPr>
      </w:pPr>
    </w:p>
    <w:p w:rsidR="00000000" w:rsidRDefault="002760A1">
      <w:pPr>
        <w:jc w:val="center"/>
        <w:rPr>
          <w:rFonts w:ascii="Arial" w:hAnsi="Arial"/>
          <w:sz w:val="48"/>
          <w:lang w:val="es-MX"/>
        </w:rPr>
      </w:pPr>
    </w:p>
    <w:p w:rsidR="00000000" w:rsidRDefault="002760A1">
      <w:pPr>
        <w:jc w:val="center"/>
        <w:rPr>
          <w:rFonts w:ascii="Arial" w:hAnsi="Arial"/>
          <w:sz w:val="28"/>
          <w:lang w:val="es-MX"/>
        </w:rPr>
      </w:pPr>
      <w:r>
        <w:rPr>
          <w:rFonts w:ascii="Arial" w:hAnsi="Arial"/>
          <w:sz w:val="28"/>
          <w:vertAlign w:val="superscript"/>
          <w:lang w:val="es-MX"/>
        </w:rPr>
        <w:t>1</w:t>
      </w:r>
      <w:r>
        <w:rPr>
          <w:rFonts w:ascii="Arial" w:hAnsi="Arial"/>
          <w:sz w:val="28"/>
          <w:lang w:val="es-MX"/>
        </w:rPr>
        <w:t xml:space="preserve">Sixto Rafael Calle Anda, </w:t>
      </w:r>
      <w:r>
        <w:rPr>
          <w:rFonts w:ascii="Arial" w:hAnsi="Arial"/>
          <w:sz w:val="28"/>
          <w:vertAlign w:val="superscript"/>
          <w:lang w:val="es-MX"/>
        </w:rPr>
        <w:t>2</w:t>
      </w:r>
      <w:r>
        <w:rPr>
          <w:rFonts w:ascii="Arial" w:hAnsi="Arial"/>
          <w:sz w:val="28"/>
          <w:lang w:val="es-MX"/>
        </w:rPr>
        <w:t>John</w:t>
      </w:r>
      <w:r>
        <w:rPr>
          <w:rFonts w:ascii="Arial" w:hAnsi="Arial"/>
          <w:sz w:val="28"/>
          <w:lang w:val="es-MX"/>
        </w:rPr>
        <w:t xml:space="preserve"> Ramírez</w:t>
      </w:r>
    </w:p>
    <w:p w:rsidR="00000000" w:rsidRDefault="002760A1">
      <w:pPr>
        <w:rPr>
          <w:lang w:val="es-MX"/>
        </w:rPr>
      </w:pPr>
    </w:p>
    <w:p w:rsidR="00000000" w:rsidRDefault="002760A1">
      <w:pPr>
        <w:rPr>
          <w:lang w:val="es-MX"/>
        </w:rPr>
      </w:pPr>
    </w:p>
    <w:p w:rsidR="00000000" w:rsidRDefault="002760A1">
      <w:pPr>
        <w:rPr>
          <w:sz w:val="28"/>
          <w:lang w:val="es-MX"/>
        </w:rPr>
      </w:pPr>
      <w:r>
        <w:rPr>
          <w:sz w:val="28"/>
          <w:vertAlign w:val="superscript"/>
          <w:lang w:val="es-MX"/>
        </w:rPr>
        <w:t>1</w:t>
      </w:r>
      <w:r>
        <w:rPr>
          <w:sz w:val="28"/>
          <w:lang w:val="es-MX"/>
        </w:rPr>
        <w:t xml:space="preserve"> </w:t>
      </w:r>
      <w:r>
        <w:rPr>
          <w:sz w:val="28"/>
          <w:lang w:val="es-MX"/>
        </w:rPr>
        <w:t>Ingeniero en Estad</w:t>
      </w:r>
      <w:r>
        <w:rPr>
          <w:sz w:val="28"/>
          <w:lang w:val="es-MX"/>
        </w:rPr>
        <w:t>ística Inform</w:t>
      </w:r>
      <w:r>
        <w:rPr>
          <w:sz w:val="28"/>
          <w:lang w:val="es-MX"/>
        </w:rPr>
        <w:t>ática</w:t>
      </w:r>
      <w:r>
        <w:rPr>
          <w:sz w:val="28"/>
          <w:lang w:val="es-MX"/>
        </w:rPr>
        <w:t xml:space="preserve">  2003</w:t>
      </w:r>
    </w:p>
    <w:p w:rsidR="00000000" w:rsidRDefault="002760A1">
      <w:pPr>
        <w:rPr>
          <w:sz w:val="28"/>
          <w:lang w:val="es-MX"/>
        </w:rPr>
      </w:pPr>
      <w:r>
        <w:rPr>
          <w:sz w:val="28"/>
          <w:vertAlign w:val="superscript"/>
          <w:lang w:val="es-MX"/>
        </w:rPr>
        <w:t>2</w:t>
      </w:r>
      <w:r>
        <w:rPr>
          <w:sz w:val="28"/>
          <w:lang w:val="es-MX"/>
        </w:rPr>
        <w:t xml:space="preserve"> Director de Tesis. Matem</w:t>
      </w:r>
      <w:r>
        <w:rPr>
          <w:sz w:val="28"/>
          <w:lang w:val="es-MX"/>
        </w:rPr>
        <w:t>ático</w:t>
      </w:r>
      <w:r>
        <w:rPr>
          <w:sz w:val="28"/>
          <w:lang w:val="es-MX"/>
        </w:rPr>
        <w:t>.</w:t>
      </w:r>
      <w:r>
        <w:rPr>
          <w:sz w:val="28"/>
          <w:lang w:val="es-MX"/>
        </w:rPr>
        <w:t xml:space="preserve"> Master en Estad</w:t>
      </w:r>
      <w:r>
        <w:rPr>
          <w:sz w:val="28"/>
          <w:lang w:val="es-MX"/>
        </w:rPr>
        <w:t xml:space="preserve">ística. Profesor de la </w:t>
      </w:r>
      <w:r>
        <w:rPr>
          <w:sz w:val="28"/>
          <w:lang w:val="es-MX"/>
        </w:rPr>
        <w:t xml:space="preserve"> Escuela Superior Polit</w:t>
      </w:r>
      <w:r>
        <w:rPr>
          <w:sz w:val="28"/>
          <w:lang w:val="es-MX"/>
        </w:rPr>
        <w:t>écnica del Litoral</w:t>
      </w:r>
      <w:r>
        <w:rPr>
          <w:sz w:val="28"/>
          <w:lang w:val="es-MX"/>
        </w:rPr>
        <w:t xml:space="preserve"> </w:t>
      </w:r>
      <w:r>
        <w:rPr>
          <w:sz w:val="28"/>
          <w:lang w:val="es-MX"/>
        </w:rPr>
        <w:t>1996.</w:t>
      </w:r>
    </w:p>
    <w:p w:rsidR="00000000" w:rsidRDefault="002760A1">
      <w:pPr>
        <w:rPr>
          <w:sz w:val="28"/>
          <w:lang w:val="es-MX"/>
        </w:rPr>
      </w:pPr>
    </w:p>
    <w:p w:rsidR="00000000" w:rsidRDefault="002760A1">
      <w:pPr>
        <w:rPr>
          <w:sz w:val="28"/>
          <w:lang w:val="es-MX"/>
        </w:rPr>
      </w:pPr>
    </w:p>
    <w:p w:rsidR="00000000" w:rsidRDefault="002760A1">
      <w:pPr>
        <w:pStyle w:val="Ttulo2"/>
        <w:spacing w:line="360" w:lineRule="auto"/>
      </w:pPr>
      <w:r>
        <w:t>RESUMEN</w:t>
      </w:r>
    </w:p>
    <w:p w:rsidR="00000000" w:rsidRDefault="002760A1">
      <w:pPr>
        <w:spacing w:line="360" w:lineRule="auto"/>
        <w:rPr>
          <w:sz w:val="28"/>
          <w:lang w:val="es-MX"/>
        </w:rPr>
      </w:pPr>
    </w:p>
    <w:p w:rsidR="00000000" w:rsidRDefault="002760A1">
      <w:pPr>
        <w:pStyle w:val="Textodebloque"/>
        <w:spacing w:line="360" w:lineRule="auto"/>
        <w:ind w:left="0"/>
        <w:rPr>
          <w:sz w:val="24"/>
        </w:rPr>
      </w:pPr>
      <w:r>
        <w:rPr>
          <w:sz w:val="24"/>
        </w:rPr>
        <w:t>E</w:t>
      </w:r>
      <w:r>
        <w:rPr>
          <w:sz w:val="24"/>
        </w:rPr>
        <w:t>n la presente Tesis  tiene como parte importante el análisis estadístico multivariante, pero es importante entender que el Ecuador tiene una organización jurídica, que necesita tener un control  en el orden jurídico, y este parte en la administración de ju</w:t>
      </w:r>
      <w:r>
        <w:rPr>
          <w:sz w:val="24"/>
        </w:rPr>
        <w:t>sticia en el Ministerio Fiscal.   El Ministerio Fiscal es donde empieza un proceso jurídico, comenzando por una denuncia presentada, en la que involucra imputados, tipo de delito y  es ahí donde la Fiscalía realiza las debidas investigaciones para dar un d</w:t>
      </w:r>
      <w:r>
        <w:rPr>
          <w:sz w:val="24"/>
        </w:rPr>
        <w:t>ictamen.</w:t>
      </w:r>
    </w:p>
    <w:p w:rsidR="00000000" w:rsidRDefault="002760A1">
      <w:pPr>
        <w:pStyle w:val="Textoindependiente2"/>
        <w:spacing w:line="360" w:lineRule="auto"/>
      </w:pPr>
      <w:r>
        <w:t>C</w:t>
      </w:r>
      <w:r>
        <w:t xml:space="preserve">omo </w:t>
      </w:r>
      <w:r>
        <w:t>parte importante es la especificaci</w:t>
      </w:r>
      <w:r>
        <w:t xml:space="preserve">ón de </w:t>
      </w:r>
      <w:r>
        <w:t xml:space="preserve"> la función del Ministerio Fiscal, por ende la de un Fiscal, y las leyes del código penal, con sus correctivos.</w:t>
      </w:r>
    </w:p>
    <w:p w:rsidR="00000000" w:rsidRDefault="002760A1">
      <w:pPr>
        <w:tabs>
          <w:tab w:val="left" w:pos="4800"/>
        </w:tabs>
        <w:spacing w:line="360" w:lineRule="auto"/>
        <w:ind w:right="120"/>
        <w:jc w:val="both"/>
        <w:rPr>
          <w:rFonts w:ascii="Arial" w:hAnsi="Arial"/>
          <w:sz w:val="24"/>
        </w:rPr>
      </w:pPr>
      <w:r>
        <w:rPr>
          <w:rFonts w:ascii="Arial" w:hAnsi="Arial"/>
          <w:sz w:val="24"/>
        </w:rPr>
        <w:t xml:space="preserve">Con la teoría se </w:t>
      </w:r>
      <w:r>
        <w:rPr>
          <w:rFonts w:ascii="Arial" w:hAnsi="Arial"/>
          <w:sz w:val="24"/>
        </w:rPr>
        <w:t>especifica que significa cada variable y  la codificación para el anál</w:t>
      </w:r>
      <w:r>
        <w:rPr>
          <w:rFonts w:ascii="Arial" w:hAnsi="Arial"/>
          <w:sz w:val="24"/>
        </w:rPr>
        <w:t>isis estadístico y multivariante.</w:t>
      </w:r>
    </w:p>
    <w:p w:rsidR="00000000" w:rsidRDefault="002760A1">
      <w:pPr>
        <w:tabs>
          <w:tab w:val="left" w:pos="4800"/>
        </w:tabs>
        <w:spacing w:line="360" w:lineRule="auto"/>
        <w:ind w:right="120"/>
        <w:jc w:val="both"/>
        <w:rPr>
          <w:rFonts w:ascii="Arial" w:hAnsi="Arial"/>
          <w:sz w:val="24"/>
        </w:rPr>
      </w:pPr>
    </w:p>
    <w:p w:rsidR="00000000" w:rsidRDefault="002760A1">
      <w:pPr>
        <w:tabs>
          <w:tab w:val="left" w:pos="4800"/>
        </w:tabs>
        <w:spacing w:line="360" w:lineRule="auto"/>
        <w:ind w:right="120"/>
        <w:jc w:val="both"/>
        <w:rPr>
          <w:rFonts w:ascii="Arial" w:hAnsi="Arial"/>
          <w:sz w:val="24"/>
        </w:rPr>
      </w:pPr>
    </w:p>
    <w:p w:rsidR="00000000" w:rsidRDefault="002760A1">
      <w:pPr>
        <w:pStyle w:val="Ttulo1"/>
        <w:spacing w:line="360" w:lineRule="auto"/>
        <w:rPr>
          <w:sz w:val="28"/>
        </w:rPr>
      </w:pPr>
      <w:r>
        <w:rPr>
          <w:sz w:val="28"/>
        </w:rPr>
        <w:t>INTRODUCCI</w:t>
      </w:r>
      <w:r>
        <w:rPr>
          <w:sz w:val="28"/>
        </w:rPr>
        <w:t>ÓN</w:t>
      </w:r>
    </w:p>
    <w:p w:rsidR="00000000" w:rsidRDefault="002760A1">
      <w:pPr>
        <w:spacing w:line="360" w:lineRule="auto"/>
      </w:pPr>
    </w:p>
    <w:p w:rsidR="00000000" w:rsidRDefault="002760A1">
      <w:pPr>
        <w:spacing w:line="360" w:lineRule="auto"/>
        <w:jc w:val="both"/>
        <w:rPr>
          <w:rFonts w:ascii="Arial" w:hAnsi="Arial"/>
          <w:sz w:val="24"/>
        </w:rPr>
      </w:pPr>
      <w:r>
        <w:rPr>
          <w:rFonts w:ascii="Arial" w:hAnsi="Arial"/>
          <w:sz w:val="24"/>
        </w:rPr>
        <w:t xml:space="preserve">El Ecuador como  </w:t>
      </w:r>
      <w:r>
        <w:rPr>
          <w:rFonts w:ascii="Arial" w:hAnsi="Arial"/>
          <w:i/>
          <w:sz w:val="24"/>
        </w:rPr>
        <w:t xml:space="preserve">Estado, </w:t>
      </w:r>
      <w:r>
        <w:rPr>
          <w:rFonts w:ascii="Arial" w:hAnsi="Arial"/>
          <w:sz w:val="24"/>
        </w:rPr>
        <w:t xml:space="preserve">  “ es la  superestructura política de la sociedad y la organización jurídica de la Nación.  Y como agrupación sociológica, es una forma asociativa del finalismo político y jurídico”</w:t>
      </w:r>
      <w:r>
        <w:rPr>
          <w:rFonts w:ascii="Arial" w:hAnsi="Arial"/>
          <w:sz w:val="24"/>
        </w:rPr>
        <w:t xml:space="preserve"> (Profesor Alfredo Povina).  </w:t>
      </w:r>
    </w:p>
    <w:p w:rsidR="00000000" w:rsidRDefault="002760A1">
      <w:pPr>
        <w:spacing w:line="360" w:lineRule="auto"/>
        <w:jc w:val="both"/>
        <w:rPr>
          <w:rFonts w:ascii="Arial" w:hAnsi="Arial"/>
          <w:sz w:val="24"/>
        </w:rPr>
      </w:pPr>
      <w:r>
        <w:rPr>
          <w:rFonts w:ascii="Arial" w:hAnsi="Arial"/>
          <w:sz w:val="24"/>
        </w:rPr>
        <w:t xml:space="preserve"> Esta organización jurídica, es la que permite organizar una sociedad, en la que se necesita tener un control mediante un proceso y sistema procesal para  la realización de la justicia.  </w:t>
      </w:r>
    </w:p>
    <w:p w:rsidR="00000000" w:rsidRDefault="002760A1">
      <w:pPr>
        <w:spacing w:line="360" w:lineRule="auto"/>
        <w:jc w:val="both"/>
        <w:rPr>
          <w:rFonts w:ascii="Arial" w:hAnsi="Arial"/>
          <w:sz w:val="24"/>
        </w:rPr>
      </w:pPr>
      <w:r>
        <w:rPr>
          <w:rFonts w:ascii="Arial" w:hAnsi="Arial"/>
          <w:sz w:val="24"/>
        </w:rPr>
        <w:t xml:space="preserve">Para hacer efectivas las garantías de </w:t>
      </w:r>
      <w:r>
        <w:rPr>
          <w:rFonts w:ascii="Arial" w:hAnsi="Arial"/>
          <w:sz w:val="24"/>
        </w:rPr>
        <w:t>un proceso, y cumplimiento de las leyes, existen funcionarios, personas capacitadas para lograr un verdadero orden en el proceso jurídico y uno de estos funcionarios es el Fiscal.</w:t>
      </w:r>
    </w:p>
    <w:p w:rsidR="00000000" w:rsidRDefault="002760A1">
      <w:pPr>
        <w:spacing w:line="360" w:lineRule="auto"/>
        <w:jc w:val="both"/>
        <w:rPr>
          <w:rFonts w:ascii="Arial" w:hAnsi="Arial"/>
          <w:sz w:val="24"/>
        </w:rPr>
      </w:pPr>
      <w:r>
        <w:rPr>
          <w:rFonts w:ascii="Arial" w:hAnsi="Arial"/>
          <w:sz w:val="24"/>
        </w:rPr>
        <w:t>Para administrar la justicia, en el instante que alguna persona natural o ju</w:t>
      </w:r>
      <w:r>
        <w:rPr>
          <w:rFonts w:ascii="Arial" w:hAnsi="Arial"/>
          <w:sz w:val="24"/>
        </w:rPr>
        <w:t>rídica que esta sujeta a obligaciones   y derechos, comete algún delito que se encuentre en el código penal,  tendrá que pasar por el Ministerio Fiscal, para que el mismo,  emita una investigación y un informe, para determinar si el delito tiene un carácte</w:t>
      </w:r>
      <w:r>
        <w:rPr>
          <w:rFonts w:ascii="Arial" w:hAnsi="Arial"/>
          <w:sz w:val="24"/>
        </w:rPr>
        <w:t>r absolutorio o  acusatorio.  Este informe es llevado a otra instancia que será interpretada  por un juez, que mediante la capacidad de dar su  criterio, podrá él darlo como un dictamen final, si es que no,  tendrá que llevarse el caso a otra instancia.</w:t>
      </w:r>
    </w:p>
    <w:p w:rsidR="00000000" w:rsidRDefault="002760A1">
      <w:pPr>
        <w:tabs>
          <w:tab w:val="left" w:pos="4800"/>
        </w:tabs>
        <w:spacing w:line="360" w:lineRule="auto"/>
        <w:ind w:right="120"/>
        <w:jc w:val="both"/>
        <w:rPr>
          <w:rFonts w:ascii="Arial" w:hAnsi="Arial"/>
          <w:sz w:val="24"/>
        </w:rPr>
      </w:pPr>
      <w:r>
        <w:rPr>
          <w:rFonts w:ascii="Arial" w:hAnsi="Arial"/>
          <w:sz w:val="24"/>
        </w:rPr>
        <w:t>El</w:t>
      </w:r>
      <w:r>
        <w:rPr>
          <w:rFonts w:ascii="Arial" w:hAnsi="Arial"/>
          <w:sz w:val="24"/>
        </w:rPr>
        <w:t xml:space="preserve"> Fiscal</w:t>
      </w:r>
      <w:r>
        <w:rPr>
          <w:rFonts w:ascii="Arial" w:hAnsi="Arial"/>
          <w:b/>
          <w:sz w:val="24"/>
        </w:rPr>
        <w:t xml:space="preserve"> </w:t>
      </w:r>
      <w:r>
        <w:rPr>
          <w:rFonts w:ascii="Arial" w:hAnsi="Arial"/>
          <w:sz w:val="24"/>
        </w:rPr>
        <w:t xml:space="preserve"> es un guardián directo de la Justicia, porque es un funcionario que representa al Estado en los Tribunales de Justicia, encargándose de la defensa del interés social.</w:t>
      </w:r>
    </w:p>
    <w:p w:rsidR="00000000" w:rsidRDefault="002760A1">
      <w:pPr>
        <w:tabs>
          <w:tab w:val="left" w:pos="4800"/>
        </w:tabs>
        <w:spacing w:line="360" w:lineRule="auto"/>
        <w:ind w:right="120"/>
        <w:jc w:val="both"/>
        <w:rPr>
          <w:rFonts w:ascii="Arial" w:hAnsi="Arial"/>
          <w:sz w:val="24"/>
        </w:rPr>
      </w:pPr>
      <w:r>
        <w:rPr>
          <w:rFonts w:ascii="Arial" w:hAnsi="Arial"/>
          <w:sz w:val="24"/>
        </w:rPr>
        <w:t>S</w:t>
      </w:r>
      <w:r>
        <w:rPr>
          <w:rFonts w:ascii="Arial" w:hAnsi="Arial"/>
          <w:sz w:val="24"/>
        </w:rPr>
        <w:t xml:space="preserve">e </w:t>
      </w:r>
      <w:r>
        <w:rPr>
          <w:rFonts w:ascii="Arial" w:hAnsi="Arial"/>
          <w:sz w:val="24"/>
        </w:rPr>
        <w:t>realiz</w:t>
      </w:r>
      <w:r>
        <w:rPr>
          <w:rFonts w:ascii="Arial" w:hAnsi="Arial"/>
          <w:sz w:val="24"/>
        </w:rPr>
        <w:t xml:space="preserve">ó </w:t>
      </w:r>
      <w:r>
        <w:rPr>
          <w:rFonts w:ascii="Arial" w:hAnsi="Arial"/>
          <w:sz w:val="24"/>
        </w:rPr>
        <w:t xml:space="preserve">un análisis de </w:t>
      </w:r>
      <w:r>
        <w:rPr>
          <w:rFonts w:ascii="Arial" w:hAnsi="Arial"/>
          <w:sz w:val="24"/>
        </w:rPr>
        <w:t>las resoluciones tomadas por los fiscales, pero se tom</w:t>
      </w:r>
      <w:r>
        <w:rPr>
          <w:rFonts w:ascii="Arial" w:hAnsi="Arial"/>
          <w:sz w:val="24"/>
        </w:rPr>
        <w:t>o en cuenta un an</w:t>
      </w:r>
      <w:r>
        <w:rPr>
          <w:rFonts w:ascii="Arial" w:hAnsi="Arial"/>
          <w:sz w:val="24"/>
        </w:rPr>
        <w:t>álisis estad</w:t>
      </w:r>
      <w:r>
        <w:rPr>
          <w:rFonts w:ascii="Arial" w:hAnsi="Arial"/>
          <w:sz w:val="24"/>
        </w:rPr>
        <w:t>ístico tomando variables, como</w:t>
      </w:r>
      <w:r>
        <w:rPr>
          <w:rFonts w:ascii="Arial" w:hAnsi="Arial"/>
          <w:sz w:val="24"/>
        </w:rPr>
        <w:t xml:space="preserve">, </w:t>
      </w:r>
      <w:r>
        <w:rPr>
          <w:rFonts w:ascii="Arial" w:hAnsi="Arial"/>
          <w:sz w:val="24"/>
        </w:rPr>
        <w:t xml:space="preserve"> tipo de denunciantes, g</w:t>
      </w:r>
      <w:r>
        <w:rPr>
          <w:rFonts w:ascii="Arial" w:hAnsi="Arial"/>
          <w:sz w:val="24"/>
        </w:rPr>
        <w:t>énero de denunciante, n</w:t>
      </w:r>
      <w:r>
        <w:rPr>
          <w:rFonts w:ascii="Arial" w:hAnsi="Arial"/>
          <w:sz w:val="24"/>
        </w:rPr>
        <w:t>úmero de denunciantes, tipo de imputados, g</w:t>
      </w:r>
      <w:r>
        <w:rPr>
          <w:rFonts w:ascii="Arial" w:hAnsi="Arial"/>
          <w:sz w:val="24"/>
        </w:rPr>
        <w:t>énero de imputados, n</w:t>
      </w:r>
      <w:r>
        <w:rPr>
          <w:rFonts w:ascii="Arial" w:hAnsi="Arial"/>
          <w:sz w:val="24"/>
        </w:rPr>
        <w:t xml:space="preserve">úmero de </w:t>
      </w:r>
      <w:r>
        <w:rPr>
          <w:rFonts w:ascii="Arial" w:hAnsi="Arial"/>
          <w:sz w:val="24"/>
        </w:rPr>
        <w:t xml:space="preserve">imputados, delitos en particular, fiscal actuante, dictamen fiscal, tiempo </w:t>
      </w:r>
      <w:r>
        <w:rPr>
          <w:rFonts w:ascii="Arial" w:hAnsi="Arial"/>
          <w:sz w:val="24"/>
        </w:rPr>
        <w:t>del</w:t>
      </w:r>
      <w:r>
        <w:rPr>
          <w:rFonts w:ascii="Arial" w:hAnsi="Arial"/>
          <w:sz w:val="24"/>
        </w:rPr>
        <w:t xml:space="preserve"> </w:t>
      </w:r>
      <w:r>
        <w:rPr>
          <w:rFonts w:ascii="Arial" w:hAnsi="Arial"/>
          <w:sz w:val="24"/>
        </w:rPr>
        <w:t>dictamen, que permitieron realizar este trabajo.</w:t>
      </w:r>
    </w:p>
    <w:p w:rsidR="00000000" w:rsidRDefault="002760A1">
      <w:pPr>
        <w:tabs>
          <w:tab w:val="left" w:pos="4800"/>
        </w:tabs>
        <w:spacing w:line="360" w:lineRule="auto"/>
        <w:ind w:right="120"/>
        <w:jc w:val="both"/>
        <w:rPr>
          <w:rFonts w:ascii="Arial" w:hAnsi="Arial"/>
          <w:sz w:val="24"/>
        </w:rPr>
      </w:pPr>
    </w:p>
    <w:p w:rsidR="00000000" w:rsidRDefault="002760A1">
      <w:pPr>
        <w:tabs>
          <w:tab w:val="left" w:pos="4800"/>
        </w:tabs>
        <w:spacing w:line="360" w:lineRule="auto"/>
        <w:ind w:right="120"/>
        <w:jc w:val="both"/>
        <w:rPr>
          <w:rFonts w:ascii="Arial" w:hAnsi="Arial"/>
          <w:sz w:val="24"/>
        </w:rPr>
      </w:pPr>
    </w:p>
    <w:p w:rsidR="00000000" w:rsidRDefault="002760A1">
      <w:pPr>
        <w:tabs>
          <w:tab w:val="left" w:pos="4800"/>
        </w:tabs>
        <w:spacing w:line="360" w:lineRule="auto"/>
        <w:ind w:right="120"/>
        <w:jc w:val="both"/>
        <w:rPr>
          <w:rFonts w:ascii="Arial" w:hAnsi="Arial"/>
          <w:sz w:val="24"/>
        </w:rPr>
      </w:pPr>
    </w:p>
    <w:p w:rsidR="00000000" w:rsidRDefault="002760A1">
      <w:pPr>
        <w:pStyle w:val="Ttulo3"/>
        <w:spacing w:line="360" w:lineRule="auto"/>
      </w:pPr>
      <w:r>
        <w:lastRenderedPageBreak/>
        <w:t>CONTENIDO</w:t>
      </w:r>
    </w:p>
    <w:p w:rsidR="00000000" w:rsidRDefault="002760A1">
      <w:pPr>
        <w:spacing w:line="360" w:lineRule="auto"/>
        <w:jc w:val="both"/>
        <w:rPr>
          <w:rFonts w:ascii="Arial" w:hAnsi="Arial"/>
          <w:b/>
          <w:sz w:val="24"/>
        </w:rPr>
      </w:pPr>
      <w:r>
        <w:rPr>
          <w:rFonts w:ascii="Arial" w:hAnsi="Arial"/>
          <w:b/>
          <w:sz w:val="24"/>
        </w:rPr>
        <w:t xml:space="preserve">Representatividad del Ministerio Público </w:t>
      </w:r>
    </w:p>
    <w:p w:rsidR="00000000" w:rsidRDefault="002760A1">
      <w:pPr>
        <w:spacing w:line="360" w:lineRule="auto"/>
        <w:jc w:val="both"/>
        <w:rPr>
          <w:rFonts w:ascii="Arial" w:hAnsi="Arial"/>
          <w:sz w:val="24"/>
        </w:rPr>
      </w:pPr>
    </w:p>
    <w:p w:rsidR="00000000" w:rsidRDefault="002760A1">
      <w:pPr>
        <w:pStyle w:val="Textoindependiente"/>
        <w:spacing w:line="360" w:lineRule="auto"/>
        <w:ind w:hanging="3"/>
        <w:jc w:val="both"/>
        <w:rPr>
          <w:sz w:val="24"/>
        </w:rPr>
      </w:pPr>
      <w:r>
        <w:rPr>
          <w:sz w:val="24"/>
        </w:rPr>
        <w:t>El Ministerio Publico es uno, indivisible e independiente en sus relaciones con las ramas del poder público y  lo integrarán los funcionarios que d</w:t>
      </w:r>
      <w:r>
        <w:rPr>
          <w:sz w:val="24"/>
        </w:rPr>
        <w:t xml:space="preserve">etermine la Ley.  Tendrá autonomía administrativa  y económica.  El Ministro Fiscal General del Estado ejercerá su representación legal. </w:t>
      </w:r>
    </w:p>
    <w:p w:rsidR="00000000" w:rsidRDefault="002760A1">
      <w:pPr>
        <w:spacing w:line="360" w:lineRule="auto"/>
        <w:ind w:hanging="3"/>
        <w:jc w:val="both"/>
        <w:rPr>
          <w:rFonts w:ascii="Arial" w:hAnsi="Arial"/>
          <w:sz w:val="24"/>
        </w:rPr>
      </w:pPr>
    </w:p>
    <w:p w:rsidR="00000000" w:rsidRDefault="002760A1">
      <w:pPr>
        <w:pStyle w:val="Textoindependiente3"/>
        <w:spacing w:line="360" w:lineRule="auto"/>
      </w:pPr>
      <w:r>
        <w:t>El Ministro Fiscal será elegido por el Congreso  Nacional por mayoría  de sus integrantes, de una terna presentada po</w:t>
      </w:r>
      <w:r>
        <w:t>r el Consejo Nacional de la Judicatura.  Deberá reunir los mismos requisitos exigidos para ser magistrado  de la Corte Suprema de Justicia.  Desempeñará sus funciones durante  seis años.</w:t>
      </w:r>
    </w:p>
    <w:p w:rsidR="00000000" w:rsidRDefault="002760A1"/>
    <w:p w:rsidR="00000000" w:rsidRDefault="002760A1">
      <w:pPr>
        <w:pStyle w:val="Ttulo3"/>
        <w:rPr>
          <w:b/>
          <w:sz w:val="24"/>
          <w:u w:val="none"/>
        </w:rPr>
      </w:pPr>
      <w:r>
        <w:rPr>
          <w:noProof/>
        </w:rPr>
        <w:pict>
          <v:shapetype id="_x0000_t202" coordsize="21600,21600" o:spt="202" path="m,l,21600r21600,l21600,xe">
            <v:stroke joinstyle="miter"/>
            <v:path gradientshapeok="t" o:connecttype="rect"/>
          </v:shapetype>
          <v:shape id="_x0000_s1037" type="#_x0000_t202" style="position:absolute;left:0;text-align:left;margin-left:73.35pt;margin-top:25.8pt;width:316.8pt;height:194.15pt;z-index:251654656" o:allowincell="f" stroked="f">
            <v:textbox style="mso-next-textbox:#_x0000_s1037">
              <w:txbxContent>
                <w:p w:rsidR="00000000" w:rsidRDefault="002760A1">
                  <w:pPr>
                    <w:pStyle w:val="Ttulo4"/>
                  </w:pPr>
                  <w:r>
                    <w:t>Tabla I</w:t>
                  </w:r>
                </w:p>
                <w:p w:rsidR="00000000" w:rsidRDefault="002760A1">
                  <w:pPr>
                    <w:pStyle w:val="Sangradetextonormal"/>
                    <w:rPr>
                      <w:sz w:val="24"/>
                    </w:rPr>
                  </w:pPr>
                  <w:r>
                    <w:rPr>
                      <w:sz w:val="24"/>
                    </w:rPr>
                    <w:t>Distribució</w:t>
                  </w:r>
                  <w:r>
                    <w:rPr>
                      <w:sz w:val="24"/>
                    </w:rPr>
                    <w:t>n de Frecuencias de las fechas de las denuncias de delitos(mes)</w:t>
                  </w:r>
                </w:p>
                <w:p w:rsidR="00000000" w:rsidRDefault="002760A1">
                  <w:pPr>
                    <w:jc w:val="center"/>
                  </w:pPr>
                  <w:r>
                    <w:object w:dxaOrig="4636" w:dyaOrig="2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138pt" o:ole="" fillcolor="window">
                        <v:imagedata r:id="rId5" o:title=""/>
                      </v:shape>
                      <o:OLEObject Type="Embed" ProgID="Word.Picture.8" ShapeID="_x0000_i1026" DrawAspect="Content" ObjectID="_1309084618" r:id="rId6"/>
                    </w:object>
                  </w:r>
                </w:p>
              </w:txbxContent>
            </v:textbox>
          </v:shape>
        </w:pict>
      </w:r>
      <w:r>
        <w:rPr>
          <w:b/>
          <w:sz w:val="24"/>
          <w:u w:val="none"/>
        </w:rPr>
        <w:t>VARIABLE DE LA FECHA DE LAS DENUNCIAS DE DELITOS</w:t>
      </w: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r>
        <w:rPr>
          <w:noProof/>
        </w:rPr>
        <w:pict>
          <v:shape id="_x0000_s1038" type="#_x0000_t202" style="position:absolute;margin-left:73.35pt;margin-top:8.35pt;width:331.2pt;height:244.8pt;z-index:251655680" o:allowincell="f">
            <v:textbox style="mso-next-textbox:#_x0000_s1038">
              <w:txbxContent>
                <w:p w:rsidR="00000000" w:rsidRDefault="002760A1">
                  <w:pPr>
                    <w:pStyle w:val="Ttulo4"/>
                    <w:rPr>
                      <w:lang w:val="es-ES"/>
                    </w:rPr>
                  </w:pPr>
                  <w:r>
                    <w:rPr>
                      <w:lang w:val="es-ES"/>
                    </w:rPr>
                    <w:t xml:space="preserve">Figura </w:t>
                  </w:r>
                  <w:r>
                    <w:rPr>
                      <w:lang w:val="es-ES"/>
                    </w:rPr>
                    <w:t>1</w:t>
                  </w:r>
                </w:p>
                <w:p w:rsidR="00000000" w:rsidRDefault="002760A1">
                  <w:pPr>
                    <w:pStyle w:val="Textoindependiente3"/>
                    <w:spacing w:line="240" w:lineRule="auto"/>
                    <w:jc w:val="center"/>
                    <w:rPr>
                      <w:b/>
                    </w:rPr>
                  </w:pPr>
                  <w:r>
                    <w:rPr>
                      <w:b/>
                    </w:rPr>
                    <w:t xml:space="preserve">Histograma de Frecuencias de la fecha </w:t>
                  </w:r>
                  <w:r>
                    <w:rPr>
                      <w:b/>
                    </w:rPr>
                    <w:t>de las denuncias de los delitos</w:t>
                  </w:r>
                </w:p>
                <w:p w:rsidR="00000000" w:rsidRDefault="002760A1">
                  <w:pPr>
                    <w:pStyle w:val="Textoindependiente3"/>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5690"/>
                  </w:tblGrid>
                  <w:tr w:rsidR="00000000">
                    <w:tblPrEx>
                      <w:tblCellMar>
                        <w:top w:w="0" w:type="dxa"/>
                        <w:bottom w:w="0" w:type="dxa"/>
                      </w:tblCellMar>
                    </w:tblPrEx>
                    <w:trPr>
                      <w:jc w:val="center"/>
                    </w:trPr>
                    <w:tc>
                      <w:tcPr>
                        <w:tcW w:w="5690" w:type="dxa"/>
                      </w:tcPr>
                      <w:p w:rsidR="00000000" w:rsidRDefault="000202E1">
                        <w:pPr>
                          <w:pStyle w:val="Textoindependiente3"/>
                          <w:rPr>
                            <w:b/>
                            <w:caps/>
                          </w:rPr>
                        </w:pPr>
                        <w:r>
                          <w:rPr>
                            <w:b/>
                            <w:caps/>
                            <w:noProof/>
                            <w:sz w:val="20"/>
                          </w:rPr>
                          <w:drawing>
                            <wp:inline distT="0" distB="0" distL="0" distR="0">
                              <wp:extent cx="3441700" cy="20955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000000" w:rsidRDefault="002760A1">
                  <w:pPr>
                    <w:pStyle w:val="Textoindependiente3"/>
                  </w:pPr>
                </w:p>
              </w:txbxContent>
            </v:textbox>
          </v:shape>
        </w:pict>
      </w: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rPr>
          <w:sz w:val="24"/>
        </w:rPr>
      </w:pPr>
      <w:r>
        <w:tab/>
      </w:r>
    </w:p>
    <w:p w:rsidR="00000000" w:rsidRDefault="002760A1">
      <w:pPr>
        <w:pStyle w:val="Sangradetextonormal"/>
        <w:spacing w:line="360" w:lineRule="auto"/>
        <w:jc w:val="both"/>
        <w:rPr>
          <w:rFonts w:ascii="Arial" w:hAnsi="Arial"/>
          <w:b w:val="0"/>
          <w:sz w:val="24"/>
          <w:lang w:val="es-ES"/>
        </w:rPr>
      </w:pPr>
      <w:r>
        <w:rPr>
          <w:rFonts w:ascii="Arial" w:hAnsi="Arial"/>
          <w:b w:val="0"/>
          <w:sz w:val="24"/>
          <w:lang w:val="es-ES"/>
        </w:rPr>
        <w:t>Existieron  en la Fiscalí</w:t>
      </w:r>
      <w:r>
        <w:rPr>
          <w:rFonts w:ascii="Arial" w:hAnsi="Arial"/>
          <w:b w:val="0"/>
          <w:sz w:val="24"/>
          <w:lang w:val="es-ES"/>
        </w:rPr>
        <w:t>a 2142 denuncias por delitos que se le hicieron seguimiento,  de los cuales el  16.9 por ciento fueron en el mes de octubre,  19.7 por ciento en el mes de noviembre,  en el mes de diciembre disminuyó con el 15.2 por ci</w:t>
      </w:r>
      <w:r>
        <w:rPr>
          <w:rFonts w:ascii="Arial" w:hAnsi="Arial"/>
          <w:b w:val="0"/>
          <w:sz w:val="24"/>
          <w:lang w:val="es-ES"/>
        </w:rPr>
        <w:t xml:space="preserve">ento, en el mes de enero se presenta la mayor frecuencia de 20.6 por </w:t>
      </w:r>
      <w:r>
        <w:rPr>
          <w:rFonts w:ascii="Arial" w:hAnsi="Arial"/>
          <w:b w:val="0"/>
          <w:sz w:val="24"/>
          <w:lang w:val="es-ES"/>
        </w:rPr>
        <w:t>ciento,</w:t>
      </w:r>
      <w:r>
        <w:rPr>
          <w:rFonts w:ascii="Arial" w:hAnsi="Arial"/>
          <w:b w:val="0"/>
          <w:sz w:val="24"/>
          <w:lang w:val="es-ES"/>
        </w:rPr>
        <w:t xml:space="preserve"> en el mes de febrero que es la de menor frecuencia de 12 por ciento,  y el mes de marzo un ligero aumento del 15.5 por ciento.</w:t>
      </w:r>
    </w:p>
    <w:p w:rsidR="00000000" w:rsidRDefault="002760A1">
      <w:pPr>
        <w:pStyle w:val="Sangradetextonormal"/>
        <w:spacing w:line="360" w:lineRule="auto"/>
        <w:jc w:val="both"/>
        <w:rPr>
          <w:rFonts w:ascii="Arial" w:hAnsi="Arial"/>
          <w:b w:val="0"/>
          <w:sz w:val="24"/>
          <w:lang w:val="es-ES"/>
        </w:rPr>
      </w:pPr>
    </w:p>
    <w:p w:rsidR="00000000" w:rsidRDefault="002760A1">
      <w:pPr>
        <w:pStyle w:val="Ttulo5"/>
        <w:spacing w:line="480" w:lineRule="auto"/>
      </w:pPr>
      <w:r>
        <w:rPr>
          <w:noProof/>
        </w:rPr>
        <w:pict>
          <v:shape id="_x0000_s1039" type="#_x0000_t202" style="position:absolute;left:0;text-align:left;margin-left:80.55pt;margin-top:20.7pt;width:316.8pt;height:151.2pt;z-index:251656704" o:allowincell="f" stroked="f">
            <v:textbox>
              <w:txbxContent>
                <w:p w:rsidR="00000000" w:rsidRDefault="002760A1">
                  <w:pPr>
                    <w:jc w:val="center"/>
                    <w:rPr>
                      <w:b/>
                      <w:lang w:val="es-MX"/>
                    </w:rPr>
                  </w:pPr>
                  <w:r>
                    <w:rPr>
                      <w:b/>
                      <w:lang w:val="es-MX"/>
                    </w:rPr>
                    <w:t>Tabla II</w:t>
                  </w:r>
                </w:p>
                <w:p w:rsidR="00000000" w:rsidRDefault="002760A1">
                  <w:pPr>
                    <w:pStyle w:val="Ttulo6"/>
                  </w:pPr>
                  <w:r>
                    <w:t>Distribución de Frecuencias del tipo de denunciante</w:t>
                  </w:r>
                </w:p>
                <w:p w:rsidR="00000000" w:rsidRDefault="002760A1">
                  <w:pPr>
                    <w:jc w:val="center"/>
                    <w:rPr>
                      <w:lang w:val="es-MX"/>
                    </w:rPr>
                  </w:pPr>
                </w:p>
                <w:p w:rsidR="00000000" w:rsidRDefault="002760A1">
                  <w:pPr>
                    <w:jc w:val="center"/>
                    <w:rPr>
                      <w:lang w:val="es-MX"/>
                    </w:rPr>
                  </w:pPr>
                </w:p>
                <w:p w:rsidR="00000000" w:rsidRDefault="000202E1">
                  <w:pPr>
                    <w:jc w:val="center"/>
                    <w:rPr>
                      <w:lang w:val="es-MX"/>
                    </w:rPr>
                  </w:pPr>
                  <w:r>
                    <w:rPr>
                      <w:noProof/>
                    </w:rPr>
                    <w:drawing>
                      <wp:inline distT="0" distB="0" distL="0" distR="0">
                        <wp:extent cx="2946400" cy="1003300"/>
                        <wp:effectExtent l="1905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946400" cy="1003300"/>
                                </a:xfrm>
                                <a:prstGeom prst="rect">
                                  <a:avLst/>
                                </a:prstGeom>
                                <a:noFill/>
                                <a:ln w="9525">
                                  <a:noFill/>
                                  <a:miter lim="800000"/>
                                  <a:headEnd/>
                                  <a:tailEnd/>
                                </a:ln>
                              </pic:spPr>
                            </pic:pic>
                          </a:graphicData>
                        </a:graphic>
                      </wp:inline>
                    </w:drawing>
                  </w:r>
                </w:p>
              </w:txbxContent>
            </v:textbox>
          </v:shape>
        </w:pict>
      </w:r>
      <w:r>
        <w:t>VARIABLE TIPO DE DENUNCIANTE</w:t>
      </w: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pPr>
    </w:p>
    <w:p w:rsidR="00000000" w:rsidRDefault="002760A1">
      <w:pPr>
        <w:spacing w:line="480" w:lineRule="auto"/>
        <w:rPr>
          <w:rFonts w:ascii="Arial" w:hAnsi="Arial"/>
          <w:sz w:val="24"/>
          <w:lang w:val="es-MX"/>
        </w:rPr>
      </w:pPr>
    </w:p>
    <w:p w:rsidR="00000000" w:rsidRDefault="002760A1">
      <w:pPr>
        <w:spacing w:line="480" w:lineRule="auto"/>
        <w:rPr>
          <w:rFonts w:ascii="Arial" w:hAnsi="Arial"/>
          <w:b/>
          <w:i/>
          <w:sz w:val="24"/>
          <w:lang w:val="es-MX"/>
        </w:rPr>
      </w:pPr>
    </w:p>
    <w:p w:rsidR="00000000" w:rsidRDefault="002760A1">
      <w:pPr>
        <w:spacing w:line="480" w:lineRule="auto"/>
        <w:rPr>
          <w:rFonts w:ascii="Arial" w:hAnsi="Arial"/>
          <w:b/>
          <w:i/>
          <w:sz w:val="24"/>
          <w:lang w:val="es-MX"/>
        </w:rPr>
      </w:pPr>
    </w:p>
    <w:p w:rsidR="00000000" w:rsidRDefault="002760A1">
      <w:pPr>
        <w:spacing w:line="480" w:lineRule="auto"/>
        <w:rPr>
          <w:rFonts w:ascii="Arial" w:hAnsi="Arial"/>
          <w:b/>
          <w:i/>
          <w:sz w:val="24"/>
          <w:lang w:val="es-MX"/>
        </w:rPr>
      </w:pPr>
      <w:r>
        <w:rPr>
          <w:noProof/>
        </w:rPr>
        <w:pict>
          <v:shape id="_x0000_s1040" type="#_x0000_t202" style="position:absolute;margin-left:87.75pt;margin-top:2.35pt;width:316.8pt;height:208.8pt;z-index:251657728" o:allowincell="f">
            <v:textbox>
              <w:txbxContent>
                <w:p w:rsidR="00000000" w:rsidRDefault="002760A1">
                  <w:pPr>
                    <w:pStyle w:val="Ttulo4"/>
                  </w:pPr>
                  <w:r>
                    <w:t xml:space="preserve">Figura </w:t>
                  </w:r>
                  <w:r>
                    <w:t>2</w:t>
                  </w:r>
                </w:p>
                <w:p w:rsidR="00000000" w:rsidRDefault="002760A1">
                  <w:pPr>
                    <w:pStyle w:val="Ttulo6"/>
                  </w:pPr>
                  <w:r>
                    <w:t>Histograma de Frecuencias del tipo de denunciante</w:t>
                  </w:r>
                </w:p>
                <w:p w:rsidR="00000000" w:rsidRDefault="002760A1"/>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5919"/>
                  </w:tblGrid>
                  <w:tr w:rsidR="00000000">
                    <w:tblPrEx>
                      <w:tblCellMar>
                        <w:top w:w="0" w:type="dxa"/>
                        <w:bottom w:w="0" w:type="dxa"/>
                      </w:tblCellMar>
                    </w:tblPrEx>
                    <w:tc>
                      <w:tcPr>
                        <w:tcW w:w="5919" w:type="dxa"/>
                      </w:tcPr>
                      <w:p w:rsidR="00000000" w:rsidRDefault="000202E1">
                        <w:pPr>
                          <w:jc w:val="center"/>
                          <w:rPr>
                            <w:caps/>
                          </w:rPr>
                        </w:pPr>
                        <w:r>
                          <w:rPr>
                            <w:caps/>
                            <w:noProof/>
                          </w:rPr>
                          <w:drawing>
                            <wp:inline distT="0" distB="0" distL="0" distR="0">
                              <wp:extent cx="3568700" cy="19177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000000" w:rsidRDefault="002760A1">
                  <w:pPr>
                    <w:jc w:val="center"/>
                  </w:pPr>
                </w:p>
              </w:txbxContent>
            </v:textbox>
          </v:shape>
        </w:pict>
      </w: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pStyle w:val="Ttulo7"/>
        <w:spacing w:line="360" w:lineRule="auto"/>
        <w:ind w:left="0"/>
        <w:jc w:val="both"/>
      </w:pPr>
      <w:r>
        <w:t>Lo</w:t>
      </w:r>
      <w:r>
        <w:t>s denunciantes más comunes, es decir con má</w:t>
      </w:r>
      <w:r>
        <w:t>s frecuencia son las personas naturales  con 94.4 por ciento y esto se da ya que las denuncias  por lo general  siempre son hechas por personas naturales,  en cambio no menos importantes  tenemos un  5.6 por cient</w:t>
      </w:r>
      <w:r>
        <w:t>o de denunciantes  de tipo jurídicas.</w:t>
      </w:r>
    </w:p>
    <w:p w:rsidR="00000000" w:rsidRDefault="002760A1">
      <w:pPr>
        <w:pStyle w:val="Sangradetextonormal"/>
        <w:spacing w:line="360" w:lineRule="auto"/>
        <w:jc w:val="both"/>
        <w:rPr>
          <w:rFonts w:ascii="Arial" w:hAnsi="Arial"/>
          <w:b w:val="0"/>
          <w:sz w:val="24"/>
          <w:lang w:val="es-ES"/>
        </w:rPr>
      </w:pPr>
    </w:p>
    <w:p w:rsidR="00000000" w:rsidRDefault="002760A1"/>
    <w:p w:rsidR="00000000" w:rsidRDefault="002760A1">
      <w:pPr>
        <w:pStyle w:val="Ttulo8"/>
        <w:ind w:left="567"/>
      </w:pPr>
      <w:r>
        <w:t>VARIABLE  NUMERO  DE DENUNCIANTES</w:t>
      </w:r>
    </w:p>
    <w:p w:rsidR="00000000" w:rsidRDefault="002760A1"/>
    <w:p w:rsidR="00000000" w:rsidRDefault="002760A1">
      <w:r>
        <w:rPr>
          <w:noProof/>
        </w:rPr>
        <w:pict>
          <v:shape id="_x0000_s1041" type="#_x0000_t202" style="position:absolute;margin-left:94.95pt;margin-top:2.5pt;width:309.6pt;height:230.4pt;z-index:251658752" o:allowincell="f" stroked="f">
            <v:textbox>
              <w:txbxContent>
                <w:p w:rsidR="00000000" w:rsidRDefault="002760A1">
                  <w:pPr>
                    <w:jc w:val="center"/>
                    <w:rPr>
                      <w:b/>
                      <w:sz w:val="24"/>
                      <w:lang w:val="es-MX"/>
                    </w:rPr>
                  </w:pPr>
                  <w:r>
                    <w:rPr>
                      <w:b/>
                      <w:sz w:val="24"/>
                      <w:lang w:val="es-MX"/>
                    </w:rPr>
                    <w:t>Tabla III</w:t>
                  </w:r>
                </w:p>
                <w:p w:rsidR="00000000" w:rsidRDefault="002760A1">
                  <w:pPr>
                    <w:pStyle w:val="Ttulo4"/>
                    <w:rPr>
                      <w:sz w:val="24"/>
                    </w:rPr>
                  </w:pPr>
                  <w:r>
                    <w:rPr>
                      <w:sz w:val="24"/>
                    </w:rPr>
                    <w:t>Esta</w:t>
                  </w:r>
                  <w:r>
                    <w:rPr>
                      <w:sz w:val="24"/>
                    </w:rPr>
                    <w:t>dística Descriptiva del número de denunciantes</w:t>
                  </w:r>
                </w:p>
                <w:p w:rsidR="00000000" w:rsidRDefault="002760A1"/>
                <w:p w:rsidR="00000000" w:rsidRDefault="002760A1"/>
                <w:p w:rsidR="00000000" w:rsidRDefault="000202E1">
                  <w:pPr>
                    <w:jc w:val="center"/>
                  </w:pPr>
                  <w:r>
                    <w:rPr>
                      <w:noProof/>
                    </w:rPr>
                    <w:drawing>
                      <wp:inline distT="0" distB="0" distL="0" distR="0">
                        <wp:extent cx="2273300" cy="2070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73300" cy="2070100"/>
                                </a:xfrm>
                                <a:prstGeom prst="rect">
                                  <a:avLst/>
                                </a:prstGeom>
                                <a:noFill/>
                                <a:ln w="9525">
                                  <a:noFill/>
                                  <a:miter lim="800000"/>
                                  <a:headEnd/>
                                  <a:tailEnd/>
                                </a:ln>
                              </pic:spPr>
                            </pic:pic>
                          </a:graphicData>
                        </a:graphic>
                      </wp:inline>
                    </w:drawing>
                  </w:r>
                </w:p>
              </w:txbxContent>
            </v:textbox>
          </v:shape>
        </w:pict>
      </w: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r>
        <w:rPr>
          <w:noProof/>
        </w:rPr>
        <w:pict>
          <v:shape id="_x0000_s1042" type="#_x0000_t202" style="position:absolute;margin-left:94.95pt;margin-top:5.65pt;width:345.6pt;height:324pt;z-index:251659776" o:allowincell="f">
            <v:textbox style="mso-next-textbox:#_x0000_s1042">
              <w:txbxContent>
                <w:p w:rsidR="00000000" w:rsidRDefault="002760A1">
                  <w:pPr>
                    <w:pStyle w:val="Ttulo4"/>
                    <w:ind w:left="-426"/>
                  </w:pPr>
                  <w:r>
                    <w:t xml:space="preserve">Figura </w:t>
                  </w:r>
                  <w:r>
                    <w:t>3</w:t>
                  </w:r>
                </w:p>
                <w:p w:rsidR="00000000" w:rsidRDefault="002760A1">
                  <w:pPr>
                    <w:pStyle w:val="Textoindependiente3"/>
                    <w:ind w:left="-426"/>
                    <w:jc w:val="center"/>
                    <w:rPr>
                      <w:b/>
                      <w:sz w:val="20"/>
                    </w:rPr>
                  </w:pPr>
                  <w:r>
                    <w:rPr>
                      <w:b/>
                      <w:sz w:val="20"/>
                    </w:rPr>
                    <w:t>Histo</w:t>
                  </w:r>
                  <w:r>
                    <w:rPr>
                      <w:b/>
                      <w:sz w:val="20"/>
                    </w:rPr>
                    <w:t>grama de probabilidades  del número de denunciantes</w:t>
                  </w:r>
                </w:p>
                <w:p w:rsidR="00000000" w:rsidRDefault="002760A1">
                  <w:pPr>
                    <w:ind w:left="-426"/>
                    <w:jc w:val="center"/>
                    <w:rPr>
                      <w:b/>
                      <w:sz w:val="24"/>
                      <w:lang w:val="es-MX"/>
                    </w:rPr>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6624"/>
                  </w:tblGrid>
                  <w:tr w:rsidR="00000000">
                    <w:tblPrEx>
                      <w:tblCellMar>
                        <w:top w:w="0" w:type="dxa"/>
                        <w:bottom w:w="0" w:type="dxa"/>
                      </w:tblCellMar>
                    </w:tblPrEx>
                    <w:tc>
                      <w:tcPr>
                        <w:tcW w:w="6624" w:type="dxa"/>
                      </w:tcPr>
                      <w:p w:rsidR="00000000" w:rsidRDefault="002760A1">
                        <w:pPr>
                          <w:jc w:val="center"/>
                          <w:rPr>
                            <w:caps/>
                            <w:sz w:val="24"/>
                            <w:lang w:val="es-MX"/>
                          </w:rPr>
                        </w:pPr>
                        <w:r>
                          <w:rPr>
                            <w:caps/>
                          </w:rPr>
                          <w:object w:dxaOrig="6441" w:dyaOrig="5181">
                            <v:shape id="_x0000_i1025" type="#_x0000_t75" style="width:321.75pt;height:258.75pt" o:ole="" fillcolor="window">
                              <v:imagedata r:id="rId11" o:title=""/>
                            </v:shape>
                            <o:OLEObject Type="Embed" ProgID="Word.Picture.8" ShapeID="_x0000_i1025" DrawAspect="Content" ObjectID="_1309084617" r:id="rId12"/>
                          </w:object>
                        </w:r>
                      </w:p>
                    </w:tc>
                  </w:tr>
                </w:tbl>
                <w:p w:rsidR="00000000" w:rsidRDefault="002760A1">
                  <w:pPr>
                    <w:ind w:left="-426"/>
                    <w:jc w:val="center"/>
                    <w:rPr>
                      <w:b/>
                      <w:sz w:val="24"/>
                      <w:lang w:val="es-MX"/>
                    </w:rPr>
                  </w:pPr>
                </w:p>
              </w:txbxContent>
            </v:textbox>
          </v:shape>
        </w:pict>
      </w: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pStyle w:val="Sangra2detindependiente"/>
        <w:ind w:left="0"/>
      </w:pPr>
    </w:p>
    <w:p w:rsidR="00000000" w:rsidRDefault="002760A1">
      <w:pPr>
        <w:pStyle w:val="Sangra2detindependiente"/>
        <w:spacing w:line="360" w:lineRule="auto"/>
        <w:ind w:left="0"/>
      </w:pPr>
      <w:r>
        <w:t>El número de denunciantes  tiene una media de  1.08, una mediana de 1, el valor que más se repite la moda es 1 es decir por lo general las denuncias son ind</w:t>
      </w:r>
      <w:r>
        <w:t>ividuales,  se obtuvo una desviación estándar de 0.32, lo que representa la variación de los datos alrededor de la media, la varianza que se determinó es 0.1.</w:t>
      </w:r>
    </w:p>
    <w:p w:rsidR="00000000" w:rsidRDefault="002760A1">
      <w:pPr>
        <w:pStyle w:val="Sangra2detindependiente"/>
        <w:spacing w:line="360" w:lineRule="auto"/>
        <w:ind w:left="0"/>
      </w:pPr>
      <w:r>
        <w:t xml:space="preserve">Del número de denunciantes encontramos que  la concentración de los datos se encuentran hacia la </w:t>
      </w:r>
      <w:r>
        <w:t>izquierda, lo que colabora  con la formación del sesgo positivo,  es decir con coeficiente de asimetría de 4.36.  El coeficiente de Kurtosis  indica que la  función de distribución es más aguda que una nor</w:t>
      </w:r>
      <w:r>
        <w:t xml:space="preserve">mal  es decir es </w:t>
      </w:r>
      <w:r>
        <w:t>leptocúrtica.</w:t>
      </w:r>
    </w:p>
    <w:p w:rsidR="00000000" w:rsidRDefault="002760A1">
      <w:pPr>
        <w:pStyle w:val="Sangra2detindependiente"/>
        <w:spacing w:line="360" w:lineRule="auto"/>
        <w:ind w:left="0"/>
      </w:pPr>
      <w:r>
        <w:t>La cantidad de denu</w:t>
      </w:r>
      <w:r>
        <w:t>nciantes el mínimo es 1 el máximo de denunciantes  e</w:t>
      </w:r>
      <w:r>
        <w:t>s 3,  obteniendo un rango de 2.</w:t>
      </w:r>
      <w:r>
        <w:t xml:space="preserve"> </w:t>
      </w:r>
      <w:r>
        <w:t>La mayor distribución del número de denunciantes es  cuando la denuncia es individual  con 84.3 por ciento, se tiene un  7.5 por ciento  cuando son dos los denunciantes,  s</w:t>
      </w:r>
      <w:r>
        <w:t>e tiene  2.6 por ciento cuando se tienen tres personas que denuncian algún delito.</w:t>
      </w:r>
    </w:p>
    <w:p w:rsidR="00000000" w:rsidRDefault="002760A1">
      <w:pPr>
        <w:pStyle w:val="Sangra2detindependiente"/>
        <w:spacing w:line="360" w:lineRule="auto"/>
        <w:ind w:left="0"/>
      </w:pPr>
    </w:p>
    <w:p w:rsidR="00000000" w:rsidRDefault="002760A1">
      <w:pPr>
        <w:spacing w:line="480" w:lineRule="auto"/>
        <w:ind w:left="567"/>
        <w:jc w:val="both"/>
        <w:rPr>
          <w:rFonts w:ascii="Arial" w:hAnsi="Arial"/>
          <w:b/>
          <w:sz w:val="24"/>
        </w:rPr>
      </w:pPr>
      <w:r>
        <w:rPr>
          <w:noProof/>
        </w:rPr>
        <w:pict>
          <v:shape id="_x0000_s1044" type="#_x0000_t202" style="position:absolute;left:0;text-align:left;margin-left:22.95pt;margin-top:20.95pt;width:410.4pt;height:316.8pt;z-index:251660800" o:allowincell="f" stroked="f">
            <v:textbox style="mso-next-textbox:#_x0000_s1044">
              <w:txbxContent>
                <w:p w:rsidR="00000000" w:rsidRDefault="002760A1">
                  <w:pPr>
                    <w:jc w:val="center"/>
                    <w:rPr>
                      <w:b/>
                      <w:lang w:val="es-MX"/>
                    </w:rPr>
                  </w:pPr>
                  <w:r>
                    <w:rPr>
                      <w:b/>
                      <w:lang w:val="es-MX"/>
                    </w:rPr>
                    <w:t xml:space="preserve">Tabla </w:t>
                  </w:r>
                  <w:r>
                    <w:rPr>
                      <w:b/>
                      <w:lang w:val="es-MX"/>
                    </w:rPr>
                    <w:t>IV</w:t>
                  </w:r>
                </w:p>
                <w:p w:rsidR="00000000" w:rsidRDefault="002760A1">
                  <w:pPr>
                    <w:pStyle w:val="Ttulo6"/>
                  </w:pPr>
                  <w:r>
                    <w:t>Tabla de Frecuencias de Delitos en Particular</w:t>
                  </w:r>
                </w:p>
                <w:p w:rsidR="00000000" w:rsidRDefault="002760A1"/>
                <w:p w:rsidR="00000000" w:rsidRDefault="000202E1">
                  <w:pPr>
                    <w:tabs>
                      <w:tab w:val="left" w:pos="6804"/>
                    </w:tabs>
                  </w:pPr>
                  <w:r>
                    <w:rPr>
                      <w:noProof/>
                    </w:rPr>
                    <w:drawing>
                      <wp:inline distT="0" distB="0" distL="0" distR="0">
                        <wp:extent cx="4838700" cy="32131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38700" cy="3213100"/>
                                </a:xfrm>
                                <a:prstGeom prst="rect">
                                  <a:avLst/>
                                </a:prstGeom>
                                <a:noFill/>
                                <a:ln w="9525">
                                  <a:noFill/>
                                  <a:miter lim="800000"/>
                                  <a:headEnd/>
                                  <a:tailEnd/>
                                </a:ln>
                              </pic:spPr>
                            </pic:pic>
                          </a:graphicData>
                        </a:graphic>
                      </wp:inline>
                    </w:drawing>
                  </w:r>
                </w:p>
              </w:txbxContent>
            </v:textbox>
          </v:shape>
        </w:pict>
      </w:r>
      <w:r>
        <w:rPr>
          <w:rFonts w:ascii="Arial" w:hAnsi="Arial"/>
          <w:b/>
          <w:sz w:val="24"/>
        </w:rPr>
        <w:t>VARIABLE   DELITOS EN PARTICULAR</w:t>
      </w:r>
    </w:p>
    <w:p w:rsidR="00000000" w:rsidRDefault="002760A1">
      <w:pPr>
        <w:spacing w:line="480" w:lineRule="auto"/>
        <w:ind w:left="567"/>
        <w:jc w:val="both"/>
        <w:rPr>
          <w:rFonts w:ascii="Arial" w:hAnsi="Arial"/>
          <w:b/>
          <w:sz w:val="24"/>
        </w:rPr>
      </w:pPr>
    </w:p>
    <w:p w:rsidR="00000000" w:rsidRDefault="002760A1">
      <w:pPr>
        <w:spacing w:line="480" w:lineRule="auto"/>
        <w:ind w:left="567"/>
        <w:jc w:val="both"/>
        <w:rPr>
          <w:rFonts w:ascii="Arial" w:hAnsi="Arial"/>
          <w:b/>
          <w:sz w:val="24"/>
        </w:rPr>
      </w:pPr>
    </w:p>
    <w:p w:rsidR="00000000" w:rsidRDefault="002760A1">
      <w:pPr>
        <w:spacing w:line="480" w:lineRule="auto"/>
        <w:ind w:left="567"/>
        <w:jc w:val="both"/>
        <w:rPr>
          <w:rFonts w:ascii="Arial" w:hAnsi="Arial"/>
          <w:b/>
          <w:sz w:val="24"/>
        </w:rPr>
      </w:pPr>
    </w:p>
    <w:p w:rsidR="00000000" w:rsidRDefault="002760A1">
      <w:pPr>
        <w:spacing w:line="480" w:lineRule="auto"/>
        <w:jc w:val="both"/>
        <w:rPr>
          <w:rFonts w:ascii="Arial" w:hAnsi="Arial"/>
          <w:b/>
          <w:sz w:val="24"/>
        </w:rPr>
      </w:pPr>
    </w:p>
    <w:p w:rsidR="00000000" w:rsidRDefault="002760A1">
      <w:pPr>
        <w:spacing w:line="480" w:lineRule="auto"/>
        <w:jc w:val="both"/>
        <w:rPr>
          <w:rFonts w:ascii="Arial" w:hAnsi="Arial"/>
          <w:b/>
          <w:sz w:val="24"/>
        </w:rPr>
      </w:pPr>
    </w:p>
    <w:p w:rsidR="00000000" w:rsidRDefault="002760A1">
      <w:pPr>
        <w:spacing w:line="480" w:lineRule="auto"/>
        <w:jc w:val="both"/>
        <w:rPr>
          <w:rFonts w:ascii="Arial" w:hAnsi="Arial"/>
          <w:b/>
          <w:sz w:val="24"/>
        </w:rPr>
      </w:pPr>
    </w:p>
    <w:p w:rsidR="00000000" w:rsidRDefault="002760A1">
      <w:pPr>
        <w:spacing w:line="480" w:lineRule="auto"/>
        <w:jc w:val="both"/>
        <w:rPr>
          <w:rFonts w:ascii="Arial" w:hAnsi="Arial"/>
          <w:b/>
          <w:sz w:val="24"/>
        </w:rPr>
      </w:pPr>
    </w:p>
    <w:p w:rsidR="00000000" w:rsidRDefault="002760A1">
      <w:pPr>
        <w:spacing w:line="480" w:lineRule="auto"/>
        <w:jc w:val="both"/>
        <w:rPr>
          <w:rFonts w:ascii="Arial" w:hAnsi="Arial"/>
          <w:b/>
          <w:sz w:val="24"/>
        </w:rPr>
      </w:pPr>
    </w:p>
    <w:p w:rsidR="00000000" w:rsidRDefault="002760A1">
      <w:pPr>
        <w:spacing w:line="480" w:lineRule="auto"/>
        <w:rPr>
          <w:rFonts w:ascii="Arial" w:hAnsi="Arial"/>
          <w:sz w:val="24"/>
        </w:rPr>
      </w:pPr>
    </w:p>
    <w:p w:rsidR="00000000" w:rsidRDefault="002760A1">
      <w:pPr>
        <w:spacing w:line="480" w:lineRule="auto"/>
        <w:rPr>
          <w:rFonts w:ascii="Arial" w:hAnsi="Arial"/>
          <w:sz w:val="24"/>
        </w:rPr>
      </w:pPr>
    </w:p>
    <w:p w:rsidR="00000000" w:rsidRDefault="002760A1">
      <w:pPr>
        <w:pStyle w:val="Ttulo8"/>
        <w:spacing w:line="480" w:lineRule="auto"/>
      </w:pPr>
    </w:p>
    <w:p w:rsidR="00000000" w:rsidRDefault="002760A1">
      <w:pPr>
        <w:pStyle w:val="Ttulo8"/>
        <w:spacing w:line="480" w:lineRule="auto"/>
      </w:pPr>
    </w:p>
    <w:p w:rsidR="00000000" w:rsidRDefault="002760A1">
      <w:pPr>
        <w:pStyle w:val="Ttulo8"/>
        <w:spacing w:line="480" w:lineRule="auto"/>
      </w:pPr>
      <w:r>
        <w:t>COM</w:t>
      </w:r>
      <w:r>
        <w:t>PONENTES PRINCIPALES NO LINEALES</w:t>
      </w:r>
    </w:p>
    <w:p w:rsidR="00000000" w:rsidRDefault="002760A1">
      <w:pPr>
        <w:spacing w:line="480" w:lineRule="auto"/>
        <w:jc w:val="both"/>
        <w:rPr>
          <w:rFonts w:ascii="Arial" w:hAnsi="Arial"/>
          <w:sz w:val="24"/>
          <w:lang w:val="es-MX"/>
        </w:rPr>
      </w:pPr>
      <w:r>
        <w:rPr>
          <w:rFonts w:ascii="Arial" w:hAnsi="Arial"/>
          <w:sz w:val="24"/>
          <w:lang w:val="es-MX"/>
        </w:rPr>
        <w:t>El análisis de componentes principales no lineales,  trabaja con variables nominales, numé</w:t>
      </w:r>
      <w:r>
        <w:rPr>
          <w:rFonts w:ascii="Arial" w:hAnsi="Arial"/>
          <w:sz w:val="24"/>
          <w:lang w:val="es-MX"/>
        </w:rPr>
        <w:t>ricas, y  ordinales, en este estudio multivariante es realizado por el  programa “CatPCA” .Componentes Principales Categóricos, del modulo de reducción de datos del paquete Estadístico SPSS10.0.</w:t>
      </w:r>
    </w:p>
    <w:p w:rsidR="00000000" w:rsidRDefault="002760A1">
      <w:pPr>
        <w:spacing w:line="480" w:lineRule="auto"/>
        <w:jc w:val="both"/>
        <w:rPr>
          <w:rFonts w:ascii="Arial" w:hAnsi="Arial"/>
          <w:sz w:val="24"/>
        </w:rPr>
      </w:pPr>
      <w:r>
        <w:rPr>
          <w:rFonts w:ascii="Arial" w:hAnsi="Arial"/>
          <w:sz w:val="24"/>
          <w:lang w:val="es-MX"/>
        </w:rPr>
        <w:t>CatPCA primero</w:t>
      </w:r>
      <w:r>
        <w:rPr>
          <w:rFonts w:ascii="Arial" w:hAnsi="Arial"/>
          <w:sz w:val="24"/>
        </w:rPr>
        <w:t xml:space="preserve"> pondera la codificación de las variables cuali</w:t>
      </w:r>
      <w:r>
        <w:rPr>
          <w:rFonts w:ascii="Arial" w:hAnsi="Arial"/>
          <w:sz w:val="24"/>
        </w:rPr>
        <w:t>tativas o categóricas, luego a estas variables reponderadas les aplica el ACP clásico.</w:t>
      </w:r>
    </w:p>
    <w:p w:rsidR="00000000" w:rsidRDefault="002760A1">
      <w:pPr>
        <w:spacing w:line="480" w:lineRule="auto"/>
        <w:jc w:val="both"/>
        <w:rPr>
          <w:rFonts w:ascii="Arial" w:hAnsi="Arial"/>
          <w:sz w:val="24"/>
        </w:rPr>
      </w:pPr>
    </w:p>
    <w:p w:rsidR="00000000" w:rsidRDefault="002760A1">
      <w:pPr>
        <w:spacing w:line="480" w:lineRule="auto"/>
        <w:ind w:left="-142"/>
        <w:jc w:val="both"/>
        <w:rPr>
          <w:rFonts w:ascii="Arial" w:hAnsi="Arial"/>
          <w:sz w:val="24"/>
          <w:lang w:val="es-MX"/>
        </w:rPr>
      </w:pPr>
      <w:r>
        <w:rPr>
          <w:rFonts w:ascii="Arial" w:hAnsi="Arial"/>
          <w:sz w:val="24"/>
        </w:rPr>
        <w:t xml:space="preserve">El programa CatPCA  no maneja la misma interpretación del análisis de componentes principales clásico,  es decir no utiliza </w:t>
      </w:r>
      <w:r>
        <w:rPr>
          <w:rFonts w:ascii="Arial" w:hAnsi="Arial"/>
          <w:sz w:val="24"/>
          <w:lang w:val="es-MX"/>
        </w:rPr>
        <w:t>el criterio de información explicada a travé</w:t>
      </w:r>
      <w:r>
        <w:rPr>
          <w:rFonts w:ascii="Arial" w:hAnsi="Arial"/>
          <w:sz w:val="24"/>
          <w:lang w:val="es-MX"/>
        </w:rPr>
        <w:t>s de la varianza.   En estos casos utiliza las dimensiones, para poder manejar un criterio de dimensionalidad que permita la mejor interpretación a una  cantidad de dimensiones, que es  en este caso con dos dimensiones, por que se considera que cuando tien</w:t>
      </w:r>
      <w:r>
        <w:rPr>
          <w:rFonts w:ascii="Arial" w:hAnsi="Arial"/>
          <w:sz w:val="24"/>
          <w:lang w:val="es-MX"/>
        </w:rPr>
        <w:t>en variables nominales, ordinales y numéricas  es apropiado tomar dos dimensiones.   Por este tipo de variables es recomendable trabajar  con dos componentes, ya que cada dimensión maneja un porcentaje de participación de la varianza en las variables que a</w:t>
      </w:r>
      <w:r>
        <w:rPr>
          <w:rFonts w:ascii="Arial" w:hAnsi="Arial"/>
          <w:sz w:val="24"/>
          <w:lang w:val="es-MX"/>
        </w:rPr>
        <w:t>port</w:t>
      </w:r>
      <w:r>
        <w:rPr>
          <w:rFonts w:ascii="Arial" w:hAnsi="Arial"/>
          <w:sz w:val="24"/>
          <w:lang w:val="es-MX"/>
        </w:rPr>
        <w:t xml:space="preserve">an mayor información. </w:t>
      </w:r>
    </w:p>
    <w:p w:rsidR="00000000" w:rsidRDefault="002760A1">
      <w:pPr>
        <w:pStyle w:val="Sangradetextonormal"/>
        <w:spacing w:line="360" w:lineRule="auto"/>
        <w:ind w:left="-142"/>
        <w:jc w:val="both"/>
        <w:rPr>
          <w:rFonts w:ascii="Arial" w:hAnsi="Arial"/>
          <w:b w:val="0"/>
          <w:sz w:val="24"/>
        </w:rPr>
      </w:pPr>
      <w:r>
        <w:rPr>
          <w:rFonts w:ascii="Arial" w:hAnsi="Arial"/>
          <w:b w:val="0"/>
          <w:sz w:val="24"/>
        </w:rPr>
        <w:t xml:space="preserve">Las  variables elegidas para trabajar en las componentes, encontramos las cargas de cada componente, obtenida por las dimensiones que permite  explicar la participación o determinar cuanto aportan  en </w:t>
      </w:r>
      <w:r>
        <w:rPr>
          <w:rFonts w:ascii="Arial" w:hAnsi="Arial"/>
          <w:b w:val="0"/>
          <w:sz w:val="24"/>
        </w:rPr>
        <w:t>información.</w:t>
      </w:r>
    </w:p>
    <w:p w:rsidR="00000000" w:rsidRDefault="002760A1">
      <w:pPr>
        <w:spacing w:line="360" w:lineRule="auto"/>
        <w:ind w:left="-142"/>
        <w:jc w:val="both"/>
        <w:rPr>
          <w:rFonts w:ascii="Arial" w:hAnsi="Arial"/>
          <w:sz w:val="24"/>
          <w:lang w:val="es-MX"/>
        </w:rPr>
      </w:pPr>
      <w:r>
        <w:rPr>
          <w:rFonts w:ascii="Arial" w:hAnsi="Arial"/>
          <w:sz w:val="24"/>
          <w:lang w:val="es-MX"/>
        </w:rPr>
        <w:t>Tiene</w:t>
      </w:r>
      <w:r>
        <w:rPr>
          <w:rFonts w:ascii="Arial" w:hAnsi="Arial"/>
          <w:sz w:val="24"/>
          <w:lang w:val="es-MX"/>
        </w:rPr>
        <w:t xml:space="preserve"> las carg</w:t>
      </w:r>
      <w:r>
        <w:rPr>
          <w:rFonts w:ascii="Arial" w:hAnsi="Arial"/>
          <w:sz w:val="24"/>
          <w:lang w:val="es-MX"/>
        </w:rPr>
        <w:t>as de las componentes, y tenemos que las que aportan mayor  información en la primera componente  son Tipo de denunciante,  Género de denunciante, Delito, Fiscal, Dictamen, las  demá</w:t>
      </w:r>
      <w:r>
        <w:rPr>
          <w:rFonts w:ascii="Arial" w:hAnsi="Arial"/>
          <w:sz w:val="24"/>
          <w:lang w:val="es-MX"/>
        </w:rPr>
        <w:t>s cargas explican información pero no como las que tienen valores cercanos</w:t>
      </w:r>
      <w:r>
        <w:rPr>
          <w:rFonts w:ascii="Arial" w:hAnsi="Arial"/>
          <w:sz w:val="24"/>
          <w:lang w:val="es-MX"/>
        </w:rPr>
        <w:t xml:space="preserve"> a uno.   Con las variable que aporten mayor información, verificamos </w:t>
      </w:r>
      <w:r>
        <w:rPr>
          <w:rFonts w:ascii="Arial" w:hAnsi="Arial"/>
          <w:sz w:val="24"/>
          <w:lang w:val="es-MX"/>
        </w:rPr>
        <w:t>que estas  variables presentan una mayor explicación cuando las líneas son más largas, y las que tienen poca aportación en la información son líneas  más cortas.</w:t>
      </w:r>
    </w:p>
    <w:p w:rsidR="00000000" w:rsidRDefault="002760A1">
      <w:pPr>
        <w:pStyle w:val="Sangradetextonormal"/>
        <w:spacing w:line="360" w:lineRule="auto"/>
        <w:ind w:left="-142"/>
        <w:jc w:val="both"/>
        <w:rPr>
          <w:rFonts w:ascii="Arial" w:hAnsi="Arial"/>
          <w:b w:val="0"/>
          <w:sz w:val="24"/>
        </w:rPr>
      </w:pPr>
      <w:r>
        <w:rPr>
          <w:rFonts w:ascii="Arial" w:hAnsi="Arial"/>
          <w:b w:val="0"/>
          <w:sz w:val="24"/>
        </w:rPr>
        <w:t>La segunda componente  l</w:t>
      </w:r>
      <w:r>
        <w:rPr>
          <w:rFonts w:ascii="Arial" w:hAnsi="Arial"/>
          <w:b w:val="0"/>
          <w:sz w:val="24"/>
        </w:rPr>
        <w:t>as variables que aportan mayor información son las variables  Tipo de imputado, Género de imputado, Dictamen, y no con menos aportación Dictamen, Fiscal, Tipo de denunciante,  estas variables no quiere decir que no aportan información, simplemente no tiene</w:t>
      </w:r>
      <w:r>
        <w:rPr>
          <w:rFonts w:ascii="Arial" w:hAnsi="Arial"/>
          <w:b w:val="0"/>
          <w:sz w:val="24"/>
        </w:rPr>
        <w:t xml:space="preserve"> una mayor explicación en la componente, es por eso que las variables que aportan más,  mostrará un resultado mayor en cada componente y por ende mayor puntuación en los objetos</w:t>
      </w:r>
      <w:r>
        <w:rPr>
          <w:rFonts w:ascii="Arial" w:hAnsi="Arial"/>
          <w:b w:val="0"/>
          <w:sz w:val="24"/>
        </w:rPr>
        <w:t>.</w:t>
      </w:r>
    </w:p>
    <w:p w:rsidR="00000000" w:rsidRDefault="002760A1">
      <w:pPr>
        <w:spacing w:line="360" w:lineRule="auto"/>
        <w:jc w:val="both"/>
        <w:rPr>
          <w:rFonts w:ascii="Arial" w:hAnsi="Arial"/>
          <w:sz w:val="24"/>
        </w:rPr>
      </w:pPr>
    </w:p>
    <w:p w:rsidR="00000000" w:rsidRDefault="002760A1">
      <w:pPr>
        <w:spacing w:line="480" w:lineRule="auto"/>
        <w:rPr>
          <w:rFonts w:ascii="Arial" w:hAnsi="Arial"/>
          <w:b/>
          <w:sz w:val="24"/>
        </w:rPr>
      </w:pPr>
    </w:p>
    <w:p w:rsidR="00000000" w:rsidRDefault="002760A1">
      <w:pPr>
        <w:spacing w:line="480" w:lineRule="auto"/>
        <w:rPr>
          <w:rFonts w:ascii="Arial" w:hAnsi="Arial"/>
          <w:sz w:val="24"/>
        </w:rPr>
      </w:pPr>
    </w:p>
    <w:p w:rsidR="00000000" w:rsidRDefault="002760A1">
      <w:pPr>
        <w:pStyle w:val="Textoindependiente3"/>
        <w:spacing w:line="360" w:lineRule="auto"/>
        <w:rPr>
          <w:u w:val="single"/>
          <w:lang w:val="es-MX"/>
        </w:rPr>
      </w:pPr>
      <w:r>
        <w:rPr>
          <w:u w:val="single"/>
          <w:lang w:val="es-MX"/>
        </w:rPr>
        <w:t>CONCLUSIONES</w:t>
      </w:r>
    </w:p>
    <w:p w:rsidR="00000000" w:rsidRDefault="002760A1">
      <w:pPr>
        <w:pStyle w:val="Textoindependiente3"/>
        <w:spacing w:line="360" w:lineRule="auto"/>
        <w:rPr>
          <w:u w:val="single"/>
          <w:lang w:val="es-MX"/>
        </w:rPr>
      </w:pPr>
    </w:p>
    <w:p w:rsidR="00000000" w:rsidRDefault="002760A1">
      <w:pPr>
        <w:pStyle w:val="Textoindependiente3"/>
        <w:spacing w:line="360" w:lineRule="auto"/>
        <w:rPr>
          <w:u w:val="single"/>
          <w:lang w:val="es-MX"/>
        </w:rPr>
      </w:pPr>
    </w:p>
    <w:p w:rsidR="00000000" w:rsidRDefault="002760A1">
      <w:pPr>
        <w:pStyle w:val="Textoindependiente3"/>
        <w:spacing w:line="360" w:lineRule="auto"/>
        <w:rPr>
          <w:lang w:val="es-MX"/>
        </w:rPr>
      </w:pPr>
      <w:r>
        <w:rPr>
          <w:lang w:val="es-MX"/>
        </w:rPr>
        <w:t>La combinación de las dos variables permite explicar en las variables tipo</w:t>
      </w:r>
      <w:r>
        <w:rPr>
          <w:lang w:val="es-MX"/>
        </w:rPr>
        <w:t xml:space="preserve"> de denunciante  y  dictamen fiscal,  determinar que estas  se agrupan más  en las categorías dictamen  acusatorio y tipo de persona natural.   La agrupación se da por la cantidad de denuncias de personas naturales y no quiere decir que no exista tipo de  </w:t>
      </w:r>
      <w:r>
        <w:rPr>
          <w:lang w:val="es-MX"/>
        </w:rPr>
        <w:t>denunciante  jurídica con dictamen acusatorio.</w:t>
      </w:r>
    </w:p>
    <w:p w:rsidR="00000000" w:rsidRDefault="002760A1">
      <w:pPr>
        <w:spacing w:line="360" w:lineRule="auto"/>
        <w:jc w:val="both"/>
        <w:rPr>
          <w:rFonts w:ascii="Arial" w:hAnsi="Arial"/>
          <w:sz w:val="24"/>
          <w:lang w:val="es-MX"/>
        </w:rPr>
      </w:pPr>
      <w:r>
        <w:rPr>
          <w:rFonts w:ascii="Arial" w:hAnsi="Arial"/>
          <w:sz w:val="24"/>
          <w:lang w:val="es-MX"/>
        </w:rPr>
        <w:t>L</w:t>
      </w:r>
      <w:r>
        <w:rPr>
          <w:rFonts w:ascii="Arial" w:hAnsi="Arial"/>
          <w:sz w:val="24"/>
          <w:lang w:val="es-MX"/>
        </w:rPr>
        <w:t>a relación de las variables tipo d</w:t>
      </w:r>
      <w:r>
        <w:rPr>
          <w:rFonts w:ascii="Arial" w:hAnsi="Arial"/>
          <w:sz w:val="24"/>
          <w:lang w:val="es-MX"/>
        </w:rPr>
        <w:t xml:space="preserve">e imputado y dictamen fiscal,  podemos determinar la agrupación de las categorías de las </w:t>
      </w:r>
      <w:r>
        <w:rPr>
          <w:rFonts w:ascii="Arial" w:hAnsi="Arial"/>
          <w:sz w:val="24"/>
          <w:lang w:val="es-MX"/>
        </w:rPr>
        <w:t>variables,</w:t>
      </w:r>
      <w:r>
        <w:rPr>
          <w:rFonts w:ascii="Arial" w:hAnsi="Arial"/>
          <w:sz w:val="24"/>
          <w:lang w:val="es-MX"/>
        </w:rPr>
        <w:t xml:space="preserve"> en dictamen acusatorio y absolutorio con tipo de imputado natural, y una </w:t>
      </w:r>
      <w:r>
        <w:rPr>
          <w:rFonts w:ascii="Arial" w:hAnsi="Arial"/>
          <w:sz w:val="24"/>
          <w:lang w:val="es-MX"/>
        </w:rPr>
        <w:t>relación más cercana con las categorías dictamen absolutorio y tipo de imputado jurídico.</w:t>
      </w:r>
    </w:p>
    <w:p w:rsidR="00000000" w:rsidRDefault="002760A1">
      <w:pPr>
        <w:spacing w:line="360" w:lineRule="auto"/>
        <w:jc w:val="both"/>
        <w:rPr>
          <w:rFonts w:ascii="Arial" w:hAnsi="Arial"/>
          <w:sz w:val="24"/>
          <w:lang w:val="es-MX"/>
        </w:rPr>
      </w:pPr>
      <w:r>
        <w:rPr>
          <w:rFonts w:ascii="Arial" w:hAnsi="Arial"/>
          <w:sz w:val="24"/>
          <w:lang w:val="es-MX"/>
        </w:rPr>
        <w:t xml:space="preserve">La </w:t>
      </w:r>
      <w:r>
        <w:rPr>
          <w:rFonts w:ascii="Arial" w:hAnsi="Arial"/>
          <w:sz w:val="24"/>
          <w:lang w:val="es-MX"/>
        </w:rPr>
        <w:t xml:space="preserve">agrupación de casi todas las categorías de las variables género de denunciante y dictamen fiscal.   Estás categorías se agrupan de una mayor proporción tomando en </w:t>
      </w:r>
      <w:r>
        <w:rPr>
          <w:rFonts w:ascii="Arial" w:hAnsi="Arial"/>
          <w:sz w:val="24"/>
          <w:lang w:val="es-MX"/>
        </w:rPr>
        <w:t>cuenta que las categorías masculino, femenino, y mixta de la variable género de denunciante, con absolutorio y acusatorio del dictamen fiscal tienen respectivamente 44.2 por ciento,  55.8 por ciento,  respectivamente ocupando casi todos los géneros de denu</w:t>
      </w:r>
      <w:r>
        <w:rPr>
          <w:rFonts w:ascii="Arial" w:hAnsi="Arial"/>
          <w:sz w:val="24"/>
          <w:lang w:val="es-MX"/>
        </w:rPr>
        <w:t>nciantes.</w:t>
      </w:r>
    </w:p>
    <w:p w:rsidR="00000000" w:rsidRDefault="002760A1">
      <w:pPr>
        <w:pStyle w:val="Sangradetextonormal"/>
        <w:spacing w:line="360" w:lineRule="auto"/>
        <w:jc w:val="both"/>
        <w:rPr>
          <w:rFonts w:ascii="Arial" w:hAnsi="Arial"/>
          <w:b w:val="0"/>
          <w:sz w:val="24"/>
        </w:rPr>
      </w:pPr>
      <w:r>
        <w:rPr>
          <w:rFonts w:ascii="Arial" w:hAnsi="Arial"/>
          <w:b w:val="0"/>
          <w:sz w:val="24"/>
        </w:rPr>
        <w:t>L</w:t>
      </w:r>
      <w:r>
        <w:rPr>
          <w:rFonts w:ascii="Arial" w:hAnsi="Arial"/>
          <w:b w:val="0"/>
          <w:sz w:val="24"/>
        </w:rPr>
        <w:t>as saturaciones conjuntas de Delito y Dictamen Fisca</w:t>
      </w:r>
      <w:r>
        <w:rPr>
          <w:rFonts w:ascii="Arial" w:hAnsi="Arial"/>
          <w:b w:val="0"/>
          <w:sz w:val="24"/>
        </w:rPr>
        <w:t>l</w:t>
      </w:r>
      <w:r>
        <w:rPr>
          <w:rFonts w:ascii="Arial" w:hAnsi="Arial"/>
          <w:b w:val="0"/>
          <w:sz w:val="24"/>
        </w:rPr>
        <w:t xml:space="preserve">, con sus respectivas </w:t>
      </w:r>
      <w:r>
        <w:rPr>
          <w:rFonts w:ascii="Arial" w:hAnsi="Arial"/>
          <w:b w:val="0"/>
          <w:sz w:val="24"/>
        </w:rPr>
        <w:t>categorías,</w:t>
      </w:r>
      <w:r>
        <w:rPr>
          <w:rFonts w:ascii="Arial" w:hAnsi="Arial"/>
          <w:b w:val="0"/>
          <w:sz w:val="24"/>
        </w:rPr>
        <w:t xml:space="preserve"> Delito contra la propiedad, Delito contra las personas, Delito contra la Administración Pública, Delito contra la Honra, Delito contra la Fe Pública, Delitos</w:t>
      </w:r>
      <w:r>
        <w:rPr>
          <w:rFonts w:ascii="Arial" w:hAnsi="Arial"/>
          <w:b w:val="0"/>
          <w:sz w:val="24"/>
        </w:rPr>
        <w:t xml:space="preserve"> contra las Garantías Constitucionales y la Igualdad racial, Delitos sexuales, Delitos contra el Estado civil, Delito contra la Seguridad Pública,  se encuentran agrupados  más cercanos con las categorías  acusatorio y un poco más lejano del absolutorio,  </w:t>
      </w:r>
      <w:r>
        <w:rPr>
          <w:rFonts w:ascii="Arial" w:hAnsi="Arial"/>
          <w:b w:val="0"/>
          <w:sz w:val="24"/>
        </w:rPr>
        <w:t>al igual que delito contra la Seguridad del Estados y delito aduanero.</w:t>
      </w:r>
    </w:p>
    <w:p w:rsidR="00000000" w:rsidRDefault="002760A1">
      <w:pPr>
        <w:spacing w:line="480" w:lineRule="auto"/>
        <w:jc w:val="both"/>
        <w:rPr>
          <w:rFonts w:ascii="Arial" w:hAnsi="Arial"/>
          <w:sz w:val="24"/>
        </w:rPr>
      </w:pPr>
    </w:p>
    <w:p w:rsidR="00000000" w:rsidRDefault="002760A1">
      <w:pPr>
        <w:tabs>
          <w:tab w:val="left" w:pos="4800"/>
        </w:tabs>
        <w:spacing w:line="480" w:lineRule="auto"/>
        <w:ind w:right="120"/>
        <w:jc w:val="both"/>
        <w:rPr>
          <w:rFonts w:ascii="Arial" w:hAnsi="Arial"/>
          <w:sz w:val="24"/>
        </w:rPr>
      </w:pPr>
    </w:p>
    <w:p w:rsidR="00000000" w:rsidRDefault="002760A1">
      <w:pPr>
        <w:tabs>
          <w:tab w:val="left" w:pos="4800"/>
        </w:tabs>
        <w:spacing w:line="480" w:lineRule="auto"/>
        <w:ind w:right="120"/>
        <w:jc w:val="both"/>
        <w:rPr>
          <w:rFonts w:ascii="Arial" w:hAnsi="Arial"/>
        </w:rPr>
      </w:pPr>
    </w:p>
    <w:p w:rsidR="00000000" w:rsidRDefault="002760A1">
      <w:pPr>
        <w:rPr>
          <w:sz w:val="28"/>
          <w:lang w:val="es-MX"/>
        </w:rPr>
      </w:pPr>
    </w:p>
    <w:p w:rsidR="00000000" w:rsidRDefault="002760A1">
      <w:pPr>
        <w:rPr>
          <w:sz w:val="28"/>
          <w:lang w:val="es-MX"/>
        </w:rPr>
      </w:pPr>
    </w:p>
    <w:p w:rsidR="00000000" w:rsidRDefault="002760A1">
      <w:pPr>
        <w:rPr>
          <w:sz w:val="28"/>
          <w:lang w:val="es-MX"/>
        </w:rPr>
      </w:pPr>
    </w:p>
    <w:p w:rsidR="00000000" w:rsidRDefault="002760A1">
      <w:pPr>
        <w:rPr>
          <w:sz w:val="28"/>
          <w:lang w:val="es-MX"/>
        </w:rPr>
      </w:pPr>
    </w:p>
    <w:p w:rsidR="00000000" w:rsidRDefault="002760A1">
      <w:pPr>
        <w:pStyle w:val="Ttulo2"/>
      </w:pPr>
      <w:r>
        <w:t>REFERENCIAS</w:t>
      </w:r>
    </w:p>
    <w:p w:rsidR="00000000" w:rsidRDefault="002760A1"/>
    <w:p w:rsidR="00000000" w:rsidRDefault="002760A1">
      <w:pPr>
        <w:pStyle w:val="Textoindependiente"/>
        <w:numPr>
          <w:ilvl w:val="0"/>
          <w:numId w:val="3"/>
        </w:numPr>
        <w:spacing w:line="360" w:lineRule="auto"/>
        <w:jc w:val="left"/>
        <w:rPr>
          <w:sz w:val="24"/>
        </w:rPr>
      </w:pPr>
      <w:r>
        <w:rPr>
          <w:b/>
          <w:sz w:val="24"/>
        </w:rPr>
        <w:t>CODIGO PENAL.</w:t>
      </w:r>
      <w:r>
        <w:rPr>
          <w:sz w:val="24"/>
        </w:rPr>
        <w:t xml:space="preserve"> Legislación Conexa. L</w:t>
      </w:r>
      <w:r>
        <w:rPr>
          <w:sz w:val="24"/>
        </w:rPr>
        <w:t xml:space="preserve">egislación Codificada  (Edición </w:t>
      </w:r>
      <w:r>
        <w:rPr>
          <w:sz w:val="24"/>
        </w:rPr>
        <w:t>tercera).</w:t>
      </w:r>
    </w:p>
    <w:p w:rsidR="00000000" w:rsidRDefault="002760A1">
      <w:pPr>
        <w:pStyle w:val="Textoindependiente"/>
        <w:numPr>
          <w:ilvl w:val="0"/>
          <w:numId w:val="3"/>
        </w:numPr>
        <w:spacing w:line="360" w:lineRule="auto"/>
        <w:jc w:val="left"/>
        <w:rPr>
          <w:sz w:val="24"/>
        </w:rPr>
      </w:pPr>
      <w:r>
        <w:rPr>
          <w:b/>
          <w:sz w:val="24"/>
        </w:rPr>
        <w:t>CODIGO DE PROCEDIMIENTO CIVIL.</w:t>
      </w:r>
      <w:r>
        <w:rPr>
          <w:sz w:val="24"/>
        </w:rPr>
        <w:t xml:space="preserve">  Leyes. Casación.   </w:t>
      </w:r>
    </w:p>
    <w:p w:rsidR="00000000" w:rsidRDefault="002760A1">
      <w:pPr>
        <w:pStyle w:val="Textoindependiente"/>
        <w:numPr>
          <w:ilvl w:val="0"/>
          <w:numId w:val="3"/>
        </w:numPr>
        <w:spacing w:line="360" w:lineRule="auto"/>
        <w:jc w:val="left"/>
        <w:rPr>
          <w:sz w:val="24"/>
        </w:rPr>
      </w:pPr>
      <w:r>
        <w:rPr>
          <w:b/>
          <w:sz w:val="24"/>
        </w:rPr>
        <w:t>VISAUTA, V.</w:t>
      </w:r>
      <w:r>
        <w:rPr>
          <w:sz w:val="24"/>
        </w:rPr>
        <w:t xml:space="preserve">  “ Análisis Estadístico con SPSS para Windows”.</w:t>
      </w:r>
    </w:p>
    <w:p w:rsidR="00000000" w:rsidRDefault="002760A1">
      <w:pPr>
        <w:spacing w:line="360" w:lineRule="auto"/>
        <w:ind w:left="525"/>
        <w:rPr>
          <w:rFonts w:ascii="Arial" w:hAnsi="Arial"/>
          <w:sz w:val="24"/>
          <w:lang w:val="es-MX"/>
        </w:rPr>
      </w:pPr>
      <w:r>
        <w:rPr>
          <w:rFonts w:ascii="Arial" w:hAnsi="Arial"/>
          <w:sz w:val="24"/>
          <w:lang w:val="es-MX"/>
        </w:rPr>
        <w:t>Estadística Básica, McGraw-Hill/Int</w:t>
      </w:r>
      <w:r>
        <w:rPr>
          <w:rFonts w:ascii="Arial" w:hAnsi="Arial"/>
          <w:sz w:val="24"/>
          <w:lang w:val="es-MX"/>
        </w:rPr>
        <w:t>eram</w:t>
      </w:r>
      <w:r>
        <w:rPr>
          <w:rFonts w:ascii="Arial" w:hAnsi="Arial"/>
          <w:sz w:val="24"/>
          <w:lang w:val="es-MX"/>
        </w:rPr>
        <w:t>ericana S.A. Madrid, España</w:t>
      </w:r>
    </w:p>
    <w:p w:rsidR="00000000" w:rsidRDefault="002760A1">
      <w:pPr>
        <w:spacing w:line="360" w:lineRule="auto"/>
        <w:ind w:left="525"/>
        <w:rPr>
          <w:rFonts w:ascii="Arial" w:hAnsi="Arial"/>
          <w:sz w:val="24"/>
          <w:lang w:val="es-MX"/>
        </w:rPr>
      </w:pPr>
    </w:p>
    <w:p w:rsidR="00000000" w:rsidRDefault="002760A1">
      <w:pPr>
        <w:spacing w:line="360" w:lineRule="auto"/>
        <w:rPr>
          <w:rFonts w:ascii="Arial" w:hAnsi="Arial"/>
          <w:sz w:val="24"/>
          <w:lang w:val="es-MX"/>
        </w:rPr>
      </w:pPr>
      <w:r>
        <w:rPr>
          <w:rFonts w:ascii="Arial" w:hAnsi="Arial"/>
          <w:sz w:val="24"/>
          <w:lang w:val="es-MX"/>
        </w:rPr>
        <w:t>d)</w:t>
      </w:r>
      <w:r>
        <w:rPr>
          <w:rFonts w:ascii="Arial" w:hAnsi="Arial"/>
          <w:b/>
          <w:sz w:val="24"/>
          <w:lang w:val="es-MX"/>
        </w:rPr>
        <w:t xml:space="preserve"> </w:t>
      </w:r>
      <w:r>
        <w:rPr>
          <w:rFonts w:ascii="Arial" w:hAnsi="Arial"/>
          <w:b/>
          <w:sz w:val="24"/>
          <w:lang w:val="es-MX"/>
        </w:rPr>
        <w:t>Johnson, R. Y Wichern, W.</w:t>
      </w:r>
      <w:r>
        <w:rPr>
          <w:rFonts w:ascii="Arial" w:hAnsi="Arial"/>
          <w:sz w:val="24"/>
          <w:lang w:val="es-MX"/>
        </w:rPr>
        <w:t xml:space="preserve">  </w:t>
      </w:r>
      <w:r>
        <w:rPr>
          <w:rFonts w:ascii="Arial" w:hAnsi="Arial"/>
          <w:i/>
          <w:sz w:val="24"/>
          <w:lang w:val="es-MX"/>
        </w:rPr>
        <w:t>“Applied Multivariate Statical Analysis”.</w:t>
      </w:r>
      <w:r>
        <w:rPr>
          <w:rFonts w:ascii="Arial" w:hAnsi="Arial"/>
          <w:sz w:val="24"/>
          <w:lang w:val="es-MX"/>
        </w:rPr>
        <w:t xml:space="preserve"> Prentice                              </w:t>
      </w:r>
      <w:r>
        <w:rPr>
          <w:rFonts w:ascii="Arial" w:hAnsi="Arial"/>
          <w:sz w:val="24"/>
          <w:lang w:val="es-MX"/>
        </w:rPr>
        <w:t xml:space="preserve">  </w:t>
      </w:r>
      <w:r>
        <w:rPr>
          <w:rFonts w:ascii="Arial" w:hAnsi="Arial"/>
          <w:sz w:val="24"/>
          <w:lang w:val="es-MX"/>
        </w:rPr>
        <w:t>Hall, Upper Saddle river, new Yersey, USA.</w:t>
      </w:r>
    </w:p>
    <w:p w:rsidR="00000000" w:rsidRDefault="002760A1">
      <w:pPr>
        <w:spacing w:line="360" w:lineRule="auto"/>
        <w:rPr>
          <w:rFonts w:ascii="Arial" w:hAnsi="Arial"/>
          <w:sz w:val="24"/>
          <w:lang w:val="es-MX"/>
        </w:rPr>
      </w:pPr>
      <w:r>
        <w:rPr>
          <w:rFonts w:ascii="Arial" w:hAnsi="Arial"/>
          <w:sz w:val="24"/>
          <w:lang w:val="es-MX"/>
        </w:rPr>
        <w:t>e)</w:t>
      </w:r>
      <w:r>
        <w:rPr>
          <w:rFonts w:ascii="Arial" w:hAnsi="Arial"/>
          <w:b/>
          <w:sz w:val="24"/>
          <w:lang w:val="es-MX"/>
        </w:rPr>
        <w:t xml:space="preserve"> </w:t>
      </w:r>
      <w:r>
        <w:rPr>
          <w:rFonts w:ascii="Arial" w:hAnsi="Arial"/>
          <w:b/>
          <w:sz w:val="24"/>
          <w:lang w:val="es-MX"/>
        </w:rPr>
        <w:t>Mendenhall, W.</w:t>
      </w:r>
      <w:r>
        <w:rPr>
          <w:rFonts w:ascii="Arial" w:hAnsi="Arial"/>
          <w:sz w:val="24"/>
          <w:lang w:val="es-MX"/>
        </w:rPr>
        <w:t xml:space="preserve"> </w:t>
      </w:r>
      <w:r>
        <w:rPr>
          <w:rFonts w:ascii="Arial" w:hAnsi="Arial"/>
          <w:i/>
          <w:sz w:val="24"/>
          <w:lang w:val="es-MX"/>
        </w:rPr>
        <w:t>“ Estadística  Matemática con aplicaciones”.</w:t>
      </w:r>
    </w:p>
    <w:p w:rsidR="00000000" w:rsidRDefault="002760A1">
      <w:pPr>
        <w:pStyle w:val="Textoindependiente"/>
        <w:spacing w:line="360" w:lineRule="auto"/>
        <w:jc w:val="left"/>
        <w:rPr>
          <w:sz w:val="24"/>
        </w:rPr>
      </w:pPr>
      <w:r>
        <w:rPr>
          <w:sz w:val="24"/>
        </w:rPr>
        <w:t xml:space="preserve">         </w:t>
      </w:r>
      <w:r>
        <w:rPr>
          <w:sz w:val="24"/>
        </w:rPr>
        <w:t>Grupo Editorial Iberoamérica, México, México.</w:t>
      </w:r>
    </w:p>
    <w:p w:rsidR="00000000" w:rsidRDefault="002760A1">
      <w:pPr>
        <w:spacing w:line="360" w:lineRule="auto"/>
        <w:rPr>
          <w:rFonts w:ascii="Arial" w:hAnsi="Arial"/>
          <w:b/>
          <w:sz w:val="24"/>
          <w:lang w:val="es-MX"/>
        </w:rPr>
      </w:pPr>
      <w:r>
        <w:rPr>
          <w:rFonts w:ascii="Arial" w:hAnsi="Arial"/>
          <w:sz w:val="24"/>
          <w:lang w:val="es-MX"/>
        </w:rPr>
        <w:t>f)</w:t>
      </w:r>
      <w:r>
        <w:rPr>
          <w:rFonts w:ascii="Arial" w:hAnsi="Arial"/>
          <w:b/>
          <w:sz w:val="24"/>
          <w:lang w:val="es-MX"/>
        </w:rPr>
        <w:t xml:space="preserve"> Referencia de internet </w:t>
      </w:r>
      <w:r>
        <w:rPr>
          <w:rFonts w:ascii="Arial" w:hAnsi="Arial"/>
          <w:b/>
          <w:sz w:val="24"/>
          <w:lang w:val="es-MX"/>
        </w:rPr>
        <w:t>DLHora</w:t>
      </w:r>
      <w:r>
        <w:rPr>
          <w:rFonts w:ascii="Arial" w:hAnsi="Arial"/>
          <w:b/>
          <w:sz w:val="24"/>
          <w:lang w:val="es-MX"/>
        </w:rPr>
        <w:t xml:space="preserve">:    </w:t>
      </w:r>
      <w:hyperlink r:id="rId14" w:history="1">
        <w:r>
          <w:rPr>
            <w:rStyle w:val="Hipervnculo"/>
            <w:rFonts w:ascii="Arial" w:hAnsi="Arial"/>
            <w:color w:val="auto"/>
            <w:sz w:val="24"/>
          </w:rPr>
          <w:t>http://www.dlh.hora.com.ec/paginas/judicial/paginas/Mpublico2.htm</w:t>
        </w:r>
      </w:hyperlink>
      <w:r>
        <w:rPr>
          <w:rFonts w:ascii="Arial" w:hAnsi="Arial"/>
          <w:sz w:val="24"/>
          <w:lang w:val="es-MX"/>
        </w:rPr>
        <w:t>, Agosto 2001.</w:t>
      </w:r>
    </w:p>
    <w:p w:rsidR="00000000" w:rsidRDefault="002760A1">
      <w:pPr>
        <w:spacing w:line="360" w:lineRule="auto"/>
        <w:ind w:left="525"/>
        <w:rPr>
          <w:rFonts w:ascii="Arial" w:hAnsi="Arial"/>
          <w:sz w:val="24"/>
          <w:lang w:val="es-MX"/>
        </w:rPr>
      </w:pPr>
    </w:p>
    <w:p w:rsidR="00000000" w:rsidRDefault="002760A1">
      <w:pPr>
        <w:numPr>
          <w:ilvl w:val="0"/>
          <w:numId w:val="2"/>
        </w:numPr>
        <w:spacing w:line="360" w:lineRule="auto"/>
        <w:rPr>
          <w:rFonts w:ascii="Arial" w:hAnsi="Arial"/>
          <w:sz w:val="24"/>
          <w:lang w:val="es-MX"/>
        </w:rPr>
      </w:pPr>
      <w:r>
        <w:rPr>
          <w:rFonts w:ascii="Arial" w:hAnsi="Arial"/>
          <w:sz w:val="24"/>
          <w:lang w:val="es-MX"/>
        </w:rPr>
        <w:t xml:space="preserve">“El fiscal </w:t>
      </w:r>
      <w:r>
        <w:rPr>
          <w:rFonts w:ascii="Arial" w:hAnsi="Arial"/>
          <w:sz w:val="24"/>
          <w:lang w:val="es-MX"/>
        </w:rPr>
        <w:t>es o no parte de un juicio penal”   (Dr. José  C. García Falconí)</w:t>
      </w:r>
    </w:p>
    <w:p w:rsidR="00000000" w:rsidRDefault="002760A1">
      <w:pPr>
        <w:numPr>
          <w:ilvl w:val="0"/>
          <w:numId w:val="2"/>
        </w:numPr>
        <w:spacing w:line="360" w:lineRule="auto"/>
        <w:rPr>
          <w:rFonts w:ascii="Arial" w:hAnsi="Arial"/>
          <w:sz w:val="24"/>
          <w:lang w:val="es-MX"/>
        </w:rPr>
      </w:pPr>
      <w:r>
        <w:rPr>
          <w:rFonts w:ascii="Arial" w:hAnsi="Arial"/>
          <w:sz w:val="24"/>
          <w:lang w:val="es-MX"/>
        </w:rPr>
        <w:t>“Responsabilidad de los jueces en la administración Judicial” ( Dr. José C.  García Falconí)</w:t>
      </w:r>
    </w:p>
    <w:p w:rsidR="00000000" w:rsidRDefault="002760A1">
      <w:pPr>
        <w:numPr>
          <w:ilvl w:val="0"/>
          <w:numId w:val="2"/>
        </w:numPr>
        <w:spacing w:line="360" w:lineRule="auto"/>
        <w:rPr>
          <w:rFonts w:ascii="Arial" w:hAnsi="Arial"/>
          <w:sz w:val="24"/>
          <w:lang w:val="es-MX"/>
        </w:rPr>
      </w:pPr>
      <w:r>
        <w:rPr>
          <w:rFonts w:ascii="Arial" w:hAnsi="Arial"/>
          <w:sz w:val="24"/>
          <w:lang w:val="es-MX"/>
        </w:rPr>
        <w:t>“ Qué es la Justicia”  (Dr. José C. García Falconí)</w:t>
      </w:r>
    </w:p>
    <w:p w:rsidR="00000000" w:rsidRDefault="002760A1">
      <w:pPr>
        <w:numPr>
          <w:ilvl w:val="0"/>
          <w:numId w:val="2"/>
        </w:numPr>
        <w:spacing w:line="360" w:lineRule="auto"/>
        <w:rPr>
          <w:rFonts w:ascii="Arial" w:hAnsi="Arial"/>
          <w:sz w:val="24"/>
          <w:lang w:val="es-MX"/>
        </w:rPr>
      </w:pPr>
      <w:r>
        <w:rPr>
          <w:rFonts w:ascii="Arial" w:hAnsi="Arial"/>
          <w:sz w:val="24"/>
          <w:lang w:val="es-MX"/>
        </w:rPr>
        <w:t>“Perfil de un Fiscal”  (Dr. Bayardo Moreno Pi</w:t>
      </w:r>
      <w:r>
        <w:rPr>
          <w:rFonts w:ascii="Arial" w:hAnsi="Arial"/>
          <w:sz w:val="24"/>
          <w:lang w:val="es-MX"/>
        </w:rPr>
        <w:t>edrahita)</w:t>
      </w:r>
    </w:p>
    <w:p w:rsidR="00000000" w:rsidRDefault="002760A1">
      <w:pPr>
        <w:numPr>
          <w:ilvl w:val="0"/>
          <w:numId w:val="2"/>
        </w:numPr>
        <w:spacing w:line="360" w:lineRule="auto"/>
        <w:rPr>
          <w:rFonts w:ascii="Arial" w:hAnsi="Arial"/>
          <w:sz w:val="24"/>
          <w:lang w:val="es-MX"/>
        </w:rPr>
      </w:pPr>
      <w:r>
        <w:rPr>
          <w:rFonts w:ascii="Arial" w:hAnsi="Arial"/>
          <w:sz w:val="24"/>
          <w:lang w:val="es-MX"/>
        </w:rPr>
        <w:t>“Fiscal”  (Dr. Bolívar León Veláquez)</w:t>
      </w:r>
    </w:p>
    <w:p w:rsidR="00000000" w:rsidRDefault="002760A1"/>
    <w:p w:rsidR="00000000" w:rsidRDefault="002760A1">
      <w:pPr>
        <w:rPr>
          <w:sz w:val="28"/>
          <w:lang w:val="es-MX"/>
        </w:rPr>
      </w:pPr>
    </w:p>
    <w:p w:rsidR="002760A1" w:rsidRDefault="002760A1">
      <w:pPr>
        <w:rPr>
          <w:sz w:val="28"/>
          <w:lang w:val="es-MX"/>
        </w:rPr>
      </w:pPr>
    </w:p>
    <w:sectPr w:rsidR="002760A1">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613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
    <w:nsid w:val="583231FB"/>
    <w:multiLevelType w:val="multilevel"/>
    <w:tmpl w:val="5E22D10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72B27A48"/>
    <w:multiLevelType w:val="singleLevel"/>
    <w:tmpl w:val="0C0A0017"/>
    <w:lvl w:ilvl="0">
      <w:start w:val="1"/>
      <w:numFmt w:val="lowerLetter"/>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compat/>
  <w:rsids>
    <w:rsidRoot w:val="000202E1"/>
    <w:rsid w:val="000202E1"/>
    <w:rsid w:val="002760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left" w:pos="4800"/>
      </w:tabs>
      <w:spacing w:line="480" w:lineRule="auto"/>
      <w:ind w:right="120"/>
      <w:jc w:val="both"/>
      <w:outlineLvl w:val="0"/>
    </w:pPr>
    <w:rPr>
      <w:rFonts w:ascii="Arial" w:hAnsi="Arial"/>
      <w:sz w:val="24"/>
      <w:u w:val="single"/>
    </w:rPr>
  </w:style>
  <w:style w:type="paragraph" w:styleId="Ttulo2">
    <w:name w:val="heading 2"/>
    <w:basedOn w:val="Normal"/>
    <w:next w:val="Normal"/>
    <w:qFormat/>
    <w:pPr>
      <w:keepNext/>
      <w:outlineLvl w:val="1"/>
    </w:pPr>
    <w:rPr>
      <w:sz w:val="28"/>
      <w:u w:val="single"/>
      <w:lang w:val="es-MX"/>
    </w:rPr>
  </w:style>
  <w:style w:type="paragraph" w:styleId="Ttulo3">
    <w:name w:val="heading 3"/>
    <w:basedOn w:val="Normal"/>
    <w:next w:val="Normal"/>
    <w:qFormat/>
    <w:pPr>
      <w:keepNext/>
      <w:tabs>
        <w:tab w:val="left" w:pos="4800"/>
      </w:tabs>
      <w:spacing w:line="480" w:lineRule="auto"/>
      <w:ind w:right="120"/>
      <w:jc w:val="both"/>
      <w:outlineLvl w:val="2"/>
    </w:pPr>
    <w:rPr>
      <w:rFonts w:ascii="Arial" w:hAnsi="Arial"/>
      <w:sz w:val="28"/>
      <w:u w:val="single"/>
    </w:rPr>
  </w:style>
  <w:style w:type="paragraph" w:styleId="Ttulo4">
    <w:name w:val="heading 4"/>
    <w:basedOn w:val="Normal"/>
    <w:next w:val="Normal"/>
    <w:qFormat/>
    <w:pPr>
      <w:keepNext/>
      <w:jc w:val="center"/>
      <w:outlineLvl w:val="3"/>
    </w:pPr>
    <w:rPr>
      <w:b/>
      <w:lang w:val="es-MX"/>
    </w:rPr>
  </w:style>
  <w:style w:type="paragraph" w:styleId="Ttulo5">
    <w:name w:val="heading 5"/>
    <w:basedOn w:val="Normal"/>
    <w:next w:val="Normal"/>
    <w:qFormat/>
    <w:pPr>
      <w:keepNext/>
      <w:ind w:left="567"/>
      <w:outlineLvl w:val="4"/>
    </w:pPr>
    <w:rPr>
      <w:rFonts w:ascii="Arial" w:hAnsi="Arial"/>
      <w:b/>
      <w:sz w:val="24"/>
      <w:lang w:val="es-MX"/>
    </w:rPr>
  </w:style>
  <w:style w:type="paragraph" w:styleId="Ttulo6">
    <w:name w:val="heading 6"/>
    <w:basedOn w:val="Normal"/>
    <w:next w:val="Normal"/>
    <w:qFormat/>
    <w:pPr>
      <w:keepNext/>
      <w:jc w:val="center"/>
      <w:outlineLvl w:val="5"/>
    </w:pPr>
    <w:rPr>
      <w:b/>
      <w:sz w:val="24"/>
      <w:lang w:val="es-MX"/>
    </w:rPr>
  </w:style>
  <w:style w:type="paragraph" w:styleId="Ttulo7">
    <w:name w:val="heading 7"/>
    <w:basedOn w:val="Normal"/>
    <w:next w:val="Normal"/>
    <w:qFormat/>
    <w:pPr>
      <w:keepNext/>
      <w:ind w:left="567"/>
      <w:outlineLvl w:val="6"/>
    </w:pPr>
    <w:rPr>
      <w:rFonts w:ascii="Arial" w:hAnsi="Arial"/>
      <w:sz w:val="24"/>
    </w:rPr>
  </w:style>
  <w:style w:type="paragraph" w:styleId="Ttulo8">
    <w:name w:val="heading 8"/>
    <w:basedOn w:val="Normal"/>
    <w:next w:val="Normal"/>
    <w:qFormat/>
    <w:pPr>
      <w:keepNext/>
      <w:outlineLvl w:val="7"/>
    </w:pPr>
    <w:rPr>
      <w:rFonts w:ascii="Arial" w:hAnsi="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sz w:val="48"/>
      <w:lang w:val="es-MX"/>
    </w:rPr>
  </w:style>
  <w:style w:type="paragraph" w:styleId="Textodebloque">
    <w:name w:val="Block Text"/>
    <w:basedOn w:val="Normal"/>
    <w:semiHidden/>
    <w:pPr>
      <w:tabs>
        <w:tab w:val="left" w:pos="4800"/>
      </w:tabs>
      <w:spacing w:line="480" w:lineRule="auto"/>
      <w:ind w:left="720" w:right="300"/>
      <w:jc w:val="both"/>
    </w:pPr>
    <w:rPr>
      <w:rFonts w:ascii="Arial" w:hAnsi="Arial"/>
      <w:sz w:val="28"/>
    </w:rPr>
  </w:style>
  <w:style w:type="paragraph" w:styleId="Textoindependiente2">
    <w:name w:val="Body Text 2"/>
    <w:basedOn w:val="Normal"/>
    <w:semiHidden/>
    <w:pPr>
      <w:tabs>
        <w:tab w:val="left" w:pos="4800"/>
      </w:tabs>
      <w:spacing w:line="480" w:lineRule="auto"/>
      <w:ind w:right="120"/>
      <w:jc w:val="both"/>
    </w:pPr>
    <w:rPr>
      <w:rFonts w:ascii="Arial" w:hAnsi="Arial"/>
      <w:sz w:val="24"/>
    </w:rPr>
  </w:style>
  <w:style w:type="paragraph" w:styleId="Textoindependiente3">
    <w:name w:val="Body Text 3"/>
    <w:basedOn w:val="Normal"/>
    <w:semiHidden/>
    <w:pPr>
      <w:spacing w:line="480" w:lineRule="auto"/>
      <w:jc w:val="both"/>
    </w:pPr>
    <w:rPr>
      <w:rFonts w:ascii="Arial" w:hAnsi="Arial"/>
      <w:sz w:val="24"/>
    </w:rPr>
  </w:style>
  <w:style w:type="paragraph" w:styleId="Sangra2detindependiente">
    <w:name w:val="Body Text Indent 2"/>
    <w:basedOn w:val="Normal"/>
    <w:semiHidden/>
    <w:pPr>
      <w:spacing w:line="480" w:lineRule="auto"/>
      <w:ind w:left="567"/>
      <w:jc w:val="both"/>
    </w:pPr>
    <w:rPr>
      <w:rFonts w:ascii="Arial" w:hAnsi="Arial"/>
      <w:sz w:val="24"/>
    </w:rPr>
  </w:style>
  <w:style w:type="paragraph" w:styleId="Sangra3detindependiente">
    <w:name w:val="Body Text Indent 3"/>
    <w:basedOn w:val="Normal"/>
    <w:semiHidden/>
    <w:pPr>
      <w:spacing w:line="480" w:lineRule="auto"/>
      <w:ind w:left="567"/>
    </w:pPr>
    <w:rPr>
      <w:rFonts w:ascii="Arial" w:hAnsi="Arial"/>
      <w:sz w:val="24"/>
    </w:rPr>
  </w:style>
  <w:style w:type="paragraph" w:styleId="Subttulo">
    <w:name w:val="Subtitle"/>
    <w:basedOn w:val="Normal"/>
    <w:qFormat/>
    <w:pPr>
      <w:jc w:val="both"/>
    </w:pPr>
    <w:rPr>
      <w:rFonts w:ascii="Verdana" w:hAnsi="Verdana"/>
      <w:b/>
      <w:sz w:val="32"/>
    </w:rPr>
  </w:style>
  <w:style w:type="paragraph" w:styleId="Sangradetextonormal">
    <w:name w:val="Body Text Indent"/>
    <w:basedOn w:val="Normal"/>
    <w:semiHidden/>
    <w:pPr>
      <w:jc w:val="center"/>
    </w:pPr>
    <w:rPr>
      <w:b/>
      <w:lang w:val="es-MX"/>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dlh.hora.com.ec/paginas/judicial/paginas/Mpublico2.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0375335120643437"/>
          <c:y val="0.12000000000000002"/>
          <c:w val="0.76943699731903481"/>
          <c:h val="0.43428571428571439"/>
        </c:manualLayout>
      </c:layout>
      <c:barChart>
        <c:barDir val="col"/>
        <c:grouping val="clustered"/>
        <c:ser>
          <c:idx val="1"/>
          <c:order val="0"/>
          <c:spPr>
            <a:solidFill>
              <a:srgbClr val="808080"/>
            </a:solidFill>
            <a:ln w="3011">
              <a:solidFill>
                <a:srgbClr val="000000"/>
              </a:solidFill>
              <a:prstDash val="solid"/>
            </a:ln>
          </c:spPr>
          <c:cat>
            <c:strRef>
              <c:f>Hoja1!$C$4:$C$9</c:f>
              <c:strCache>
                <c:ptCount val="6"/>
                <c:pt idx="0">
                  <c:v>Octubre</c:v>
                </c:pt>
                <c:pt idx="1">
                  <c:v>Noviembre</c:v>
                </c:pt>
                <c:pt idx="2">
                  <c:v>Diciembre</c:v>
                </c:pt>
                <c:pt idx="3">
                  <c:v>Enero</c:v>
                </c:pt>
                <c:pt idx="4">
                  <c:v>Febrero</c:v>
                </c:pt>
                <c:pt idx="5">
                  <c:v>Marzo</c:v>
                </c:pt>
              </c:strCache>
            </c:strRef>
          </c:cat>
          <c:val>
            <c:numRef>
              <c:f>Hoja1!$D$4:$D$9</c:f>
            </c:numRef>
          </c:val>
        </c:ser>
        <c:ser>
          <c:idx val="0"/>
          <c:order val="1"/>
          <c:spPr>
            <a:solidFill>
              <a:srgbClr val="969696"/>
            </a:solidFill>
            <a:ln w="12044">
              <a:solidFill>
                <a:srgbClr val="000000"/>
              </a:solidFill>
              <a:prstDash val="solid"/>
            </a:ln>
          </c:spPr>
          <c:cat>
            <c:strRef>
              <c:f>Hoja1!$C$4:$C$9</c:f>
              <c:strCache>
                <c:ptCount val="6"/>
                <c:pt idx="0">
                  <c:v>Octubre</c:v>
                </c:pt>
                <c:pt idx="1">
                  <c:v>Noviembre</c:v>
                </c:pt>
                <c:pt idx="2">
                  <c:v>Diciembre</c:v>
                </c:pt>
                <c:pt idx="3">
                  <c:v>Enero</c:v>
                </c:pt>
                <c:pt idx="4">
                  <c:v>Febrero</c:v>
                </c:pt>
                <c:pt idx="5">
                  <c:v>Marzo</c:v>
                </c:pt>
              </c:strCache>
            </c:strRef>
          </c:cat>
          <c:val>
            <c:numRef>
              <c:f>Hoja1!$E$4:$E$9</c:f>
              <c:numCache>
                <c:formatCode>0.000</c:formatCode>
                <c:ptCount val="6"/>
                <c:pt idx="0">
                  <c:v>0.16900093370681615</c:v>
                </c:pt>
                <c:pt idx="1">
                  <c:v>0.19701213818860888</c:v>
                </c:pt>
                <c:pt idx="2">
                  <c:v>0.15219421101774044</c:v>
                </c:pt>
                <c:pt idx="3">
                  <c:v>0.20588235294117649</c:v>
                </c:pt>
                <c:pt idx="4">
                  <c:v>0.12044817927170869</c:v>
                </c:pt>
                <c:pt idx="5">
                  <c:v>0.15546218487394969</c:v>
                </c:pt>
              </c:numCache>
            </c:numRef>
          </c:val>
        </c:ser>
        <c:axId val="122265984"/>
        <c:axId val="122267520"/>
      </c:barChart>
      <c:catAx>
        <c:axId val="122265984"/>
        <c:scaling>
          <c:orientation val="minMax"/>
        </c:scaling>
        <c:axPos val="b"/>
        <c:numFmt formatCode="General" sourceLinked="1"/>
        <c:tickLblPos val="nextTo"/>
        <c:spPr>
          <a:ln w="3011">
            <a:solidFill>
              <a:srgbClr val="000000"/>
            </a:solidFill>
            <a:prstDash val="solid"/>
          </a:ln>
        </c:spPr>
        <c:txPr>
          <a:bodyPr rot="-2700000" vert="horz"/>
          <a:lstStyle/>
          <a:p>
            <a:pPr>
              <a:defRPr sz="854" b="0" i="0" u="none" strike="noStrike" baseline="0">
                <a:solidFill>
                  <a:srgbClr val="000000"/>
                </a:solidFill>
                <a:latin typeface="Arial"/>
                <a:ea typeface="Arial"/>
                <a:cs typeface="Arial"/>
              </a:defRPr>
            </a:pPr>
            <a:endParaRPr lang="es-ES"/>
          </a:p>
        </c:txPr>
        <c:crossAx val="122267520"/>
        <c:crosses val="autoZero"/>
        <c:auto val="1"/>
        <c:lblAlgn val="ctr"/>
        <c:lblOffset val="100"/>
        <c:tickLblSkip val="1"/>
        <c:tickMarkSkip val="1"/>
      </c:catAx>
      <c:valAx>
        <c:axId val="122267520"/>
        <c:scaling>
          <c:orientation val="minMax"/>
        </c:scaling>
        <c:axPos val="l"/>
        <c:title>
          <c:tx>
            <c:rich>
              <a:bodyPr/>
              <a:lstStyle/>
              <a:p>
                <a:pPr>
                  <a:defRPr sz="854" b="1" i="0" u="none" strike="noStrike" baseline="0">
                    <a:solidFill>
                      <a:srgbClr val="000000"/>
                    </a:solidFill>
                    <a:latin typeface="Arial"/>
                    <a:ea typeface="Arial"/>
                    <a:cs typeface="Arial"/>
                  </a:defRPr>
                </a:pPr>
                <a:r>
                  <a:t>Frecuencia Relativa</a:t>
                </a:r>
              </a:p>
            </c:rich>
          </c:tx>
          <c:layout>
            <c:manualLayout>
              <c:xMode val="edge"/>
              <c:yMode val="edge"/>
              <c:x val="2.9490616621983934E-2"/>
              <c:y val="1.1428571428571436E-2"/>
            </c:manualLayout>
          </c:layout>
          <c:spPr>
            <a:noFill/>
            <a:ln w="24088">
              <a:noFill/>
            </a:ln>
          </c:spPr>
        </c:title>
        <c:numFmt formatCode="0.000" sourceLinked="1"/>
        <c:tickLblPos val="nextTo"/>
        <c:spPr>
          <a:ln w="3011">
            <a:solidFill>
              <a:srgbClr val="000000"/>
            </a:solidFill>
            <a:prstDash val="solid"/>
          </a:ln>
        </c:spPr>
        <c:txPr>
          <a:bodyPr rot="0" vert="horz"/>
          <a:lstStyle/>
          <a:p>
            <a:pPr>
              <a:defRPr sz="854" b="0" i="0" u="none" strike="noStrike" baseline="0">
                <a:solidFill>
                  <a:srgbClr val="000000"/>
                </a:solidFill>
                <a:latin typeface="Arial"/>
                <a:ea typeface="Arial"/>
                <a:cs typeface="Arial"/>
              </a:defRPr>
            </a:pPr>
            <a:endParaRPr lang="es-ES"/>
          </a:p>
        </c:txPr>
        <c:crossAx val="122265984"/>
        <c:crosses val="autoZero"/>
        <c:crossBetween val="between"/>
      </c:valAx>
      <c:spPr>
        <a:solidFill>
          <a:srgbClr val="FFFFFF"/>
        </a:solidFill>
        <a:ln w="12044">
          <a:solidFill>
            <a:srgbClr val="808080"/>
          </a:solidFill>
          <a:prstDash val="solid"/>
        </a:ln>
      </c:spPr>
    </c:plotArea>
    <c:plotVisOnly val="1"/>
    <c:dispBlanksAs val="gap"/>
  </c:chart>
  <c:spPr>
    <a:solidFill>
      <a:srgbClr val="FFFFFF"/>
    </a:solidFill>
    <a:ln w="3011">
      <a:solidFill>
        <a:srgbClr val="000000"/>
      </a:solidFill>
      <a:prstDash val="solid"/>
    </a:ln>
  </c:spPr>
  <c:txPr>
    <a:bodyPr/>
    <a:lstStyle/>
    <a:p>
      <a:pPr>
        <a:defRPr sz="854"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4820143884892101"/>
          <c:y val="0.15267175572519084"/>
          <c:w val="0.71582733812949673"/>
          <c:h val="0.5648854961832066"/>
        </c:manualLayout>
      </c:layout>
      <c:barChart>
        <c:barDir val="col"/>
        <c:grouping val="clustered"/>
        <c:ser>
          <c:idx val="0"/>
          <c:order val="0"/>
          <c:spPr>
            <a:solidFill>
              <a:srgbClr val="808080"/>
            </a:solidFill>
            <a:ln w="3139">
              <a:solidFill>
                <a:srgbClr val="000000"/>
              </a:solidFill>
              <a:prstDash val="solid"/>
            </a:ln>
          </c:spPr>
          <c:cat>
            <c:strRef>
              <c:f>Hoja1!$C$14:$C$15</c:f>
              <c:strCache>
                <c:ptCount val="2"/>
                <c:pt idx="0">
                  <c:v>Natural</c:v>
                </c:pt>
                <c:pt idx="1">
                  <c:v>Juridica</c:v>
                </c:pt>
              </c:strCache>
            </c:strRef>
          </c:cat>
          <c:val>
            <c:numRef>
              <c:f>Hoja1!$D$14:$D$15</c:f>
            </c:numRef>
          </c:val>
        </c:ser>
        <c:ser>
          <c:idx val="1"/>
          <c:order val="1"/>
          <c:spPr>
            <a:solidFill>
              <a:srgbClr val="969696"/>
            </a:solidFill>
            <a:ln w="12557">
              <a:solidFill>
                <a:srgbClr val="000000"/>
              </a:solidFill>
              <a:prstDash val="solid"/>
            </a:ln>
          </c:spPr>
          <c:cat>
            <c:strRef>
              <c:f>Hoja1!$C$14:$C$15</c:f>
              <c:strCache>
                <c:ptCount val="2"/>
                <c:pt idx="0">
                  <c:v>Natural</c:v>
                </c:pt>
                <c:pt idx="1">
                  <c:v>Juridica</c:v>
                </c:pt>
              </c:strCache>
            </c:strRef>
          </c:cat>
          <c:val>
            <c:numRef>
              <c:f>Hoja1!$E$14:$E$15</c:f>
              <c:numCache>
                <c:formatCode>0.000</c:formatCode>
                <c:ptCount val="2"/>
                <c:pt idx="0">
                  <c:v>0.94397759103641454</c:v>
                </c:pt>
                <c:pt idx="1">
                  <c:v>5.6022408963585429E-2</c:v>
                </c:pt>
              </c:numCache>
            </c:numRef>
          </c:val>
        </c:ser>
        <c:axId val="121993856"/>
        <c:axId val="122007936"/>
      </c:barChart>
      <c:catAx>
        <c:axId val="121993856"/>
        <c:scaling>
          <c:orientation val="minMax"/>
        </c:scaling>
        <c:axPos val="b"/>
        <c:numFmt formatCode="General" sourceLinked="1"/>
        <c:tickLblPos val="nextTo"/>
        <c:spPr>
          <a:ln w="3139">
            <a:solidFill>
              <a:srgbClr val="000000"/>
            </a:solidFill>
            <a:prstDash val="solid"/>
          </a:ln>
        </c:spPr>
        <c:txPr>
          <a:bodyPr rot="0" vert="horz"/>
          <a:lstStyle/>
          <a:p>
            <a:pPr>
              <a:defRPr sz="791" b="0" i="0" u="none" strike="noStrike" baseline="0">
                <a:solidFill>
                  <a:srgbClr val="000000"/>
                </a:solidFill>
                <a:latin typeface="Arial"/>
                <a:ea typeface="Arial"/>
                <a:cs typeface="Arial"/>
              </a:defRPr>
            </a:pPr>
            <a:endParaRPr lang="es-ES"/>
          </a:p>
        </c:txPr>
        <c:crossAx val="122007936"/>
        <c:crosses val="autoZero"/>
        <c:auto val="1"/>
        <c:lblAlgn val="ctr"/>
        <c:lblOffset val="100"/>
        <c:tickLblSkip val="1"/>
        <c:tickMarkSkip val="1"/>
      </c:catAx>
      <c:valAx>
        <c:axId val="122007936"/>
        <c:scaling>
          <c:orientation val="minMax"/>
        </c:scaling>
        <c:axPos val="l"/>
        <c:title>
          <c:tx>
            <c:rich>
              <a:bodyPr/>
              <a:lstStyle/>
              <a:p>
                <a:pPr>
                  <a:defRPr sz="791" b="1" i="0" u="none" strike="noStrike" baseline="0">
                    <a:solidFill>
                      <a:srgbClr val="000000"/>
                    </a:solidFill>
                    <a:latin typeface="Arial"/>
                    <a:ea typeface="Arial"/>
                    <a:cs typeface="Arial"/>
                  </a:defRPr>
                </a:pPr>
                <a:r>
                  <a:t>Frecuencia Relativa</a:t>
                </a:r>
              </a:p>
            </c:rich>
          </c:tx>
          <c:layout>
            <c:manualLayout>
              <c:xMode val="edge"/>
              <c:yMode val="edge"/>
              <c:x val="3.9568345323741004E-2"/>
              <c:y val="2.2900763358778626E-2"/>
            </c:manualLayout>
          </c:layout>
          <c:spPr>
            <a:noFill/>
            <a:ln w="25114">
              <a:noFill/>
            </a:ln>
          </c:spPr>
        </c:title>
        <c:numFmt formatCode="0.000" sourceLinked="1"/>
        <c:tickLblPos val="nextTo"/>
        <c:spPr>
          <a:ln w="3139">
            <a:solidFill>
              <a:srgbClr val="000000"/>
            </a:solidFill>
            <a:prstDash val="solid"/>
          </a:ln>
        </c:spPr>
        <c:txPr>
          <a:bodyPr rot="0" vert="horz"/>
          <a:lstStyle/>
          <a:p>
            <a:pPr>
              <a:defRPr sz="791" b="0" i="0" u="none" strike="noStrike" baseline="0">
                <a:solidFill>
                  <a:srgbClr val="000000"/>
                </a:solidFill>
                <a:latin typeface="Arial"/>
                <a:ea typeface="Arial"/>
                <a:cs typeface="Arial"/>
              </a:defRPr>
            </a:pPr>
            <a:endParaRPr lang="es-ES"/>
          </a:p>
        </c:txPr>
        <c:crossAx val="121993856"/>
        <c:crosses val="autoZero"/>
        <c:crossBetween val="between"/>
      </c:valAx>
      <c:spPr>
        <a:solidFill>
          <a:srgbClr val="FFFFFF"/>
        </a:solidFill>
        <a:ln w="12557">
          <a:solidFill>
            <a:srgbClr val="808080"/>
          </a:solidFill>
          <a:prstDash val="solid"/>
        </a:ln>
      </c:spPr>
    </c:plotArea>
    <c:plotVisOnly val="1"/>
    <c:dispBlanksAs val="gap"/>
  </c:chart>
  <c:spPr>
    <a:solidFill>
      <a:srgbClr val="FFFFFF"/>
    </a:solidFill>
    <a:ln>
      <a:noFill/>
    </a:ln>
  </c:spPr>
  <c:txPr>
    <a:bodyPr/>
    <a:lstStyle/>
    <a:p>
      <a:pPr>
        <a:defRPr sz="791"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9022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ESTUDIO ESTADISTICO DE LAS RESOLUCIONES TOMADAS POR EL MINISTERIO FISCAL</vt:lpstr>
    </vt:vector>
  </TitlesOfParts>
  <Company>SCVL</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ESTADISTICO DE LAS RESOLUCIONES TOMADAS POR EL MINISTERIO FISCAL</dc:title>
  <dc:subject/>
  <dc:creator>Sixto</dc:creator>
  <cp:keywords/>
  <cp:lastModifiedBy>Ayudante</cp:lastModifiedBy>
  <cp:revision>2</cp:revision>
  <dcterms:created xsi:type="dcterms:W3CDTF">2009-07-14T18:50:00Z</dcterms:created>
  <dcterms:modified xsi:type="dcterms:W3CDTF">2009-07-14T18:50:00Z</dcterms:modified>
</cp:coreProperties>
</file>