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1750"/>
        <w:gridCol w:w="5760"/>
        <w:gridCol w:w="1701"/>
      </w:tblGrid>
      <w:tr w:rsidR="00000000">
        <w:tblPrEx>
          <w:tblCellMar>
            <w:top w:w="0" w:type="dxa"/>
            <w:bottom w:w="0" w:type="dxa"/>
          </w:tblCellMar>
        </w:tblPrEx>
        <w:tc>
          <w:tcPr>
            <w:tcW w:w="1750" w:type="dxa"/>
            <w:vAlign w:val="center"/>
          </w:tcPr>
          <w:p w:rsidR="00000000" w:rsidRDefault="00C04CA6">
            <w:pPr>
              <w:pStyle w:val="Textocomentario"/>
              <w:jc w:val="center"/>
              <w:rPr>
                <w:rFonts w:ascii="Arial" w:hAnsi="Arial"/>
                <w:b/>
                <w:sz w:val="24"/>
                <w:lang w:val="es-MX"/>
              </w:rPr>
            </w:pPr>
          </w:p>
          <w:p w:rsidR="00000000" w:rsidRDefault="00C04CA6">
            <w:pPr>
              <w:pStyle w:val="Textocomentario"/>
              <w:jc w:val="center"/>
              <w:rPr>
                <w:rFonts w:ascii="Arial" w:hAnsi="Arial"/>
                <w:b/>
                <w:sz w:val="24"/>
                <w:lang w:val="es-MX"/>
              </w:rPr>
            </w:pPr>
          </w:p>
        </w:tc>
        <w:tc>
          <w:tcPr>
            <w:tcW w:w="5760" w:type="dxa"/>
            <w:vAlign w:val="center"/>
          </w:tcPr>
          <w:p w:rsidR="00000000" w:rsidRDefault="00C04CA6">
            <w:pPr>
              <w:pStyle w:val="Titulodeldocumento"/>
              <w:jc w:val="center"/>
              <w:rPr>
                <w:rFonts w:ascii="Arial" w:hAnsi="Arial"/>
                <w:sz w:val="24"/>
              </w:rPr>
            </w:pPr>
            <w:r>
              <w:rPr>
                <w:rFonts w:ascii="Arial" w:hAnsi="Arial"/>
                <w:sz w:val="24"/>
              </w:rPr>
              <w:t>NORMA  de  Emisiones AL AIRE desde fuentes fijas de combustion</w:t>
            </w:r>
          </w:p>
        </w:tc>
        <w:tc>
          <w:tcPr>
            <w:tcW w:w="1701" w:type="dxa"/>
            <w:vAlign w:val="center"/>
          </w:tcPr>
          <w:p w:rsidR="00000000" w:rsidRDefault="00C04CA6">
            <w:pPr>
              <w:pStyle w:val="Textocomentario"/>
              <w:jc w:val="center"/>
              <w:rPr>
                <w:rFonts w:ascii="Arial" w:hAnsi="Arial"/>
                <w:sz w:val="24"/>
                <w:lang w:val="es-MX"/>
              </w:rPr>
            </w:pPr>
          </w:p>
        </w:tc>
      </w:tr>
    </w:tbl>
    <w:p w:rsidR="00000000" w:rsidRDefault="00C04CA6">
      <w:pPr>
        <w:pStyle w:val="Textocomentario"/>
        <w:rPr>
          <w:rFonts w:ascii="Arial" w:hAnsi="Arial"/>
          <w:sz w:val="24"/>
          <w:lang w:val="es-MX"/>
        </w:rPr>
      </w:pPr>
    </w:p>
    <w:p w:rsidR="00000000" w:rsidRDefault="00C04CA6">
      <w:pPr>
        <w:pStyle w:val="Ttulo1"/>
        <w:rPr>
          <w:rFonts w:ascii="Arial" w:hAnsi="Arial"/>
          <w:sz w:val="24"/>
        </w:rPr>
      </w:pPr>
      <w:r>
        <w:rPr>
          <w:rFonts w:ascii="Arial" w:hAnsi="Arial"/>
          <w:sz w:val="24"/>
        </w:rPr>
        <w:t>Introducción</w:t>
      </w:r>
    </w:p>
    <w:p w:rsidR="00000000" w:rsidRDefault="00C04CA6">
      <w:pPr>
        <w:rPr>
          <w:rFonts w:ascii="Arial" w:hAnsi="Arial"/>
          <w:sz w:val="24"/>
        </w:rPr>
      </w:pPr>
      <w:r>
        <w:rPr>
          <w:rFonts w:ascii="Arial" w:hAnsi="Arial"/>
          <w:sz w:val="24"/>
        </w:rPr>
        <w:t>La presente norma técnica es dictada bajo el amparo de la Ley de Gestión Ambiental y del Reglamento a la Ley de Gestión Ambiental para la Prevención y Control de la Contaminac</w:t>
      </w:r>
      <w:r>
        <w:rPr>
          <w:rFonts w:ascii="Arial" w:hAnsi="Arial"/>
          <w:sz w:val="24"/>
        </w:rPr>
        <w:t>ión Ambiental y se somete a las disposiciones de éstos, es de aplicación obligatoria y rige en todo el territorio nacional.</w:t>
      </w:r>
    </w:p>
    <w:p w:rsidR="00000000" w:rsidRDefault="00C04CA6">
      <w:pPr>
        <w:rPr>
          <w:rFonts w:ascii="Arial" w:hAnsi="Arial"/>
          <w:sz w:val="24"/>
        </w:rPr>
      </w:pPr>
    </w:p>
    <w:p w:rsidR="00000000" w:rsidRDefault="00C04CA6">
      <w:pPr>
        <w:rPr>
          <w:rFonts w:ascii="Arial" w:hAnsi="Arial"/>
          <w:sz w:val="24"/>
        </w:rPr>
      </w:pPr>
      <w:r>
        <w:rPr>
          <w:rFonts w:ascii="Arial" w:hAnsi="Arial"/>
          <w:sz w:val="24"/>
        </w:rPr>
        <w:t>La presente norma técnica determina o establece:</w:t>
      </w:r>
    </w:p>
    <w:p w:rsidR="00000000" w:rsidRDefault="00C04CA6">
      <w:pPr>
        <w:rPr>
          <w:rFonts w:ascii="Arial" w:hAnsi="Arial"/>
          <w:sz w:val="24"/>
        </w:rPr>
      </w:pPr>
    </w:p>
    <w:p w:rsidR="00000000" w:rsidRDefault="00C04CA6" w:rsidP="00C04CA6">
      <w:pPr>
        <w:numPr>
          <w:ilvl w:val="1"/>
          <w:numId w:val="3"/>
        </w:numPr>
        <w:rPr>
          <w:rFonts w:ascii="Arial" w:hAnsi="Arial"/>
          <w:sz w:val="24"/>
          <w:lang w:val="es-ES"/>
        </w:rPr>
      </w:pPr>
      <w:r>
        <w:rPr>
          <w:rFonts w:ascii="Arial" w:hAnsi="Arial"/>
          <w:sz w:val="24"/>
          <w:lang w:val="es-ES"/>
        </w:rPr>
        <w:t xml:space="preserve">Los límites permisibles, </w:t>
      </w:r>
      <w:r>
        <w:rPr>
          <w:rFonts w:ascii="Arial" w:hAnsi="Arial"/>
          <w:sz w:val="24"/>
        </w:rPr>
        <w:t>disposiciones y prohibiciones</w:t>
      </w:r>
      <w:r>
        <w:rPr>
          <w:rFonts w:ascii="Arial" w:hAnsi="Arial"/>
          <w:sz w:val="24"/>
          <w:lang w:val="es-ES"/>
        </w:rPr>
        <w:t xml:space="preserve"> para emisiones de contamin</w:t>
      </w:r>
      <w:r>
        <w:rPr>
          <w:rFonts w:ascii="Arial" w:hAnsi="Arial"/>
          <w:sz w:val="24"/>
          <w:lang w:val="es-ES"/>
        </w:rPr>
        <w:t>antes del aire hacia la atmósfera desde fuentes fijas de combustión.</w:t>
      </w:r>
    </w:p>
    <w:p w:rsidR="00000000" w:rsidRDefault="00C04CA6" w:rsidP="00C04CA6">
      <w:pPr>
        <w:numPr>
          <w:ilvl w:val="1"/>
          <w:numId w:val="3"/>
        </w:numPr>
        <w:rPr>
          <w:rFonts w:ascii="Arial" w:hAnsi="Arial"/>
          <w:sz w:val="24"/>
          <w:lang w:val="es-ES"/>
        </w:rPr>
      </w:pPr>
      <w:r>
        <w:rPr>
          <w:rFonts w:ascii="Arial" w:hAnsi="Arial"/>
          <w:sz w:val="24"/>
          <w:lang w:val="es-ES"/>
        </w:rPr>
        <w:t>Los métodos y procedimientos destinados a la determinación de las cantidades emitidas de contaminantes del aire desde fuentes fijas de combustión.</w:t>
      </w:r>
    </w:p>
    <w:p w:rsidR="00000000" w:rsidRDefault="00C04CA6">
      <w:pPr>
        <w:rPr>
          <w:rFonts w:ascii="Arial" w:hAnsi="Arial"/>
          <w:sz w:val="24"/>
        </w:rPr>
      </w:pPr>
    </w:p>
    <w:p w:rsidR="00000000" w:rsidRDefault="00C04CA6">
      <w:pPr>
        <w:pStyle w:val="Ttulo1"/>
        <w:rPr>
          <w:rFonts w:ascii="Arial" w:hAnsi="Arial"/>
          <w:sz w:val="24"/>
        </w:rPr>
      </w:pPr>
      <w:r>
        <w:rPr>
          <w:rFonts w:ascii="Arial" w:hAnsi="Arial"/>
          <w:sz w:val="24"/>
        </w:rPr>
        <w:t>Objeto</w:t>
      </w:r>
    </w:p>
    <w:p w:rsidR="00000000" w:rsidRDefault="00C04CA6">
      <w:pPr>
        <w:rPr>
          <w:rFonts w:ascii="Arial" w:hAnsi="Arial"/>
          <w:sz w:val="24"/>
        </w:rPr>
      </w:pPr>
      <w:r>
        <w:rPr>
          <w:rFonts w:ascii="Arial" w:hAnsi="Arial"/>
          <w:sz w:val="24"/>
        </w:rPr>
        <w:t>La presente norma tiene como obj</w:t>
      </w:r>
      <w:r>
        <w:rPr>
          <w:rFonts w:ascii="Arial" w:hAnsi="Arial"/>
          <w:sz w:val="24"/>
        </w:rPr>
        <w:t>etivo principal el preservar o conservar la salud de las personas, la calidad del aire ambiente, el bienestar de los ecosistemas y del ambiente en general.  Para cumplir con este objetivo, esta norma establece los límites permisibles de emisiones al aire d</w:t>
      </w:r>
      <w:r>
        <w:rPr>
          <w:rFonts w:ascii="Arial" w:hAnsi="Arial"/>
          <w:sz w:val="24"/>
        </w:rPr>
        <w:t>esde diferentes actividades.  La norma provee los métodos y procedimientos destinados a la determinación de las emisiones al aire que se verifiquen desde procesos de combustión en fuentes fijas.  Se provee también de herramientas de gestión destinadas a pr</w:t>
      </w:r>
      <w:r>
        <w:rPr>
          <w:rFonts w:ascii="Arial" w:hAnsi="Arial"/>
          <w:sz w:val="24"/>
        </w:rPr>
        <w:t>omover el cumplimiento con los valores de calidad de aire ambiente establecidos en la normativa pertinente.</w:t>
      </w:r>
    </w:p>
    <w:p w:rsidR="00000000" w:rsidRDefault="00C04CA6">
      <w:pPr>
        <w:rPr>
          <w:rFonts w:ascii="Arial" w:hAnsi="Arial"/>
          <w:sz w:val="24"/>
        </w:rPr>
      </w:pPr>
    </w:p>
    <w:p w:rsidR="00000000" w:rsidRDefault="00C04CA6">
      <w:pPr>
        <w:pStyle w:val="Ttulo1"/>
        <w:rPr>
          <w:rFonts w:ascii="Arial" w:hAnsi="Arial"/>
          <w:sz w:val="24"/>
        </w:rPr>
      </w:pPr>
      <w:r>
        <w:rPr>
          <w:rFonts w:ascii="Arial" w:hAnsi="Arial"/>
          <w:sz w:val="24"/>
        </w:rPr>
        <w:t>DEFINICIONES</w:t>
      </w:r>
    </w:p>
    <w:p w:rsidR="00000000" w:rsidRDefault="00C04CA6">
      <w:pPr>
        <w:rPr>
          <w:rFonts w:ascii="Arial" w:hAnsi="Arial"/>
          <w:sz w:val="24"/>
        </w:rPr>
      </w:pPr>
      <w:r>
        <w:rPr>
          <w:rFonts w:ascii="Arial" w:hAnsi="Arial"/>
          <w:sz w:val="24"/>
        </w:rPr>
        <w:t>Para el propósito de esta norma se consideran las definiciones establecidas en el Reglamento a la Ley de Prevención y Control de la Co</w:t>
      </w:r>
      <w:r>
        <w:rPr>
          <w:rFonts w:ascii="Arial" w:hAnsi="Arial"/>
          <w:sz w:val="24"/>
        </w:rPr>
        <w:t>ntaminación, y las que a continuación se indican:</w:t>
      </w:r>
    </w:p>
    <w:p w:rsidR="00000000" w:rsidRDefault="00C04CA6">
      <w:pPr>
        <w:pStyle w:val="Ttulo2"/>
        <w:tabs>
          <w:tab w:val="num" w:pos="360"/>
        </w:tabs>
        <w:rPr>
          <w:rFonts w:ascii="Arial" w:hAnsi="Arial"/>
          <w:sz w:val="24"/>
          <w:lang w:val="es-ES"/>
        </w:rPr>
      </w:pPr>
      <w:r>
        <w:rPr>
          <w:rFonts w:ascii="Arial" w:hAnsi="Arial"/>
          <w:sz w:val="24"/>
          <w:lang w:val="es-ES"/>
        </w:rPr>
        <w:t>Aire</w:t>
      </w:r>
    </w:p>
    <w:p w:rsidR="00000000" w:rsidRDefault="00C04CA6">
      <w:pPr>
        <w:rPr>
          <w:rFonts w:ascii="Arial" w:hAnsi="Arial"/>
          <w:sz w:val="24"/>
        </w:rPr>
      </w:pPr>
      <w:r>
        <w:rPr>
          <w:rFonts w:ascii="Arial" w:hAnsi="Arial"/>
          <w:sz w:val="24"/>
        </w:rPr>
        <w:t>O también aire ambiente, es cualquier porción no confinada de la atmósfera, y se define como mezcla gaseosa cuya composición normal es, de por lo menos, veinte por ciento (20%) de oxígeno, setenta y si</w:t>
      </w:r>
      <w:r>
        <w:rPr>
          <w:rFonts w:ascii="Arial" w:hAnsi="Arial"/>
          <w:sz w:val="24"/>
        </w:rPr>
        <w:t>ete por ciento (77%) nitrógeno y proporciones variables de gases inertes y vapor de agua, en relación volumétrica.</w:t>
      </w:r>
    </w:p>
    <w:p w:rsidR="00000000" w:rsidRDefault="00C04CA6">
      <w:pPr>
        <w:pStyle w:val="Ttulo2"/>
        <w:tabs>
          <w:tab w:val="num" w:pos="360"/>
        </w:tabs>
        <w:rPr>
          <w:rFonts w:ascii="Arial" w:hAnsi="Arial"/>
          <w:sz w:val="24"/>
          <w:lang w:val="es-ES"/>
        </w:rPr>
      </w:pPr>
      <w:r>
        <w:rPr>
          <w:rFonts w:ascii="Arial" w:hAnsi="Arial"/>
          <w:sz w:val="24"/>
          <w:lang w:val="es-ES"/>
        </w:rPr>
        <w:t>Celda electroquímica</w:t>
      </w:r>
    </w:p>
    <w:p w:rsidR="00000000" w:rsidRDefault="00C04CA6">
      <w:pPr>
        <w:rPr>
          <w:rFonts w:ascii="Arial" w:hAnsi="Arial"/>
          <w:sz w:val="24"/>
        </w:rPr>
      </w:pPr>
      <w:r>
        <w:rPr>
          <w:rFonts w:ascii="Arial" w:hAnsi="Arial"/>
          <w:sz w:val="24"/>
        </w:rPr>
        <w:lastRenderedPageBreak/>
        <w:t>Parte del sistema de medición de emisiones, mediante analizador portátil de gases, que mide el gas de interés y genera u</w:t>
      </w:r>
      <w:r>
        <w:rPr>
          <w:rFonts w:ascii="Arial" w:hAnsi="Arial"/>
          <w:sz w:val="24"/>
        </w:rPr>
        <w:t>na salida proporcional a la concentración de dicho gas.</w:t>
      </w:r>
    </w:p>
    <w:p w:rsidR="00000000" w:rsidRDefault="00C04CA6">
      <w:pPr>
        <w:rPr>
          <w:rFonts w:ascii="Arial" w:hAnsi="Arial"/>
          <w:sz w:val="24"/>
        </w:rPr>
      </w:pPr>
    </w:p>
    <w:p w:rsidR="00000000" w:rsidRDefault="00C04CA6">
      <w:pPr>
        <w:rPr>
          <w:rFonts w:ascii="Arial" w:hAnsi="Arial"/>
          <w:sz w:val="24"/>
        </w:rPr>
      </w:pPr>
    </w:p>
    <w:p w:rsidR="00000000" w:rsidRDefault="00C04CA6">
      <w:pPr>
        <w:rPr>
          <w:rFonts w:ascii="Arial" w:hAnsi="Arial"/>
          <w:sz w:val="24"/>
        </w:rPr>
      </w:pPr>
    </w:p>
    <w:p w:rsidR="00000000" w:rsidRDefault="00C04CA6">
      <w:pPr>
        <w:pStyle w:val="Ttulo2"/>
        <w:tabs>
          <w:tab w:val="num" w:pos="360"/>
        </w:tabs>
        <w:rPr>
          <w:rFonts w:ascii="Arial" w:hAnsi="Arial"/>
          <w:sz w:val="24"/>
          <w:lang w:val="es-ES"/>
        </w:rPr>
      </w:pPr>
      <w:r>
        <w:rPr>
          <w:rFonts w:ascii="Arial" w:hAnsi="Arial"/>
          <w:sz w:val="24"/>
          <w:lang w:val="es-ES"/>
        </w:rPr>
        <w:t>Chimenea</w:t>
      </w:r>
    </w:p>
    <w:p w:rsidR="00000000" w:rsidRDefault="00C04CA6">
      <w:pPr>
        <w:rPr>
          <w:rFonts w:ascii="Arial" w:hAnsi="Arial"/>
          <w:sz w:val="24"/>
          <w:lang w:val="es-ES"/>
        </w:rPr>
      </w:pPr>
      <w:r>
        <w:rPr>
          <w:rFonts w:ascii="Arial" w:hAnsi="Arial"/>
          <w:sz w:val="24"/>
          <w:lang w:val="es-ES"/>
        </w:rPr>
        <w:t>Conducto que facilita el transporte hacia la atmósfera de los productos de combustión generados en la fuente fija.</w:t>
      </w:r>
    </w:p>
    <w:p w:rsidR="00000000" w:rsidRDefault="00C04CA6">
      <w:pPr>
        <w:pStyle w:val="Ttulo2"/>
        <w:tabs>
          <w:tab w:val="num" w:pos="360"/>
        </w:tabs>
        <w:rPr>
          <w:rFonts w:ascii="Arial" w:hAnsi="Arial"/>
          <w:sz w:val="24"/>
          <w:lang w:val="es-ES"/>
        </w:rPr>
      </w:pPr>
      <w:r>
        <w:rPr>
          <w:rFonts w:ascii="Arial" w:hAnsi="Arial"/>
          <w:sz w:val="24"/>
          <w:lang w:val="es-ES"/>
        </w:rPr>
        <w:t>Combustión</w:t>
      </w:r>
    </w:p>
    <w:p w:rsidR="00000000" w:rsidRDefault="00C04CA6">
      <w:pPr>
        <w:rPr>
          <w:rFonts w:ascii="Arial" w:hAnsi="Arial"/>
          <w:sz w:val="24"/>
          <w:lang w:val="es-ES"/>
        </w:rPr>
      </w:pPr>
      <w:r>
        <w:rPr>
          <w:rFonts w:ascii="Arial" w:hAnsi="Arial"/>
          <w:sz w:val="24"/>
          <w:lang w:val="es-ES"/>
        </w:rPr>
        <w:t xml:space="preserve">Oxidación rápida, que consiste en una combinación del oxígeno </w:t>
      </w:r>
      <w:r>
        <w:rPr>
          <w:rFonts w:ascii="Arial" w:hAnsi="Arial"/>
          <w:sz w:val="24"/>
          <w:lang w:val="es-ES"/>
        </w:rPr>
        <w:t>con aquellos materiales o sustancias capaces de oxidarse, dando como resultado la generación de gases, partículas, luz y calor.</w:t>
      </w:r>
    </w:p>
    <w:p w:rsidR="00000000" w:rsidRDefault="00C04CA6">
      <w:pPr>
        <w:pStyle w:val="Ttulo2"/>
        <w:tabs>
          <w:tab w:val="num" w:pos="360"/>
        </w:tabs>
        <w:rPr>
          <w:rFonts w:ascii="Arial" w:hAnsi="Arial"/>
          <w:sz w:val="24"/>
          <w:lang w:val="es-ES"/>
        </w:rPr>
      </w:pPr>
      <w:r>
        <w:rPr>
          <w:rFonts w:ascii="Arial" w:hAnsi="Arial"/>
          <w:sz w:val="24"/>
          <w:lang w:val="es-ES"/>
        </w:rPr>
        <w:t>Combustibles fósiles</w:t>
      </w:r>
    </w:p>
    <w:p w:rsidR="00000000" w:rsidRDefault="00C04CA6">
      <w:pPr>
        <w:rPr>
          <w:rFonts w:ascii="Arial" w:hAnsi="Arial"/>
          <w:sz w:val="24"/>
          <w:lang w:val="es-ES"/>
        </w:rPr>
      </w:pPr>
      <w:r>
        <w:rPr>
          <w:rFonts w:ascii="Arial" w:hAnsi="Arial"/>
          <w:sz w:val="24"/>
          <w:lang w:val="es-ES"/>
        </w:rPr>
        <w:t>Son aquellos hidrocarburos encontrados en estado natural, ejemplos, petróleo, carbón, gas natural, y sus de</w:t>
      </w:r>
      <w:r>
        <w:rPr>
          <w:rFonts w:ascii="Arial" w:hAnsi="Arial"/>
          <w:sz w:val="24"/>
          <w:lang w:val="es-ES"/>
        </w:rPr>
        <w:t>rivados.</w:t>
      </w:r>
    </w:p>
    <w:p w:rsidR="00000000" w:rsidRDefault="00C04CA6">
      <w:pPr>
        <w:pStyle w:val="Ttulo2"/>
        <w:tabs>
          <w:tab w:val="num" w:pos="360"/>
        </w:tabs>
        <w:rPr>
          <w:rFonts w:ascii="Arial" w:hAnsi="Arial"/>
          <w:sz w:val="24"/>
          <w:lang w:val="es-ES"/>
        </w:rPr>
      </w:pPr>
      <w:r>
        <w:rPr>
          <w:rFonts w:ascii="Arial" w:hAnsi="Arial"/>
          <w:sz w:val="24"/>
          <w:lang w:val="es-ES"/>
        </w:rPr>
        <w:t>Combustibles fósiles sólidos</w:t>
      </w:r>
    </w:p>
    <w:p w:rsidR="00000000" w:rsidRDefault="00C04CA6">
      <w:pPr>
        <w:rPr>
          <w:rFonts w:ascii="Arial" w:hAnsi="Arial"/>
          <w:sz w:val="24"/>
          <w:lang w:val="es-ES"/>
        </w:rPr>
      </w:pPr>
      <w:r>
        <w:rPr>
          <w:rFonts w:ascii="Arial" w:hAnsi="Arial"/>
          <w:sz w:val="24"/>
          <w:lang w:val="es-ES"/>
        </w:rPr>
        <w:t>Se refiere a las variedades de carbón mineral cuyo contenido fijo de carbono varía desde 10% a 90% en peso, y al coque de petróleo.</w:t>
      </w:r>
    </w:p>
    <w:p w:rsidR="00000000" w:rsidRDefault="00C04CA6">
      <w:pPr>
        <w:pStyle w:val="Ttulo2"/>
        <w:tabs>
          <w:tab w:val="num" w:pos="360"/>
        </w:tabs>
        <w:rPr>
          <w:rFonts w:ascii="Arial" w:hAnsi="Arial"/>
          <w:sz w:val="24"/>
          <w:lang w:val="es-ES"/>
        </w:rPr>
      </w:pPr>
      <w:r>
        <w:rPr>
          <w:rFonts w:ascii="Arial" w:hAnsi="Arial"/>
          <w:sz w:val="24"/>
          <w:lang w:val="es-ES"/>
        </w:rPr>
        <w:t>Combustibles fósiles líquidos</w:t>
      </w:r>
    </w:p>
    <w:p w:rsidR="00000000" w:rsidRDefault="00C04CA6">
      <w:pPr>
        <w:rPr>
          <w:rFonts w:ascii="Arial" w:hAnsi="Arial"/>
          <w:sz w:val="24"/>
          <w:lang w:val="es-ES"/>
        </w:rPr>
      </w:pPr>
      <w:r>
        <w:rPr>
          <w:rFonts w:ascii="Arial" w:hAnsi="Arial"/>
          <w:sz w:val="24"/>
          <w:lang w:val="es-ES"/>
        </w:rPr>
        <w:t>Son aquellos derivados del petróleo, tales como petróleo</w:t>
      </w:r>
      <w:r>
        <w:rPr>
          <w:rFonts w:ascii="Arial" w:hAnsi="Arial"/>
          <w:sz w:val="24"/>
          <w:lang w:val="es-ES"/>
        </w:rPr>
        <w:t xml:space="preserve"> crudo, diesel, búnker, kerosene, naftas.</w:t>
      </w:r>
    </w:p>
    <w:p w:rsidR="00000000" w:rsidRDefault="00C04CA6">
      <w:pPr>
        <w:pStyle w:val="Ttulo2"/>
        <w:tabs>
          <w:tab w:val="num" w:pos="360"/>
        </w:tabs>
        <w:rPr>
          <w:rFonts w:ascii="Arial" w:hAnsi="Arial"/>
          <w:sz w:val="24"/>
          <w:lang w:val="es-ES"/>
        </w:rPr>
      </w:pPr>
      <w:r>
        <w:rPr>
          <w:rFonts w:ascii="Arial" w:hAnsi="Arial"/>
          <w:sz w:val="24"/>
          <w:lang w:val="es-ES"/>
        </w:rPr>
        <w:t>Combustibles fósiles gaseosos</w:t>
      </w:r>
    </w:p>
    <w:p w:rsidR="00000000" w:rsidRDefault="00C04CA6">
      <w:pPr>
        <w:rPr>
          <w:rFonts w:ascii="Arial" w:hAnsi="Arial"/>
          <w:sz w:val="24"/>
          <w:lang w:val="es-ES"/>
        </w:rPr>
      </w:pPr>
      <w:r>
        <w:rPr>
          <w:rFonts w:ascii="Arial" w:hAnsi="Arial"/>
          <w:sz w:val="24"/>
          <w:lang w:val="es-ES"/>
        </w:rPr>
        <w:t>Son aquellos derivados del petróleo o del gas natural, tales como butano, propano, metano, isobutano, propileno, butileno o cualquiera de sus combinaciones.</w:t>
      </w:r>
    </w:p>
    <w:p w:rsidR="00000000" w:rsidRDefault="00C04CA6">
      <w:pPr>
        <w:pStyle w:val="Ttulo2"/>
        <w:tabs>
          <w:tab w:val="num" w:pos="360"/>
        </w:tabs>
        <w:rPr>
          <w:rFonts w:ascii="Arial" w:hAnsi="Arial"/>
          <w:sz w:val="24"/>
          <w:lang w:val="es-ES"/>
        </w:rPr>
      </w:pPr>
      <w:r>
        <w:rPr>
          <w:rFonts w:ascii="Arial" w:hAnsi="Arial"/>
          <w:sz w:val="24"/>
          <w:lang w:val="es-ES"/>
        </w:rPr>
        <w:t>Condiciones normales</w:t>
      </w:r>
    </w:p>
    <w:p w:rsidR="00000000" w:rsidRDefault="00C04CA6">
      <w:pPr>
        <w:rPr>
          <w:rFonts w:ascii="Arial" w:hAnsi="Arial"/>
          <w:sz w:val="24"/>
          <w:lang w:val="es-ES"/>
        </w:rPr>
      </w:pPr>
      <w:r>
        <w:rPr>
          <w:rFonts w:ascii="Arial" w:hAnsi="Arial"/>
          <w:sz w:val="24"/>
          <w:lang w:val="es-ES"/>
        </w:rPr>
        <w:t>Cero g</w:t>
      </w:r>
      <w:r>
        <w:rPr>
          <w:rFonts w:ascii="Arial" w:hAnsi="Arial"/>
          <w:sz w:val="24"/>
          <w:lang w:val="es-ES"/>
        </w:rPr>
        <w:t>rados centígrados (0 °C)  y mil trece milibares de presión (1 013 mbar).</w:t>
      </w:r>
    </w:p>
    <w:p w:rsidR="00000000" w:rsidRDefault="00C04CA6">
      <w:pPr>
        <w:pStyle w:val="Ttulo2"/>
        <w:tabs>
          <w:tab w:val="num" w:pos="360"/>
        </w:tabs>
        <w:rPr>
          <w:rFonts w:ascii="Arial" w:hAnsi="Arial"/>
          <w:sz w:val="24"/>
          <w:lang w:val="es-ES"/>
        </w:rPr>
      </w:pPr>
      <w:r>
        <w:rPr>
          <w:rFonts w:ascii="Arial" w:hAnsi="Arial"/>
          <w:sz w:val="24"/>
          <w:lang w:val="es-ES"/>
        </w:rPr>
        <w:t>Contaminante del aire</w:t>
      </w:r>
    </w:p>
    <w:p w:rsidR="00000000" w:rsidRDefault="00C04CA6">
      <w:pPr>
        <w:rPr>
          <w:rFonts w:ascii="Arial" w:hAnsi="Arial"/>
          <w:sz w:val="24"/>
          <w:lang w:val="es-ES"/>
        </w:rPr>
      </w:pPr>
      <w:r>
        <w:rPr>
          <w:rFonts w:ascii="Arial" w:hAnsi="Arial"/>
          <w:sz w:val="24"/>
          <w:lang w:val="es-ES"/>
        </w:rPr>
        <w:t>Cualquier sustancia o material emitido a la atmósfera, sea por actividad humana o por procesos naturales, y que afecta adversamente al hombre o al ambiente.</w:t>
      </w:r>
    </w:p>
    <w:p w:rsidR="00000000" w:rsidRDefault="00C04CA6">
      <w:pPr>
        <w:pStyle w:val="Ttulo2"/>
        <w:tabs>
          <w:tab w:val="num" w:pos="360"/>
        </w:tabs>
        <w:rPr>
          <w:rFonts w:ascii="Arial" w:hAnsi="Arial"/>
          <w:sz w:val="24"/>
          <w:lang w:val="es-ES"/>
        </w:rPr>
      </w:pPr>
      <w:r>
        <w:rPr>
          <w:rFonts w:ascii="Arial" w:hAnsi="Arial"/>
          <w:sz w:val="24"/>
          <w:lang w:val="es-ES"/>
        </w:rPr>
        <w:t>Cont</w:t>
      </w:r>
      <w:r>
        <w:rPr>
          <w:rFonts w:ascii="Arial" w:hAnsi="Arial"/>
          <w:sz w:val="24"/>
          <w:lang w:val="es-ES"/>
        </w:rPr>
        <w:t>aminantes comunes del aire</w:t>
      </w:r>
    </w:p>
    <w:p w:rsidR="00000000" w:rsidRDefault="00C04CA6">
      <w:pPr>
        <w:rPr>
          <w:rFonts w:ascii="Arial" w:hAnsi="Arial"/>
          <w:sz w:val="24"/>
          <w:lang w:val="es-ES"/>
        </w:rPr>
      </w:pPr>
      <w:r>
        <w:rPr>
          <w:rFonts w:ascii="Arial" w:hAnsi="Arial"/>
          <w:sz w:val="24"/>
          <w:lang w:val="es-ES"/>
        </w:rPr>
        <w:lastRenderedPageBreak/>
        <w:t>Cualquier contaminante del aire para los cuales se especifica un valor máximo de concentración permitida, a nivel del suelo, en el aire ambiente, para diferentes períodos de tiempo, según la normativa aplicable.</w:t>
      </w:r>
    </w:p>
    <w:p w:rsidR="00000000" w:rsidRDefault="00C04CA6">
      <w:pPr>
        <w:pStyle w:val="Ttulo2"/>
        <w:tabs>
          <w:tab w:val="num" w:pos="360"/>
        </w:tabs>
        <w:rPr>
          <w:rFonts w:ascii="Arial" w:hAnsi="Arial"/>
          <w:sz w:val="24"/>
          <w:lang w:val="es-ES"/>
        </w:rPr>
      </w:pPr>
      <w:r>
        <w:rPr>
          <w:rFonts w:ascii="Arial" w:hAnsi="Arial"/>
          <w:sz w:val="24"/>
          <w:lang w:val="es-ES"/>
        </w:rPr>
        <w:t>Contaminación del</w:t>
      </w:r>
      <w:r>
        <w:rPr>
          <w:rFonts w:ascii="Arial" w:hAnsi="Arial"/>
          <w:sz w:val="24"/>
          <w:lang w:val="es-ES"/>
        </w:rPr>
        <w:t xml:space="preserve"> aire</w:t>
      </w:r>
    </w:p>
    <w:p w:rsidR="00000000" w:rsidRDefault="00C04CA6">
      <w:pPr>
        <w:rPr>
          <w:rFonts w:ascii="Arial" w:hAnsi="Arial"/>
          <w:sz w:val="24"/>
          <w:lang w:val="es-ES"/>
        </w:rPr>
      </w:pPr>
      <w:r>
        <w:rPr>
          <w:rFonts w:ascii="Arial" w:hAnsi="Arial"/>
          <w:sz w:val="24"/>
          <w:lang w:val="es-ES"/>
        </w:rPr>
        <w:t>La presencia de sustancias en la atmósfera, que resultan de actividades humanas o de procesos naturales, presentes en concentración suficiente, por un tiempo suficiente y bajo circunstancias tales que interfieren con el confort, la salud o el bienest</w:t>
      </w:r>
      <w:r>
        <w:rPr>
          <w:rFonts w:ascii="Arial" w:hAnsi="Arial"/>
          <w:sz w:val="24"/>
          <w:lang w:val="es-ES"/>
        </w:rPr>
        <w:t>ar de los seres humanos o del ambiente.</w:t>
      </w:r>
    </w:p>
    <w:p w:rsidR="00000000" w:rsidRDefault="00C04CA6">
      <w:pPr>
        <w:pStyle w:val="Ttulo2"/>
        <w:tabs>
          <w:tab w:val="num" w:pos="360"/>
        </w:tabs>
        <w:rPr>
          <w:rFonts w:ascii="Arial" w:hAnsi="Arial"/>
          <w:sz w:val="24"/>
          <w:lang w:val="es-ES"/>
        </w:rPr>
      </w:pPr>
      <w:r>
        <w:rPr>
          <w:rFonts w:ascii="Arial" w:hAnsi="Arial"/>
          <w:sz w:val="24"/>
          <w:lang w:val="es-ES"/>
        </w:rPr>
        <w:t>Diámetro equivalente</w:t>
      </w:r>
    </w:p>
    <w:p w:rsidR="00000000" w:rsidRDefault="00C04CA6">
      <w:pPr>
        <w:rPr>
          <w:rFonts w:ascii="Arial" w:hAnsi="Arial"/>
          <w:sz w:val="24"/>
          <w:lang w:val="es-ES"/>
        </w:rPr>
      </w:pPr>
      <w:r>
        <w:rPr>
          <w:rFonts w:ascii="Arial" w:hAnsi="Arial"/>
          <w:sz w:val="24"/>
          <w:lang w:val="es-ES"/>
        </w:rPr>
        <w:t>Para un conducto o chimenea de sección cuadrada, se define con la siguiente expresión:</w:t>
      </w:r>
    </w:p>
    <w:p w:rsidR="00000000" w:rsidRDefault="00C04CA6">
      <w:pPr>
        <w:rPr>
          <w:rFonts w:ascii="Arial" w:hAnsi="Arial"/>
          <w:sz w:val="24"/>
          <w:lang w:val="es-ES"/>
        </w:rPr>
      </w:pPr>
    </w:p>
    <w:p w:rsidR="00000000" w:rsidRDefault="00C04CA6">
      <w:pPr>
        <w:jc w:val="center"/>
        <w:rPr>
          <w:rFonts w:ascii="Arial" w:hAnsi="Arial"/>
          <w:sz w:val="24"/>
          <w:lang w:val="es-ES"/>
        </w:rPr>
      </w:pPr>
      <w:r>
        <w:rPr>
          <w:rFonts w:ascii="Arial" w:hAnsi="Arial"/>
          <w:position w:val="-28"/>
          <w:sz w:val="24"/>
          <w:lang w:val="es-ES"/>
        </w:rPr>
        <w:object w:dxaOrig="12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3pt" o:ole="">
            <v:imagedata r:id="rId7" o:title=""/>
          </v:shape>
          <o:OLEObject Type="Embed" ProgID="Equation.3" ShapeID="_x0000_i1025" DrawAspect="Content" ObjectID="_1309683804" r:id="rId8"/>
        </w:object>
      </w: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 xml:space="preserve">donde </w:t>
      </w:r>
      <w:r>
        <w:rPr>
          <w:rFonts w:ascii="Arial" w:hAnsi="Arial"/>
          <w:i/>
          <w:sz w:val="24"/>
          <w:lang w:val="es-ES"/>
        </w:rPr>
        <w:t>L</w:t>
      </w:r>
      <w:r>
        <w:rPr>
          <w:rFonts w:ascii="Arial" w:hAnsi="Arial"/>
          <w:sz w:val="24"/>
          <w:lang w:val="es-ES"/>
        </w:rPr>
        <w:t xml:space="preserve"> es la longitud y </w:t>
      </w:r>
      <w:r>
        <w:rPr>
          <w:rFonts w:ascii="Arial" w:hAnsi="Arial"/>
          <w:i/>
          <w:sz w:val="24"/>
          <w:lang w:val="es-ES"/>
        </w:rPr>
        <w:t>W</w:t>
      </w:r>
      <w:r>
        <w:rPr>
          <w:rFonts w:ascii="Arial" w:hAnsi="Arial"/>
          <w:sz w:val="24"/>
          <w:lang w:val="es-ES"/>
        </w:rPr>
        <w:t xml:space="preserve"> el ancho de la sección interior del conducto o chim</w:t>
      </w:r>
      <w:r>
        <w:rPr>
          <w:rFonts w:ascii="Arial" w:hAnsi="Arial"/>
          <w:sz w:val="24"/>
          <w:lang w:val="es-ES"/>
        </w:rPr>
        <w:t>enea, en contacto efectivo con la corriente de gases.</w:t>
      </w:r>
    </w:p>
    <w:p w:rsidR="00000000" w:rsidRDefault="00C04CA6">
      <w:pPr>
        <w:pStyle w:val="Ttulo2"/>
        <w:tabs>
          <w:tab w:val="num" w:pos="360"/>
        </w:tabs>
        <w:rPr>
          <w:rFonts w:ascii="Arial" w:hAnsi="Arial"/>
          <w:sz w:val="24"/>
          <w:lang w:val="es-ES"/>
        </w:rPr>
      </w:pPr>
      <w:r>
        <w:rPr>
          <w:rFonts w:ascii="Arial" w:hAnsi="Arial"/>
          <w:sz w:val="24"/>
          <w:lang w:val="es-ES"/>
        </w:rPr>
        <w:t>Emisión</w:t>
      </w:r>
    </w:p>
    <w:p w:rsidR="00000000" w:rsidRDefault="00C04CA6">
      <w:pPr>
        <w:rPr>
          <w:rFonts w:ascii="Arial" w:hAnsi="Arial"/>
          <w:sz w:val="24"/>
          <w:lang w:val="es-ES"/>
        </w:rPr>
      </w:pPr>
      <w:r>
        <w:rPr>
          <w:rFonts w:ascii="Arial" w:hAnsi="Arial"/>
          <w:sz w:val="24"/>
          <w:lang w:val="es-ES"/>
        </w:rPr>
        <w:t>La descarga de sustancias en la atmósfera.  Para propósitos de esta norma, la emisión se refiere a la descarga de sustancias provenientes de actividades humanas.</w:t>
      </w:r>
    </w:p>
    <w:p w:rsidR="00000000" w:rsidRDefault="00C04CA6">
      <w:pPr>
        <w:pStyle w:val="Ttulo2"/>
        <w:tabs>
          <w:tab w:val="num" w:pos="360"/>
        </w:tabs>
        <w:rPr>
          <w:rFonts w:ascii="Arial" w:hAnsi="Arial"/>
          <w:sz w:val="24"/>
          <w:lang w:val="es-ES"/>
        </w:rPr>
      </w:pPr>
      <w:r>
        <w:rPr>
          <w:rFonts w:ascii="Arial" w:hAnsi="Arial"/>
          <w:sz w:val="24"/>
          <w:lang w:val="es-ES"/>
        </w:rPr>
        <w:t>Fuente fija de combustión</w:t>
      </w:r>
    </w:p>
    <w:p w:rsidR="00000000" w:rsidRDefault="00C04CA6">
      <w:pPr>
        <w:rPr>
          <w:rFonts w:ascii="Arial" w:hAnsi="Arial"/>
          <w:sz w:val="24"/>
          <w:lang w:val="es-ES"/>
        </w:rPr>
      </w:pPr>
      <w:r>
        <w:rPr>
          <w:rFonts w:ascii="Arial" w:hAnsi="Arial"/>
          <w:sz w:val="24"/>
          <w:lang w:val="es-ES"/>
        </w:rPr>
        <w:t>Es aqu</w:t>
      </w:r>
      <w:r>
        <w:rPr>
          <w:rFonts w:ascii="Arial" w:hAnsi="Arial"/>
          <w:sz w:val="24"/>
          <w:lang w:val="es-ES"/>
        </w:rPr>
        <w:t>ella instalación o conjunto de instalaciones, que tiene como finalidad desarrollar operaciones o procesos industriales, comerciales o de servicios, y que emite o puede emitir contaminantes al aire, debido a proceso de combustión, desde un lugar fijo o inam</w:t>
      </w:r>
      <w:r>
        <w:rPr>
          <w:rFonts w:ascii="Arial" w:hAnsi="Arial"/>
          <w:sz w:val="24"/>
          <w:lang w:val="es-ES"/>
        </w:rPr>
        <w:t>ovible.</w:t>
      </w:r>
    </w:p>
    <w:p w:rsidR="00000000" w:rsidRDefault="00C04CA6">
      <w:pPr>
        <w:pStyle w:val="Ttulo2"/>
        <w:tabs>
          <w:tab w:val="num" w:pos="360"/>
        </w:tabs>
        <w:rPr>
          <w:rFonts w:ascii="Arial" w:hAnsi="Arial"/>
          <w:sz w:val="24"/>
          <w:lang w:val="es-ES"/>
        </w:rPr>
      </w:pPr>
      <w:r>
        <w:rPr>
          <w:rFonts w:ascii="Arial" w:hAnsi="Arial"/>
          <w:sz w:val="24"/>
          <w:lang w:val="es-ES"/>
        </w:rPr>
        <w:t>Fuente fija existente</w:t>
      </w:r>
    </w:p>
    <w:p w:rsidR="00000000" w:rsidRDefault="00C04CA6">
      <w:pPr>
        <w:rPr>
          <w:rFonts w:ascii="Arial" w:hAnsi="Arial"/>
          <w:sz w:val="24"/>
          <w:lang w:val="es-ES"/>
        </w:rPr>
      </w:pPr>
      <w:r>
        <w:rPr>
          <w:rFonts w:ascii="Arial" w:hAnsi="Arial"/>
          <w:sz w:val="24"/>
          <w:lang w:val="es-ES"/>
        </w:rPr>
        <w:t>Es aquella instalación o conjunto de instalaciones ya sea en operación o que cuenta con autorización para operar, por parte de la Entidad Ambiental de Control, antes de Enero de 2003.</w:t>
      </w:r>
    </w:p>
    <w:p w:rsidR="00000000" w:rsidRDefault="00C04CA6">
      <w:pPr>
        <w:pStyle w:val="Ttulo2"/>
        <w:tabs>
          <w:tab w:val="num" w:pos="360"/>
        </w:tabs>
        <w:rPr>
          <w:rFonts w:ascii="Arial" w:hAnsi="Arial"/>
          <w:sz w:val="24"/>
          <w:lang w:val="es-ES"/>
        </w:rPr>
      </w:pPr>
      <w:r>
        <w:rPr>
          <w:rFonts w:ascii="Arial" w:hAnsi="Arial"/>
          <w:sz w:val="24"/>
          <w:lang w:val="es-ES"/>
        </w:rPr>
        <w:t>Fuente fija nueva</w:t>
      </w:r>
    </w:p>
    <w:p w:rsidR="00000000" w:rsidRDefault="00C04CA6">
      <w:pPr>
        <w:rPr>
          <w:rFonts w:ascii="Arial" w:hAnsi="Arial"/>
          <w:sz w:val="24"/>
          <w:lang w:val="es-ES"/>
        </w:rPr>
      </w:pPr>
      <w:r>
        <w:rPr>
          <w:rFonts w:ascii="Arial" w:hAnsi="Arial"/>
          <w:sz w:val="24"/>
          <w:lang w:val="es-ES"/>
        </w:rPr>
        <w:t>Es aquella instalación o</w:t>
      </w:r>
      <w:r>
        <w:rPr>
          <w:rFonts w:ascii="Arial" w:hAnsi="Arial"/>
          <w:sz w:val="24"/>
          <w:lang w:val="es-ES"/>
        </w:rPr>
        <w:t xml:space="preserve"> conjunto de instalaciones que ingrese en operación a partir de Enero de 2003.</w:t>
      </w:r>
    </w:p>
    <w:p w:rsidR="00000000" w:rsidRDefault="00C04CA6">
      <w:pPr>
        <w:pStyle w:val="Ttulo2"/>
        <w:tabs>
          <w:tab w:val="num" w:pos="360"/>
        </w:tabs>
        <w:rPr>
          <w:rFonts w:ascii="Arial" w:hAnsi="Arial"/>
          <w:sz w:val="24"/>
          <w:lang w:val="es-ES"/>
        </w:rPr>
      </w:pPr>
      <w:r>
        <w:rPr>
          <w:rFonts w:ascii="Arial" w:hAnsi="Arial"/>
          <w:sz w:val="24"/>
          <w:lang w:val="es-ES"/>
        </w:rPr>
        <w:t>Fuente fija modificada</w:t>
      </w:r>
    </w:p>
    <w:p w:rsidR="00000000" w:rsidRDefault="00C04CA6">
      <w:pPr>
        <w:rPr>
          <w:rFonts w:ascii="Arial" w:hAnsi="Arial"/>
          <w:sz w:val="24"/>
          <w:lang w:val="es-ES"/>
        </w:rPr>
      </w:pPr>
      <w:r>
        <w:rPr>
          <w:rFonts w:ascii="Arial" w:hAnsi="Arial"/>
          <w:sz w:val="24"/>
          <w:lang w:val="es-ES"/>
        </w:rPr>
        <w:t>Se entiende a aquella fuente fija existente que experimenta un incremento en su capacidad operativa y que implica mayores emisiones.</w:t>
      </w:r>
    </w:p>
    <w:p w:rsidR="00000000" w:rsidRDefault="00C04CA6">
      <w:pPr>
        <w:pStyle w:val="Ttulo2"/>
        <w:tabs>
          <w:tab w:val="num" w:pos="360"/>
        </w:tabs>
        <w:rPr>
          <w:rFonts w:ascii="Arial" w:hAnsi="Arial"/>
          <w:sz w:val="24"/>
          <w:lang w:val="es-ES"/>
        </w:rPr>
      </w:pPr>
      <w:r>
        <w:rPr>
          <w:rFonts w:ascii="Arial" w:hAnsi="Arial"/>
          <w:sz w:val="24"/>
          <w:lang w:val="es-ES"/>
        </w:rPr>
        <w:t>ISO</w:t>
      </w:r>
    </w:p>
    <w:p w:rsidR="00000000" w:rsidRDefault="00C04CA6">
      <w:pPr>
        <w:rPr>
          <w:rFonts w:ascii="Arial" w:hAnsi="Arial"/>
          <w:sz w:val="24"/>
          <w:lang w:val="es-ES"/>
        </w:rPr>
      </w:pPr>
      <w:r>
        <w:rPr>
          <w:rFonts w:ascii="Arial" w:hAnsi="Arial"/>
          <w:sz w:val="24"/>
          <w:lang w:val="es-ES"/>
        </w:rPr>
        <w:t>Organización Inte</w:t>
      </w:r>
      <w:r>
        <w:rPr>
          <w:rFonts w:ascii="Arial" w:hAnsi="Arial"/>
          <w:sz w:val="24"/>
          <w:lang w:val="es-ES"/>
        </w:rPr>
        <w:t>rnacional para la Normalización.</w:t>
      </w:r>
    </w:p>
    <w:p w:rsidR="00000000" w:rsidRDefault="00C04CA6">
      <w:pPr>
        <w:pStyle w:val="Ttulo2"/>
        <w:tabs>
          <w:tab w:val="num" w:pos="360"/>
        </w:tabs>
        <w:rPr>
          <w:rFonts w:ascii="Arial" w:hAnsi="Arial"/>
          <w:sz w:val="24"/>
          <w:lang w:val="es-ES"/>
        </w:rPr>
      </w:pPr>
      <w:r>
        <w:rPr>
          <w:rFonts w:ascii="Arial" w:hAnsi="Arial"/>
          <w:sz w:val="24"/>
          <w:lang w:val="es-ES"/>
        </w:rPr>
        <w:t>Línea base</w:t>
      </w:r>
    </w:p>
    <w:p w:rsidR="00000000" w:rsidRDefault="00C04CA6">
      <w:pPr>
        <w:rPr>
          <w:rFonts w:ascii="Arial" w:hAnsi="Arial"/>
          <w:color w:val="800000"/>
          <w:sz w:val="24"/>
        </w:rPr>
      </w:pPr>
      <w:r>
        <w:rPr>
          <w:rFonts w:ascii="Arial" w:hAnsi="Arial"/>
          <w:sz w:val="24"/>
        </w:rPr>
        <w:t>Denota el estado de un sistema alterado en un momento en particular, antes de un cambio posterior.  Se define también como las condiciones en el momento de la investigación dentro de un área que puede estar influ</w:t>
      </w:r>
      <w:r>
        <w:rPr>
          <w:rFonts w:ascii="Arial" w:hAnsi="Arial"/>
          <w:sz w:val="24"/>
        </w:rPr>
        <w:t>enciada por actividades humanas.</w:t>
      </w:r>
    </w:p>
    <w:p w:rsidR="00000000" w:rsidRDefault="00C04CA6">
      <w:pPr>
        <w:pStyle w:val="Ttulo2"/>
        <w:tabs>
          <w:tab w:val="num" w:pos="360"/>
        </w:tabs>
        <w:rPr>
          <w:rFonts w:ascii="Arial" w:hAnsi="Arial"/>
          <w:sz w:val="24"/>
          <w:lang w:val="es-ES"/>
        </w:rPr>
      </w:pPr>
      <w:r>
        <w:rPr>
          <w:rFonts w:ascii="Arial" w:hAnsi="Arial"/>
          <w:sz w:val="24"/>
          <w:lang w:val="es-ES"/>
        </w:rPr>
        <w:t>Línea de muestreo</w:t>
      </w:r>
    </w:p>
    <w:p w:rsidR="00000000" w:rsidRDefault="00C04CA6">
      <w:pPr>
        <w:rPr>
          <w:rFonts w:ascii="Arial" w:hAnsi="Arial"/>
          <w:sz w:val="24"/>
          <w:lang w:val="es-ES"/>
        </w:rPr>
      </w:pPr>
      <w:r>
        <w:rPr>
          <w:rFonts w:ascii="Arial" w:hAnsi="Arial"/>
          <w:sz w:val="24"/>
          <w:lang w:val="es-ES"/>
        </w:rPr>
        <w:t>Es el eje en el plano de muestreo a lo largo del cual se localiza los puntos de medición, y está limitada por la pared interna de la chimenea o conducto.</w:t>
      </w:r>
    </w:p>
    <w:p w:rsidR="00000000" w:rsidRDefault="00C04CA6">
      <w:pPr>
        <w:rPr>
          <w:rFonts w:ascii="Arial" w:hAnsi="Arial"/>
          <w:sz w:val="24"/>
          <w:lang w:val="es-ES"/>
        </w:rPr>
      </w:pPr>
    </w:p>
    <w:p w:rsidR="00000000" w:rsidRDefault="00C04CA6">
      <w:pPr>
        <w:rPr>
          <w:rFonts w:ascii="Arial" w:hAnsi="Arial"/>
          <w:sz w:val="24"/>
          <w:lang w:val="es-ES"/>
        </w:rPr>
      </w:pPr>
    </w:p>
    <w:p w:rsidR="00000000" w:rsidRDefault="00C04CA6">
      <w:pPr>
        <w:rPr>
          <w:rFonts w:ascii="Arial" w:hAnsi="Arial"/>
          <w:sz w:val="24"/>
          <w:lang w:val="es-ES"/>
        </w:rPr>
      </w:pPr>
    </w:p>
    <w:p w:rsidR="00000000" w:rsidRDefault="00C04CA6">
      <w:pPr>
        <w:pStyle w:val="Ttulo2"/>
        <w:tabs>
          <w:tab w:val="num" w:pos="360"/>
        </w:tabs>
        <w:rPr>
          <w:rFonts w:ascii="Arial" w:hAnsi="Arial"/>
          <w:sz w:val="24"/>
          <w:lang w:val="es-ES"/>
        </w:rPr>
      </w:pPr>
      <w:r>
        <w:rPr>
          <w:rFonts w:ascii="Arial" w:hAnsi="Arial"/>
          <w:sz w:val="24"/>
          <w:lang w:val="es-ES"/>
        </w:rPr>
        <w:t>Material particulado</w:t>
      </w:r>
    </w:p>
    <w:p w:rsidR="00000000" w:rsidRDefault="00C04CA6">
      <w:pPr>
        <w:rPr>
          <w:rFonts w:ascii="Arial" w:hAnsi="Arial"/>
          <w:sz w:val="24"/>
          <w:lang w:val="es-ES"/>
        </w:rPr>
      </w:pPr>
      <w:r>
        <w:rPr>
          <w:rFonts w:ascii="Arial" w:hAnsi="Arial"/>
          <w:sz w:val="24"/>
          <w:lang w:val="es-ES"/>
        </w:rPr>
        <w:t>Está constituido por materi</w:t>
      </w:r>
      <w:r>
        <w:rPr>
          <w:rFonts w:ascii="Arial" w:hAnsi="Arial"/>
          <w:sz w:val="24"/>
          <w:lang w:val="es-ES"/>
        </w:rPr>
        <w:t>al sólido o líquido en forma de partículas, con excepción del agua no combinada, presente en la atmósfera en condiciones normales.</w:t>
      </w:r>
    </w:p>
    <w:p w:rsidR="00000000" w:rsidRDefault="00C04CA6">
      <w:pPr>
        <w:pStyle w:val="Ttulo2"/>
        <w:tabs>
          <w:tab w:val="num" w:pos="360"/>
        </w:tabs>
        <w:rPr>
          <w:rFonts w:ascii="Arial" w:hAnsi="Arial"/>
          <w:sz w:val="24"/>
          <w:lang w:val="es-ES"/>
        </w:rPr>
      </w:pPr>
      <w:r>
        <w:rPr>
          <w:rFonts w:ascii="Arial" w:hAnsi="Arial"/>
          <w:sz w:val="24"/>
          <w:lang w:val="es-ES"/>
        </w:rPr>
        <w:t>Mejor tecnología de control disponible (BACT por sus siglas en inglés)</w:t>
      </w:r>
    </w:p>
    <w:p w:rsidR="00000000" w:rsidRDefault="00C04CA6">
      <w:pPr>
        <w:rPr>
          <w:rFonts w:ascii="Arial" w:hAnsi="Arial"/>
          <w:sz w:val="24"/>
          <w:lang w:val="es-ES"/>
        </w:rPr>
      </w:pPr>
      <w:r>
        <w:rPr>
          <w:rFonts w:ascii="Arial" w:hAnsi="Arial"/>
          <w:sz w:val="24"/>
          <w:lang w:val="es-ES"/>
        </w:rPr>
        <w:t>Limitación de emisiones al aire basada en el máximo gr</w:t>
      </w:r>
      <w:r>
        <w:rPr>
          <w:rFonts w:ascii="Arial" w:hAnsi="Arial"/>
          <w:sz w:val="24"/>
          <w:lang w:val="es-ES"/>
        </w:rPr>
        <w:t>ado de reducción de emisiones, considerando aspectos de energía, ambientales y económicos, alcanzable mediante la aplicación de procesos de producción y métodos, sistemas y técnicas disponibles.</w:t>
      </w:r>
    </w:p>
    <w:p w:rsidR="00000000" w:rsidRDefault="00C04CA6">
      <w:pPr>
        <w:pStyle w:val="Ttulo2"/>
        <w:tabs>
          <w:tab w:val="num" w:pos="360"/>
        </w:tabs>
        <w:rPr>
          <w:rFonts w:ascii="Arial" w:hAnsi="Arial"/>
          <w:sz w:val="24"/>
          <w:lang w:val="es-ES"/>
        </w:rPr>
      </w:pPr>
      <w:r>
        <w:rPr>
          <w:rFonts w:ascii="Arial" w:hAnsi="Arial"/>
          <w:sz w:val="24"/>
          <w:lang w:val="es-ES"/>
        </w:rPr>
        <w:t>Micrón</w:t>
      </w:r>
    </w:p>
    <w:p w:rsidR="00000000" w:rsidRDefault="00C04CA6">
      <w:pPr>
        <w:rPr>
          <w:rFonts w:ascii="Arial" w:hAnsi="Arial"/>
          <w:sz w:val="24"/>
          <w:lang w:val="es-ES"/>
        </w:rPr>
      </w:pPr>
      <w:r>
        <w:rPr>
          <w:rFonts w:ascii="Arial" w:hAnsi="Arial"/>
          <w:sz w:val="24"/>
          <w:lang w:val="es-ES"/>
        </w:rPr>
        <w:t>Millonésima parte de un metro.</w:t>
      </w:r>
    </w:p>
    <w:p w:rsidR="00000000" w:rsidRDefault="00C04CA6">
      <w:pPr>
        <w:rPr>
          <w:rFonts w:ascii="Arial" w:hAnsi="Arial"/>
          <w:sz w:val="24"/>
          <w:lang w:val="es-ES"/>
        </w:rPr>
      </w:pPr>
    </w:p>
    <w:p w:rsidR="00000000" w:rsidRDefault="00C04CA6">
      <w:pPr>
        <w:rPr>
          <w:rFonts w:ascii="Arial" w:hAnsi="Arial"/>
          <w:sz w:val="24"/>
          <w:lang w:val="es-ES"/>
        </w:rPr>
      </w:pPr>
    </w:p>
    <w:p w:rsidR="00000000" w:rsidRDefault="00C04CA6">
      <w:pPr>
        <w:pStyle w:val="Ttulo2"/>
        <w:tabs>
          <w:tab w:val="num" w:pos="360"/>
        </w:tabs>
        <w:rPr>
          <w:rFonts w:ascii="Arial" w:hAnsi="Arial"/>
          <w:sz w:val="24"/>
          <w:lang w:val="es-ES"/>
        </w:rPr>
      </w:pPr>
      <w:r>
        <w:rPr>
          <w:rFonts w:ascii="Arial" w:hAnsi="Arial"/>
          <w:sz w:val="24"/>
          <w:lang w:val="es-ES"/>
        </w:rPr>
        <w:t>Mínima tasa de emisió</w:t>
      </w:r>
      <w:r>
        <w:rPr>
          <w:rFonts w:ascii="Arial" w:hAnsi="Arial"/>
          <w:sz w:val="24"/>
          <w:lang w:val="es-ES"/>
        </w:rPr>
        <w:t>n posible (LAER por sus siglas en inglés)</w:t>
      </w:r>
    </w:p>
    <w:p w:rsidR="00000000" w:rsidRDefault="00C04CA6">
      <w:pPr>
        <w:rPr>
          <w:rFonts w:ascii="Arial" w:hAnsi="Arial"/>
          <w:sz w:val="24"/>
          <w:lang w:val="es-ES"/>
        </w:rPr>
      </w:pPr>
      <w:r>
        <w:rPr>
          <w:rFonts w:ascii="Arial" w:hAnsi="Arial"/>
          <w:sz w:val="24"/>
          <w:lang w:val="es-ES"/>
        </w:rPr>
        <w:t>Es la tasa de emisión desde una fuente fija que refleja la limitación de la mayor exigencia en emisiones alcanzable en la práctica.</w:t>
      </w:r>
    </w:p>
    <w:p w:rsidR="00000000" w:rsidRDefault="00C04CA6">
      <w:pPr>
        <w:pStyle w:val="Ttulo2"/>
        <w:tabs>
          <w:tab w:val="num" w:pos="360"/>
        </w:tabs>
        <w:rPr>
          <w:rFonts w:ascii="Arial" w:hAnsi="Arial"/>
          <w:sz w:val="24"/>
          <w:lang w:val="es-ES"/>
        </w:rPr>
      </w:pPr>
      <w:r>
        <w:rPr>
          <w:rFonts w:ascii="Arial" w:hAnsi="Arial"/>
          <w:sz w:val="24"/>
          <w:lang w:val="es-ES"/>
        </w:rPr>
        <w:t>Modelo de dispersión</w:t>
      </w:r>
    </w:p>
    <w:p w:rsidR="00000000" w:rsidRDefault="00C04CA6">
      <w:pPr>
        <w:rPr>
          <w:rFonts w:ascii="Arial" w:hAnsi="Arial"/>
          <w:sz w:val="24"/>
          <w:lang w:val="es-ES"/>
        </w:rPr>
      </w:pPr>
      <w:r>
        <w:rPr>
          <w:rFonts w:ascii="Arial" w:hAnsi="Arial"/>
          <w:sz w:val="24"/>
          <w:lang w:val="es-ES"/>
        </w:rPr>
        <w:t>Técnica de investigación que utiliza una representación matem</w:t>
      </w:r>
      <w:r>
        <w:rPr>
          <w:rFonts w:ascii="Arial" w:hAnsi="Arial"/>
          <w:sz w:val="24"/>
          <w:lang w:val="es-ES"/>
        </w:rPr>
        <w:t>ática y física de un sistema, en este caso el sistema consiste de una o varias fuentes fijas de emisión, de las condiciones meteorológicas y topográficas de la región, y que se utiliza para predecir la(s) concentración(es) resultante(s) de uno o más contam</w:t>
      </w:r>
      <w:r>
        <w:rPr>
          <w:rFonts w:ascii="Arial" w:hAnsi="Arial"/>
          <w:sz w:val="24"/>
          <w:lang w:val="es-ES"/>
        </w:rPr>
        <w:t>inantes emitidos desde, ya sea una fuente fija específica o desde un grupo de dichas fuentes.  La predicción de concentraciones de contaminantes, a nivel de suelo, para el caso de una o varias fuentes fijas, se especificará para receptores situados al exte</w:t>
      </w:r>
      <w:r>
        <w:rPr>
          <w:rFonts w:ascii="Arial" w:hAnsi="Arial"/>
          <w:sz w:val="24"/>
          <w:lang w:val="es-ES"/>
        </w:rPr>
        <w:t>rior del límite del predio del propietario u operador de la(s) fuente (s) evaluadas.</w:t>
      </w:r>
    </w:p>
    <w:p w:rsidR="00000000" w:rsidRDefault="00C04CA6">
      <w:pPr>
        <w:pStyle w:val="Ttulo2"/>
        <w:tabs>
          <w:tab w:val="num" w:pos="360"/>
        </w:tabs>
        <w:rPr>
          <w:rFonts w:ascii="Arial" w:hAnsi="Arial"/>
          <w:sz w:val="24"/>
          <w:lang w:val="es-ES"/>
        </w:rPr>
      </w:pPr>
      <w:r>
        <w:rPr>
          <w:rFonts w:ascii="Arial" w:hAnsi="Arial"/>
          <w:sz w:val="24"/>
          <w:lang w:val="es-ES"/>
        </w:rPr>
        <w:t>Monitoreo</w:t>
      </w:r>
    </w:p>
    <w:p w:rsidR="00000000" w:rsidRDefault="00C04CA6">
      <w:pPr>
        <w:rPr>
          <w:rFonts w:ascii="Arial" w:hAnsi="Arial"/>
          <w:sz w:val="24"/>
          <w:lang w:val="es-ES"/>
        </w:rPr>
      </w:pPr>
      <w:r>
        <w:rPr>
          <w:rFonts w:ascii="Arial" w:hAnsi="Arial"/>
          <w:sz w:val="24"/>
          <w:lang w:val="es-ES"/>
        </w:rPr>
        <w:t xml:space="preserve">Es el proceso programado de colectar muestras, efectuar mediciones, y realizar el subsiguiente registro, de varias características del ambiente, a menudo con el </w:t>
      </w:r>
      <w:r>
        <w:rPr>
          <w:rFonts w:ascii="Arial" w:hAnsi="Arial"/>
          <w:sz w:val="24"/>
          <w:lang w:val="es-ES"/>
        </w:rPr>
        <w:t>fin de evaluar conformidad con objetivos específicos.</w:t>
      </w:r>
    </w:p>
    <w:p w:rsidR="00000000" w:rsidRDefault="00C04CA6">
      <w:pPr>
        <w:pStyle w:val="Ttulo2"/>
        <w:tabs>
          <w:tab w:val="num" w:pos="360"/>
        </w:tabs>
        <w:rPr>
          <w:rFonts w:ascii="Arial" w:hAnsi="Arial"/>
          <w:sz w:val="24"/>
          <w:lang w:val="es-ES"/>
        </w:rPr>
      </w:pPr>
      <w:r>
        <w:rPr>
          <w:rFonts w:ascii="Arial" w:hAnsi="Arial"/>
          <w:sz w:val="24"/>
          <w:lang w:val="es-ES"/>
        </w:rPr>
        <w:t>Muestreo isocinético</w:t>
      </w:r>
    </w:p>
    <w:p w:rsidR="00000000" w:rsidRDefault="00C04CA6">
      <w:pPr>
        <w:rPr>
          <w:rFonts w:ascii="Arial" w:hAnsi="Arial"/>
          <w:sz w:val="24"/>
          <w:lang w:val="es-ES"/>
        </w:rPr>
      </w:pPr>
      <w:r>
        <w:rPr>
          <w:rFonts w:ascii="Arial" w:hAnsi="Arial"/>
          <w:sz w:val="24"/>
          <w:lang w:val="es-ES"/>
        </w:rPr>
        <w:t>Es el muestreo en el cual la velocidad y dirección del gas que entra en la zona del muestreo es la misma que la del gas en el conducto o chimenea.</w:t>
      </w:r>
    </w:p>
    <w:p w:rsidR="00000000" w:rsidRDefault="00C04CA6">
      <w:pPr>
        <w:pStyle w:val="Ttulo2"/>
        <w:tabs>
          <w:tab w:val="num" w:pos="360"/>
        </w:tabs>
        <w:rPr>
          <w:rFonts w:ascii="Arial" w:hAnsi="Arial"/>
          <w:sz w:val="24"/>
          <w:lang w:val="es-ES"/>
        </w:rPr>
      </w:pPr>
      <w:r>
        <w:rPr>
          <w:rFonts w:ascii="Arial" w:hAnsi="Arial"/>
          <w:sz w:val="24"/>
          <w:lang w:val="es-ES"/>
        </w:rPr>
        <w:t>Nivel de fondo (background)</w:t>
      </w:r>
    </w:p>
    <w:p w:rsidR="00000000" w:rsidRDefault="00C04CA6">
      <w:pPr>
        <w:rPr>
          <w:rFonts w:ascii="Arial" w:hAnsi="Arial"/>
          <w:sz w:val="24"/>
        </w:rPr>
      </w:pPr>
      <w:r>
        <w:rPr>
          <w:rFonts w:ascii="Arial" w:hAnsi="Arial"/>
          <w:sz w:val="24"/>
        </w:rPr>
        <w:t>Denota</w:t>
      </w:r>
      <w:r>
        <w:rPr>
          <w:rFonts w:ascii="Arial" w:hAnsi="Arial"/>
          <w:sz w:val="24"/>
        </w:rPr>
        <w:t xml:space="preserve"> las condiciones ambientales imperantes antes de cualquier perturbación originada en actividades humanas, esto es, sólo con los procesos naturales en actividad.</w:t>
      </w:r>
    </w:p>
    <w:p w:rsidR="00000000" w:rsidRDefault="00C04CA6">
      <w:pPr>
        <w:rPr>
          <w:rFonts w:ascii="Arial" w:hAnsi="Arial"/>
          <w:sz w:val="24"/>
        </w:rPr>
      </w:pPr>
    </w:p>
    <w:p w:rsidR="00000000" w:rsidRDefault="00C04CA6">
      <w:pPr>
        <w:rPr>
          <w:rFonts w:ascii="Arial" w:hAnsi="Arial"/>
          <w:sz w:val="24"/>
        </w:rPr>
      </w:pPr>
    </w:p>
    <w:p w:rsidR="00000000" w:rsidRDefault="00C04CA6">
      <w:pPr>
        <w:rPr>
          <w:rFonts w:ascii="Arial" w:hAnsi="Arial"/>
          <w:sz w:val="24"/>
        </w:rPr>
      </w:pPr>
    </w:p>
    <w:p w:rsidR="00000000" w:rsidRDefault="00C04CA6">
      <w:pPr>
        <w:rPr>
          <w:rFonts w:ascii="Arial" w:hAnsi="Arial"/>
          <w:sz w:val="24"/>
        </w:rPr>
      </w:pPr>
    </w:p>
    <w:p w:rsidR="00000000" w:rsidRDefault="00C04CA6">
      <w:pPr>
        <w:pStyle w:val="Ttulo2"/>
        <w:tabs>
          <w:tab w:val="num" w:pos="360"/>
        </w:tabs>
        <w:rPr>
          <w:rFonts w:ascii="Arial" w:hAnsi="Arial"/>
          <w:sz w:val="24"/>
          <w:lang w:val="es-ES"/>
        </w:rPr>
      </w:pPr>
      <w:r>
        <w:rPr>
          <w:rFonts w:ascii="Arial" w:hAnsi="Arial"/>
          <w:sz w:val="24"/>
          <w:lang w:val="es-ES"/>
        </w:rPr>
        <w:t>Norma de calidad de aire</w:t>
      </w:r>
    </w:p>
    <w:p w:rsidR="00000000" w:rsidRDefault="00C04CA6">
      <w:pPr>
        <w:rPr>
          <w:rFonts w:ascii="Arial" w:hAnsi="Arial"/>
          <w:sz w:val="24"/>
          <w:lang w:val="es-ES"/>
        </w:rPr>
      </w:pPr>
      <w:r>
        <w:rPr>
          <w:rFonts w:ascii="Arial" w:hAnsi="Arial"/>
          <w:sz w:val="24"/>
          <w:lang w:val="es-ES"/>
        </w:rPr>
        <w:t>Es el valor que establece el límite máximo permisible de concentra</w:t>
      </w:r>
      <w:r>
        <w:rPr>
          <w:rFonts w:ascii="Arial" w:hAnsi="Arial"/>
          <w:sz w:val="24"/>
          <w:lang w:val="es-ES"/>
        </w:rPr>
        <w:t>ción, a nivel del suelo, de un contaminante del aire durante un tiempo promedio de muestreo determinado, definido con el propósito de proteger la salud y el ambiente.  Los límites máximos permisibles se aplicarán para aquellas concentraciones de contaminan</w:t>
      </w:r>
      <w:r>
        <w:rPr>
          <w:rFonts w:ascii="Arial" w:hAnsi="Arial"/>
          <w:sz w:val="24"/>
          <w:lang w:val="es-ES"/>
        </w:rPr>
        <w:t>tes que se determinen fuera de los límites del predio de los sujetos de control o regulados.</w:t>
      </w:r>
    </w:p>
    <w:p w:rsidR="00000000" w:rsidRDefault="00C04CA6">
      <w:pPr>
        <w:pStyle w:val="Ttulo2"/>
        <w:tabs>
          <w:tab w:val="num" w:pos="360"/>
        </w:tabs>
        <w:rPr>
          <w:rFonts w:ascii="Arial" w:hAnsi="Arial"/>
          <w:sz w:val="24"/>
          <w:lang w:val="es-ES"/>
        </w:rPr>
      </w:pPr>
      <w:r>
        <w:rPr>
          <w:rFonts w:ascii="Arial" w:hAnsi="Arial"/>
          <w:sz w:val="24"/>
          <w:lang w:val="es-ES"/>
        </w:rPr>
        <w:t>Norma de emisión</w:t>
      </w:r>
    </w:p>
    <w:p w:rsidR="00000000" w:rsidRDefault="00C04CA6">
      <w:pPr>
        <w:rPr>
          <w:rFonts w:ascii="Arial" w:hAnsi="Arial"/>
          <w:sz w:val="24"/>
          <w:lang w:val="es-ES"/>
        </w:rPr>
      </w:pPr>
      <w:r>
        <w:rPr>
          <w:rFonts w:ascii="Arial" w:hAnsi="Arial"/>
          <w:sz w:val="24"/>
          <w:lang w:val="es-ES"/>
        </w:rPr>
        <w:t>Es el valor que señala la descarga máxima permitida de los contaminantes del aire definidos.</w:t>
      </w:r>
    </w:p>
    <w:p w:rsidR="00000000" w:rsidRDefault="00C04CA6">
      <w:pPr>
        <w:pStyle w:val="Ttulo2"/>
        <w:tabs>
          <w:tab w:val="num" w:pos="360"/>
        </w:tabs>
        <w:rPr>
          <w:rFonts w:ascii="Arial" w:hAnsi="Arial"/>
          <w:sz w:val="24"/>
          <w:lang w:val="es-ES"/>
        </w:rPr>
      </w:pPr>
      <w:r>
        <w:rPr>
          <w:rFonts w:ascii="Arial" w:hAnsi="Arial"/>
          <w:sz w:val="24"/>
          <w:lang w:val="es-ES"/>
        </w:rPr>
        <w:t>Opacidad</w:t>
      </w:r>
    </w:p>
    <w:p w:rsidR="00000000" w:rsidRDefault="00C04CA6">
      <w:pPr>
        <w:rPr>
          <w:rFonts w:ascii="Arial" w:hAnsi="Arial"/>
          <w:sz w:val="24"/>
          <w:lang w:val="es-ES"/>
        </w:rPr>
      </w:pPr>
      <w:r>
        <w:rPr>
          <w:rFonts w:ascii="Arial" w:hAnsi="Arial"/>
          <w:sz w:val="24"/>
          <w:lang w:val="es-ES"/>
        </w:rPr>
        <w:t>Grado de reducción de luminosidad que ocasio</w:t>
      </w:r>
      <w:r>
        <w:rPr>
          <w:rFonts w:ascii="Arial" w:hAnsi="Arial"/>
          <w:sz w:val="24"/>
          <w:lang w:val="es-ES"/>
        </w:rPr>
        <w:t>na una sustancia al paso por ella de la luz visible.</w:t>
      </w:r>
    </w:p>
    <w:p w:rsidR="00000000" w:rsidRDefault="00C04CA6">
      <w:pPr>
        <w:pStyle w:val="Ttulo2"/>
        <w:tabs>
          <w:tab w:val="num" w:pos="360"/>
        </w:tabs>
        <w:rPr>
          <w:rFonts w:ascii="Arial" w:hAnsi="Arial"/>
          <w:sz w:val="24"/>
          <w:lang w:val="es-ES"/>
        </w:rPr>
      </w:pPr>
      <w:r>
        <w:rPr>
          <w:rFonts w:ascii="Arial" w:hAnsi="Arial"/>
          <w:sz w:val="24"/>
          <w:lang w:val="es-ES"/>
        </w:rPr>
        <w:t>Partículas Totales</w:t>
      </w:r>
    </w:p>
    <w:p w:rsidR="00000000" w:rsidRDefault="00C04CA6">
      <w:pPr>
        <w:rPr>
          <w:rFonts w:ascii="Arial" w:hAnsi="Arial"/>
          <w:sz w:val="24"/>
          <w:lang w:val="es-ES"/>
        </w:rPr>
      </w:pPr>
      <w:r>
        <w:rPr>
          <w:rFonts w:ascii="Arial" w:hAnsi="Arial"/>
          <w:sz w:val="24"/>
          <w:lang w:val="es-ES"/>
        </w:rPr>
        <w:t>Para efectos de emisiones desde fuentes de combustión, se designa como partículas totales al material particulado que es captado en un sistema de muestreo similar en características al</w:t>
      </w:r>
      <w:r>
        <w:rPr>
          <w:rFonts w:ascii="Arial" w:hAnsi="Arial"/>
          <w:sz w:val="24"/>
          <w:lang w:val="es-ES"/>
        </w:rPr>
        <w:t xml:space="preserve"> descrito en el método 5 de medición de emisiones de partículas, publicado por la US EPA.</w:t>
      </w:r>
    </w:p>
    <w:p w:rsidR="00000000" w:rsidRDefault="00C04CA6">
      <w:pPr>
        <w:pStyle w:val="Ttulo2"/>
        <w:tabs>
          <w:tab w:val="num" w:pos="360"/>
        </w:tabs>
        <w:rPr>
          <w:rFonts w:ascii="Arial" w:hAnsi="Arial"/>
          <w:sz w:val="24"/>
          <w:lang w:val="es-ES"/>
        </w:rPr>
      </w:pPr>
      <w:r>
        <w:rPr>
          <w:rFonts w:ascii="Arial" w:hAnsi="Arial"/>
          <w:sz w:val="24"/>
          <w:lang w:val="es-ES"/>
        </w:rPr>
        <w:t>Puerto de muestreo</w:t>
      </w:r>
    </w:p>
    <w:p w:rsidR="00000000" w:rsidRDefault="00C04CA6">
      <w:pPr>
        <w:rPr>
          <w:rFonts w:ascii="Arial" w:hAnsi="Arial"/>
          <w:sz w:val="24"/>
          <w:lang w:val="es-ES"/>
        </w:rPr>
      </w:pPr>
      <w:r>
        <w:rPr>
          <w:rFonts w:ascii="Arial" w:hAnsi="Arial"/>
          <w:sz w:val="24"/>
          <w:lang w:val="es-ES"/>
        </w:rPr>
        <w:t>Son los orificios circulares que se hacen en las chimeneas o conductos para facilitar la introducción de los elementos necesarios para mediciones y</w:t>
      </w:r>
      <w:r>
        <w:rPr>
          <w:rFonts w:ascii="Arial" w:hAnsi="Arial"/>
          <w:sz w:val="24"/>
          <w:lang w:val="es-ES"/>
        </w:rPr>
        <w:t xml:space="preserve"> toma de muestras.</w:t>
      </w:r>
    </w:p>
    <w:p w:rsidR="00000000" w:rsidRDefault="00C04CA6">
      <w:pPr>
        <w:pStyle w:val="Ttulo2"/>
        <w:tabs>
          <w:tab w:val="num" w:pos="360"/>
        </w:tabs>
        <w:rPr>
          <w:rFonts w:ascii="Arial" w:hAnsi="Arial"/>
          <w:sz w:val="24"/>
          <w:lang w:val="es-ES"/>
        </w:rPr>
      </w:pPr>
      <w:r>
        <w:rPr>
          <w:rFonts w:ascii="Arial" w:hAnsi="Arial"/>
          <w:sz w:val="24"/>
          <w:lang w:val="es-ES"/>
        </w:rPr>
        <w:t>Puntos de medición</w:t>
      </w:r>
    </w:p>
    <w:p w:rsidR="00000000" w:rsidRDefault="00C04CA6">
      <w:pPr>
        <w:rPr>
          <w:rFonts w:ascii="Arial" w:hAnsi="Arial"/>
          <w:sz w:val="24"/>
          <w:lang w:val="es-ES"/>
        </w:rPr>
      </w:pPr>
      <w:r>
        <w:rPr>
          <w:rFonts w:ascii="Arial" w:hAnsi="Arial"/>
          <w:sz w:val="24"/>
          <w:lang w:val="es-ES"/>
        </w:rPr>
        <w:t>Son puntos específicos, localizados en las líneas de muestreo, en los cuales se realizan las mediciones y se extrae la muestra respectiva.</w:t>
      </w:r>
    </w:p>
    <w:p w:rsidR="00000000" w:rsidRDefault="00C04CA6">
      <w:pPr>
        <w:pStyle w:val="Ttulo2"/>
        <w:tabs>
          <w:tab w:val="num" w:pos="360"/>
        </w:tabs>
        <w:rPr>
          <w:rFonts w:ascii="Arial" w:hAnsi="Arial"/>
          <w:sz w:val="24"/>
          <w:lang w:val="es-ES"/>
        </w:rPr>
      </w:pPr>
      <w:r>
        <w:rPr>
          <w:rFonts w:ascii="Arial" w:hAnsi="Arial"/>
          <w:sz w:val="24"/>
          <w:lang w:val="es-ES"/>
        </w:rPr>
        <w:t>US EPA</w:t>
      </w:r>
    </w:p>
    <w:p w:rsidR="00000000" w:rsidRDefault="00C04CA6">
      <w:pPr>
        <w:rPr>
          <w:rFonts w:ascii="Arial" w:hAnsi="Arial"/>
          <w:sz w:val="24"/>
          <w:lang w:val="es-ES"/>
        </w:rPr>
      </w:pPr>
      <w:r>
        <w:rPr>
          <w:rFonts w:ascii="Arial" w:hAnsi="Arial"/>
          <w:sz w:val="24"/>
          <w:lang w:val="es-ES"/>
        </w:rPr>
        <w:t>Agencia de Protección Ambiental de los Estados Unidos de América.</w:t>
      </w:r>
    </w:p>
    <w:p w:rsidR="00000000" w:rsidRDefault="00C04CA6">
      <w:pPr>
        <w:rPr>
          <w:rFonts w:ascii="Arial" w:hAnsi="Arial"/>
          <w:sz w:val="24"/>
        </w:rPr>
      </w:pPr>
    </w:p>
    <w:p w:rsidR="00000000" w:rsidRDefault="00C04CA6">
      <w:pPr>
        <w:rPr>
          <w:rFonts w:ascii="Arial" w:hAnsi="Arial"/>
          <w:sz w:val="24"/>
        </w:rPr>
      </w:pPr>
    </w:p>
    <w:p w:rsidR="00000000" w:rsidRDefault="00C04CA6">
      <w:pPr>
        <w:pStyle w:val="Ttulo1"/>
        <w:rPr>
          <w:rFonts w:ascii="Arial" w:hAnsi="Arial"/>
          <w:sz w:val="24"/>
        </w:rPr>
      </w:pPr>
      <w:r>
        <w:rPr>
          <w:rFonts w:ascii="Arial" w:hAnsi="Arial"/>
          <w:sz w:val="24"/>
        </w:rPr>
        <w:t>Clas</w:t>
      </w:r>
      <w:r>
        <w:rPr>
          <w:rFonts w:ascii="Arial" w:hAnsi="Arial"/>
          <w:sz w:val="24"/>
        </w:rPr>
        <w:t>ificación</w:t>
      </w:r>
    </w:p>
    <w:p w:rsidR="00000000" w:rsidRDefault="00C04CA6">
      <w:pPr>
        <w:rPr>
          <w:rFonts w:ascii="Arial" w:hAnsi="Arial"/>
          <w:sz w:val="24"/>
        </w:rPr>
      </w:pPr>
      <w:r>
        <w:rPr>
          <w:rFonts w:ascii="Arial" w:hAnsi="Arial"/>
          <w:sz w:val="24"/>
        </w:rPr>
        <w:t>Esta norma establece los límites máximos permisibles, tanto de concentraciones de contaminantes comunes, a nivel del suelo, en el aire ambiente, como de contaminantes emitidos desde fuentes fijas de combustión.  La norma establece la presente cla</w:t>
      </w:r>
      <w:r>
        <w:rPr>
          <w:rFonts w:ascii="Arial" w:hAnsi="Arial"/>
          <w:sz w:val="24"/>
        </w:rPr>
        <w:t>sificación:</w:t>
      </w:r>
    </w:p>
    <w:p w:rsidR="00000000" w:rsidRDefault="00C04CA6">
      <w:pPr>
        <w:rPr>
          <w:rFonts w:ascii="Arial" w:hAnsi="Arial"/>
          <w:sz w:val="24"/>
        </w:rPr>
      </w:pPr>
    </w:p>
    <w:p w:rsidR="00000000" w:rsidRDefault="00C04CA6" w:rsidP="00C04CA6">
      <w:pPr>
        <w:numPr>
          <w:ilvl w:val="0"/>
          <w:numId w:val="2"/>
        </w:numPr>
        <w:rPr>
          <w:rFonts w:ascii="Arial" w:hAnsi="Arial"/>
          <w:sz w:val="24"/>
        </w:rPr>
      </w:pPr>
      <w:r>
        <w:rPr>
          <w:rFonts w:ascii="Arial" w:hAnsi="Arial"/>
          <w:sz w:val="24"/>
        </w:rPr>
        <w:t>Límites permisibles de emisión de contaminantes al aire desde combustión en fuentes fijas.</w:t>
      </w:r>
    </w:p>
    <w:p w:rsidR="00000000" w:rsidRDefault="00C04CA6">
      <w:pPr>
        <w:rPr>
          <w:rFonts w:ascii="Arial" w:hAnsi="Arial"/>
          <w:sz w:val="24"/>
        </w:rPr>
      </w:pPr>
    </w:p>
    <w:p w:rsidR="00000000" w:rsidRDefault="00C04CA6" w:rsidP="00C04CA6">
      <w:pPr>
        <w:numPr>
          <w:ilvl w:val="0"/>
          <w:numId w:val="2"/>
        </w:numPr>
        <w:rPr>
          <w:rFonts w:ascii="Arial" w:hAnsi="Arial"/>
          <w:sz w:val="24"/>
        </w:rPr>
      </w:pPr>
      <w:r>
        <w:rPr>
          <w:rFonts w:ascii="Arial" w:hAnsi="Arial"/>
          <w:sz w:val="24"/>
        </w:rPr>
        <w:t>Métodos y equipos de medición de emisiones desde fuentes fijas de combustión.</w:t>
      </w:r>
    </w:p>
    <w:p w:rsidR="00000000" w:rsidRDefault="00C04CA6">
      <w:pPr>
        <w:ind w:left="708"/>
        <w:rPr>
          <w:rFonts w:ascii="Arial" w:hAnsi="Arial"/>
          <w:sz w:val="24"/>
        </w:rPr>
      </w:pPr>
    </w:p>
    <w:p w:rsidR="00000000" w:rsidRDefault="00C04CA6" w:rsidP="00C04CA6">
      <w:pPr>
        <w:numPr>
          <w:ilvl w:val="0"/>
          <w:numId w:val="2"/>
        </w:numPr>
        <w:rPr>
          <w:rFonts w:ascii="Arial" w:hAnsi="Arial"/>
          <w:sz w:val="24"/>
        </w:rPr>
      </w:pPr>
      <w:r>
        <w:rPr>
          <w:rFonts w:ascii="Arial" w:hAnsi="Arial"/>
          <w:sz w:val="24"/>
        </w:rPr>
        <w:t>Límites permisibles de emisión de contaminantes al aire para procesos pr</w:t>
      </w:r>
      <w:r>
        <w:rPr>
          <w:rFonts w:ascii="Arial" w:hAnsi="Arial"/>
          <w:sz w:val="24"/>
        </w:rPr>
        <w:t>oductivos:</w:t>
      </w:r>
    </w:p>
    <w:p w:rsidR="00000000" w:rsidRDefault="00C04CA6" w:rsidP="00C04CA6">
      <w:pPr>
        <w:pStyle w:val="Textocomentario"/>
        <w:numPr>
          <w:ilvl w:val="1"/>
          <w:numId w:val="2"/>
        </w:numPr>
        <w:rPr>
          <w:rFonts w:ascii="Arial" w:hAnsi="Arial"/>
          <w:sz w:val="24"/>
          <w:lang w:val="es-MX"/>
        </w:rPr>
      </w:pPr>
      <w:r>
        <w:rPr>
          <w:rFonts w:ascii="Arial" w:hAnsi="Arial"/>
          <w:sz w:val="24"/>
          <w:lang w:val="es-MX"/>
        </w:rPr>
        <w:t>Límites permisibles de emisión desde procesos de elaboración de cemento.</w:t>
      </w:r>
    </w:p>
    <w:p w:rsidR="00000000" w:rsidRDefault="00C04CA6" w:rsidP="00C04CA6">
      <w:pPr>
        <w:pStyle w:val="Textocomentario"/>
        <w:numPr>
          <w:ilvl w:val="1"/>
          <w:numId w:val="2"/>
        </w:numPr>
        <w:rPr>
          <w:rFonts w:ascii="Arial" w:hAnsi="Arial"/>
          <w:sz w:val="24"/>
          <w:lang w:val="es-MX"/>
        </w:rPr>
      </w:pPr>
      <w:r>
        <w:rPr>
          <w:rFonts w:ascii="Arial" w:hAnsi="Arial"/>
          <w:sz w:val="24"/>
          <w:lang w:val="es-MX"/>
        </w:rPr>
        <w:t>Límites permisibles de emisión desde procesos de elaboración de envases de vidrio.</w:t>
      </w:r>
    </w:p>
    <w:p w:rsidR="00000000" w:rsidRDefault="00C04CA6" w:rsidP="00C04CA6">
      <w:pPr>
        <w:pStyle w:val="Textocomentario"/>
        <w:numPr>
          <w:ilvl w:val="1"/>
          <w:numId w:val="2"/>
        </w:numPr>
        <w:rPr>
          <w:rFonts w:ascii="Arial" w:hAnsi="Arial"/>
          <w:sz w:val="24"/>
          <w:lang w:val="es-MX"/>
        </w:rPr>
      </w:pPr>
      <w:r>
        <w:rPr>
          <w:rFonts w:ascii="Arial" w:hAnsi="Arial"/>
          <w:sz w:val="24"/>
          <w:lang w:val="es-MX"/>
        </w:rPr>
        <w:t>Límites permisibles de emisión desde procesos de elaboración de pulpa de papel.</w:t>
      </w:r>
    </w:p>
    <w:p w:rsidR="00000000" w:rsidRDefault="00C04CA6" w:rsidP="00C04CA6">
      <w:pPr>
        <w:pStyle w:val="Textocomentario"/>
        <w:numPr>
          <w:ilvl w:val="1"/>
          <w:numId w:val="2"/>
        </w:numPr>
        <w:rPr>
          <w:rFonts w:ascii="Arial" w:hAnsi="Arial"/>
          <w:sz w:val="24"/>
          <w:lang w:val="es-MX"/>
        </w:rPr>
      </w:pPr>
      <w:r>
        <w:rPr>
          <w:rFonts w:ascii="Arial" w:hAnsi="Arial"/>
          <w:sz w:val="24"/>
          <w:lang w:val="es-MX"/>
        </w:rPr>
        <w:t>Límites p</w:t>
      </w:r>
      <w:r>
        <w:rPr>
          <w:rFonts w:ascii="Arial" w:hAnsi="Arial"/>
          <w:sz w:val="24"/>
          <w:lang w:val="es-MX"/>
        </w:rPr>
        <w:t>ermisibles de emisión desde procesos de fundición de metales ferrosos.</w:t>
      </w:r>
    </w:p>
    <w:p w:rsidR="00000000" w:rsidRDefault="00C04CA6" w:rsidP="00C04CA6">
      <w:pPr>
        <w:pStyle w:val="Textocomentario"/>
        <w:numPr>
          <w:ilvl w:val="1"/>
          <w:numId w:val="2"/>
        </w:numPr>
        <w:rPr>
          <w:rFonts w:ascii="Arial" w:hAnsi="Arial"/>
          <w:sz w:val="24"/>
          <w:lang w:val="es-MX"/>
        </w:rPr>
      </w:pPr>
      <w:r>
        <w:rPr>
          <w:rFonts w:ascii="Arial" w:hAnsi="Arial"/>
          <w:sz w:val="24"/>
          <w:lang w:val="es-MX"/>
        </w:rPr>
        <w:t>Normas de emisión desde combustión de bagazo en equipos de combustión de instalaciones de elaboración de azúcar.</w:t>
      </w:r>
    </w:p>
    <w:p w:rsidR="00000000" w:rsidRDefault="00C04CA6" w:rsidP="00C04CA6">
      <w:pPr>
        <w:pStyle w:val="Textocomentario"/>
        <w:numPr>
          <w:ilvl w:val="1"/>
          <w:numId w:val="2"/>
        </w:numPr>
        <w:rPr>
          <w:rFonts w:ascii="Arial" w:hAnsi="Arial"/>
          <w:sz w:val="24"/>
          <w:lang w:val="es-MX"/>
        </w:rPr>
      </w:pPr>
      <w:r>
        <w:rPr>
          <w:rFonts w:ascii="Arial" w:hAnsi="Arial"/>
          <w:sz w:val="24"/>
          <w:lang w:val="es-MX"/>
        </w:rPr>
        <w:t>Límites permisibles de emisión desde motores de combustión interna.</w:t>
      </w:r>
    </w:p>
    <w:p w:rsidR="00000000" w:rsidRDefault="00C04CA6">
      <w:pPr>
        <w:rPr>
          <w:rFonts w:ascii="Arial" w:hAnsi="Arial"/>
          <w:sz w:val="24"/>
        </w:rPr>
      </w:pPr>
    </w:p>
    <w:p w:rsidR="00000000" w:rsidRDefault="00C04CA6">
      <w:pPr>
        <w:pStyle w:val="Ttulo1"/>
        <w:rPr>
          <w:rFonts w:ascii="Arial" w:hAnsi="Arial"/>
          <w:sz w:val="24"/>
        </w:rPr>
      </w:pPr>
      <w:r>
        <w:rPr>
          <w:rFonts w:ascii="Arial" w:hAnsi="Arial"/>
          <w:sz w:val="24"/>
        </w:rPr>
        <w:t>Req</w:t>
      </w:r>
      <w:r>
        <w:rPr>
          <w:rFonts w:ascii="Arial" w:hAnsi="Arial"/>
          <w:sz w:val="24"/>
        </w:rPr>
        <w:t>uisitos</w:t>
      </w:r>
    </w:p>
    <w:p w:rsidR="00000000" w:rsidRDefault="00C04CA6">
      <w:pPr>
        <w:pStyle w:val="Ttulo2"/>
        <w:tabs>
          <w:tab w:val="num" w:pos="360"/>
        </w:tabs>
        <w:rPr>
          <w:rFonts w:ascii="Arial" w:hAnsi="Arial"/>
          <w:sz w:val="24"/>
        </w:rPr>
      </w:pPr>
      <w:r>
        <w:rPr>
          <w:rFonts w:ascii="Arial" w:hAnsi="Arial"/>
          <w:sz w:val="24"/>
        </w:rPr>
        <w:t>De los límites permisibles de emisiones al aire para fuentes fijas de combustión</w:t>
      </w:r>
    </w:p>
    <w:p w:rsidR="00000000" w:rsidRDefault="00C04CA6">
      <w:pPr>
        <w:rPr>
          <w:rFonts w:ascii="Arial" w:hAnsi="Arial"/>
          <w:sz w:val="24"/>
        </w:rPr>
      </w:pPr>
      <w:r>
        <w:rPr>
          <w:rFonts w:ascii="Arial" w:hAnsi="Arial"/>
          <w:sz w:val="24"/>
        </w:rPr>
        <w:t xml:space="preserve">4.1.1  </w:t>
      </w:r>
      <w:r>
        <w:rPr>
          <w:rFonts w:ascii="Arial" w:hAnsi="Arial"/>
          <w:sz w:val="24"/>
          <w:u w:val="single"/>
        </w:rPr>
        <w:t>De las fuentes fijas significativas de emisiones al aire</w:t>
      </w:r>
    </w:p>
    <w:p w:rsidR="00000000" w:rsidRDefault="00C04CA6">
      <w:pPr>
        <w:rPr>
          <w:rFonts w:ascii="Arial" w:hAnsi="Arial"/>
          <w:sz w:val="24"/>
        </w:rPr>
      </w:pPr>
    </w:p>
    <w:p w:rsidR="00000000" w:rsidRDefault="00C04CA6">
      <w:pPr>
        <w:rPr>
          <w:rFonts w:ascii="Arial" w:hAnsi="Arial"/>
          <w:sz w:val="24"/>
          <w:lang w:val="es-ES"/>
        </w:rPr>
      </w:pPr>
      <w:r>
        <w:rPr>
          <w:rFonts w:ascii="Arial" w:hAnsi="Arial"/>
          <w:sz w:val="24"/>
          <w:lang w:val="es-ES"/>
        </w:rPr>
        <w:t>4.1.1.1  Para la aplicación de la presente norma técnica, se definen fuentes fijas significativas y fu</w:t>
      </w:r>
      <w:r>
        <w:rPr>
          <w:rFonts w:ascii="Arial" w:hAnsi="Arial"/>
          <w:sz w:val="24"/>
          <w:lang w:val="es-ES"/>
        </w:rPr>
        <w:t>entes fijas no significativas, de emisiones al aire por proceso de combustión.</w:t>
      </w: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4.1.1.2  Serán designadas como fuentes fijas significativas todas aquellas que utilizan combustibles fósiles sólidos, líquidos, gaseosos, o cualquiera de sus combinaciones, y c</w:t>
      </w:r>
      <w:r>
        <w:rPr>
          <w:rFonts w:ascii="Arial" w:hAnsi="Arial"/>
          <w:sz w:val="24"/>
          <w:lang w:val="es-ES"/>
        </w:rPr>
        <w:t>uya potencia calorífica (</w:t>
      </w:r>
      <w:r>
        <w:rPr>
          <w:rFonts w:ascii="Arial" w:hAnsi="Arial"/>
          <w:i/>
          <w:sz w:val="24"/>
          <w:lang w:val="es-ES"/>
        </w:rPr>
        <w:t>heat input</w:t>
      </w:r>
      <w:r>
        <w:rPr>
          <w:rFonts w:ascii="Arial" w:hAnsi="Arial"/>
          <w:sz w:val="24"/>
          <w:lang w:val="es-ES"/>
        </w:rPr>
        <w:t>) sea igual o mayor a tres millones de vatios (3 x 10</w:t>
      </w:r>
      <w:r>
        <w:rPr>
          <w:rFonts w:ascii="Arial" w:hAnsi="Arial"/>
          <w:sz w:val="24"/>
          <w:vertAlign w:val="superscript"/>
          <w:lang w:val="es-ES"/>
        </w:rPr>
        <w:t>6</w:t>
      </w:r>
      <w:r>
        <w:rPr>
          <w:rFonts w:ascii="Arial" w:hAnsi="Arial"/>
          <w:sz w:val="24"/>
          <w:lang w:val="es-ES"/>
        </w:rPr>
        <w:t xml:space="preserve"> W), o, diez millones de unidades térmicas británicas por hora (10 x 10</w:t>
      </w:r>
      <w:r>
        <w:rPr>
          <w:rFonts w:ascii="Arial" w:hAnsi="Arial"/>
          <w:sz w:val="24"/>
          <w:vertAlign w:val="superscript"/>
          <w:lang w:val="es-ES"/>
        </w:rPr>
        <w:t>6</w:t>
      </w:r>
      <w:r>
        <w:rPr>
          <w:rFonts w:ascii="Arial" w:hAnsi="Arial"/>
          <w:sz w:val="24"/>
          <w:lang w:val="es-ES"/>
        </w:rPr>
        <w:t xml:space="preserve"> BTU/h).</w:t>
      </w: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 xml:space="preserve">4.1.1.3  Para las fuentes fijas que se determinen como fuentes significativas, éstas </w:t>
      </w:r>
      <w:r>
        <w:rPr>
          <w:rFonts w:ascii="Arial" w:hAnsi="Arial"/>
          <w:sz w:val="24"/>
          <w:lang w:val="es-ES"/>
        </w:rPr>
        <w:t>deberán demostrar cumplimiento con los límites máximos permisibles de emisión al aire, definidos en esta norma técnica, en sus Tablas 1 y 2, según se corresponda.  Para esto, la fuente deberá efectuar mediciones de la tasa actual de emisión de contaminante</w:t>
      </w:r>
      <w:r>
        <w:rPr>
          <w:rFonts w:ascii="Arial" w:hAnsi="Arial"/>
          <w:sz w:val="24"/>
          <w:lang w:val="es-ES"/>
        </w:rPr>
        <w:t>s.  Si los resultados fuesen superiores a los valores máximos permisibles de emisión, la fuente fija deberá entonces establecer los métodos o los equipos de control necesarios para alcanzar cumplimiento con los valores máximos de emisión estipulados en est</w:t>
      </w:r>
      <w:r>
        <w:rPr>
          <w:rFonts w:ascii="Arial" w:hAnsi="Arial"/>
          <w:sz w:val="24"/>
          <w:lang w:val="es-ES"/>
        </w:rPr>
        <w:t>a norma.</w:t>
      </w: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4.1.1.4  Serán designadas como fuentes fijas no significativas todas aquellas que utilizan combustibles fósiles sólidos, líquidos, gaseosos, o cualquiera de sus combinaciones, y cuya potencia calorífica (</w:t>
      </w:r>
      <w:r>
        <w:rPr>
          <w:rFonts w:ascii="Arial" w:hAnsi="Arial"/>
          <w:i/>
          <w:sz w:val="24"/>
          <w:lang w:val="es-ES"/>
        </w:rPr>
        <w:t>heat input</w:t>
      </w:r>
      <w:r>
        <w:rPr>
          <w:rFonts w:ascii="Arial" w:hAnsi="Arial"/>
          <w:sz w:val="24"/>
          <w:lang w:val="es-ES"/>
        </w:rPr>
        <w:t>) sea menor a tres millones de v</w:t>
      </w:r>
      <w:r>
        <w:rPr>
          <w:rFonts w:ascii="Arial" w:hAnsi="Arial"/>
          <w:sz w:val="24"/>
          <w:lang w:val="es-ES"/>
        </w:rPr>
        <w:t>atios (3 x 10</w:t>
      </w:r>
      <w:r>
        <w:rPr>
          <w:rFonts w:ascii="Arial" w:hAnsi="Arial"/>
          <w:sz w:val="24"/>
          <w:vertAlign w:val="superscript"/>
          <w:lang w:val="es-ES"/>
        </w:rPr>
        <w:t>6</w:t>
      </w:r>
      <w:r>
        <w:rPr>
          <w:rFonts w:ascii="Arial" w:hAnsi="Arial"/>
          <w:sz w:val="24"/>
          <w:lang w:val="es-ES"/>
        </w:rPr>
        <w:t xml:space="preserve"> W), o, diez millones de unidades térmicas británicas por hora (10 x 10</w:t>
      </w:r>
      <w:r>
        <w:rPr>
          <w:rFonts w:ascii="Arial" w:hAnsi="Arial"/>
          <w:sz w:val="24"/>
          <w:vertAlign w:val="superscript"/>
          <w:lang w:val="es-ES"/>
        </w:rPr>
        <w:t>6</w:t>
      </w:r>
      <w:r>
        <w:rPr>
          <w:rFonts w:ascii="Arial" w:hAnsi="Arial"/>
          <w:sz w:val="24"/>
          <w:lang w:val="es-ES"/>
        </w:rPr>
        <w:t xml:space="preserve"> BTU/h).  Estas fuentes fijas de combustión no estarán obligadas a efectuar mediciones de sus emisiones actuales, y deberán proceder según se indica en el siguiente artíc</w:t>
      </w:r>
      <w:r>
        <w:rPr>
          <w:rFonts w:ascii="Arial" w:hAnsi="Arial"/>
          <w:sz w:val="24"/>
          <w:lang w:val="es-ES"/>
        </w:rPr>
        <w:t>ulo.</w:t>
      </w: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4.1.1.5  Las fuentes fijas no significativas, aceptadas como tal por parte de la Entidad Ambiental de Control, demostrarán cumplimiento con la normativa mediante alguno de los siguientes métodos:</w:t>
      </w:r>
    </w:p>
    <w:p w:rsidR="00000000" w:rsidRDefault="00C04CA6">
      <w:pPr>
        <w:rPr>
          <w:rFonts w:ascii="Arial" w:hAnsi="Arial"/>
          <w:sz w:val="24"/>
          <w:lang w:val="es-ES"/>
        </w:rPr>
      </w:pPr>
    </w:p>
    <w:p w:rsidR="00000000" w:rsidRDefault="00C04CA6" w:rsidP="00C04CA6">
      <w:pPr>
        <w:numPr>
          <w:ilvl w:val="0"/>
          <w:numId w:val="4"/>
        </w:numPr>
        <w:rPr>
          <w:rFonts w:ascii="Arial" w:hAnsi="Arial"/>
          <w:sz w:val="24"/>
          <w:lang w:val="es-ES"/>
        </w:rPr>
      </w:pPr>
      <w:r>
        <w:rPr>
          <w:rFonts w:ascii="Arial" w:hAnsi="Arial"/>
          <w:sz w:val="24"/>
          <w:lang w:val="es-ES"/>
        </w:rPr>
        <w:t>El registro interno, y disponible ante la Entidad Amb</w:t>
      </w:r>
      <w:r>
        <w:rPr>
          <w:rFonts w:ascii="Arial" w:hAnsi="Arial"/>
          <w:sz w:val="24"/>
          <w:lang w:val="es-ES"/>
        </w:rPr>
        <w:t>iental de Control, del seguimiento de las prácticas de mantenimiento de los equipos de combustión, acordes con los programas establecidos por el operador o propietario de la fuente, o recomendados por el fabricante del equipo de combustión;</w:t>
      </w:r>
    </w:p>
    <w:p w:rsidR="00000000" w:rsidRDefault="00C04CA6" w:rsidP="00C04CA6">
      <w:pPr>
        <w:numPr>
          <w:ilvl w:val="0"/>
          <w:numId w:val="4"/>
        </w:numPr>
        <w:rPr>
          <w:rFonts w:ascii="Arial" w:hAnsi="Arial"/>
          <w:sz w:val="24"/>
          <w:lang w:val="es-ES"/>
        </w:rPr>
      </w:pPr>
      <w:r>
        <w:rPr>
          <w:rFonts w:ascii="Arial" w:hAnsi="Arial"/>
          <w:sz w:val="24"/>
          <w:lang w:val="es-ES"/>
        </w:rPr>
        <w:t>resultados de a</w:t>
      </w:r>
      <w:r>
        <w:rPr>
          <w:rFonts w:ascii="Arial" w:hAnsi="Arial"/>
          <w:sz w:val="24"/>
          <w:lang w:val="es-ES"/>
        </w:rPr>
        <w:t>nálisis de características físicas y químicas del combustible utilizado, en particular del contenido de azufre y nitrógeno en el mismo;</w:t>
      </w:r>
    </w:p>
    <w:p w:rsidR="00000000" w:rsidRDefault="00C04CA6" w:rsidP="00C04CA6">
      <w:pPr>
        <w:numPr>
          <w:ilvl w:val="0"/>
          <w:numId w:val="4"/>
        </w:numPr>
        <w:rPr>
          <w:rFonts w:ascii="Arial" w:hAnsi="Arial"/>
          <w:sz w:val="24"/>
          <w:lang w:val="es-ES"/>
        </w:rPr>
      </w:pPr>
      <w:r>
        <w:rPr>
          <w:rFonts w:ascii="Arial" w:hAnsi="Arial"/>
          <w:sz w:val="24"/>
          <w:lang w:val="es-ES"/>
        </w:rPr>
        <w:t>la presentación de certificados por parte del fabricante del equipo de combustión en cuanto a la tasa esperada de emisio</w:t>
      </w:r>
      <w:r>
        <w:rPr>
          <w:rFonts w:ascii="Arial" w:hAnsi="Arial"/>
          <w:sz w:val="24"/>
          <w:lang w:val="es-ES"/>
        </w:rPr>
        <w:t>nes de contaminantes, en base a las características del combustible utilizado.</w:t>
      </w:r>
    </w:p>
    <w:p w:rsidR="00000000" w:rsidRDefault="00C04CA6" w:rsidP="00C04CA6">
      <w:pPr>
        <w:numPr>
          <w:ilvl w:val="0"/>
          <w:numId w:val="4"/>
        </w:numPr>
        <w:rPr>
          <w:rFonts w:ascii="Arial" w:hAnsi="Arial"/>
          <w:sz w:val="24"/>
          <w:lang w:val="es-ES"/>
        </w:rPr>
      </w:pPr>
      <w:r>
        <w:rPr>
          <w:rFonts w:ascii="Arial" w:hAnsi="Arial"/>
          <w:sz w:val="24"/>
          <w:lang w:val="es-ES"/>
        </w:rPr>
        <w:t>mediante inspección del nivel de opacidad de los gases de escape de la fuente;</w:t>
      </w:r>
    </w:p>
    <w:p w:rsidR="00000000" w:rsidRDefault="00C04CA6" w:rsidP="00C04CA6">
      <w:pPr>
        <w:numPr>
          <w:ilvl w:val="0"/>
          <w:numId w:val="4"/>
        </w:numPr>
        <w:rPr>
          <w:rFonts w:ascii="Arial" w:hAnsi="Arial"/>
          <w:sz w:val="24"/>
          <w:lang w:val="es-ES"/>
        </w:rPr>
      </w:pPr>
      <w:r>
        <w:rPr>
          <w:rFonts w:ascii="Arial" w:hAnsi="Arial"/>
          <w:sz w:val="24"/>
          <w:lang w:val="es-ES"/>
        </w:rPr>
        <w:t xml:space="preserve">mediante el uso de altura de chimenea recomendada por las prácticas de ingeniería; </w:t>
      </w:r>
    </w:p>
    <w:p w:rsidR="00000000" w:rsidRDefault="00C04CA6" w:rsidP="00C04CA6">
      <w:pPr>
        <w:numPr>
          <w:ilvl w:val="0"/>
          <w:numId w:val="4"/>
        </w:numPr>
        <w:rPr>
          <w:rFonts w:ascii="Arial" w:hAnsi="Arial"/>
          <w:sz w:val="24"/>
          <w:lang w:val="es-ES"/>
        </w:rPr>
      </w:pPr>
      <w:r>
        <w:rPr>
          <w:rFonts w:ascii="Arial" w:hAnsi="Arial"/>
          <w:sz w:val="24"/>
          <w:lang w:val="es-ES"/>
        </w:rPr>
        <w:t>otros que se l</w:t>
      </w:r>
      <w:r>
        <w:rPr>
          <w:rFonts w:ascii="Arial" w:hAnsi="Arial"/>
          <w:sz w:val="24"/>
          <w:lang w:val="es-ES"/>
        </w:rPr>
        <w:t>legaren a establecer.</w:t>
      </w: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4.1.1.6  Para la verificación de cumplimiento por parte de una fuente fija no significativa con alguno de los métodos descritos, el operador u propietario de la fuente deberá mantener los debidos registros o certificados, a fin de re</w:t>
      </w:r>
      <w:r>
        <w:rPr>
          <w:rFonts w:ascii="Arial" w:hAnsi="Arial"/>
          <w:sz w:val="24"/>
          <w:lang w:val="es-ES"/>
        </w:rPr>
        <w:t>portar a la Entidad Ambiental de Control con una frecuencia de una vez por año.</w:t>
      </w: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4.1.1.7  No obstante de lo anterior, las fuentes fijas no significativas podrán ser requeridas, por parte de la Entidad Ambiental de Control, de efectuar evaluaciones adiciona</w:t>
      </w:r>
      <w:r>
        <w:rPr>
          <w:rFonts w:ascii="Arial" w:hAnsi="Arial"/>
          <w:sz w:val="24"/>
          <w:lang w:val="es-ES"/>
        </w:rPr>
        <w:t xml:space="preserve">les de sus emisiones, en el caso de que estas emisiones excedan o comprometan las concentraciones máximas permitidas, a nivel del suelo, de contaminantes del aire.  Estas últimas concentraciones de contaminantes en el aire ambiente se encuentran definidas </w:t>
      </w:r>
      <w:r>
        <w:rPr>
          <w:rFonts w:ascii="Arial" w:hAnsi="Arial"/>
          <w:sz w:val="24"/>
          <w:lang w:val="es-ES"/>
        </w:rPr>
        <w:t>en la norma correspondiente a calidad de aire.</w:t>
      </w: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4.1.1.8  Las fuentes fijas no significativas deberán someter, a consideración de la Entidad Ambiental de Control, los planos y especificaciones técnicas de sus sistemas de combustión, esto como parte de los p</w:t>
      </w:r>
      <w:r>
        <w:rPr>
          <w:rFonts w:ascii="Arial" w:hAnsi="Arial"/>
          <w:sz w:val="24"/>
          <w:lang w:val="es-ES"/>
        </w:rPr>
        <w:t>rocedimientos normales de permiso de funcionamiento.</w:t>
      </w:r>
    </w:p>
    <w:p w:rsidR="00000000" w:rsidRDefault="00C04CA6">
      <w:pPr>
        <w:rPr>
          <w:rFonts w:ascii="Arial" w:hAnsi="Arial"/>
          <w:sz w:val="24"/>
          <w:lang w:val="es-ES"/>
        </w:rPr>
      </w:pPr>
    </w:p>
    <w:p w:rsidR="00000000" w:rsidRDefault="00C04CA6">
      <w:pPr>
        <w:rPr>
          <w:rFonts w:ascii="Arial" w:hAnsi="Arial"/>
          <w:sz w:val="24"/>
        </w:rPr>
      </w:pPr>
    </w:p>
    <w:p w:rsidR="00000000" w:rsidRDefault="00C04CA6">
      <w:pPr>
        <w:rPr>
          <w:rFonts w:ascii="Arial" w:hAnsi="Arial"/>
          <w:sz w:val="24"/>
        </w:rPr>
      </w:pPr>
      <w:r>
        <w:rPr>
          <w:rFonts w:ascii="Arial" w:hAnsi="Arial"/>
          <w:sz w:val="24"/>
        </w:rPr>
        <w:t xml:space="preserve">4.1.2  </w:t>
      </w:r>
      <w:r>
        <w:rPr>
          <w:rFonts w:ascii="Arial" w:hAnsi="Arial"/>
          <w:sz w:val="24"/>
          <w:u w:val="single"/>
        </w:rPr>
        <w:t>Valores máximos permisibles de emisión</w:t>
      </w:r>
    </w:p>
    <w:p w:rsidR="00000000" w:rsidRDefault="00C04CA6">
      <w:pPr>
        <w:rPr>
          <w:rFonts w:ascii="Arial" w:hAnsi="Arial"/>
          <w:sz w:val="24"/>
        </w:rPr>
      </w:pPr>
    </w:p>
    <w:p w:rsidR="00000000" w:rsidRDefault="00C04CA6">
      <w:pPr>
        <w:rPr>
          <w:rFonts w:ascii="Arial" w:hAnsi="Arial"/>
          <w:sz w:val="24"/>
        </w:rPr>
      </w:pPr>
      <w:r>
        <w:rPr>
          <w:rFonts w:ascii="Arial" w:hAnsi="Arial"/>
          <w:sz w:val="24"/>
        </w:rPr>
        <w:t>4.1.2.1  Los valores de emisión máxima permitida, para fuentes fijas de combustión existentes, son los establecidos en la Tabla 1 de esta norma.</w:t>
      </w:r>
    </w:p>
    <w:p w:rsidR="00000000" w:rsidRDefault="00C04CA6">
      <w:pPr>
        <w:rPr>
          <w:rFonts w:ascii="Arial" w:hAnsi="Arial"/>
          <w:sz w:val="24"/>
          <w:lang w:val="es-ES"/>
        </w:rPr>
      </w:pPr>
    </w:p>
    <w:p w:rsidR="00000000" w:rsidRDefault="00C04CA6">
      <w:pPr>
        <w:pStyle w:val="Ttulo7"/>
        <w:jc w:val="center"/>
        <w:rPr>
          <w:rFonts w:ascii="Arial" w:hAnsi="Arial"/>
          <w:smallCaps w:val="0"/>
          <w:sz w:val="24"/>
        </w:rPr>
      </w:pPr>
      <w:r>
        <w:rPr>
          <w:rFonts w:ascii="Arial" w:hAnsi="Arial"/>
          <w:smallCaps w:val="0"/>
          <w:sz w:val="24"/>
        </w:rPr>
        <w:t>Tabla 1.</w:t>
      </w:r>
      <w:r>
        <w:rPr>
          <w:rFonts w:ascii="Arial" w:hAnsi="Arial"/>
          <w:smallCaps w:val="0"/>
          <w:sz w:val="24"/>
        </w:rPr>
        <w:t xml:space="preserve">  Límites máximos permisibles de emisiones al aire para fuentes fijas de combustión.  Norma para fuentes en operación antes de Enero de 2003</w:t>
      </w:r>
    </w:p>
    <w:p w:rsidR="00000000" w:rsidRDefault="00C04CA6">
      <w:pPr>
        <w:rPr>
          <w:rFonts w:ascii="Arial" w:hAnsi="Arial"/>
          <w:sz w:val="24"/>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2458"/>
        <w:gridCol w:w="2126"/>
        <w:gridCol w:w="1800"/>
        <w:gridCol w:w="2014"/>
      </w:tblGrid>
      <w:tr w:rsidR="00000000">
        <w:tblPrEx>
          <w:tblCellMar>
            <w:top w:w="0" w:type="dxa"/>
            <w:bottom w:w="0" w:type="dxa"/>
          </w:tblCellMar>
        </w:tblPrEx>
        <w:trPr>
          <w:jc w:val="center"/>
        </w:trPr>
        <w:tc>
          <w:tcPr>
            <w:tcW w:w="2458" w:type="dxa"/>
            <w:tcBorders>
              <w:top w:val="single" w:sz="6" w:space="0" w:color="auto"/>
              <w:bottom w:val="single" w:sz="6" w:space="0" w:color="auto"/>
              <w:right w:val="single" w:sz="6" w:space="0" w:color="auto"/>
            </w:tcBorders>
          </w:tcPr>
          <w:p w:rsidR="00000000" w:rsidRDefault="00C04CA6">
            <w:pPr>
              <w:rPr>
                <w:rFonts w:ascii="Arial" w:hAnsi="Arial"/>
                <w:b/>
                <w:sz w:val="24"/>
              </w:rPr>
            </w:pPr>
            <w:r>
              <w:rPr>
                <w:rFonts w:ascii="Arial" w:hAnsi="Arial"/>
                <w:b/>
                <w:sz w:val="24"/>
              </w:rPr>
              <w:t>CONTAMINANTE EMITIDO</w:t>
            </w:r>
          </w:p>
        </w:tc>
        <w:tc>
          <w:tcPr>
            <w:tcW w:w="2126" w:type="dxa"/>
            <w:tcBorders>
              <w:top w:val="single" w:sz="6" w:space="0" w:color="auto"/>
              <w:left w:val="single" w:sz="6" w:space="0" w:color="auto"/>
              <w:bottom w:val="single" w:sz="6" w:space="0" w:color="auto"/>
              <w:right w:val="single" w:sz="6" w:space="0" w:color="auto"/>
            </w:tcBorders>
          </w:tcPr>
          <w:p w:rsidR="00000000" w:rsidRDefault="00C04CA6">
            <w:pPr>
              <w:jc w:val="center"/>
              <w:rPr>
                <w:rFonts w:ascii="Arial" w:hAnsi="Arial"/>
                <w:b/>
                <w:sz w:val="24"/>
              </w:rPr>
            </w:pPr>
            <w:r>
              <w:rPr>
                <w:rFonts w:ascii="Arial" w:hAnsi="Arial"/>
                <w:b/>
                <w:sz w:val="24"/>
              </w:rPr>
              <w:t>COMBUSTIBLE UTILIZADO</w:t>
            </w:r>
          </w:p>
        </w:tc>
        <w:tc>
          <w:tcPr>
            <w:tcW w:w="1800" w:type="dxa"/>
            <w:tcBorders>
              <w:top w:val="single" w:sz="6" w:space="0" w:color="auto"/>
              <w:left w:val="single" w:sz="6" w:space="0" w:color="auto"/>
              <w:bottom w:val="single" w:sz="6" w:space="0" w:color="auto"/>
              <w:right w:val="single" w:sz="6" w:space="0" w:color="auto"/>
            </w:tcBorders>
          </w:tcPr>
          <w:p w:rsidR="00000000" w:rsidRDefault="00C04CA6">
            <w:pPr>
              <w:jc w:val="center"/>
              <w:rPr>
                <w:rFonts w:ascii="Arial" w:hAnsi="Arial"/>
                <w:b/>
                <w:sz w:val="24"/>
              </w:rPr>
            </w:pPr>
            <w:r>
              <w:rPr>
                <w:rFonts w:ascii="Arial" w:hAnsi="Arial"/>
                <w:b/>
                <w:sz w:val="24"/>
              </w:rPr>
              <w:t>VALOR</w:t>
            </w:r>
          </w:p>
        </w:tc>
        <w:tc>
          <w:tcPr>
            <w:tcW w:w="2014" w:type="dxa"/>
            <w:tcBorders>
              <w:top w:val="single" w:sz="6" w:space="0" w:color="auto"/>
              <w:left w:val="single" w:sz="6" w:space="0" w:color="auto"/>
              <w:bottom w:val="single" w:sz="6" w:space="0" w:color="auto"/>
            </w:tcBorders>
          </w:tcPr>
          <w:p w:rsidR="00000000" w:rsidRDefault="00C04CA6">
            <w:pPr>
              <w:jc w:val="center"/>
              <w:rPr>
                <w:rFonts w:ascii="Arial" w:hAnsi="Arial"/>
                <w:b/>
                <w:sz w:val="24"/>
              </w:rPr>
            </w:pPr>
            <w:r>
              <w:rPr>
                <w:rFonts w:ascii="Arial" w:hAnsi="Arial"/>
                <w:b/>
                <w:sz w:val="24"/>
              </w:rPr>
              <w:t xml:space="preserve"> UNIDADES  </w:t>
            </w:r>
            <w:r>
              <w:rPr>
                <w:rFonts w:ascii="Arial" w:hAnsi="Arial"/>
                <w:b/>
                <w:sz w:val="24"/>
                <w:vertAlign w:val="superscript"/>
              </w:rPr>
              <w:t>[1]</w:t>
            </w:r>
          </w:p>
        </w:tc>
      </w:tr>
      <w:tr w:rsidR="00000000">
        <w:tblPrEx>
          <w:tblCellMar>
            <w:top w:w="0" w:type="dxa"/>
            <w:bottom w:w="0" w:type="dxa"/>
          </w:tblCellMar>
        </w:tblPrEx>
        <w:trPr>
          <w:jc w:val="center"/>
        </w:trPr>
        <w:tc>
          <w:tcPr>
            <w:tcW w:w="2458" w:type="dxa"/>
            <w:tcBorders>
              <w:top w:val="single" w:sz="6" w:space="0" w:color="auto"/>
              <w:right w:val="single" w:sz="6" w:space="0" w:color="auto"/>
            </w:tcBorders>
            <w:vAlign w:val="center"/>
          </w:tcPr>
          <w:p w:rsidR="00000000" w:rsidRDefault="00C04CA6">
            <w:pPr>
              <w:rPr>
                <w:rFonts w:ascii="Arial" w:hAnsi="Arial"/>
                <w:sz w:val="24"/>
              </w:rPr>
            </w:pPr>
            <w:r>
              <w:rPr>
                <w:rFonts w:ascii="Arial" w:hAnsi="Arial"/>
                <w:sz w:val="24"/>
              </w:rPr>
              <w:t>Partículas Totales</w:t>
            </w:r>
          </w:p>
        </w:tc>
        <w:tc>
          <w:tcPr>
            <w:tcW w:w="2126" w:type="dxa"/>
            <w:tcBorders>
              <w:top w:val="single" w:sz="6" w:space="0" w:color="auto"/>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Sólido</w:t>
            </w:r>
          </w:p>
        </w:tc>
        <w:tc>
          <w:tcPr>
            <w:tcW w:w="1800" w:type="dxa"/>
            <w:tcBorders>
              <w:top w:val="single" w:sz="6" w:space="0" w:color="auto"/>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355</w:t>
            </w:r>
          </w:p>
        </w:tc>
        <w:tc>
          <w:tcPr>
            <w:tcW w:w="2014" w:type="dxa"/>
            <w:tcBorders>
              <w:top w:val="single" w:sz="6" w:space="0" w:color="auto"/>
              <w:left w:val="single" w:sz="6" w:space="0" w:color="auto"/>
              <w:bottom w:val="nil"/>
            </w:tcBorders>
          </w:tcPr>
          <w:p w:rsidR="00000000" w:rsidRDefault="00C04CA6">
            <w:pPr>
              <w:jc w:val="center"/>
              <w:rPr>
                <w:rFonts w:ascii="Arial" w:hAnsi="Arial"/>
                <w:sz w:val="24"/>
              </w:rPr>
            </w:pPr>
            <w:r>
              <w:rPr>
                <w:rFonts w:ascii="Arial" w:hAnsi="Arial"/>
                <w:sz w:val="24"/>
              </w:rPr>
              <w:t>mg/Nm</w:t>
            </w:r>
            <w:r>
              <w:rPr>
                <w:rFonts w:ascii="Arial" w:hAnsi="Arial"/>
                <w:sz w:val="24"/>
                <w:vertAlign w:val="superscript"/>
              </w:rPr>
              <w:t>3</w:t>
            </w:r>
          </w:p>
        </w:tc>
      </w:tr>
      <w:tr w:rsidR="00000000">
        <w:tblPrEx>
          <w:tblCellMar>
            <w:top w:w="0" w:type="dxa"/>
            <w:bottom w:w="0" w:type="dxa"/>
          </w:tblCellMar>
        </w:tblPrEx>
        <w:trPr>
          <w:jc w:val="center"/>
        </w:trPr>
        <w:tc>
          <w:tcPr>
            <w:tcW w:w="2458" w:type="dxa"/>
            <w:tcBorders>
              <w:right w:val="single" w:sz="6" w:space="0" w:color="auto"/>
            </w:tcBorders>
            <w:vAlign w:val="center"/>
          </w:tcPr>
          <w:p w:rsidR="00000000" w:rsidRDefault="00C04CA6">
            <w:pPr>
              <w:rPr>
                <w:rFonts w:ascii="Arial" w:hAnsi="Arial"/>
                <w:sz w:val="24"/>
              </w:rPr>
            </w:pPr>
          </w:p>
        </w:tc>
        <w:tc>
          <w:tcPr>
            <w:tcW w:w="2126" w:type="dxa"/>
            <w:tcBorders>
              <w:top w:val="nil"/>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 xml:space="preserve">Líquido  </w:t>
            </w:r>
            <w:r>
              <w:rPr>
                <w:rFonts w:ascii="Arial" w:hAnsi="Arial"/>
                <w:sz w:val="24"/>
                <w:vertAlign w:val="superscript"/>
              </w:rPr>
              <w:t>[</w:t>
            </w:r>
            <w:r>
              <w:rPr>
                <w:rFonts w:ascii="Arial" w:hAnsi="Arial"/>
                <w:sz w:val="24"/>
                <w:vertAlign w:val="superscript"/>
              </w:rPr>
              <w:t>2]</w:t>
            </w:r>
          </w:p>
        </w:tc>
        <w:tc>
          <w:tcPr>
            <w:tcW w:w="180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355</w:t>
            </w:r>
          </w:p>
        </w:tc>
        <w:tc>
          <w:tcPr>
            <w:tcW w:w="2014" w:type="dxa"/>
            <w:tcBorders>
              <w:top w:val="nil"/>
              <w:left w:val="single" w:sz="6" w:space="0" w:color="auto"/>
              <w:bottom w:val="nil"/>
            </w:tcBorders>
          </w:tcPr>
          <w:p w:rsidR="00000000" w:rsidRDefault="00C04CA6">
            <w:pPr>
              <w:jc w:val="center"/>
              <w:rPr>
                <w:rFonts w:ascii="Arial" w:hAnsi="Arial"/>
                <w:sz w:val="24"/>
              </w:rPr>
            </w:pPr>
            <w:r>
              <w:rPr>
                <w:rFonts w:ascii="Arial" w:hAnsi="Arial"/>
                <w:sz w:val="24"/>
              </w:rPr>
              <w:t>mg/Nm</w:t>
            </w:r>
            <w:r>
              <w:rPr>
                <w:rFonts w:ascii="Arial" w:hAnsi="Arial"/>
                <w:sz w:val="24"/>
                <w:vertAlign w:val="superscript"/>
              </w:rPr>
              <w:t>3</w:t>
            </w:r>
          </w:p>
        </w:tc>
      </w:tr>
      <w:tr w:rsidR="00000000">
        <w:tblPrEx>
          <w:tblCellMar>
            <w:top w:w="0" w:type="dxa"/>
            <w:bottom w:w="0" w:type="dxa"/>
          </w:tblCellMar>
        </w:tblPrEx>
        <w:trPr>
          <w:jc w:val="center"/>
        </w:trPr>
        <w:tc>
          <w:tcPr>
            <w:tcW w:w="2458" w:type="dxa"/>
            <w:tcBorders>
              <w:right w:val="single" w:sz="6" w:space="0" w:color="auto"/>
            </w:tcBorders>
            <w:vAlign w:val="center"/>
          </w:tcPr>
          <w:p w:rsidR="00000000" w:rsidRDefault="00C04CA6">
            <w:pPr>
              <w:rPr>
                <w:rFonts w:ascii="Arial" w:hAnsi="Arial"/>
                <w:sz w:val="24"/>
              </w:rPr>
            </w:pPr>
          </w:p>
        </w:tc>
        <w:tc>
          <w:tcPr>
            <w:tcW w:w="2126" w:type="dxa"/>
            <w:tcBorders>
              <w:top w:val="nil"/>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Gaseoso</w:t>
            </w:r>
          </w:p>
        </w:tc>
        <w:tc>
          <w:tcPr>
            <w:tcW w:w="1800" w:type="dxa"/>
            <w:tcBorders>
              <w:left w:val="single" w:sz="6" w:space="0" w:color="auto"/>
              <w:right w:val="single" w:sz="6" w:space="0" w:color="auto"/>
            </w:tcBorders>
          </w:tcPr>
          <w:p w:rsidR="00000000" w:rsidRDefault="00C04CA6">
            <w:pPr>
              <w:jc w:val="center"/>
              <w:rPr>
                <w:rFonts w:ascii="Arial" w:hAnsi="Arial"/>
                <w:sz w:val="24"/>
              </w:rPr>
            </w:pPr>
            <w:r>
              <w:rPr>
                <w:rFonts w:ascii="Arial" w:hAnsi="Arial"/>
                <w:sz w:val="24"/>
              </w:rPr>
              <w:t>No Aplicable</w:t>
            </w:r>
          </w:p>
        </w:tc>
        <w:tc>
          <w:tcPr>
            <w:tcW w:w="2014" w:type="dxa"/>
            <w:tcBorders>
              <w:top w:val="nil"/>
              <w:left w:val="single" w:sz="6" w:space="0" w:color="auto"/>
              <w:bottom w:val="nil"/>
            </w:tcBorders>
          </w:tcPr>
          <w:p w:rsidR="00000000" w:rsidRDefault="00C04CA6">
            <w:pPr>
              <w:jc w:val="center"/>
              <w:rPr>
                <w:rFonts w:ascii="Arial" w:hAnsi="Arial"/>
                <w:sz w:val="24"/>
              </w:rPr>
            </w:pPr>
            <w:r>
              <w:rPr>
                <w:rFonts w:ascii="Arial" w:hAnsi="Arial"/>
                <w:sz w:val="24"/>
              </w:rPr>
              <w:t>No Aplicable</w:t>
            </w:r>
          </w:p>
        </w:tc>
      </w:tr>
      <w:tr w:rsidR="00000000">
        <w:tblPrEx>
          <w:tblCellMar>
            <w:top w:w="0" w:type="dxa"/>
            <w:bottom w:w="0" w:type="dxa"/>
          </w:tblCellMar>
        </w:tblPrEx>
        <w:trPr>
          <w:jc w:val="center"/>
        </w:trPr>
        <w:tc>
          <w:tcPr>
            <w:tcW w:w="2458" w:type="dxa"/>
            <w:tcBorders>
              <w:right w:val="single" w:sz="6" w:space="0" w:color="auto"/>
            </w:tcBorders>
            <w:vAlign w:val="center"/>
          </w:tcPr>
          <w:p w:rsidR="00000000" w:rsidRDefault="00C04CA6">
            <w:pPr>
              <w:rPr>
                <w:rFonts w:ascii="Arial" w:hAnsi="Arial"/>
                <w:sz w:val="24"/>
              </w:rPr>
            </w:pPr>
          </w:p>
        </w:tc>
        <w:tc>
          <w:tcPr>
            <w:tcW w:w="2126" w:type="dxa"/>
            <w:tcBorders>
              <w:top w:val="nil"/>
              <w:left w:val="single" w:sz="6" w:space="0" w:color="auto"/>
              <w:bottom w:val="nil"/>
              <w:right w:val="single" w:sz="6" w:space="0" w:color="auto"/>
            </w:tcBorders>
          </w:tcPr>
          <w:p w:rsidR="00000000" w:rsidRDefault="00C04CA6">
            <w:pPr>
              <w:jc w:val="center"/>
              <w:rPr>
                <w:rFonts w:ascii="Arial" w:hAnsi="Arial"/>
                <w:sz w:val="24"/>
              </w:rPr>
            </w:pPr>
          </w:p>
        </w:tc>
        <w:tc>
          <w:tcPr>
            <w:tcW w:w="1800" w:type="dxa"/>
            <w:tcBorders>
              <w:left w:val="single" w:sz="6" w:space="0" w:color="auto"/>
              <w:right w:val="single" w:sz="6" w:space="0" w:color="auto"/>
            </w:tcBorders>
          </w:tcPr>
          <w:p w:rsidR="00000000" w:rsidRDefault="00C04CA6">
            <w:pPr>
              <w:jc w:val="center"/>
              <w:rPr>
                <w:rFonts w:ascii="Arial" w:hAnsi="Arial"/>
                <w:sz w:val="24"/>
              </w:rPr>
            </w:pPr>
          </w:p>
        </w:tc>
        <w:tc>
          <w:tcPr>
            <w:tcW w:w="2014" w:type="dxa"/>
            <w:tcBorders>
              <w:top w:val="nil"/>
              <w:left w:val="single" w:sz="6" w:space="0" w:color="auto"/>
              <w:bottom w:val="nil"/>
            </w:tcBorders>
          </w:tcPr>
          <w:p w:rsidR="00000000" w:rsidRDefault="00C04CA6">
            <w:pPr>
              <w:jc w:val="center"/>
              <w:rPr>
                <w:rFonts w:ascii="Arial" w:hAnsi="Arial"/>
                <w:sz w:val="24"/>
              </w:rPr>
            </w:pPr>
          </w:p>
        </w:tc>
      </w:tr>
      <w:tr w:rsidR="00000000">
        <w:tblPrEx>
          <w:tblCellMar>
            <w:top w:w="0" w:type="dxa"/>
            <w:bottom w:w="0" w:type="dxa"/>
          </w:tblCellMar>
        </w:tblPrEx>
        <w:trPr>
          <w:jc w:val="center"/>
        </w:trPr>
        <w:tc>
          <w:tcPr>
            <w:tcW w:w="2458" w:type="dxa"/>
            <w:tcBorders>
              <w:right w:val="single" w:sz="6" w:space="0" w:color="auto"/>
            </w:tcBorders>
            <w:vAlign w:val="center"/>
          </w:tcPr>
          <w:p w:rsidR="00000000" w:rsidRDefault="00C04CA6">
            <w:pPr>
              <w:rPr>
                <w:rFonts w:ascii="Arial" w:hAnsi="Arial"/>
                <w:sz w:val="24"/>
              </w:rPr>
            </w:pPr>
            <w:r>
              <w:rPr>
                <w:rFonts w:ascii="Arial" w:hAnsi="Arial"/>
                <w:sz w:val="24"/>
              </w:rPr>
              <w:t>Óxidos de Nitrógeno</w:t>
            </w:r>
          </w:p>
        </w:tc>
        <w:tc>
          <w:tcPr>
            <w:tcW w:w="2126" w:type="dxa"/>
            <w:tcBorders>
              <w:top w:val="nil"/>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Sólido</w:t>
            </w:r>
          </w:p>
        </w:tc>
        <w:tc>
          <w:tcPr>
            <w:tcW w:w="180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1 100</w:t>
            </w:r>
          </w:p>
        </w:tc>
        <w:tc>
          <w:tcPr>
            <w:tcW w:w="2014" w:type="dxa"/>
            <w:tcBorders>
              <w:top w:val="nil"/>
              <w:left w:val="single" w:sz="6" w:space="0" w:color="auto"/>
              <w:bottom w:val="nil"/>
            </w:tcBorders>
          </w:tcPr>
          <w:p w:rsidR="00000000" w:rsidRDefault="00C04CA6">
            <w:pPr>
              <w:jc w:val="center"/>
              <w:rPr>
                <w:rFonts w:ascii="Arial" w:hAnsi="Arial"/>
                <w:sz w:val="24"/>
              </w:rPr>
            </w:pPr>
            <w:r>
              <w:rPr>
                <w:rFonts w:ascii="Arial" w:hAnsi="Arial"/>
                <w:sz w:val="24"/>
              </w:rPr>
              <w:t>mg/Nm</w:t>
            </w:r>
            <w:r>
              <w:rPr>
                <w:rFonts w:ascii="Arial" w:hAnsi="Arial"/>
                <w:sz w:val="24"/>
                <w:vertAlign w:val="superscript"/>
              </w:rPr>
              <w:t>3</w:t>
            </w:r>
          </w:p>
        </w:tc>
      </w:tr>
      <w:tr w:rsidR="00000000">
        <w:tblPrEx>
          <w:tblCellMar>
            <w:top w:w="0" w:type="dxa"/>
            <w:bottom w:w="0" w:type="dxa"/>
          </w:tblCellMar>
        </w:tblPrEx>
        <w:trPr>
          <w:jc w:val="center"/>
        </w:trPr>
        <w:tc>
          <w:tcPr>
            <w:tcW w:w="2458" w:type="dxa"/>
            <w:tcBorders>
              <w:right w:val="single" w:sz="6" w:space="0" w:color="auto"/>
            </w:tcBorders>
            <w:vAlign w:val="center"/>
          </w:tcPr>
          <w:p w:rsidR="00000000" w:rsidRDefault="00C04CA6">
            <w:pPr>
              <w:rPr>
                <w:rFonts w:ascii="Arial" w:hAnsi="Arial"/>
                <w:sz w:val="24"/>
              </w:rPr>
            </w:pPr>
          </w:p>
        </w:tc>
        <w:tc>
          <w:tcPr>
            <w:tcW w:w="2126" w:type="dxa"/>
            <w:tcBorders>
              <w:top w:val="nil"/>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 xml:space="preserve">Líquido  </w:t>
            </w:r>
            <w:r>
              <w:rPr>
                <w:rFonts w:ascii="Arial" w:hAnsi="Arial"/>
                <w:sz w:val="24"/>
                <w:vertAlign w:val="superscript"/>
              </w:rPr>
              <w:t>[2]</w:t>
            </w:r>
          </w:p>
        </w:tc>
        <w:tc>
          <w:tcPr>
            <w:tcW w:w="180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700</w:t>
            </w:r>
          </w:p>
        </w:tc>
        <w:tc>
          <w:tcPr>
            <w:tcW w:w="2014" w:type="dxa"/>
            <w:tcBorders>
              <w:top w:val="nil"/>
              <w:left w:val="single" w:sz="6" w:space="0" w:color="auto"/>
              <w:bottom w:val="nil"/>
            </w:tcBorders>
          </w:tcPr>
          <w:p w:rsidR="00000000" w:rsidRDefault="00C04CA6">
            <w:pPr>
              <w:jc w:val="center"/>
              <w:rPr>
                <w:rFonts w:ascii="Arial" w:hAnsi="Arial"/>
                <w:sz w:val="24"/>
              </w:rPr>
            </w:pPr>
            <w:r>
              <w:rPr>
                <w:rFonts w:ascii="Arial" w:hAnsi="Arial"/>
                <w:sz w:val="24"/>
              </w:rPr>
              <w:t>mg/Nm</w:t>
            </w:r>
            <w:r>
              <w:rPr>
                <w:rFonts w:ascii="Arial" w:hAnsi="Arial"/>
                <w:sz w:val="24"/>
                <w:vertAlign w:val="superscript"/>
              </w:rPr>
              <w:t>3</w:t>
            </w:r>
          </w:p>
        </w:tc>
      </w:tr>
      <w:tr w:rsidR="00000000">
        <w:tblPrEx>
          <w:tblCellMar>
            <w:top w:w="0" w:type="dxa"/>
            <w:bottom w:w="0" w:type="dxa"/>
          </w:tblCellMar>
        </w:tblPrEx>
        <w:trPr>
          <w:jc w:val="center"/>
        </w:trPr>
        <w:tc>
          <w:tcPr>
            <w:tcW w:w="2458" w:type="dxa"/>
            <w:tcBorders>
              <w:right w:val="single" w:sz="6" w:space="0" w:color="auto"/>
            </w:tcBorders>
            <w:vAlign w:val="center"/>
          </w:tcPr>
          <w:p w:rsidR="00000000" w:rsidRDefault="00C04CA6">
            <w:pPr>
              <w:rPr>
                <w:rFonts w:ascii="Arial" w:hAnsi="Arial"/>
                <w:sz w:val="24"/>
              </w:rPr>
            </w:pPr>
          </w:p>
        </w:tc>
        <w:tc>
          <w:tcPr>
            <w:tcW w:w="2126" w:type="dxa"/>
            <w:tcBorders>
              <w:top w:val="nil"/>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Gaseoso</w:t>
            </w:r>
          </w:p>
        </w:tc>
        <w:tc>
          <w:tcPr>
            <w:tcW w:w="180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500</w:t>
            </w:r>
          </w:p>
        </w:tc>
        <w:tc>
          <w:tcPr>
            <w:tcW w:w="2014" w:type="dxa"/>
            <w:tcBorders>
              <w:top w:val="nil"/>
              <w:left w:val="single" w:sz="6" w:space="0" w:color="auto"/>
              <w:bottom w:val="nil"/>
            </w:tcBorders>
          </w:tcPr>
          <w:p w:rsidR="00000000" w:rsidRDefault="00C04CA6">
            <w:pPr>
              <w:jc w:val="center"/>
              <w:rPr>
                <w:rFonts w:ascii="Arial" w:hAnsi="Arial"/>
                <w:sz w:val="24"/>
              </w:rPr>
            </w:pPr>
            <w:r>
              <w:rPr>
                <w:rFonts w:ascii="Arial" w:hAnsi="Arial"/>
                <w:sz w:val="24"/>
              </w:rPr>
              <w:t>mg/Nm</w:t>
            </w:r>
            <w:r>
              <w:rPr>
                <w:rFonts w:ascii="Arial" w:hAnsi="Arial"/>
                <w:sz w:val="24"/>
                <w:vertAlign w:val="superscript"/>
              </w:rPr>
              <w:t>3</w:t>
            </w:r>
          </w:p>
        </w:tc>
      </w:tr>
      <w:tr w:rsidR="00000000">
        <w:tblPrEx>
          <w:tblCellMar>
            <w:top w:w="0" w:type="dxa"/>
            <w:bottom w:w="0" w:type="dxa"/>
          </w:tblCellMar>
        </w:tblPrEx>
        <w:trPr>
          <w:jc w:val="center"/>
        </w:trPr>
        <w:tc>
          <w:tcPr>
            <w:tcW w:w="2458" w:type="dxa"/>
            <w:tcBorders>
              <w:right w:val="single" w:sz="6" w:space="0" w:color="auto"/>
            </w:tcBorders>
            <w:vAlign w:val="center"/>
          </w:tcPr>
          <w:p w:rsidR="00000000" w:rsidRDefault="00C04CA6">
            <w:pPr>
              <w:rPr>
                <w:rFonts w:ascii="Arial" w:hAnsi="Arial"/>
                <w:sz w:val="24"/>
              </w:rPr>
            </w:pPr>
          </w:p>
        </w:tc>
        <w:tc>
          <w:tcPr>
            <w:tcW w:w="2126" w:type="dxa"/>
            <w:tcBorders>
              <w:top w:val="nil"/>
              <w:left w:val="single" w:sz="6" w:space="0" w:color="auto"/>
              <w:bottom w:val="nil"/>
              <w:right w:val="single" w:sz="6" w:space="0" w:color="auto"/>
            </w:tcBorders>
          </w:tcPr>
          <w:p w:rsidR="00000000" w:rsidRDefault="00C04CA6">
            <w:pPr>
              <w:jc w:val="center"/>
              <w:rPr>
                <w:rFonts w:ascii="Arial" w:hAnsi="Arial"/>
                <w:sz w:val="24"/>
              </w:rPr>
            </w:pPr>
          </w:p>
        </w:tc>
        <w:tc>
          <w:tcPr>
            <w:tcW w:w="1800" w:type="dxa"/>
            <w:tcBorders>
              <w:left w:val="single" w:sz="6" w:space="0" w:color="auto"/>
              <w:right w:val="single" w:sz="6" w:space="0" w:color="auto"/>
            </w:tcBorders>
          </w:tcPr>
          <w:p w:rsidR="00000000" w:rsidRDefault="00C04CA6">
            <w:pPr>
              <w:jc w:val="center"/>
              <w:rPr>
                <w:rFonts w:ascii="Arial" w:hAnsi="Arial"/>
                <w:sz w:val="24"/>
              </w:rPr>
            </w:pPr>
          </w:p>
        </w:tc>
        <w:tc>
          <w:tcPr>
            <w:tcW w:w="2014" w:type="dxa"/>
            <w:tcBorders>
              <w:top w:val="nil"/>
              <w:left w:val="single" w:sz="6" w:space="0" w:color="auto"/>
              <w:bottom w:val="nil"/>
            </w:tcBorders>
          </w:tcPr>
          <w:p w:rsidR="00000000" w:rsidRDefault="00C04CA6">
            <w:pPr>
              <w:jc w:val="center"/>
              <w:rPr>
                <w:rFonts w:ascii="Arial" w:hAnsi="Arial"/>
                <w:sz w:val="24"/>
              </w:rPr>
            </w:pPr>
          </w:p>
        </w:tc>
      </w:tr>
      <w:tr w:rsidR="00000000">
        <w:tblPrEx>
          <w:tblCellMar>
            <w:top w:w="0" w:type="dxa"/>
            <w:bottom w:w="0" w:type="dxa"/>
          </w:tblCellMar>
        </w:tblPrEx>
        <w:trPr>
          <w:jc w:val="center"/>
        </w:trPr>
        <w:tc>
          <w:tcPr>
            <w:tcW w:w="2458" w:type="dxa"/>
            <w:tcBorders>
              <w:right w:val="single" w:sz="6" w:space="0" w:color="auto"/>
            </w:tcBorders>
            <w:vAlign w:val="center"/>
          </w:tcPr>
          <w:p w:rsidR="00000000" w:rsidRDefault="00C04CA6">
            <w:pPr>
              <w:rPr>
                <w:rFonts w:ascii="Arial" w:hAnsi="Arial"/>
                <w:sz w:val="24"/>
              </w:rPr>
            </w:pPr>
            <w:r>
              <w:rPr>
                <w:rFonts w:ascii="Arial" w:hAnsi="Arial"/>
                <w:sz w:val="24"/>
              </w:rPr>
              <w:t>Dióxido de Azufre</w:t>
            </w:r>
          </w:p>
        </w:tc>
        <w:tc>
          <w:tcPr>
            <w:tcW w:w="2126" w:type="dxa"/>
            <w:tcBorders>
              <w:top w:val="nil"/>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Sólido</w:t>
            </w:r>
          </w:p>
        </w:tc>
        <w:tc>
          <w:tcPr>
            <w:tcW w:w="180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1 650</w:t>
            </w:r>
          </w:p>
        </w:tc>
        <w:tc>
          <w:tcPr>
            <w:tcW w:w="2014" w:type="dxa"/>
            <w:tcBorders>
              <w:top w:val="nil"/>
              <w:left w:val="single" w:sz="6" w:space="0" w:color="auto"/>
              <w:bottom w:val="nil"/>
            </w:tcBorders>
          </w:tcPr>
          <w:p w:rsidR="00000000" w:rsidRDefault="00C04CA6">
            <w:pPr>
              <w:jc w:val="center"/>
              <w:rPr>
                <w:rFonts w:ascii="Arial" w:hAnsi="Arial"/>
                <w:sz w:val="24"/>
              </w:rPr>
            </w:pPr>
            <w:r>
              <w:rPr>
                <w:rFonts w:ascii="Arial" w:hAnsi="Arial"/>
                <w:sz w:val="24"/>
              </w:rPr>
              <w:t>mg/Nm</w:t>
            </w:r>
            <w:r>
              <w:rPr>
                <w:rFonts w:ascii="Arial" w:hAnsi="Arial"/>
                <w:sz w:val="24"/>
                <w:vertAlign w:val="superscript"/>
              </w:rPr>
              <w:t>3</w:t>
            </w:r>
          </w:p>
        </w:tc>
      </w:tr>
      <w:tr w:rsidR="00000000">
        <w:tblPrEx>
          <w:tblCellMar>
            <w:top w:w="0" w:type="dxa"/>
            <w:bottom w:w="0" w:type="dxa"/>
          </w:tblCellMar>
        </w:tblPrEx>
        <w:trPr>
          <w:jc w:val="center"/>
        </w:trPr>
        <w:tc>
          <w:tcPr>
            <w:tcW w:w="2458" w:type="dxa"/>
            <w:tcBorders>
              <w:right w:val="single" w:sz="6" w:space="0" w:color="auto"/>
            </w:tcBorders>
            <w:vAlign w:val="center"/>
          </w:tcPr>
          <w:p w:rsidR="00000000" w:rsidRDefault="00C04CA6">
            <w:pPr>
              <w:rPr>
                <w:rFonts w:ascii="Arial" w:hAnsi="Arial"/>
                <w:sz w:val="24"/>
              </w:rPr>
            </w:pPr>
          </w:p>
        </w:tc>
        <w:tc>
          <w:tcPr>
            <w:tcW w:w="2126" w:type="dxa"/>
            <w:tcBorders>
              <w:top w:val="nil"/>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 xml:space="preserve">Líquido  </w:t>
            </w:r>
            <w:r>
              <w:rPr>
                <w:rFonts w:ascii="Arial" w:hAnsi="Arial"/>
                <w:sz w:val="24"/>
                <w:vertAlign w:val="superscript"/>
              </w:rPr>
              <w:t>[2]</w:t>
            </w:r>
          </w:p>
        </w:tc>
        <w:tc>
          <w:tcPr>
            <w:tcW w:w="180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1 650</w:t>
            </w:r>
          </w:p>
        </w:tc>
        <w:tc>
          <w:tcPr>
            <w:tcW w:w="2014" w:type="dxa"/>
            <w:tcBorders>
              <w:top w:val="nil"/>
              <w:left w:val="single" w:sz="6" w:space="0" w:color="auto"/>
              <w:bottom w:val="nil"/>
            </w:tcBorders>
          </w:tcPr>
          <w:p w:rsidR="00000000" w:rsidRDefault="00C04CA6">
            <w:pPr>
              <w:jc w:val="center"/>
              <w:rPr>
                <w:rFonts w:ascii="Arial" w:hAnsi="Arial"/>
                <w:sz w:val="24"/>
              </w:rPr>
            </w:pPr>
            <w:r>
              <w:rPr>
                <w:rFonts w:ascii="Arial" w:hAnsi="Arial"/>
                <w:sz w:val="24"/>
              </w:rPr>
              <w:t>mg/Nm</w:t>
            </w:r>
            <w:r>
              <w:rPr>
                <w:rFonts w:ascii="Arial" w:hAnsi="Arial"/>
                <w:sz w:val="24"/>
                <w:vertAlign w:val="superscript"/>
              </w:rPr>
              <w:t>3</w:t>
            </w:r>
          </w:p>
        </w:tc>
      </w:tr>
      <w:tr w:rsidR="00000000">
        <w:tblPrEx>
          <w:tblCellMar>
            <w:top w:w="0" w:type="dxa"/>
            <w:bottom w:w="0" w:type="dxa"/>
          </w:tblCellMar>
        </w:tblPrEx>
        <w:trPr>
          <w:jc w:val="center"/>
        </w:trPr>
        <w:tc>
          <w:tcPr>
            <w:tcW w:w="2458" w:type="dxa"/>
            <w:tcBorders>
              <w:right w:val="single" w:sz="6" w:space="0" w:color="auto"/>
            </w:tcBorders>
            <w:vAlign w:val="center"/>
          </w:tcPr>
          <w:p w:rsidR="00000000" w:rsidRDefault="00C04CA6">
            <w:pPr>
              <w:rPr>
                <w:rFonts w:ascii="Arial" w:hAnsi="Arial"/>
                <w:sz w:val="24"/>
              </w:rPr>
            </w:pPr>
          </w:p>
        </w:tc>
        <w:tc>
          <w:tcPr>
            <w:tcW w:w="2126" w:type="dxa"/>
            <w:tcBorders>
              <w:top w:val="nil"/>
              <w:left w:val="single" w:sz="6" w:space="0" w:color="auto"/>
              <w:bottom w:val="single" w:sz="6" w:space="0" w:color="auto"/>
              <w:right w:val="single" w:sz="6" w:space="0" w:color="auto"/>
            </w:tcBorders>
          </w:tcPr>
          <w:p w:rsidR="00000000" w:rsidRDefault="00C04CA6">
            <w:pPr>
              <w:jc w:val="center"/>
              <w:rPr>
                <w:rFonts w:ascii="Arial" w:hAnsi="Arial"/>
                <w:sz w:val="24"/>
              </w:rPr>
            </w:pPr>
            <w:r>
              <w:rPr>
                <w:rFonts w:ascii="Arial" w:hAnsi="Arial"/>
                <w:sz w:val="24"/>
              </w:rPr>
              <w:t>Gaseoso</w:t>
            </w:r>
          </w:p>
        </w:tc>
        <w:tc>
          <w:tcPr>
            <w:tcW w:w="1800" w:type="dxa"/>
            <w:tcBorders>
              <w:left w:val="single" w:sz="6" w:space="0" w:color="auto"/>
              <w:right w:val="single" w:sz="6" w:space="0" w:color="auto"/>
            </w:tcBorders>
          </w:tcPr>
          <w:p w:rsidR="00000000" w:rsidRDefault="00C04CA6">
            <w:pPr>
              <w:jc w:val="center"/>
              <w:rPr>
                <w:rFonts w:ascii="Arial" w:hAnsi="Arial"/>
                <w:sz w:val="24"/>
              </w:rPr>
            </w:pPr>
            <w:r>
              <w:rPr>
                <w:rFonts w:ascii="Arial" w:hAnsi="Arial"/>
                <w:sz w:val="24"/>
              </w:rPr>
              <w:t>No Aplicable</w:t>
            </w:r>
          </w:p>
        </w:tc>
        <w:tc>
          <w:tcPr>
            <w:tcW w:w="2014" w:type="dxa"/>
            <w:tcBorders>
              <w:top w:val="nil"/>
              <w:left w:val="single" w:sz="6" w:space="0" w:color="auto"/>
              <w:bottom w:val="single" w:sz="6" w:space="0" w:color="auto"/>
            </w:tcBorders>
          </w:tcPr>
          <w:p w:rsidR="00000000" w:rsidRDefault="00C04CA6">
            <w:pPr>
              <w:jc w:val="center"/>
              <w:rPr>
                <w:rFonts w:ascii="Arial" w:hAnsi="Arial"/>
                <w:sz w:val="24"/>
              </w:rPr>
            </w:pPr>
            <w:r>
              <w:rPr>
                <w:rFonts w:ascii="Arial" w:hAnsi="Arial"/>
                <w:sz w:val="24"/>
              </w:rPr>
              <w:t>No Aplicable</w:t>
            </w:r>
          </w:p>
        </w:tc>
      </w:tr>
    </w:tbl>
    <w:p w:rsidR="00000000" w:rsidRDefault="00C04CA6">
      <w:pPr>
        <w:ind w:left="360" w:right="431"/>
        <w:rPr>
          <w:rFonts w:ascii="Arial" w:hAnsi="Arial"/>
          <w:sz w:val="24"/>
        </w:rPr>
      </w:pPr>
      <w:r>
        <w:rPr>
          <w:rFonts w:ascii="Arial" w:hAnsi="Arial"/>
          <w:sz w:val="24"/>
        </w:rPr>
        <w:t>Nota</w:t>
      </w:r>
      <w:r>
        <w:rPr>
          <w:rFonts w:ascii="Arial" w:hAnsi="Arial"/>
          <w:sz w:val="24"/>
        </w:rPr>
        <w:t>s:</w:t>
      </w:r>
    </w:p>
    <w:p w:rsidR="00000000" w:rsidRDefault="00C04CA6">
      <w:pPr>
        <w:ind w:left="360" w:right="431"/>
        <w:rPr>
          <w:rFonts w:ascii="Arial" w:hAnsi="Arial"/>
          <w:sz w:val="24"/>
        </w:rPr>
      </w:pPr>
      <w:r>
        <w:rPr>
          <w:rFonts w:ascii="Arial" w:hAnsi="Arial"/>
          <w:sz w:val="24"/>
          <w:vertAlign w:val="superscript"/>
        </w:rPr>
        <w:t>[1]</w:t>
      </w:r>
      <w:r>
        <w:rPr>
          <w:rFonts w:ascii="Arial" w:hAnsi="Arial"/>
          <w:sz w:val="24"/>
        </w:rPr>
        <w:t xml:space="preserve">  mg/Nm</w:t>
      </w:r>
      <w:r>
        <w:rPr>
          <w:rFonts w:ascii="Arial" w:hAnsi="Arial"/>
          <w:sz w:val="24"/>
          <w:vertAlign w:val="superscript"/>
        </w:rPr>
        <w:t>3</w:t>
      </w:r>
      <w:r>
        <w:rPr>
          <w:rFonts w:ascii="Arial" w:hAnsi="Arial"/>
          <w:sz w:val="24"/>
        </w:rPr>
        <w:t xml:space="preserve">: miligramos por metro cúbico de gas, a condiciones normales, </w:t>
      </w:r>
      <w:r>
        <w:rPr>
          <w:rFonts w:ascii="Arial" w:hAnsi="Arial"/>
          <w:sz w:val="24"/>
          <w:lang w:val="es-ES"/>
        </w:rPr>
        <w:t>mil trece milibares de presión (1 013 mbar)</w:t>
      </w:r>
      <w:r>
        <w:rPr>
          <w:rFonts w:ascii="Arial" w:hAnsi="Arial"/>
          <w:sz w:val="24"/>
        </w:rPr>
        <w:t xml:space="preserve"> y temperatura de 0 °C, en base seca y corregidos a 7% de oxígeno.</w:t>
      </w:r>
    </w:p>
    <w:p w:rsidR="00000000" w:rsidRDefault="00C04CA6">
      <w:pPr>
        <w:ind w:left="360" w:right="431"/>
        <w:rPr>
          <w:rFonts w:ascii="Arial" w:hAnsi="Arial"/>
          <w:sz w:val="24"/>
        </w:rPr>
      </w:pPr>
      <w:r>
        <w:rPr>
          <w:rFonts w:ascii="Arial" w:hAnsi="Arial"/>
          <w:sz w:val="24"/>
          <w:vertAlign w:val="superscript"/>
        </w:rPr>
        <w:t xml:space="preserve">[2]  </w:t>
      </w:r>
      <w:r>
        <w:rPr>
          <w:rFonts w:ascii="Arial" w:hAnsi="Arial"/>
          <w:sz w:val="24"/>
        </w:rPr>
        <w:t>combustibles líquidos comprenden los combustibles fósiles líquido</w:t>
      </w:r>
      <w:r>
        <w:rPr>
          <w:rFonts w:ascii="Arial" w:hAnsi="Arial"/>
          <w:sz w:val="24"/>
        </w:rPr>
        <w:t>s, tales como diesel, kerosene, búnker C, petróleo crudo, naftas.</w:t>
      </w:r>
    </w:p>
    <w:p w:rsidR="00000000" w:rsidRDefault="00C04CA6">
      <w:pPr>
        <w:ind w:right="431"/>
        <w:rPr>
          <w:rFonts w:ascii="Arial" w:hAnsi="Arial"/>
          <w:sz w:val="24"/>
        </w:rPr>
      </w:pPr>
    </w:p>
    <w:p w:rsidR="00000000" w:rsidRDefault="00C04CA6">
      <w:pPr>
        <w:ind w:right="431"/>
        <w:rPr>
          <w:rFonts w:ascii="Arial" w:hAnsi="Arial"/>
          <w:sz w:val="24"/>
        </w:rPr>
      </w:pPr>
    </w:p>
    <w:p w:rsidR="00000000" w:rsidRDefault="00C04CA6">
      <w:pPr>
        <w:rPr>
          <w:rFonts w:ascii="Arial" w:hAnsi="Arial"/>
          <w:sz w:val="24"/>
        </w:rPr>
      </w:pPr>
      <w:r>
        <w:rPr>
          <w:rFonts w:ascii="Arial" w:hAnsi="Arial"/>
          <w:sz w:val="24"/>
        </w:rPr>
        <w:t>4.1.2.2  Los valores de emisión máxima permitida, para fuentes fijas de combustión nuevas, son los establecidos en la Tabla 2 de esta norma.</w:t>
      </w:r>
    </w:p>
    <w:p w:rsidR="00000000" w:rsidRDefault="00C04CA6">
      <w:pPr>
        <w:rPr>
          <w:rFonts w:ascii="Arial" w:hAnsi="Arial"/>
          <w:sz w:val="24"/>
        </w:rPr>
      </w:pPr>
    </w:p>
    <w:p w:rsidR="00000000" w:rsidRDefault="00C04CA6">
      <w:pPr>
        <w:rPr>
          <w:rFonts w:ascii="Arial" w:hAnsi="Arial"/>
          <w:sz w:val="24"/>
        </w:rPr>
      </w:pPr>
    </w:p>
    <w:p w:rsidR="00000000" w:rsidRDefault="00C04CA6">
      <w:pPr>
        <w:rPr>
          <w:rFonts w:ascii="Arial" w:hAnsi="Arial"/>
          <w:sz w:val="24"/>
        </w:rPr>
      </w:pPr>
    </w:p>
    <w:p w:rsidR="00000000" w:rsidRDefault="00C04CA6">
      <w:pPr>
        <w:rPr>
          <w:rFonts w:ascii="Arial" w:hAnsi="Arial"/>
          <w:sz w:val="24"/>
        </w:rPr>
      </w:pPr>
    </w:p>
    <w:p w:rsidR="00000000" w:rsidRDefault="00C04CA6">
      <w:pPr>
        <w:rPr>
          <w:rFonts w:ascii="Arial" w:hAnsi="Arial"/>
          <w:sz w:val="24"/>
        </w:rPr>
      </w:pPr>
    </w:p>
    <w:p w:rsidR="00000000" w:rsidRDefault="00C04CA6">
      <w:pPr>
        <w:rPr>
          <w:rFonts w:ascii="Arial" w:hAnsi="Arial"/>
          <w:sz w:val="24"/>
        </w:rPr>
      </w:pPr>
    </w:p>
    <w:p w:rsidR="00000000" w:rsidRDefault="00C04CA6">
      <w:pPr>
        <w:rPr>
          <w:rFonts w:ascii="Arial" w:hAnsi="Arial"/>
          <w:sz w:val="24"/>
        </w:rPr>
      </w:pPr>
    </w:p>
    <w:p w:rsidR="00000000" w:rsidRDefault="00C04CA6">
      <w:pPr>
        <w:pStyle w:val="Ttulo7"/>
        <w:jc w:val="center"/>
        <w:rPr>
          <w:rFonts w:ascii="Arial" w:hAnsi="Arial"/>
          <w:smallCaps w:val="0"/>
          <w:sz w:val="24"/>
        </w:rPr>
      </w:pPr>
      <w:r>
        <w:rPr>
          <w:rFonts w:ascii="Arial" w:hAnsi="Arial"/>
          <w:smallCaps w:val="0"/>
          <w:sz w:val="24"/>
        </w:rPr>
        <w:t>Tabla 2.  Límites máximos permisibles de</w:t>
      </w:r>
      <w:r>
        <w:rPr>
          <w:rFonts w:ascii="Arial" w:hAnsi="Arial"/>
          <w:smallCaps w:val="0"/>
          <w:sz w:val="24"/>
        </w:rPr>
        <w:t xml:space="preserve"> emisiones al aire para fuentes fijas de combustión.  Norma para fuentes en operación a partir de Enero de 2003</w:t>
      </w:r>
    </w:p>
    <w:p w:rsidR="00000000" w:rsidRDefault="00C04CA6">
      <w:pPr>
        <w:rPr>
          <w:rFonts w:ascii="Arial" w:hAnsi="Arial"/>
          <w:sz w:val="24"/>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2458"/>
        <w:gridCol w:w="2126"/>
        <w:gridCol w:w="1800"/>
        <w:gridCol w:w="2014"/>
      </w:tblGrid>
      <w:tr w:rsidR="00000000">
        <w:tblPrEx>
          <w:tblCellMar>
            <w:top w:w="0" w:type="dxa"/>
            <w:bottom w:w="0" w:type="dxa"/>
          </w:tblCellMar>
        </w:tblPrEx>
        <w:trPr>
          <w:jc w:val="center"/>
        </w:trPr>
        <w:tc>
          <w:tcPr>
            <w:tcW w:w="2458" w:type="dxa"/>
            <w:tcBorders>
              <w:top w:val="single" w:sz="6" w:space="0" w:color="auto"/>
              <w:bottom w:val="single" w:sz="6" w:space="0" w:color="auto"/>
              <w:right w:val="single" w:sz="6" w:space="0" w:color="auto"/>
            </w:tcBorders>
          </w:tcPr>
          <w:p w:rsidR="00000000" w:rsidRDefault="00C04CA6">
            <w:pPr>
              <w:rPr>
                <w:rFonts w:ascii="Arial" w:hAnsi="Arial"/>
                <w:b/>
                <w:sz w:val="24"/>
              </w:rPr>
            </w:pPr>
            <w:r>
              <w:rPr>
                <w:rFonts w:ascii="Arial" w:hAnsi="Arial"/>
                <w:b/>
                <w:sz w:val="24"/>
              </w:rPr>
              <w:t>CONTAMINANTE EMITIDO</w:t>
            </w:r>
          </w:p>
        </w:tc>
        <w:tc>
          <w:tcPr>
            <w:tcW w:w="2126" w:type="dxa"/>
            <w:tcBorders>
              <w:top w:val="single" w:sz="6" w:space="0" w:color="auto"/>
              <w:left w:val="single" w:sz="6" w:space="0" w:color="auto"/>
              <w:bottom w:val="single" w:sz="6" w:space="0" w:color="auto"/>
              <w:right w:val="single" w:sz="6" w:space="0" w:color="auto"/>
            </w:tcBorders>
          </w:tcPr>
          <w:p w:rsidR="00000000" w:rsidRDefault="00C04CA6">
            <w:pPr>
              <w:jc w:val="center"/>
              <w:rPr>
                <w:rFonts w:ascii="Arial" w:hAnsi="Arial"/>
                <w:b/>
                <w:sz w:val="24"/>
              </w:rPr>
            </w:pPr>
            <w:r>
              <w:rPr>
                <w:rFonts w:ascii="Arial" w:hAnsi="Arial"/>
                <w:b/>
                <w:sz w:val="24"/>
              </w:rPr>
              <w:t>COMBUSTIBLE UTILIZADO</w:t>
            </w:r>
          </w:p>
        </w:tc>
        <w:tc>
          <w:tcPr>
            <w:tcW w:w="1800" w:type="dxa"/>
            <w:tcBorders>
              <w:top w:val="single" w:sz="6" w:space="0" w:color="auto"/>
              <w:left w:val="single" w:sz="6" w:space="0" w:color="auto"/>
              <w:bottom w:val="single" w:sz="6" w:space="0" w:color="auto"/>
              <w:right w:val="single" w:sz="6" w:space="0" w:color="auto"/>
            </w:tcBorders>
          </w:tcPr>
          <w:p w:rsidR="00000000" w:rsidRDefault="00C04CA6">
            <w:pPr>
              <w:jc w:val="center"/>
              <w:rPr>
                <w:rFonts w:ascii="Arial" w:hAnsi="Arial"/>
                <w:b/>
                <w:sz w:val="24"/>
              </w:rPr>
            </w:pPr>
            <w:r>
              <w:rPr>
                <w:rFonts w:ascii="Arial" w:hAnsi="Arial"/>
                <w:b/>
                <w:sz w:val="24"/>
              </w:rPr>
              <w:t>VALOR</w:t>
            </w:r>
          </w:p>
        </w:tc>
        <w:tc>
          <w:tcPr>
            <w:tcW w:w="2014" w:type="dxa"/>
            <w:tcBorders>
              <w:top w:val="single" w:sz="6" w:space="0" w:color="auto"/>
              <w:left w:val="single" w:sz="6" w:space="0" w:color="auto"/>
              <w:bottom w:val="single" w:sz="6" w:space="0" w:color="auto"/>
            </w:tcBorders>
          </w:tcPr>
          <w:p w:rsidR="00000000" w:rsidRDefault="00C04CA6">
            <w:pPr>
              <w:jc w:val="center"/>
              <w:rPr>
                <w:rFonts w:ascii="Arial" w:hAnsi="Arial"/>
                <w:b/>
                <w:sz w:val="24"/>
              </w:rPr>
            </w:pPr>
            <w:r>
              <w:rPr>
                <w:rFonts w:ascii="Arial" w:hAnsi="Arial"/>
                <w:b/>
                <w:sz w:val="24"/>
              </w:rPr>
              <w:t xml:space="preserve"> UNIDADES  </w:t>
            </w:r>
            <w:r>
              <w:rPr>
                <w:rFonts w:ascii="Arial" w:hAnsi="Arial"/>
                <w:b/>
                <w:sz w:val="24"/>
                <w:vertAlign w:val="superscript"/>
              </w:rPr>
              <w:t>[1]</w:t>
            </w:r>
          </w:p>
        </w:tc>
      </w:tr>
      <w:tr w:rsidR="00000000">
        <w:tblPrEx>
          <w:tblCellMar>
            <w:top w:w="0" w:type="dxa"/>
            <w:bottom w:w="0" w:type="dxa"/>
          </w:tblCellMar>
        </w:tblPrEx>
        <w:trPr>
          <w:jc w:val="center"/>
        </w:trPr>
        <w:tc>
          <w:tcPr>
            <w:tcW w:w="2458" w:type="dxa"/>
            <w:tcBorders>
              <w:top w:val="single" w:sz="6" w:space="0" w:color="auto"/>
              <w:right w:val="single" w:sz="6" w:space="0" w:color="auto"/>
            </w:tcBorders>
            <w:vAlign w:val="center"/>
          </w:tcPr>
          <w:p w:rsidR="00000000" w:rsidRDefault="00C04CA6">
            <w:pPr>
              <w:rPr>
                <w:rFonts w:ascii="Arial" w:hAnsi="Arial"/>
                <w:sz w:val="24"/>
              </w:rPr>
            </w:pPr>
            <w:r>
              <w:rPr>
                <w:rFonts w:ascii="Arial" w:hAnsi="Arial"/>
                <w:sz w:val="24"/>
              </w:rPr>
              <w:t>Partículas Totales</w:t>
            </w:r>
          </w:p>
        </w:tc>
        <w:tc>
          <w:tcPr>
            <w:tcW w:w="2126" w:type="dxa"/>
            <w:tcBorders>
              <w:top w:val="single" w:sz="6" w:space="0" w:color="auto"/>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Sólido</w:t>
            </w:r>
          </w:p>
        </w:tc>
        <w:tc>
          <w:tcPr>
            <w:tcW w:w="1800" w:type="dxa"/>
            <w:tcBorders>
              <w:top w:val="single" w:sz="6" w:space="0" w:color="auto"/>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150</w:t>
            </w:r>
          </w:p>
        </w:tc>
        <w:tc>
          <w:tcPr>
            <w:tcW w:w="2014" w:type="dxa"/>
            <w:tcBorders>
              <w:top w:val="single" w:sz="6" w:space="0" w:color="auto"/>
              <w:left w:val="single" w:sz="6" w:space="0" w:color="auto"/>
              <w:bottom w:val="nil"/>
            </w:tcBorders>
          </w:tcPr>
          <w:p w:rsidR="00000000" w:rsidRDefault="00C04CA6">
            <w:pPr>
              <w:jc w:val="center"/>
              <w:rPr>
                <w:rFonts w:ascii="Arial" w:hAnsi="Arial"/>
                <w:sz w:val="24"/>
              </w:rPr>
            </w:pPr>
            <w:r>
              <w:rPr>
                <w:rFonts w:ascii="Arial" w:hAnsi="Arial"/>
                <w:sz w:val="24"/>
              </w:rPr>
              <w:t>mg/Nm</w:t>
            </w:r>
            <w:r>
              <w:rPr>
                <w:rFonts w:ascii="Arial" w:hAnsi="Arial"/>
                <w:sz w:val="24"/>
                <w:vertAlign w:val="superscript"/>
              </w:rPr>
              <w:t>3</w:t>
            </w:r>
          </w:p>
        </w:tc>
      </w:tr>
      <w:tr w:rsidR="00000000">
        <w:tblPrEx>
          <w:tblCellMar>
            <w:top w:w="0" w:type="dxa"/>
            <w:bottom w:w="0" w:type="dxa"/>
          </w:tblCellMar>
        </w:tblPrEx>
        <w:trPr>
          <w:jc w:val="center"/>
        </w:trPr>
        <w:tc>
          <w:tcPr>
            <w:tcW w:w="2458" w:type="dxa"/>
            <w:tcBorders>
              <w:right w:val="single" w:sz="6" w:space="0" w:color="auto"/>
            </w:tcBorders>
            <w:vAlign w:val="center"/>
          </w:tcPr>
          <w:p w:rsidR="00000000" w:rsidRDefault="00C04CA6">
            <w:pPr>
              <w:rPr>
                <w:rFonts w:ascii="Arial" w:hAnsi="Arial"/>
                <w:sz w:val="24"/>
              </w:rPr>
            </w:pPr>
          </w:p>
        </w:tc>
        <w:tc>
          <w:tcPr>
            <w:tcW w:w="2126" w:type="dxa"/>
            <w:tcBorders>
              <w:top w:val="nil"/>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 xml:space="preserve">Líquido  </w:t>
            </w:r>
            <w:r>
              <w:rPr>
                <w:rFonts w:ascii="Arial" w:hAnsi="Arial"/>
                <w:sz w:val="24"/>
                <w:vertAlign w:val="superscript"/>
              </w:rPr>
              <w:t>[2]</w:t>
            </w:r>
          </w:p>
        </w:tc>
        <w:tc>
          <w:tcPr>
            <w:tcW w:w="180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150</w:t>
            </w:r>
          </w:p>
        </w:tc>
        <w:tc>
          <w:tcPr>
            <w:tcW w:w="2014" w:type="dxa"/>
            <w:tcBorders>
              <w:top w:val="nil"/>
              <w:left w:val="single" w:sz="6" w:space="0" w:color="auto"/>
              <w:bottom w:val="nil"/>
            </w:tcBorders>
          </w:tcPr>
          <w:p w:rsidR="00000000" w:rsidRDefault="00C04CA6">
            <w:pPr>
              <w:jc w:val="center"/>
              <w:rPr>
                <w:rFonts w:ascii="Arial" w:hAnsi="Arial"/>
                <w:sz w:val="24"/>
              </w:rPr>
            </w:pPr>
            <w:r>
              <w:rPr>
                <w:rFonts w:ascii="Arial" w:hAnsi="Arial"/>
                <w:sz w:val="24"/>
              </w:rPr>
              <w:t>mg/Nm</w:t>
            </w:r>
            <w:r>
              <w:rPr>
                <w:rFonts w:ascii="Arial" w:hAnsi="Arial"/>
                <w:sz w:val="24"/>
                <w:vertAlign w:val="superscript"/>
              </w:rPr>
              <w:t>3</w:t>
            </w:r>
          </w:p>
        </w:tc>
      </w:tr>
      <w:tr w:rsidR="00000000">
        <w:tblPrEx>
          <w:tblCellMar>
            <w:top w:w="0" w:type="dxa"/>
            <w:bottom w:w="0" w:type="dxa"/>
          </w:tblCellMar>
        </w:tblPrEx>
        <w:trPr>
          <w:jc w:val="center"/>
        </w:trPr>
        <w:tc>
          <w:tcPr>
            <w:tcW w:w="2458" w:type="dxa"/>
            <w:tcBorders>
              <w:right w:val="single" w:sz="6" w:space="0" w:color="auto"/>
            </w:tcBorders>
            <w:vAlign w:val="center"/>
          </w:tcPr>
          <w:p w:rsidR="00000000" w:rsidRDefault="00C04CA6">
            <w:pPr>
              <w:rPr>
                <w:rFonts w:ascii="Arial" w:hAnsi="Arial"/>
                <w:sz w:val="24"/>
              </w:rPr>
            </w:pPr>
          </w:p>
        </w:tc>
        <w:tc>
          <w:tcPr>
            <w:tcW w:w="2126" w:type="dxa"/>
            <w:tcBorders>
              <w:top w:val="nil"/>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Gaseoso</w:t>
            </w:r>
          </w:p>
        </w:tc>
        <w:tc>
          <w:tcPr>
            <w:tcW w:w="1800" w:type="dxa"/>
            <w:tcBorders>
              <w:left w:val="single" w:sz="6" w:space="0" w:color="auto"/>
              <w:right w:val="single" w:sz="6" w:space="0" w:color="auto"/>
            </w:tcBorders>
          </w:tcPr>
          <w:p w:rsidR="00000000" w:rsidRDefault="00C04CA6">
            <w:pPr>
              <w:jc w:val="center"/>
              <w:rPr>
                <w:rFonts w:ascii="Arial" w:hAnsi="Arial"/>
                <w:sz w:val="24"/>
              </w:rPr>
            </w:pPr>
            <w:r>
              <w:rPr>
                <w:rFonts w:ascii="Arial" w:hAnsi="Arial"/>
                <w:sz w:val="24"/>
              </w:rPr>
              <w:t>No Ap</w:t>
            </w:r>
            <w:r>
              <w:rPr>
                <w:rFonts w:ascii="Arial" w:hAnsi="Arial"/>
                <w:sz w:val="24"/>
              </w:rPr>
              <w:t>licable</w:t>
            </w:r>
          </w:p>
        </w:tc>
        <w:tc>
          <w:tcPr>
            <w:tcW w:w="2014" w:type="dxa"/>
            <w:tcBorders>
              <w:top w:val="nil"/>
              <w:left w:val="single" w:sz="6" w:space="0" w:color="auto"/>
              <w:bottom w:val="nil"/>
            </w:tcBorders>
          </w:tcPr>
          <w:p w:rsidR="00000000" w:rsidRDefault="00C04CA6">
            <w:pPr>
              <w:jc w:val="center"/>
              <w:rPr>
                <w:rFonts w:ascii="Arial" w:hAnsi="Arial"/>
                <w:sz w:val="24"/>
              </w:rPr>
            </w:pPr>
            <w:r>
              <w:rPr>
                <w:rFonts w:ascii="Arial" w:hAnsi="Arial"/>
                <w:sz w:val="24"/>
              </w:rPr>
              <w:t>No Aplicable</w:t>
            </w:r>
          </w:p>
        </w:tc>
      </w:tr>
      <w:tr w:rsidR="00000000">
        <w:tblPrEx>
          <w:tblCellMar>
            <w:top w:w="0" w:type="dxa"/>
            <w:bottom w:w="0" w:type="dxa"/>
          </w:tblCellMar>
        </w:tblPrEx>
        <w:trPr>
          <w:jc w:val="center"/>
        </w:trPr>
        <w:tc>
          <w:tcPr>
            <w:tcW w:w="2458" w:type="dxa"/>
            <w:tcBorders>
              <w:right w:val="single" w:sz="6" w:space="0" w:color="auto"/>
            </w:tcBorders>
            <w:vAlign w:val="center"/>
          </w:tcPr>
          <w:p w:rsidR="00000000" w:rsidRDefault="00C04CA6">
            <w:pPr>
              <w:rPr>
                <w:rFonts w:ascii="Arial" w:hAnsi="Arial"/>
                <w:sz w:val="24"/>
              </w:rPr>
            </w:pPr>
          </w:p>
        </w:tc>
        <w:tc>
          <w:tcPr>
            <w:tcW w:w="2126" w:type="dxa"/>
            <w:tcBorders>
              <w:top w:val="nil"/>
              <w:left w:val="single" w:sz="6" w:space="0" w:color="auto"/>
              <w:bottom w:val="nil"/>
              <w:right w:val="single" w:sz="6" w:space="0" w:color="auto"/>
            </w:tcBorders>
          </w:tcPr>
          <w:p w:rsidR="00000000" w:rsidRDefault="00C04CA6">
            <w:pPr>
              <w:jc w:val="center"/>
              <w:rPr>
                <w:rFonts w:ascii="Arial" w:hAnsi="Arial"/>
                <w:sz w:val="24"/>
              </w:rPr>
            </w:pPr>
          </w:p>
        </w:tc>
        <w:tc>
          <w:tcPr>
            <w:tcW w:w="1800" w:type="dxa"/>
            <w:tcBorders>
              <w:left w:val="single" w:sz="6" w:space="0" w:color="auto"/>
              <w:right w:val="single" w:sz="6" w:space="0" w:color="auto"/>
            </w:tcBorders>
          </w:tcPr>
          <w:p w:rsidR="00000000" w:rsidRDefault="00C04CA6">
            <w:pPr>
              <w:jc w:val="center"/>
              <w:rPr>
                <w:rFonts w:ascii="Arial" w:hAnsi="Arial"/>
                <w:sz w:val="24"/>
              </w:rPr>
            </w:pPr>
          </w:p>
        </w:tc>
        <w:tc>
          <w:tcPr>
            <w:tcW w:w="2014" w:type="dxa"/>
            <w:tcBorders>
              <w:top w:val="nil"/>
              <w:left w:val="single" w:sz="6" w:space="0" w:color="auto"/>
              <w:bottom w:val="nil"/>
            </w:tcBorders>
          </w:tcPr>
          <w:p w:rsidR="00000000" w:rsidRDefault="00C04CA6">
            <w:pPr>
              <w:jc w:val="center"/>
              <w:rPr>
                <w:rFonts w:ascii="Arial" w:hAnsi="Arial"/>
                <w:sz w:val="24"/>
              </w:rPr>
            </w:pPr>
          </w:p>
        </w:tc>
      </w:tr>
      <w:tr w:rsidR="00000000">
        <w:tblPrEx>
          <w:tblCellMar>
            <w:top w:w="0" w:type="dxa"/>
            <w:bottom w:w="0" w:type="dxa"/>
          </w:tblCellMar>
        </w:tblPrEx>
        <w:trPr>
          <w:jc w:val="center"/>
        </w:trPr>
        <w:tc>
          <w:tcPr>
            <w:tcW w:w="2458" w:type="dxa"/>
            <w:tcBorders>
              <w:right w:val="single" w:sz="6" w:space="0" w:color="auto"/>
            </w:tcBorders>
            <w:vAlign w:val="center"/>
          </w:tcPr>
          <w:p w:rsidR="00000000" w:rsidRDefault="00C04CA6">
            <w:pPr>
              <w:rPr>
                <w:rFonts w:ascii="Arial" w:hAnsi="Arial"/>
                <w:sz w:val="24"/>
              </w:rPr>
            </w:pPr>
            <w:r>
              <w:rPr>
                <w:rFonts w:ascii="Arial" w:hAnsi="Arial"/>
                <w:sz w:val="24"/>
              </w:rPr>
              <w:t>Óxidos de Nitrógeno</w:t>
            </w:r>
          </w:p>
        </w:tc>
        <w:tc>
          <w:tcPr>
            <w:tcW w:w="2126" w:type="dxa"/>
            <w:tcBorders>
              <w:top w:val="nil"/>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Sólido</w:t>
            </w:r>
          </w:p>
        </w:tc>
        <w:tc>
          <w:tcPr>
            <w:tcW w:w="180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850</w:t>
            </w:r>
          </w:p>
        </w:tc>
        <w:tc>
          <w:tcPr>
            <w:tcW w:w="2014" w:type="dxa"/>
            <w:tcBorders>
              <w:top w:val="nil"/>
              <w:left w:val="single" w:sz="6" w:space="0" w:color="auto"/>
              <w:bottom w:val="nil"/>
            </w:tcBorders>
          </w:tcPr>
          <w:p w:rsidR="00000000" w:rsidRDefault="00C04CA6">
            <w:pPr>
              <w:jc w:val="center"/>
              <w:rPr>
                <w:rFonts w:ascii="Arial" w:hAnsi="Arial"/>
                <w:sz w:val="24"/>
              </w:rPr>
            </w:pPr>
            <w:r>
              <w:rPr>
                <w:rFonts w:ascii="Arial" w:hAnsi="Arial"/>
                <w:sz w:val="24"/>
              </w:rPr>
              <w:t>mg/Nm</w:t>
            </w:r>
            <w:r>
              <w:rPr>
                <w:rFonts w:ascii="Arial" w:hAnsi="Arial"/>
                <w:sz w:val="24"/>
                <w:vertAlign w:val="superscript"/>
              </w:rPr>
              <w:t>3</w:t>
            </w:r>
          </w:p>
        </w:tc>
      </w:tr>
      <w:tr w:rsidR="00000000">
        <w:tblPrEx>
          <w:tblCellMar>
            <w:top w:w="0" w:type="dxa"/>
            <w:bottom w:w="0" w:type="dxa"/>
          </w:tblCellMar>
        </w:tblPrEx>
        <w:trPr>
          <w:jc w:val="center"/>
        </w:trPr>
        <w:tc>
          <w:tcPr>
            <w:tcW w:w="2458" w:type="dxa"/>
            <w:tcBorders>
              <w:right w:val="single" w:sz="6" w:space="0" w:color="auto"/>
            </w:tcBorders>
            <w:vAlign w:val="center"/>
          </w:tcPr>
          <w:p w:rsidR="00000000" w:rsidRDefault="00C04CA6">
            <w:pPr>
              <w:rPr>
                <w:rFonts w:ascii="Arial" w:hAnsi="Arial"/>
                <w:sz w:val="24"/>
              </w:rPr>
            </w:pPr>
          </w:p>
        </w:tc>
        <w:tc>
          <w:tcPr>
            <w:tcW w:w="2126" w:type="dxa"/>
            <w:tcBorders>
              <w:top w:val="nil"/>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 xml:space="preserve">Líquido  </w:t>
            </w:r>
            <w:r>
              <w:rPr>
                <w:rFonts w:ascii="Arial" w:hAnsi="Arial"/>
                <w:sz w:val="24"/>
                <w:vertAlign w:val="superscript"/>
              </w:rPr>
              <w:t>[2]</w:t>
            </w:r>
          </w:p>
        </w:tc>
        <w:tc>
          <w:tcPr>
            <w:tcW w:w="180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550</w:t>
            </w:r>
          </w:p>
        </w:tc>
        <w:tc>
          <w:tcPr>
            <w:tcW w:w="2014" w:type="dxa"/>
            <w:tcBorders>
              <w:top w:val="nil"/>
              <w:left w:val="single" w:sz="6" w:space="0" w:color="auto"/>
              <w:bottom w:val="nil"/>
            </w:tcBorders>
          </w:tcPr>
          <w:p w:rsidR="00000000" w:rsidRDefault="00C04CA6">
            <w:pPr>
              <w:jc w:val="center"/>
              <w:rPr>
                <w:rFonts w:ascii="Arial" w:hAnsi="Arial"/>
                <w:sz w:val="24"/>
              </w:rPr>
            </w:pPr>
            <w:r>
              <w:rPr>
                <w:rFonts w:ascii="Arial" w:hAnsi="Arial"/>
                <w:sz w:val="24"/>
              </w:rPr>
              <w:t>mg/Nm</w:t>
            </w:r>
            <w:r>
              <w:rPr>
                <w:rFonts w:ascii="Arial" w:hAnsi="Arial"/>
                <w:sz w:val="24"/>
                <w:vertAlign w:val="superscript"/>
              </w:rPr>
              <w:t>3</w:t>
            </w:r>
          </w:p>
        </w:tc>
      </w:tr>
      <w:tr w:rsidR="00000000">
        <w:tblPrEx>
          <w:tblCellMar>
            <w:top w:w="0" w:type="dxa"/>
            <w:bottom w:w="0" w:type="dxa"/>
          </w:tblCellMar>
        </w:tblPrEx>
        <w:trPr>
          <w:jc w:val="center"/>
        </w:trPr>
        <w:tc>
          <w:tcPr>
            <w:tcW w:w="2458" w:type="dxa"/>
            <w:tcBorders>
              <w:right w:val="single" w:sz="6" w:space="0" w:color="auto"/>
            </w:tcBorders>
            <w:vAlign w:val="center"/>
          </w:tcPr>
          <w:p w:rsidR="00000000" w:rsidRDefault="00C04CA6">
            <w:pPr>
              <w:rPr>
                <w:rFonts w:ascii="Arial" w:hAnsi="Arial"/>
                <w:sz w:val="24"/>
              </w:rPr>
            </w:pPr>
          </w:p>
        </w:tc>
        <w:tc>
          <w:tcPr>
            <w:tcW w:w="2126" w:type="dxa"/>
            <w:tcBorders>
              <w:top w:val="nil"/>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Gaseoso</w:t>
            </w:r>
          </w:p>
        </w:tc>
        <w:tc>
          <w:tcPr>
            <w:tcW w:w="180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400</w:t>
            </w:r>
          </w:p>
        </w:tc>
        <w:tc>
          <w:tcPr>
            <w:tcW w:w="2014" w:type="dxa"/>
            <w:tcBorders>
              <w:top w:val="nil"/>
              <w:left w:val="single" w:sz="6" w:space="0" w:color="auto"/>
              <w:bottom w:val="nil"/>
            </w:tcBorders>
          </w:tcPr>
          <w:p w:rsidR="00000000" w:rsidRDefault="00C04CA6">
            <w:pPr>
              <w:jc w:val="center"/>
              <w:rPr>
                <w:rFonts w:ascii="Arial" w:hAnsi="Arial"/>
                <w:sz w:val="24"/>
              </w:rPr>
            </w:pPr>
            <w:r>
              <w:rPr>
                <w:rFonts w:ascii="Arial" w:hAnsi="Arial"/>
                <w:sz w:val="24"/>
              </w:rPr>
              <w:t>mg/Nm</w:t>
            </w:r>
            <w:r>
              <w:rPr>
                <w:rFonts w:ascii="Arial" w:hAnsi="Arial"/>
                <w:sz w:val="24"/>
                <w:vertAlign w:val="superscript"/>
              </w:rPr>
              <w:t>3</w:t>
            </w:r>
          </w:p>
        </w:tc>
      </w:tr>
      <w:tr w:rsidR="00000000">
        <w:tblPrEx>
          <w:tblCellMar>
            <w:top w:w="0" w:type="dxa"/>
            <w:bottom w:w="0" w:type="dxa"/>
          </w:tblCellMar>
        </w:tblPrEx>
        <w:trPr>
          <w:jc w:val="center"/>
        </w:trPr>
        <w:tc>
          <w:tcPr>
            <w:tcW w:w="2458" w:type="dxa"/>
            <w:tcBorders>
              <w:right w:val="single" w:sz="6" w:space="0" w:color="auto"/>
            </w:tcBorders>
            <w:vAlign w:val="center"/>
          </w:tcPr>
          <w:p w:rsidR="00000000" w:rsidRDefault="00C04CA6">
            <w:pPr>
              <w:rPr>
                <w:rFonts w:ascii="Arial" w:hAnsi="Arial"/>
                <w:sz w:val="24"/>
              </w:rPr>
            </w:pPr>
          </w:p>
        </w:tc>
        <w:tc>
          <w:tcPr>
            <w:tcW w:w="2126" w:type="dxa"/>
            <w:tcBorders>
              <w:top w:val="nil"/>
              <w:left w:val="single" w:sz="6" w:space="0" w:color="auto"/>
              <w:bottom w:val="nil"/>
              <w:right w:val="single" w:sz="6" w:space="0" w:color="auto"/>
            </w:tcBorders>
          </w:tcPr>
          <w:p w:rsidR="00000000" w:rsidRDefault="00C04CA6">
            <w:pPr>
              <w:jc w:val="center"/>
              <w:rPr>
                <w:rFonts w:ascii="Arial" w:hAnsi="Arial"/>
                <w:sz w:val="24"/>
              </w:rPr>
            </w:pPr>
          </w:p>
        </w:tc>
        <w:tc>
          <w:tcPr>
            <w:tcW w:w="1800" w:type="dxa"/>
            <w:tcBorders>
              <w:left w:val="single" w:sz="6" w:space="0" w:color="auto"/>
              <w:right w:val="single" w:sz="6" w:space="0" w:color="auto"/>
            </w:tcBorders>
          </w:tcPr>
          <w:p w:rsidR="00000000" w:rsidRDefault="00C04CA6">
            <w:pPr>
              <w:jc w:val="center"/>
              <w:rPr>
                <w:rFonts w:ascii="Arial" w:hAnsi="Arial"/>
                <w:sz w:val="24"/>
              </w:rPr>
            </w:pPr>
          </w:p>
        </w:tc>
        <w:tc>
          <w:tcPr>
            <w:tcW w:w="2014" w:type="dxa"/>
            <w:tcBorders>
              <w:top w:val="nil"/>
              <w:left w:val="single" w:sz="6" w:space="0" w:color="auto"/>
              <w:bottom w:val="nil"/>
            </w:tcBorders>
          </w:tcPr>
          <w:p w:rsidR="00000000" w:rsidRDefault="00C04CA6">
            <w:pPr>
              <w:jc w:val="center"/>
              <w:rPr>
                <w:rFonts w:ascii="Arial" w:hAnsi="Arial"/>
                <w:sz w:val="24"/>
              </w:rPr>
            </w:pPr>
          </w:p>
        </w:tc>
      </w:tr>
      <w:tr w:rsidR="00000000">
        <w:tblPrEx>
          <w:tblCellMar>
            <w:top w:w="0" w:type="dxa"/>
            <w:bottom w:w="0" w:type="dxa"/>
          </w:tblCellMar>
        </w:tblPrEx>
        <w:trPr>
          <w:jc w:val="center"/>
        </w:trPr>
        <w:tc>
          <w:tcPr>
            <w:tcW w:w="2458" w:type="dxa"/>
            <w:tcBorders>
              <w:right w:val="single" w:sz="6" w:space="0" w:color="auto"/>
            </w:tcBorders>
            <w:vAlign w:val="center"/>
          </w:tcPr>
          <w:p w:rsidR="00000000" w:rsidRDefault="00C04CA6">
            <w:pPr>
              <w:rPr>
                <w:rFonts w:ascii="Arial" w:hAnsi="Arial"/>
                <w:sz w:val="24"/>
              </w:rPr>
            </w:pPr>
            <w:r>
              <w:rPr>
                <w:rFonts w:ascii="Arial" w:hAnsi="Arial"/>
                <w:sz w:val="24"/>
              </w:rPr>
              <w:t>Dióxido de Azufre</w:t>
            </w:r>
          </w:p>
        </w:tc>
        <w:tc>
          <w:tcPr>
            <w:tcW w:w="2126" w:type="dxa"/>
            <w:tcBorders>
              <w:top w:val="nil"/>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Sólido</w:t>
            </w:r>
          </w:p>
        </w:tc>
        <w:tc>
          <w:tcPr>
            <w:tcW w:w="180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1 650</w:t>
            </w:r>
          </w:p>
        </w:tc>
        <w:tc>
          <w:tcPr>
            <w:tcW w:w="2014" w:type="dxa"/>
            <w:tcBorders>
              <w:top w:val="nil"/>
              <w:left w:val="single" w:sz="6" w:space="0" w:color="auto"/>
              <w:bottom w:val="nil"/>
            </w:tcBorders>
          </w:tcPr>
          <w:p w:rsidR="00000000" w:rsidRDefault="00C04CA6">
            <w:pPr>
              <w:jc w:val="center"/>
              <w:rPr>
                <w:rFonts w:ascii="Arial" w:hAnsi="Arial"/>
                <w:sz w:val="24"/>
              </w:rPr>
            </w:pPr>
            <w:r>
              <w:rPr>
                <w:rFonts w:ascii="Arial" w:hAnsi="Arial"/>
                <w:sz w:val="24"/>
              </w:rPr>
              <w:t>mg/Nm</w:t>
            </w:r>
            <w:r>
              <w:rPr>
                <w:rFonts w:ascii="Arial" w:hAnsi="Arial"/>
                <w:sz w:val="24"/>
                <w:vertAlign w:val="superscript"/>
              </w:rPr>
              <w:t>3</w:t>
            </w:r>
          </w:p>
        </w:tc>
      </w:tr>
      <w:tr w:rsidR="00000000">
        <w:tblPrEx>
          <w:tblCellMar>
            <w:top w:w="0" w:type="dxa"/>
            <w:bottom w:w="0" w:type="dxa"/>
          </w:tblCellMar>
        </w:tblPrEx>
        <w:trPr>
          <w:jc w:val="center"/>
        </w:trPr>
        <w:tc>
          <w:tcPr>
            <w:tcW w:w="2458" w:type="dxa"/>
            <w:tcBorders>
              <w:right w:val="single" w:sz="6" w:space="0" w:color="auto"/>
            </w:tcBorders>
            <w:vAlign w:val="center"/>
          </w:tcPr>
          <w:p w:rsidR="00000000" w:rsidRDefault="00C04CA6">
            <w:pPr>
              <w:rPr>
                <w:rFonts w:ascii="Arial" w:hAnsi="Arial"/>
                <w:sz w:val="24"/>
              </w:rPr>
            </w:pPr>
          </w:p>
        </w:tc>
        <w:tc>
          <w:tcPr>
            <w:tcW w:w="2126" w:type="dxa"/>
            <w:tcBorders>
              <w:top w:val="nil"/>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 xml:space="preserve">Líquido  </w:t>
            </w:r>
            <w:r>
              <w:rPr>
                <w:rFonts w:ascii="Arial" w:hAnsi="Arial"/>
                <w:sz w:val="24"/>
                <w:vertAlign w:val="superscript"/>
              </w:rPr>
              <w:t>[2]</w:t>
            </w:r>
          </w:p>
        </w:tc>
        <w:tc>
          <w:tcPr>
            <w:tcW w:w="180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1 650</w:t>
            </w:r>
          </w:p>
        </w:tc>
        <w:tc>
          <w:tcPr>
            <w:tcW w:w="2014" w:type="dxa"/>
            <w:tcBorders>
              <w:top w:val="nil"/>
              <w:left w:val="single" w:sz="6" w:space="0" w:color="auto"/>
              <w:bottom w:val="nil"/>
            </w:tcBorders>
          </w:tcPr>
          <w:p w:rsidR="00000000" w:rsidRDefault="00C04CA6">
            <w:pPr>
              <w:jc w:val="center"/>
              <w:rPr>
                <w:rFonts w:ascii="Arial" w:hAnsi="Arial"/>
                <w:sz w:val="24"/>
              </w:rPr>
            </w:pPr>
            <w:r>
              <w:rPr>
                <w:rFonts w:ascii="Arial" w:hAnsi="Arial"/>
                <w:sz w:val="24"/>
              </w:rPr>
              <w:t>mg/Nm</w:t>
            </w:r>
            <w:r>
              <w:rPr>
                <w:rFonts w:ascii="Arial" w:hAnsi="Arial"/>
                <w:sz w:val="24"/>
                <w:vertAlign w:val="superscript"/>
              </w:rPr>
              <w:t>3</w:t>
            </w:r>
          </w:p>
        </w:tc>
      </w:tr>
      <w:tr w:rsidR="00000000">
        <w:tblPrEx>
          <w:tblCellMar>
            <w:top w:w="0" w:type="dxa"/>
            <w:bottom w:w="0" w:type="dxa"/>
          </w:tblCellMar>
        </w:tblPrEx>
        <w:trPr>
          <w:jc w:val="center"/>
        </w:trPr>
        <w:tc>
          <w:tcPr>
            <w:tcW w:w="2458" w:type="dxa"/>
            <w:tcBorders>
              <w:right w:val="single" w:sz="6" w:space="0" w:color="auto"/>
            </w:tcBorders>
            <w:vAlign w:val="center"/>
          </w:tcPr>
          <w:p w:rsidR="00000000" w:rsidRDefault="00C04CA6">
            <w:pPr>
              <w:rPr>
                <w:rFonts w:ascii="Arial" w:hAnsi="Arial"/>
                <w:sz w:val="24"/>
              </w:rPr>
            </w:pPr>
          </w:p>
        </w:tc>
        <w:tc>
          <w:tcPr>
            <w:tcW w:w="2126" w:type="dxa"/>
            <w:tcBorders>
              <w:top w:val="nil"/>
              <w:left w:val="single" w:sz="6" w:space="0" w:color="auto"/>
              <w:bottom w:val="single" w:sz="6" w:space="0" w:color="auto"/>
              <w:right w:val="single" w:sz="6" w:space="0" w:color="auto"/>
            </w:tcBorders>
          </w:tcPr>
          <w:p w:rsidR="00000000" w:rsidRDefault="00C04CA6">
            <w:pPr>
              <w:jc w:val="center"/>
              <w:rPr>
                <w:rFonts w:ascii="Arial" w:hAnsi="Arial"/>
                <w:sz w:val="24"/>
              </w:rPr>
            </w:pPr>
            <w:r>
              <w:rPr>
                <w:rFonts w:ascii="Arial" w:hAnsi="Arial"/>
                <w:sz w:val="24"/>
              </w:rPr>
              <w:t>Gaseoso</w:t>
            </w:r>
          </w:p>
        </w:tc>
        <w:tc>
          <w:tcPr>
            <w:tcW w:w="1800" w:type="dxa"/>
            <w:tcBorders>
              <w:left w:val="single" w:sz="6" w:space="0" w:color="auto"/>
              <w:right w:val="single" w:sz="6" w:space="0" w:color="auto"/>
            </w:tcBorders>
          </w:tcPr>
          <w:p w:rsidR="00000000" w:rsidRDefault="00C04CA6">
            <w:pPr>
              <w:jc w:val="center"/>
              <w:rPr>
                <w:rFonts w:ascii="Arial" w:hAnsi="Arial"/>
                <w:sz w:val="24"/>
              </w:rPr>
            </w:pPr>
            <w:r>
              <w:rPr>
                <w:rFonts w:ascii="Arial" w:hAnsi="Arial"/>
                <w:sz w:val="24"/>
              </w:rPr>
              <w:t>No Aplicable</w:t>
            </w:r>
          </w:p>
        </w:tc>
        <w:tc>
          <w:tcPr>
            <w:tcW w:w="2014" w:type="dxa"/>
            <w:tcBorders>
              <w:top w:val="nil"/>
              <w:left w:val="single" w:sz="6" w:space="0" w:color="auto"/>
              <w:bottom w:val="single" w:sz="6" w:space="0" w:color="auto"/>
            </w:tcBorders>
          </w:tcPr>
          <w:p w:rsidR="00000000" w:rsidRDefault="00C04CA6">
            <w:pPr>
              <w:jc w:val="center"/>
              <w:rPr>
                <w:rFonts w:ascii="Arial" w:hAnsi="Arial"/>
                <w:sz w:val="24"/>
              </w:rPr>
            </w:pPr>
            <w:r>
              <w:rPr>
                <w:rFonts w:ascii="Arial" w:hAnsi="Arial"/>
                <w:sz w:val="24"/>
              </w:rPr>
              <w:t>No Aplicable</w:t>
            </w:r>
          </w:p>
        </w:tc>
      </w:tr>
    </w:tbl>
    <w:p w:rsidR="00000000" w:rsidRDefault="00C04CA6">
      <w:pPr>
        <w:ind w:left="360" w:right="431"/>
        <w:rPr>
          <w:rFonts w:ascii="Arial" w:hAnsi="Arial"/>
          <w:sz w:val="24"/>
        </w:rPr>
      </w:pPr>
      <w:r>
        <w:rPr>
          <w:rFonts w:ascii="Arial" w:hAnsi="Arial"/>
          <w:sz w:val="24"/>
        </w:rPr>
        <w:t>Notas:</w:t>
      </w:r>
    </w:p>
    <w:p w:rsidR="00000000" w:rsidRDefault="00C04CA6">
      <w:pPr>
        <w:ind w:left="360" w:right="431"/>
        <w:rPr>
          <w:rFonts w:ascii="Arial" w:hAnsi="Arial"/>
          <w:sz w:val="24"/>
        </w:rPr>
      </w:pPr>
      <w:r>
        <w:rPr>
          <w:rFonts w:ascii="Arial" w:hAnsi="Arial"/>
          <w:sz w:val="24"/>
          <w:vertAlign w:val="superscript"/>
        </w:rPr>
        <w:t>[1]</w:t>
      </w:r>
      <w:r>
        <w:rPr>
          <w:rFonts w:ascii="Arial" w:hAnsi="Arial"/>
          <w:sz w:val="24"/>
        </w:rPr>
        <w:t xml:space="preserve">  mg/Nm</w:t>
      </w:r>
      <w:r>
        <w:rPr>
          <w:rFonts w:ascii="Arial" w:hAnsi="Arial"/>
          <w:sz w:val="24"/>
          <w:vertAlign w:val="superscript"/>
        </w:rPr>
        <w:t>3</w:t>
      </w:r>
      <w:r>
        <w:rPr>
          <w:rFonts w:ascii="Arial" w:hAnsi="Arial"/>
          <w:sz w:val="24"/>
        </w:rPr>
        <w:t xml:space="preserve">: miligramos por </w:t>
      </w:r>
      <w:r>
        <w:rPr>
          <w:rFonts w:ascii="Arial" w:hAnsi="Arial"/>
          <w:sz w:val="24"/>
        </w:rPr>
        <w:t xml:space="preserve">metro cúbico de gas, a condiciones normales, de </w:t>
      </w:r>
      <w:r>
        <w:rPr>
          <w:rFonts w:ascii="Arial" w:hAnsi="Arial"/>
          <w:sz w:val="24"/>
          <w:lang w:val="es-ES"/>
        </w:rPr>
        <w:t>mil trece milibares de presión (1 013 mbar)</w:t>
      </w:r>
      <w:r>
        <w:rPr>
          <w:rFonts w:ascii="Arial" w:hAnsi="Arial"/>
          <w:sz w:val="24"/>
        </w:rPr>
        <w:t xml:space="preserve"> y temperatura de 0 °C, en base seca y corregidos a 7% de oxígeno.</w:t>
      </w:r>
    </w:p>
    <w:p w:rsidR="00000000" w:rsidRDefault="00C04CA6">
      <w:pPr>
        <w:ind w:left="360" w:right="431"/>
        <w:rPr>
          <w:rFonts w:ascii="Arial" w:hAnsi="Arial"/>
          <w:sz w:val="24"/>
        </w:rPr>
      </w:pPr>
      <w:r>
        <w:rPr>
          <w:rFonts w:ascii="Arial" w:hAnsi="Arial"/>
          <w:sz w:val="24"/>
          <w:vertAlign w:val="superscript"/>
        </w:rPr>
        <w:t xml:space="preserve"> [2]  </w:t>
      </w:r>
      <w:r>
        <w:rPr>
          <w:rFonts w:ascii="Arial" w:hAnsi="Arial"/>
          <w:sz w:val="24"/>
        </w:rPr>
        <w:t>combustibles líquidos comprenden los combustibles fósiles líquidos, tales como diesel, keros</w:t>
      </w:r>
      <w:r>
        <w:rPr>
          <w:rFonts w:ascii="Arial" w:hAnsi="Arial"/>
          <w:sz w:val="24"/>
        </w:rPr>
        <w:t>ene, búnker C, petróleo crudo, naftas.</w:t>
      </w:r>
    </w:p>
    <w:p w:rsidR="00000000" w:rsidRDefault="00C04CA6">
      <w:pPr>
        <w:ind w:right="431"/>
        <w:rPr>
          <w:rFonts w:ascii="Arial" w:hAnsi="Arial"/>
          <w:sz w:val="24"/>
          <w:lang w:val="es-ES"/>
        </w:rPr>
      </w:pPr>
    </w:p>
    <w:p w:rsidR="00000000" w:rsidRDefault="00C04CA6">
      <w:pPr>
        <w:ind w:right="431"/>
        <w:rPr>
          <w:rFonts w:ascii="Arial" w:hAnsi="Arial"/>
          <w:sz w:val="24"/>
          <w:lang w:val="es-ES"/>
        </w:rPr>
      </w:pPr>
    </w:p>
    <w:p w:rsidR="00000000" w:rsidRDefault="00C04CA6">
      <w:pPr>
        <w:rPr>
          <w:rFonts w:ascii="Arial" w:hAnsi="Arial"/>
          <w:sz w:val="24"/>
        </w:rPr>
      </w:pPr>
      <w:r>
        <w:rPr>
          <w:rFonts w:ascii="Arial" w:hAnsi="Arial"/>
          <w:sz w:val="24"/>
        </w:rPr>
        <w:t>4.1.2.3  La Entidad Ambiental de Control utilizará los límites máximos permisibles de emisiones indicados en las Tablas 1 y 2 para fines de elaborar su respectiva norma (ver Reglamento a la Ley de Prevención y Contr</w:t>
      </w:r>
      <w:r>
        <w:rPr>
          <w:rFonts w:ascii="Arial" w:hAnsi="Arial"/>
          <w:sz w:val="24"/>
        </w:rPr>
        <w:t>ol de Contaminación).  La Entidad Ambiental de Control podrá establecer normas de emisión de mayor exigencia, esto si los resultados de las evaluaciones de calidad de aire que efectúe indicaren dicha necesidad.</w:t>
      </w:r>
    </w:p>
    <w:p w:rsidR="00000000" w:rsidRDefault="00C04CA6">
      <w:pPr>
        <w:rPr>
          <w:rFonts w:ascii="Arial" w:hAnsi="Arial"/>
          <w:sz w:val="24"/>
        </w:rPr>
      </w:pPr>
    </w:p>
    <w:p w:rsidR="00000000" w:rsidRDefault="00C04CA6">
      <w:pPr>
        <w:rPr>
          <w:rFonts w:ascii="Arial" w:hAnsi="Arial"/>
          <w:sz w:val="24"/>
        </w:rPr>
      </w:pPr>
      <w:r>
        <w:rPr>
          <w:rFonts w:ascii="Arial" w:hAnsi="Arial"/>
          <w:sz w:val="24"/>
        </w:rPr>
        <w:t>4.1.2.4  El Ministerio del Ambiente definirá</w:t>
      </w:r>
      <w:r>
        <w:rPr>
          <w:rFonts w:ascii="Arial" w:hAnsi="Arial"/>
          <w:sz w:val="24"/>
        </w:rPr>
        <w:t xml:space="preserve"> la frecuencia de revisión de los valores establecidos como límite máximo permitido de emisiones al aire.  De acuerdo a lo establecido en el reglamento para la prevención y control de la contaminación, se analizará la conveniencia de unificar los valores d</w:t>
      </w:r>
      <w:r>
        <w:rPr>
          <w:rFonts w:ascii="Arial" w:hAnsi="Arial"/>
          <w:sz w:val="24"/>
        </w:rPr>
        <w:t>e emisión para fuentes en operación antes de Enero de 2003 y posteriores a esta fecha.  La revisión deberá considerar, además, las bases de datos de emisiones, así como de los datos de concentraciones de contaminantes en el aire ambiente, efectúe la Entida</w:t>
      </w:r>
      <w:r>
        <w:rPr>
          <w:rFonts w:ascii="Arial" w:hAnsi="Arial"/>
          <w:sz w:val="24"/>
        </w:rPr>
        <w:t>d Ambiental de Control.</w:t>
      </w:r>
    </w:p>
    <w:p w:rsidR="00000000" w:rsidRDefault="00C04CA6">
      <w:pPr>
        <w:rPr>
          <w:rFonts w:ascii="Arial" w:hAnsi="Arial"/>
          <w:sz w:val="24"/>
        </w:rPr>
      </w:pPr>
    </w:p>
    <w:p w:rsidR="00000000" w:rsidRDefault="00C04CA6">
      <w:pPr>
        <w:rPr>
          <w:rFonts w:ascii="Arial" w:hAnsi="Arial"/>
          <w:sz w:val="24"/>
        </w:rPr>
      </w:pPr>
      <w:r>
        <w:rPr>
          <w:rFonts w:ascii="Arial" w:hAnsi="Arial"/>
          <w:sz w:val="24"/>
        </w:rPr>
        <w:t xml:space="preserve">4.1.3  </w:t>
      </w:r>
      <w:r>
        <w:rPr>
          <w:rFonts w:ascii="Arial" w:hAnsi="Arial"/>
          <w:sz w:val="24"/>
          <w:u w:val="single"/>
        </w:rPr>
        <w:t>Del cumplimiento con la normativa de emisiones máximas permitidas</w:t>
      </w:r>
    </w:p>
    <w:p w:rsidR="00000000" w:rsidRDefault="00C04CA6">
      <w:pPr>
        <w:rPr>
          <w:rFonts w:ascii="Arial" w:hAnsi="Arial"/>
          <w:sz w:val="24"/>
        </w:rPr>
      </w:pPr>
    </w:p>
    <w:p w:rsidR="00000000" w:rsidRDefault="00C04CA6">
      <w:pPr>
        <w:rPr>
          <w:rFonts w:ascii="Arial" w:hAnsi="Arial"/>
          <w:sz w:val="24"/>
        </w:rPr>
      </w:pPr>
      <w:r>
        <w:rPr>
          <w:rFonts w:ascii="Arial" w:hAnsi="Arial"/>
          <w:sz w:val="24"/>
        </w:rPr>
        <w:t>4.1.3.1  Las fuentes fijas de emisiones al aire por combustión, existentes a la fecha de promulgación de esta norma técnica, dispondrán de plazos, a ser fija</w:t>
      </w:r>
      <w:r>
        <w:rPr>
          <w:rFonts w:ascii="Arial" w:hAnsi="Arial"/>
          <w:sz w:val="24"/>
        </w:rPr>
        <w:t>dos mediante acuerdo entre el propietario u operador de la fuente fija y la Entidad Ambiental de Control, a fin de adecuar la emisión de contaminantes a niveles inferiores a los máximos permisibles.  El otorgamiento de estos plazos queda supeditado, en cad</w:t>
      </w:r>
      <w:r>
        <w:rPr>
          <w:rFonts w:ascii="Arial" w:hAnsi="Arial"/>
          <w:sz w:val="24"/>
        </w:rPr>
        <w:t>a caso, a los estudios y evaluaciones que realice la Entidad Ambiental de Control.  En ningún caso estos plazos serán mayores a cinco años, de acuerdo a lo establecido en el reglamento.</w:t>
      </w:r>
    </w:p>
    <w:p w:rsidR="00000000" w:rsidRDefault="00C04CA6">
      <w:pPr>
        <w:rPr>
          <w:rFonts w:ascii="Arial" w:hAnsi="Arial"/>
          <w:sz w:val="24"/>
        </w:rPr>
      </w:pPr>
    </w:p>
    <w:p w:rsidR="00000000" w:rsidRDefault="00C04CA6">
      <w:pPr>
        <w:rPr>
          <w:rFonts w:ascii="Arial" w:hAnsi="Arial"/>
          <w:sz w:val="24"/>
        </w:rPr>
      </w:pPr>
      <w:r>
        <w:rPr>
          <w:rFonts w:ascii="Arial" w:hAnsi="Arial"/>
          <w:sz w:val="24"/>
        </w:rPr>
        <w:t>4.1.3.2  Dentro de los términos que especifiquen las respectivas regl</w:t>
      </w:r>
      <w:r>
        <w:rPr>
          <w:rFonts w:ascii="Arial" w:hAnsi="Arial"/>
          <w:sz w:val="24"/>
        </w:rPr>
        <w:t>amentaciones, todas las fuentes fijas deberán obtener su respectivo permiso de funcionamiento, el cual será renovado con la periodicidad que determine la Entidad Ambiental de Control.  Esta última queda también facultada para fijar las tasas que correspond</w:t>
      </w:r>
      <w:r>
        <w:rPr>
          <w:rFonts w:ascii="Arial" w:hAnsi="Arial"/>
          <w:sz w:val="24"/>
        </w:rPr>
        <w:t>an por la retribución del servicio.</w:t>
      </w:r>
    </w:p>
    <w:p w:rsidR="00000000" w:rsidRDefault="00C04CA6">
      <w:pPr>
        <w:rPr>
          <w:rFonts w:ascii="Arial" w:hAnsi="Arial"/>
          <w:sz w:val="24"/>
        </w:rPr>
      </w:pPr>
    </w:p>
    <w:p w:rsidR="00000000" w:rsidRDefault="00C04CA6">
      <w:pPr>
        <w:rPr>
          <w:rFonts w:ascii="Arial" w:hAnsi="Arial"/>
          <w:sz w:val="24"/>
        </w:rPr>
      </w:pPr>
      <w:r>
        <w:rPr>
          <w:rFonts w:ascii="Arial" w:hAnsi="Arial"/>
          <w:sz w:val="24"/>
        </w:rPr>
        <w:t>4.1.3.3  Esquema Burbuja.-  de existir varias fuentes fijas de emisión, bajo la responsabilidad sea de un mismo propietario y/o de un mismo operador, y al interior de una misma región, la emisión global de las fuentes p</w:t>
      </w:r>
      <w:r>
        <w:rPr>
          <w:rFonts w:ascii="Arial" w:hAnsi="Arial"/>
          <w:sz w:val="24"/>
        </w:rPr>
        <w:t>odrá calcularse mediante una fórmula que pondere las fuentes fijas presentes en la instalación.  Se establece la siguiente fórmula:</w:t>
      </w:r>
    </w:p>
    <w:p w:rsidR="00000000" w:rsidRDefault="00C04CA6">
      <w:pPr>
        <w:rPr>
          <w:rFonts w:ascii="Arial" w:hAnsi="Arial"/>
          <w:sz w:val="24"/>
        </w:rPr>
      </w:pPr>
    </w:p>
    <w:p w:rsidR="00000000" w:rsidRDefault="00C04CA6">
      <w:pPr>
        <w:jc w:val="center"/>
        <w:rPr>
          <w:rFonts w:ascii="Arial" w:hAnsi="Arial"/>
          <w:sz w:val="24"/>
        </w:rPr>
      </w:pPr>
      <w:r>
        <w:rPr>
          <w:rFonts w:ascii="Arial" w:hAnsi="Arial"/>
          <w:position w:val="-30"/>
          <w:sz w:val="24"/>
        </w:rPr>
        <w:object w:dxaOrig="3540" w:dyaOrig="700">
          <v:shape id="_x0000_i1026" type="#_x0000_t75" style="width:177pt;height:35.25pt" o:ole="">
            <v:imagedata r:id="rId9" o:title=""/>
          </v:shape>
          <o:OLEObject Type="Embed" ProgID="Equation.3" ShapeID="_x0000_i1026" DrawAspect="Content" ObjectID="_1309683805" r:id="rId10"/>
        </w:object>
      </w:r>
      <w:r>
        <w:rPr>
          <w:rFonts w:ascii="Arial" w:hAnsi="Arial"/>
          <w:sz w:val="24"/>
        </w:rPr>
        <w:t xml:space="preserve">      </w:t>
      </w:r>
    </w:p>
    <w:p w:rsidR="00000000" w:rsidRDefault="00C04CA6">
      <w:pPr>
        <w:rPr>
          <w:rFonts w:ascii="Arial" w:hAnsi="Arial"/>
          <w:sz w:val="24"/>
        </w:rPr>
      </w:pPr>
    </w:p>
    <w:p w:rsidR="00000000" w:rsidRDefault="00C04CA6">
      <w:pPr>
        <w:rPr>
          <w:rFonts w:ascii="Arial" w:hAnsi="Arial"/>
          <w:sz w:val="24"/>
        </w:rPr>
      </w:pPr>
      <w:r>
        <w:rPr>
          <w:rFonts w:ascii="Arial" w:hAnsi="Arial"/>
          <w:sz w:val="24"/>
        </w:rPr>
        <w:t>donde:</w:t>
      </w:r>
    </w:p>
    <w:p w:rsidR="00000000" w:rsidRDefault="00C04CA6">
      <w:pPr>
        <w:rPr>
          <w:rFonts w:ascii="Arial" w:hAnsi="Arial"/>
          <w:sz w:val="24"/>
        </w:rPr>
      </w:pPr>
      <w:r>
        <w:rPr>
          <w:rFonts w:ascii="Arial" w:hAnsi="Arial"/>
          <w:i/>
          <w:sz w:val="24"/>
        </w:rPr>
        <w:t>E</w:t>
      </w:r>
      <w:r>
        <w:rPr>
          <w:rFonts w:ascii="Arial" w:hAnsi="Arial"/>
          <w:i/>
          <w:sz w:val="24"/>
          <w:vertAlign w:val="subscript"/>
        </w:rPr>
        <w:t>global</w:t>
      </w:r>
      <w:r>
        <w:rPr>
          <w:rFonts w:ascii="Arial" w:hAnsi="Arial"/>
          <w:sz w:val="24"/>
        </w:rPr>
        <w:t>:  tasa de emisión global para el conjunto de fuentes fijas de combustión,</w:t>
      </w:r>
    </w:p>
    <w:p w:rsidR="00000000" w:rsidRDefault="00C04CA6">
      <w:pPr>
        <w:rPr>
          <w:rFonts w:ascii="Arial" w:hAnsi="Arial"/>
          <w:sz w:val="24"/>
        </w:rPr>
      </w:pPr>
      <w:r>
        <w:rPr>
          <w:rFonts w:ascii="Arial" w:hAnsi="Arial"/>
          <w:i/>
          <w:sz w:val="24"/>
        </w:rPr>
        <w:t>A</w:t>
      </w:r>
      <w:r>
        <w:rPr>
          <w:rFonts w:ascii="Arial" w:hAnsi="Arial"/>
          <w:i/>
          <w:sz w:val="24"/>
          <w:vertAlign w:val="subscript"/>
        </w:rPr>
        <w:t>i</w:t>
      </w:r>
      <w:r>
        <w:rPr>
          <w:rFonts w:ascii="Arial" w:hAnsi="Arial"/>
          <w:sz w:val="24"/>
        </w:rPr>
        <w:t xml:space="preserve"> factor de ponderación, y que puede ser el consumo de combustible de la fuente número i, o el caudal de gases de combustión de la respectiva fuente número i,</w:t>
      </w:r>
    </w:p>
    <w:p w:rsidR="00000000" w:rsidRDefault="00C04CA6">
      <w:pPr>
        <w:rPr>
          <w:rFonts w:ascii="Arial" w:hAnsi="Arial"/>
          <w:sz w:val="24"/>
        </w:rPr>
      </w:pPr>
      <w:r>
        <w:rPr>
          <w:rFonts w:ascii="Arial" w:hAnsi="Arial"/>
          <w:i/>
          <w:sz w:val="24"/>
        </w:rPr>
        <w:t>E</w:t>
      </w:r>
      <w:r>
        <w:rPr>
          <w:rFonts w:ascii="Arial" w:hAnsi="Arial"/>
          <w:i/>
          <w:sz w:val="24"/>
          <w:vertAlign w:val="subscript"/>
        </w:rPr>
        <w:t>i</w:t>
      </w:r>
      <w:r>
        <w:rPr>
          <w:rFonts w:ascii="Arial" w:hAnsi="Arial"/>
          <w:sz w:val="24"/>
        </w:rPr>
        <w:t>:  tasa actual de emisión determinada para cada fuente.</w:t>
      </w:r>
    </w:p>
    <w:p w:rsidR="00000000" w:rsidRDefault="00C04CA6">
      <w:pPr>
        <w:rPr>
          <w:rFonts w:ascii="Arial" w:hAnsi="Arial"/>
          <w:sz w:val="24"/>
        </w:rPr>
      </w:pPr>
    </w:p>
    <w:p w:rsidR="00000000" w:rsidRDefault="00C04CA6">
      <w:pPr>
        <w:rPr>
          <w:rFonts w:ascii="Arial" w:hAnsi="Arial"/>
          <w:sz w:val="24"/>
        </w:rPr>
      </w:pPr>
      <w:r>
        <w:rPr>
          <w:rFonts w:ascii="Arial" w:hAnsi="Arial"/>
          <w:sz w:val="24"/>
        </w:rPr>
        <w:t>El resultado a obtenerse con la ecua</w:t>
      </w:r>
      <w:r>
        <w:rPr>
          <w:rFonts w:ascii="Arial" w:hAnsi="Arial"/>
          <w:sz w:val="24"/>
        </w:rPr>
        <w:t>ción indicada, y que representa el equivalente ponderado para un grupo de fuentes fijas de combustión, deberá ser comparado con el valor máximo de emisión permitida descrito en esta normativa, resultado equivalente para una sola fuente fija de combustión.</w:t>
      </w:r>
    </w:p>
    <w:p w:rsidR="00000000" w:rsidRDefault="00C04CA6">
      <w:pPr>
        <w:rPr>
          <w:rFonts w:ascii="Arial" w:hAnsi="Arial"/>
          <w:sz w:val="24"/>
        </w:rPr>
      </w:pPr>
    </w:p>
    <w:p w:rsidR="00000000" w:rsidRDefault="00C04CA6">
      <w:pPr>
        <w:rPr>
          <w:rFonts w:ascii="Arial" w:hAnsi="Arial"/>
          <w:sz w:val="24"/>
        </w:rPr>
      </w:pPr>
    </w:p>
    <w:p w:rsidR="00000000" w:rsidRDefault="00C04CA6">
      <w:pPr>
        <w:rPr>
          <w:rFonts w:ascii="Arial" w:hAnsi="Arial"/>
          <w:sz w:val="24"/>
        </w:rPr>
      </w:pPr>
      <w:r>
        <w:rPr>
          <w:rFonts w:ascii="Arial" w:hAnsi="Arial"/>
          <w:sz w:val="24"/>
        </w:rPr>
        <w:t xml:space="preserve">4.1.4  </w:t>
      </w:r>
      <w:r>
        <w:rPr>
          <w:rFonts w:ascii="Arial" w:hAnsi="Arial"/>
          <w:sz w:val="24"/>
          <w:u w:val="single"/>
        </w:rPr>
        <w:t>Fuentes fijas de combustión existentes, nuevas y modificadas</w:t>
      </w:r>
    </w:p>
    <w:p w:rsidR="00000000" w:rsidRDefault="00C04CA6">
      <w:pPr>
        <w:rPr>
          <w:rFonts w:ascii="Arial" w:hAnsi="Arial"/>
          <w:sz w:val="24"/>
        </w:rPr>
      </w:pPr>
    </w:p>
    <w:p w:rsidR="00000000" w:rsidRDefault="00C04CA6">
      <w:pPr>
        <w:rPr>
          <w:rFonts w:ascii="Arial" w:hAnsi="Arial"/>
          <w:sz w:val="24"/>
        </w:rPr>
      </w:pPr>
      <w:r>
        <w:rPr>
          <w:rFonts w:ascii="Arial" w:hAnsi="Arial"/>
          <w:sz w:val="24"/>
        </w:rPr>
        <w:t>4.1.4.1  Toda fuente fija de combustión, que experimente una remodelación, una modificación sustancial de la misma, o un cambio total o parcial de combustible, deberá comunicar a la Ent</w:t>
      </w:r>
      <w:r>
        <w:rPr>
          <w:rFonts w:ascii="Arial" w:hAnsi="Arial"/>
          <w:sz w:val="24"/>
        </w:rPr>
        <w:t>idad Ambiental de Control este particular.  Para el caso de una fuente fija significativa, se deberá comunicar además una evaluación de las emisiones esperadas una vez que el proyecto de remodelación o modificación culmine.</w:t>
      </w:r>
    </w:p>
    <w:p w:rsidR="00000000" w:rsidRDefault="00C04CA6">
      <w:pPr>
        <w:rPr>
          <w:rFonts w:ascii="Arial" w:hAnsi="Arial"/>
          <w:sz w:val="24"/>
        </w:rPr>
      </w:pPr>
    </w:p>
    <w:p w:rsidR="00000000" w:rsidRDefault="00C04CA6">
      <w:pPr>
        <w:rPr>
          <w:rFonts w:ascii="Arial" w:hAnsi="Arial"/>
          <w:sz w:val="24"/>
        </w:rPr>
      </w:pPr>
      <w:r>
        <w:rPr>
          <w:rFonts w:ascii="Arial" w:hAnsi="Arial"/>
          <w:sz w:val="24"/>
        </w:rPr>
        <w:t>4.1.4.2  Las fuentes fijas sign</w:t>
      </w:r>
      <w:r>
        <w:rPr>
          <w:rFonts w:ascii="Arial" w:hAnsi="Arial"/>
          <w:sz w:val="24"/>
        </w:rPr>
        <w:t>ificativas nuevas, o fuentes existentes remodeladas o modificadas sustancialmente, como parte integral del estudio de impacto ambiental requerido, deberán evaluar su impacto en la calidad del aire mediante el uso de modelos de dispersión.  Las fuentes exis</w:t>
      </w:r>
      <w:r>
        <w:rPr>
          <w:rFonts w:ascii="Arial" w:hAnsi="Arial"/>
          <w:sz w:val="24"/>
        </w:rPr>
        <w:t>tentes, significativas, deberán también proceder a evaluar su impacto en la calidad del aire mediante modelos de dispersión, esto de ser requerido en los estudios de auditoría ambiental o de estudio de impacto ambiental expost.  El modelo de dispersión cal</w:t>
      </w:r>
      <w:r>
        <w:rPr>
          <w:rFonts w:ascii="Arial" w:hAnsi="Arial"/>
          <w:sz w:val="24"/>
        </w:rPr>
        <w:t>culará la concentración esperada de contaminantes del aire a nivel del suelo, que se espera sean emitidos desde las fuentes fijas nuevas, y se procederá a determinar si estas concentraciones calculadas cumplen o no con la norma de calidad de aire.  Para ef</w:t>
      </w:r>
      <w:r>
        <w:rPr>
          <w:rFonts w:ascii="Arial" w:hAnsi="Arial"/>
          <w:sz w:val="24"/>
        </w:rPr>
        <w:t xml:space="preserve">ectos de determinación de cumplimiento con la norma, la concentración calculada para cada contaminante del aire evaluado, atribuible a la operación de las fuentes fijas nuevas, deberá ser adicionada a la concentración existente de cada contaminante, según </w:t>
      </w:r>
      <w:r>
        <w:rPr>
          <w:rFonts w:ascii="Arial" w:hAnsi="Arial"/>
          <w:sz w:val="24"/>
        </w:rPr>
        <w:t>se describe en el siguiente artículo.</w:t>
      </w:r>
    </w:p>
    <w:p w:rsidR="00000000" w:rsidRDefault="00C04CA6">
      <w:pPr>
        <w:rPr>
          <w:rFonts w:ascii="Arial" w:hAnsi="Arial"/>
          <w:sz w:val="24"/>
        </w:rPr>
      </w:pPr>
    </w:p>
    <w:p w:rsidR="00000000" w:rsidRDefault="00C04CA6">
      <w:pPr>
        <w:rPr>
          <w:rFonts w:ascii="Arial" w:hAnsi="Arial"/>
          <w:sz w:val="24"/>
        </w:rPr>
      </w:pPr>
      <w:r>
        <w:rPr>
          <w:rFonts w:ascii="Arial" w:hAnsi="Arial"/>
          <w:sz w:val="24"/>
        </w:rPr>
        <w:t>4.1.4.3  Una fuente fija nueva, remodelada o modificada, y que se determine como significativa, deberá establecer aquellos contaminantes emitidos por la misma, que son significativos para con la calidad del aire ambie</w:t>
      </w:r>
      <w:r>
        <w:rPr>
          <w:rFonts w:ascii="Arial" w:hAnsi="Arial"/>
          <w:sz w:val="24"/>
        </w:rPr>
        <w:t>nte.  Para tal efecto se utilizará un modelo de dispersión de tipo preliminar, ejemplo SCREEN, de la US EPA, mediante el cual se verificará si las concentraciones calculadas por este modelo, para cada contaminante modelado, sobrepasan o no los valores esti</w:t>
      </w:r>
      <w:r>
        <w:rPr>
          <w:rFonts w:ascii="Arial" w:hAnsi="Arial"/>
          <w:sz w:val="24"/>
        </w:rPr>
        <w:t>pulados en la Tabla 3.  Si la predicción mediante modelo indica que la concentración de un contaminante supera el valor presentado en la Tabla 3, entonces aquel contaminante se designa como significativo para la fuente.  La Entidad Ambiental de Control sol</w:t>
      </w:r>
      <w:r>
        <w:rPr>
          <w:rFonts w:ascii="Arial" w:hAnsi="Arial"/>
          <w:sz w:val="24"/>
        </w:rPr>
        <w:t>icitará que la fuente proceda a la aplicación de un modelo detallado, únicamente para los contaminantes significativos que se determinen.  Eventualmente, la Entidad Ambiental de Control implementará programas de mediciones de concentraciones, a nivel de su</w:t>
      </w:r>
      <w:r>
        <w:rPr>
          <w:rFonts w:ascii="Arial" w:hAnsi="Arial"/>
          <w:sz w:val="24"/>
        </w:rPr>
        <w:t>elo, de los contaminantes significativos, una vez que la fuente ingrese en operación.</w:t>
      </w:r>
    </w:p>
    <w:p w:rsidR="00000000" w:rsidRDefault="00C04CA6">
      <w:pPr>
        <w:rPr>
          <w:rFonts w:ascii="Arial" w:hAnsi="Arial"/>
          <w:sz w:val="24"/>
        </w:rPr>
      </w:pPr>
    </w:p>
    <w:p w:rsidR="00000000" w:rsidRDefault="00C04CA6">
      <w:pPr>
        <w:rPr>
          <w:rFonts w:ascii="Arial" w:hAnsi="Arial"/>
          <w:sz w:val="24"/>
        </w:rPr>
      </w:pPr>
    </w:p>
    <w:p w:rsidR="00000000" w:rsidRDefault="00C04CA6">
      <w:pPr>
        <w:pStyle w:val="Ttulo7"/>
        <w:jc w:val="center"/>
        <w:rPr>
          <w:rFonts w:ascii="Arial" w:hAnsi="Arial"/>
          <w:smallCaps w:val="0"/>
          <w:sz w:val="24"/>
        </w:rPr>
      </w:pPr>
      <w:r>
        <w:rPr>
          <w:rFonts w:ascii="Arial" w:hAnsi="Arial"/>
          <w:smallCaps w:val="0"/>
          <w:sz w:val="24"/>
        </w:rPr>
        <w:t xml:space="preserve">Tabla 3.  Valores de incremento de concentración de contaminantes comunes, a nivel del suelo, para definición de contaminantes significativos  </w:t>
      </w:r>
      <w:r>
        <w:rPr>
          <w:rFonts w:ascii="Arial" w:hAnsi="Arial"/>
          <w:smallCaps w:val="0"/>
          <w:sz w:val="24"/>
          <w:vertAlign w:val="superscript"/>
        </w:rPr>
        <w:t>[1]</w:t>
      </w:r>
    </w:p>
    <w:p w:rsidR="00000000" w:rsidRDefault="00C04CA6">
      <w:pPr>
        <w:rPr>
          <w:rFonts w:ascii="Arial" w:hAnsi="Arial"/>
          <w:b/>
          <w:smallCaps/>
          <w:sz w:val="24"/>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3544"/>
        <w:gridCol w:w="2977"/>
      </w:tblGrid>
      <w:tr w:rsidR="00000000">
        <w:tblPrEx>
          <w:tblCellMar>
            <w:top w:w="0" w:type="dxa"/>
            <w:bottom w:w="0" w:type="dxa"/>
          </w:tblCellMar>
        </w:tblPrEx>
        <w:trPr>
          <w:jc w:val="center"/>
        </w:trPr>
        <w:tc>
          <w:tcPr>
            <w:tcW w:w="3544" w:type="dxa"/>
            <w:tcBorders>
              <w:top w:val="single" w:sz="6" w:space="0" w:color="auto"/>
              <w:bottom w:val="single" w:sz="6" w:space="0" w:color="auto"/>
              <w:right w:val="single" w:sz="6" w:space="0" w:color="auto"/>
            </w:tcBorders>
          </w:tcPr>
          <w:p w:rsidR="00000000" w:rsidRDefault="00C04CA6">
            <w:pPr>
              <w:rPr>
                <w:rFonts w:ascii="Arial" w:hAnsi="Arial"/>
                <w:b/>
                <w:sz w:val="24"/>
              </w:rPr>
            </w:pPr>
            <w:r>
              <w:rPr>
                <w:rFonts w:ascii="Arial" w:hAnsi="Arial"/>
                <w:b/>
                <w:sz w:val="24"/>
              </w:rPr>
              <w:t>Contaminante / Perío</w:t>
            </w:r>
            <w:r>
              <w:rPr>
                <w:rFonts w:ascii="Arial" w:hAnsi="Arial"/>
                <w:b/>
                <w:sz w:val="24"/>
              </w:rPr>
              <w:t>do de Tiempo</w:t>
            </w:r>
          </w:p>
        </w:tc>
        <w:tc>
          <w:tcPr>
            <w:tcW w:w="2977" w:type="dxa"/>
            <w:tcBorders>
              <w:top w:val="single" w:sz="6" w:space="0" w:color="auto"/>
              <w:left w:val="single" w:sz="6" w:space="0" w:color="auto"/>
              <w:bottom w:val="single" w:sz="6" w:space="0" w:color="auto"/>
            </w:tcBorders>
          </w:tcPr>
          <w:p w:rsidR="00000000" w:rsidRDefault="00C04CA6">
            <w:pPr>
              <w:jc w:val="center"/>
              <w:rPr>
                <w:rFonts w:ascii="Arial" w:hAnsi="Arial"/>
                <w:b/>
                <w:sz w:val="24"/>
              </w:rPr>
            </w:pPr>
            <w:r>
              <w:rPr>
                <w:rFonts w:ascii="Arial" w:hAnsi="Arial"/>
                <w:b/>
                <w:sz w:val="24"/>
              </w:rPr>
              <w:t>Criterio de Significancia, expresado en microgramos por metro cúbico de aire</w:t>
            </w:r>
          </w:p>
        </w:tc>
      </w:tr>
      <w:tr w:rsidR="00000000">
        <w:tblPrEx>
          <w:tblCellMar>
            <w:top w:w="0" w:type="dxa"/>
            <w:bottom w:w="0" w:type="dxa"/>
          </w:tblCellMar>
        </w:tblPrEx>
        <w:trPr>
          <w:jc w:val="center"/>
        </w:trPr>
        <w:tc>
          <w:tcPr>
            <w:tcW w:w="3544" w:type="dxa"/>
            <w:tcBorders>
              <w:top w:val="single" w:sz="6" w:space="0" w:color="auto"/>
              <w:right w:val="single" w:sz="6" w:space="0" w:color="auto"/>
            </w:tcBorders>
            <w:vAlign w:val="center"/>
          </w:tcPr>
          <w:p w:rsidR="00000000" w:rsidRDefault="00C04CA6">
            <w:pPr>
              <w:rPr>
                <w:rFonts w:ascii="Arial" w:hAnsi="Arial"/>
                <w:sz w:val="24"/>
              </w:rPr>
            </w:pPr>
            <w:r>
              <w:rPr>
                <w:rFonts w:ascii="Arial" w:hAnsi="Arial"/>
                <w:sz w:val="24"/>
              </w:rPr>
              <w:t>Óxidos de Nitrógeno NOx</w:t>
            </w:r>
          </w:p>
        </w:tc>
        <w:tc>
          <w:tcPr>
            <w:tcW w:w="2977" w:type="dxa"/>
            <w:tcBorders>
              <w:top w:val="single" w:sz="6" w:space="0" w:color="auto"/>
              <w:left w:val="single" w:sz="6" w:space="0" w:color="auto"/>
            </w:tcBorders>
          </w:tcPr>
          <w:p w:rsidR="00000000" w:rsidRDefault="00C04CA6">
            <w:pPr>
              <w:ind w:right="1026"/>
              <w:jc w:val="right"/>
              <w:rPr>
                <w:rFonts w:ascii="Arial" w:hAnsi="Arial"/>
                <w:sz w:val="24"/>
              </w:rPr>
            </w:pPr>
          </w:p>
        </w:tc>
      </w:tr>
      <w:tr w:rsidR="00000000">
        <w:tblPrEx>
          <w:tblCellMar>
            <w:top w:w="0" w:type="dxa"/>
            <w:bottom w:w="0" w:type="dxa"/>
          </w:tblCellMar>
        </w:tblPrEx>
        <w:trPr>
          <w:jc w:val="center"/>
        </w:trPr>
        <w:tc>
          <w:tcPr>
            <w:tcW w:w="3544" w:type="dxa"/>
            <w:tcBorders>
              <w:right w:val="single" w:sz="6" w:space="0" w:color="auto"/>
            </w:tcBorders>
            <w:vAlign w:val="center"/>
          </w:tcPr>
          <w:p w:rsidR="00000000" w:rsidRDefault="00C04CA6">
            <w:pPr>
              <w:ind w:left="297"/>
              <w:rPr>
                <w:rFonts w:ascii="Arial" w:hAnsi="Arial"/>
                <w:sz w:val="24"/>
              </w:rPr>
            </w:pPr>
            <w:r>
              <w:rPr>
                <w:rFonts w:ascii="Arial" w:hAnsi="Arial"/>
                <w:sz w:val="24"/>
              </w:rPr>
              <w:t>Anual</w:t>
            </w:r>
          </w:p>
        </w:tc>
        <w:tc>
          <w:tcPr>
            <w:tcW w:w="2977" w:type="dxa"/>
            <w:tcBorders>
              <w:left w:val="single" w:sz="6" w:space="0" w:color="auto"/>
            </w:tcBorders>
          </w:tcPr>
          <w:p w:rsidR="00000000" w:rsidRDefault="00C04CA6">
            <w:pPr>
              <w:ind w:right="1026"/>
              <w:jc w:val="right"/>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3544" w:type="dxa"/>
            <w:tcBorders>
              <w:right w:val="single" w:sz="6" w:space="0" w:color="auto"/>
            </w:tcBorders>
            <w:vAlign w:val="center"/>
          </w:tcPr>
          <w:p w:rsidR="00000000" w:rsidRDefault="00C04CA6">
            <w:pPr>
              <w:rPr>
                <w:rFonts w:ascii="Arial" w:hAnsi="Arial"/>
                <w:sz w:val="24"/>
              </w:rPr>
            </w:pPr>
            <w:r>
              <w:rPr>
                <w:rFonts w:ascii="Arial" w:hAnsi="Arial"/>
                <w:sz w:val="24"/>
              </w:rPr>
              <w:t>Dióxido de Azufre SO2</w:t>
            </w:r>
          </w:p>
        </w:tc>
        <w:tc>
          <w:tcPr>
            <w:tcW w:w="2977" w:type="dxa"/>
            <w:tcBorders>
              <w:left w:val="single" w:sz="6" w:space="0" w:color="auto"/>
            </w:tcBorders>
          </w:tcPr>
          <w:p w:rsidR="00000000" w:rsidRDefault="00C04CA6">
            <w:pPr>
              <w:ind w:right="1026"/>
              <w:jc w:val="right"/>
              <w:rPr>
                <w:rFonts w:ascii="Arial" w:hAnsi="Arial"/>
                <w:sz w:val="24"/>
              </w:rPr>
            </w:pPr>
          </w:p>
        </w:tc>
      </w:tr>
      <w:tr w:rsidR="00000000">
        <w:tblPrEx>
          <w:tblCellMar>
            <w:top w:w="0" w:type="dxa"/>
            <w:bottom w:w="0" w:type="dxa"/>
          </w:tblCellMar>
        </w:tblPrEx>
        <w:trPr>
          <w:jc w:val="center"/>
        </w:trPr>
        <w:tc>
          <w:tcPr>
            <w:tcW w:w="3544" w:type="dxa"/>
            <w:tcBorders>
              <w:right w:val="single" w:sz="6" w:space="0" w:color="auto"/>
            </w:tcBorders>
            <w:vAlign w:val="center"/>
          </w:tcPr>
          <w:p w:rsidR="00000000" w:rsidRDefault="00C04CA6">
            <w:pPr>
              <w:ind w:left="297"/>
              <w:rPr>
                <w:rFonts w:ascii="Arial" w:hAnsi="Arial"/>
                <w:sz w:val="24"/>
              </w:rPr>
            </w:pPr>
            <w:r>
              <w:rPr>
                <w:rFonts w:ascii="Arial" w:hAnsi="Arial"/>
                <w:sz w:val="24"/>
              </w:rPr>
              <w:t>Anual</w:t>
            </w:r>
          </w:p>
        </w:tc>
        <w:tc>
          <w:tcPr>
            <w:tcW w:w="2977" w:type="dxa"/>
            <w:tcBorders>
              <w:left w:val="single" w:sz="6" w:space="0" w:color="auto"/>
            </w:tcBorders>
          </w:tcPr>
          <w:p w:rsidR="00000000" w:rsidRDefault="00C04CA6">
            <w:pPr>
              <w:ind w:right="1026"/>
              <w:jc w:val="right"/>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3544" w:type="dxa"/>
            <w:tcBorders>
              <w:right w:val="single" w:sz="6" w:space="0" w:color="auto"/>
            </w:tcBorders>
            <w:vAlign w:val="center"/>
          </w:tcPr>
          <w:p w:rsidR="00000000" w:rsidRDefault="00C04CA6">
            <w:pPr>
              <w:ind w:left="297"/>
              <w:rPr>
                <w:rFonts w:ascii="Arial" w:hAnsi="Arial"/>
                <w:sz w:val="24"/>
              </w:rPr>
            </w:pPr>
            <w:r>
              <w:rPr>
                <w:rFonts w:ascii="Arial" w:hAnsi="Arial"/>
                <w:sz w:val="24"/>
              </w:rPr>
              <w:t>24-Horas</w:t>
            </w:r>
          </w:p>
        </w:tc>
        <w:tc>
          <w:tcPr>
            <w:tcW w:w="2977" w:type="dxa"/>
            <w:tcBorders>
              <w:left w:val="single" w:sz="6" w:space="0" w:color="auto"/>
            </w:tcBorders>
          </w:tcPr>
          <w:p w:rsidR="00000000" w:rsidRDefault="00C04CA6">
            <w:pPr>
              <w:ind w:right="1026"/>
              <w:jc w:val="right"/>
              <w:rPr>
                <w:rFonts w:ascii="Arial" w:hAnsi="Arial"/>
                <w:sz w:val="24"/>
              </w:rPr>
            </w:pPr>
            <w:r>
              <w:rPr>
                <w:rFonts w:ascii="Arial" w:hAnsi="Arial"/>
                <w:sz w:val="24"/>
              </w:rPr>
              <w:t>5,0</w:t>
            </w:r>
          </w:p>
        </w:tc>
      </w:tr>
      <w:tr w:rsidR="00000000">
        <w:tblPrEx>
          <w:tblCellMar>
            <w:top w:w="0" w:type="dxa"/>
            <w:bottom w:w="0" w:type="dxa"/>
          </w:tblCellMar>
        </w:tblPrEx>
        <w:trPr>
          <w:jc w:val="center"/>
        </w:trPr>
        <w:tc>
          <w:tcPr>
            <w:tcW w:w="3544" w:type="dxa"/>
            <w:tcBorders>
              <w:right w:val="single" w:sz="6" w:space="0" w:color="auto"/>
            </w:tcBorders>
            <w:vAlign w:val="center"/>
          </w:tcPr>
          <w:p w:rsidR="00000000" w:rsidRDefault="00C04CA6">
            <w:pPr>
              <w:ind w:left="297"/>
              <w:rPr>
                <w:rFonts w:ascii="Arial" w:hAnsi="Arial"/>
                <w:sz w:val="24"/>
              </w:rPr>
            </w:pPr>
            <w:r>
              <w:rPr>
                <w:rFonts w:ascii="Arial" w:hAnsi="Arial"/>
                <w:sz w:val="24"/>
              </w:rPr>
              <w:t>3-Horas</w:t>
            </w:r>
          </w:p>
        </w:tc>
        <w:tc>
          <w:tcPr>
            <w:tcW w:w="2977" w:type="dxa"/>
            <w:tcBorders>
              <w:left w:val="single" w:sz="6" w:space="0" w:color="auto"/>
            </w:tcBorders>
          </w:tcPr>
          <w:p w:rsidR="00000000" w:rsidRDefault="00C04CA6">
            <w:pPr>
              <w:ind w:right="1026"/>
              <w:jc w:val="right"/>
              <w:rPr>
                <w:rFonts w:ascii="Arial" w:hAnsi="Arial"/>
                <w:sz w:val="24"/>
              </w:rPr>
            </w:pPr>
            <w:r>
              <w:rPr>
                <w:rFonts w:ascii="Arial" w:hAnsi="Arial"/>
                <w:sz w:val="24"/>
              </w:rPr>
              <w:t>25,0</w:t>
            </w:r>
          </w:p>
        </w:tc>
      </w:tr>
      <w:tr w:rsidR="00000000">
        <w:tblPrEx>
          <w:tblCellMar>
            <w:top w:w="0" w:type="dxa"/>
            <w:bottom w:w="0" w:type="dxa"/>
          </w:tblCellMar>
        </w:tblPrEx>
        <w:trPr>
          <w:jc w:val="center"/>
        </w:trPr>
        <w:tc>
          <w:tcPr>
            <w:tcW w:w="3544" w:type="dxa"/>
            <w:tcBorders>
              <w:right w:val="single" w:sz="6" w:space="0" w:color="auto"/>
            </w:tcBorders>
            <w:vAlign w:val="center"/>
          </w:tcPr>
          <w:p w:rsidR="00000000" w:rsidRDefault="00C04CA6">
            <w:pPr>
              <w:rPr>
                <w:rFonts w:ascii="Arial" w:hAnsi="Arial"/>
                <w:sz w:val="24"/>
              </w:rPr>
            </w:pPr>
            <w:r>
              <w:rPr>
                <w:rFonts w:ascii="Arial" w:hAnsi="Arial"/>
                <w:sz w:val="24"/>
              </w:rPr>
              <w:t>Partículas</w:t>
            </w:r>
          </w:p>
        </w:tc>
        <w:tc>
          <w:tcPr>
            <w:tcW w:w="2977" w:type="dxa"/>
            <w:tcBorders>
              <w:left w:val="single" w:sz="6" w:space="0" w:color="auto"/>
            </w:tcBorders>
          </w:tcPr>
          <w:p w:rsidR="00000000" w:rsidRDefault="00C04CA6">
            <w:pPr>
              <w:ind w:right="1026"/>
              <w:jc w:val="right"/>
              <w:rPr>
                <w:rFonts w:ascii="Arial" w:hAnsi="Arial"/>
                <w:sz w:val="24"/>
              </w:rPr>
            </w:pPr>
          </w:p>
        </w:tc>
      </w:tr>
      <w:tr w:rsidR="00000000">
        <w:tblPrEx>
          <w:tblCellMar>
            <w:top w:w="0" w:type="dxa"/>
            <w:bottom w:w="0" w:type="dxa"/>
          </w:tblCellMar>
        </w:tblPrEx>
        <w:trPr>
          <w:jc w:val="center"/>
        </w:trPr>
        <w:tc>
          <w:tcPr>
            <w:tcW w:w="3544" w:type="dxa"/>
            <w:tcBorders>
              <w:right w:val="single" w:sz="6" w:space="0" w:color="auto"/>
            </w:tcBorders>
            <w:vAlign w:val="center"/>
          </w:tcPr>
          <w:p w:rsidR="00000000" w:rsidRDefault="00C04CA6">
            <w:pPr>
              <w:ind w:left="297"/>
              <w:rPr>
                <w:rFonts w:ascii="Arial" w:hAnsi="Arial"/>
                <w:sz w:val="24"/>
              </w:rPr>
            </w:pPr>
            <w:r>
              <w:rPr>
                <w:rFonts w:ascii="Arial" w:hAnsi="Arial"/>
                <w:sz w:val="24"/>
              </w:rPr>
              <w:t>Anual</w:t>
            </w:r>
          </w:p>
        </w:tc>
        <w:tc>
          <w:tcPr>
            <w:tcW w:w="2977" w:type="dxa"/>
            <w:tcBorders>
              <w:left w:val="single" w:sz="6" w:space="0" w:color="auto"/>
            </w:tcBorders>
          </w:tcPr>
          <w:p w:rsidR="00000000" w:rsidRDefault="00C04CA6">
            <w:pPr>
              <w:ind w:right="1026"/>
              <w:jc w:val="right"/>
              <w:rPr>
                <w:rFonts w:ascii="Arial" w:hAnsi="Arial"/>
                <w:sz w:val="24"/>
              </w:rPr>
            </w:pPr>
            <w:r>
              <w:rPr>
                <w:rFonts w:ascii="Arial" w:hAnsi="Arial"/>
                <w:sz w:val="24"/>
              </w:rPr>
              <w:t>1,0</w:t>
            </w:r>
          </w:p>
        </w:tc>
      </w:tr>
      <w:tr w:rsidR="00000000">
        <w:tblPrEx>
          <w:tblCellMar>
            <w:top w:w="0" w:type="dxa"/>
            <w:bottom w:w="0" w:type="dxa"/>
          </w:tblCellMar>
        </w:tblPrEx>
        <w:trPr>
          <w:jc w:val="center"/>
        </w:trPr>
        <w:tc>
          <w:tcPr>
            <w:tcW w:w="3544" w:type="dxa"/>
            <w:tcBorders>
              <w:bottom w:val="single" w:sz="6" w:space="0" w:color="auto"/>
              <w:right w:val="single" w:sz="6" w:space="0" w:color="auto"/>
            </w:tcBorders>
            <w:vAlign w:val="center"/>
          </w:tcPr>
          <w:p w:rsidR="00000000" w:rsidRDefault="00C04CA6">
            <w:pPr>
              <w:ind w:left="297"/>
              <w:rPr>
                <w:rFonts w:ascii="Arial" w:hAnsi="Arial"/>
                <w:sz w:val="24"/>
              </w:rPr>
            </w:pPr>
            <w:r>
              <w:rPr>
                <w:rFonts w:ascii="Arial" w:hAnsi="Arial"/>
                <w:sz w:val="24"/>
              </w:rPr>
              <w:t>24-Horas</w:t>
            </w:r>
          </w:p>
        </w:tc>
        <w:tc>
          <w:tcPr>
            <w:tcW w:w="2977" w:type="dxa"/>
            <w:tcBorders>
              <w:left w:val="single" w:sz="6" w:space="0" w:color="auto"/>
            </w:tcBorders>
          </w:tcPr>
          <w:p w:rsidR="00000000" w:rsidRDefault="00C04CA6">
            <w:pPr>
              <w:ind w:right="1026"/>
              <w:jc w:val="right"/>
              <w:rPr>
                <w:rFonts w:ascii="Arial" w:hAnsi="Arial"/>
                <w:sz w:val="24"/>
              </w:rPr>
            </w:pPr>
            <w:r>
              <w:rPr>
                <w:rFonts w:ascii="Arial" w:hAnsi="Arial"/>
                <w:sz w:val="24"/>
              </w:rPr>
              <w:t>5,0</w:t>
            </w:r>
          </w:p>
        </w:tc>
      </w:tr>
    </w:tbl>
    <w:p w:rsidR="00000000" w:rsidRDefault="00C04CA6">
      <w:pPr>
        <w:ind w:left="1320" w:right="1271"/>
        <w:rPr>
          <w:rFonts w:ascii="Arial" w:hAnsi="Arial"/>
          <w:sz w:val="24"/>
        </w:rPr>
      </w:pPr>
      <w:r>
        <w:rPr>
          <w:rFonts w:ascii="Arial" w:hAnsi="Arial"/>
          <w:sz w:val="24"/>
        </w:rPr>
        <w:t>Nota:</w:t>
      </w:r>
    </w:p>
    <w:p w:rsidR="00000000" w:rsidRDefault="00C04CA6">
      <w:pPr>
        <w:ind w:left="1320" w:right="1271"/>
        <w:rPr>
          <w:rFonts w:ascii="Arial" w:hAnsi="Arial"/>
          <w:sz w:val="24"/>
        </w:rPr>
      </w:pPr>
      <w:r>
        <w:rPr>
          <w:rFonts w:ascii="Arial" w:hAnsi="Arial"/>
          <w:smallCaps/>
          <w:sz w:val="24"/>
          <w:vertAlign w:val="superscript"/>
        </w:rPr>
        <w:t>[1]</w:t>
      </w:r>
      <w:r>
        <w:rPr>
          <w:rFonts w:ascii="Arial" w:hAnsi="Arial"/>
          <w:sz w:val="24"/>
        </w:rPr>
        <w:t xml:space="preserve">  Todos los valore</w:t>
      </w:r>
      <w:r>
        <w:rPr>
          <w:rFonts w:ascii="Arial" w:hAnsi="Arial"/>
          <w:sz w:val="24"/>
        </w:rPr>
        <w:t>s de concentración expresados en microgramos por metro cúbico de aire, a condiciones de 25 °C y de 1 013 milibares de presión.</w:t>
      </w:r>
    </w:p>
    <w:p w:rsidR="00000000" w:rsidRDefault="00C04CA6">
      <w:pPr>
        <w:rPr>
          <w:rFonts w:ascii="Arial" w:hAnsi="Arial"/>
          <w:sz w:val="24"/>
        </w:rPr>
      </w:pPr>
    </w:p>
    <w:p w:rsidR="00000000" w:rsidRDefault="00C04CA6">
      <w:pPr>
        <w:rPr>
          <w:rFonts w:ascii="Arial" w:hAnsi="Arial"/>
          <w:sz w:val="24"/>
        </w:rPr>
      </w:pPr>
    </w:p>
    <w:p w:rsidR="00000000" w:rsidRDefault="00C04CA6">
      <w:pPr>
        <w:rPr>
          <w:rFonts w:ascii="Arial" w:hAnsi="Arial"/>
          <w:sz w:val="24"/>
        </w:rPr>
      </w:pPr>
      <w:r>
        <w:rPr>
          <w:rFonts w:ascii="Arial" w:hAnsi="Arial"/>
          <w:sz w:val="24"/>
        </w:rPr>
        <w:t>4.1.4.4  La fuente fija significativa, nueva, remodelada o modificada sustancialmente, acordará con la Entidad Ambiental de Con</w:t>
      </w:r>
      <w:r>
        <w:rPr>
          <w:rFonts w:ascii="Arial" w:hAnsi="Arial"/>
          <w:sz w:val="24"/>
        </w:rPr>
        <w:t>trol la inclusión o no, dentro de la evaluación mediante modelo de dispersión, de otras fuentes fijas existentes en la región en que se instalará la fuente nueva, o en que se ubica la fuente modificada o remodelada.  El estudio de impacto ambiental, requer</w:t>
      </w:r>
      <w:r>
        <w:rPr>
          <w:rFonts w:ascii="Arial" w:hAnsi="Arial"/>
          <w:sz w:val="24"/>
        </w:rPr>
        <w:t>ido por la fuente como parte de los permisos de operación, establecerá cuáles fuentes fijas existentes deberán ser incluidas en el modelo de dispersión a aplicarse.  La Entidad Ambiental de Control deberá proveer, a la fuente nueva, de los resultados de la</w:t>
      </w:r>
      <w:r>
        <w:rPr>
          <w:rFonts w:ascii="Arial" w:hAnsi="Arial"/>
          <w:sz w:val="24"/>
        </w:rPr>
        <w:t xml:space="preserve">s bases de datos administradas por la misma, esto es, bases de datos de emisiones de fuentes fijas significativas existentes, y, bases de datos de los niveles de concentraciones de contaminantes en el aire ambiente.  El área de influencia, sea de una sola </w:t>
      </w:r>
      <w:r>
        <w:rPr>
          <w:rFonts w:ascii="Arial" w:hAnsi="Arial"/>
          <w:sz w:val="24"/>
        </w:rPr>
        <w:t>fuente nueva evaluada, o del conjunto de varias fuentes, se determinará mediante el trazado de la curva de igual concentración para todos los contaminantes que sobrepasen los valores establecidos en la Tabla 3.</w:t>
      </w:r>
    </w:p>
    <w:p w:rsidR="00000000" w:rsidRDefault="00C04CA6">
      <w:pPr>
        <w:rPr>
          <w:rFonts w:ascii="Arial" w:hAnsi="Arial"/>
          <w:sz w:val="24"/>
        </w:rPr>
      </w:pPr>
    </w:p>
    <w:p w:rsidR="00000000" w:rsidRDefault="00C04CA6">
      <w:pPr>
        <w:rPr>
          <w:rFonts w:ascii="Arial" w:hAnsi="Arial"/>
          <w:sz w:val="24"/>
        </w:rPr>
      </w:pPr>
      <w:r>
        <w:rPr>
          <w:rFonts w:ascii="Arial" w:hAnsi="Arial"/>
          <w:sz w:val="24"/>
        </w:rPr>
        <w:t>4.1.4.5  De tratarse de una o varias fuentes</w:t>
      </w:r>
      <w:r>
        <w:rPr>
          <w:rFonts w:ascii="Arial" w:hAnsi="Arial"/>
          <w:sz w:val="24"/>
        </w:rPr>
        <w:t xml:space="preserve"> fijas nuevas significativas, o varias fuentes existentes modificadas, la evaluación deberá efectuarse mediante un modelo de dispersión del tipo detallado, con capacidad para incluir diferentes fuentes fijas, y con capacidad de predecir concentraciones de </w:t>
      </w:r>
      <w:r>
        <w:rPr>
          <w:rFonts w:ascii="Arial" w:hAnsi="Arial"/>
          <w:sz w:val="24"/>
        </w:rPr>
        <w:t>contaminantes para períodos de tiempo mayores a una hora, e inclusive, de predecir la concentración anual de un determinado contaminante.  Para esto, se utilizará un modelo de dispersión de características técnicas similares a ISC, de la US EPA.  Para efec</w:t>
      </w:r>
      <w:r>
        <w:rPr>
          <w:rFonts w:ascii="Arial" w:hAnsi="Arial"/>
          <w:sz w:val="24"/>
        </w:rPr>
        <w:t>tuar predicciones de concentraciones de contaminantes por períodos de hasta un año, el modelo de tipo detallado requerirá el uso de datos meteorológicos hora por hora, y de extensión también de un año.  La fuente fija significativa evaluará su impacto en l</w:t>
      </w:r>
      <w:r>
        <w:rPr>
          <w:rFonts w:ascii="Arial" w:hAnsi="Arial"/>
          <w:sz w:val="24"/>
        </w:rPr>
        <w:t>a calidad del aire previa revisión de los datos meteorológicos, hora por hora, de los últimos tres años, como mínimo, previos a la etapa de proyecto de la nueva fuente.  Los datos meteorológicos a utilizarse deberán ser representativos para la ubicación ge</w:t>
      </w:r>
      <w:r>
        <w:rPr>
          <w:rFonts w:ascii="Arial" w:hAnsi="Arial"/>
          <w:sz w:val="24"/>
        </w:rPr>
        <w:t>ográfica de la fuente fija a evaluarse.  El uso de un modelo de dispersión del tipo detallado se extenderá también para el caso de un conjunto de fuentes fijas nuevas, o fuentes existentes remodeladas o modificadas, que estuvieren bajo la responsabilidad d</w:t>
      </w:r>
      <w:r>
        <w:rPr>
          <w:rFonts w:ascii="Arial" w:hAnsi="Arial"/>
          <w:sz w:val="24"/>
        </w:rPr>
        <w:t>e una misma organización u operador, y en que se determine que la emisión global de dicho conjunto de fuentes (artículo 4.1.3.3) es significativa.</w:t>
      </w:r>
    </w:p>
    <w:p w:rsidR="00000000" w:rsidRDefault="00C04CA6">
      <w:pPr>
        <w:rPr>
          <w:rFonts w:ascii="Arial" w:hAnsi="Arial"/>
          <w:sz w:val="24"/>
        </w:rPr>
      </w:pPr>
    </w:p>
    <w:p w:rsidR="00000000" w:rsidRDefault="00C04CA6">
      <w:pPr>
        <w:rPr>
          <w:rFonts w:ascii="Arial" w:hAnsi="Arial"/>
          <w:sz w:val="24"/>
        </w:rPr>
      </w:pPr>
      <w:r>
        <w:rPr>
          <w:rFonts w:ascii="Arial" w:hAnsi="Arial"/>
          <w:sz w:val="24"/>
        </w:rPr>
        <w:t>4.1.4.6  Las fuentes fijas nuevas significativas, a instalarse en las inmediaciones de áreas que se designen</w:t>
      </w:r>
      <w:r>
        <w:rPr>
          <w:rFonts w:ascii="Arial" w:hAnsi="Arial"/>
          <w:sz w:val="24"/>
        </w:rPr>
        <w:t xml:space="preserve"> como protegidas, tales como parques nacionales, reservas de fauna, bosques protectores, entre otros, que se encuentren debidamente designados por la Entidad Ambiental de Control, deberán solicitar a esta autoridad la ejecución de un programa de monitoreo </w:t>
      </w:r>
      <w:r>
        <w:rPr>
          <w:rFonts w:ascii="Arial" w:hAnsi="Arial"/>
          <w:sz w:val="24"/>
        </w:rPr>
        <w:t>inicial de concentraciones de contaminantes del aire a nivel de suelo, previo al inicio de operaciones de la fuente o fuentes, en uno o más sitios designados al interior de dichas áreas protegidas.  El estudio de impacto ambiental que ejecute la fuente fij</w:t>
      </w:r>
      <w:r>
        <w:rPr>
          <w:rFonts w:ascii="Arial" w:hAnsi="Arial"/>
          <w:sz w:val="24"/>
        </w:rPr>
        <w:t>a nueva, determinará el número y ubicación del sitio, o los sitios, de medición de concentraciones de contaminantes del aire.  El programa de monitoreo inicial incluirá, como mínimo, la determinación de concentraciones de óxidos de nitrógeno, dióxido de az</w:t>
      </w:r>
      <w:r>
        <w:rPr>
          <w:rFonts w:ascii="Arial" w:hAnsi="Arial"/>
          <w:sz w:val="24"/>
        </w:rPr>
        <w:t xml:space="preserve">ufre, y material particulado PM10.  Los resultados de este programa permitirán determinar las concentraciones iniciales de contaminantes en ausencia de la nueva fuente, lo cual además permitirá establecer, a futuro, el nivel de cumplimiento con las normas </w:t>
      </w:r>
      <w:r>
        <w:rPr>
          <w:rFonts w:ascii="Arial" w:hAnsi="Arial"/>
          <w:sz w:val="24"/>
        </w:rPr>
        <w:t>de calidad de aire una vez que la fuente fija ingrese en operación.</w:t>
      </w:r>
    </w:p>
    <w:p w:rsidR="00000000" w:rsidRDefault="00C04CA6">
      <w:pPr>
        <w:rPr>
          <w:rFonts w:ascii="Arial" w:hAnsi="Arial"/>
          <w:sz w:val="24"/>
        </w:rPr>
      </w:pPr>
    </w:p>
    <w:p w:rsidR="00000000" w:rsidRDefault="00C04CA6">
      <w:pPr>
        <w:rPr>
          <w:rFonts w:ascii="Arial" w:hAnsi="Arial"/>
          <w:sz w:val="24"/>
        </w:rPr>
      </w:pPr>
      <w:r>
        <w:rPr>
          <w:rFonts w:ascii="Arial" w:hAnsi="Arial"/>
          <w:sz w:val="24"/>
        </w:rPr>
        <w:t>4.1.4.7  Todas las fuentes fijas nuevas, significativas o no, a instalarse en áreas cuyas concentraciones a nivel de suelo cumplen con la norma de calidad de aire ambiente, estarán obliga</w:t>
      </w:r>
      <w:r>
        <w:rPr>
          <w:rFonts w:ascii="Arial" w:hAnsi="Arial"/>
          <w:sz w:val="24"/>
        </w:rPr>
        <w:t xml:space="preserve">das a hacer uso de la denominada Mejor Tecnología de Control Disponible (BACT por sus siglas en inglés), lo cual deberá ser justificado en el estudio ambiental a presentarse ante la Entidad Ambiental de Control.  Las emisiones que se obtengan en la fuente </w:t>
      </w:r>
      <w:r>
        <w:rPr>
          <w:rFonts w:ascii="Arial" w:hAnsi="Arial"/>
          <w:sz w:val="24"/>
        </w:rPr>
        <w:t>que utilice tecnología BACT no deberán ser mayores en magnitud a los valores aplicables para una fuente existente.</w:t>
      </w:r>
    </w:p>
    <w:p w:rsidR="00000000" w:rsidRDefault="00C04CA6">
      <w:pPr>
        <w:rPr>
          <w:rFonts w:ascii="Arial" w:hAnsi="Arial"/>
          <w:sz w:val="24"/>
        </w:rPr>
      </w:pPr>
    </w:p>
    <w:p w:rsidR="00000000" w:rsidRDefault="00C04CA6">
      <w:pPr>
        <w:rPr>
          <w:rFonts w:ascii="Arial" w:hAnsi="Arial"/>
          <w:sz w:val="24"/>
        </w:rPr>
      </w:pPr>
      <w:r>
        <w:rPr>
          <w:rFonts w:ascii="Arial" w:hAnsi="Arial"/>
          <w:sz w:val="24"/>
        </w:rPr>
        <w:t>4.1.4.8  Las fuentes fijas nuevas no podrán instalarse en un área en que las concentraciones de contaminantes comunes del aire ambiente no s</w:t>
      </w:r>
      <w:r>
        <w:rPr>
          <w:rFonts w:ascii="Arial" w:hAnsi="Arial"/>
          <w:sz w:val="24"/>
        </w:rPr>
        <w:t>e encuentren en cumplimiento con la norma de calidad aquí estipulada, o, en aquellas áreas en que dichas concentraciones de contaminantes se encuentren cerca de incumplimiento.  Para ser autorizadas a su instalación, en áreas en no cumplimiento con la norm</w:t>
      </w:r>
      <w:r>
        <w:rPr>
          <w:rFonts w:ascii="Arial" w:hAnsi="Arial"/>
          <w:sz w:val="24"/>
        </w:rPr>
        <w:t>a de calidad de aire, las fuentes fijas nuevas utilizarán la denominada tecnología de Mínima Tasa de Emisión Posible (LAER por sus siglas en inglés), o en su lugar, cuando estas fuentes nuevas reemplacen a una o varias fuentes fijas existentes pero garanti</w:t>
      </w:r>
      <w:r>
        <w:rPr>
          <w:rFonts w:ascii="Arial" w:hAnsi="Arial"/>
          <w:sz w:val="24"/>
        </w:rPr>
        <w:t>zando un estándar de emisión (cantidad de contaminante emitido) y un estándar de desempeño (cantidad de contaminante emitido por unidad de combustible utilizado) considerablemente menor al de la o las fuentes a ser reemplazadas.  La Entidad Ambiental de Co</w:t>
      </w:r>
      <w:r>
        <w:rPr>
          <w:rFonts w:ascii="Arial" w:hAnsi="Arial"/>
          <w:sz w:val="24"/>
        </w:rPr>
        <w:t>ntrol deberá emitir la autorización correspondiente para ejecutar este esquema de operación para una fuente nueva.  Un esquema similar al descrito se aplicará para fuentes existentes pero modificadas o remodeladas sustancialmente.</w:t>
      </w:r>
    </w:p>
    <w:p w:rsidR="00000000" w:rsidRDefault="00C04CA6">
      <w:pPr>
        <w:rPr>
          <w:rFonts w:ascii="Arial" w:hAnsi="Arial"/>
          <w:sz w:val="24"/>
        </w:rPr>
      </w:pPr>
    </w:p>
    <w:p w:rsidR="00000000" w:rsidRDefault="00C04CA6">
      <w:pPr>
        <w:rPr>
          <w:rFonts w:ascii="Arial" w:hAnsi="Arial"/>
          <w:sz w:val="24"/>
        </w:rPr>
      </w:pPr>
      <w:r>
        <w:rPr>
          <w:rFonts w:ascii="Arial" w:hAnsi="Arial"/>
          <w:sz w:val="24"/>
        </w:rPr>
        <w:t>4.1.4.9  El estudio ambi</w:t>
      </w:r>
      <w:r>
        <w:rPr>
          <w:rFonts w:ascii="Arial" w:hAnsi="Arial"/>
          <w:sz w:val="24"/>
        </w:rPr>
        <w:t>ental para una fuente fija nueva, en un área en no cumplimiento con la norma de calidad de aire ambiente, justificará las tecnologías o métodos que implementará la fuente fija a fin de alcanzar la mínima tasa de emisión, y por tanto, no inducir a un incump</w:t>
      </w:r>
      <w:r>
        <w:rPr>
          <w:rFonts w:ascii="Arial" w:hAnsi="Arial"/>
          <w:sz w:val="24"/>
        </w:rPr>
        <w:t>limiento con la norma de calidad de aire, o mejorar en términos absolutos la calidad del aire ambiente de la región.</w:t>
      </w:r>
    </w:p>
    <w:p w:rsidR="00000000" w:rsidRDefault="00C04CA6">
      <w:pPr>
        <w:rPr>
          <w:rFonts w:ascii="Arial" w:hAnsi="Arial"/>
          <w:sz w:val="24"/>
        </w:rPr>
      </w:pPr>
    </w:p>
    <w:p w:rsidR="00000000" w:rsidRDefault="00C04CA6">
      <w:pPr>
        <w:rPr>
          <w:rFonts w:ascii="Arial" w:hAnsi="Arial"/>
          <w:sz w:val="24"/>
        </w:rPr>
      </w:pPr>
      <w:r>
        <w:rPr>
          <w:rFonts w:ascii="Arial" w:hAnsi="Arial"/>
          <w:sz w:val="24"/>
        </w:rPr>
        <w:t>4.1.4.10  Las fuentes fijas nuevas significativas determinarán la altura apropiada de chimenea mediante la aplicación de modelos de disper</w:t>
      </w:r>
      <w:r>
        <w:rPr>
          <w:rFonts w:ascii="Arial" w:hAnsi="Arial"/>
          <w:sz w:val="24"/>
        </w:rPr>
        <w:t>sión.  La altura seleccionada de chimenea deberá considerar el efecto de turbulencia creado por la presencia de edificaciones adyacentes a la chimenea, caracterizándose dicho efecto por la ocurrencia de altas concentraciones de contaminantes emitidos previ</w:t>
      </w:r>
      <w:r>
        <w:rPr>
          <w:rFonts w:ascii="Arial" w:hAnsi="Arial"/>
          <w:sz w:val="24"/>
        </w:rPr>
        <w:t>amente junto a la estructura o edificación.</w:t>
      </w:r>
    </w:p>
    <w:p w:rsidR="00000000" w:rsidRDefault="00C04CA6">
      <w:pPr>
        <w:rPr>
          <w:rFonts w:ascii="Arial" w:hAnsi="Arial"/>
          <w:sz w:val="24"/>
        </w:rPr>
      </w:pPr>
    </w:p>
    <w:p w:rsidR="00000000" w:rsidRDefault="00C04CA6">
      <w:pPr>
        <w:rPr>
          <w:rFonts w:ascii="Arial" w:hAnsi="Arial"/>
          <w:sz w:val="24"/>
        </w:rPr>
      </w:pPr>
    </w:p>
    <w:p w:rsidR="00000000" w:rsidRDefault="00C04CA6">
      <w:pPr>
        <w:rPr>
          <w:rFonts w:ascii="Arial" w:hAnsi="Arial"/>
          <w:sz w:val="24"/>
        </w:rPr>
      </w:pPr>
      <w:r>
        <w:rPr>
          <w:rFonts w:ascii="Arial" w:hAnsi="Arial"/>
          <w:sz w:val="24"/>
        </w:rPr>
        <w:t xml:space="preserve">4.1.5  </w:t>
      </w:r>
      <w:r>
        <w:rPr>
          <w:rFonts w:ascii="Arial" w:hAnsi="Arial"/>
          <w:sz w:val="24"/>
          <w:u w:val="single"/>
        </w:rPr>
        <w:t>Disposiciones generales</w:t>
      </w:r>
    </w:p>
    <w:p w:rsidR="00000000" w:rsidRDefault="00C04CA6">
      <w:pPr>
        <w:rPr>
          <w:rFonts w:ascii="Arial" w:hAnsi="Arial"/>
          <w:sz w:val="24"/>
        </w:rPr>
      </w:pPr>
    </w:p>
    <w:p w:rsidR="00000000" w:rsidRDefault="00C04CA6">
      <w:pPr>
        <w:rPr>
          <w:rFonts w:ascii="Arial" w:hAnsi="Arial"/>
          <w:sz w:val="24"/>
        </w:rPr>
      </w:pPr>
      <w:r>
        <w:rPr>
          <w:rFonts w:ascii="Arial" w:hAnsi="Arial"/>
          <w:sz w:val="24"/>
        </w:rPr>
        <w:t>4.1.5.1  Se prohíbe expresamente la dilución de las emisiones al aire desde una fuente fija con el fin de alcanzar cumplimiento con la normativa aquí descrita.</w:t>
      </w:r>
    </w:p>
    <w:p w:rsidR="00000000" w:rsidRDefault="00C04CA6">
      <w:pPr>
        <w:rPr>
          <w:rFonts w:ascii="Arial" w:hAnsi="Arial"/>
          <w:sz w:val="24"/>
        </w:rPr>
      </w:pPr>
    </w:p>
    <w:p w:rsidR="00000000" w:rsidRDefault="00C04CA6">
      <w:pPr>
        <w:rPr>
          <w:rFonts w:ascii="Arial" w:hAnsi="Arial"/>
          <w:sz w:val="24"/>
        </w:rPr>
      </w:pPr>
      <w:r>
        <w:rPr>
          <w:rFonts w:ascii="Arial" w:hAnsi="Arial"/>
          <w:sz w:val="24"/>
        </w:rPr>
        <w:t>4.1.5.2  Se prohí</w:t>
      </w:r>
      <w:r>
        <w:rPr>
          <w:rFonts w:ascii="Arial" w:hAnsi="Arial"/>
          <w:sz w:val="24"/>
        </w:rPr>
        <w:t>be el uso de aceites lubricantes usados como combustible en calderas, hornos u otros equipos de combustión, con excepción de que la fuente fija de combustión demuestre, mediante el respectivo estudio técnico, que cuenta con equipos y procesos de control de</w:t>
      </w:r>
      <w:r>
        <w:rPr>
          <w:rFonts w:ascii="Arial" w:hAnsi="Arial"/>
          <w:sz w:val="24"/>
        </w:rPr>
        <w:t xml:space="preserve"> emisiones producidas por esta combustión, a fin de no comprometer la calidad del aire al exterior de la fuente, e independientemente de si la fuente fija es significativa o no significativa.  Los planos y especificaciones técnicas de la instalación, inclu</w:t>
      </w:r>
      <w:r>
        <w:rPr>
          <w:rFonts w:ascii="Arial" w:hAnsi="Arial"/>
          <w:sz w:val="24"/>
        </w:rPr>
        <w:t>yendo las previsiones de uso de aceites lubricantes usados, sea como combustible principal o como combustible auxiliar, o como combinación de ambos, se sujetarán a las disposiciones de la normativa aplicable para el manejo de desechos peligrosos y de su di</w:t>
      </w:r>
      <w:r>
        <w:rPr>
          <w:rFonts w:ascii="Arial" w:hAnsi="Arial"/>
          <w:sz w:val="24"/>
        </w:rPr>
        <w:t>sposición final. La Entidad Ambiental de Control emitirá el respectivo permiso de operación para las fuentes que utilicen aceites lubricantes usados como combustible, permiso que será renovado cada dos años, previo el respectivo dictamen favorable, conside</w:t>
      </w:r>
      <w:r>
        <w:rPr>
          <w:rFonts w:ascii="Arial" w:hAnsi="Arial"/>
          <w:sz w:val="24"/>
        </w:rPr>
        <w:t>rando los requerimientos estipulados tanto aquí como en la normativa aplicable a desechos peligrosos y su disposición final.</w:t>
      </w:r>
    </w:p>
    <w:p w:rsidR="00000000" w:rsidRDefault="00C04CA6">
      <w:pPr>
        <w:rPr>
          <w:rFonts w:ascii="Arial" w:hAnsi="Arial"/>
          <w:sz w:val="24"/>
        </w:rPr>
      </w:pPr>
    </w:p>
    <w:p w:rsidR="00000000" w:rsidRDefault="00C04CA6">
      <w:pPr>
        <w:rPr>
          <w:rFonts w:ascii="Arial" w:hAnsi="Arial"/>
          <w:sz w:val="24"/>
        </w:rPr>
      </w:pPr>
      <w:r>
        <w:rPr>
          <w:rFonts w:ascii="Arial" w:hAnsi="Arial"/>
          <w:sz w:val="24"/>
        </w:rPr>
        <w:t>4.1.5.3  Aquellas fuentes fijas que utilicen como combustible otros que no sean combustibles fósiles, serán evaluadas, en primer l</w:t>
      </w:r>
      <w:r>
        <w:rPr>
          <w:rFonts w:ascii="Arial" w:hAnsi="Arial"/>
          <w:sz w:val="24"/>
        </w:rPr>
        <w:t>ugar, en base al criterio de determinar si se trata de fuentes significativas o no.  Para una fuente significativa, que utilice combustibles no fósiles, tales como biomasa, se aplicarán los valores máximos de emisión descritos en este reglamento en lo refe</w:t>
      </w:r>
      <w:r>
        <w:rPr>
          <w:rFonts w:ascii="Arial" w:hAnsi="Arial"/>
          <w:sz w:val="24"/>
        </w:rPr>
        <w:t>rente a fuentes fijas que utilizan combustibles fósiles sólidos.  Para fuentes no significativas, la Entidad Ambiental de Control podrá solicitar evaluaciones adicionales tendientes a prevenir el deterioro de la calidad del aire.</w:t>
      </w:r>
    </w:p>
    <w:p w:rsidR="00000000" w:rsidRDefault="00C04CA6">
      <w:pPr>
        <w:rPr>
          <w:rFonts w:ascii="Arial" w:hAnsi="Arial"/>
          <w:sz w:val="24"/>
        </w:rPr>
      </w:pPr>
    </w:p>
    <w:p w:rsidR="00000000" w:rsidRDefault="00C04CA6">
      <w:pPr>
        <w:rPr>
          <w:rFonts w:ascii="Arial" w:hAnsi="Arial"/>
          <w:sz w:val="24"/>
        </w:rPr>
      </w:pPr>
      <w:r>
        <w:rPr>
          <w:rFonts w:ascii="Arial" w:hAnsi="Arial"/>
          <w:sz w:val="24"/>
        </w:rPr>
        <w:t>4.1.5.4  Toda fuente fija</w:t>
      </w:r>
      <w:r>
        <w:rPr>
          <w:rFonts w:ascii="Arial" w:hAnsi="Arial"/>
          <w:sz w:val="24"/>
        </w:rPr>
        <w:t>, sea significativa o no, deberá comunicar a la Entidad Ambiental de Control cualquier situación anómala, no típica, que se presente en la operación normal de la fuente, y en la que se verificaron emisiones de contaminantes superiores a los valores máximos</w:t>
      </w:r>
      <w:r>
        <w:rPr>
          <w:rFonts w:ascii="Arial" w:hAnsi="Arial"/>
          <w:sz w:val="24"/>
        </w:rPr>
        <w:t xml:space="preserve"> establecidos en este reglamento.  Este requisito no se aplica para el caso del período de arranque de operación de la fuente, o para el caso del período de limpieza por soplado de hollín acumulado en la fuente, siempre que estos períodos no excedan quince</w:t>
      </w:r>
      <w:r>
        <w:rPr>
          <w:rFonts w:ascii="Arial" w:hAnsi="Arial"/>
          <w:sz w:val="24"/>
        </w:rPr>
        <w:t xml:space="preserve"> (15) minutos y la operación no se repita más de dos veces al día.   Cuando por las características de los procesos y/o de los equipos de combustión se justifique técnicamente que se requiere mayor tiempo para su arranque o limpieza con soplado de hollín, </w:t>
      </w:r>
      <w:r>
        <w:rPr>
          <w:rFonts w:ascii="Arial" w:hAnsi="Arial"/>
          <w:sz w:val="24"/>
        </w:rPr>
        <w:t>se deberá obtener la aprobación de la Entidad Ambiental de Control.</w:t>
      </w:r>
    </w:p>
    <w:p w:rsidR="00000000" w:rsidRDefault="00C04CA6">
      <w:pPr>
        <w:rPr>
          <w:rFonts w:ascii="Arial" w:hAnsi="Arial"/>
          <w:sz w:val="24"/>
        </w:rPr>
      </w:pPr>
    </w:p>
    <w:p w:rsidR="00000000" w:rsidRDefault="00C04CA6">
      <w:pPr>
        <w:rPr>
          <w:rFonts w:ascii="Arial" w:hAnsi="Arial"/>
          <w:sz w:val="24"/>
        </w:rPr>
      </w:pPr>
      <w:r>
        <w:rPr>
          <w:rFonts w:ascii="Arial" w:hAnsi="Arial"/>
          <w:sz w:val="24"/>
        </w:rPr>
        <w:t>4.1.5.5  Para las fuentes fijas significativas, se requerirá que estas cuenten, por lo menos, con equipos básicos de control de emisiones de partículas, esto a fin de mitigar aquellas emi</w:t>
      </w:r>
      <w:r>
        <w:rPr>
          <w:rFonts w:ascii="Arial" w:hAnsi="Arial"/>
          <w:sz w:val="24"/>
        </w:rPr>
        <w:t>siones que se registren durante períodos de arranque o de soplado de hollín en la fuente.  Los equipos básicos de control comprenden equipos tales como separadores inerciales (ciclones).  Además, la Entidad Ambiental de Control podrá requerir, por parte de</w:t>
      </w:r>
      <w:r>
        <w:rPr>
          <w:rFonts w:ascii="Arial" w:hAnsi="Arial"/>
          <w:sz w:val="24"/>
        </w:rPr>
        <w:t>l regulado, la instalación de equipos de control de emisiones de partículas adicionales a los equipos básicos descritos, siempre que la evaluación técnica y económica del equipo de control a ser instalado así lo determine.</w:t>
      </w:r>
    </w:p>
    <w:p w:rsidR="00000000" w:rsidRDefault="00C04CA6">
      <w:pPr>
        <w:rPr>
          <w:rFonts w:ascii="Arial" w:hAnsi="Arial"/>
          <w:sz w:val="24"/>
        </w:rPr>
      </w:pPr>
    </w:p>
    <w:p w:rsidR="00000000" w:rsidRDefault="00C04CA6">
      <w:pPr>
        <w:rPr>
          <w:rFonts w:ascii="Arial" w:hAnsi="Arial"/>
          <w:sz w:val="24"/>
        </w:rPr>
      </w:pPr>
      <w:r>
        <w:rPr>
          <w:rFonts w:ascii="Arial" w:hAnsi="Arial"/>
          <w:sz w:val="24"/>
        </w:rPr>
        <w:t>4.1.5.6  Toda fuente fija signif</w:t>
      </w:r>
      <w:r>
        <w:rPr>
          <w:rFonts w:ascii="Arial" w:hAnsi="Arial"/>
          <w:sz w:val="24"/>
        </w:rPr>
        <w:t>icativa está obligada a presentar a la Entidad Ambiental de Control los resultados que se obtengan de los programas de medición de emisiones que deban ejecutarse.  La Entidad Ambiental de Control establecerá una base de datos con las emisiones de todas las</w:t>
      </w:r>
      <w:r>
        <w:rPr>
          <w:rFonts w:ascii="Arial" w:hAnsi="Arial"/>
          <w:sz w:val="24"/>
        </w:rPr>
        <w:t xml:space="preserve"> fuentes bajo su control, así como establecerá los procedimientos de mantenimiento y de control de calidad de la misma.</w:t>
      </w:r>
    </w:p>
    <w:p w:rsidR="00000000" w:rsidRDefault="00C04CA6">
      <w:pPr>
        <w:pStyle w:val="Ttulo2"/>
        <w:tabs>
          <w:tab w:val="num" w:pos="360"/>
        </w:tabs>
        <w:rPr>
          <w:rFonts w:ascii="Arial" w:hAnsi="Arial"/>
          <w:sz w:val="24"/>
        </w:rPr>
      </w:pPr>
      <w:r>
        <w:rPr>
          <w:rFonts w:ascii="Arial" w:hAnsi="Arial"/>
          <w:sz w:val="24"/>
        </w:rPr>
        <w:t>Métodos y equipos de medición de emisiones desde fuentes fijas de combustión</w:t>
      </w:r>
    </w:p>
    <w:p w:rsidR="00000000" w:rsidRDefault="00C04CA6">
      <w:pPr>
        <w:rPr>
          <w:rFonts w:ascii="Arial" w:hAnsi="Arial"/>
          <w:sz w:val="24"/>
        </w:rPr>
      </w:pPr>
      <w:r>
        <w:rPr>
          <w:rFonts w:ascii="Arial" w:hAnsi="Arial"/>
          <w:sz w:val="24"/>
        </w:rPr>
        <w:t xml:space="preserve">4.2.1  </w:t>
      </w:r>
      <w:r>
        <w:rPr>
          <w:rFonts w:ascii="Arial" w:hAnsi="Arial"/>
          <w:sz w:val="24"/>
          <w:u w:val="single"/>
        </w:rPr>
        <w:t>General</w:t>
      </w:r>
    </w:p>
    <w:p w:rsidR="00000000" w:rsidRDefault="00C04CA6">
      <w:pPr>
        <w:rPr>
          <w:rFonts w:ascii="Arial" w:hAnsi="Arial"/>
          <w:sz w:val="24"/>
        </w:rPr>
      </w:pPr>
    </w:p>
    <w:p w:rsidR="00000000" w:rsidRDefault="00C04CA6">
      <w:pPr>
        <w:rPr>
          <w:rFonts w:ascii="Arial" w:hAnsi="Arial"/>
          <w:sz w:val="24"/>
          <w:lang w:val="es-ES"/>
        </w:rPr>
      </w:pPr>
      <w:r>
        <w:rPr>
          <w:rFonts w:ascii="Arial" w:hAnsi="Arial"/>
          <w:sz w:val="24"/>
          <w:lang w:val="es-ES"/>
        </w:rPr>
        <w:t xml:space="preserve">4.2.1.1  Para demostración de cumplimiento </w:t>
      </w:r>
      <w:r>
        <w:rPr>
          <w:rFonts w:ascii="Arial" w:hAnsi="Arial"/>
          <w:sz w:val="24"/>
          <w:lang w:val="es-ES"/>
        </w:rPr>
        <w:t>con la presente norma de emisiones al aire desde fuentes fijas de combustión, los equipos, métodos y procedimientos de medición de emisiones deberán cumplir requisitos técnicos mínimos, establecidos a continuación.  Además, la fuente fija deberá proveer de</w:t>
      </w:r>
      <w:r>
        <w:rPr>
          <w:rFonts w:ascii="Arial" w:hAnsi="Arial"/>
          <w:sz w:val="24"/>
          <w:lang w:val="es-ES"/>
        </w:rPr>
        <w:t xml:space="preserve"> requisitos técnicos mínimos que permitan la ejecución de las mediciones.</w:t>
      </w: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 xml:space="preserve">4.2.2  </w:t>
      </w:r>
      <w:r>
        <w:rPr>
          <w:rFonts w:ascii="Arial" w:hAnsi="Arial"/>
          <w:sz w:val="24"/>
          <w:u w:val="single"/>
          <w:lang w:val="es-ES"/>
        </w:rPr>
        <w:t>Requisitos y métodos de medición</w:t>
      </w: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4.2.2.1  A fin de permitir la medición de emisiones de contaminantes del aire desde fuentes fijas de combustión, estas deberán contar con lo</w:t>
      </w:r>
      <w:r>
        <w:rPr>
          <w:rFonts w:ascii="Arial" w:hAnsi="Arial"/>
          <w:sz w:val="24"/>
          <w:lang w:val="es-ES"/>
        </w:rPr>
        <w:t>s siguientes requisitos técnicos mínimos:</w:t>
      </w:r>
    </w:p>
    <w:p w:rsidR="00000000" w:rsidRDefault="00C04CA6">
      <w:pPr>
        <w:rPr>
          <w:rFonts w:ascii="Arial" w:hAnsi="Arial"/>
          <w:sz w:val="24"/>
          <w:lang w:val="es-ES"/>
        </w:rPr>
      </w:pPr>
    </w:p>
    <w:p w:rsidR="00000000" w:rsidRDefault="00C04CA6" w:rsidP="00C04CA6">
      <w:pPr>
        <w:numPr>
          <w:ilvl w:val="0"/>
          <w:numId w:val="5"/>
        </w:numPr>
        <w:rPr>
          <w:rFonts w:ascii="Arial" w:hAnsi="Arial"/>
          <w:sz w:val="24"/>
          <w:lang w:val="es-ES"/>
        </w:rPr>
      </w:pPr>
      <w:r>
        <w:rPr>
          <w:rFonts w:ascii="Arial" w:hAnsi="Arial"/>
          <w:sz w:val="24"/>
          <w:lang w:val="es-ES"/>
        </w:rPr>
        <w:t>plataforma de trabajo, con las características descritas en la figura 1 (Anexo),</w:t>
      </w:r>
    </w:p>
    <w:p w:rsidR="00000000" w:rsidRDefault="00C04CA6" w:rsidP="00C04CA6">
      <w:pPr>
        <w:numPr>
          <w:ilvl w:val="0"/>
          <w:numId w:val="5"/>
        </w:numPr>
        <w:rPr>
          <w:rFonts w:ascii="Arial" w:hAnsi="Arial"/>
          <w:sz w:val="24"/>
          <w:lang w:val="es-ES"/>
        </w:rPr>
      </w:pPr>
      <w:r>
        <w:rPr>
          <w:rFonts w:ascii="Arial" w:hAnsi="Arial"/>
          <w:sz w:val="24"/>
          <w:lang w:val="es-ES"/>
        </w:rPr>
        <w:t>escalera de acceso a la plataforma de trabajo,</w:t>
      </w:r>
    </w:p>
    <w:p w:rsidR="00000000" w:rsidRDefault="00C04CA6" w:rsidP="00C04CA6">
      <w:pPr>
        <w:numPr>
          <w:ilvl w:val="0"/>
          <w:numId w:val="5"/>
        </w:numPr>
        <w:rPr>
          <w:rFonts w:ascii="Arial" w:hAnsi="Arial"/>
          <w:sz w:val="24"/>
          <w:lang w:val="es-ES"/>
        </w:rPr>
      </w:pPr>
      <w:r>
        <w:rPr>
          <w:rFonts w:ascii="Arial" w:hAnsi="Arial"/>
          <w:sz w:val="24"/>
          <w:lang w:val="es-ES"/>
        </w:rPr>
        <w:t>suministro de energía eléctrica cercano a los puertos de muestreo.</w:t>
      </w: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4.2.2.2  Método 1</w:t>
      </w:r>
      <w:r>
        <w:rPr>
          <w:rFonts w:ascii="Arial" w:hAnsi="Arial"/>
          <w:sz w:val="24"/>
          <w:lang w:val="es-ES"/>
        </w:rPr>
        <w:t>: definición de puertos de muestreo y de puntos de medición en chimeneas.-  este método provee los procedimientos para definir el número y ubicación de los puertos de muestreo, así como de los puntos de medición al interior de la chimenea.</w:t>
      </w: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4.2.2.3  Número</w:t>
      </w:r>
      <w:r>
        <w:rPr>
          <w:rFonts w:ascii="Arial" w:hAnsi="Arial"/>
          <w:sz w:val="24"/>
          <w:lang w:val="es-ES"/>
        </w:rPr>
        <w:t xml:space="preserve"> de puertos de muestreo.-  el número de puertos de muestreo requeridos se determinará de acuerdo al siguiente criterio:</w:t>
      </w:r>
    </w:p>
    <w:p w:rsidR="00000000" w:rsidRDefault="00C04CA6">
      <w:pPr>
        <w:rPr>
          <w:rFonts w:ascii="Arial" w:hAnsi="Arial"/>
          <w:sz w:val="24"/>
          <w:lang w:val="es-ES"/>
        </w:rPr>
      </w:pPr>
    </w:p>
    <w:p w:rsidR="00000000" w:rsidRDefault="00C04CA6" w:rsidP="00C04CA6">
      <w:pPr>
        <w:numPr>
          <w:ilvl w:val="0"/>
          <w:numId w:val="6"/>
        </w:numPr>
        <w:rPr>
          <w:rFonts w:ascii="Arial" w:hAnsi="Arial"/>
          <w:sz w:val="24"/>
          <w:lang w:val="es-ES"/>
        </w:rPr>
      </w:pPr>
      <w:r>
        <w:rPr>
          <w:rFonts w:ascii="Arial" w:hAnsi="Arial"/>
          <w:sz w:val="24"/>
          <w:lang w:val="es-ES"/>
        </w:rPr>
        <w:t>dos (2) puertos para aquellas chimeneas o conductos de diámetro menor 3,0 metros,</w:t>
      </w:r>
    </w:p>
    <w:p w:rsidR="00000000" w:rsidRDefault="00C04CA6" w:rsidP="00C04CA6">
      <w:pPr>
        <w:numPr>
          <w:ilvl w:val="0"/>
          <w:numId w:val="6"/>
        </w:numPr>
        <w:rPr>
          <w:rFonts w:ascii="Arial" w:hAnsi="Arial"/>
          <w:sz w:val="24"/>
          <w:lang w:val="es-ES"/>
        </w:rPr>
      </w:pPr>
      <w:r>
        <w:rPr>
          <w:rFonts w:ascii="Arial" w:hAnsi="Arial"/>
          <w:sz w:val="24"/>
          <w:lang w:val="es-ES"/>
        </w:rPr>
        <w:t>cuatro (4) puertos para chimeneas o conductos de diám</w:t>
      </w:r>
      <w:r>
        <w:rPr>
          <w:rFonts w:ascii="Arial" w:hAnsi="Arial"/>
          <w:sz w:val="24"/>
          <w:lang w:val="es-ES"/>
        </w:rPr>
        <w:t>etro igual o mayor a 3,0 metros.</w:t>
      </w: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4.2.2.4  Para conductos de sección rectangular, se utilizará el diámetro equivalente para definir el número y la ubicación de los puertos de muestreo.</w:t>
      </w: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4.2.2.5  Ubicación de puertos de muestreo.-  los puertos de muestreo s</w:t>
      </w:r>
      <w:r>
        <w:rPr>
          <w:rFonts w:ascii="Arial" w:hAnsi="Arial"/>
          <w:sz w:val="24"/>
          <w:lang w:val="es-ES"/>
        </w:rPr>
        <w:t>e colocarán a una distancia de, al menos, ocho diámetros de chimenea corriente abajo y dos diámetros de chimenea corriente arriba de una perturbación al flujo normal de gases de combustión (ver figura 1, Anexo).  Se entiende por perturbación cualquier codo</w:t>
      </w:r>
      <w:r>
        <w:rPr>
          <w:rFonts w:ascii="Arial" w:hAnsi="Arial"/>
          <w:sz w:val="24"/>
          <w:lang w:val="es-ES"/>
        </w:rPr>
        <w:t>, contracción o expansión que posee la chimenea o conducto.  En conductos de sección rectangular, se utilizará el mismo criterio, salvo que la ubicación de los puertos de muestreo se definirá en base al diámetro equivalente del conducto.</w:t>
      </w: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4.2.2.6  Número d</w:t>
      </w:r>
      <w:r>
        <w:rPr>
          <w:rFonts w:ascii="Arial" w:hAnsi="Arial"/>
          <w:sz w:val="24"/>
          <w:lang w:val="es-ES"/>
        </w:rPr>
        <w:t>e puntos de medición.-  cuando la chimenea o conducto cumpla con el criterio establecido en 4.2.2.5, el número de puntos de medición será el siguiente:</w:t>
      </w:r>
    </w:p>
    <w:p w:rsidR="00000000" w:rsidRDefault="00C04CA6">
      <w:pPr>
        <w:rPr>
          <w:rFonts w:ascii="Arial" w:hAnsi="Arial"/>
          <w:sz w:val="24"/>
          <w:lang w:val="es-ES"/>
        </w:rPr>
      </w:pPr>
    </w:p>
    <w:p w:rsidR="00000000" w:rsidRDefault="00C04CA6" w:rsidP="00C04CA6">
      <w:pPr>
        <w:numPr>
          <w:ilvl w:val="0"/>
          <w:numId w:val="7"/>
        </w:numPr>
        <w:rPr>
          <w:rFonts w:ascii="Arial" w:hAnsi="Arial"/>
          <w:sz w:val="24"/>
          <w:lang w:val="es-ES"/>
        </w:rPr>
      </w:pPr>
      <w:r>
        <w:rPr>
          <w:rFonts w:ascii="Arial" w:hAnsi="Arial"/>
          <w:sz w:val="24"/>
          <w:lang w:val="es-ES"/>
        </w:rPr>
        <w:t xml:space="preserve">doce (12) puntos de </w:t>
      </w:r>
      <w:r>
        <w:rPr>
          <w:rFonts w:ascii="Arial" w:hAnsi="Arial"/>
          <w:sz w:val="24"/>
          <w:lang w:val="es-ES"/>
        </w:rPr>
        <w:t>medición</w:t>
      </w:r>
      <w:r>
        <w:rPr>
          <w:rFonts w:ascii="Arial" w:hAnsi="Arial"/>
          <w:sz w:val="24"/>
          <w:lang w:val="es-ES"/>
        </w:rPr>
        <w:t xml:space="preserve"> para chimeneas o conductos con diámetro, o diámetro equivalente, respectiv</w:t>
      </w:r>
      <w:r>
        <w:rPr>
          <w:rFonts w:ascii="Arial" w:hAnsi="Arial"/>
          <w:sz w:val="24"/>
          <w:lang w:val="es-ES"/>
        </w:rPr>
        <w:t>amente, mayor a 0,61 metros,</w:t>
      </w:r>
    </w:p>
    <w:p w:rsidR="00000000" w:rsidRDefault="00C04CA6" w:rsidP="00C04CA6">
      <w:pPr>
        <w:numPr>
          <w:ilvl w:val="0"/>
          <w:numId w:val="7"/>
        </w:numPr>
        <w:rPr>
          <w:rFonts w:ascii="Arial" w:hAnsi="Arial"/>
          <w:sz w:val="24"/>
          <w:lang w:val="es-ES"/>
        </w:rPr>
      </w:pPr>
      <w:r>
        <w:rPr>
          <w:rFonts w:ascii="Arial" w:hAnsi="Arial"/>
          <w:sz w:val="24"/>
          <w:lang w:val="es-ES"/>
        </w:rPr>
        <w:t xml:space="preserve">ocho (8) puntos de </w:t>
      </w:r>
      <w:r>
        <w:rPr>
          <w:rFonts w:ascii="Arial" w:hAnsi="Arial"/>
          <w:sz w:val="24"/>
          <w:lang w:val="es-ES"/>
        </w:rPr>
        <w:t>medición</w:t>
      </w:r>
      <w:r>
        <w:rPr>
          <w:rFonts w:ascii="Arial" w:hAnsi="Arial"/>
          <w:sz w:val="24"/>
          <w:lang w:val="es-ES"/>
        </w:rPr>
        <w:t xml:space="preserve"> para chimeneas o conductos con diámetro, o diámetro equivalente, respectivamente, entre 0,30 y 0,60 metros, y,</w:t>
      </w:r>
    </w:p>
    <w:p w:rsidR="00000000" w:rsidRDefault="00C04CA6" w:rsidP="00C04CA6">
      <w:pPr>
        <w:numPr>
          <w:ilvl w:val="0"/>
          <w:numId w:val="7"/>
        </w:numPr>
        <w:rPr>
          <w:rFonts w:ascii="Arial" w:hAnsi="Arial"/>
          <w:sz w:val="24"/>
          <w:lang w:val="es-ES"/>
        </w:rPr>
      </w:pPr>
      <w:r>
        <w:rPr>
          <w:rFonts w:ascii="Arial" w:hAnsi="Arial"/>
          <w:sz w:val="24"/>
          <w:lang w:val="es-ES"/>
        </w:rPr>
        <w:t xml:space="preserve">nueve (9) puntos de </w:t>
      </w:r>
      <w:r>
        <w:rPr>
          <w:rFonts w:ascii="Arial" w:hAnsi="Arial"/>
          <w:sz w:val="24"/>
          <w:lang w:val="es-ES"/>
        </w:rPr>
        <w:t>medición</w:t>
      </w:r>
      <w:r>
        <w:rPr>
          <w:rFonts w:ascii="Arial" w:hAnsi="Arial"/>
          <w:sz w:val="24"/>
          <w:lang w:val="es-ES"/>
        </w:rPr>
        <w:t xml:space="preserve"> para conductos de sección rectangular con diámetro equivale</w:t>
      </w:r>
      <w:r>
        <w:rPr>
          <w:rFonts w:ascii="Arial" w:hAnsi="Arial"/>
          <w:sz w:val="24"/>
          <w:lang w:val="es-ES"/>
        </w:rPr>
        <w:t>nte entre 0,30 y 0,61 metros.</w:t>
      </w: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4.2.2.7  Para el caso de que una chimenea no cumpla con el criterio establecido en 4.2.2.5, el número de puntos de medición se definirá de acuerdo con la figura 2 (Anexo).  Al utilizar esta figura, se determinarán las distanc</w:t>
      </w:r>
      <w:r>
        <w:rPr>
          <w:rFonts w:ascii="Arial" w:hAnsi="Arial"/>
          <w:sz w:val="24"/>
          <w:lang w:val="es-ES"/>
        </w:rPr>
        <w:t xml:space="preserve">ias existentes tanto corriente abajo como corriente arriba de los puertos de muestreo, y cada una de estas distancias será dividida para el diámetro de la chimenea o conducto, esto a fin de determinar las distancias en función del número de diámetros.  Se </w:t>
      </w:r>
      <w:r>
        <w:rPr>
          <w:rFonts w:ascii="Arial" w:hAnsi="Arial"/>
          <w:sz w:val="24"/>
          <w:lang w:val="es-ES"/>
        </w:rPr>
        <w:t>seleccionará el mayor número de puntos de medición indicado en la figura, de forma tal que, para una chimenea de sección circular, el número de puntos de medición sea múltiplo de cuatro.  En cambio, para una chimenea de sección rectangular, la distribución</w:t>
      </w:r>
      <w:r>
        <w:rPr>
          <w:rFonts w:ascii="Arial" w:hAnsi="Arial"/>
          <w:sz w:val="24"/>
          <w:lang w:val="es-ES"/>
        </w:rPr>
        <w:t xml:space="preserve"> de puntos de medición se definirá en base a la siguiente matriz (Tabla 4).</w:t>
      </w:r>
    </w:p>
    <w:p w:rsidR="00000000" w:rsidRDefault="00C04CA6">
      <w:pPr>
        <w:rPr>
          <w:rFonts w:ascii="Arial" w:hAnsi="Arial"/>
          <w:sz w:val="24"/>
          <w:lang w:val="es-ES"/>
        </w:rPr>
      </w:pPr>
    </w:p>
    <w:p w:rsidR="00000000" w:rsidRDefault="00C04CA6">
      <w:pPr>
        <w:pStyle w:val="Ttulo7"/>
        <w:jc w:val="center"/>
        <w:rPr>
          <w:rFonts w:ascii="Arial" w:hAnsi="Arial"/>
          <w:smallCaps w:val="0"/>
          <w:sz w:val="24"/>
        </w:rPr>
      </w:pPr>
    </w:p>
    <w:p w:rsidR="00000000" w:rsidRDefault="00C04CA6">
      <w:pPr>
        <w:pStyle w:val="Ttulo7"/>
        <w:jc w:val="center"/>
        <w:rPr>
          <w:rFonts w:ascii="Arial" w:hAnsi="Arial"/>
          <w:smallCaps w:val="0"/>
          <w:sz w:val="24"/>
        </w:rPr>
      </w:pPr>
    </w:p>
    <w:p w:rsidR="00000000" w:rsidRDefault="00C04CA6">
      <w:pPr>
        <w:pStyle w:val="Ttulo7"/>
        <w:jc w:val="center"/>
        <w:rPr>
          <w:rFonts w:ascii="Arial" w:hAnsi="Arial"/>
          <w:smallCaps w:val="0"/>
          <w:sz w:val="24"/>
        </w:rPr>
      </w:pPr>
    </w:p>
    <w:p w:rsidR="00000000" w:rsidRDefault="00C04CA6">
      <w:pPr>
        <w:pStyle w:val="Ttulo7"/>
        <w:jc w:val="center"/>
        <w:rPr>
          <w:rFonts w:ascii="Arial" w:hAnsi="Arial"/>
          <w:smallCaps w:val="0"/>
          <w:sz w:val="24"/>
        </w:rPr>
      </w:pPr>
    </w:p>
    <w:p w:rsidR="00000000" w:rsidRDefault="00C04CA6">
      <w:pPr>
        <w:pStyle w:val="Ttulo7"/>
        <w:jc w:val="center"/>
        <w:rPr>
          <w:rFonts w:ascii="Arial" w:hAnsi="Arial"/>
          <w:smallCaps w:val="0"/>
          <w:sz w:val="24"/>
        </w:rPr>
      </w:pPr>
      <w:r>
        <w:rPr>
          <w:rFonts w:ascii="Arial" w:hAnsi="Arial"/>
          <w:smallCaps w:val="0"/>
          <w:sz w:val="24"/>
        </w:rPr>
        <w:t>Tabla 4.  Distribución de puntos de medición para una chimenea o conducto de sección rectangular</w:t>
      </w:r>
    </w:p>
    <w:p w:rsidR="00000000" w:rsidRDefault="00C04CA6">
      <w:pPr>
        <w:rPr>
          <w:rFonts w:ascii="Arial" w:hAnsi="Arial"/>
          <w:sz w:val="24"/>
        </w:rPr>
      </w:pPr>
    </w:p>
    <w:p w:rsidR="00000000" w:rsidRDefault="00C04CA6">
      <w:pPr>
        <w:rPr>
          <w:rFonts w:ascii="Arial" w:hAnsi="Arial"/>
          <w:sz w:val="24"/>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2640"/>
        <w:gridCol w:w="2267"/>
      </w:tblGrid>
      <w:tr w:rsidR="00000000">
        <w:tblPrEx>
          <w:tblCellMar>
            <w:top w:w="0" w:type="dxa"/>
            <w:bottom w:w="0" w:type="dxa"/>
          </w:tblCellMar>
        </w:tblPrEx>
        <w:trPr>
          <w:jc w:val="center"/>
        </w:trPr>
        <w:tc>
          <w:tcPr>
            <w:tcW w:w="2640" w:type="dxa"/>
            <w:tcBorders>
              <w:top w:val="single" w:sz="6" w:space="0" w:color="auto"/>
              <w:bottom w:val="single" w:sz="6" w:space="0" w:color="auto"/>
              <w:right w:val="single" w:sz="6" w:space="0" w:color="auto"/>
            </w:tcBorders>
          </w:tcPr>
          <w:p w:rsidR="00000000" w:rsidRDefault="00C04CA6">
            <w:pPr>
              <w:jc w:val="center"/>
              <w:rPr>
                <w:rFonts w:ascii="Arial" w:hAnsi="Arial"/>
                <w:b/>
                <w:sz w:val="24"/>
              </w:rPr>
            </w:pPr>
            <w:r>
              <w:rPr>
                <w:rFonts w:ascii="Arial" w:hAnsi="Arial"/>
                <w:b/>
                <w:sz w:val="24"/>
              </w:rPr>
              <w:t>NUMERO DE PUNTOS DE MEDICIÓN</w:t>
            </w:r>
          </w:p>
        </w:tc>
        <w:tc>
          <w:tcPr>
            <w:tcW w:w="2267" w:type="dxa"/>
            <w:tcBorders>
              <w:top w:val="single" w:sz="6" w:space="0" w:color="auto"/>
              <w:left w:val="single" w:sz="6" w:space="0" w:color="auto"/>
              <w:bottom w:val="single" w:sz="6" w:space="0" w:color="auto"/>
            </w:tcBorders>
          </w:tcPr>
          <w:p w:rsidR="00000000" w:rsidRDefault="00C04CA6">
            <w:pPr>
              <w:jc w:val="center"/>
              <w:rPr>
                <w:rFonts w:ascii="Arial" w:hAnsi="Arial"/>
                <w:b/>
                <w:sz w:val="24"/>
              </w:rPr>
            </w:pPr>
            <w:r>
              <w:rPr>
                <w:rFonts w:ascii="Arial" w:hAnsi="Arial"/>
                <w:b/>
                <w:sz w:val="24"/>
              </w:rPr>
              <w:t>DISTRIBUCIÓN DE PUNTOS</w:t>
            </w:r>
          </w:p>
        </w:tc>
      </w:tr>
      <w:tr w:rsidR="00000000">
        <w:tblPrEx>
          <w:tblCellMar>
            <w:top w:w="0" w:type="dxa"/>
            <w:bottom w:w="0" w:type="dxa"/>
          </w:tblCellMar>
        </w:tblPrEx>
        <w:trPr>
          <w:jc w:val="center"/>
        </w:trPr>
        <w:tc>
          <w:tcPr>
            <w:tcW w:w="2640" w:type="dxa"/>
            <w:tcBorders>
              <w:top w:val="single" w:sz="6" w:space="0" w:color="auto"/>
              <w:right w:val="single" w:sz="6" w:space="0" w:color="auto"/>
            </w:tcBorders>
            <w:vAlign w:val="center"/>
          </w:tcPr>
          <w:p w:rsidR="00000000" w:rsidRDefault="00C04CA6">
            <w:pPr>
              <w:jc w:val="center"/>
              <w:rPr>
                <w:rFonts w:ascii="Arial" w:hAnsi="Arial"/>
                <w:sz w:val="24"/>
              </w:rPr>
            </w:pPr>
            <w:r>
              <w:rPr>
                <w:rFonts w:ascii="Arial" w:hAnsi="Arial"/>
                <w:sz w:val="24"/>
              </w:rPr>
              <w:t>9</w:t>
            </w:r>
          </w:p>
        </w:tc>
        <w:tc>
          <w:tcPr>
            <w:tcW w:w="2267" w:type="dxa"/>
            <w:tcBorders>
              <w:top w:val="single" w:sz="6" w:space="0" w:color="auto"/>
              <w:left w:val="single" w:sz="6" w:space="0" w:color="auto"/>
              <w:bottom w:val="nil"/>
            </w:tcBorders>
          </w:tcPr>
          <w:p w:rsidR="00000000" w:rsidRDefault="00C04CA6">
            <w:pPr>
              <w:jc w:val="center"/>
              <w:rPr>
                <w:rFonts w:ascii="Arial" w:hAnsi="Arial"/>
                <w:sz w:val="24"/>
              </w:rPr>
            </w:pPr>
            <w:r>
              <w:rPr>
                <w:rFonts w:ascii="Arial" w:hAnsi="Arial"/>
                <w:sz w:val="24"/>
              </w:rPr>
              <w:t>3 x 3</w:t>
            </w:r>
          </w:p>
        </w:tc>
      </w:tr>
      <w:tr w:rsidR="00000000">
        <w:tblPrEx>
          <w:tblCellMar>
            <w:top w:w="0" w:type="dxa"/>
            <w:bottom w:w="0" w:type="dxa"/>
          </w:tblCellMar>
        </w:tblPrEx>
        <w:trPr>
          <w:jc w:val="center"/>
        </w:trPr>
        <w:tc>
          <w:tcPr>
            <w:tcW w:w="2640" w:type="dxa"/>
            <w:tcBorders>
              <w:right w:val="single" w:sz="6" w:space="0" w:color="auto"/>
            </w:tcBorders>
            <w:vAlign w:val="center"/>
          </w:tcPr>
          <w:p w:rsidR="00000000" w:rsidRDefault="00C04CA6">
            <w:pPr>
              <w:jc w:val="center"/>
              <w:rPr>
                <w:rFonts w:ascii="Arial" w:hAnsi="Arial"/>
                <w:sz w:val="24"/>
              </w:rPr>
            </w:pPr>
            <w:r>
              <w:rPr>
                <w:rFonts w:ascii="Arial" w:hAnsi="Arial"/>
                <w:sz w:val="24"/>
              </w:rPr>
              <w:t>12</w:t>
            </w:r>
          </w:p>
        </w:tc>
        <w:tc>
          <w:tcPr>
            <w:tcW w:w="2267" w:type="dxa"/>
            <w:tcBorders>
              <w:top w:val="nil"/>
              <w:left w:val="single" w:sz="6" w:space="0" w:color="auto"/>
              <w:bottom w:val="nil"/>
            </w:tcBorders>
          </w:tcPr>
          <w:p w:rsidR="00000000" w:rsidRDefault="00C04CA6">
            <w:pPr>
              <w:jc w:val="center"/>
              <w:rPr>
                <w:rFonts w:ascii="Arial" w:hAnsi="Arial"/>
                <w:sz w:val="24"/>
              </w:rPr>
            </w:pPr>
            <w:r>
              <w:rPr>
                <w:rFonts w:ascii="Arial" w:hAnsi="Arial"/>
                <w:sz w:val="24"/>
              </w:rPr>
              <w:t>4 x 3</w:t>
            </w:r>
          </w:p>
        </w:tc>
      </w:tr>
      <w:tr w:rsidR="00000000">
        <w:tblPrEx>
          <w:tblCellMar>
            <w:top w:w="0" w:type="dxa"/>
            <w:bottom w:w="0" w:type="dxa"/>
          </w:tblCellMar>
        </w:tblPrEx>
        <w:trPr>
          <w:jc w:val="center"/>
        </w:trPr>
        <w:tc>
          <w:tcPr>
            <w:tcW w:w="2640" w:type="dxa"/>
            <w:tcBorders>
              <w:right w:val="single" w:sz="6" w:space="0" w:color="auto"/>
            </w:tcBorders>
            <w:vAlign w:val="center"/>
          </w:tcPr>
          <w:p w:rsidR="00000000" w:rsidRDefault="00C04CA6">
            <w:pPr>
              <w:jc w:val="center"/>
              <w:rPr>
                <w:rFonts w:ascii="Arial" w:hAnsi="Arial"/>
                <w:sz w:val="24"/>
              </w:rPr>
            </w:pPr>
            <w:r>
              <w:rPr>
                <w:rFonts w:ascii="Arial" w:hAnsi="Arial"/>
                <w:sz w:val="24"/>
              </w:rPr>
              <w:t>16</w:t>
            </w:r>
          </w:p>
        </w:tc>
        <w:tc>
          <w:tcPr>
            <w:tcW w:w="2267" w:type="dxa"/>
            <w:tcBorders>
              <w:top w:val="nil"/>
              <w:left w:val="single" w:sz="6" w:space="0" w:color="auto"/>
              <w:bottom w:val="nil"/>
            </w:tcBorders>
          </w:tcPr>
          <w:p w:rsidR="00000000" w:rsidRDefault="00C04CA6">
            <w:pPr>
              <w:jc w:val="center"/>
              <w:rPr>
                <w:rFonts w:ascii="Arial" w:hAnsi="Arial"/>
                <w:sz w:val="24"/>
              </w:rPr>
            </w:pPr>
            <w:r>
              <w:rPr>
                <w:rFonts w:ascii="Arial" w:hAnsi="Arial"/>
                <w:sz w:val="24"/>
              </w:rPr>
              <w:t>4</w:t>
            </w:r>
            <w:r>
              <w:rPr>
                <w:rFonts w:ascii="Arial" w:hAnsi="Arial"/>
                <w:sz w:val="24"/>
              </w:rPr>
              <w:t xml:space="preserve"> x 4</w:t>
            </w:r>
          </w:p>
        </w:tc>
      </w:tr>
      <w:tr w:rsidR="00000000">
        <w:tblPrEx>
          <w:tblCellMar>
            <w:top w:w="0" w:type="dxa"/>
            <w:bottom w:w="0" w:type="dxa"/>
          </w:tblCellMar>
        </w:tblPrEx>
        <w:trPr>
          <w:jc w:val="center"/>
        </w:trPr>
        <w:tc>
          <w:tcPr>
            <w:tcW w:w="2640" w:type="dxa"/>
            <w:tcBorders>
              <w:right w:val="single" w:sz="6" w:space="0" w:color="auto"/>
            </w:tcBorders>
            <w:vAlign w:val="center"/>
          </w:tcPr>
          <w:p w:rsidR="00000000" w:rsidRDefault="00C04CA6">
            <w:pPr>
              <w:jc w:val="center"/>
              <w:rPr>
                <w:rFonts w:ascii="Arial" w:hAnsi="Arial"/>
                <w:sz w:val="24"/>
              </w:rPr>
            </w:pPr>
            <w:r>
              <w:rPr>
                <w:rFonts w:ascii="Arial" w:hAnsi="Arial"/>
                <w:sz w:val="24"/>
              </w:rPr>
              <w:t>20</w:t>
            </w:r>
          </w:p>
        </w:tc>
        <w:tc>
          <w:tcPr>
            <w:tcW w:w="2267" w:type="dxa"/>
            <w:tcBorders>
              <w:top w:val="nil"/>
              <w:left w:val="single" w:sz="6" w:space="0" w:color="auto"/>
              <w:bottom w:val="nil"/>
            </w:tcBorders>
          </w:tcPr>
          <w:p w:rsidR="00000000" w:rsidRDefault="00C04CA6">
            <w:pPr>
              <w:jc w:val="center"/>
              <w:rPr>
                <w:rFonts w:ascii="Arial" w:hAnsi="Arial"/>
                <w:sz w:val="24"/>
              </w:rPr>
            </w:pPr>
            <w:r>
              <w:rPr>
                <w:rFonts w:ascii="Arial" w:hAnsi="Arial"/>
                <w:sz w:val="24"/>
              </w:rPr>
              <w:t>5 x 4</w:t>
            </w:r>
          </w:p>
        </w:tc>
      </w:tr>
      <w:tr w:rsidR="00000000">
        <w:tblPrEx>
          <w:tblCellMar>
            <w:top w:w="0" w:type="dxa"/>
            <w:bottom w:w="0" w:type="dxa"/>
          </w:tblCellMar>
        </w:tblPrEx>
        <w:trPr>
          <w:jc w:val="center"/>
        </w:trPr>
        <w:tc>
          <w:tcPr>
            <w:tcW w:w="2640" w:type="dxa"/>
            <w:tcBorders>
              <w:right w:val="single" w:sz="6" w:space="0" w:color="auto"/>
            </w:tcBorders>
            <w:vAlign w:val="center"/>
          </w:tcPr>
          <w:p w:rsidR="00000000" w:rsidRDefault="00C04CA6">
            <w:pPr>
              <w:jc w:val="center"/>
              <w:rPr>
                <w:rFonts w:ascii="Arial" w:hAnsi="Arial"/>
                <w:sz w:val="24"/>
              </w:rPr>
            </w:pPr>
            <w:r>
              <w:rPr>
                <w:rFonts w:ascii="Arial" w:hAnsi="Arial"/>
                <w:sz w:val="24"/>
              </w:rPr>
              <w:t>25</w:t>
            </w:r>
          </w:p>
        </w:tc>
        <w:tc>
          <w:tcPr>
            <w:tcW w:w="2267" w:type="dxa"/>
            <w:tcBorders>
              <w:top w:val="nil"/>
              <w:left w:val="single" w:sz="6" w:space="0" w:color="auto"/>
              <w:bottom w:val="nil"/>
            </w:tcBorders>
          </w:tcPr>
          <w:p w:rsidR="00000000" w:rsidRDefault="00C04CA6">
            <w:pPr>
              <w:jc w:val="center"/>
              <w:rPr>
                <w:rFonts w:ascii="Arial" w:hAnsi="Arial"/>
                <w:sz w:val="24"/>
              </w:rPr>
            </w:pPr>
            <w:r>
              <w:rPr>
                <w:rFonts w:ascii="Arial" w:hAnsi="Arial"/>
                <w:sz w:val="24"/>
              </w:rPr>
              <w:t>5 x 5</w:t>
            </w:r>
          </w:p>
        </w:tc>
      </w:tr>
      <w:tr w:rsidR="00000000">
        <w:tblPrEx>
          <w:tblCellMar>
            <w:top w:w="0" w:type="dxa"/>
            <w:bottom w:w="0" w:type="dxa"/>
          </w:tblCellMar>
        </w:tblPrEx>
        <w:trPr>
          <w:jc w:val="center"/>
        </w:trPr>
        <w:tc>
          <w:tcPr>
            <w:tcW w:w="2640" w:type="dxa"/>
            <w:tcBorders>
              <w:right w:val="single" w:sz="6" w:space="0" w:color="auto"/>
            </w:tcBorders>
            <w:vAlign w:val="center"/>
          </w:tcPr>
          <w:p w:rsidR="00000000" w:rsidRDefault="00C04CA6">
            <w:pPr>
              <w:jc w:val="center"/>
              <w:rPr>
                <w:rFonts w:ascii="Arial" w:hAnsi="Arial"/>
                <w:sz w:val="24"/>
              </w:rPr>
            </w:pPr>
            <w:r>
              <w:rPr>
                <w:rFonts w:ascii="Arial" w:hAnsi="Arial"/>
                <w:sz w:val="24"/>
              </w:rPr>
              <w:t>30</w:t>
            </w:r>
          </w:p>
        </w:tc>
        <w:tc>
          <w:tcPr>
            <w:tcW w:w="2267" w:type="dxa"/>
            <w:tcBorders>
              <w:top w:val="nil"/>
              <w:left w:val="single" w:sz="6" w:space="0" w:color="auto"/>
              <w:bottom w:val="nil"/>
            </w:tcBorders>
          </w:tcPr>
          <w:p w:rsidR="00000000" w:rsidRDefault="00C04CA6">
            <w:pPr>
              <w:jc w:val="center"/>
              <w:rPr>
                <w:rFonts w:ascii="Arial" w:hAnsi="Arial"/>
                <w:sz w:val="24"/>
              </w:rPr>
            </w:pPr>
            <w:r>
              <w:rPr>
                <w:rFonts w:ascii="Arial" w:hAnsi="Arial"/>
                <w:sz w:val="24"/>
              </w:rPr>
              <w:t>6 x 5</w:t>
            </w:r>
          </w:p>
        </w:tc>
      </w:tr>
      <w:tr w:rsidR="00000000">
        <w:tblPrEx>
          <w:tblCellMar>
            <w:top w:w="0" w:type="dxa"/>
            <w:bottom w:w="0" w:type="dxa"/>
          </w:tblCellMar>
        </w:tblPrEx>
        <w:trPr>
          <w:jc w:val="center"/>
        </w:trPr>
        <w:tc>
          <w:tcPr>
            <w:tcW w:w="2640" w:type="dxa"/>
            <w:tcBorders>
              <w:right w:val="single" w:sz="6" w:space="0" w:color="auto"/>
            </w:tcBorders>
            <w:vAlign w:val="center"/>
          </w:tcPr>
          <w:p w:rsidR="00000000" w:rsidRDefault="00C04CA6">
            <w:pPr>
              <w:jc w:val="center"/>
              <w:rPr>
                <w:rFonts w:ascii="Arial" w:hAnsi="Arial"/>
                <w:sz w:val="24"/>
              </w:rPr>
            </w:pPr>
            <w:r>
              <w:rPr>
                <w:rFonts w:ascii="Arial" w:hAnsi="Arial"/>
                <w:sz w:val="24"/>
              </w:rPr>
              <w:t>36</w:t>
            </w:r>
          </w:p>
        </w:tc>
        <w:tc>
          <w:tcPr>
            <w:tcW w:w="2267" w:type="dxa"/>
            <w:tcBorders>
              <w:top w:val="nil"/>
              <w:left w:val="single" w:sz="6" w:space="0" w:color="auto"/>
              <w:bottom w:val="nil"/>
            </w:tcBorders>
          </w:tcPr>
          <w:p w:rsidR="00000000" w:rsidRDefault="00C04CA6">
            <w:pPr>
              <w:jc w:val="center"/>
              <w:rPr>
                <w:rFonts w:ascii="Arial" w:hAnsi="Arial"/>
                <w:sz w:val="24"/>
              </w:rPr>
            </w:pPr>
            <w:r>
              <w:rPr>
                <w:rFonts w:ascii="Arial" w:hAnsi="Arial"/>
                <w:sz w:val="24"/>
              </w:rPr>
              <w:t>6 x 6</w:t>
            </w:r>
          </w:p>
        </w:tc>
      </w:tr>
      <w:tr w:rsidR="00000000">
        <w:tblPrEx>
          <w:tblCellMar>
            <w:top w:w="0" w:type="dxa"/>
            <w:bottom w:w="0" w:type="dxa"/>
          </w:tblCellMar>
        </w:tblPrEx>
        <w:trPr>
          <w:jc w:val="center"/>
        </w:trPr>
        <w:tc>
          <w:tcPr>
            <w:tcW w:w="2640" w:type="dxa"/>
            <w:tcBorders>
              <w:right w:val="single" w:sz="6" w:space="0" w:color="auto"/>
            </w:tcBorders>
            <w:vAlign w:val="center"/>
          </w:tcPr>
          <w:p w:rsidR="00000000" w:rsidRDefault="00C04CA6">
            <w:pPr>
              <w:jc w:val="center"/>
              <w:rPr>
                <w:rFonts w:ascii="Arial" w:hAnsi="Arial"/>
                <w:sz w:val="24"/>
              </w:rPr>
            </w:pPr>
            <w:r>
              <w:rPr>
                <w:rFonts w:ascii="Arial" w:hAnsi="Arial"/>
                <w:sz w:val="24"/>
              </w:rPr>
              <w:t>42</w:t>
            </w:r>
          </w:p>
        </w:tc>
        <w:tc>
          <w:tcPr>
            <w:tcW w:w="2267" w:type="dxa"/>
            <w:tcBorders>
              <w:top w:val="nil"/>
              <w:left w:val="single" w:sz="6" w:space="0" w:color="auto"/>
              <w:bottom w:val="nil"/>
            </w:tcBorders>
          </w:tcPr>
          <w:p w:rsidR="00000000" w:rsidRDefault="00C04CA6">
            <w:pPr>
              <w:jc w:val="center"/>
              <w:rPr>
                <w:rFonts w:ascii="Arial" w:hAnsi="Arial"/>
                <w:sz w:val="24"/>
              </w:rPr>
            </w:pPr>
            <w:r>
              <w:rPr>
                <w:rFonts w:ascii="Arial" w:hAnsi="Arial"/>
                <w:sz w:val="24"/>
              </w:rPr>
              <w:t>7 x 6</w:t>
            </w:r>
          </w:p>
        </w:tc>
      </w:tr>
      <w:tr w:rsidR="00000000">
        <w:tblPrEx>
          <w:tblCellMar>
            <w:top w:w="0" w:type="dxa"/>
            <w:bottom w:w="0" w:type="dxa"/>
          </w:tblCellMar>
        </w:tblPrEx>
        <w:trPr>
          <w:jc w:val="center"/>
        </w:trPr>
        <w:tc>
          <w:tcPr>
            <w:tcW w:w="2640" w:type="dxa"/>
            <w:tcBorders>
              <w:right w:val="single" w:sz="6" w:space="0" w:color="auto"/>
            </w:tcBorders>
            <w:vAlign w:val="center"/>
          </w:tcPr>
          <w:p w:rsidR="00000000" w:rsidRDefault="00C04CA6">
            <w:pPr>
              <w:jc w:val="center"/>
              <w:rPr>
                <w:rFonts w:ascii="Arial" w:hAnsi="Arial"/>
                <w:sz w:val="24"/>
              </w:rPr>
            </w:pPr>
            <w:r>
              <w:rPr>
                <w:rFonts w:ascii="Arial" w:hAnsi="Arial"/>
                <w:sz w:val="24"/>
              </w:rPr>
              <w:t>49</w:t>
            </w:r>
          </w:p>
        </w:tc>
        <w:tc>
          <w:tcPr>
            <w:tcW w:w="2267" w:type="dxa"/>
            <w:tcBorders>
              <w:top w:val="nil"/>
              <w:left w:val="single" w:sz="6" w:space="0" w:color="auto"/>
              <w:bottom w:val="single" w:sz="6" w:space="0" w:color="auto"/>
            </w:tcBorders>
          </w:tcPr>
          <w:p w:rsidR="00000000" w:rsidRDefault="00C04CA6">
            <w:pPr>
              <w:jc w:val="center"/>
              <w:rPr>
                <w:rFonts w:ascii="Arial" w:hAnsi="Arial"/>
                <w:sz w:val="24"/>
              </w:rPr>
            </w:pPr>
            <w:r>
              <w:rPr>
                <w:rFonts w:ascii="Arial" w:hAnsi="Arial"/>
                <w:sz w:val="24"/>
              </w:rPr>
              <w:t>7 x 7</w:t>
            </w:r>
          </w:p>
        </w:tc>
      </w:tr>
    </w:tbl>
    <w:p w:rsidR="00000000" w:rsidRDefault="00C04CA6">
      <w:pPr>
        <w:rPr>
          <w:rFonts w:ascii="Arial" w:hAnsi="Arial"/>
          <w:sz w:val="24"/>
          <w:lang w:val="es-ES"/>
        </w:rPr>
      </w:pP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 xml:space="preserve">4.2.2.8  Ubicación de los puntos de medición en chimeneas de sección circular.-  determinado el número de puntos de medición, </w:t>
      </w:r>
      <w:r>
        <w:rPr>
          <w:rFonts w:ascii="Arial" w:hAnsi="Arial"/>
          <w:sz w:val="24"/>
        </w:rPr>
        <w:t xml:space="preserve">los puntos se deberán distribuir, en igual número, a lo largo </w:t>
      </w:r>
      <w:r>
        <w:rPr>
          <w:rFonts w:ascii="Arial" w:hAnsi="Arial"/>
          <w:sz w:val="24"/>
        </w:rPr>
        <w:t>de dos diámetros perpendiculares entre sí, que estén en el mismo plano de medición al interior de la chimenea o conducto.  La ubicación exacta de cada uno de los puntos, a lo largo de cada diámetro, se determinará según la Tabla 5.</w:t>
      </w: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4.2.2.9  Ubicación de l</w:t>
      </w:r>
      <w:r>
        <w:rPr>
          <w:rFonts w:ascii="Arial" w:hAnsi="Arial"/>
          <w:sz w:val="24"/>
          <w:lang w:val="es-ES"/>
        </w:rPr>
        <w:t>os puntos de medición en chimeneas de sección rectangular.-  para el número de puntos de medición determinado, se dividirá la sección transversal de la chimenea o conducto en un número de áreas rectangulares igual al número de puntos de medición determinad</w:t>
      </w:r>
      <w:r>
        <w:rPr>
          <w:rFonts w:ascii="Arial" w:hAnsi="Arial"/>
          <w:sz w:val="24"/>
          <w:lang w:val="es-ES"/>
        </w:rPr>
        <w:t>o.  Luego, cada punto de medición se ubicará en el centro de cada área rectangular definida (ver figura 3, Anexo).</w:t>
      </w: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4.2.2.10  Método 2:  procedimiento para la determinación de la velocidad y gasto volumétrico de gases de escape en chimenea o conducto.  Est</w:t>
      </w:r>
      <w:r>
        <w:rPr>
          <w:rFonts w:ascii="Arial" w:hAnsi="Arial"/>
          <w:sz w:val="24"/>
          <w:lang w:val="es-ES"/>
        </w:rPr>
        <w:t>e método comprende:</w:t>
      </w:r>
    </w:p>
    <w:p w:rsidR="00000000" w:rsidRDefault="00C04CA6">
      <w:pPr>
        <w:rPr>
          <w:rFonts w:ascii="Arial" w:hAnsi="Arial"/>
          <w:sz w:val="24"/>
        </w:rPr>
      </w:pPr>
    </w:p>
    <w:p w:rsidR="00000000" w:rsidRDefault="00C04CA6" w:rsidP="00C04CA6">
      <w:pPr>
        <w:numPr>
          <w:ilvl w:val="0"/>
          <w:numId w:val="8"/>
        </w:numPr>
        <w:rPr>
          <w:rFonts w:ascii="Arial" w:hAnsi="Arial"/>
          <w:sz w:val="24"/>
        </w:rPr>
      </w:pPr>
      <w:r>
        <w:rPr>
          <w:rFonts w:ascii="Arial" w:hAnsi="Arial"/>
          <w:sz w:val="24"/>
        </w:rPr>
        <w:t>Uso de un tubo de Pitot, del tipo estándar o del tipo S, para medir la presión dinámica  de la corriente de gases de escape.</w:t>
      </w:r>
    </w:p>
    <w:p w:rsidR="00000000" w:rsidRDefault="00C04CA6" w:rsidP="00C04CA6">
      <w:pPr>
        <w:numPr>
          <w:ilvl w:val="0"/>
          <w:numId w:val="8"/>
        </w:numPr>
        <w:rPr>
          <w:rFonts w:ascii="Arial" w:hAnsi="Arial"/>
          <w:sz w:val="24"/>
        </w:rPr>
      </w:pPr>
      <w:r>
        <w:rPr>
          <w:rFonts w:ascii="Arial" w:hAnsi="Arial"/>
          <w:sz w:val="24"/>
        </w:rPr>
        <w:t>Medición de la temperatura del gas dentro de la chimenea.</w:t>
      </w:r>
    </w:p>
    <w:p w:rsidR="00000000" w:rsidRDefault="00C04CA6" w:rsidP="00C04CA6">
      <w:pPr>
        <w:numPr>
          <w:ilvl w:val="0"/>
          <w:numId w:val="8"/>
        </w:numPr>
        <w:rPr>
          <w:rFonts w:ascii="Arial" w:hAnsi="Arial"/>
          <w:sz w:val="24"/>
        </w:rPr>
      </w:pPr>
      <w:r>
        <w:rPr>
          <w:rFonts w:ascii="Arial" w:hAnsi="Arial"/>
          <w:sz w:val="24"/>
        </w:rPr>
        <w:t>Barómetro para medir presión atmosférica.</w:t>
      </w:r>
    </w:p>
    <w:p w:rsidR="00000000" w:rsidRDefault="00C04CA6" w:rsidP="00C04CA6">
      <w:pPr>
        <w:numPr>
          <w:ilvl w:val="0"/>
          <w:numId w:val="8"/>
        </w:numPr>
        <w:rPr>
          <w:rFonts w:ascii="Arial" w:hAnsi="Arial"/>
          <w:sz w:val="24"/>
        </w:rPr>
      </w:pPr>
      <w:r>
        <w:rPr>
          <w:rFonts w:ascii="Arial" w:hAnsi="Arial"/>
          <w:sz w:val="24"/>
        </w:rPr>
        <w:t>Analizador</w:t>
      </w:r>
      <w:r>
        <w:rPr>
          <w:rFonts w:ascii="Arial" w:hAnsi="Arial"/>
          <w:sz w:val="24"/>
        </w:rPr>
        <w:t xml:space="preserve"> de gases para determinar el peso molecular húmedo del gas en chimenea (ver método 3).</w:t>
      </w:r>
    </w:p>
    <w:p w:rsidR="00000000" w:rsidRDefault="00C04CA6" w:rsidP="00C04CA6">
      <w:pPr>
        <w:numPr>
          <w:ilvl w:val="0"/>
          <w:numId w:val="8"/>
        </w:numPr>
        <w:rPr>
          <w:rFonts w:ascii="Arial" w:hAnsi="Arial"/>
          <w:sz w:val="24"/>
        </w:rPr>
      </w:pPr>
      <w:r>
        <w:rPr>
          <w:rFonts w:ascii="Arial" w:hAnsi="Arial"/>
          <w:sz w:val="24"/>
        </w:rPr>
        <w:t>Cálculo de la velocidad del gas.</w:t>
      </w:r>
    </w:p>
    <w:p w:rsidR="00000000" w:rsidRDefault="00C04CA6" w:rsidP="00C04CA6">
      <w:pPr>
        <w:numPr>
          <w:ilvl w:val="0"/>
          <w:numId w:val="8"/>
        </w:numPr>
        <w:rPr>
          <w:rFonts w:ascii="Arial" w:hAnsi="Arial"/>
          <w:sz w:val="24"/>
        </w:rPr>
      </w:pPr>
      <w:r>
        <w:rPr>
          <w:rFonts w:ascii="Arial" w:hAnsi="Arial"/>
          <w:sz w:val="24"/>
        </w:rPr>
        <w:t>Determinación del área transversal del ducto o chimenea.</w:t>
      </w:r>
    </w:p>
    <w:p w:rsidR="00000000" w:rsidRDefault="00C04CA6">
      <w:pPr>
        <w:rPr>
          <w:rFonts w:ascii="Arial" w:hAnsi="Arial"/>
          <w:sz w:val="24"/>
        </w:rPr>
      </w:pPr>
    </w:p>
    <w:p w:rsidR="00000000" w:rsidRDefault="00C04CA6">
      <w:pPr>
        <w:rPr>
          <w:rFonts w:ascii="Arial" w:hAnsi="Arial"/>
          <w:sz w:val="24"/>
          <w:lang w:val="es-ES"/>
        </w:rPr>
      </w:pPr>
    </w:p>
    <w:p w:rsidR="00000000" w:rsidRDefault="00C04CA6">
      <w:pPr>
        <w:rPr>
          <w:rFonts w:ascii="Arial" w:hAnsi="Arial"/>
          <w:sz w:val="24"/>
          <w:lang w:val="es-ES"/>
        </w:rPr>
      </w:pPr>
    </w:p>
    <w:p w:rsidR="00000000" w:rsidRDefault="00C04CA6">
      <w:pPr>
        <w:rPr>
          <w:rFonts w:ascii="Arial" w:hAnsi="Arial"/>
          <w:sz w:val="24"/>
          <w:lang w:val="es-ES"/>
        </w:rPr>
      </w:pPr>
    </w:p>
    <w:p w:rsidR="00000000" w:rsidRDefault="00C04CA6">
      <w:pPr>
        <w:rPr>
          <w:rFonts w:ascii="Arial" w:hAnsi="Arial"/>
          <w:sz w:val="24"/>
          <w:lang w:val="es-ES"/>
        </w:rPr>
      </w:pPr>
    </w:p>
    <w:p w:rsidR="00000000" w:rsidRDefault="00C04CA6">
      <w:pPr>
        <w:rPr>
          <w:rFonts w:ascii="Arial" w:hAnsi="Arial"/>
          <w:sz w:val="24"/>
          <w:lang w:val="es-ES"/>
        </w:rPr>
      </w:pPr>
    </w:p>
    <w:p w:rsidR="00000000" w:rsidRDefault="00C04CA6">
      <w:pPr>
        <w:rPr>
          <w:rFonts w:ascii="Arial" w:hAnsi="Arial"/>
          <w:sz w:val="24"/>
          <w:lang w:val="es-ES"/>
        </w:rPr>
      </w:pPr>
    </w:p>
    <w:p w:rsidR="00000000" w:rsidRDefault="00C04CA6">
      <w:pPr>
        <w:rPr>
          <w:rFonts w:ascii="Arial" w:hAnsi="Arial"/>
          <w:sz w:val="24"/>
          <w:lang w:val="es-ES"/>
        </w:rPr>
      </w:pPr>
    </w:p>
    <w:p w:rsidR="00000000" w:rsidRDefault="00C04CA6">
      <w:pPr>
        <w:rPr>
          <w:rFonts w:ascii="Arial" w:hAnsi="Arial"/>
          <w:sz w:val="24"/>
          <w:lang w:val="es-ES"/>
        </w:rPr>
      </w:pPr>
    </w:p>
    <w:p w:rsidR="00000000" w:rsidRDefault="00C04CA6">
      <w:pPr>
        <w:rPr>
          <w:rFonts w:ascii="Arial" w:hAnsi="Arial"/>
          <w:sz w:val="24"/>
          <w:lang w:val="es-ES"/>
        </w:rPr>
      </w:pPr>
    </w:p>
    <w:p w:rsidR="00000000" w:rsidRDefault="00C04CA6">
      <w:pPr>
        <w:rPr>
          <w:rFonts w:ascii="Arial" w:hAnsi="Arial"/>
          <w:sz w:val="24"/>
          <w:lang w:val="es-ES"/>
        </w:rPr>
      </w:pPr>
    </w:p>
    <w:p w:rsidR="00000000" w:rsidRDefault="00C04CA6">
      <w:pPr>
        <w:rPr>
          <w:rFonts w:ascii="Arial" w:hAnsi="Arial"/>
          <w:sz w:val="24"/>
          <w:lang w:val="es-ES"/>
        </w:rPr>
      </w:pPr>
    </w:p>
    <w:p w:rsidR="00000000" w:rsidRDefault="00C04CA6">
      <w:pPr>
        <w:pStyle w:val="Ttulo7"/>
        <w:jc w:val="center"/>
        <w:rPr>
          <w:rFonts w:ascii="Arial" w:hAnsi="Arial"/>
          <w:smallCaps w:val="0"/>
          <w:sz w:val="24"/>
        </w:rPr>
      </w:pPr>
      <w:r>
        <w:rPr>
          <w:rFonts w:ascii="Arial" w:hAnsi="Arial"/>
          <w:smallCaps w:val="0"/>
          <w:sz w:val="24"/>
        </w:rPr>
        <w:t xml:space="preserve">Tabla 5.  Ubicación de puntos de medición en chimeneas o conductos </w:t>
      </w:r>
      <w:r>
        <w:rPr>
          <w:rFonts w:ascii="Arial" w:hAnsi="Arial"/>
          <w:smallCaps w:val="0"/>
          <w:sz w:val="24"/>
        </w:rPr>
        <w:t>de sección circular</w:t>
      </w:r>
    </w:p>
    <w:p w:rsidR="00000000" w:rsidRDefault="00C04CA6">
      <w:pPr>
        <w:rPr>
          <w:rFonts w:ascii="Arial" w:hAnsi="Arial"/>
          <w:sz w:val="24"/>
        </w:rPr>
      </w:pPr>
    </w:p>
    <w:tbl>
      <w:tblPr>
        <w:tblW w:w="0" w:type="auto"/>
        <w:tblInd w:w="-10" w:type="dxa"/>
        <w:tblLayout w:type="fixed"/>
        <w:tblCellMar>
          <w:left w:w="0" w:type="dxa"/>
          <w:right w:w="0" w:type="dxa"/>
        </w:tblCellMar>
        <w:tblLook w:val="0000"/>
      </w:tblPr>
      <w:tblGrid>
        <w:gridCol w:w="2175"/>
        <w:gridCol w:w="572"/>
        <w:gridCol w:w="573"/>
        <w:gridCol w:w="572"/>
        <w:gridCol w:w="573"/>
        <w:gridCol w:w="572"/>
        <w:gridCol w:w="573"/>
        <w:gridCol w:w="573"/>
        <w:gridCol w:w="572"/>
        <w:gridCol w:w="573"/>
        <w:gridCol w:w="572"/>
        <w:gridCol w:w="573"/>
        <w:gridCol w:w="573"/>
      </w:tblGrid>
      <w:tr w:rsidR="00000000">
        <w:tblPrEx>
          <w:tblCellMar>
            <w:top w:w="0" w:type="dxa"/>
            <w:left w:w="0" w:type="dxa"/>
            <w:bottom w:w="0" w:type="dxa"/>
            <w:right w:w="0" w:type="dxa"/>
          </w:tblCellMar>
        </w:tblPrEx>
        <w:trPr>
          <w:cantSplit/>
          <w:trHeight w:val="354"/>
        </w:trPr>
        <w:tc>
          <w:tcPr>
            <w:tcW w:w="2175" w:type="dxa"/>
            <w:tcBorders>
              <w:top w:val="single" w:sz="4" w:space="0" w:color="auto"/>
              <w:left w:val="single" w:sz="4" w:space="0" w:color="auto"/>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Número de puntos</w:t>
            </w:r>
          </w:p>
        </w:tc>
        <w:tc>
          <w:tcPr>
            <w:tcW w:w="6871" w:type="dxa"/>
            <w:gridSpan w:val="12"/>
            <w:vMerge w:val="restart"/>
            <w:tcBorders>
              <w:top w:val="single" w:sz="4" w:space="0" w:color="auto"/>
              <w:left w:val="single" w:sz="4" w:space="0" w:color="auto"/>
              <w:bottom w:val="single" w:sz="4" w:space="0" w:color="auto"/>
              <w:right w:val="single" w:sz="4" w:space="0" w:color="auto"/>
            </w:tcBorders>
            <w:vAlign w:val="center"/>
          </w:tcPr>
          <w:p w:rsidR="00000000" w:rsidRDefault="00C04CA6">
            <w:pPr>
              <w:jc w:val="center"/>
              <w:rPr>
                <w:rFonts w:ascii="Arial" w:eastAsia="Arial Unicode MS" w:hAnsi="Arial"/>
                <w:sz w:val="24"/>
              </w:rPr>
            </w:pPr>
            <w:r>
              <w:rPr>
                <w:rFonts w:ascii="Arial" w:hAnsi="Arial"/>
                <w:sz w:val="24"/>
              </w:rPr>
              <w:t>Número de puntos de medición en un diámetro de chimenea</w:t>
            </w:r>
          </w:p>
        </w:tc>
      </w:tr>
      <w:tr w:rsidR="00000000">
        <w:tblPrEx>
          <w:tblCellMar>
            <w:top w:w="0" w:type="dxa"/>
            <w:left w:w="0" w:type="dxa"/>
            <w:bottom w:w="0" w:type="dxa"/>
            <w:right w:w="0" w:type="dxa"/>
          </w:tblCellMar>
        </w:tblPrEx>
        <w:trPr>
          <w:cantSplit/>
          <w:trHeight w:val="349"/>
        </w:trPr>
        <w:tc>
          <w:tcPr>
            <w:tcW w:w="2175" w:type="dxa"/>
            <w:tcBorders>
              <w:top w:val="nil"/>
              <w:left w:val="single" w:sz="4" w:space="0" w:color="auto"/>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 xml:space="preserve">de medición para </w:t>
            </w:r>
          </w:p>
        </w:tc>
        <w:tc>
          <w:tcPr>
            <w:tcW w:w="6871" w:type="dxa"/>
            <w:gridSpan w:val="12"/>
            <w:vMerge/>
            <w:tcBorders>
              <w:top w:val="single" w:sz="4" w:space="0" w:color="auto"/>
              <w:left w:val="single" w:sz="4" w:space="0" w:color="auto"/>
              <w:bottom w:val="single" w:sz="4" w:space="0" w:color="auto"/>
              <w:right w:val="single" w:sz="4" w:space="0" w:color="auto"/>
            </w:tcBorders>
            <w:vAlign w:val="center"/>
          </w:tcPr>
          <w:p w:rsidR="00000000" w:rsidRDefault="00C04CA6">
            <w:pPr>
              <w:rPr>
                <w:rFonts w:ascii="Arial" w:eastAsia="Arial Unicode MS" w:hAnsi="Arial"/>
                <w:sz w:val="24"/>
              </w:rPr>
            </w:pPr>
          </w:p>
        </w:tc>
      </w:tr>
      <w:tr w:rsidR="00000000">
        <w:tblPrEx>
          <w:tblCellMar>
            <w:top w:w="0" w:type="dxa"/>
            <w:left w:w="0" w:type="dxa"/>
            <w:bottom w:w="0" w:type="dxa"/>
            <w:right w:w="0" w:type="dxa"/>
          </w:tblCellMar>
        </w:tblPrEx>
        <w:trPr>
          <w:trHeight w:val="402"/>
        </w:trPr>
        <w:tc>
          <w:tcPr>
            <w:tcW w:w="2175" w:type="dxa"/>
            <w:tcBorders>
              <w:top w:val="nil"/>
              <w:left w:val="single" w:sz="4" w:space="0" w:color="auto"/>
              <w:bottom w:val="single" w:sz="4" w:space="0" w:color="auto"/>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un diámetro</w:t>
            </w:r>
          </w:p>
        </w:tc>
        <w:tc>
          <w:tcPr>
            <w:tcW w:w="572" w:type="dxa"/>
            <w:tcBorders>
              <w:top w:val="single" w:sz="4" w:space="0" w:color="auto"/>
              <w:left w:val="single" w:sz="4" w:space="0" w:color="auto"/>
              <w:bottom w:val="single" w:sz="4" w:space="0" w:color="auto"/>
            </w:tcBorders>
            <w:vAlign w:val="bottom"/>
          </w:tcPr>
          <w:p w:rsidR="00000000" w:rsidRDefault="00C04CA6">
            <w:pPr>
              <w:jc w:val="center"/>
              <w:rPr>
                <w:rFonts w:ascii="Arial" w:eastAsia="Arial Unicode MS" w:hAnsi="Arial"/>
                <w:sz w:val="24"/>
              </w:rPr>
            </w:pPr>
            <w:r>
              <w:rPr>
                <w:rFonts w:ascii="Arial" w:hAnsi="Arial"/>
                <w:sz w:val="24"/>
              </w:rPr>
              <w:t>2</w:t>
            </w:r>
          </w:p>
        </w:tc>
        <w:tc>
          <w:tcPr>
            <w:tcW w:w="573" w:type="dxa"/>
            <w:tcBorders>
              <w:top w:val="single" w:sz="4" w:space="0" w:color="auto"/>
              <w:bottom w:val="single" w:sz="4" w:space="0" w:color="auto"/>
            </w:tcBorders>
            <w:vAlign w:val="bottom"/>
          </w:tcPr>
          <w:p w:rsidR="00000000" w:rsidRDefault="00C04CA6">
            <w:pPr>
              <w:jc w:val="center"/>
              <w:rPr>
                <w:rFonts w:ascii="Arial" w:eastAsia="Arial Unicode MS" w:hAnsi="Arial"/>
                <w:sz w:val="24"/>
              </w:rPr>
            </w:pPr>
            <w:r>
              <w:rPr>
                <w:rFonts w:ascii="Arial" w:hAnsi="Arial"/>
                <w:sz w:val="24"/>
              </w:rPr>
              <w:t>4</w:t>
            </w:r>
          </w:p>
        </w:tc>
        <w:tc>
          <w:tcPr>
            <w:tcW w:w="572" w:type="dxa"/>
            <w:tcBorders>
              <w:top w:val="single" w:sz="4" w:space="0" w:color="auto"/>
              <w:bottom w:val="single" w:sz="4" w:space="0" w:color="auto"/>
            </w:tcBorders>
            <w:vAlign w:val="bottom"/>
          </w:tcPr>
          <w:p w:rsidR="00000000" w:rsidRDefault="00C04CA6">
            <w:pPr>
              <w:jc w:val="center"/>
              <w:rPr>
                <w:rFonts w:ascii="Arial" w:eastAsia="Arial Unicode MS" w:hAnsi="Arial"/>
                <w:sz w:val="24"/>
              </w:rPr>
            </w:pPr>
            <w:r>
              <w:rPr>
                <w:rFonts w:ascii="Arial" w:hAnsi="Arial"/>
                <w:sz w:val="24"/>
              </w:rPr>
              <w:t>6</w:t>
            </w:r>
          </w:p>
        </w:tc>
        <w:tc>
          <w:tcPr>
            <w:tcW w:w="573" w:type="dxa"/>
            <w:tcBorders>
              <w:top w:val="single" w:sz="4" w:space="0" w:color="auto"/>
              <w:bottom w:val="single" w:sz="4" w:space="0" w:color="auto"/>
            </w:tcBorders>
            <w:vAlign w:val="bottom"/>
          </w:tcPr>
          <w:p w:rsidR="00000000" w:rsidRDefault="00C04CA6">
            <w:pPr>
              <w:jc w:val="center"/>
              <w:rPr>
                <w:rFonts w:ascii="Arial" w:eastAsia="Arial Unicode MS" w:hAnsi="Arial"/>
                <w:sz w:val="24"/>
              </w:rPr>
            </w:pPr>
            <w:r>
              <w:rPr>
                <w:rFonts w:ascii="Arial" w:hAnsi="Arial"/>
                <w:sz w:val="24"/>
              </w:rPr>
              <w:t>8</w:t>
            </w:r>
          </w:p>
        </w:tc>
        <w:tc>
          <w:tcPr>
            <w:tcW w:w="572" w:type="dxa"/>
            <w:tcBorders>
              <w:top w:val="single" w:sz="4" w:space="0" w:color="auto"/>
              <w:bottom w:val="single" w:sz="4" w:space="0" w:color="auto"/>
            </w:tcBorders>
            <w:vAlign w:val="bottom"/>
          </w:tcPr>
          <w:p w:rsidR="00000000" w:rsidRDefault="00C04CA6">
            <w:pPr>
              <w:jc w:val="center"/>
              <w:rPr>
                <w:rFonts w:ascii="Arial" w:eastAsia="Arial Unicode MS" w:hAnsi="Arial"/>
                <w:sz w:val="24"/>
              </w:rPr>
            </w:pPr>
            <w:r>
              <w:rPr>
                <w:rFonts w:ascii="Arial" w:hAnsi="Arial"/>
                <w:sz w:val="24"/>
              </w:rPr>
              <w:t>10</w:t>
            </w:r>
          </w:p>
        </w:tc>
        <w:tc>
          <w:tcPr>
            <w:tcW w:w="573" w:type="dxa"/>
            <w:tcBorders>
              <w:top w:val="single" w:sz="4" w:space="0" w:color="auto"/>
              <w:bottom w:val="single" w:sz="4" w:space="0" w:color="auto"/>
            </w:tcBorders>
            <w:vAlign w:val="bottom"/>
          </w:tcPr>
          <w:p w:rsidR="00000000" w:rsidRDefault="00C04CA6">
            <w:pPr>
              <w:jc w:val="center"/>
              <w:rPr>
                <w:rFonts w:ascii="Arial" w:eastAsia="Arial Unicode MS" w:hAnsi="Arial"/>
                <w:sz w:val="24"/>
              </w:rPr>
            </w:pPr>
            <w:r>
              <w:rPr>
                <w:rFonts w:ascii="Arial" w:hAnsi="Arial"/>
                <w:sz w:val="24"/>
              </w:rPr>
              <w:t>12</w:t>
            </w:r>
          </w:p>
        </w:tc>
        <w:tc>
          <w:tcPr>
            <w:tcW w:w="573" w:type="dxa"/>
            <w:tcBorders>
              <w:top w:val="single" w:sz="4" w:space="0" w:color="auto"/>
              <w:bottom w:val="single" w:sz="4" w:space="0" w:color="auto"/>
            </w:tcBorders>
            <w:vAlign w:val="bottom"/>
          </w:tcPr>
          <w:p w:rsidR="00000000" w:rsidRDefault="00C04CA6">
            <w:pPr>
              <w:jc w:val="center"/>
              <w:rPr>
                <w:rFonts w:ascii="Arial" w:eastAsia="Arial Unicode MS" w:hAnsi="Arial"/>
                <w:sz w:val="24"/>
              </w:rPr>
            </w:pPr>
            <w:r>
              <w:rPr>
                <w:rFonts w:ascii="Arial" w:hAnsi="Arial"/>
                <w:sz w:val="24"/>
              </w:rPr>
              <w:t>14</w:t>
            </w:r>
          </w:p>
        </w:tc>
        <w:tc>
          <w:tcPr>
            <w:tcW w:w="572" w:type="dxa"/>
            <w:tcBorders>
              <w:top w:val="single" w:sz="4" w:space="0" w:color="auto"/>
              <w:bottom w:val="single" w:sz="4" w:space="0" w:color="auto"/>
            </w:tcBorders>
            <w:vAlign w:val="bottom"/>
          </w:tcPr>
          <w:p w:rsidR="00000000" w:rsidRDefault="00C04CA6">
            <w:pPr>
              <w:jc w:val="center"/>
              <w:rPr>
                <w:rFonts w:ascii="Arial" w:eastAsia="Arial Unicode MS" w:hAnsi="Arial"/>
                <w:sz w:val="24"/>
              </w:rPr>
            </w:pPr>
            <w:r>
              <w:rPr>
                <w:rFonts w:ascii="Arial" w:hAnsi="Arial"/>
                <w:sz w:val="24"/>
              </w:rPr>
              <w:t>16</w:t>
            </w:r>
          </w:p>
        </w:tc>
        <w:tc>
          <w:tcPr>
            <w:tcW w:w="573" w:type="dxa"/>
            <w:tcBorders>
              <w:top w:val="single" w:sz="4" w:space="0" w:color="auto"/>
              <w:bottom w:val="single" w:sz="4" w:space="0" w:color="auto"/>
            </w:tcBorders>
            <w:vAlign w:val="bottom"/>
          </w:tcPr>
          <w:p w:rsidR="00000000" w:rsidRDefault="00C04CA6">
            <w:pPr>
              <w:jc w:val="center"/>
              <w:rPr>
                <w:rFonts w:ascii="Arial" w:eastAsia="Arial Unicode MS" w:hAnsi="Arial"/>
                <w:sz w:val="24"/>
              </w:rPr>
            </w:pPr>
            <w:r>
              <w:rPr>
                <w:rFonts w:ascii="Arial" w:hAnsi="Arial"/>
                <w:sz w:val="24"/>
              </w:rPr>
              <w:t>18</w:t>
            </w:r>
          </w:p>
        </w:tc>
        <w:tc>
          <w:tcPr>
            <w:tcW w:w="572" w:type="dxa"/>
            <w:tcBorders>
              <w:top w:val="single" w:sz="4" w:space="0" w:color="auto"/>
              <w:bottom w:val="single" w:sz="4" w:space="0" w:color="auto"/>
            </w:tcBorders>
            <w:vAlign w:val="bottom"/>
          </w:tcPr>
          <w:p w:rsidR="00000000" w:rsidRDefault="00C04CA6">
            <w:pPr>
              <w:jc w:val="center"/>
              <w:rPr>
                <w:rFonts w:ascii="Arial" w:eastAsia="Arial Unicode MS" w:hAnsi="Arial"/>
                <w:sz w:val="24"/>
              </w:rPr>
            </w:pPr>
            <w:r>
              <w:rPr>
                <w:rFonts w:ascii="Arial" w:hAnsi="Arial"/>
                <w:sz w:val="24"/>
              </w:rPr>
              <w:t>20</w:t>
            </w:r>
          </w:p>
        </w:tc>
        <w:tc>
          <w:tcPr>
            <w:tcW w:w="573" w:type="dxa"/>
            <w:tcBorders>
              <w:top w:val="single" w:sz="4" w:space="0" w:color="auto"/>
              <w:bottom w:val="single" w:sz="4" w:space="0" w:color="auto"/>
            </w:tcBorders>
            <w:vAlign w:val="bottom"/>
          </w:tcPr>
          <w:p w:rsidR="00000000" w:rsidRDefault="00C04CA6">
            <w:pPr>
              <w:jc w:val="center"/>
              <w:rPr>
                <w:rFonts w:ascii="Arial" w:eastAsia="Arial Unicode MS" w:hAnsi="Arial"/>
                <w:sz w:val="24"/>
              </w:rPr>
            </w:pPr>
            <w:r>
              <w:rPr>
                <w:rFonts w:ascii="Arial" w:hAnsi="Arial"/>
                <w:sz w:val="24"/>
              </w:rPr>
              <w:t>22</w:t>
            </w:r>
          </w:p>
        </w:tc>
        <w:tc>
          <w:tcPr>
            <w:tcW w:w="573" w:type="dxa"/>
            <w:tcBorders>
              <w:top w:val="single" w:sz="4" w:space="0" w:color="auto"/>
              <w:bottom w:val="single" w:sz="4" w:space="0" w:color="auto"/>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24</w:t>
            </w:r>
          </w:p>
        </w:tc>
      </w:tr>
      <w:tr w:rsidR="00000000">
        <w:tblPrEx>
          <w:tblCellMar>
            <w:top w:w="0" w:type="dxa"/>
            <w:left w:w="0" w:type="dxa"/>
            <w:bottom w:w="0" w:type="dxa"/>
            <w:right w:w="0" w:type="dxa"/>
          </w:tblCellMar>
        </w:tblPrEx>
        <w:trPr>
          <w:trHeight w:val="340"/>
        </w:trPr>
        <w:tc>
          <w:tcPr>
            <w:tcW w:w="2175" w:type="dxa"/>
            <w:tcBorders>
              <w:top w:val="single" w:sz="4" w:space="0" w:color="auto"/>
              <w:left w:val="single" w:sz="4" w:space="0" w:color="auto"/>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1</w:t>
            </w:r>
          </w:p>
        </w:tc>
        <w:tc>
          <w:tcPr>
            <w:tcW w:w="572" w:type="dxa"/>
            <w:tcBorders>
              <w:top w:val="single" w:sz="4" w:space="0" w:color="auto"/>
              <w:left w:val="single" w:sz="4" w:space="0" w:color="auto"/>
            </w:tcBorders>
            <w:vAlign w:val="bottom"/>
          </w:tcPr>
          <w:p w:rsidR="00000000" w:rsidRDefault="00C04CA6">
            <w:pPr>
              <w:jc w:val="center"/>
              <w:rPr>
                <w:rFonts w:ascii="Arial" w:eastAsia="Arial Unicode MS" w:hAnsi="Arial"/>
                <w:sz w:val="24"/>
              </w:rPr>
            </w:pPr>
            <w:r>
              <w:rPr>
                <w:rFonts w:ascii="Arial" w:hAnsi="Arial"/>
                <w:sz w:val="24"/>
              </w:rPr>
              <w:t>14,6</w:t>
            </w:r>
          </w:p>
        </w:tc>
        <w:tc>
          <w:tcPr>
            <w:tcW w:w="573" w:type="dxa"/>
            <w:tcBorders>
              <w:top w:val="single" w:sz="4" w:space="0" w:color="auto"/>
            </w:tcBorders>
            <w:vAlign w:val="bottom"/>
          </w:tcPr>
          <w:p w:rsidR="00000000" w:rsidRDefault="00C04CA6">
            <w:pPr>
              <w:jc w:val="center"/>
              <w:rPr>
                <w:rFonts w:ascii="Arial" w:eastAsia="Arial Unicode MS" w:hAnsi="Arial"/>
                <w:sz w:val="24"/>
              </w:rPr>
            </w:pPr>
            <w:r>
              <w:rPr>
                <w:rFonts w:ascii="Arial" w:hAnsi="Arial"/>
                <w:sz w:val="24"/>
              </w:rPr>
              <w:t>6,7</w:t>
            </w:r>
          </w:p>
        </w:tc>
        <w:tc>
          <w:tcPr>
            <w:tcW w:w="572" w:type="dxa"/>
            <w:tcBorders>
              <w:top w:val="single" w:sz="4" w:space="0" w:color="auto"/>
            </w:tcBorders>
            <w:vAlign w:val="bottom"/>
          </w:tcPr>
          <w:p w:rsidR="00000000" w:rsidRDefault="00C04CA6">
            <w:pPr>
              <w:jc w:val="center"/>
              <w:rPr>
                <w:rFonts w:ascii="Arial" w:eastAsia="Arial Unicode MS" w:hAnsi="Arial"/>
                <w:sz w:val="24"/>
              </w:rPr>
            </w:pPr>
            <w:r>
              <w:rPr>
                <w:rFonts w:ascii="Arial" w:hAnsi="Arial"/>
                <w:sz w:val="24"/>
              </w:rPr>
              <w:t>4,4</w:t>
            </w:r>
          </w:p>
        </w:tc>
        <w:tc>
          <w:tcPr>
            <w:tcW w:w="573" w:type="dxa"/>
            <w:tcBorders>
              <w:top w:val="single" w:sz="4" w:space="0" w:color="auto"/>
            </w:tcBorders>
            <w:vAlign w:val="bottom"/>
          </w:tcPr>
          <w:p w:rsidR="00000000" w:rsidRDefault="00C04CA6">
            <w:pPr>
              <w:jc w:val="center"/>
              <w:rPr>
                <w:rFonts w:ascii="Arial" w:eastAsia="Arial Unicode MS" w:hAnsi="Arial"/>
                <w:sz w:val="24"/>
              </w:rPr>
            </w:pPr>
            <w:r>
              <w:rPr>
                <w:rFonts w:ascii="Arial" w:hAnsi="Arial"/>
                <w:sz w:val="24"/>
              </w:rPr>
              <w:t>3,2</w:t>
            </w:r>
          </w:p>
        </w:tc>
        <w:tc>
          <w:tcPr>
            <w:tcW w:w="572" w:type="dxa"/>
            <w:tcBorders>
              <w:top w:val="single" w:sz="4" w:space="0" w:color="auto"/>
            </w:tcBorders>
            <w:vAlign w:val="bottom"/>
          </w:tcPr>
          <w:p w:rsidR="00000000" w:rsidRDefault="00C04CA6">
            <w:pPr>
              <w:jc w:val="center"/>
              <w:rPr>
                <w:rFonts w:ascii="Arial" w:eastAsia="Arial Unicode MS" w:hAnsi="Arial"/>
                <w:sz w:val="24"/>
              </w:rPr>
            </w:pPr>
            <w:r>
              <w:rPr>
                <w:rFonts w:ascii="Arial" w:hAnsi="Arial"/>
                <w:sz w:val="24"/>
              </w:rPr>
              <w:t>2,6</w:t>
            </w:r>
          </w:p>
        </w:tc>
        <w:tc>
          <w:tcPr>
            <w:tcW w:w="573" w:type="dxa"/>
            <w:tcBorders>
              <w:top w:val="single" w:sz="4" w:space="0" w:color="auto"/>
            </w:tcBorders>
            <w:vAlign w:val="bottom"/>
          </w:tcPr>
          <w:p w:rsidR="00000000" w:rsidRDefault="00C04CA6">
            <w:pPr>
              <w:jc w:val="center"/>
              <w:rPr>
                <w:rFonts w:ascii="Arial" w:eastAsia="Arial Unicode MS" w:hAnsi="Arial"/>
                <w:sz w:val="24"/>
              </w:rPr>
            </w:pPr>
            <w:r>
              <w:rPr>
                <w:rFonts w:ascii="Arial" w:hAnsi="Arial"/>
                <w:sz w:val="24"/>
              </w:rPr>
              <w:t>2,1</w:t>
            </w:r>
          </w:p>
        </w:tc>
        <w:tc>
          <w:tcPr>
            <w:tcW w:w="573" w:type="dxa"/>
            <w:tcBorders>
              <w:top w:val="single" w:sz="4" w:space="0" w:color="auto"/>
            </w:tcBorders>
            <w:vAlign w:val="bottom"/>
          </w:tcPr>
          <w:p w:rsidR="00000000" w:rsidRDefault="00C04CA6">
            <w:pPr>
              <w:jc w:val="center"/>
              <w:rPr>
                <w:rFonts w:ascii="Arial" w:eastAsia="Arial Unicode MS" w:hAnsi="Arial"/>
                <w:sz w:val="24"/>
              </w:rPr>
            </w:pPr>
            <w:r>
              <w:rPr>
                <w:rFonts w:ascii="Arial" w:hAnsi="Arial"/>
                <w:sz w:val="24"/>
              </w:rPr>
              <w:t>1,8</w:t>
            </w:r>
          </w:p>
        </w:tc>
        <w:tc>
          <w:tcPr>
            <w:tcW w:w="572" w:type="dxa"/>
            <w:tcBorders>
              <w:top w:val="single" w:sz="4" w:space="0" w:color="auto"/>
            </w:tcBorders>
            <w:vAlign w:val="bottom"/>
          </w:tcPr>
          <w:p w:rsidR="00000000" w:rsidRDefault="00C04CA6">
            <w:pPr>
              <w:jc w:val="center"/>
              <w:rPr>
                <w:rFonts w:ascii="Arial" w:eastAsia="Arial Unicode MS" w:hAnsi="Arial"/>
                <w:sz w:val="24"/>
              </w:rPr>
            </w:pPr>
            <w:r>
              <w:rPr>
                <w:rFonts w:ascii="Arial" w:hAnsi="Arial"/>
                <w:sz w:val="24"/>
              </w:rPr>
              <w:t>1,6</w:t>
            </w:r>
          </w:p>
        </w:tc>
        <w:tc>
          <w:tcPr>
            <w:tcW w:w="573" w:type="dxa"/>
            <w:tcBorders>
              <w:top w:val="single" w:sz="4" w:space="0" w:color="auto"/>
            </w:tcBorders>
            <w:vAlign w:val="bottom"/>
          </w:tcPr>
          <w:p w:rsidR="00000000" w:rsidRDefault="00C04CA6">
            <w:pPr>
              <w:jc w:val="center"/>
              <w:rPr>
                <w:rFonts w:ascii="Arial" w:eastAsia="Arial Unicode MS" w:hAnsi="Arial"/>
                <w:sz w:val="24"/>
              </w:rPr>
            </w:pPr>
            <w:r>
              <w:rPr>
                <w:rFonts w:ascii="Arial" w:hAnsi="Arial"/>
                <w:sz w:val="24"/>
              </w:rPr>
              <w:t>1,4</w:t>
            </w:r>
          </w:p>
        </w:tc>
        <w:tc>
          <w:tcPr>
            <w:tcW w:w="572" w:type="dxa"/>
            <w:tcBorders>
              <w:top w:val="single" w:sz="4" w:space="0" w:color="auto"/>
            </w:tcBorders>
            <w:vAlign w:val="bottom"/>
          </w:tcPr>
          <w:p w:rsidR="00000000" w:rsidRDefault="00C04CA6">
            <w:pPr>
              <w:jc w:val="center"/>
              <w:rPr>
                <w:rFonts w:ascii="Arial" w:eastAsia="Arial Unicode MS" w:hAnsi="Arial"/>
                <w:sz w:val="24"/>
              </w:rPr>
            </w:pPr>
            <w:r>
              <w:rPr>
                <w:rFonts w:ascii="Arial" w:hAnsi="Arial"/>
                <w:sz w:val="24"/>
              </w:rPr>
              <w:t>1,3</w:t>
            </w:r>
          </w:p>
        </w:tc>
        <w:tc>
          <w:tcPr>
            <w:tcW w:w="573" w:type="dxa"/>
            <w:tcBorders>
              <w:top w:val="single" w:sz="4" w:space="0" w:color="auto"/>
            </w:tcBorders>
            <w:vAlign w:val="bottom"/>
          </w:tcPr>
          <w:p w:rsidR="00000000" w:rsidRDefault="00C04CA6">
            <w:pPr>
              <w:jc w:val="center"/>
              <w:rPr>
                <w:rFonts w:ascii="Arial" w:eastAsia="Arial Unicode MS" w:hAnsi="Arial"/>
                <w:sz w:val="24"/>
              </w:rPr>
            </w:pPr>
            <w:r>
              <w:rPr>
                <w:rFonts w:ascii="Arial" w:hAnsi="Arial"/>
                <w:sz w:val="24"/>
              </w:rPr>
              <w:t>1,1</w:t>
            </w:r>
          </w:p>
        </w:tc>
        <w:tc>
          <w:tcPr>
            <w:tcW w:w="573" w:type="dxa"/>
            <w:tcBorders>
              <w:top w:val="single" w:sz="4" w:space="0" w:color="auto"/>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1,1</w:t>
            </w:r>
          </w:p>
        </w:tc>
      </w:tr>
      <w:tr w:rsidR="00000000">
        <w:tblPrEx>
          <w:tblCellMar>
            <w:top w:w="0" w:type="dxa"/>
            <w:left w:w="0" w:type="dxa"/>
            <w:bottom w:w="0" w:type="dxa"/>
            <w:right w:w="0" w:type="dxa"/>
          </w:tblCellMar>
        </w:tblPrEx>
        <w:trPr>
          <w:trHeight w:val="340"/>
        </w:trPr>
        <w:tc>
          <w:tcPr>
            <w:tcW w:w="2175" w:type="dxa"/>
            <w:tcBorders>
              <w:top w:val="nil"/>
              <w:left w:val="single" w:sz="4" w:space="0" w:color="auto"/>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2</w:t>
            </w:r>
          </w:p>
        </w:tc>
        <w:tc>
          <w:tcPr>
            <w:tcW w:w="572" w:type="dxa"/>
            <w:tcBorders>
              <w:top w:val="nil"/>
              <w:left w:val="single" w:sz="4" w:space="0" w:color="auto"/>
            </w:tcBorders>
            <w:vAlign w:val="bottom"/>
          </w:tcPr>
          <w:p w:rsidR="00000000" w:rsidRDefault="00C04CA6">
            <w:pPr>
              <w:jc w:val="center"/>
              <w:rPr>
                <w:rFonts w:ascii="Arial" w:eastAsia="Arial Unicode MS" w:hAnsi="Arial"/>
                <w:sz w:val="24"/>
              </w:rPr>
            </w:pPr>
            <w:r>
              <w:rPr>
                <w:rFonts w:ascii="Arial" w:hAnsi="Arial"/>
                <w:sz w:val="24"/>
              </w:rPr>
              <w:t>85,4</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25,0</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14,6</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10,5</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8,2</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6,7</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5,7</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4,9</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4,4</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3,</w:t>
            </w:r>
            <w:r>
              <w:rPr>
                <w:rFonts w:ascii="Arial" w:hAnsi="Arial"/>
                <w:sz w:val="24"/>
              </w:rPr>
              <w:t>9</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3,5</w:t>
            </w:r>
          </w:p>
        </w:tc>
        <w:tc>
          <w:tcPr>
            <w:tcW w:w="573" w:type="dxa"/>
            <w:tcBorders>
              <w:top w:val="nil"/>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3,2</w:t>
            </w:r>
          </w:p>
        </w:tc>
      </w:tr>
      <w:tr w:rsidR="00000000">
        <w:tblPrEx>
          <w:tblCellMar>
            <w:top w:w="0" w:type="dxa"/>
            <w:left w:w="0" w:type="dxa"/>
            <w:bottom w:w="0" w:type="dxa"/>
            <w:right w:w="0" w:type="dxa"/>
          </w:tblCellMar>
        </w:tblPrEx>
        <w:trPr>
          <w:trHeight w:val="340"/>
        </w:trPr>
        <w:tc>
          <w:tcPr>
            <w:tcW w:w="2175" w:type="dxa"/>
            <w:tcBorders>
              <w:top w:val="nil"/>
              <w:left w:val="single" w:sz="4" w:space="0" w:color="auto"/>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3</w:t>
            </w:r>
          </w:p>
        </w:tc>
        <w:tc>
          <w:tcPr>
            <w:tcW w:w="572" w:type="dxa"/>
            <w:tcBorders>
              <w:top w:val="nil"/>
              <w:left w:val="single" w:sz="4" w:space="0" w:color="auto"/>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75,0</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29,6</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19,4</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14,6</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11,8</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9,9</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8,5</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7,5</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6,7</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6,0</w:t>
            </w:r>
          </w:p>
        </w:tc>
        <w:tc>
          <w:tcPr>
            <w:tcW w:w="573" w:type="dxa"/>
            <w:tcBorders>
              <w:top w:val="nil"/>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5,5</w:t>
            </w:r>
          </w:p>
        </w:tc>
      </w:tr>
      <w:tr w:rsidR="00000000">
        <w:tblPrEx>
          <w:tblCellMar>
            <w:top w:w="0" w:type="dxa"/>
            <w:left w:w="0" w:type="dxa"/>
            <w:bottom w:w="0" w:type="dxa"/>
            <w:right w:w="0" w:type="dxa"/>
          </w:tblCellMar>
        </w:tblPrEx>
        <w:trPr>
          <w:trHeight w:val="340"/>
        </w:trPr>
        <w:tc>
          <w:tcPr>
            <w:tcW w:w="2175" w:type="dxa"/>
            <w:tcBorders>
              <w:top w:val="nil"/>
              <w:left w:val="single" w:sz="4" w:space="0" w:color="auto"/>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4</w:t>
            </w:r>
          </w:p>
        </w:tc>
        <w:tc>
          <w:tcPr>
            <w:tcW w:w="572" w:type="dxa"/>
            <w:tcBorders>
              <w:top w:val="nil"/>
              <w:left w:val="single" w:sz="4" w:space="0" w:color="auto"/>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93,3</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70,4</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32,3</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22,6</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17,7</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14,6</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12,5</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10,9</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9,7</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8,7</w:t>
            </w:r>
          </w:p>
        </w:tc>
        <w:tc>
          <w:tcPr>
            <w:tcW w:w="573" w:type="dxa"/>
            <w:tcBorders>
              <w:top w:val="nil"/>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7,9</w:t>
            </w:r>
          </w:p>
        </w:tc>
      </w:tr>
      <w:tr w:rsidR="00000000">
        <w:tblPrEx>
          <w:tblCellMar>
            <w:top w:w="0" w:type="dxa"/>
            <w:left w:w="0" w:type="dxa"/>
            <w:bottom w:w="0" w:type="dxa"/>
            <w:right w:w="0" w:type="dxa"/>
          </w:tblCellMar>
        </w:tblPrEx>
        <w:trPr>
          <w:trHeight w:val="340"/>
        </w:trPr>
        <w:tc>
          <w:tcPr>
            <w:tcW w:w="2175" w:type="dxa"/>
            <w:tcBorders>
              <w:top w:val="nil"/>
              <w:left w:val="single" w:sz="4" w:space="0" w:color="auto"/>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5</w:t>
            </w:r>
          </w:p>
        </w:tc>
        <w:tc>
          <w:tcPr>
            <w:tcW w:w="572" w:type="dxa"/>
            <w:tcBorders>
              <w:top w:val="nil"/>
              <w:left w:val="single" w:sz="4" w:space="0" w:color="auto"/>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85,4</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67,7</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34,2</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25,0</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20,1</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16,9</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14,6</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12,9</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11,6</w:t>
            </w:r>
          </w:p>
        </w:tc>
        <w:tc>
          <w:tcPr>
            <w:tcW w:w="573" w:type="dxa"/>
            <w:tcBorders>
              <w:top w:val="nil"/>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10,5</w:t>
            </w:r>
          </w:p>
        </w:tc>
      </w:tr>
      <w:tr w:rsidR="00000000">
        <w:tblPrEx>
          <w:tblCellMar>
            <w:top w:w="0" w:type="dxa"/>
            <w:left w:w="0" w:type="dxa"/>
            <w:bottom w:w="0" w:type="dxa"/>
            <w:right w:w="0" w:type="dxa"/>
          </w:tblCellMar>
        </w:tblPrEx>
        <w:trPr>
          <w:trHeight w:val="340"/>
        </w:trPr>
        <w:tc>
          <w:tcPr>
            <w:tcW w:w="2175" w:type="dxa"/>
            <w:tcBorders>
              <w:top w:val="nil"/>
              <w:left w:val="single" w:sz="4" w:space="0" w:color="auto"/>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6</w:t>
            </w:r>
          </w:p>
        </w:tc>
        <w:tc>
          <w:tcPr>
            <w:tcW w:w="572" w:type="dxa"/>
            <w:tcBorders>
              <w:top w:val="nil"/>
              <w:left w:val="single" w:sz="4" w:space="0" w:color="auto"/>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95,6</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80,6</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65,8</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35,6</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26,9</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22,0</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18,8</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16,5</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14,6</w:t>
            </w:r>
          </w:p>
        </w:tc>
        <w:tc>
          <w:tcPr>
            <w:tcW w:w="573" w:type="dxa"/>
            <w:tcBorders>
              <w:top w:val="nil"/>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13,2</w:t>
            </w:r>
          </w:p>
        </w:tc>
      </w:tr>
      <w:tr w:rsidR="00000000">
        <w:tblPrEx>
          <w:tblCellMar>
            <w:top w:w="0" w:type="dxa"/>
            <w:left w:w="0" w:type="dxa"/>
            <w:bottom w:w="0" w:type="dxa"/>
            <w:right w:w="0" w:type="dxa"/>
          </w:tblCellMar>
        </w:tblPrEx>
        <w:trPr>
          <w:trHeight w:val="340"/>
        </w:trPr>
        <w:tc>
          <w:tcPr>
            <w:tcW w:w="2175" w:type="dxa"/>
            <w:tcBorders>
              <w:top w:val="nil"/>
              <w:left w:val="single" w:sz="4" w:space="0" w:color="auto"/>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7</w:t>
            </w:r>
          </w:p>
        </w:tc>
        <w:tc>
          <w:tcPr>
            <w:tcW w:w="572" w:type="dxa"/>
            <w:tcBorders>
              <w:top w:val="nil"/>
              <w:left w:val="single" w:sz="4" w:space="0" w:color="auto"/>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89,5</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77,4</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64</w:t>
            </w:r>
            <w:r>
              <w:rPr>
                <w:rFonts w:ascii="Arial" w:hAnsi="Arial"/>
                <w:sz w:val="24"/>
              </w:rPr>
              <w:t>,4</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36,6</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28,3</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23,6</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20,4</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18,0</w:t>
            </w:r>
          </w:p>
        </w:tc>
        <w:tc>
          <w:tcPr>
            <w:tcW w:w="573" w:type="dxa"/>
            <w:tcBorders>
              <w:top w:val="nil"/>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16,1</w:t>
            </w:r>
          </w:p>
        </w:tc>
      </w:tr>
      <w:tr w:rsidR="00000000">
        <w:tblPrEx>
          <w:tblCellMar>
            <w:top w:w="0" w:type="dxa"/>
            <w:left w:w="0" w:type="dxa"/>
            <w:bottom w:w="0" w:type="dxa"/>
            <w:right w:w="0" w:type="dxa"/>
          </w:tblCellMar>
        </w:tblPrEx>
        <w:trPr>
          <w:trHeight w:val="340"/>
        </w:trPr>
        <w:tc>
          <w:tcPr>
            <w:tcW w:w="2175" w:type="dxa"/>
            <w:tcBorders>
              <w:top w:val="nil"/>
              <w:left w:val="single" w:sz="4" w:space="0" w:color="auto"/>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8</w:t>
            </w:r>
          </w:p>
        </w:tc>
        <w:tc>
          <w:tcPr>
            <w:tcW w:w="572" w:type="dxa"/>
            <w:tcBorders>
              <w:top w:val="nil"/>
              <w:left w:val="single" w:sz="4" w:space="0" w:color="auto"/>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96,8</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85,4</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75,0</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63,4</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37,5</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29,6</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25,0</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21,8</w:t>
            </w:r>
          </w:p>
        </w:tc>
        <w:tc>
          <w:tcPr>
            <w:tcW w:w="573" w:type="dxa"/>
            <w:tcBorders>
              <w:top w:val="nil"/>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19,4</w:t>
            </w:r>
          </w:p>
        </w:tc>
      </w:tr>
      <w:tr w:rsidR="00000000">
        <w:tblPrEx>
          <w:tblCellMar>
            <w:top w:w="0" w:type="dxa"/>
            <w:left w:w="0" w:type="dxa"/>
            <w:bottom w:w="0" w:type="dxa"/>
            <w:right w:w="0" w:type="dxa"/>
          </w:tblCellMar>
        </w:tblPrEx>
        <w:trPr>
          <w:trHeight w:val="340"/>
        </w:trPr>
        <w:tc>
          <w:tcPr>
            <w:tcW w:w="2175" w:type="dxa"/>
            <w:tcBorders>
              <w:top w:val="nil"/>
              <w:left w:val="single" w:sz="4" w:space="0" w:color="auto"/>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9</w:t>
            </w:r>
          </w:p>
        </w:tc>
        <w:tc>
          <w:tcPr>
            <w:tcW w:w="572" w:type="dxa"/>
            <w:tcBorders>
              <w:top w:val="nil"/>
              <w:left w:val="single" w:sz="4" w:space="0" w:color="auto"/>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91,8</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82,3</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73,1</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62,5</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38,2</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30,6</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26,2</w:t>
            </w:r>
          </w:p>
        </w:tc>
        <w:tc>
          <w:tcPr>
            <w:tcW w:w="573" w:type="dxa"/>
            <w:tcBorders>
              <w:top w:val="nil"/>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23,0</w:t>
            </w:r>
          </w:p>
        </w:tc>
      </w:tr>
      <w:tr w:rsidR="00000000">
        <w:tblPrEx>
          <w:tblCellMar>
            <w:top w:w="0" w:type="dxa"/>
            <w:left w:w="0" w:type="dxa"/>
            <w:bottom w:w="0" w:type="dxa"/>
            <w:right w:w="0" w:type="dxa"/>
          </w:tblCellMar>
        </w:tblPrEx>
        <w:trPr>
          <w:trHeight w:val="340"/>
        </w:trPr>
        <w:tc>
          <w:tcPr>
            <w:tcW w:w="2175" w:type="dxa"/>
            <w:tcBorders>
              <w:top w:val="nil"/>
              <w:left w:val="single" w:sz="4" w:space="0" w:color="auto"/>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10</w:t>
            </w:r>
          </w:p>
        </w:tc>
        <w:tc>
          <w:tcPr>
            <w:tcW w:w="572" w:type="dxa"/>
            <w:tcBorders>
              <w:top w:val="nil"/>
              <w:left w:val="single" w:sz="4" w:space="0" w:color="auto"/>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97,4</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88,2</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79,9</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71,7</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61,8</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38,8</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31,5</w:t>
            </w:r>
          </w:p>
        </w:tc>
        <w:tc>
          <w:tcPr>
            <w:tcW w:w="573" w:type="dxa"/>
            <w:tcBorders>
              <w:top w:val="nil"/>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27,2</w:t>
            </w:r>
          </w:p>
        </w:tc>
      </w:tr>
      <w:tr w:rsidR="00000000">
        <w:tblPrEx>
          <w:tblCellMar>
            <w:top w:w="0" w:type="dxa"/>
            <w:left w:w="0" w:type="dxa"/>
            <w:bottom w:w="0" w:type="dxa"/>
            <w:right w:w="0" w:type="dxa"/>
          </w:tblCellMar>
        </w:tblPrEx>
        <w:trPr>
          <w:trHeight w:val="340"/>
        </w:trPr>
        <w:tc>
          <w:tcPr>
            <w:tcW w:w="2175" w:type="dxa"/>
            <w:tcBorders>
              <w:top w:val="nil"/>
              <w:left w:val="single" w:sz="4" w:space="0" w:color="auto"/>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11</w:t>
            </w:r>
          </w:p>
        </w:tc>
        <w:tc>
          <w:tcPr>
            <w:tcW w:w="572" w:type="dxa"/>
            <w:tcBorders>
              <w:top w:val="nil"/>
              <w:left w:val="single" w:sz="4" w:space="0" w:color="auto"/>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93,3</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85,4</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78,0</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70,4</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61,2</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39,3</w:t>
            </w:r>
          </w:p>
        </w:tc>
        <w:tc>
          <w:tcPr>
            <w:tcW w:w="573" w:type="dxa"/>
            <w:tcBorders>
              <w:top w:val="nil"/>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32,3</w:t>
            </w:r>
          </w:p>
        </w:tc>
      </w:tr>
      <w:tr w:rsidR="00000000">
        <w:tblPrEx>
          <w:tblCellMar>
            <w:top w:w="0" w:type="dxa"/>
            <w:left w:w="0" w:type="dxa"/>
            <w:bottom w:w="0" w:type="dxa"/>
            <w:right w:w="0" w:type="dxa"/>
          </w:tblCellMar>
        </w:tblPrEx>
        <w:trPr>
          <w:trHeight w:val="340"/>
        </w:trPr>
        <w:tc>
          <w:tcPr>
            <w:tcW w:w="2175" w:type="dxa"/>
            <w:tcBorders>
              <w:top w:val="nil"/>
              <w:left w:val="single" w:sz="4" w:space="0" w:color="auto"/>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12</w:t>
            </w:r>
          </w:p>
        </w:tc>
        <w:tc>
          <w:tcPr>
            <w:tcW w:w="572" w:type="dxa"/>
            <w:tcBorders>
              <w:top w:val="nil"/>
              <w:left w:val="single" w:sz="4" w:space="0" w:color="auto"/>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97,</w:t>
            </w:r>
            <w:r>
              <w:rPr>
                <w:rFonts w:ascii="Arial" w:hAnsi="Arial"/>
                <w:sz w:val="24"/>
              </w:rPr>
              <w:t>9</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90,1</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83,1</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76,4</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69,4</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60,7</w:t>
            </w:r>
          </w:p>
        </w:tc>
        <w:tc>
          <w:tcPr>
            <w:tcW w:w="573" w:type="dxa"/>
            <w:tcBorders>
              <w:top w:val="nil"/>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39,8</w:t>
            </w:r>
          </w:p>
        </w:tc>
      </w:tr>
      <w:tr w:rsidR="00000000">
        <w:tblPrEx>
          <w:tblCellMar>
            <w:top w:w="0" w:type="dxa"/>
            <w:left w:w="0" w:type="dxa"/>
            <w:bottom w:w="0" w:type="dxa"/>
            <w:right w:w="0" w:type="dxa"/>
          </w:tblCellMar>
        </w:tblPrEx>
        <w:trPr>
          <w:trHeight w:val="340"/>
        </w:trPr>
        <w:tc>
          <w:tcPr>
            <w:tcW w:w="2175" w:type="dxa"/>
            <w:tcBorders>
              <w:top w:val="nil"/>
              <w:left w:val="single" w:sz="4" w:space="0" w:color="auto"/>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13</w:t>
            </w:r>
          </w:p>
        </w:tc>
        <w:tc>
          <w:tcPr>
            <w:tcW w:w="572" w:type="dxa"/>
            <w:tcBorders>
              <w:top w:val="nil"/>
              <w:left w:val="single" w:sz="4" w:space="0" w:color="auto"/>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94,3</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87,5</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81,2</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75,0</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68,5</w:t>
            </w:r>
          </w:p>
        </w:tc>
        <w:tc>
          <w:tcPr>
            <w:tcW w:w="573" w:type="dxa"/>
            <w:tcBorders>
              <w:top w:val="nil"/>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60,2</w:t>
            </w:r>
          </w:p>
        </w:tc>
      </w:tr>
      <w:tr w:rsidR="00000000">
        <w:tblPrEx>
          <w:tblCellMar>
            <w:top w:w="0" w:type="dxa"/>
            <w:left w:w="0" w:type="dxa"/>
            <w:bottom w:w="0" w:type="dxa"/>
            <w:right w:w="0" w:type="dxa"/>
          </w:tblCellMar>
        </w:tblPrEx>
        <w:trPr>
          <w:trHeight w:val="340"/>
        </w:trPr>
        <w:tc>
          <w:tcPr>
            <w:tcW w:w="2175" w:type="dxa"/>
            <w:tcBorders>
              <w:top w:val="nil"/>
              <w:left w:val="single" w:sz="4" w:space="0" w:color="auto"/>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14</w:t>
            </w:r>
          </w:p>
        </w:tc>
        <w:tc>
          <w:tcPr>
            <w:tcW w:w="572" w:type="dxa"/>
            <w:tcBorders>
              <w:top w:val="nil"/>
              <w:left w:val="single" w:sz="4" w:space="0" w:color="auto"/>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98,2</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91,5</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85,4</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79,6</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73,8</w:t>
            </w:r>
          </w:p>
        </w:tc>
        <w:tc>
          <w:tcPr>
            <w:tcW w:w="573" w:type="dxa"/>
            <w:tcBorders>
              <w:top w:val="nil"/>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67,7</w:t>
            </w:r>
          </w:p>
        </w:tc>
      </w:tr>
      <w:tr w:rsidR="00000000">
        <w:tblPrEx>
          <w:tblCellMar>
            <w:top w:w="0" w:type="dxa"/>
            <w:left w:w="0" w:type="dxa"/>
            <w:bottom w:w="0" w:type="dxa"/>
            <w:right w:w="0" w:type="dxa"/>
          </w:tblCellMar>
        </w:tblPrEx>
        <w:trPr>
          <w:trHeight w:val="340"/>
        </w:trPr>
        <w:tc>
          <w:tcPr>
            <w:tcW w:w="2175" w:type="dxa"/>
            <w:tcBorders>
              <w:top w:val="nil"/>
              <w:left w:val="single" w:sz="4" w:space="0" w:color="auto"/>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15</w:t>
            </w:r>
          </w:p>
        </w:tc>
        <w:tc>
          <w:tcPr>
            <w:tcW w:w="572" w:type="dxa"/>
            <w:tcBorders>
              <w:top w:val="nil"/>
              <w:left w:val="single" w:sz="4" w:space="0" w:color="auto"/>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95,1</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89,1</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83,5</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78,2</w:t>
            </w:r>
          </w:p>
        </w:tc>
        <w:tc>
          <w:tcPr>
            <w:tcW w:w="573" w:type="dxa"/>
            <w:tcBorders>
              <w:top w:val="nil"/>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72,8</w:t>
            </w:r>
          </w:p>
        </w:tc>
      </w:tr>
      <w:tr w:rsidR="00000000">
        <w:tblPrEx>
          <w:tblCellMar>
            <w:top w:w="0" w:type="dxa"/>
            <w:left w:w="0" w:type="dxa"/>
            <w:bottom w:w="0" w:type="dxa"/>
            <w:right w:w="0" w:type="dxa"/>
          </w:tblCellMar>
        </w:tblPrEx>
        <w:trPr>
          <w:trHeight w:val="340"/>
        </w:trPr>
        <w:tc>
          <w:tcPr>
            <w:tcW w:w="2175" w:type="dxa"/>
            <w:tcBorders>
              <w:top w:val="nil"/>
              <w:left w:val="single" w:sz="4" w:space="0" w:color="auto"/>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16</w:t>
            </w:r>
          </w:p>
        </w:tc>
        <w:tc>
          <w:tcPr>
            <w:tcW w:w="572" w:type="dxa"/>
            <w:tcBorders>
              <w:top w:val="nil"/>
              <w:left w:val="single" w:sz="4" w:space="0" w:color="auto"/>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98,4</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92,5</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87,1</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82,0</w:t>
            </w:r>
          </w:p>
        </w:tc>
        <w:tc>
          <w:tcPr>
            <w:tcW w:w="573" w:type="dxa"/>
            <w:tcBorders>
              <w:top w:val="nil"/>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77,0</w:t>
            </w:r>
          </w:p>
        </w:tc>
      </w:tr>
      <w:tr w:rsidR="00000000">
        <w:tblPrEx>
          <w:tblCellMar>
            <w:top w:w="0" w:type="dxa"/>
            <w:left w:w="0" w:type="dxa"/>
            <w:bottom w:w="0" w:type="dxa"/>
            <w:right w:w="0" w:type="dxa"/>
          </w:tblCellMar>
        </w:tblPrEx>
        <w:trPr>
          <w:trHeight w:val="340"/>
        </w:trPr>
        <w:tc>
          <w:tcPr>
            <w:tcW w:w="2175" w:type="dxa"/>
            <w:tcBorders>
              <w:top w:val="nil"/>
              <w:left w:val="single" w:sz="4" w:space="0" w:color="auto"/>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17</w:t>
            </w:r>
          </w:p>
        </w:tc>
        <w:tc>
          <w:tcPr>
            <w:tcW w:w="572" w:type="dxa"/>
            <w:tcBorders>
              <w:top w:val="nil"/>
              <w:left w:val="single" w:sz="4" w:space="0" w:color="auto"/>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95,6</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90,3</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85,4</w:t>
            </w:r>
          </w:p>
        </w:tc>
        <w:tc>
          <w:tcPr>
            <w:tcW w:w="573" w:type="dxa"/>
            <w:tcBorders>
              <w:top w:val="nil"/>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80,6</w:t>
            </w:r>
          </w:p>
        </w:tc>
      </w:tr>
      <w:tr w:rsidR="00000000">
        <w:tblPrEx>
          <w:tblCellMar>
            <w:top w:w="0" w:type="dxa"/>
            <w:left w:w="0" w:type="dxa"/>
            <w:bottom w:w="0" w:type="dxa"/>
            <w:right w:w="0" w:type="dxa"/>
          </w:tblCellMar>
        </w:tblPrEx>
        <w:trPr>
          <w:trHeight w:val="340"/>
        </w:trPr>
        <w:tc>
          <w:tcPr>
            <w:tcW w:w="2175" w:type="dxa"/>
            <w:tcBorders>
              <w:top w:val="nil"/>
              <w:left w:val="single" w:sz="4" w:space="0" w:color="auto"/>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18</w:t>
            </w:r>
          </w:p>
        </w:tc>
        <w:tc>
          <w:tcPr>
            <w:tcW w:w="572" w:type="dxa"/>
            <w:tcBorders>
              <w:top w:val="nil"/>
              <w:left w:val="single" w:sz="4" w:space="0" w:color="auto"/>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98,6</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93,3</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88,4</w:t>
            </w:r>
          </w:p>
        </w:tc>
        <w:tc>
          <w:tcPr>
            <w:tcW w:w="573" w:type="dxa"/>
            <w:tcBorders>
              <w:top w:val="nil"/>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83,9</w:t>
            </w:r>
          </w:p>
        </w:tc>
      </w:tr>
      <w:tr w:rsidR="00000000">
        <w:tblPrEx>
          <w:tblCellMar>
            <w:top w:w="0" w:type="dxa"/>
            <w:left w:w="0" w:type="dxa"/>
            <w:bottom w:w="0" w:type="dxa"/>
            <w:right w:w="0" w:type="dxa"/>
          </w:tblCellMar>
        </w:tblPrEx>
        <w:trPr>
          <w:trHeight w:val="340"/>
        </w:trPr>
        <w:tc>
          <w:tcPr>
            <w:tcW w:w="2175" w:type="dxa"/>
            <w:tcBorders>
              <w:top w:val="nil"/>
              <w:left w:val="single" w:sz="4" w:space="0" w:color="auto"/>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19</w:t>
            </w:r>
          </w:p>
        </w:tc>
        <w:tc>
          <w:tcPr>
            <w:tcW w:w="572" w:type="dxa"/>
            <w:tcBorders>
              <w:top w:val="nil"/>
              <w:left w:val="single" w:sz="4" w:space="0" w:color="auto"/>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96,1</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91,3</w:t>
            </w:r>
          </w:p>
        </w:tc>
        <w:tc>
          <w:tcPr>
            <w:tcW w:w="573" w:type="dxa"/>
            <w:tcBorders>
              <w:top w:val="nil"/>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86,8</w:t>
            </w:r>
          </w:p>
        </w:tc>
      </w:tr>
      <w:tr w:rsidR="00000000">
        <w:tblPrEx>
          <w:tblCellMar>
            <w:top w:w="0" w:type="dxa"/>
            <w:left w:w="0" w:type="dxa"/>
            <w:bottom w:w="0" w:type="dxa"/>
            <w:right w:w="0" w:type="dxa"/>
          </w:tblCellMar>
        </w:tblPrEx>
        <w:trPr>
          <w:trHeight w:val="340"/>
        </w:trPr>
        <w:tc>
          <w:tcPr>
            <w:tcW w:w="2175" w:type="dxa"/>
            <w:tcBorders>
              <w:top w:val="nil"/>
              <w:left w:val="single" w:sz="4" w:space="0" w:color="auto"/>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20</w:t>
            </w:r>
          </w:p>
        </w:tc>
        <w:tc>
          <w:tcPr>
            <w:tcW w:w="572" w:type="dxa"/>
            <w:tcBorders>
              <w:top w:val="nil"/>
              <w:left w:val="single" w:sz="4" w:space="0" w:color="auto"/>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98,7</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94,0</w:t>
            </w:r>
          </w:p>
        </w:tc>
        <w:tc>
          <w:tcPr>
            <w:tcW w:w="573" w:type="dxa"/>
            <w:tcBorders>
              <w:top w:val="nil"/>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89,5</w:t>
            </w:r>
          </w:p>
        </w:tc>
      </w:tr>
      <w:tr w:rsidR="00000000">
        <w:tblPrEx>
          <w:tblCellMar>
            <w:top w:w="0" w:type="dxa"/>
            <w:left w:w="0" w:type="dxa"/>
            <w:bottom w:w="0" w:type="dxa"/>
            <w:right w:w="0" w:type="dxa"/>
          </w:tblCellMar>
        </w:tblPrEx>
        <w:trPr>
          <w:trHeight w:val="340"/>
        </w:trPr>
        <w:tc>
          <w:tcPr>
            <w:tcW w:w="2175" w:type="dxa"/>
            <w:tcBorders>
              <w:top w:val="nil"/>
              <w:left w:val="single" w:sz="4" w:space="0" w:color="auto"/>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21</w:t>
            </w:r>
          </w:p>
        </w:tc>
        <w:tc>
          <w:tcPr>
            <w:tcW w:w="572" w:type="dxa"/>
            <w:tcBorders>
              <w:top w:val="nil"/>
              <w:left w:val="single" w:sz="4" w:space="0" w:color="auto"/>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96,5</w:t>
            </w:r>
          </w:p>
        </w:tc>
        <w:tc>
          <w:tcPr>
            <w:tcW w:w="573" w:type="dxa"/>
            <w:tcBorders>
              <w:top w:val="nil"/>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92,1</w:t>
            </w:r>
          </w:p>
        </w:tc>
      </w:tr>
      <w:tr w:rsidR="00000000">
        <w:tblPrEx>
          <w:tblCellMar>
            <w:top w:w="0" w:type="dxa"/>
            <w:left w:w="0" w:type="dxa"/>
            <w:bottom w:w="0" w:type="dxa"/>
            <w:right w:w="0" w:type="dxa"/>
          </w:tblCellMar>
        </w:tblPrEx>
        <w:trPr>
          <w:trHeight w:val="340"/>
        </w:trPr>
        <w:tc>
          <w:tcPr>
            <w:tcW w:w="2175" w:type="dxa"/>
            <w:tcBorders>
              <w:top w:val="nil"/>
              <w:left w:val="single" w:sz="4" w:space="0" w:color="auto"/>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22</w:t>
            </w:r>
          </w:p>
        </w:tc>
        <w:tc>
          <w:tcPr>
            <w:tcW w:w="572" w:type="dxa"/>
            <w:tcBorders>
              <w:top w:val="nil"/>
              <w:left w:val="single" w:sz="4" w:space="0" w:color="auto"/>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98,9</w:t>
            </w:r>
          </w:p>
        </w:tc>
        <w:tc>
          <w:tcPr>
            <w:tcW w:w="573" w:type="dxa"/>
            <w:tcBorders>
              <w:top w:val="nil"/>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94,5</w:t>
            </w:r>
          </w:p>
        </w:tc>
      </w:tr>
      <w:tr w:rsidR="00000000">
        <w:tblPrEx>
          <w:tblCellMar>
            <w:top w:w="0" w:type="dxa"/>
            <w:left w:w="0" w:type="dxa"/>
            <w:bottom w:w="0" w:type="dxa"/>
            <w:right w:w="0" w:type="dxa"/>
          </w:tblCellMar>
        </w:tblPrEx>
        <w:trPr>
          <w:trHeight w:val="340"/>
        </w:trPr>
        <w:tc>
          <w:tcPr>
            <w:tcW w:w="2175" w:type="dxa"/>
            <w:tcBorders>
              <w:top w:val="nil"/>
              <w:left w:val="single" w:sz="4" w:space="0" w:color="auto"/>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23</w:t>
            </w:r>
          </w:p>
        </w:tc>
        <w:tc>
          <w:tcPr>
            <w:tcW w:w="572" w:type="dxa"/>
            <w:tcBorders>
              <w:top w:val="nil"/>
              <w:left w:val="single" w:sz="4" w:space="0" w:color="auto"/>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96,8</w:t>
            </w:r>
          </w:p>
        </w:tc>
      </w:tr>
      <w:tr w:rsidR="00000000">
        <w:tblPrEx>
          <w:tblCellMar>
            <w:top w:w="0" w:type="dxa"/>
            <w:left w:w="0" w:type="dxa"/>
            <w:bottom w:w="0" w:type="dxa"/>
            <w:right w:w="0" w:type="dxa"/>
          </w:tblCellMar>
        </w:tblPrEx>
        <w:trPr>
          <w:trHeight w:val="340"/>
        </w:trPr>
        <w:tc>
          <w:tcPr>
            <w:tcW w:w="2175" w:type="dxa"/>
            <w:tcBorders>
              <w:top w:val="nil"/>
              <w:left w:val="single" w:sz="4" w:space="0" w:color="auto"/>
              <w:bottom w:val="single" w:sz="4" w:space="0" w:color="auto"/>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24</w:t>
            </w:r>
          </w:p>
        </w:tc>
        <w:tc>
          <w:tcPr>
            <w:tcW w:w="572" w:type="dxa"/>
            <w:tcBorders>
              <w:top w:val="nil"/>
              <w:left w:val="single" w:sz="4" w:space="0" w:color="auto"/>
              <w:bottom w:val="single" w:sz="4" w:space="0" w:color="auto"/>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bottom w:val="single" w:sz="4" w:space="0" w:color="auto"/>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bottom w:val="single" w:sz="4" w:space="0" w:color="auto"/>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bottom w:val="single" w:sz="4" w:space="0" w:color="auto"/>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bottom w:val="single" w:sz="4" w:space="0" w:color="auto"/>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bottom w:val="single" w:sz="4" w:space="0" w:color="auto"/>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bottom w:val="single" w:sz="4" w:space="0" w:color="auto"/>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bottom w:val="single" w:sz="4" w:space="0" w:color="auto"/>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bottom w:val="single" w:sz="4" w:space="0" w:color="auto"/>
            </w:tcBorders>
            <w:vAlign w:val="bottom"/>
          </w:tcPr>
          <w:p w:rsidR="00000000" w:rsidRDefault="00C04CA6">
            <w:pPr>
              <w:jc w:val="center"/>
              <w:rPr>
                <w:rFonts w:ascii="Arial" w:eastAsia="Arial Unicode MS" w:hAnsi="Arial"/>
                <w:sz w:val="24"/>
              </w:rPr>
            </w:pPr>
            <w:r>
              <w:rPr>
                <w:rFonts w:ascii="Arial" w:hAnsi="Arial"/>
                <w:sz w:val="24"/>
              </w:rPr>
              <w:t> </w:t>
            </w:r>
          </w:p>
        </w:tc>
        <w:tc>
          <w:tcPr>
            <w:tcW w:w="572" w:type="dxa"/>
            <w:tcBorders>
              <w:top w:val="nil"/>
              <w:bottom w:val="single" w:sz="4" w:space="0" w:color="auto"/>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bottom w:val="single" w:sz="4" w:space="0" w:color="auto"/>
            </w:tcBorders>
            <w:vAlign w:val="bottom"/>
          </w:tcPr>
          <w:p w:rsidR="00000000" w:rsidRDefault="00C04CA6">
            <w:pPr>
              <w:jc w:val="center"/>
              <w:rPr>
                <w:rFonts w:ascii="Arial" w:eastAsia="Arial Unicode MS" w:hAnsi="Arial"/>
                <w:sz w:val="24"/>
              </w:rPr>
            </w:pPr>
            <w:r>
              <w:rPr>
                <w:rFonts w:ascii="Arial" w:hAnsi="Arial"/>
                <w:sz w:val="24"/>
              </w:rPr>
              <w:t> </w:t>
            </w:r>
          </w:p>
        </w:tc>
        <w:tc>
          <w:tcPr>
            <w:tcW w:w="573" w:type="dxa"/>
            <w:tcBorders>
              <w:top w:val="nil"/>
              <w:bottom w:val="single" w:sz="4" w:space="0" w:color="auto"/>
              <w:right w:val="single" w:sz="4" w:space="0" w:color="auto"/>
            </w:tcBorders>
            <w:vAlign w:val="bottom"/>
          </w:tcPr>
          <w:p w:rsidR="00000000" w:rsidRDefault="00C04CA6">
            <w:pPr>
              <w:jc w:val="center"/>
              <w:rPr>
                <w:rFonts w:ascii="Arial" w:eastAsia="Arial Unicode MS" w:hAnsi="Arial"/>
                <w:sz w:val="24"/>
              </w:rPr>
            </w:pPr>
            <w:r>
              <w:rPr>
                <w:rFonts w:ascii="Arial" w:hAnsi="Arial"/>
                <w:sz w:val="24"/>
              </w:rPr>
              <w:t>98,9</w:t>
            </w:r>
          </w:p>
        </w:tc>
      </w:tr>
    </w:tbl>
    <w:p w:rsidR="00000000" w:rsidRDefault="00C04CA6">
      <w:pPr>
        <w:ind w:right="71"/>
        <w:rPr>
          <w:rFonts w:ascii="Arial" w:hAnsi="Arial"/>
          <w:sz w:val="24"/>
        </w:rPr>
      </w:pPr>
      <w:r>
        <w:rPr>
          <w:rFonts w:ascii="Arial" w:hAnsi="Arial"/>
          <w:sz w:val="24"/>
        </w:rPr>
        <w:t>Nota:</w:t>
      </w:r>
    </w:p>
    <w:p w:rsidR="00000000" w:rsidRDefault="00C04CA6">
      <w:pPr>
        <w:ind w:right="71"/>
        <w:rPr>
          <w:rFonts w:ascii="Arial" w:hAnsi="Arial"/>
          <w:sz w:val="24"/>
        </w:rPr>
      </w:pPr>
      <w:r>
        <w:rPr>
          <w:rFonts w:ascii="Arial" w:hAnsi="Arial"/>
          <w:sz w:val="24"/>
        </w:rPr>
        <w:t>Valores com</w:t>
      </w:r>
      <w:r>
        <w:rPr>
          <w:rFonts w:ascii="Arial" w:hAnsi="Arial"/>
          <w:sz w:val="24"/>
        </w:rPr>
        <w:t>o porcentaje del diámetro de la chimenea, y a ser contados desde la pared interior de la chimenea hasta el punto de medición.</w:t>
      </w:r>
    </w:p>
    <w:p w:rsidR="00000000" w:rsidRDefault="00C04CA6">
      <w:pPr>
        <w:rPr>
          <w:rFonts w:ascii="Arial" w:hAnsi="Arial"/>
          <w:sz w:val="24"/>
        </w:rPr>
      </w:pPr>
    </w:p>
    <w:p w:rsidR="00000000" w:rsidRDefault="00C04CA6">
      <w:pPr>
        <w:rPr>
          <w:rFonts w:ascii="Arial" w:hAnsi="Arial"/>
          <w:sz w:val="24"/>
        </w:rPr>
      </w:pPr>
    </w:p>
    <w:p w:rsidR="00000000" w:rsidRDefault="00C04CA6">
      <w:pPr>
        <w:rPr>
          <w:rFonts w:ascii="Arial" w:hAnsi="Arial"/>
          <w:sz w:val="24"/>
          <w:lang w:val="es-ES"/>
        </w:rPr>
      </w:pPr>
      <w:r>
        <w:rPr>
          <w:rFonts w:ascii="Arial" w:hAnsi="Arial"/>
          <w:sz w:val="24"/>
          <w:lang w:val="es-ES"/>
        </w:rPr>
        <w:t xml:space="preserve">4.2.2.11  Para la aplicación del procedimiento, el tubo Pitot, previamente calibrado, se introducirá en el conducto o chimenea, </w:t>
      </w:r>
      <w:r>
        <w:rPr>
          <w:rFonts w:ascii="Arial" w:hAnsi="Arial"/>
          <w:sz w:val="24"/>
          <w:lang w:val="es-ES"/>
        </w:rPr>
        <w:t>en el punto de medición seleccionado, y se tomará lectura de la presión de velocidad.  Este procedimiento se repetirá para cada uno de los puntos de medición seleccionados.  La velocidad promedio en el conducto o chimenea será el valor obtenido, mediante l</w:t>
      </w:r>
      <w:r>
        <w:rPr>
          <w:rFonts w:ascii="Arial" w:hAnsi="Arial"/>
          <w:sz w:val="24"/>
          <w:lang w:val="es-ES"/>
        </w:rPr>
        <w:t>a siguiente ecuación, para el promedio aritmético de todas las lecturas de presión de velocidad registradas.</w:t>
      </w:r>
    </w:p>
    <w:p w:rsidR="00000000" w:rsidRDefault="00C04CA6">
      <w:pPr>
        <w:rPr>
          <w:rFonts w:ascii="Arial" w:hAnsi="Arial"/>
          <w:sz w:val="24"/>
          <w:lang w:val="es-ES"/>
        </w:rPr>
      </w:pPr>
    </w:p>
    <w:p w:rsidR="00000000" w:rsidRDefault="00C04CA6">
      <w:pPr>
        <w:jc w:val="center"/>
        <w:rPr>
          <w:rFonts w:ascii="Arial" w:hAnsi="Arial"/>
          <w:sz w:val="24"/>
          <w:lang w:val="es-ES"/>
        </w:rPr>
      </w:pPr>
      <w:r>
        <w:rPr>
          <w:rFonts w:ascii="Arial" w:hAnsi="Arial"/>
          <w:position w:val="-26"/>
          <w:sz w:val="24"/>
          <w:lang w:val="es-ES"/>
        </w:rPr>
        <w:object w:dxaOrig="2000" w:dyaOrig="680">
          <v:shape id="_x0000_i1027" type="#_x0000_t75" style="width:99.75pt;height:33.75pt" o:ole="">
            <v:imagedata r:id="rId11" o:title=""/>
          </v:shape>
          <o:OLEObject Type="Embed" ProgID="Equation.3" ShapeID="_x0000_i1027" DrawAspect="Content" ObjectID="_1309683806" r:id="rId12"/>
        </w:object>
      </w: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donde:</w:t>
      </w:r>
    </w:p>
    <w:p w:rsidR="00000000" w:rsidRDefault="00C04CA6">
      <w:pPr>
        <w:rPr>
          <w:rFonts w:ascii="Arial" w:hAnsi="Arial"/>
          <w:sz w:val="24"/>
          <w:lang w:val="es-ES"/>
        </w:rPr>
      </w:pPr>
      <w:r>
        <w:rPr>
          <w:rFonts w:ascii="Arial" w:hAnsi="Arial"/>
          <w:i/>
          <w:sz w:val="24"/>
          <w:lang w:val="es-ES"/>
        </w:rPr>
        <w:t>V</w:t>
      </w:r>
      <w:r>
        <w:rPr>
          <w:rFonts w:ascii="Arial" w:hAnsi="Arial"/>
          <w:sz w:val="24"/>
          <w:lang w:val="es-ES"/>
        </w:rPr>
        <w:t>:  velocidad del gas en chimenea (m/s ó ft/s);</w:t>
      </w:r>
    </w:p>
    <w:p w:rsidR="00000000" w:rsidRDefault="00C04CA6">
      <w:pPr>
        <w:rPr>
          <w:rFonts w:ascii="Arial" w:hAnsi="Arial"/>
          <w:sz w:val="24"/>
          <w:lang w:val="es-ES"/>
        </w:rPr>
      </w:pPr>
      <w:r>
        <w:rPr>
          <w:rFonts w:ascii="Arial" w:hAnsi="Arial"/>
          <w:i/>
          <w:sz w:val="24"/>
          <w:lang w:val="es-ES"/>
        </w:rPr>
        <w:t>Kp</w:t>
      </w:r>
      <w:r>
        <w:rPr>
          <w:rFonts w:ascii="Arial" w:hAnsi="Arial"/>
          <w:sz w:val="24"/>
          <w:lang w:val="es-ES"/>
        </w:rPr>
        <w:t>:  constante de la ecuación de velocidad (34,97 sistema inte</w:t>
      </w:r>
      <w:r>
        <w:rPr>
          <w:rFonts w:ascii="Arial" w:hAnsi="Arial"/>
          <w:sz w:val="24"/>
          <w:lang w:val="es-ES"/>
        </w:rPr>
        <w:t>rnacional  ó  85,49 unidades inglesas);</w:t>
      </w:r>
    </w:p>
    <w:p w:rsidR="00000000" w:rsidRDefault="00C04CA6">
      <w:pPr>
        <w:rPr>
          <w:rFonts w:ascii="Arial" w:hAnsi="Arial"/>
          <w:sz w:val="24"/>
          <w:lang w:val="es-ES"/>
        </w:rPr>
      </w:pPr>
      <w:r>
        <w:rPr>
          <w:rFonts w:ascii="Arial" w:hAnsi="Arial"/>
          <w:i/>
          <w:sz w:val="24"/>
          <w:lang w:val="es-ES"/>
        </w:rPr>
        <w:t>Cp</w:t>
      </w:r>
      <w:r>
        <w:rPr>
          <w:rFonts w:ascii="Arial" w:hAnsi="Arial"/>
          <w:sz w:val="24"/>
          <w:lang w:val="es-ES"/>
        </w:rPr>
        <w:t>:  coeficiente del tubo Pitot, provisto por fabricante (adimensional);</w:t>
      </w:r>
    </w:p>
    <w:p w:rsidR="00000000" w:rsidRDefault="00C04CA6">
      <w:pPr>
        <w:rPr>
          <w:rFonts w:ascii="Arial" w:hAnsi="Arial"/>
          <w:sz w:val="24"/>
          <w:lang w:val="es-ES"/>
        </w:rPr>
      </w:pPr>
      <w:r>
        <w:rPr>
          <w:rFonts w:ascii="Arial" w:hAnsi="Arial"/>
          <w:i/>
          <w:sz w:val="24"/>
          <w:lang w:val="es-ES"/>
        </w:rPr>
        <w:sym w:font="Symbol" w:char="F044"/>
      </w:r>
      <w:r>
        <w:rPr>
          <w:rFonts w:ascii="Arial" w:hAnsi="Arial"/>
          <w:i/>
          <w:sz w:val="24"/>
          <w:lang w:val="es-ES"/>
        </w:rPr>
        <w:t>P</w:t>
      </w:r>
      <w:r>
        <w:rPr>
          <w:rFonts w:ascii="Arial" w:hAnsi="Arial"/>
          <w:sz w:val="24"/>
          <w:lang w:val="es-ES"/>
        </w:rPr>
        <w:t>:  presión de velocidad promedio (mm. H2O ó pulg. H2O);</w:t>
      </w:r>
    </w:p>
    <w:p w:rsidR="00000000" w:rsidRDefault="00C04CA6">
      <w:pPr>
        <w:rPr>
          <w:rFonts w:ascii="Arial" w:hAnsi="Arial"/>
          <w:sz w:val="24"/>
          <w:lang w:val="es-ES"/>
        </w:rPr>
      </w:pPr>
      <w:r>
        <w:rPr>
          <w:rFonts w:ascii="Arial" w:hAnsi="Arial"/>
          <w:i/>
          <w:sz w:val="24"/>
          <w:lang w:val="es-ES"/>
        </w:rPr>
        <w:t>Ts</w:t>
      </w:r>
      <w:r>
        <w:rPr>
          <w:rFonts w:ascii="Arial" w:hAnsi="Arial"/>
          <w:sz w:val="24"/>
          <w:lang w:val="es-ES"/>
        </w:rPr>
        <w:t>:  temperatura absoluta del gas en chimenea (°K ó °R);</w:t>
      </w:r>
    </w:p>
    <w:p w:rsidR="00000000" w:rsidRDefault="00C04CA6">
      <w:pPr>
        <w:ind w:left="360" w:hanging="360"/>
        <w:rPr>
          <w:rFonts w:ascii="Arial" w:hAnsi="Arial"/>
          <w:sz w:val="24"/>
          <w:lang w:val="es-ES"/>
        </w:rPr>
      </w:pPr>
      <w:r>
        <w:rPr>
          <w:rFonts w:ascii="Arial" w:hAnsi="Arial"/>
          <w:i/>
          <w:sz w:val="24"/>
          <w:lang w:val="es-ES"/>
        </w:rPr>
        <w:t>Ps</w:t>
      </w:r>
      <w:r>
        <w:rPr>
          <w:rFonts w:ascii="Arial" w:hAnsi="Arial"/>
          <w:sz w:val="24"/>
          <w:lang w:val="es-ES"/>
        </w:rPr>
        <w:t xml:space="preserve">:  presión total absoluta </w:t>
      </w:r>
      <w:r>
        <w:rPr>
          <w:rFonts w:ascii="Arial" w:hAnsi="Arial"/>
          <w:sz w:val="24"/>
          <w:lang w:val="es-ES"/>
        </w:rPr>
        <w:t>en chimenea = presión atmosférica + presión estática en chimenea (mm Hg ó pulg. Hg);</w:t>
      </w:r>
    </w:p>
    <w:p w:rsidR="00000000" w:rsidRDefault="00C04CA6">
      <w:pPr>
        <w:rPr>
          <w:rFonts w:ascii="Arial" w:hAnsi="Arial"/>
          <w:sz w:val="24"/>
          <w:lang w:val="es-ES"/>
        </w:rPr>
      </w:pPr>
      <w:r>
        <w:rPr>
          <w:rFonts w:ascii="Arial" w:hAnsi="Arial"/>
          <w:i/>
          <w:sz w:val="24"/>
          <w:lang w:val="es-ES"/>
        </w:rPr>
        <w:t>Ms</w:t>
      </w:r>
      <w:r>
        <w:rPr>
          <w:rFonts w:ascii="Arial" w:hAnsi="Arial"/>
          <w:sz w:val="24"/>
          <w:lang w:val="es-ES"/>
        </w:rPr>
        <w:t>:  peso molecular húmedo del gas en chimenea (g/g-mol ó libras/libra-mol);</w:t>
      </w: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El gasto volumétrico de la fuente fija de combustión se obtendrá multiplicando la velocidad p</w:t>
      </w:r>
      <w:r>
        <w:rPr>
          <w:rFonts w:ascii="Arial" w:hAnsi="Arial"/>
          <w:sz w:val="24"/>
          <w:lang w:val="es-ES"/>
        </w:rPr>
        <w:t>romedio del gas por el área transversal del conducto o chimenea en el sitio de medición.</w:t>
      </w:r>
    </w:p>
    <w:p w:rsidR="00000000" w:rsidRDefault="00C04CA6">
      <w:pPr>
        <w:rPr>
          <w:rFonts w:ascii="Arial" w:hAnsi="Arial"/>
          <w:sz w:val="24"/>
          <w:lang w:val="es-ES"/>
        </w:rPr>
      </w:pP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4.2.2.12  Método 3:  procedimiento para la determinación del peso molecular seco de los gases de escape.  Este método comprende:</w:t>
      </w:r>
    </w:p>
    <w:p w:rsidR="00000000" w:rsidRDefault="00C04CA6">
      <w:pPr>
        <w:rPr>
          <w:rFonts w:ascii="Arial" w:hAnsi="Arial"/>
          <w:sz w:val="24"/>
        </w:rPr>
      </w:pPr>
    </w:p>
    <w:p w:rsidR="00000000" w:rsidRDefault="00C04CA6" w:rsidP="00C04CA6">
      <w:pPr>
        <w:numPr>
          <w:ilvl w:val="0"/>
          <w:numId w:val="9"/>
        </w:numPr>
        <w:rPr>
          <w:rFonts w:ascii="Arial" w:hAnsi="Arial"/>
          <w:sz w:val="24"/>
        </w:rPr>
      </w:pPr>
      <w:r>
        <w:rPr>
          <w:rFonts w:ascii="Arial" w:hAnsi="Arial"/>
          <w:sz w:val="24"/>
        </w:rPr>
        <w:t xml:space="preserve">Uso de un analizador de gases para </w:t>
      </w:r>
      <w:r>
        <w:rPr>
          <w:rFonts w:ascii="Arial" w:hAnsi="Arial"/>
          <w:sz w:val="24"/>
        </w:rPr>
        <w:t>determinación de contenido de dióxido de carbono, oxígeno y monóxido de carbono en los gases de escape.  El analizador de gases podrá ser cualquiera de los modelos disponibles localmente, tales como Fyrite, Orsat o analizadores con tecnología de celdas ele</w:t>
      </w:r>
      <w:r>
        <w:rPr>
          <w:rFonts w:ascii="Arial" w:hAnsi="Arial"/>
          <w:sz w:val="24"/>
        </w:rPr>
        <w:t>ctroquímicas.  Se debe reconocer que algunos de estos instrumentos proveen resultados para dos de los tres parámetros requeridos, por lo que se aceptará el uso de cartas, figuras, nomogramas, ecuaciones, u otros medios, que permitan determinar el tercer pa</w:t>
      </w:r>
      <w:r>
        <w:rPr>
          <w:rFonts w:ascii="Arial" w:hAnsi="Arial"/>
          <w:sz w:val="24"/>
        </w:rPr>
        <w:t>rámetro a partir de dos parámetros conocidos.</w:t>
      </w:r>
    </w:p>
    <w:p w:rsidR="00000000" w:rsidRDefault="00C04CA6">
      <w:pPr>
        <w:rPr>
          <w:rFonts w:ascii="Arial" w:hAnsi="Arial"/>
          <w:sz w:val="24"/>
        </w:rPr>
      </w:pPr>
    </w:p>
    <w:p w:rsidR="00000000" w:rsidRDefault="00C04CA6" w:rsidP="00C04CA6">
      <w:pPr>
        <w:numPr>
          <w:ilvl w:val="0"/>
          <w:numId w:val="9"/>
        </w:numPr>
        <w:rPr>
          <w:rFonts w:ascii="Arial" w:hAnsi="Arial"/>
          <w:sz w:val="24"/>
        </w:rPr>
      </w:pPr>
      <w:r>
        <w:rPr>
          <w:rFonts w:ascii="Arial" w:hAnsi="Arial"/>
          <w:sz w:val="24"/>
        </w:rPr>
        <w:t>El peso molecular seco (Md), se determinará mediante la aplicación de la siguiente ecuación:</w:t>
      </w:r>
    </w:p>
    <w:p w:rsidR="00000000" w:rsidRDefault="00C04CA6">
      <w:pPr>
        <w:rPr>
          <w:rFonts w:ascii="Arial" w:hAnsi="Arial"/>
          <w:sz w:val="24"/>
          <w:lang w:val="es-ES"/>
        </w:rPr>
      </w:pPr>
    </w:p>
    <w:p w:rsidR="00000000" w:rsidRDefault="00C04CA6">
      <w:pPr>
        <w:jc w:val="center"/>
        <w:rPr>
          <w:rFonts w:ascii="Arial" w:hAnsi="Arial"/>
          <w:sz w:val="24"/>
          <w:lang w:val="es-ES"/>
        </w:rPr>
      </w:pPr>
      <w:r>
        <w:rPr>
          <w:rFonts w:ascii="Arial" w:hAnsi="Arial"/>
          <w:sz w:val="24"/>
          <w:lang w:val="es-ES"/>
        </w:rPr>
        <w:t>Md = 0.44% CO</w:t>
      </w:r>
      <w:r>
        <w:rPr>
          <w:rFonts w:ascii="Arial" w:hAnsi="Arial"/>
          <w:sz w:val="24"/>
          <w:vertAlign w:val="subscript"/>
          <w:lang w:val="es-ES"/>
        </w:rPr>
        <w:t>2</w:t>
      </w:r>
      <w:r>
        <w:rPr>
          <w:rFonts w:ascii="Arial" w:hAnsi="Arial"/>
          <w:sz w:val="24"/>
          <w:lang w:val="es-ES"/>
        </w:rPr>
        <w:t xml:space="preserve"> + 0.32% O</w:t>
      </w:r>
      <w:r>
        <w:rPr>
          <w:rFonts w:ascii="Arial" w:hAnsi="Arial"/>
          <w:sz w:val="24"/>
          <w:vertAlign w:val="subscript"/>
          <w:lang w:val="es-ES"/>
        </w:rPr>
        <w:t>2</w:t>
      </w:r>
      <w:r>
        <w:rPr>
          <w:rFonts w:ascii="Arial" w:hAnsi="Arial"/>
          <w:sz w:val="24"/>
          <w:lang w:val="es-ES"/>
        </w:rPr>
        <w:t xml:space="preserve"> + 0.28% CO + 0.28% N</w:t>
      </w:r>
      <w:r>
        <w:rPr>
          <w:rFonts w:ascii="Arial" w:hAnsi="Arial"/>
          <w:sz w:val="24"/>
          <w:vertAlign w:val="subscript"/>
          <w:lang w:val="es-ES"/>
        </w:rPr>
        <w:t>2</w:t>
      </w:r>
    </w:p>
    <w:p w:rsidR="00000000" w:rsidRDefault="00C04CA6">
      <w:pPr>
        <w:rPr>
          <w:rFonts w:ascii="Arial" w:hAnsi="Arial"/>
          <w:sz w:val="24"/>
          <w:lang w:val="es-ES"/>
        </w:rPr>
      </w:pPr>
    </w:p>
    <w:p w:rsidR="00000000" w:rsidRDefault="00C04CA6">
      <w:pPr>
        <w:ind w:left="708"/>
        <w:rPr>
          <w:rFonts w:ascii="Arial" w:hAnsi="Arial"/>
          <w:sz w:val="24"/>
        </w:rPr>
      </w:pPr>
      <w:r>
        <w:rPr>
          <w:rFonts w:ascii="Arial" w:hAnsi="Arial"/>
          <w:sz w:val="24"/>
        </w:rPr>
        <w:t>El porcentaje de nitrógeno N</w:t>
      </w:r>
      <w:r>
        <w:rPr>
          <w:rFonts w:ascii="Arial" w:hAnsi="Arial"/>
          <w:sz w:val="24"/>
          <w:vertAlign w:val="subscript"/>
        </w:rPr>
        <w:t>2</w:t>
      </w:r>
      <w:r>
        <w:rPr>
          <w:rFonts w:ascii="Arial" w:hAnsi="Arial"/>
          <w:sz w:val="24"/>
        </w:rPr>
        <w:t xml:space="preserve"> se obtendrá restando del 100%, el % </w:t>
      </w:r>
      <w:r>
        <w:rPr>
          <w:rFonts w:ascii="Arial" w:hAnsi="Arial"/>
          <w:sz w:val="24"/>
        </w:rPr>
        <w:t>de CO</w:t>
      </w:r>
      <w:r>
        <w:rPr>
          <w:rFonts w:ascii="Arial" w:hAnsi="Arial"/>
          <w:sz w:val="24"/>
          <w:vertAlign w:val="subscript"/>
        </w:rPr>
        <w:t>2</w:t>
      </w:r>
      <w:r>
        <w:rPr>
          <w:rFonts w:ascii="Arial" w:hAnsi="Arial"/>
          <w:sz w:val="24"/>
        </w:rPr>
        <w:t>, el % de O</w:t>
      </w:r>
      <w:r>
        <w:rPr>
          <w:rFonts w:ascii="Arial" w:hAnsi="Arial"/>
          <w:sz w:val="24"/>
          <w:vertAlign w:val="subscript"/>
        </w:rPr>
        <w:t>2</w:t>
      </w:r>
      <w:r>
        <w:rPr>
          <w:rFonts w:ascii="Arial" w:hAnsi="Arial"/>
          <w:sz w:val="24"/>
        </w:rPr>
        <w:t xml:space="preserve"> y el % de CO.</w:t>
      </w:r>
    </w:p>
    <w:p w:rsidR="00000000" w:rsidRDefault="00C04CA6">
      <w:pPr>
        <w:ind w:left="708"/>
        <w:rPr>
          <w:rFonts w:ascii="Arial" w:hAnsi="Arial"/>
          <w:sz w:val="24"/>
        </w:rPr>
      </w:pPr>
    </w:p>
    <w:p w:rsidR="00000000" w:rsidRDefault="00C04CA6" w:rsidP="00C04CA6">
      <w:pPr>
        <w:numPr>
          <w:ilvl w:val="0"/>
          <w:numId w:val="9"/>
        </w:numPr>
        <w:rPr>
          <w:rFonts w:ascii="Arial" w:hAnsi="Arial"/>
          <w:sz w:val="24"/>
        </w:rPr>
      </w:pPr>
      <w:r>
        <w:rPr>
          <w:rFonts w:ascii="Arial" w:hAnsi="Arial"/>
          <w:sz w:val="24"/>
        </w:rPr>
        <w:t>Cuando no sea posible determinar el contenido de dióxido de carbono, de oxígeno y de monóxido de carbono en los gases de escape, se podrá utilizar el valor de 30,0 (treinta) para el peso molecular seco, siempre que la fuen</w:t>
      </w:r>
      <w:r>
        <w:rPr>
          <w:rFonts w:ascii="Arial" w:hAnsi="Arial"/>
          <w:sz w:val="24"/>
        </w:rPr>
        <w:t>te fija opere con combustibles fósiles sólido, líquido o gaseoso.</w:t>
      </w:r>
    </w:p>
    <w:p w:rsidR="00000000" w:rsidRDefault="00C04CA6">
      <w:pPr>
        <w:rPr>
          <w:rFonts w:ascii="Arial" w:hAnsi="Arial"/>
          <w:sz w:val="24"/>
        </w:rPr>
      </w:pPr>
    </w:p>
    <w:p w:rsidR="00000000" w:rsidRDefault="00C04CA6">
      <w:pPr>
        <w:rPr>
          <w:rFonts w:ascii="Arial" w:hAnsi="Arial"/>
          <w:sz w:val="24"/>
          <w:lang w:val="es-ES"/>
        </w:rPr>
      </w:pPr>
      <w:r>
        <w:rPr>
          <w:rFonts w:ascii="Arial" w:hAnsi="Arial"/>
          <w:sz w:val="24"/>
          <w:lang w:val="es-ES"/>
        </w:rPr>
        <w:t>4.2.2.13  Método 4:  procedimiento para la determinación de contenido de humedad de los gases de escape.  Este método comprende:</w:t>
      </w:r>
    </w:p>
    <w:p w:rsidR="00000000" w:rsidRDefault="00C04CA6">
      <w:pPr>
        <w:rPr>
          <w:rFonts w:ascii="Arial" w:hAnsi="Arial"/>
          <w:sz w:val="24"/>
          <w:lang w:val="es-ES"/>
        </w:rPr>
      </w:pPr>
    </w:p>
    <w:p w:rsidR="00000000" w:rsidRDefault="00C04CA6" w:rsidP="00C04CA6">
      <w:pPr>
        <w:numPr>
          <w:ilvl w:val="0"/>
          <w:numId w:val="10"/>
        </w:numPr>
        <w:rPr>
          <w:rFonts w:ascii="Arial" w:hAnsi="Arial"/>
          <w:sz w:val="24"/>
        </w:rPr>
      </w:pPr>
      <w:r>
        <w:rPr>
          <w:rFonts w:ascii="Arial" w:hAnsi="Arial"/>
          <w:sz w:val="24"/>
        </w:rPr>
        <w:t>Extracción de una muestra a un gasto constante.  Se procura</w:t>
      </w:r>
      <w:r>
        <w:rPr>
          <w:rFonts w:ascii="Arial" w:hAnsi="Arial"/>
          <w:sz w:val="24"/>
        </w:rPr>
        <w:t>rá que el volumen de gas colectado sea, por lo menos, de 0,60 metros cúbicos, a condiciones de referencia, y el gasto de succión del gas no sea mayor a 0,020 metros cúbicos por minuto (0,75 pies cúbicos por minuto).  La colección de gas se efectuará con la</w:t>
      </w:r>
      <w:r>
        <w:rPr>
          <w:rFonts w:ascii="Arial" w:hAnsi="Arial"/>
          <w:sz w:val="24"/>
        </w:rPr>
        <w:t xml:space="preserve"> sonda provista por el equipo de medición, y contará con dispositivo de calentamiento de la misma, a fin de evitar la condensación de humedad.</w:t>
      </w:r>
    </w:p>
    <w:p w:rsidR="00000000" w:rsidRDefault="00C04CA6">
      <w:pPr>
        <w:rPr>
          <w:rFonts w:ascii="Arial" w:hAnsi="Arial"/>
          <w:sz w:val="24"/>
        </w:rPr>
      </w:pPr>
    </w:p>
    <w:p w:rsidR="00000000" w:rsidRDefault="00C04CA6" w:rsidP="00C04CA6">
      <w:pPr>
        <w:numPr>
          <w:ilvl w:val="0"/>
          <w:numId w:val="10"/>
        </w:numPr>
        <w:rPr>
          <w:rFonts w:ascii="Arial" w:hAnsi="Arial"/>
          <w:sz w:val="24"/>
        </w:rPr>
      </w:pPr>
      <w:r>
        <w:rPr>
          <w:rFonts w:ascii="Arial" w:hAnsi="Arial"/>
          <w:sz w:val="24"/>
        </w:rPr>
        <w:t>Remoción de la humedad de la muestra.  El equipo a utilizarse será, en diseño, igual al utilizado en el método 5</w:t>
      </w:r>
      <w:r>
        <w:rPr>
          <w:rFonts w:ascii="Arial" w:hAnsi="Arial"/>
          <w:sz w:val="24"/>
        </w:rPr>
        <w:t>, determinación de emisión de partículas.  El equipo consiste de una sección de cuatro impactadores o envases de vidrio, de los cuales dos serán llenados con agua, y el cuarto impactador será llenado con sílica gel.  Previo a la medición se registrará el p</w:t>
      </w:r>
      <w:r>
        <w:rPr>
          <w:rFonts w:ascii="Arial" w:hAnsi="Arial"/>
          <w:sz w:val="24"/>
        </w:rPr>
        <w:t>eso de estos tres envases, tanto llenos con agua como llenos con sílica gel.  Todos los impactadores se encontrarán alojados en una caja, llenada con hielo, a fin de permitir la condensación de la humedad presente en los gases de chimenea.</w:t>
      </w:r>
    </w:p>
    <w:p w:rsidR="00000000" w:rsidRDefault="00C04CA6">
      <w:pPr>
        <w:rPr>
          <w:rFonts w:ascii="Arial" w:hAnsi="Arial"/>
          <w:sz w:val="24"/>
        </w:rPr>
      </w:pPr>
    </w:p>
    <w:p w:rsidR="00000000" w:rsidRDefault="00C04CA6" w:rsidP="00C04CA6">
      <w:pPr>
        <w:numPr>
          <w:ilvl w:val="0"/>
          <w:numId w:val="10"/>
        </w:numPr>
        <w:rPr>
          <w:rFonts w:ascii="Arial" w:hAnsi="Arial"/>
          <w:sz w:val="24"/>
        </w:rPr>
      </w:pPr>
      <w:r>
        <w:rPr>
          <w:rFonts w:ascii="Arial" w:hAnsi="Arial"/>
          <w:sz w:val="24"/>
        </w:rPr>
        <w:t>Determinación g</w:t>
      </w:r>
      <w:r>
        <w:rPr>
          <w:rFonts w:ascii="Arial" w:hAnsi="Arial"/>
          <w:sz w:val="24"/>
        </w:rPr>
        <w:t>ravimétrica y volumétrica de la humedad colectada.  Posterior a la toma de muestra, se determinará el contenido de humedad mediante el incremento de volumen de agua colectada en los impactadores, y, mediante el incremento de peso en el impactador llenado c</w:t>
      </w:r>
      <w:r>
        <w:rPr>
          <w:rFonts w:ascii="Arial" w:hAnsi="Arial"/>
          <w:sz w:val="24"/>
        </w:rPr>
        <w:t>on sílica gel.</w:t>
      </w: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4.2.2.14  Los resultados que se obtengan, de volumen de agua colectada y de peso de agua colectada, serán corregidos a las condiciones de referencia.  El contenido de humedad, en los gases de chimenea, será la razón entre el volumen total d</w:t>
      </w:r>
      <w:r>
        <w:rPr>
          <w:rFonts w:ascii="Arial" w:hAnsi="Arial"/>
          <w:sz w:val="24"/>
          <w:lang w:val="es-ES"/>
        </w:rPr>
        <w:t>e agua colectada dividido para dicho volumen más el volumen de gas seco, este último determinado por el equipo de muestreo.</w:t>
      </w: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4.2.2.15  Como alternativa al método descrito, serán aceptables los métodos de estimación tales como técnicas de condensación, técn</w:t>
      </w:r>
      <w:r>
        <w:rPr>
          <w:rFonts w:ascii="Arial" w:hAnsi="Arial"/>
          <w:sz w:val="24"/>
          <w:lang w:val="es-ES"/>
        </w:rPr>
        <w:t>icas psicrométricas mediante temperatura de bulbo seco y de bulbo húmedo, cálculos estequiométricos, experiencias previas, entre otros.</w:t>
      </w:r>
    </w:p>
    <w:p w:rsidR="00000000" w:rsidRDefault="00C04CA6">
      <w:pPr>
        <w:rPr>
          <w:rFonts w:ascii="Arial" w:hAnsi="Arial"/>
          <w:sz w:val="24"/>
        </w:rPr>
      </w:pPr>
    </w:p>
    <w:p w:rsidR="00000000" w:rsidRDefault="00C04CA6">
      <w:pPr>
        <w:rPr>
          <w:rFonts w:ascii="Arial" w:hAnsi="Arial"/>
          <w:sz w:val="24"/>
          <w:lang w:val="es-ES"/>
        </w:rPr>
      </w:pPr>
      <w:r>
        <w:rPr>
          <w:rFonts w:ascii="Arial" w:hAnsi="Arial"/>
          <w:sz w:val="24"/>
        </w:rPr>
        <w:t xml:space="preserve">4.2.2.16  Método 5:  </w:t>
      </w:r>
      <w:r>
        <w:rPr>
          <w:rFonts w:ascii="Arial" w:hAnsi="Arial"/>
          <w:sz w:val="24"/>
          <w:lang w:val="es-ES"/>
        </w:rPr>
        <w:t>procedimiento para la determinación de emisión de partículas desde la fuente fija.  Este método co</w:t>
      </w:r>
      <w:r>
        <w:rPr>
          <w:rFonts w:ascii="Arial" w:hAnsi="Arial"/>
          <w:sz w:val="24"/>
          <w:lang w:val="es-ES"/>
        </w:rPr>
        <w:t>mprende:</w:t>
      </w:r>
    </w:p>
    <w:p w:rsidR="00000000" w:rsidRDefault="00C04CA6">
      <w:pPr>
        <w:rPr>
          <w:rFonts w:ascii="Arial" w:hAnsi="Arial"/>
          <w:sz w:val="24"/>
          <w:lang w:val="es-ES"/>
        </w:rPr>
      </w:pPr>
    </w:p>
    <w:p w:rsidR="00000000" w:rsidRDefault="00C04CA6" w:rsidP="00C04CA6">
      <w:pPr>
        <w:numPr>
          <w:ilvl w:val="0"/>
          <w:numId w:val="11"/>
        </w:numPr>
        <w:rPr>
          <w:rFonts w:ascii="Arial" w:hAnsi="Arial"/>
          <w:sz w:val="24"/>
        </w:rPr>
      </w:pPr>
      <w:r>
        <w:rPr>
          <w:rFonts w:ascii="Arial" w:hAnsi="Arial"/>
          <w:sz w:val="24"/>
        </w:rPr>
        <w:t xml:space="preserve">Colección de muestras mediante el equipo denominado tren isocinético.  Este equipo consiste de cuatro secciones principales:  la sonda de captación de partículas, la sección de filtro, la sección de condensación de humedad, o de impactadores, y, </w:t>
      </w:r>
      <w:r>
        <w:rPr>
          <w:rFonts w:ascii="Arial" w:hAnsi="Arial"/>
          <w:sz w:val="24"/>
        </w:rPr>
        <w:t>la sección de medidor de volumen de gas seco muestreado.  Las mediciones a efectuarse deberán incluir la descripción técnica del equipo tren isocinético, el cual necesariamente deberá proveer las especificaciones del fabricante, y en las que se especifique</w:t>
      </w:r>
      <w:r>
        <w:rPr>
          <w:rFonts w:ascii="Arial" w:hAnsi="Arial"/>
          <w:sz w:val="24"/>
        </w:rPr>
        <w:t xml:space="preserve"> que el equipo cumple con el método promulgado por la US EPA.</w:t>
      </w:r>
    </w:p>
    <w:p w:rsidR="00000000" w:rsidRDefault="00C04CA6" w:rsidP="00C04CA6">
      <w:pPr>
        <w:numPr>
          <w:ilvl w:val="0"/>
          <w:numId w:val="11"/>
        </w:numPr>
        <w:rPr>
          <w:rFonts w:ascii="Arial" w:hAnsi="Arial"/>
          <w:sz w:val="24"/>
        </w:rPr>
      </w:pPr>
      <w:r>
        <w:rPr>
          <w:rFonts w:ascii="Arial" w:hAnsi="Arial"/>
          <w:sz w:val="24"/>
        </w:rPr>
        <w:t>Las muestras de partículas serán colectadas, en cada uno de los puntos de muestreo al interior de la chimenea, definidos en el método 1, durante un período de cinco (5) minutos en cada uno de di</w:t>
      </w:r>
      <w:r>
        <w:rPr>
          <w:rFonts w:ascii="Arial" w:hAnsi="Arial"/>
          <w:sz w:val="24"/>
        </w:rPr>
        <w:t>chos puntos.  En ningún caso el tiempo de muestreo, en cada punto, será inferior a tres (3) minutos.</w:t>
      </w:r>
    </w:p>
    <w:p w:rsidR="00000000" w:rsidRDefault="00C04CA6" w:rsidP="00C04CA6">
      <w:pPr>
        <w:numPr>
          <w:ilvl w:val="0"/>
          <w:numId w:val="11"/>
        </w:numPr>
        <w:rPr>
          <w:rFonts w:ascii="Arial" w:hAnsi="Arial"/>
          <w:sz w:val="24"/>
        </w:rPr>
      </w:pPr>
      <w:r>
        <w:rPr>
          <w:rFonts w:ascii="Arial" w:hAnsi="Arial"/>
          <w:sz w:val="24"/>
        </w:rPr>
        <w:t>La condición de isocinetismo aceptada deberá estar comprendida entre 90 y 110%.</w:t>
      </w:r>
    </w:p>
    <w:p w:rsidR="00000000" w:rsidRDefault="00C04CA6" w:rsidP="00C04CA6">
      <w:pPr>
        <w:numPr>
          <w:ilvl w:val="0"/>
          <w:numId w:val="11"/>
        </w:numPr>
        <w:rPr>
          <w:rFonts w:ascii="Arial" w:hAnsi="Arial"/>
          <w:sz w:val="24"/>
        </w:rPr>
      </w:pPr>
      <w:r>
        <w:rPr>
          <w:rFonts w:ascii="Arial" w:hAnsi="Arial"/>
          <w:sz w:val="24"/>
        </w:rPr>
        <w:t>Previo a la ejecución de mediciones, se deberá efectuar una prueba de detec</w:t>
      </w:r>
      <w:r>
        <w:rPr>
          <w:rFonts w:ascii="Arial" w:hAnsi="Arial"/>
          <w:sz w:val="24"/>
        </w:rPr>
        <w:t>ción de fugas en el equipo de muestreo, una vez armado en el sitio.</w:t>
      </w:r>
    </w:p>
    <w:p w:rsidR="00000000" w:rsidRDefault="00C04CA6" w:rsidP="00C04CA6">
      <w:pPr>
        <w:numPr>
          <w:ilvl w:val="0"/>
          <w:numId w:val="11"/>
        </w:numPr>
        <w:rPr>
          <w:rFonts w:ascii="Arial" w:hAnsi="Arial"/>
          <w:sz w:val="24"/>
        </w:rPr>
      </w:pPr>
      <w:r>
        <w:rPr>
          <w:rFonts w:ascii="Arial" w:hAnsi="Arial"/>
          <w:sz w:val="24"/>
        </w:rPr>
        <w:t>La masa de partículas se determinará gravimétricamente, esto es, mediante la diferencia de peso en el filtro a la finalización de la medición con respecto al peso previo al inicio de la mi</w:t>
      </w:r>
      <w:r>
        <w:rPr>
          <w:rFonts w:ascii="Arial" w:hAnsi="Arial"/>
          <w:sz w:val="24"/>
        </w:rPr>
        <w:t>sma.</w:t>
      </w:r>
    </w:p>
    <w:p w:rsidR="00000000" w:rsidRDefault="00C04CA6" w:rsidP="00C04CA6">
      <w:pPr>
        <w:numPr>
          <w:ilvl w:val="0"/>
          <w:numId w:val="11"/>
        </w:numPr>
        <w:rPr>
          <w:rFonts w:ascii="Arial" w:hAnsi="Arial"/>
          <w:sz w:val="24"/>
        </w:rPr>
      </w:pPr>
      <w:r>
        <w:rPr>
          <w:rFonts w:ascii="Arial" w:hAnsi="Arial"/>
          <w:sz w:val="24"/>
        </w:rPr>
        <w:t xml:space="preserve">Además, se determinará el peso de aquellas partículas captadas en la sonda de muestreo.  Para esto, se realizará un enjuague del interior de la sonda, de la boquilla de succión de la sonda, y de accesorios de esta,  utilizando para el efecto acetona. </w:t>
      </w:r>
      <w:r>
        <w:rPr>
          <w:rFonts w:ascii="Arial" w:hAnsi="Arial"/>
          <w:sz w:val="24"/>
        </w:rPr>
        <w:t xml:space="preserve"> El líquido colectado será almacenado en un frasco de vidrio, y llevado a laboratorio, en donde será transferido a un vaso de precipitación, será registrado su peso inicial, y se dejará evaporar el solvente a temperatura y presión ambiente.  El vaso será s</w:t>
      </w:r>
      <w:r>
        <w:rPr>
          <w:rFonts w:ascii="Arial" w:hAnsi="Arial"/>
          <w:sz w:val="24"/>
        </w:rPr>
        <w:t>ecado por un período de 24 horas y registrado su peso final.</w:t>
      </w:r>
    </w:p>
    <w:p w:rsidR="00000000" w:rsidRDefault="00C04CA6" w:rsidP="00C04CA6">
      <w:pPr>
        <w:numPr>
          <w:ilvl w:val="0"/>
          <w:numId w:val="11"/>
        </w:numPr>
        <w:rPr>
          <w:rFonts w:ascii="Arial" w:hAnsi="Arial"/>
          <w:sz w:val="24"/>
        </w:rPr>
      </w:pPr>
      <w:r>
        <w:rPr>
          <w:rFonts w:ascii="Arial" w:hAnsi="Arial"/>
          <w:sz w:val="24"/>
        </w:rPr>
        <w:t>La masa total de partículas colectadas será la suma de las partículas obtenidas en el filtro más aquellas captadas al interior de la sonda de muestreo.</w:t>
      </w:r>
    </w:p>
    <w:p w:rsidR="00000000" w:rsidRDefault="00C04CA6" w:rsidP="00C04CA6">
      <w:pPr>
        <w:numPr>
          <w:ilvl w:val="0"/>
          <w:numId w:val="11"/>
        </w:numPr>
        <w:rPr>
          <w:rFonts w:ascii="Arial" w:hAnsi="Arial"/>
          <w:sz w:val="24"/>
        </w:rPr>
      </w:pPr>
      <w:r>
        <w:rPr>
          <w:rFonts w:ascii="Arial" w:hAnsi="Arial"/>
          <w:sz w:val="24"/>
        </w:rPr>
        <w:t xml:space="preserve">La concentración de partículas emitidas, a </w:t>
      </w:r>
      <w:r>
        <w:rPr>
          <w:rFonts w:ascii="Arial" w:hAnsi="Arial"/>
          <w:sz w:val="24"/>
        </w:rPr>
        <w:t>expresarse en miligramos por metro cúbico de aire seco, será la masa total de partículas dividida para el volumen total de gas seco muestreado, y corregido a las condiciones de referencia.</w:t>
      </w:r>
    </w:p>
    <w:p w:rsidR="00000000" w:rsidRDefault="00C04CA6">
      <w:pPr>
        <w:rPr>
          <w:rFonts w:ascii="Arial" w:hAnsi="Arial"/>
          <w:sz w:val="24"/>
        </w:rPr>
      </w:pPr>
    </w:p>
    <w:p w:rsidR="00000000" w:rsidRDefault="00C04CA6">
      <w:pPr>
        <w:rPr>
          <w:rFonts w:ascii="Arial" w:hAnsi="Arial"/>
          <w:sz w:val="24"/>
          <w:lang w:val="es-ES"/>
        </w:rPr>
      </w:pPr>
      <w:r>
        <w:rPr>
          <w:rFonts w:ascii="Arial" w:hAnsi="Arial"/>
          <w:sz w:val="24"/>
          <w:lang w:val="es-ES"/>
        </w:rPr>
        <w:t>4.2.2.17  Métodos para determinación de emisión de dióxido de azuf</w:t>
      </w:r>
      <w:r>
        <w:rPr>
          <w:rFonts w:ascii="Arial" w:hAnsi="Arial"/>
          <w:sz w:val="24"/>
          <w:lang w:val="es-ES"/>
        </w:rPr>
        <w:t>re y de óxidos de nitrógeno desde una fuente fija.-  Esta determinación se realizará mediante uno de los dos sistemas de medición aquí propuestos, estos son, con el uso de instrumentación basada en analizadores portátiles, o, con el uso de los procedimient</w:t>
      </w:r>
      <w:r>
        <w:rPr>
          <w:rFonts w:ascii="Arial" w:hAnsi="Arial"/>
          <w:sz w:val="24"/>
          <w:lang w:val="es-ES"/>
        </w:rPr>
        <w:t>os de colección, recuperación y análisis en laboratorio de muestras colectadas.  Se especificará claramente el método utilizado en la medición de emisiones.</w:t>
      </w: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4.2.2.18  Uso de analizadores portátiles.-  se utilizarán equipos disponibles en el mercado, que r</w:t>
      </w:r>
      <w:r>
        <w:rPr>
          <w:rFonts w:ascii="Arial" w:hAnsi="Arial"/>
          <w:sz w:val="24"/>
          <w:lang w:val="es-ES"/>
        </w:rPr>
        <w:t>eporten las emisiones de dióxido de azufre y/o de óxidos de nitrógeno en base a técnicas tales como de fluorescencia, ultravioleta, e infrarrojo no dispersivo, para el caso de dióxido de azufre, o, de quimiluminiscencia, para el caso de óxidos de nitrógeno</w:t>
      </w:r>
      <w:r>
        <w:rPr>
          <w:rFonts w:ascii="Arial" w:hAnsi="Arial"/>
          <w:sz w:val="24"/>
          <w:lang w:val="es-ES"/>
        </w:rPr>
        <w:t>.  Otra opción consiste en la utilización de analizadores portátiles, que operan con tecnología de celdas electroquímicas, y diseñados para medición también de dióxido de azufre y de óxidos de nitrógeno.</w:t>
      </w: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4.2.2.19  De utilizarse analizadores portátiles, se</w:t>
      </w:r>
      <w:r>
        <w:rPr>
          <w:rFonts w:ascii="Arial" w:hAnsi="Arial"/>
          <w:sz w:val="24"/>
          <w:lang w:val="es-ES"/>
        </w:rPr>
        <w:t>a con cualquiera de las técnicas descritas en 4.2.2.18, estos equipos deberán contar con los respectivos certificados de calibración, otorgados por el fabricante de los mismos.</w:t>
      </w: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4.2.2.20  Los analizadores deberán contar con los accesorios que permitan el a</w:t>
      </w:r>
      <w:r>
        <w:rPr>
          <w:rFonts w:ascii="Arial" w:hAnsi="Arial"/>
          <w:sz w:val="24"/>
          <w:lang w:val="es-ES"/>
        </w:rPr>
        <w:t>condicionamiento de la muestra de gases en chimenea, previo al ingreso de la misma a la sección de medición.  El sistema de medición deberá contar con una sonda de admisión del gas en chimenea, provista de sección de calentamiento o similar, que garanticen</w:t>
      </w:r>
      <w:r>
        <w:rPr>
          <w:rFonts w:ascii="Arial" w:hAnsi="Arial"/>
          <w:sz w:val="24"/>
          <w:lang w:val="es-ES"/>
        </w:rPr>
        <w:t xml:space="preserve"> la no condensación de vapor de agua presente en la muestra y evitar así la consiguiente absorción de dióxido de azufre o de óxidos de nitrógeno en el líquido condensado. Si el analizador reporta los resultados en base seca, el sistema de medición deberá c</w:t>
      </w:r>
      <w:r>
        <w:rPr>
          <w:rFonts w:ascii="Arial" w:hAnsi="Arial"/>
          <w:sz w:val="24"/>
          <w:lang w:val="es-ES"/>
        </w:rPr>
        <w:t>ontar con una unidad de condensación, o dispositivo similar, que garanticen la purga o evacuación del vapor de agua condensado, y al mismo tiempo, minimice el contacto entre la muestra de gases y el líquido condensado.  Se aceptarán también equipos analiza</w:t>
      </w:r>
      <w:r>
        <w:rPr>
          <w:rFonts w:ascii="Arial" w:hAnsi="Arial"/>
          <w:sz w:val="24"/>
          <w:lang w:val="es-ES"/>
        </w:rPr>
        <w:t>dores que determinen concentraciones de SO2 y/o de NOx en base húmeda, siempre que los resultados sean convertidos a concentración en base seca mediante métodos apropiados.</w:t>
      </w: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 xml:space="preserve">4.2.2.21  Los </w:t>
      </w:r>
      <w:r>
        <w:rPr>
          <w:rFonts w:ascii="Arial" w:hAnsi="Arial"/>
          <w:sz w:val="24"/>
        </w:rPr>
        <w:t>analizadores que utilicen la técnica de celdas electroquímicas deber</w:t>
      </w:r>
      <w:r>
        <w:rPr>
          <w:rFonts w:ascii="Arial" w:hAnsi="Arial"/>
          <w:sz w:val="24"/>
        </w:rPr>
        <w:t>án contar con celdas individuales tanto para medir el óxido nitroso NO como el dióxido de nitrógeno NO</w:t>
      </w:r>
      <w:r>
        <w:rPr>
          <w:rFonts w:ascii="Arial" w:hAnsi="Arial"/>
          <w:sz w:val="24"/>
          <w:vertAlign w:val="subscript"/>
        </w:rPr>
        <w:t>2</w:t>
      </w:r>
      <w:r>
        <w:rPr>
          <w:rFonts w:ascii="Arial" w:hAnsi="Arial"/>
          <w:sz w:val="24"/>
        </w:rPr>
        <w:t xml:space="preserve"> y reportarán los resultados de emisión de óxidos de nitrógeno como la suma de óxido nitroso (NO) y de dióxido de nitrógeno (NO</w:t>
      </w:r>
      <w:r>
        <w:rPr>
          <w:rFonts w:ascii="Arial" w:hAnsi="Arial"/>
          <w:sz w:val="24"/>
          <w:vertAlign w:val="subscript"/>
        </w:rPr>
        <w:t>2</w:t>
      </w:r>
      <w:r>
        <w:rPr>
          <w:rFonts w:ascii="Arial" w:hAnsi="Arial"/>
          <w:sz w:val="24"/>
        </w:rPr>
        <w:t>)</w:t>
      </w:r>
      <w:r>
        <w:rPr>
          <w:rFonts w:ascii="Arial" w:hAnsi="Arial"/>
          <w:sz w:val="24"/>
          <w:lang w:val="es-ES"/>
        </w:rPr>
        <w:t>.  En el caso de analiza</w:t>
      </w:r>
      <w:r>
        <w:rPr>
          <w:rFonts w:ascii="Arial" w:hAnsi="Arial"/>
          <w:sz w:val="24"/>
          <w:lang w:val="es-ES"/>
        </w:rPr>
        <w:t>dores que utilicen la técnica de quimiluminiscencia, los resultados se reportarán directamente como total de óxidos de nitrógeno expresados como NO2.</w:t>
      </w: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4.2.2.22  La medición de NOx y de SO2, utilizando cualquier tipo de equipo analizador portátil, se efectu</w:t>
      </w:r>
      <w:r>
        <w:rPr>
          <w:rFonts w:ascii="Arial" w:hAnsi="Arial"/>
          <w:sz w:val="24"/>
          <w:lang w:val="es-ES"/>
        </w:rPr>
        <w:t xml:space="preserve">ará seleccionando el número de puntos al interior de la sección de chimenea que se determine según lo descrito en el método 1 de esta norma técnica.  </w:t>
      </w: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4.2.2.23  Método de laboratorio para SO2.-  el método consiste en la retención de SO2 por medio de una r</w:t>
      </w:r>
      <w:r>
        <w:rPr>
          <w:rFonts w:ascii="Arial" w:hAnsi="Arial"/>
          <w:sz w:val="24"/>
          <w:lang w:val="es-ES"/>
        </w:rPr>
        <w:t>eacción química irreversible y la posterior determinación de la concentración mediante titulación de bario–torina.  En este método, se colectará una muestra de gas en un equipo similar al tren de muestreo descrito en el método 5.  Los reactivos necesarios,</w:t>
      </w:r>
      <w:r>
        <w:rPr>
          <w:rFonts w:ascii="Arial" w:hAnsi="Arial"/>
          <w:sz w:val="24"/>
          <w:lang w:val="es-ES"/>
        </w:rPr>
        <w:t xml:space="preserve"> así como las características de los componentes del equipo serán aquellos descritos en el método 6 promulgado por la US EPA (40 CFR 60).  El equipo deberá contar con un medidor del volumen de gas seco colectado.  La muestra se colectará en un único punto,</w:t>
      </w:r>
      <w:r>
        <w:rPr>
          <w:rFonts w:ascii="Arial" w:hAnsi="Arial"/>
          <w:sz w:val="24"/>
          <w:lang w:val="es-ES"/>
        </w:rPr>
        <w:t xml:space="preserve"> situado en el centro geométrico interior de la chimenea o conducto, y durante un período de treinta (30) minutos, a fin de asegurar la representatividad de la muestra.  Se inspeccionará cada cinco (5) minutos la proporcionalidad del flujo seleccionado.  P</w:t>
      </w:r>
      <w:r>
        <w:rPr>
          <w:rFonts w:ascii="Arial" w:hAnsi="Arial"/>
          <w:sz w:val="24"/>
          <w:lang w:val="es-ES"/>
        </w:rPr>
        <w:t>ara una medición completa, se colectarán seis (6) muestras individuales.</w:t>
      </w: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4.2.2.24  Método de laboratorio para NOx.-  se colecta una muestra en un frasco al que se ha efectuado vacío previamente, este envase contiene una solución absorbente diluida de ácid</w:t>
      </w:r>
      <w:r>
        <w:rPr>
          <w:rFonts w:ascii="Arial" w:hAnsi="Arial"/>
          <w:sz w:val="24"/>
          <w:lang w:val="es-ES"/>
        </w:rPr>
        <w:t xml:space="preserve">o sulfúrico y peróxido de hidrógeno.  La muestra es posteriormente analizada en laboratorio colorimétricamente, utilizándose el procedimiento del ácido fenoldisulfónico.  Los reactivos necesarios, los procedimientos de preparación, muestreo y recuperación </w:t>
      </w:r>
      <w:r>
        <w:rPr>
          <w:rFonts w:ascii="Arial" w:hAnsi="Arial"/>
          <w:sz w:val="24"/>
          <w:lang w:val="es-ES"/>
        </w:rPr>
        <w:t>de muestras, así como las características de los procedimientos de análisis de las muestras, serán aquellos descritos en el método 7 promulgado por la US EPA (40 CFR 60).  Los resultados se expresarán como NO2.  La muestra se colectará en un único punto, s</w:t>
      </w:r>
      <w:r>
        <w:rPr>
          <w:rFonts w:ascii="Arial" w:hAnsi="Arial"/>
          <w:sz w:val="24"/>
          <w:lang w:val="es-ES"/>
        </w:rPr>
        <w:t>ituado en el centro geométrico interior de la chimenea o conducto.  Para una medición completa, se colectarán doce (12) muestras individuales.</w:t>
      </w: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 xml:space="preserve">4.2.3  </w:t>
      </w:r>
      <w:r>
        <w:rPr>
          <w:rFonts w:ascii="Arial" w:hAnsi="Arial"/>
          <w:sz w:val="24"/>
          <w:u w:val="single"/>
          <w:lang w:val="es-ES"/>
        </w:rPr>
        <w:t>De la frecuencia de medición de emisiones al aire desde fuentes fijas de combustión</w:t>
      </w: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4.2.3.1  Las fuentes</w:t>
      </w:r>
      <w:r>
        <w:rPr>
          <w:rFonts w:ascii="Arial" w:hAnsi="Arial"/>
          <w:sz w:val="24"/>
          <w:lang w:val="es-ES"/>
        </w:rPr>
        <w:t xml:space="preserve"> fijas que se determine requieran de monitoreo de sus emisiones al aire, efectuarán los respectivos trabajos de medición y reporte de resultados, al menos, una vez cada seis meses.</w:t>
      </w:r>
    </w:p>
    <w:p w:rsidR="00000000" w:rsidRDefault="00C04CA6">
      <w:pPr>
        <w:rPr>
          <w:rFonts w:ascii="Arial" w:hAnsi="Arial"/>
          <w:sz w:val="24"/>
          <w:lang w:val="es-ES"/>
        </w:rPr>
      </w:pPr>
    </w:p>
    <w:p w:rsidR="00000000" w:rsidRDefault="00C04CA6">
      <w:pPr>
        <w:rPr>
          <w:rFonts w:ascii="Arial" w:hAnsi="Arial"/>
          <w:sz w:val="24"/>
        </w:rPr>
      </w:pPr>
      <w:r>
        <w:rPr>
          <w:rFonts w:ascii="Arial" w:hAnsi="Arial"/>
          <w:sz w:val="24"/>
        </w:rPr>
        <w:t>4.2.3.2  Requerimientos de Reporte.-  Se elaborará un reporte con el conte</w:t>
      </w:r>
      <w:r>
        <w:rPr>
          <w:rFonts w:ascii="Arial" w:hAnsi="Arial"/>
          <w:sz w:val="24"/>
        </w:rPr>
        <w:t>nido mínimo siguiente:</w:t>
      </w:r>
    </w:p>
    <w:p w:rsidR="00000000" w:rsidRDefault="00C04CA6">
      <w:pPr>
        <w:rPr>
          <w:rFonts w:ascii="Arial" w:hAnsi="Arial"/>
          <w:sz w:val="24"/>
        </w:rPr>
      </w:pPr>
    </w:p>
    <w:p w:rsidR="00000000" w:rsidRDefault="00C04CA6" w:rsidP="00C04CA6">
      <w:pPr>
        <w:numPr>
          <w:ilvl w:val="0"/>
          <w:numId w:val="13"/>
        </w:numPr>
        <w:rPr>
          <w:rFonts w:ascii="Arial" w:hAnsi="Arial"/>
          <w:sz w:val="24"/>
        </w:rPr>
      </w:pPr>
      <w:r>
        <w:rPr>
          <w:rFonts w:ascii="Arial" w:hAnsi="Arial"/>
          <w:sz w:val="24"/>
        </w:rPr>
        <w:t>Identificación de la fuente fija (Nombre o razón social, responsable, dirección);</w:t>
      </w:r>
    </w:p>
    <w:p w:rsidR="00000000" w:rsidRDefault="00C04CA6" w:rsidP="00C04CA6">
      <w:pPr>
        <w:numPr>
          <w:ilvl w:val="0"/>
          <w:numId w:val="13"/>
        </w:numPr>
        <w:rPr>
          <w:rFonts w:ascii="Arial" w:hAnsi="Arial"/>
          <w:sz w:val="24"/>
        </w:rPr>
      </w:pPr>
      <w:r>
        <w:rPr>
          <w:rFonts w:ascii="Arial" w:hAnsi="Arial"/>
          <w:sz w:val="24"/>
        </w:rPr>
        <w:t>ubicación de la fuente fija, incluyendo croquis de localización y descripción de predios vecinos;</w:t>
      </w:r>
    </w:p>
    <w:p w:rsidR="00000000" w:rsidRDefault="00C04CA6" w:rsidP="00C04CA6">
      <w:pPr>
        <w:numPr>
          <w:ilvl w:val="0"/>
          <w:numId w:val="13"/>
        </w:numPr>
        <w:rPr>
          <w:rFonts w:ascii="Arial" w:hAnsi="Arial"/>
          <w:sz w:val="24"/>
        </w:rPr>
      </w:pPr>
      <w:r>
        <w:rPr>
          <w:rFonts w:ascii="Arial" w:hAnsi="Arial"/>
          <w:sz w:val="24"/>
        </w:rPr>
        <w:t>nombres del personal técnico que efectuó la medición</w:t>
      </w:r>
      <w:r>
        <w:rPr>
          <w:rFonts w:ascii="Arial" w:hAnsi="Arial"/>
          <w:sz w:val="24"/>
        </w:rPr>
        <w:t>;</w:t>
      </w:r>
    </w:p>
    <w:p w:rsidR="00000000" w:rsidRDefault="00C04CA6" w:rsidP="00C04CA6">
      <w:pPr>
        <w:numPr>
          <w:ilvl w:val="0"/>
          <w:numId w:val="13"/>
        </w:numPr>
        <w:rPr>
          <w:rFonts w:ascii="Arial" w:hAnsi="Arial"/>
          <w:sz w:val="24"/>
        </w:rPr>
      </w:pPr>
      <w:r>
        <w:rPr>
          <w:rFonts w:ascii="Arial" w:hAnsi="Arial"/>
          <w:sz w:val="24"/>
        </w:rPr>
        <w:t>introducción, la cual describirá el propósito y el lugar de la medición, fechas, contaminantes objeto de medición, identificación de observadores presentes, tanto de la fuente como representantes de la Entidad Ambiental de Control (de aplicarse);</w:t>
      </w:r>
    </w:p>
    <w:p w:rsidR="00000000" w:rsidRDefault="00C04CA6" w:rsidP="00C04CA6">
      <w:pPr>
        <w:numPr>
          <w:ilvl w:val="0"/>
          <w:numId w:val="13"/>
        </w:numPr>
        <w:rPr>
          <w:rFonts w:ascii="Arial" w:hAnsi="Arial"/>
          <w:sz w:val="24"/>
        </w:rPr>
      </w:pPr>
      <w:r>
        <w:rPr>
          <w:rFonts w:ascii="Arial" w:hAnsi="Arial"/>
          <w:sz w:val="24"/>
        </w:rPr>
        <w:t>resumen</w:t>
      </w:r>
      <w:r>
        <w:rPr>
          <w:rFonts w:ascii="Arial" w:hAnsi="Arial"/>
          <w:sz w:val="24"/>
        </w:rPr>
        <w:t xml:space="preserve"> de resultados, incluyendo los resultados en sí obtenidos, datos del proceso de combustión, emisiones máximas permitidas para la fuente;</w:t>
      </w:r>
    </w:p>
    <w:p w:rsidR="00000000" w:rsidRDefault="00C04CA6" w:rsidP="00C04CA6">
      <w:pPr>
        <w:numPr>
          <w:ilvl w:val="0"/>
          <w:numId w:val="13"/>
        </w:numPr>
        <w:rPr>
          <w:rFonts w:ascii="Arial" w:hAnsi="Arial"/>
          <w:sz w:val="24"/>
        </w:rPr>
      </w:pPr>
      <w:r>
        <w:rPr>
          <w:rFonts w:ascii="Arial" w:hAnsi="Arial"/>
          <w:sz w:val="24"/>
        </w:rPr>
        <w:t>características de operación de la fuente fija, esto es, descripción del proceso y de equipos o técnicas de control o r</w:t>
      </w:r>
      <w:r>
        <w:rPr>
          <w:rFonts w:ascii="Arial" w:hAnsi="Arial"/>
          <w:sz w:val="24"/>
        </w:rPr>
        <w:t>educción de emisiones (de aplicarse), descripción de materias primas o combustibles utilizados, propiedades relevantes de estos, y cualquier información relevante para con la operación de la fuente;</w:t>
      </w:r>
    </w:p>
    <w:p w:rsidR="00000000" w:rsidRDefault="00C04CA6" w:rsidP="00C04CA6">
      <w:pPr>
        <w:numPr>
          <w:ilvl w:val="0"/>
          <w:numId w:val="13"/>
        </w:numPr>
        <w:rPr>
          <w:rFonts w:ascii="Arial" w:hAnsi="Arial"/>
          <w:sz w:val="24"/>
        </w:rPr>
      </w:pPr>
      <w:r>
        <w:rPr>
          <w:rFonts w:ascii="Arial" w:hAnsi="Arial"/>
          <w:sz w:val="24"/>
        </w:rPr>
        <w:t>métodos de muestreo y de análisis utilizados, describiend</w:t>
      </w:r>
      <w:r>
        <w:rPr>
          <w:rFonts w:ascii="Arial" w:hAnsi="Arial"/>
          <w:sz w:val="24"/>
        </w:rPr>
        <w:t>o la ubicación de los puertos de muestreo y de los puntos de medición al interior de la chimenea, descripción de los equipos y/o accesorios utilizados en la recolección de muestras o medición, procedimientos o certificados de calibración empleados, y una b</w:t>
      </w:r>
      <w:r>
        <w:rPr>
          <w:rFonts w:ascii="Arial" w:hAnsi="Arial"/>
          <w:sz w:val="24"/>
        </w:rPr>
        <w:t>reve discusión de los procedimientos de muestreo y de análisis de resultados seguidos, incluyendo cualquier desviación en el procedimiento, y las debidas justificaciones técnicas;</w:t>
      </w:r>
    </w:p>
    <w:p w:rsidR="00000000" w:rsidRDefault="00C04CA6" w:rsidP="00C04CA6">
      <w:pPr>
        <w:numPr>
          <w:ilvl w:val="0"/>
          <w:numId w:val="13"/>
        </w:numPr>
        <w:rPr>
          <w:rFonts w:ascii="Arial" w:hAnsi="Arial"/>
          <w:sz w:val="24"/>
        </w:rPr>
      </w:pPr>
      <w:r>
        <w:rPr>
          <w:rFonts w:ascii="Arial" w:hAnsi="Arial"/>
          <w:sz w:val="24"/>
        </w:rPr>
        <w:t>anexos, los cuales incluirán cualquier información de respaldo.</w:t>
      </w:r>
    </w:p>
    <w:p w:rsidR="00000000" w:rsidRDefault="00C04CA6">
      <w:pPr>
        <w:pStyle w:val="Ttulo2"/>
        <w:tabs>
          <w:tab w:val="num" w:pos="360"/>
        </w:tabs>
        <w:rPr>
          <w:rFonts w:ascii="Arial" w:hAnsi="Arial"/>
          <w:sz w:val="24"/>
        </w:rPr>
      </w:pPr>
      <w:r>
        <w:rPr>
          <w:rFonts w:ascii="Arial" w:hAnsi="Arial"/>
          <w:sz w:val="24"/>
        </w:rPr>
        <w:t>De los límit</w:t>
      </w:r>
      <w:r>
        <w:rPr>
          <w:rFonts w:ascii="Arial" w:hAnsi="Arial"/>
          <w:sz w:val="24"/>
        </w:rPr>
        <w:t>es máximos permisibles de emisiones al aire para procesos específicos</w:t>
      </w:r>
    </w:p>
    <w:p w:rsidR="00000000" w:rsidRDefault="00C04CA6">
      <w:pPr>
        <w:pStyle w:val="Ttulo2"/>
        <w:numPr>
          <w:ilvl w:val="0"/>
          <w:numId w:val="0"/>
        </w:numPr>
        <w:ind w:left="284" w:hanging="284"/>
        <w:rPr>
          <w:rFonts w:ascii="Arial" w:hAnsi="Arial"/>
          <w:sz w:val="24"/>
        </w:rPr>
      </w:pPr>
    </w:p>
    <w:p w:rsidR="00000000" w:rsidRDefault="00C04CA6">
      <w:pPr>
        <w:pStyle w:val="Ttulo2"/>
        <w:numPr>
          <w:ilvl w:val="0"/>
          <w:numId w:val="0"/>
        </w:numPr>
        <w:ind w:left="284" w:hanging="284"/>
        <w:rPr>
          <w:rFonts w:ascii="Arial" w:hAnsi="Arial"/>
          <w:sz w:val="24"/>
        </w:rPr>
      </w:pPr>
    </w:p>
    <w:p w:rsidR="00000000" w:rsidRDefault="00C04CA6">
      <w:pPr>
        <w:pStyle w:val="Ttulo2"/>
        <w:numPr>
          <w:ilvl w:val="0"/>
          <w:numId w:val="0"/>
        </w:numPr>
        <w:ind w:left="284" w:hanging="284"/>
        <w:rPr>
          <w:rFonts w:ascii="Arial" w:hAnsi="Arial"/>
          <w:sz w:val="24"/>
        </w:rPr>
      </w:pPr>
    </w:p>
    <w:p w:rsidR="00000000" w:rsidRDefault="00C04CA6">
      <w:pPr>
        <w:pStyle w:val="Ttulo2"/>
        <w:numPr>
          <w:ilvl w:val="0"/>
          <w:numId w:val="0"/>
        </w:numPr>
        <w:ind w:left="284" w:hanging="284"/>
        <w:rPr>
          <w:rFonts w:ascii="Arial" w:hAnsi="Arial"/>
          <w:sz w:val="24"/>
        </w:rPr>
      </w:pPr>
    </w:p>
    <w:p w:rsidR="00000000" w:rsidRDefault="00C04CA6">
      <w:pPr>
        <w:rPr>
          <w:rFonts w:ascii="Arial" w:hAnsi="Arial"/>
          <w:sz w:val="24"/>
          <w:lang w:val="es-ES"/>
        </w:rPr>
      </w:pPr>
      <w:r>
        <w:rPr>
          <w:rFonts w:ascii="Arial" w:hAnsi="Arial"/>
          <w:sz w:val="24"/>
          <w:lang w:val="es-ES"/>
        </w:rPr>
        <w:t xml:space="preserve">4.3.1  </w:t>
      </w:r>
      <w:r>
        <w:rPr>
          <w:rFonts w:ascii="Arial" w:hAnsi="Arial"/>
          <w:sz w:val="24"/>
          <w:u w:val="single"/>
          <w:lang w:val="es-ES"/>
        </w:rPr>
        <w:t>Elaboración de cemento</w:t>
      </w:r>
    </w:p>
    <w:p w:rsidR="00000000" w:rsidRDefault="00C04CA6">
      <w:pPr>
        <w:rPr>
          <w:rFonts w:ascii="Arial" w:hAnsi="Arial"/>
          <w:sz w:val="24"/>
          <w:lang w:val="es-ES"/>
        </w:rPr>
      </w:pPr>
    </w:p>
    <w:p w:rsidR="00000000" w:rsidRDefault="00C04CA6">
      <w:pPr>
        <w:pStyle w:val="Ttulo7"/>
        <w:jc w:val="center"/>
        <w:rPr>
          <w:rFonts w:ascii="Arial" w:hAnsi="Arial"/>
          <w:smallCaps w:val="0"/>
          <w:sz w:val="24"/>
        </w:rPr>
      </w:pPr>
      <w:r>
        <w:rPr>
          <w:rFonts w:ascii="Arial" w:hAnsi="Arial"/>
          <w:smallCaps w:val="0"/>
          <w:sz w:val="24"/>
        </w:rPr>
        <w:t>Tabla 6.  Límites máximos permisibles de emisiones al aire para elaboración de cemento</w:t>
      </w:r>
    </w:p>
    <w:p w:rsidR="00000000" w:rsidRDefault="00C04CA6">
      <w:pPr>
        <w:rPr>
          <w:rFonts w:ascii="Arial" w:hAnsi="Arial"/>
          <w:sz w:val="24"/>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2090"/>
        <w:gridCol w:w="2040"/>
        <w:gridCol w:w="1560"/>
        <w:gridCol w:w="1440"/>
        <w:gridCol w:w="1560"/>
      </w:tblGrid>
      <w:tr w:rsidR="00000000">
        <w:tblPrEx>
          <w:tblCellMar>
            <w:top w:w="0" w:type="dxa"/>
            <w:bottom w:w="0" w:type="dxa"/>
          </w:tblCellMar>
        </w:tblPrEx>
        <w:trPr>
          <w:jc w:val="center"/>
        </w:trPr>
        <w:tc>
          <w:tcPr>
            <w:tcW w:w="2090" w:type="dxa"/>
            <w:tcBorders>
              <w:top w:val="single" w:sz="6" w:space="0" w:color="auto"/>
              <w:bottom w:val="single" w:sz="6" w:space="0" w:color="auto"/>
              <w:right w:val="single" w:sz="6" w:space="0" w:color="auto"/>
            </w:tcBorders>
          </w:tcPr>
          <w:p w:rsidR="00000000" w:rsidRDefault="00C04CA6">
            <w:pPr>
              <w:rPr>
                <w:rFonts w:ascii="Arial" w:hAnsi="Arial"/>
                <w:b/>
                <w:sz w:val="24"/>
              </w:rPr>
            </w:pPr>
            <w:r>
              <w:rPr>
                <w:rFonts w:ascii="Arial" w:hAnsi="Arial"/>
                <w:b/>
                <w:sz w:val="24"/>
              </w:rPr>
              <w:t>CONTAMINANTE EMITIDO</w:t>
            </w:r>
          </w:p>
        </w:tc>
        <w:tc>
          <w:tcPr>
            <w:tcW w:w="2040" w:type="dxa"/>
            <w:tcBorders>
              <w:top w:val="single" w:sz="6" w:space="0" w:color="auto"/>
              <w:left w:val="single" w:sz="6" w:space="0" w:color="auto"/>
              <w:bottom w:val="single" w:sz="6" w:space="0" w:color="auto"/>
              <w:right w:val="single" w:sz="6" w:space="0" w:color="auto"/>
            </w:tcBorders>
          </w:tcPr>
          <w:p w:rsidR="00000000" w:rsidRDefault="00C04CA6">
            <w:pPr>
              <w:jc w:val="center"/>
              <w:rPr>
                <w:rFonts w:ascii="Arial" w:hAnsi="Arial"/>
                <w:b/>
                <w:sz w:val="24"/>
              </w:rPr>
            </w:pPr>
            <w:r>
              <w:rPr>
                <w:rFonts w:ascii="Arial" w:hAnsi="Arial"/>
                <w:b/>
                <w:sz w:val="24"/>
              </w:rPr>
              <w:t>OBSERVACIONES</w:t>
            </w:r>
          </w:p>
        </w:tc>
        <w:tc>
          <w:tcPr>
            <w:tcW w:w="1560" w:type="dxa"/>
            <w:tcBorders>
              <w:top w:val="single" w:sz="6" w:space="0" w:color="auto"/>
              <w:left w:val="single" w:sz="6" w:space="0" w:color="auto"/>
              <w:bottom w:val="single" w:sz="6" w:space="0" w:color="auto"/>
              <w:right w:val="single" w:sz="6" w:space="0" w:color="auto"/>
            </w:tcBorders>
          </w:tcPr>
          <w:p w:rsidR="00000000" w:rsidRDefault="00C04CA6">
            <w:pPr>
              <w:jc w:val="center"/>
              <w:rPr>
                <w:rFonts w:ascii="Arial" w:hAnsi="Arial"/>
                <w:b/>
                <w:sz w:val="24"/>
              </w:rPr>
            </w:pPr>
            <w:r>
              <w:rPr>
                <w:rFonts w:ascii="Arial" w:hAnsi="Arial"/>
                <w:b/>
                <w:sz w:val="24"/>
              </w:rPr>
              <w:t>FUENTES EXISTENTES</w:t>
            </w:r>
          </w:p>
        </w:tc>
        <w:tc>
          <w:tcPr>
            <w:tcW w:w="1440" w:type="dxa"/>
            <w:tcBorders>
              <w:top w:val="single" w:sz="6" w:space="0" w:color="auto"/>
              <w:left w:val="single" w:sz="6" w:space="0" w:color="auto"/>
              <w:bottom w:val="single" w:sz="6" w:space="0" w:color="auto"/>
              <w:right w:val="single" w:sz="6" w:space="0" w:color="auto"/>
            </w:tcBorders>
          </w:tcPr>
          <w:p w:rsidR="00000000" w:rsidRDefault="00C04CA6">
            <w:pPr>
              <w:jc w:val="center"/>
              <w:rPr>
                <w:rFonts w:ascii="Arial" w:hAnsi="Arial"/>
                <w:b/>
                <w:sz w:val="24"/>
              </w:rPr>
            </w:pPr>
            <w:r>
              <w:rPr>
                <w:rFonts w:ascii="Arial" w:hAnsi="Arial"/>
                <w:b/>
                <w:sz w:val="24"/>
              </w:rPr>
              <w:t>FUENTES N</w:t>
            </w:r>
            <w:r>
              <w:rPr>
                <w:rFonts w:ascii="Arial" w:hAnsi="Arial"/>
                <w:b/>
                <w:sz w:val="24"/>
              </w:rPr>
              <w:t>UEVAS</w:t>
            </w:r>
          </w:p>
        </w:tc>
        <w:tc>
          <w:tcPr>
            <w:tcW w:w="1560" w:type="dxa"/>
            <w:tcBorders>
              <w:top w:val="single" w:sz="6" w:space="0" w:color="auto"/>
              <w:left w:val="single" w:sz="6" w:space="0" w:color="auto"/>
              <w:bottom w:val="single" w:sz="6" w:space="0" w:color="auto"/>
            </w:tcBorders>
          </w:tcPr>
          <w:p w:rsidR="00000000" w:rsidRDefault="00C04CA6">
            <w:pPr>
              <w:jc w:val="center"/>
              <w:rPr>
                <w:rFonts w:ascii="Arial" w:hAnsi="Arial"/>
                <w:b/>
                <w:sz w:val="24"/>
              </w:rPr>
            </w:pPr>
            <w:r>
              <w:rPr>
                <w:rFonts w:ascii="Arial" w:hAnsi="Arial"/>
                <w:b/>
                <w:sz w:val="24"/>
              </w:rPr>
              <w:t xml:space="preserve"> UNIDADES  </w:t>
            </w:r>
            <w:r>
              <w:rPr>
                <w:rFonts w:ascii="Arial" w:hAnsi="Arial"/>
                <w:b/>
                <w:sz w:val="24"/>
                <w:vertAlign w:val="superscript"/>
              </w:rPr>
              <w:t>[1]</w:t>
            </w:r>
          </w:p>
        </w:tc>
      </w:tr>
      <w:tr w:rsidR="00000000">
        <w:tblPrEx>
          <w:tblCellMar>
            <w:top w:w="0" w:type="dxa"/>
            <w:bottom w:w="0" w:type="dxa"/>
          </w:tblCellMar>
        </w:tblPrEx>
        <w:trPr>
          <w:jc w:val="center"/>
        </w:trPr>
        <w:tc>
          <w:tcPr>
            <w:tcW w:w="2090" w:type="dxa"/>
            <w:tcBorders>
              <w:top w:val="single" w:sz="6" w:space="0" w:color="auto"/>
              <w:right w:val="single" w:sz="6" w:space="0" w:color="auto"/>
            </w:tcBorders>
            <w:vAlign w:val="center"/>
          </w:tcPr>
          <w:p w:rsidR="00000000" w:rsidRDefault="00C04CA6">
            <w:pPr>
              <w:rPr>
                <w:rFonts w:ascii="Arial" w:hAnsi="Arial"/>
                <w:sz w:val="24"/>
              </w:rPr>
            </w:pPr>
            <w:r>
              <w:rPr>
                <w:rFonts w:ascii="Arial" w:hAnsi="Arial"/>
                <w:sz w:val="24"/>
              </w:rPr>
              <w:t>Partículas Totales</w:t>
            </w:r>
          </w:p>
        </w:tc>
        <w:tc>
          <w:tcPr>
            <w:tcW w:w="2040" w:type="dxa"/>
            <w:tcBorders>
              <w:top w:val="single" w:sz="6" w:space="0" w:color="auto"/>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Horno de clínker</w:t>
            </w:r>
          </w:p>
        </w:tc>
        <w:tc>
          <w:tcPr>
            <w:tcW w:w="1560" w:type="dxa"/>
            <w:tcBorders>
              <w:top w:val="single" w:sz="6" w:space="0" w:color="auto"/>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150</w:t>
            </w:r>
          </w:p>
        </w:tc>
        <w:tc>
          <w:tcPr>
            <w:tcW w:w="1440" w:type="dxa"/>
            <w:tcBorders>
              <w:top w:val="single" w:sz="6" w:space="0" w:color="auto"/>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50</w:t>
            </w:r>
          </w:p>
        </w:tc>
        <w:tc>
          <w:tcPr>
            <w:tcW w:w="1560" w:type="dxa"/>
            <w:tcBorders>
              <w:top w:val="single" w:sz="6" w:space="0" w:color="auto"/>
              <w:left w:val="single" w:sz="6" w:space="0" w:color="auto"/>
              <w:bottom w:val="nil"/>
            </w:tcBorders>
          </w:tcPr>
          <w:p w:rsidR="00000000" w:rsidRDefault="00C04CA6">
            <w:pPr>
              <w:jc w:val="center"/>
              <w:rPr>
                <w:rFonts w:ascii="Arial" w:hAnsi="Arial"/>
                <w:sz w:val="24"/>
              </w:rPr>
            </w:pPr>
            <w:r>
              <w:rPr>
                <w:rFonts w:ascii="Arial" w:hAnsi="Arial"/>
                <w:sz w:val="24"/>
              </w:rPr>
              <w:t>mg/Nm</w:t>
            </w:r>
            <w:r>
              <w:rPr>
                <w:rFonts w:ascii="Arial" w:hAnsi="Arial"/>
                <w:sz w:val="24"/>
                <w:vertAlign w:val="superscript"/>
              </w:rPr>
              <w:t>3</w:t>
            </w:r>
          </w:p>
        </w:tc>
      </w:tr>
      <w:tr w:rsidR="00000000">
        <w:tblPrEx>
          <w:tblCellMar>
            <w:top w:w="0" w:type="dxa"/>
            <w:bottom w:w="0" w:type="dxa"/>
          </w:tblCellMar>
        </w:tblPrEx>
        <w:trPr>
          <w:jc w:val="center"/>
        </w:trPr>
        <w:tc>
          <w:tcPr>
            <w:tcW w:w="2090" w:type="dxa"/>
            <w:tcBorders>
              <w:right w:val="single" w:sz="6" w:space="0" w:color="auto"/>
            </w:tcBorders>
            <w:vAlign w:val="center"/>
          </w:tcPr>
          <w:p w:rsidR="00000000" w:rsidRDefault="00C04CA6">
            <w:pPr>
              <w:rPr>
                <w:rFonts w:ascii="Arial" w:hAnsi="Arial"/>
                <w:sz w:val="24"/>
              </w:rPr>
            </w:pPr>
          </w:p>
        </w:tc>
        <w:tc>
          <w:tcPr>
            <w:tcW w:w="2040" w:type="dxa"/>
            <w:tcBorders>
              <w:top w:val="nil"/>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Enfriador de clínker</w:t>
            </w:r>
          </w:p>
        </w:tc>
        <w:tc>
          <w:tcPr>
            <w:tcW w:w="156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100</w:t>
            </w:r>
          </w:p>
        </w:tc>
        <w:tc>
          <w:tcPr>
            <w:tcW w:w="144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50</w:t>
            </w:r>
          </w:p>
        </w:tc>
        <w:tc>
          <w:tcPr>
            <w:tcW w:w="1560" w:type="dxa"/>
            <w:tcBorders>
              <w:top w:val="nil"/>
              <w:left w:val="single" w:sz="6" w:space="0" w:color="auto"/>
              <w:bottom w:val="nil"/>
            </w:tcBorders>
          </w:tcPr>
          <w:p w:rsidR="00000000" w:rsidRDefault="00C04CA6">
            <w:pPr>
              <w:jc w:val="center"/>
              <w:rPr>
                <w:rFonts w:ascii="Arial" w:hAnsi="Arial"/>
                <w:sz w:val="24"/>
              </w:rPr>
            </w:pPr>
            <w:r>
              <w:rPr>
                <w:rFonts w:ascii="Arial" w:hAnsi="Arial"/>
                <w:sz w:val="24"/>
              </w:rPr>
              <w:t>mg/Nm</w:t>
            </w:r>
            <w:r>
              <w:rPr>
                <w:rFonts w:ascii="Arial" w:hAnsi="Arial"/>
                <w:sz w:val="24"/>
                <w:vertAlign w:val="superscript"/>
              </w:rPr>
              <w:t>3</w:t>
            </w:r>
          </w:p>
        </w:tc>
      </w:tr>
      <w:tr w:rsidR="00000000">
        <w:tblPrEx>
          <w:tblCellMar>
            <w:top w:w="0" w:type="dxa"/>
            <w:bottom w:w="0" w:type="dxa"/>
          </w:tblCellMar>
        </w:tblPrEx>
        <w:trPr>
          <w:jc w:val="center"/>
        </w:trPr>
        <w:tc>
          <w:tcPr>
            <w:tcW w:w="2090" w:type="dxa"/>
            <w:tcBorders>
              <w:right w:val="single" w:sz="6" w:space="0" w:color="auto"/>
            </w:tcBorders>
            <w:vAlign w:val="center"/>
          </w:tcPr>
          <w:p w:rsidR="00000000" w:rsidRDefault="00C04CA6">
            <w:pPr>
              <w:rPr>
                <w:rFonts w:ascii="Arial" w:hAnsi="Arial"/>
                <w:sz w:val="24"/>
              </w:rPr>
            </w:pPr>
          </w:p>
        </w:tc>
        <w:tc>
          <w:tcPr>
            <w:tcW w:w="2040" w:type="dxa"/>
            <w:tcBorders>
              <w:top w:val="nil"/>
              <w:left w:val="single" w:sz="6" w:space="0" w:color="auto"/>
              <w:bottom w:val="nil"/>
              <w:right w:val="single" w:sz="6" w:space="0" w:color="auto"/>
            </w:tcBorders>
          </w:tcPr>
          <w:p w:rsidR="00000000" w:rsidRDefault="00C04CA6">
            <w:pPr>
              <w:jc w:val="center"/>
              <w:rPr>
                <w:rFonts w:ascii="Arial" w:hAnsi="Arial"/>
                <w:sz w:val="24"/>
              </w:rPr>
            </w:pPr>
          </w:p>
        </w:tc>
        <w:tc>
          <w:tcPr>
            <w:tcW w:w="1560" w:type="dxa"/>
            <w:tcBorders>
              <w:left w:val="single" w:sz="6" w:space="0" w:color="auto"/>
              <w:right w:val="single" w:sz="6" w:space="0" w:color="auto"/>
            </w:tcBorders>
          </w:tcPr>
          <w:p w:rsidR="00000000" w:rsidRDefault="00C04CA6">
            <w:pPr>
              <w:jc w:val="center"/>
              <w:rPr>
                <w:rFonts w:ascii="Arial" w:hAnsi="Arial"/>
                <w:sz w:val="24"/>
              </w:rPr>
            </w:pPr>
          </w:p>
        </w:tc>
        <w:tc>
          <w:tcPr>
            <w:tcW w:w="1440" w:type="dxa"/>
            <w:tcBorders>
              <w:left w:val="single" w:sz="6" w:space="0" w:color="auto"/>
              <w:right w:val="single" w:sz="6" w:space="0" w:color="auto"/>
            </w:tcBorders>
          </w:tcPr>
          <w:p w:rsidR="00000000" w:rsidRDefault="00C04CA6">
            <w:pPr>
              <w:ind w:right="252"/>
              <w:jc w:val="right"/>
              <w:rPr>
                <w:rFonts w:ascii="Arial" w:hAnsi="Arial"/>
                <w:sz w:val="24"/>
              </w:rPr>
            </w:pPr>
          </w:p>
        </w:tc>
        <w:tc>
          <w:tcPr>
            <w:tcW w:w="1560" w:type="dxa"/>
            <w:tcBorders>
              <w:top w:val="nil"/>
              <w:left w:val="single" w:sz="6" w:space="0" w:color="auto"/>
              <w:bottom w:val="nil"/>
            </w:tcBorders>
          </w:tcPr>
          <w:p w:rsidR="00000000" w:rsidRDefault="00C04CA6">
            <w:pPr>
              <w:jc w:val="center"/>
              <w:rPr>
                <w:rFonts w:ascii="Arial" w:hAnsi="Arial"/>
                <w:sz w:val="24"/>
              </w:rPr>
            </w:pPr>
          </w:p>
        </w:tc>
      </w:tr>
      <w:tr w:rsidR="00000000">
        <w:tblPrEx>
          <w:tblCellMar>
            <w:top w:w="0" w:type="dxa"/>
            <w:bottom w:w="0" w:type="dxa"/>
          </w:tblCellMar>
        </w:tblPrEx>
        <w:trPr>
          <w:jc w:val="center"/>
        </w:trPr>
        <w:tc>
          <w:tcPr>
            <w:tcW w:w="2090" w:type="dxa"/>
            <w:tcBorders>
              <w:right w:val="single" w:sz="6" w:space="0" w:color="auto"/>
            </w:tcBorders>
            <w:vAlign w:val="center"/>
          </w:tcPr>
          <w:p w:rsidR="00000000" w:rsidRDefault="00C04CA6">
            <w:pPr>
              <w:rPr>
                <w:rFonts w:ascii="Arial" w:hAnsi="Arial"/>
                <w:sz w:val="24"/>
              </w:rPr>
            </w:pPr>
            <w:r>
              <w:rPr>
                <w:rFonts w:ascii="Arial" w:hAnsi="Arial"/>
                <w:sz w:val="24"/>
              </w:rPr>
              <w:t>Óxidos de Nitrógeno</w:t>
            </w:r>
          </w:p>
        </w:tc>
        <w:tc>
          <w:tcPr>
            <w:tcW w:w="2040" w:type="dxa"/>
            <w:tcBorders>
              <w:top w:val="nil"/>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 –</w:t>
            </w:r>
          </w:p>
        </w:tc>
        <w:tc>
          <w:tcPr>
            <w:tcW w:w="156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1 800</w:t>
            </w:r>
          </w:p>
        </w:tc>
        <w:tc>
          <w:tcPr>
            <w:tcW w:w="144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1 300</w:t>
            </w:r>
          </w:p>
        </w:tc>
        <w:tc>
          <w:tcPr>
            <w:tcW w:w="1560" w:type="dxa"/>
            <w:tcBorders>
              <w:top w:val="nil"/>
              <w:left w:val="single" w:sz="6" w:space="0" w:color="auto"/>
              <w:bottom w:val="nil"/>
            </w:tcBorders>
          </w:tcPr>
          <w:p w:rsidR="00000000" w:rsidRDefault="00C04CA6">
            <w:pPr>
              <w:jc w:val="center"/>
              <w:rPr>
                <w:rFonts w:ascii="Arial" w:hAnsi="Arial"/>
                <w:sz w:val="24"/>
              </w:rPr>
            </w:pPr>
            <w:r>
              <w:rPr>
                <w:rFonts w:ascii="Arial" w:hAnsi="Arial"/>
                <w:sz w:val="24"/>
              </w:rPr>
              <w:t>mg/Nm</w:t>
            </w:r>
            <w:r>
              <w:rPr>
                <w:rFonts w:ascii="Arial" w:hAnsi="Arial"/>
                <w:sz w:val="24"/>
                <w:vertAlign w:val="superscript"/>
              </w:rPr>
              <w:t>3</w:t>
            </w:r>
          </w:p>
        </w:tc>
      </w:tr>
      <w:tr w:rsidR="00000000">
        <w:tblPrEx>
          <w:tblCellMar>
            <w:top w:w="0" w:type="dxa"/>
            <w:bottom w:w="0" w:type="dxa"/>
          </w:tblCellMar>
        </w:tblPrEx>
        <w:trPr>
          <w:jc w:val="center"/>
        </w:trPr>
        <w:tc>
          <w:tcPr>
            <w:tcW w:w="2090" w:type="dxa"/>
            <w:tcBorders>
              <w:right w:val="single" w:sz="6" w:space="0" w:color="auto"/>
            </w:tcBorders>
            <w:vAlign w:val="center"/>
          </w:tcPr>
          <w:p w:rsidR="00000000" w:rsidRDefault="00C04CA6">
            <w:pPr>
              <w:rPr>
                <w:rFonts w:ascii="Arial" w:hAnsi="Arial"/>
                <w:sz w:val="24"/>
              </w:rPr>
            </w:pPr>
          </w:p>
        </w:tc>
        <w:tc>
          <w:tcPr>
            <w:tcW w:w="2040" w:type="dxa"/>
            <w:tcBorders>
              <w:top w:val="nil"/>
              <w:left w:val="single" w:sz="6" w:space="0" w:color="auto"/>
              <w:bottom w:val="nil"/>
              <w:right w:val="single" w:sz="6" w:space="0" w:color="auto"/>
            </w:tcBorders>
          </w:tcPr>
          <w:p w:rsidR="00000000" w:rsidRDefault="00C04CA6">
            <w:pPr>
              <w:jc w:val="center"/>
              <w:rPr>
                <w:rFonts w:ascii="Arial" w:hAnsi="Arial"/>
                <w:sz w:val="24"/>
              </w:rPr>
            </w:pPr>
          </w:p>
        </w:tc>
        <w:tc>
          <w:tcPr>
            <w:tcW w:w="1560" w:type="dxa"/>
            <w:tcBorders>
              <w:left w:val="single" w:sz="6" w:space="0" w:color="auto"/>
              <w:right w:val="single" w:sz="6" w:space="0" w:color="auto"/>
            </w:tcBorders>
          </w:tcPr>
          <w:p w:rsidR="00000000" w:rsidRDefault="00C04CA6">
            <w:pPr>
              <w:jc w:val="center"/>
              <w:rPr>
                <w:rFonts w:ascii="Arial" w:hAnsi="Arial"/>
                <w:sz w:val="24"/>
              </w:rPr>
            </w:pPr>
          </w:p>
        </w:tc>
        <w:tc>
          <w:tcPr>
            <w:tcW w:w="1440" w:type="dxa"/>
            <w:tcBorders>
              <w:left w:val="single" w:sz="6" w:space="0" w:color="auto"/>
              <w:right w:val="single" w:sz="6" w:space="0" w:color="auto"/>
            </w:tcBorders>
          </w:tcPr>
          <w:p w:rsidR="00000000" w:rsidRDefault="00C04CA6">
            <w:pPr>
              <w:ind w:right="252"/>
              <w:jc w:val="right"/>
              <w:rPr>
                <w:rFonts w:ascii="Arial" w:hAnsi="Arial"/>
                <w:sz w:val="24"/>
              </w:rPr>
            </w:pPr>
          </w:p>
        </w:tc>
        <w:tc>
          <w:tcPr>
            <w:tcW w:w="1560" w:type="dxa"/>
            <w:tcBorders>
              <w:top w:val="nil"/>
              <w:left w:val="single" w:sz="6" w:space="0" w:color="auto"/>
              <w:bottom w:val="nil"/>
            </w:tcBorders>
          </w:tcPr>
          <w:p w:rsidR="00000000" w:rsidRDefault="00C04CA6">
            <w:pPr>
              <w:jc w:val="center"/>
              <w:rPr>
                <w:rFonts w:ascii="Arial" w:hAnsi="Arial"/>
                <w:sz w:val="24"/>
              </w:rPr>
            </w:pPr>
          </w:p>
        </w:tc>
      </w:tr>
      <w:tr w:rsidR="00000000">
        <w:tblPrEx>
          <w:tblCellMar>
            <w:top w:w="0" w:type="dxa"/>
            <w:bottom w:w="0" w:type="dxa"/>
          </w:tblCellMar>
        </w:tblPrEx>
        <w:trPr>
          <w:jc w:val="center"/>
        </w:trPr>
        <w:tc>
          <w:tcPr>
            <w:tcW w:w="2090" w:type="dxa"/>
            <w:tcBorders>
              <w:right w:val="single" w:sz="6" w:space="0" w:color="auto"/>
            </w:tcBorders>
            <w:vAlign w:val="center"/>
          </w:tcPr>
          <w:p w:rsidR="00000000" w:rsidRDefault="00C04CA6">
            <w:pPr>
              <w:rPr>
                <w:rFonts w:ascii="Arial" w:hAnsi="Arial"/>
                <w:sz w:val="24"/>
              </w:rPr>
            </w:pPr>
            <w:r>
              <w:rPr>
                <w:rFonts w:ascii="Arial" w:hAnsi="Arial"/>
                <w:sz w:val="24"/>
              </w:rPr>
              <w:t>Dióxido de Azufre</w:t>
            </w:r>
          </w:p>
        </w:tc>
        <w:tc>
          <w:tcPr>
            <w:tcW w:w="2040" w:type="dxa"/>
            <w:tcBorders>
              <w:top w:val="nil"/>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 –</w:t>
            </w:r>
          </w:p>
        </w:tc>
        <w:tc>
          <w:tcPr>
            <w:tcW w:w="156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800</w:t>
            </w:r>
          </w:p>
        </w:tc>
        <w:tc>
          <w:tcPr>
            <w:tcW w:w="144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600</w:t>
            </w:r>
          </w:p>
        </w:tc>
        <w:tc>
          <w:tcPr>
            <w:tcW w:w="1560" w:type="dxa"/>
            <w:tcBorders>
              <w:top w:val="nil"/>
              <w:left w:val="single" w:sz="6" w:space="0" w:color="auto"/>
              <w:bottom w:val="nil"/>
            </w:tcBorders>
          </w:tcPr>
          <w:p w:rsidR="00000000" w:rsidRDefault="00C04CA6">
            <w:pPr>
              <w:jc w:val="center"/>
              <w:rPr>
                <w:rFonts w:ascii="Arial" w:hAnsi="Arial"/>
                <w:sz w:val="24"/>
              </w:rPr>
            </w:pPr>
            <w:r>
              <w:rPr>
                <w:rFonts w:ascii="Arial" w:hAnsi="Arial"/>
                <w:sz w:val="24"/>
              </w:rPr>
              <w:t>mg/Nm</w:t>
            </w:r>
            <w:r>
              <w:rPr>
                <w:rFonts w:ascii="Arial" w:hAnsi="Arial"/>
                <w:sz w:val="24"/>
                <w:vertAlign w:val="superscript"/>
              </w:rPr>
              <w:t>3</w:t>
            </w:r>
          </w:p>
        </w:tc>
      </w:tr>
      <w:tr w:rsidR="00000000">
        <w:tblPrEx>
          <w:tblCellMar>
            <w:top w:w="0" w:type="dxa"/>
            <w:bottom w:w="0" w:type="dxa"/>
          </w:tblCellMar>
        </w:tblPrEx>
        <w:trPr>
          <w:jc w:val="center"/>
        </w:trPr>
        <w:tc>
          <w:tcPr>
            <w:tcW w:w="2090" w:type="dxa"/>
            <w:tcBorders>
              <w:right w:val="single" w:sz="6" w:space="0" w:color="auto"/>
            </w:tcBorders>
            <w:vAlign w:val="center"/>
          </w:tcPr>
          <w:p w:rsidR="00000000" w:rsidRDefault="00C04CA6">
            <w:pPr>
              <w:rPr>
                <w:rFonts w:ascii="Arial" w:hAnsi="Arial"/>
                <w:sz w:val="24"/>
              </w:rPr>
            </w:pPr>
          </w:p>
        </w:tc>
        <w:tc>
          <w:tcPr>
            <w:tcW w:w="2040" w:type="dxa"/>
            <w:tcBorders>
              <w:top w:val="nil"/>
              <w:left w:val="single" w:sz="6" w:space="0" w:color="auto"/>
              <w:bottom w:val="single" w:sz="6" w:space="0" w:color="auto"/>
              <w:right w:val="single" w:sz="6" w:space="0" w:color="auto"/>
            </w:tcBorders>
          </w:tcPr>
          <w:p w:rsidR="00000000" w:rsidRDefault="00C04CA6">
            <w:pPr>
              <w:jc w:val="center"/>
              <w:rPr>
                <w:rFonts w:ascii="Arial" w:hAnsi="Arial"/>
                <w:sz w:val="24"/>
              </w:rPr>
            </w:pPr>
          </w:p>
        </w:tc>
        <w:tc>
          <w:tcPr>
            <w:tcW w:w="1560" w:type="dxa"/>
            <w:tcBorders>
              <w:left w:val="single" w:sz="6" w:space="0" w:color="auto"/>
              <w:right w:val="single" w:sz="6" w:space="0" w:color="auto"/>
            </w:tcBorders>
          </w:tcPr>
          <w:p w:rsidR="00000000" w:rsidRDefault="00C04CA6">
            <w:pPr>
              <w:jc w:val="center"/>
              <w:rPr>
                <w:rFonts w:ascii="Arial" w:hAnsi="Arial"/>
                <w:sz w:val="24"/>
              </w:rPr>
            </w:pPr>
          </w:p>
        </w:tc>
        <w:tc>
          <w:tcPr>
            <w:tcW w:w="1440" w:type="dxa"/>
            <w:tcBorders>
              <w:left w:val="single" w:sz="6" w:space="0" w:color="auto"/>
              <w:right w:val="single" w:sz="6" w:space="0" w:color="auto"/>
            </w:tcBorders>
          </w:tcPr>
          <w:p w:rsidR="00000000" w:rsidRDefault="00C04CA6">
            <w:pPr>
              <w:ind w:right="252"/>
              <w:jc w:val="right"/>
              <w:rPr>
                <w:rFonts w:ascii="Arial" w:hAnsi="Arial"/>
                <w:sz w:val="24"/>
              </w:rPr>
            </w:pPr>
          </w:p>
        </w:tc>
        <w:tc>
          <w:tcPr>
            <w:tcW w:w="1560" w:type="dxa"/>
            <w:tcBorders>
              <w:top w:val="nil"/>
              <w:left w:val="single" w:sz="6" w:space="0" w:color="auto"/>
              <w:bottom w:val="single" w:sz="6" w:space="0" w:color="auto"/>
            </w:tcBorders>
          </w:tcPr>
          <w:p w:rsidR="00000000" w:rsidRDefault="00C04CA6">
            <w:pPr>
              <w:jc w:val="center"/>
              <w:rPr>
                <w:rFonts w:ascii="Arial" w:hAnsi="Arial"/>
                <w:sz w:val="24"/>
              </w:rPr>
            </w:pPr>
          </w:p>
        </w:tc>
      </w:tr>
    </w:tbl>
    <w:p w:rsidR="00000000" w:rsidRDefault="00C04CA6">
      <w:pPr>
        <w:ind w:left="360" w:right="431"/>
        <w:rPr>
          <w:rFonts w:ascii="Arial" w:hAnsi="Arial"/>
          <w:sz w:val="24"/>
        </w:rPr>
      </w:pPr>
      <w:r>
        <w:rPr>
          <w:rFonts w:ascii="Arial" w:hAnsi="Arial"/>
          <w:sz w:val="24"/>
        </w:rPr>
        <w:t>Notas:</w:t>
      </w:r>
    </w:p>
    <w:p w:rsidR="00000000" w:rsidRDefault="00C04CA6">
      <w:pPr>
        <w:ind w:left="360" w:right="431"/>
        <w:rPr>
          <w:rFonts w:ascii="Arial" w:hAnsi="Arial"/>
          <w:sz w:val="24"/>
        </w:rPr>
      </w:pPr>
      <w:r>
        <w:rPr>
          <w:rFonts w:ascii="Arial" w:hAnsi="Arial"/>
          <w:sz w:val="24"/>
          <w:vertAlign w:val="superscript"/>
        </w:rPr>
        <w:t>[1]</w:t>
      </w:r>
      <w:r>
        <w:rPr>
          <w:rFonts w:ascii="Arial" w:hAnsi="Arial"/>
          <w:sz w:val="24"/>
        </w:rPr>
        <w:t xml:space="preserve">  mg/m</w:t>
      </w:r>
      <w:r>
        <w:rPr>
          <w:rFonts w:ascii="Arial" w:hAnsi="Arial"/>
          <w:sz w:val="24"/>
          <w:vertAlign w:val="superscript"/>
        </w:rPr>
        <w:t>3</w:t>
      </w:r>
      <w:r>
        <w:rPr>
          <w:rFonts w:ascii="Arial" w:hAnsi="Arial"/>
          <w:sz w:val="24"/>
        </w:rPr>
        <w:t>: miligramos por metro cúbico</w:t>
      </w:r>
      <w:r>
        <w:rPr>
          <w:rFonts w:ascii="Arial" w:hAnsi="Arial"/>
          <w:sz w:val="24"/>
        </w:rPr>
        <w:t xml:space="preserve"> de gas, a condiciones normales de 1 013 milibares de presión y temperatura de 0 °C, en base seca y corregidos a 7% de oxígeno.</w:t>
      </w:r>
    </w:p>
    <w:p w:rsidR="00000000" w:rsidRDefault="00C04CA6">
      <w:pPr>
        <w:rPr>
          <w:rFonts w:ascii="Arial" w:hAnsi="Arial"/>
          <w:sz w:val="24"/>
          <w:lang w:val="es-ES"/>
        </w:rPr>
      </w:pPr>
    </w:p>
    <w:p w:rsidR="00000000" w:rsidRDefault="00C04CA6">
      <w:pPr>
        <w:rPr>
          <w:rFonts w:ascii="Arial" w:hAnsi="Arial"/>
          <w:sz w:val="24"/>
          <w:lang w:val="es-ES"/>
        </w:rPr>
      </w:pPr>
      <w:r>
        <w:rPr>
          <w:rFonts w:ascii="Arial" w:hAnsi="Arial"/>
          <w:sz w:val="24"/>
          <w:lang w:val="es-ES"/>
        </w:rPr>
        <w:t xml:space="preserve">4.3.2  </w:t>
      </w:r>
      <w:r>
        <w:rPr>
          <w:rFonts w:ascii="Arial" w:hAnsi="Arial"/>
          <w:sz w:val="24"/>
          <w:u w:val="single"/>
          <w:lang w:val="es-ES"/>
        </w:rPr>
        <w:t>Elaboración de vidrio</w:t>
      </w:r>
    </w:p>
    <w:p w:rsidR="00000000" w:rsidRDefault="00C04CA6">
      <w:pPr>
        <w:rPr>
          <w:rFonts w:ascii="Arial" w:hAnsi="Arial"/>
          <w:sz w:val="24"/>
          <w:lang w:val="es-ES"/>
        </w:rPr>
      </w:pPr>
    </w:p>
    <w:p w:rsidR="00000000" w:rsidRDefault="00C04CA6">
      <w:pPr>
        <w:pStyle w:val="Ttulo7"/>
        <w:jc w:val="center"/>
        <w:rPr>
          <w:rFonts w:ascii="Arial" w:hAnsi="Arial"/>
          <w:smallCaps w:val="0"/>
          <w:sz w:val="24"/>
        </w:rPr>
      </w:pPr>
      <w:r>
        <w:rPr>
          <w:rFonts w:ascii="Arial" w:hAnsi="Arial"/>
          <w:smallCaps w:val="0"/>
          <w:sz w:val="24"/>
        </w:rPr>
        <w:t>Tabla 7.  Límites máximos permisibles de emisiones al aire para elaboración de vidrio</w:t>
      </w:r>
    </w:p>
    <w:p w:rsidR="00000000" w:rsidRDefault="00C04CA6">
      <w:pPr>
        <w:rPr>
          <w:rFonts w:ascii="Arial" w:hAnsi="Arial"/>
          <w:sz w:val="24"/>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2090"/>
        <w:gridCol w:w="2040"/>
        <w:gridCol w:w="1560"/>
        <w:gridCol w:w="1440"/>
        <w:gridCol w:w="1560"/>
      </w:tblGrid>
      <w:tr w:rsidR="00000000">
        <w:tblPrEx>
          <w:tblCellMar>
            <w:top w:w="0" w:type="dxa"/>
            <w:bottom w:w="0" w:type="dxa"/>
          </w:tblCellMar>
        </w:tblPrEx>
        <w:trPr>
          <w:jc w:val="center"/>
        </w:trPr>
        <w:tc>
          <w:tcPr>
            <w:tcW w:w="2090" w:type="dxa"/>
            <w:tcBorders>
              <w:top w:val="single" w:sz="6" w:space="0" w:color="auto"/>
              <w:bottom w:val="single" w:sz="6" w:space="0" w:color="auto"/>
              <w:right w:val="single" w:sz="6" w:space="0" w:color="auto"/>
            </w:tcBorders>
          </w:tcPr>
          <w:p w:rsidR="00000000" w:rsidRDefault="00C04CA6">
            <w:pPr>
              <w:rPr>
                <w:rFonts w:ascii="Arial" w:hAnsi="Arial"/>
                <w:b/>
                <w:sz w:val="24"/>
              </w:rPr>
            </w:pPr>
            <w:r>
              <w:rPr>
                <w:rFonts w:ascii="Arial" w:hAnsi="Arial"/>
                <w:b/>
                <w:sz w:val="24"/>
              </w:rPr>
              <w:t>CONTAMINAN</w:t>
            </w:r>
            <w:r>
              <w:rPr>
                <w:rFonts w:ascii="Arial" w:hAnsi="Arial"/>
                <w:b/>
                <w:sz w:val="24"/>
              </w:rPr>
              <w:t>TE EMITIDO</w:t>
            </w:r>
          </w:p>
        </w:tc>
        <w:tc>
          <w:tcPr>
            <w:tcW w:w="2040" w:type="dxa"/>
            <w:tcBorders>
              <w:top w:val="single" w:sz="6" w:space="0" w:color="auto"/>
              <w:left w:val="single" w:sz="6" w:space="0" w:color="auto"/>
              <w:bottom w:val="single" w:sz="6" w:space="0" w:color="auto"/>
              <w:right w:val="single" w:sz="6" w:space="0" w:color="auto"/>
            </w:tcBorders>
          </w:tcPr>
          <w:p w:rsidR="00000000" w:rsidRDefault="00C04CA6">
            <w:pPr>
              <w:jc w:val="center"/>
              <w:rPr>
                <w:rFonts w:ascii="Arial" w:hAnsi="Arial"/>
                <w:b/>
                <w:sz w:val="24"/>
              </w:rPr>
            </w:pPr>
            <w:r>
              <w:rPr>
                <w:rFonts w:ascii="Arial" w:hAnsi="Arial"/>
                <w:b/>
                <w:sz w:val="24"/>
              </w:rPr>
              <w:t>OBSERVACIONES</w:t>
            </w:r>
          </w:p>
        </w:tc>
        <w:tc>
          <w:tcPr>
            <w:tcW w:w="1560" w:type="dxa"/>
            <w:tcBorders>
              <w:top w:val="single" w:sz="6" w:space="0" w:color="auto"/>
              <w:left w:val="single" w:sz="6" w:space="0" w:color="auto"/>
              <w:bottom w:val="single" w:sz="6" w:space="0" w:color="auto"/>
              <w:right w:val="single" w:sz="6" w:space="0" w:color="auto"/>
            </w:tcBorders>
          </w:tcPr>
          <w:p w:rsidR="00000000" w:rsidRDefault="00C04CA6">
            <w:pPr>
              <w:jc w:val="center"/>
              <w:rPr>
                <w:rFonts w:ascii="Arial" w:hAnsi="Arial"/>
                <w:b/>
                <w:sz w:val="24"/>
              </w:rPr>
            </w:pPr>
            <w:r>
              <w:rPr>
                <w:rFonts w:ascii="Arial" w:hAnsi="Arial"/>
                <w:b/>
                <w:sz w:val="24"/>
              </w:rPr>
              <w:t>FUENTES EXISTENTES</w:t>
            </w:r>
          </w:p>
        </w:tc>
        <w:tc>
          <w:tcPr>
            <w:tcW w:w="1440" w:type="dxa"/>
            <w:tcBorders>
              <w:top w:val="single" w:sz="6" w:space="0" w:color="auto"/>
              <w:left w:val="single" w:sz="6" w:space="0" w:color="auto"/>
              <w:bottom w:val="single" w:sz="6" w:space="0" w:color="auto"/>
              <w:right w:val="single" w:sz="6" w:space="0" w:color="auto"/>
            </w:tcBorders>
          </w:tcPr>
          <w:p w:rsidR="00000000" w:rsidRDefault="00C04CA6">
            <w:pPr>
              <w:jc w:val="center"/>
              <w:rPr>
                <w:rFonts w:ascii="Arial" w:hAnsi="Arial"/>
                <w:b/>
                <w:sz w:val="24"/>
              </w:rPr>
            </w:pPr>
            <w:r>
              <w:rPr>
                <w:rFonts w:ascii="Arial" w:hAnsi="Arial"/>
                <w:b/>
                <w:sz w:val="24"/>
              </w:rPr>
              <w:t>FUENTES NUEVAS</w:t>
            </w:r>
          </w:p>
        </w:tc>
        <w:tc>
          <w:tcPr>
            <w:tcW w:w="1560" w:type="dxa"/>
            <w:tcBorders>
              <w:top w:val="single" w:sz="6" w:space="0" w:color="auto"/>
              <w:left w:val="single" w:sz="6" w:space="0" w:color="auto"/>
              <w:bottom w:val="single" w:sz="6" w:space="0" w:color="auto"/>
            </w:tcBorders>
          </w:tcPr>
          <w:p w:rsidR="00000000" w:rsidRDefault="00C04CA6">
            <w:pPr>
              <w:jc w:val="center"/>
              <w:rPr>
                <w:rFonts w:ascii="Arial" w:hAnsi="Arial"/>
                <w:b/>
                <w:sz w:val="24"/>
              </w:rPr>
            </w:pPr>
            <w:r>
              <w:rPr>
                <w:rFonts w:ascii="Arial" w:hAnsi="Arial"/>
                <w:b/>
                <w:sz w:val="24"/>
              </w:rPr>
              <w:t xml:space="preserve"> UNIDADES  </w:t>
            </w:r>
            <w:r>
              <w:rPr>
                <w:rFonts w:ascii="Arial" w:hAnsi="Arial"/>
                <w:b/>
                <w:sz w:val="24"/>
                <w:vertAlign w:val="superscript"/>
              </w:rPr>
              <w:t>[1]</w:t>
            </w:r>
          </w:p>
        </w:tc>
      </w:tr>
      <w:tr w:rsidR="00000000">
        <w:tblPrEx>
          <w:tblCellMar>
            <w:top w:w="0" w:type="dxa"/>
            <w:bottom w:w="0" w:type="dxa"/>
          </w:tblCellMar>
        </w:tblPrEx>
        <w:trPr>
          <w:jc w:val="center"/>
        </w:trPr>
        <w:tc>
          <w:tcPr>
            <w:tcW w:w="2090" w:type="dxa"/>
            <w:tcBorders>
              <w:top w:val="single" w:sz="6" w:space="0" w:color="auto"/>
              <w:right w:val="single" w:sz="6" w:space="0" w:color="auto"/>
            </w:tcBorders>
            <w:vAlign w:val="center"/>
          </w:tcPr>
          <w:p w:rsidR="00000000" w:rsidRDefault="00C04CA6">
            <w:pPr>
              <w:rPr>
                <w:rFonts w:ascii="Arial" w:hAnsi="Arial"/>
                <w:sz w:val="24"/>
              </w:rPr>
            </w:pPr>
            <w:r>
              <w:rPr>
                <w:rFonts w:ascii="Arial" w:hAnsi="Arial"/>
                <w:sz w:val="24"/>
              </w:rPr>
              <w:t>Partículas Totales</w:t>
            </w:r>
          </w:p>
        </w:tc>
        <w:tc>
          <w:tcPr>
            <w:tcW w:w="2040" w:type="dxa"/>
            <w:tcBorders>
              <w:top w:val="single" w:sz="6" w:space="0" w:color="auto"/>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 –</w:t>
            </w:r>
          </w:p>
        </w:tc>
        <w:tc>
          <w:tcPr>
            <w:tcW w:w="1560" w:type="dxa"/>
            <w:tcBorders>
              <w:top w:val="single" w:sz="6" w:space="0" w:color="auto"/>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250</w:t>
            </w:r>
          </w:p>
        </w:tc>
        <w:tc>
          <w:tcPr>
            <w:tcW w:w="1440" w:type="dxa"/>
            <w:tcBorders>
              <w:top w:val="single" w:sz="6" w:space="0" w:color="auto"/>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200</w:t>
            </w:r>
          </w:p>
        </w:tc>
        <w:tc>
          <w:tcPr>
            <w:tcW w:w="1560" w:type="dxa"/>
            <w:tcBorders>
              <w:top w:val="single" w:sz="6" w:space="0" w:color="auto"/>
              <w:left w:val="single" w:sz="6" w:space="0" w:color="auto"/>
              <w:bottom w:val="nil"/>
            </w:tcBorders>
          </w:tcPr>
          <w:p w:rsidR="00000000" w:rsidRDefault="00C04CA6">
            <w:pPr>
              <w:jc w:val="center"/>
              <w:rPr>
                <w:rFonts w:ascii="Arial" w:hAnsi="Arial"/>
                <w:sz w:val="24"/>
              </w:rPr>
            </w:pPr>
            <w:r>
              <w:rPr>
                <w:rFonts w:ascii="Arial" w:hAnsi="Arial"/>
                <w:sz w:val="24"/>
              </w:rPr>
              <w:t>mg/Nm</w:t>
            </w:r>
            <w:r>
              <w:rPr>
                <w:rFonts w:ascii="Arial" w:hAnsi="Arial"/>
                <w:sz w:val="24"/>
                <w:vertAlign w:val="superscript"/>
              </w:rPr>
              <w:t>3</w:t>
            </w:r>
          </w:p>
        </w:tc>
      </w:tr>
      <w:tr w:rsidR="00000000">
        <w:tblPrEx>
          <w:tblCellMar>
            <w:top w:w="0" w:type="dxa"/>
            <w:bottom w:w="0" w:type="dxa"/>
          </w:tblCellMar>
        </w:tblPrEx>
        <w:trPr>
          <w:jc w:val="center"/>
        </w:trPr>
        <w:tc>
          <w:tcPr>
            <w:tcW w:w="2090" w:type="dxa"/>
            <w:tcBorders>
              <w:right w:val="single" w:sz="6" w:space="0" w:color="auto"/>
            </w:tcBorders>
            <w:vAlign w:val="center"/>
          </w:tcPr>
          <w:p w:rsidR="00000000" w:rsidRDefault="00C04CA6">
            <w:pPr>
              <w:rPr>
                <w:rFonts w:ascii="Arial" w:hAnsi="Arial"/>
                <w:sz w:val="24"/>
              </w:rPr>
            </w:pPr>
          </w:p>
        </w:tc>
        <w:tc>
          <w:tcPr>
            <w:tcW w:w="2040" w:type="dxa"/>
            <w:tcBorders>
              <w:top w:val="nil"/>
              <w:left w:val="single" w:sz="6" w:space="0" w:color="auto"/>
              <w:bottom w:val="nil"/>
              <w:right w:val="single" w:sz="6" w:space="0" w:color="auto"/>
            </w:tcBorders>
          </w:tcPr>
          <w:p w:rsidR="00000000" w:rsidRDefault="00C04CA6">
            <w:pPr>
              <w:jc w:val="center"/>
              <w:rPr>
                <w:rFonts w:ascii="Arial" w:hAnsi="Arial"/>
                <w:sz w:val="24"/>
              </w:rPr>
            </w:pPr>
          </w:p>
        </w:tc>
        <w:tc>
          <w:tcPr>
            <w:tcW w:w="1560" w:type="dxa"/>
            <w:tcBorders>
              <w:left w:val="single" w:sz="6" w:space="0" w:color="auto"/>
              <w:right w:val="single" w:sz="6" w:space="0" w:color="auto"/>
            </w:tcBorders>
          </w:tcPr>
          <w:p w:rsidR="00000000" w:rsidRDefault="00C04CA6">
            <w:pPr>
              <w:jc w:val="center"/>
              <w:rPr>
                <w:rFonts w:ascii="Arial" w:hAnsi="Arial"/>
                <w:sz w:val="24"/>
              </w:rPr>
            </w:pPr>
          </w:p>
        </w:tc>
        <w:tc>
          <w:tcPr>
            <w:tcW w:w="1440" w:type="dxa"/>
            <w:tcBorders>
              <w:left w:val="single" w:sz="6" w:space="0" w:color="auto"/>
              <w:right w:val="single" w:sz="6" w:space="0" w:color="auto"/>
            </w:tcBorders>
          </w:tcPr>
          <w:p w:rsidR="00000000" w:rsidRDefault="00C04CA6">
            <w:pPr>
              <w:ind w:right="252"/>
              <w:jc w:val="right"/>
              <w:rPr>
                <w:rFonts w:ascii="Arial" w:hAnsi="Arial"/>
                <w:sz w:val="24"/>
              </w:rPr>
            </w:pPr>
          </w:p>
        </w:tc>
        <w:tc>
          <w:tcPr>
            <w:tcW w:w="1560" w:type="dxa"/>
            <w:tcBorders>
              <w:top w:val="nil"/>
              <w:left w:val="single" w:sz="6" w:space="0" w:color="auto"/>
              <w:bottom w:val="nil"/>
            </w:tcBorders>
          </w:tcPr>
          <w:p w:rsidR="00000000" w:rsidRDefault="00C04CA6">
            <w:pPr>
              <w:jc w:val="center"/>
              <w:rPr>
                <w:rFonts w:ascii="Arial" w:hAnsi="Arial"/>
                <w:sz w:val="24"/>
              </w:rPr>
            </w:pPr>
          </w:p>
        </w:tc>
      </w:tr>
      <w:tr w:rsidR="00000000">
        <w:tblPrEx>
          <w:tblCellMar>
            <w:top w:w="0" w:type="dxa"/>
            <w:bottom w:w="0" w:type="dxa"/>
          </w:tblCellMar>
        </w:tblPrEx>
        <w:trPr>
          <w:jc w:val="center"/>
        </w:trPr>
        <w:tc>
          <w:tcPr>
            <w:tcW w:w="2090" w:type="dxa"/>
            <w:tcBorders>
              <w:right w:val="single" w:sz="6" w:space="0" w:color="auto"/>
            </w:tcBorders>
            <w:vAlign w:val="center"/>
          </w:tcPr>
          <w:p w:rsidR="00000000" w:rsidRDefault="00C04CA6">
            <w:pPr>
              <w:rPr>
                <w:rFonts w:ascii="Arial" w:hAnsi="Arial"/>
                <w:sz w:val="24"/>
              </w:rPr>
            </w:pPr>
            <w:r>
              <w:rPr>
                <w:rFonts w:ascii="Arial" w:hAnsi="Arial"/>
                <w:sz w:val="24"/>
              </w:rPr>
              <w:t>Óxidos de Nitrógeno</w:t>
            </w:r>
          </w:p>
        </w:tc>
        <w:tc>
          <w:tcPr>
            <w:tcW w:w="2040" w:type="dxa"/>
            <w:tcBorders>
              <w:top w:val="nil"/>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 –</w:t>
            </w:r>
          </w:p>
        </w:tc>
        <w:tc>
          <w:tcPr>
            <w:tcW w:w="156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1 200</w:t>
            </w:r>
          </w:p>
        </w:tc>
        <w:tc>
          <w:tcPr>
            <w:tcW w:w="144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1 000</w:t>
            </w:r>
          </w:p>
        </w:tc>
        <w:tc>
          <w:tcPr>
            <w:tcW w:w="1560" w:type="dxa"/>
            <w:tcBorders>
              <w:top w:val="nil"/>
              <w:left w:val="single" w:sz="6" w:space="0" w:color="auto"/>
              <w:bottom w:val="nil"/>
            </w:tcBorders>
          </w:tcPr>
          <w:p w:rsidR="00000000" w:rsidRDefault="00C04CA6">
            <w:pPr>
              <w:jc w:val="center"/>
              <w:rPr>
                <w:rFonts w:ascii="Arial" w:hAnsi="Arial"/>
                <w:sz w:val="24"/>
              </w:rPr>
            </w:pPr>
            <w:r>
              <w:rPr>
                <w:rFonts w:ascii="Arial" w:hAnsi="Arial"/>
                <w:sz w:val="24"/>
              </w:rPr>
              <w:t>mg/Nm</w:t>
            </w:r>
            <w:r>
              <w:rPr>
                <w:rFonts w:ascii="Arial" w:hAnsi="Arial"/>
                <w:sz w:val="24"/>
                <w:vertAlign w:val="superscript"/>
              </w:rPr>
              <w:t>3</w:t>
            </w:r>
          </w:p>
        </w:tc>
      </w:tr>
      <w:tr w:rsidR="00000000">
        <w:tblPrEx>
          <w:tblCellMar>
            <w:top w:w="0" w:type="dxa"/>
            <w:bottom w:w="0" w:type="dxa"/>
          </w:tblCellMar>
        </w:tblPrEx>
        <w:trPr>
          <w:jc w:val="center"/>
        </w:trPr>
        <w:tc>
          <w:tcPr>
            <w:tcW w:w="2090" w:type="dxa"/>
            <w:tcBorders>
              <w:right w:val="single" w:sz="6" w:space="0" w:color="auto"/>
            </w:tcBorders>
            <w:vAlign w:val="center"/>
          </w:tcPr>
          <w:p w:rsidR="00000000" w:rsidRDefault="00C04CA6">
            <w:pPr>
              <w:rPr>
                <w:rFonts w:ascii="Arial" w:hAnsi="Arial"/>
                <w:sz w:val="24"/>
              </w:rPr>
            </w:pPr>
          </w:p>
        </w:tc>
        <w:tc>
          <w:tcPr>
            <w:tcW w:w="2040" w:type="dxa"/>
            <w:tcBorders>
              <w:top w:val="nil"/>
              <w:left w:val="single" w:sz="6" w:space="0" w:color="auto"/>
              <w:bottom w:val="nil"/>
              <w:right w:val="single" w:sz="6" w:space="0" w:color="auto"/>
            </w:tcBorders>
          </w:tcPr>
          <w:p w:rsidR="00000000" w:rsidRDefault="00C04CA6">
            <w:pPr>
              <w:jc w:val="center"/>
              <w:rPr>
                <w:rFonts w:ascii="Arial" w:hAnsi="Arial"/>
                <w:sz w:val="24"/>
              </w:rPr>
            </w:pPr>
          </w:p>
        </w:tc>
        <w:tc>
          <w:tcPr>
            <w:tcW w:w="1560" w:type="dxa"/>
            <w:tcBorders>
              <w:left w:val="single" w:sz="6" w:space="0" w:color="auto"/>
              <w:right w:val="single" w:sz="6" w:space="0" w:color="auto"/>
            </w:tcBorders>
          </w:tcPr>
          <w:p w:rsidR="00000000" w:rsidRDefault="00C04CA6">
            <w:pPr>
              <w:jc w:val="center"/>
              <w:rPr>
                <w:rFonts w:ascii="Arial" w:hAnsi="Arial"/>
                <w:sz w:val="24"/>
              </w:rPr>
            </w:pPr>
          </w:p>
        </w:tc>
        <w:tc>
          <w:tcPr>
            <w:tcW w:w="1440" w:type="dxa"/>
            <w:tcBorders>
              <w:left w:val="single" w:sz="6" w:space="0" w:color="auto"/>
              <w:right w:val="single" w:sz="6" w:space="0" w:color="auto"/>
            </w:tcBorders>
          </w:tcPr>
          <w:p w:rsidR="00000000" w:rsidRDefault="00C04CA6">
            <w:pPr>
              <w:ind w:right="252"/>
              <w:jc w:val="right"/>
              <w:rPr>
                <w:rFonts w:ascii="Arial" w:hAnsi="Arial"/>
                <w:sz w:val="24"/>
              </w:rPr>
            </w:pPr>
          </w:p>
        </w:tc>
        <w:tc>
          <w:tcPr>
            <w:tcW w:w="1560" w:type="dxa"/>
            <w:tcBorders>
              <w:top w:val="nil"/>
              <w:left w:val="single" w:sz="6" w:space="0" w:color="auto"/>
              <w:bottom w:val="nil"/>
            </w:tcBorders>
          </w:tcPr>
          <w:p w:rsidR="00000000" w:rsidRDefault="00C04CA6">
            <w:pPr>
              <w:jc w:val="center"/>
              <w:rPr>
                <w:rFonts w:ascii="Arial" w:hAnsi="Arial"/>
                <w:sz w:val="24"/>
              </w:rPr>
            </w:pPr>
          </w:p>
        </w:tc>
      </w:tr>
      <w:tr w:rsidR="00000000">
        <w:tblPrEx>
          <w:tblCellMar>
            <w:top w:w="0" w:type="dxa"/>
            <w:bottom w:w="0" w:type="dxa"/>
          </w:tblCellMar>
        </w:tblPrEx>
        <w:trPr>
          <w:jc w:val="center"/>
        </w:trPr>
        <w:tc>
          <w:tcPr>
            <w:tcW w:w="2090" w:type="dxa"/>
            <w:tcBorders>
              <w:right w:val="single" w:sz="6" w:space="0" w:color="auto"/>
            </w:tcBorders>
            <w:vAlign w:val="center"/>
          </w:tcPr>
          <w:p w:rsidR="00000000" w:rsidRDefault="00C04CA6">
            <w:pPr>
              <w:rPr>
                <w:rFonts w:ascii="Arial" w:hAnsi="Arial"/>
                <w:sz w:val="24"/>
              </w:rPr>
            </w:pPr>
            <w:r>
              <w:rPr>
                <w:rFonts w:ascii="Arial" w:hAnsi="Arial"/>
                <w:sz w:val="24"/>
              </w:rPr>
              <w:t>Dióxido de Azufre</w:t>
            </w:r>
          </w:p>
        </w:tc>
        <w:tc>
          <w:tcPr>
            <w:tcW w:w="2040" w:type="dxa"/>
            <w:tcBorders>
              <w:top w:val="nil"/>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 –</w:t>
            </w:r>
          </w:p>
        </w:tc>
        <w:tc>
          <w:tcPr>
            <w:tcW w:w="156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1 800</w:t>
            </w:r>
          </w:p>
        </w:tc>
        <w:tc>
          <w:tcPr>
            <w:tcW w:w="144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1 500</w:t>
            </w:r>
          </w:p>
        </w:tc>
        <w:tc>
          <w:tcPr>
            <w:tcW w:w="1560" w:type="dxa"/>
            <w:tcBorders>
              <w:top w:val="nil"/>
              <w:left w:val="single" w:sz="6" w:space="0" w:color="auto"/>
              <w:bottom w:val="nil"/>
            </w:tcBorders>
          </w:tcPr>
          <w:p w:rsidR="00000000" w:rsidRDefault="00C04CA6">
            <w:pPr>
              <w:jc w:val="center"/>
              <w:rPr>
                <w:rFonts w:ascii="Arial" w:hAnsi="Arial"/>
                <w:sz w:val="24"/>
              </w:rPr>
            </w:pPr>
            <w:r>
              <w:rPr>
                <w:rFonts w:ascii="Arial" w:hAnsi="Arial"/>
                <w:sz w:val="24"/>
              </w:rPr>
              <w:t>mg/Nm</w:t>
            </w:r>
            <w:r>
              <w:rPr>
                <w:rFonts w:ascii="Arial" w:hAnsi="Arial"/>
                <w:sz w:val="24"/>
                <w:vertAlign w:val="superscript"/>
              </w:rPr>
              <w:t>3</w:t>
            </w:r>
          </w:p>
        </w:tc>
      </w:tr>
      <w:tr w:rsidR="00000000">
        <w:tblPrEx>
          <w:tblCellMar>
            <w:top w:w="0" w:type="dxa"/>
            <w:bottom w:w="0" w:type="dxa"/>
          </w:tblCellMar>
        </w:tblPrEx>
        <w:trPr>
          <w:jc w:val="center"/>
        </w:trPr>
        <w:tc>
          <w:tcPr>
            <w:tcW w:w="2090" w:type="dxa"/>
            <w:tcBorders>
              <w:right w:val="single" w:sz="6" w:space="0" w:color="auto"/>
            </w:tcBorders>
            <w:vAlign w:val="center"/>
          </w:tcPr>
          <w:p w:rsidR="00000000" w:rsidRDefault="00C04CA6">
            <w:pPr>
              <w:rPr>
                <w:rFonts w:ascii="Arial" w:hAnsi="Arial"/>
                <w:sz w:val="24"/>
              </w:rPr>
            </w:pPr>
          </w:p>
        </w:tc>
        <w:tc>
          <w:tcPr>
            <w:tcW w:w="2040" w:type="dxa"/>
            <w:tcBorders>
              <w:top w:val="nil"/>
              <w:left w:val="single" w:sz="6" w:space="0" w:color="auto"/>
              <w:bottom w:val="single" w:sz="6" w:space="0" w:color="auto"/>
              <w:right w:val="single" w:sz="6" w:space="0" w:color="auto"/>
            </w:tcBorders>
          </w:tcPr>
          <w:p w:rsidR="00000000" w:rsidRDefault="00C04CA6">
            <w:pPr>
              <w:jc w:val="center"/>
              <w:rPr>
                <w:rFonts w:ascii="Arial" w:hAnsi="Arial"/>
                <w:sz w:val="24"/>
              </w:rPr>
            </w:pPr>
          </w:p>
        </w:tc>
        <w:tc>
          <w:tcPr>
            <w:tcW w:w="1560" w:type="dxa"/>
            <w:tcBorders>
              <w:left w:val="single" w:sz="6" w:space="0" w:color="auto"/>
              <w:right w:val="single" w:sz="6" w:space="0" w:color="auto"/>
            </w:tcBorders>
          </w:tcPr>
          <w:p w:rsidR="00000000" w:rsidRDefault="00C04CA6">
            <w:pPr>
              <w:jc w:val="center"/>
              <w:rPr>
                <w:rFonts w:ascii="Arial" w:hAnsi="Arial"/>
                <w:sz w:val="24"/>
              </w:rPr>
            </w:pPr>
          </w:p>
        </w:tc>
        <w:tc>
          <w:tcPr>
            <w:tcW w:w="1440" w:type="dxa"/>
            <w:tcBorders>
              <w:left w:val="single" w:sz="6" w:space="0" w:color="auto"/>
              <w:right w:val="single" w:sz="6" w:space="0" w:color="auto"/>
            </w:tcBorders>
          </w:tcPr>
          <w:p w:rsidR="00000000" w:rsidRDefault="00C04CA6">
            <w:pPr>
              <w:ind w:right="252"/>
              <w:jc w:val="right"/>
              <w:rPr>
                <w:rFonts w:ascii="Arial" w:hAnsi="Arial"/>
                <w:sz w:val="24"/>
              </w:rPr>
            </w:pPr>
          </w:p>
        </w:tc>
        <w:tc>
          <w:tcPr>
            <w:tcW w:w="1560" w:type="dxa"/>
            <w:tcBorders>
              <w:top w:val="nil"/>
              <w:left w:val="single" w:sz="6" w:space="0" w:color="auto"/>
              <w:bottom w:val="single" w:sz="6" w:space="0" w:color="auto"/>
            </w:tcBorders>
          </w:tcPr>
          <w:p w:rsidR="00000000" w:rsidRDefault="00C04CA6">
            <w:pPr>
              <w:jc w:val="center"/>
              <w:rPr>
                <w:rFonts w:ascii="Arial" w:hAnsi="Arial"/>
                <w:sz w:val="24"/>
              </w:rPr>
            </w:pPr>
          </w:p>
        </w:tc>
      </w:tr>
    </w:tbl>
    <w:p w:rsidR="00000000" w:rsidRDefault="00C04CA6">
      <w:pPr>
        <w:ind w:left="360" w:right="431"/>
        <w:rPr>
          <w:rFonts w:ascii="Arial" w:hAnsi="Arial"/>
          <w:sz w:val="24"/>
        </w:rPr>
      </w:pPr>
      <w:r>
        <w:rPr>
          <w:rFonts w:ascii="Arial" w:hAnsi="Arial"/>
          <w:sz w:val="24"/>
        </w:rPr>
        <w:t>Notas:</w:t>
      </w:r>
    </w:p>
    <w:p w:rsidR="00000000" w:rsidRDefault="00C04CA6">
      <w:pPr>
        <w:ind w:left="360" w:right="431"/>
        <w:rPr>
          <w:rFonts w:ascii="Arial" w:hAnsi="Arial"/>
          <w:sz w:val="24"/>
        </w:rPr>
      </w:pPr>
      <w:r>
        <w:rPr>
          <w:rFonts w:ascii="Arial" w:hAnsi="Arial"/>
          <w:sz w:val="24"/>
          <w:vertAlign w:val="superscript"/>
        </w:rPr>
        <w:t>[1]</w:t>
      </w:r>
      <w:r>
        <w:rPr>
          <w:rFonts w:ascii="Arial" w:hAnsi="Arial"/>
          <w:sz w:val="24"/>
        </w:rPr>
        <w:t xml:space="preserve">  mg/m</w:t>
      </w:r>
      <w:r>
        <w:rPr>
          <w:rFonts w:ascii="Arial" w:hAnsi="Arial"/>
          <w:sz w:val="24"/>
          <w:vertAlign w:val="superscript"/>
        </w:rPr>
        <w:t>3</w:t>
      </w:r>
      <w:r>
        <w:rPr>
          <w:rFonts w:ascii="Arial" w:hAnsi="Arial"/>
          <w:sz w:val="24"/>
        </w:rPr>
        <w:t>: miligramos por metr</w:t>
      </w:r>
      <w:r>
        <w:rPr>
          <w:rFonts w:ascii="Arial" w:hAnsi="Arial"/>
          <w:sz w:val="24"/>
        </w:rPr>
        <w:t>o cúbico de gas, a condiciones normales de de 1 013 milibares de presión y temperatura de 0 °C, en base seca y corregidos a 7% de oxígeno.  Esta norma no se aplica cuando se utilice inyección de oxígeno en los quemadores.</w:t>
      </w:r>
    </w:p>
    <w:p w:rsidR="00000000" w:rsidRDefault="00C04CA6">
      <w:pPr>
        <w:rPr>
          <w:rFonts w:ascii="Arial" w:hAnsi="Arial"/>
          <w:sz w:val="24"/>
        </w:rPr>
      </w:pPr>
    </w:p>
    <w:p w:rsidR="00000000" w:rsidRDefault="00C04CA6">
      <w:pPr>
        <w:rPr>
          <w:rFonts w:ascii="Arial" w:hAnsi="Arial"/>
          <w:sz w:val="24"/>
          <w:lang w:val="es-ES"/>
        </w:rPr>
      </w:pPr>
      <w:r>
        <w:rPr>
          <w:rFonts w:ascii="Arial" w:hAnsi="Arial"/>
          <w:sz w:val="24"/>
          <w:lang w:val="es-ES"/>
        </w:rPr>
        <w:t xml:space="preserve">4.3.3  </w:t>
      </w:r>
      <w:r>
        <w:rPr>
          <w:rFonts w:ascii="Arial" w:hAnsi="Arial"/>
          <w:sz w:val="24"/>
          <w:u w:val="single"/>
          <w:lang w:val="es-ES"/>
        </w:rPr>
        <w:t>Elaboración de pulpa de pa</w:t>
      </w:r>
      <w:r>
        <w:rPr>
          <w:rFonts w:ascii="Arial" w:hAnsi="Arial"/>
          <w:sz w:val="24"/>
          <w:u w:val="single"/>
          <w:lang w:val="es-ES"/>
        </w:rPr>
        <w:t>pel</w:t>
      </w:r>
    </w:p>
    <w:p w:rsidR="00000000" w:rsidRDefault="00C04CA6">
      <w:pPr>
        <w:rPr>
          <w:rFonts w:ascii="Arial" w:hAnsi="Arial"/>
          <w:sz w:val="24"/>
          <w:lang w:val="es-ES"/>
        </w:rPr>
      </w:pPr>
    </w:p>
    <w:p w:rsidR="00000000" w:rsidRDefault="00C04CA6">
      <w:pPr>
        <w:pStyle w:val="Ttulo7"/>
        <w:jc w:val="center"/>
        <w:rPr>
          <w:rFonts w:ascii="Arial" w:hAnsi="Arial"/>
          <w:smallCaps w:val="0"/>
          <w:sz w:val="24"/>
        </w:rPr>
      </w:pPr>
      <w:r>
        <w:rPr>
          <w:rFonts w:ascii="Arial" w:hAnsi="Arial"/>
          <w:smallCaps w:val="0"/>
          <w:sz w:val="24"/>
        </w:rPr>
        <w:t>Tabla 8.  Límites máximos permisibles de emisiones al aire para elaboración de pulpa de papel</w:t>
      </w:r>
    </w:p>
    <w:p w:rsidR="00000000" w:rsidRDefault="00C04CA6">
      <w:pPr>
        <w:rPr>
          <w:rFonts w:ascii="Arial" w:hAnsi="Arial"/>
          <w:sz w:val="24"/>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2090"/>
        <w:gridCol w:w="2040"/>
        <w:gridCol w:w="1560"/>
        <w:gridCol w:w="1440"/>
        <w:gridCol w:w="1560"/>
      </w:tblGrid>
      <w:tr w:rsidR="00000000">
        <w:tblPrEx>
          <w:tblCellMar>
            <w:top w:w="0" w:type="dxa"/>
            <w:bottom w:w="0" w:type="dxa"/>
          </w:tblCellMar>
        </w:tblPrEx>
        <w:trPr>
          <w:jc w:val="center"/>
        </w:trPr>
        <w:tc>
          <w:tcPr>
            <w:tcW w:w="2090" w:type="dxa"/>
            <w:tcBorders>
              <w:top w:val="single" w:sz="6" w:space="0" w:color="auto"/>
              <w:bottom w:val="single" w:sz="6" w:space="0" w:color="auto"/>
              <w:right w:val="single" w:sz="6" w:space="0" w:color="auto"/>
            </w:tcBorders>
          </w:tcPr>
          <w:p w:rsidR="00000000" w:rsidRDefault="00C04CA6">
            <w:pPr>
              <w:rPr>
                <w:rFonts w:ascii="Arial" w:hAnsi="Arial"/>
                <w:b/>
                <w:sz w:val="24"/>
              </w:rPr>
            </w:pPr>
            <w:r>
              <w:rPr>
                <w:rFonts w:ascii="Arial" w:hAnsi="Arial"/>
                <w:b/>
                <w:sz w:val="24"/>
              </w:rPr>
              <w:t>CONTAMINANTE EMITIDO</w:t>
            </w:r>
          </w:p>
        </w:tc>
        <w:tc>
          <w:tcPr>
            <w:tcW w:w="2040" w:type="dxa"/>
            <w:tcBorders>
              <w:top w:val="single" w:sz="6" w:space="0" w:color="auto"/>
              <w:left w:val="single" w:sz="6" w:space="0" w:color="auto"/>
              <w:bottom w:val="single" w:sz="6" w:space="0" w:color="auto"/>
              <w:right w:val="single" w:sz="6" w:space="0" w:color="auto"/>
            </w:tcBorders>
          </w:tcPr>
          <w:p w:rsidR="00000000" w:rsidRDefault="00C04CA6">
            <w:pPr>
              <w:jc w:val="center"/>
              <w:rPr>
                <w:rFonts w:ascii="Arial" w:hAnsi="Arial"/>
                <w:b/>
                <w:sz w:val="24"/>
              </w:rPr>
            </w:pPr>
            <w:r>
              <w:rPr>
                <w:rFonts w:ascii="Arial" w:hAnsi="Arial"/>
                <w:b/>
                <w:sz w:val="24"/>
              </w:rPr>
              <w:t>OBSERVACIONES</w:t>
            </w:r>
          </w:p>
        </w:tc>
        <w:tc>
          <w:tcPr>
            <w:tcW w:w="1560" w:type="dxa"/>
            <w:tcBorders>
              <w:top w:val="single" w:sz="6" w:space="0" w:color="auto"/>
              <w:left w:val="single" w:sz="6" w:space="0" w:color="auto"/>
              <w:bottom w:val="single" w:sz="6" w:space="0" w:color="auto"/>
              <w:right w:val="single" w:sz="6" w:space="0" w:color="auto"/>
            </w:tcBorders>
          </w:tcPr>
          <w:p w:rsidR="00000000" w:rsidRDefault="00C04CA6">
            <w:pPr>
              <w:jc w:val="center"/>
              <w:rPr>
                <w:rFonts w:ascii="Arial" w:hAnsi="Arial"/>
                <w:b/>
                <w:sz w:val="24"/>
              </w:rPr>
            </w:pPr>
            <w:r>
              <w:rPr>
                <w:rFonts w:ascii="Arial" w:hAnsi="Arial"/>
                <w:b/>
                <w:sz w:val="24"/>
              </w:rPr>
              <w:t>FUENTES EXISTENTES</w:t>
            </w:r>
          </w:p>
        </w:tc>
        <w:tc>
          <w:tcPr>
            <w:tcW w:w="1440" w:type="dxa"/>
            <w:tcBorders>
              <w:top w:val="single" w:sz="6" w:space="0" w:color="auto"/>
              <w:left w:val="single" w:sz="6" w:space="0" w:color="auto"/>
              <w:bottom w:val="single" w:sz="6" w:space="0" w:color="auto"/>
              <w:right w:val="single" w:sz="6" w:space="0" w:color="auto"/>
            </w:tcBorders>
          </w:tcPr>
          <w:p w:rsidR="00000000" w:rsidRDefault="00C04CA6">
            <w:pPr>
              <w:jc w:val="center"/>
              <w:rPr>
                <w:rFonts w:ascii="Arial" w:hAnsi="Arial"/>
                <w:b/>
                <w:sz w:val="24"/>
              </w:rPr>
            </w:pPr>
            <w:r>
              <w:rPr>
                <w:rFonts w:ascii="Arial" w:hAnsi="Arial"/>
                <w:b/>
                <w:sz w:val="24"/>
              </w:rPr>
              <w:t>FUENTES NUEVAS</w:t>
            </w:r>
          </w:p>
        </w:tc>
        <w:tc>
          <w:tcPr>
            <w:tcW w:w="1560" w:type="dxa"/>
            <w:tcBorders>
              <w:top w:val="single" w:sz="6" w:space="0" w:color="auto"/>
              <w:left w:val="single" w:sz="6" w:space="0" w:color="auto"/>
              <w:bottom w:val="single" w:sz="6" w:space="0" w:color="auto"/>
            </w:tcBorders>
          </w:tcPr>
          <w:p w:rsidR="00000000" w:rsidRDefault="00C04CA6">
            <w:pPr>
              <w:jc w:val="center"/>
              <w:rPr>
                <w:rFonts w:ascii="Arial" w:hAnsi="Arial"/>
                <w:b/>
                <w:sz w:val="24"/>
              </w:rPr>
            </w:pPr>
            <w:r>
              <w:rPr>
                <w:rFonts w:ascii="Arial" w:hAnsi="Arial"/>
                <w:b/>
                <w:sz w:val="24"/>
              </w:rPr>
              <w:t xml:space="preserve"> UNIDADES</w:t>
            </w:r>
          </w:p>
        </w:tc>
      </w:tr>
      <w:tr w:rsidR="00000000">
        <w:tblPrEx>
          <w:tblCellMar>
            <w:top w:w="0" w:type="dxa"/>
            <w:bottom w:w="0" w:type="dxa"/>
          </w:tblCellMar>
        </w:tblPrEx>
        <w:trPr>
          <w:jc w:val="center"/>
        </w:trPr>
        <w:tc>
          <w:tcPr>
            <w:tcW w:w="2090" w:type="dxa"/>
            <w:tcBorders>
              <w:top w:val="single" w:sz="6" w:space="0" w:color="auto"/>
              <w:right w:val="single" w:sz="6" w:space="0" w:color="auto"/>
            </w:tcBorders>
            <w:vAlign w:val="center"/>
          </w:tcPr>
          <w:p w:rsidR="00000000" w:rsidRDefault="00C04CA6">
            <w:pPr>
              <w:rPr>
                <w:rFonts w:ascii="Arial" w:hAnsi="Arial"/>
                <w:sz w:val="24"/>
              </w:rPr>
            </w:pPr>
            <w:r>
              <w:rPr>
                <w:rFonts w:ascii="Arial" w:hAnsi="Arial"/>
                <w:sz w:val="24"/>
              </w:rPr>
              <w:t>Partículas Totales</w:t>
            </w:r>
          </w:p>
        </w:tc>
        <w:tc>
          <w:tcPr>
            <w:tcW w:w="2040" w:type="dxa"/>
            <w:tcBorders>
              <w:top w:val="single" w:sz="6" w:space="0" w:color="auto"/>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 xml:space="preserve">Pasta por proceso </w:t>
            </w:r>
          </w:p>
        </w:tc>
        <w:tc>
          <w:tcPr>
            <w:tcW w:w="1560" w:type="dxa"/>
            <w:tcBorders>
              <w:top w:val="single" w:sz="6" w:space="0" w:color="auto"/>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250</w:t>
            </w:r>
          </w:p>
        </w:tc>
        <w:tc>
          <w:tcPr>
            <w:tcW w:w="1440" w:type="dxa"/>
            <w:tcBorders>
              <w:top w:val="single" w:sz="6" w:space="0" w:color="auto"/>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150</w:t>
            </w:r>
          </w:p>
        </w:tc>
        <w:tc>
          <w:tcPr>
            <w:tcW w:w="1560" w:type="dxa"/>
            <w:tcBorders>
              <w:top w:val="single" w:sz="6" w:space="0" w:color="auto"/>
              <w:left w:val="single" w:sz="6" w:space="0" w:color="auto"/>
              <w:bottom w:val="nil"/>
            </w:tcBorders>
          </w:tcPr>
          <w:p w:rsidR="00000000" w:rsidRDefault="00C04CA6">
            <w:pPr>
              <w:jc w:val="center"/>
              <w:rPr>
                <w:rFonts w:ascii="Arial" w:hAnsi="Arial"/>
                <w:sz w:val="24"/>
              </w:rPr>
            </w:pPr>
            <w:r>
              <w:rPr>
                <w:rFonts w:ascii="Arial" w:hAnsi="Arial"/>
                <w:sz w:val="24"/>
              </w:rPr>
              <w:t>mg/Nm</w:t>
            </w:r>
            <w:r>
              <w:rPr>
                <w:rFonts w:ascii="Arial" w:hAnsi="Arial"/>
                <w:sz w:val="24"/>
                <w:vertAlign w:val="superscript"/>
              </w:rPr>
              <w:t>3</w:t>
            </w:r>
            <w:r>
              <w:rPr>
                <w:rFonts w:ascii="Arial" w:hAnsi="Arial"/>
                <w:sz w:val="24"/>
              </w:rPr>
              <w:t xml:space="preserve">  </w:t>
            </w:r>
            <w:r>
              <w:rPr>
                <w:rFonts w:ascii="Arial" w:hAnsi="Arial"/>
                <w:b/>
                <w:sz w:val="24"/>
                <w:vertAlign w:val="superscript"/>
              </w:rPr>
              <w:t>[1]</w:t>
            </w:r>
          </w:p>
        </w:tc>
      </w:tr>
      <w:tr w:rsidR="00000000">
        <w:tblPrEx>
          <w:tblCellMar>
            <w:top w:w="0" w:type="dxa"/>
            <w:bottom w:w="0" w:type="dxa"/>
          </w:tblCellMar>
        </w:tblPrEx>
        <w:trPr>
          <w:jc w:val="center"/>
        </w:trPr>
        <w:tc>
          <w:tcPr>
            <w:tcW w:w="2090" w:type="dxa"/>
            <w:tcBorders>
              <w:right w:val="single" w:sz="6" w:space="0" w:color="auto"/>
            </w:tcBorders>
            <w:vAlign w:val="center"/>
          </w:tcPr>
          <w:p w:rsidR="00000000" w:rsidRDefault="00C04CA6">
            <w:pPr>
              <w:rPr>
                <w:rFonts w:ascii="Arial" w:hAnsi="Arial"/>
                <w:sz w:val="24"/>
              </w:rPr>
            </w:pPr>
          </w:p>
        </w:tc>
        <w:tc>
          <w:tcPr>
            <w:tcW w:w="2040" w:type="dxa"/>
            <w:tcBorders>
              <w:top w:val="nil"/>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kraft o por bisu</w:t>
            </w:r>
            <w:r>
              <w:rPr>
                <w:rFonts w:ascii="Arial" w:hAnsi="Arial"/>
                <w:sz w:val="24"/>
              </w:rPr>
              <w:t>lfito</w:t>
            </w:r>
          </w:p>
        </w:tc>
        <w:tc>
          <w:tcPr>
            <w:tcW w:w="1560" w:type="dxa"/>
            <w:tcBorders>
              <w:left w:val="single" w:sz="6" w:space="0" w:color="auto"/>
              <w:right w:val="single" w:sz="6" w:space="0" w:color="auto"/>
            </w:tcBorders>
          </w:tcPr>
          <w:p w:rsidR="00000000" w:rsidRDefault="00C04CA6">
            <w:pPr>
              <w:jc w:val="center"/>
              <w:rPr>
                <w:rFonts w:ascii="Arial" w:hAnsi="Arial"/>
                <w:sz w:val="24"/>
              </w:rPr>
            </w:pPr>
          </w:p>
        </w:tc>
        <w:tc>
          <w:tcPr>
            <w:tcW w:w="1440" w:type="dxa"/>
            <w:tcBorders>
              <w:left w:val="single" w:sz="6" w:space="0" w:color="auto"/>
              <w:right w:val="single" w:sz="6" w:space="0" w:color="auto"/>
            </w:tcBorders>
          </w:tcPr>
          <w:p w:rsidR="00000000" w:rsidRDefault="00C04CA6">
            <w:pPr>
              <w:ind w:right="252"/>
              <w:jc w:val="right"/>
              <w:rPr>
                <w:rFonts w:ascii="Arial" w:hAnsi="Arial"/>
                <w:sz w:val="24"/>
              </w:rPr>
            </w:pPr>
          </w:p>
        </w:tc>
        <w:tc>
          <w:tcPr>
            <w:tcW w:w="1560" w:type="dxa"/>
            <w:tcBorders>
              <w:top w:val="nil"/>
              <w:left w:val="single" w:sz="6" w:space="0" w:color="auto"/>
              <w:bottom w:val="nil"/>
            </w:tcBorders>
          </w:tcPr>
          <w:p w:rsidR="00000000" w:rsidRDefault="00C04CA6">
            <w:pPr>
              <w:jc w:val="center"/>
              <w:rPr>
                <w:rFonts w:ascii="Arial" w:hAnsi="Arial"/>
                <w:sz w:val="24"/>
              </w:rPr>
            </w:pPr>
          </w:p>
        </w:tc>
      </w:tr>
      <w:tr w:rsidR="00000000">
        <w:tblPrEx>
          <w:tblCellMar>
            <w:top w:w="0" w:type="dxa"/>
            <w:bottom w:w="0" w:type="dxa"/>
          </w:tblCellMar>
        </w:tblPrEx>
        <w:trPr>
          <w:jc w:val="center"/>
        </w:trPr>
        <w:tc>
          <w:tcPr>
            <w:tcW w:w="2090" w:type="dxa"/>
            <w:tcBorders>
              <w:right w:val="single" w:sz="6" w:space="0" w:color="auto"/>
            </w:tcBorders>
            <w:vAlign w:val="center"/>
          </w:tcPr>
          <w:p w:rsidR="00000000" w:rsidRDefault="00C04CA6">
            <w:pPr>
              <w:rPr>
                <w:rFonts w:ascii="Arial" w:hAnsi="Arial"/>
                <w:sz w:val="24"/>
              </w:rPr>
            </w:pPr>
          </w:p>
        </w:tc>
        <w:tc>
          <w:tcPr>
            <w:tcW w:w="2040" w:type="dxa"/>
            <w:tcBorders>
              <w:top w:val="nil"/>
              <w:left w:val="single" w:sz="6" w:space="0" w:color="auto"/>
              <w:bottom w:val="nil"/>
              <w:right w:val="single" w:sz="6" w:space="0" w:color="auto"/>
            </w:tcBorders>
          </w:tcPr>
          <w:p w:rsidR="00000000" w:rsidRDefault="00C04CA6">
            <w:pPr>
              <w:jc w:val="center"/>
              <w:rPr>
                <w:rFonts w:ascii="Arial" w:hAnsi="Arial"/>
                <w:sz w:val="24"/>
              </w:rPr>
            </w:pPr>
          </w:p>
        </w:tc>
        <w:tc>
          <w:tcPr>
            <w:tcW w:w="1560" w:type="dxa"/>
            <w:tcBorders>
              <w:left w:val="single" w:sz="6" w:space="0" w:color="auto"/>
              <w:right w:val="single" w:sz="6" w:space="0" w:color="auto"/>
            </w:tcBorders>
          </w:tcPr>
          <w:p w:rsidR="00000000" w:rsidRDefault="00C04CA6">
            <w:pPr>
              <w:jc w:val="center"/>
              <w:rPr>
                <w:rFonts w:ascii="Arial" w:hAnsi="Arial"/>
                <w:sz w:val="24"/>
              </w:rPr>
            </w:pPr>
          </w:p>
        </w:tc>
        <w:tc>
          <w:tcPr>
            <w:tcW w:w="1440" w:type="dxa"/>
            <w:tcBorders>
              <w:left w:val="single" w:sz="6" w:space="0" w:color="auto"/>
              <w:right w:val="single" w:sz="6" w:space="0" w:color="auto"/>
            </w:tcBorders>
          </w:tcPr>
          <w:p w:rsidR="00000000" w:rsidRDefault="00C04CA6">
            <w:pPr>
              <w:ind w:right="252"/>
              <w:jc w:val="right"/>
              <w:rPr>
                <w:rFonts w:ascii="Arial" w:hAnsi="Arial"/>
                <w:sz w:val="24"/>
              </w:rPr>
            </w:pPr>
          </w:p>
        </w:tc>
        <w:tc>
          <w:tcPr>
            <w:tcW w:w="1560" w:type="dxa"/>
            <w:tcBorders>
              <w:top w:val="nil"/>
              <w:left w:val="single" w:sz="6" w:space="0" w:color="auto"/>
              <w:bottom w:val="nil"/>
            </w:tcBorders>
          </w:tcPr>
          <w:p w:rsidR="00000000" w:rsidRDefault="00C04CA6">
            <w:pPr>
              <w:jc w:val="center"/>
              <w:rPr>
                <w:rFonts w:ascii="Arial" w:hAnsi="Arial"/>
                <w:sz w:val="24"/>
              </w:rPr>
            </w:pPr>
          </w:p>
        </w:tc>
      </w:tr>
      <w:tr w:rsidR="00000000">
        <w:tblPrEx>
          <w:tblCellMar>
            <w:top w:w="0" w:type="dxa"/>
            <w:bottom w:w="0" w:type="dxa"/>
          </w:tblCellMar>
        </w:tblPrEx>
        <w:trPr>
          <w:jc w:val="center"/>
        </w:trPr>
        <w:tc>
          <w:tcPr>
            <w:tcW w:w="2090" w:type="dxa"/>
            <w:tcBorders>
              <w:right w:val="single" w:sz="6" w:space="0" w:color="auto"/>
            </w:tcBorders>
            <w:vAlign w:val="center"/>
          </w:tcPr>
          <w:p w:rsidR="00000000" w:rsidRDefault="00C04CA6">
            <w:pPr>
              <w:rPr>
                <w:rFonts w:ascii="Arial" w:hAnsi="Arial"/>
                <w:sz w:val="24"/>
              </w:rPr>
            </w:pPr>
            <w:r>
              <w:rPr>
                <w:rFonts w:ascii="Arial" w:hAnsi="Arial"/>
                <w:sz w:val="24"/>
              </w:rPr>
              <w:t>Dióxido de Azufre</w:t>
            </w:r>
          </w:p>
        </w:tc>
        <w:tc>
          <w:tcPr>
            <w:tcW w:w="2040" w:type="dxa"/>
            <w:tcBorders>
              <w:top w:val="nil"/>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 –</w:t>
            </w:r>
          </w:p>
        </w:tc>
        <w:tc>
          <w:tcPr>
            <w:tcW w:w="156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10</w:t>
            </w:r>
          </w:p>
        </w:tc>
        <w:tc>
          <w:tcPr>
            <w:tcW w:w="144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5</w:t>
            </w:r>
          </w:p>
        </w:tc>
        <w:tc>
          <w:tcPr>
            <w:tcW w:w="1560" w:type="dxa"/>
            <w:tcBorders>
              <w:top w:val="nil"/>
              <w:left w:val="single" w:sz="6" w:space="0" w:color="auto"/>
              <w:bottom w:val="nil"/>
            </w:tcBorders>
          </w:tcPr>
          <w:p w:rsidR="00000000" w:rsidRDefault="00C04CA6">
            <w:pPr>
              <w:jc w:val="center"/>
              <w:rPr>
                <w:rFonts w:ascii="Arial" w:hAnsi="Arial"/>
                <w:sz w:val="24"/>
              </w:rPr>
            </w:pPr>
            <w:r>
              <w:rPr>
                <w:rFonts w:ascii="Arial" w:hAnsi="Arial"/>
                <w:sz w:val="24"/>
              </w:rPr>
              <w:t>kg/ton</w:t>
            </w:r>
          </w:p>
        </w:tc>
      </w:tr>
      <w:tr w:rsidR="00000000">
        <w:tblPrEx>
          <w:tblCellMar>
            <w:top w:w="0" w:type="dxa"/>
            <w:bottom w:w="0" w:type="dxa"/>
          </w:tblCellMar>
        </w:tblPrEx>
        <w:trPr>
          <w:jc w:val="center"/>
        </w:trPr>
        <w:tc>
          <w:tcPr>
            <w:tcW w:w="2090" w:type="dxa"/>
            <w:tcBorders>
              <w:right w:val="single" w:sz="6" w:space="0" w:color="auto"/>
            </w:tcBorders>
            <w:vAlign w:val="center"/>
          </w:tcPr>
          <w:p w:rsidR="00000000" w:rsidRDefault="00C04CA6">
            <w:pPr>
              <w:rPr>
                <w:rFonts w:ascii="Arial" w:hAnsi="Arial"/>
                <w:sz w:val="24"/>
              </w:rPr>
            </w:pPr>
          </w:p>
        </w:tc>
        <w:tc>
          <w:tcPr>
            <w:tcW w:w="2040" w:type="dxa"/>
            <w:tcBorders>
              <w:top w:val="nil"/>
              <w:left w:val="single" w:sz="6" w:space="0" w:color="auto"/>
              <w:bottom w:val="single" w:sz="6" w:space="0" w:color="auto"/>
              <w:right w:val="single" w:sz="6" w:space="0" w:color="auto"/>
            </w:tcBorders>
          </w:tcPr>
          <w:p w:rsidR="00000000" w:rsidRDefault="00C04CA6">
            <w:pPr>
              <w:jc w:val="center"/>
              <w:rPr>
                <w:rFonts w:ascii="Arial" w:hAnsi="Arial"/>
                <w:sz w:val="24"/>
              </w:rPr>
            </w:pPr>
          </w:p>
        </w:tc>
        <w:tc>
          <w:tcPr>
            <w:tcW w:w="1560" w:type="dxa"/>
            <w:tcBorders>
              <w:left w:val="single" w:sz="6" w:space="0" w:color="auto"/>
              <w:right w:val="single" w:sz="6" w:space="0" w:color="auto"/>
            </w:tcBorders>
          </w:tcPr>
          <w:p w:rsidR="00000000" w:rsidRDefault="00C04CA6">
            <w:pPr>
              <w:jc w:val="center"/>
              <w:rPr>
                <w:rFonts w:ascii="Arial" w:hAnsi="Arial"/>
                <w:sz w:val="24"/>
              </w:rPr>
            </w:pPr>
          </w:p>
        </w:tc>
        <w:tc>
          <w:tcPr>
            <w:tcW w:w="1440" w:type="dxa"/>
            <w:tcBorders>
              <w:left w:val="single" w:sz="6" w:space="0" w:color="auto"/>
              <w:right w:val="single" w:sz="6" w:space="0" w:color="auto"/>
            </w:tcBorders>
          </w:tcPr>
          <w:p w:rsidR="00000000" w:rsidRDefault="00C04CA6">
            <w:pPr>
              <w:ind w:right="252"/>
              <w:jc w:val="right"/>
              <w:rPr>
                <w:rFonts w:ascii="Arial" w:hAnsi="Arial"/>
                <w:sz w:val="24"/>
              </w:rPr>
            </w:pPr>
          </w:p>
        </w:tc>
        <w:tc>
          <w:tcPr>
            <w:tcW w:w="1560" w:type="dxa"/>
            <w:tcBorders>
              <w:top w:val="nil"/>
              <w:left w:val="single" w:sz="6" w:space="0" w:color="auto"/>
              <w:bottom w:val="single" w:sz="6" w:space="0" w:color="auto"/>
            </w:tcBorders>
          </w:tcPr>
          <w:p w:rsidR="00000000" w:rsidRDefault="00C04CA6">
            <w:pPr>
              <w:jc w:val="center"/>
              <w:rPr>
                <w:rFonts w:ascii="Arial" w:hAnsi="Arial"/>
                <w:sz w:val="24"/>
              </w:rPr>
            </w:pPr>
            <w:r>
              <w:rPr>
                <w:rFonts w:ascii="Arial" w:hAnsi="Arial"/>
                <w:sz w:val="24"/>
              </w:rPr>
              <w:t xml:space="preserve">pasta  </w:t>
            </w:r>
            <w:r>
              <w:rPr>
                <w:rFonts w:ascii="Arial" w:hAnsi="Arial"/>
                <w:b/>
                <w:sz w:val="24"/>
                <w:vertAlign w:val="superscript"/>
              </w:rPr>
              <w:t>[2]</w:t>
            </w:r>
          </w:p>
        </w:tc>
      </w:tr>
    </w:tbl>
    <w:p w:rsidR="00000000" w:rsidRDefault="00C04CA6">
      <w:pPr>
        <w:ind w:left="360" w:right="431"/>
        <w:rPr>
          <w:rFonts w:ascii="Arial" w:hAnsi="Arial"/>
          <w:sz w:val="24"/>
        </w:rPr>
      </w:pPr>
      <w:r>
        <w:rPr>
          <w:rFonts w:ascii="Arial" w:hAnsi="Arial"/>
          <w:sz w:val="24"/>
        </w:rPr>
        <w:t>Notas:</w:t>
      </w:r>
    </w:p>
    <w:p w:rsidR="00000000" w:rsidRDefault="00C04CA6">
      <w:pPr>
        <w:ind w:left="360" w:right="431"/>
        <w:rPr>
          <w:rFonts w:ascii="Arial" w:hAnsi="Arial"/>
          <w:sz w:val="24"/>
        </w:rPr>
      </w:pPr>
      <w:r>
        <w:rPr>
          <w:rFonts w:ascii="Arial" w:hAnsi="Arial"/>
          <w:sz w:val="24"/>
          <w:vertAlign w:val="superscript"/>
        </w:rPr>
        <w:t>[1]</w:t>
      </w:r>
      <w:r>
        <w:rPr>
          <w:rFonts w:ascii="Arial" w:hAnsi="Arial"/>
          <w:sz w:val="24"/>
        </w:rPr>
        <w:t xml:space="preserve">  mg/m</w:t>
      </w:r>
      <w:r>
        <w:rPr>
          <w:rFonts w:ascii="Arial" w:hAnsi="Arial"/>
          <w:sz w:val="24"/>
          <w:vertAlign w:val="superscript"/>
        </w:rPr>
        <w:t>3</w:t>
      </w:r>
      <w:r>
        <w:rPr>
          <w:rFonts w:ascii="Arial" w:hAnsi="Arial"/>
          <w:sz w:val="24"/>
        </w:rPr>
        <w:t>: miligramos por metro cúbico de gas, a condiciones normales de de 1 013 milibares de presión y temperatura de 0 °C.</w:t>
      </w:r>
    </w:p>
    <w:p w:rsidR="00000000" w:rsidRDefault="00C04CA6">
      <w:pPr>
        <w:ind w:left="360" w:right="431"/>
        <w:rPr>
          <w:rFonts w:ascii="Arial" w:hAnsi="Arial"/>
          <w:sz w:val="24"/>
        </w:rPr>
      </w:pPr>
      <w:r>
        <w:rPr>
          <w:rFonts w:ascii="Arial" w:hAnsi="Arial"/>
          <w:sz w:val="24"/>
          <w:vertAlign w:val="superscript"/>
        </w:rPr>
        <w:t>[2]</w:t>
      </w:r>
      <w:r>
        <w:rPr>
          <w:rFonts w:ascii="Arial" w:hAnsi="Arial"/>
          <w:sz w:val="24"/>
        </w:rPr>
        <w:t xml:space="preserve">  kg/ton pasta: kilogramos por tonelada de pasta.</w:t>
      </w:r>
    </w:p>
    <w:p w:rsidR="00000000" w:rsidRDefault="00C04CA6">
      <w:pPr>
        <w:ind w:right="431"/>
        <w:rPr>
          <w:rFonts w:ascii="Arial" w:hAnsi="Arial"/>
          <w:sz w:val="24"/>
        </w:rPr>
      </w:pPr>
    </w:p>
    <w:p w:rsidR="00000000" w:rsidRDefault="00C04CA6">
      <w:pPr>
        <w:ind w:right="431"/>
        <w:rPr>
          <w:rFonts w:ascii="Arial" w:hAnsi="Arial"/>
          <w:sz w:val="24"/>
        </w:rPr>
      </w:pPr>
    </w:p>
    <w:p w:rsidR="00000000" w:rsidRDefault="00C04CA6">
      <w:pPr>
        <w:ind w:right="431"/>
        <w:rPr>
          <w:rFonts w:ascii="Arial" w:hAnsi="Arial"/>
          <w:sz w:val="24"/>
        </w:rPr>
      </w:pPr>
    </w:p>
    <w:p w:rsidR="00000000" w:rsidRDefault="00C04CA6">
      <w:pPr>
        <w:rPr>
          <w:rFonts w:ascii="Arial" w:hAnsi="Arial"/>
          <w:sz w:val="24"/>
          <w:lang w:val="es-ES"/>
        </w:rPr>
      </w:pPr>
      <w:r>
        <w:rPr>
          <w:rFonts w:ascii="Arial" w:hAnsi="Arial"/>
          <w:sz w:val="24"/>
          <w:lang w:val="es-ES"/>
        </w:rPr>
        <w:t xml:space="preserve">4.3.4  </w:t>
      </w:r>
      <w:r>
        <w:rPr>
          <w:rFonts w:ascii="Arial" w:hAnsi="Arial"/>
          <w:sz w:val="24"/>
          <w:u w:val="single"/>
          <w:lang w:val="es-ES"/>
        </w:rPr>
        <w:t>Fundición de metales</w:t>
      </w:r>
    </w:p>
    <w:p w:rsidR="00000000" w:rsidRDefault="00C04CA6">
      <w:pPr>
        <w:rPr>
          <w:rFonts w:ascii="Arial" w:hAnsi="Arial"/>
          <w:sz w:val="24"/>
          <w:lang w:val="es-ES"/>
        </w:rPr>
      </w:pPr>
    </w:p>
    <w:p w:rsidR="00000000" w:rsidRDefault="00C04CA6">
      <w:pPr>
        <w:pStyle w:val="Ttulo7"/>
        <w:jc w:val="center"/>
        <w:rPr>
          <w:rFonts w:ascii="Arial" w:hAnsi="Arial"/>
          <w:smallCaps w:val="0"/>
          <w:sz w:val="24"/>
        </w:rPr>
      </w:pPr>
      <w:r>
        <w:rPr>
          <w:rFonts w:ascii="Arial" w:hAnsi="Arial"/>
          <w:smallCaps w:val="0"/>
          <w:sz w:val="24"/>
        </w:rPr>
        <w:t>Tabla 9.  Límites máximos permisibles de emisiones al aire para fundición de metales</w:t>
      </w:r>
    </w:p>
    <w:p w:rsidR="00000000" w:rsidRDefault="00C04CA6">
      <w:pPr>
        <w:rPr>
          <w:rFonts w:ascii="Arial" w:hAnsi="Arial"/>
          <w:sz w:val="24"/>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2090"/>
        <w:gridCol w:w="2040"/>
        <w:gridCol w:w="1560"/>
        <w:gridCol w:w="1440"/>
        <w:gridCol w:w="1560"/>
      </w:tblGrid>
      <w:tr w:rsidR="00000000">
        <w:tblPrEx>
          <w:tblCellMar>
            <w:top w:w="0" w:type="dxa"/>
            <w:bottom w:w="0" w:type="dxa"/>
          </w:tblCellMar>
        </w:tblPrEx>
        <w:trPr>
          <w:jc w:val="center"/>
        </w:trPr>
        <w:tc>
          <w:tcPr>
            <w:tcW w:w="2090" w:type="dxa"/>
            <w:tcBorders>
              <w:top w:val="single" w:sz="6" w:space="0" w:color="auto"/>
              <w:bottom w:val="single" w:sz="6" w:space="0" w:color="auto"/>
              <w:right w:val="single" w:sz="6" w:space="0" w:color="auto"/>
            </w:tcBorders>
          </w:tcPr>
          <w:p w:rsidR="00000000" w:rsidRDefault="00C04CA6">
            <w:pPr>
              <w:rPr>
                <w:rFonts w:ascii="Arial" w:hAnsi="Arial"/>
                <w:b/>
                <w:sz w:val="24"/>
              </w:rPr>
            </w:pPr>
            <w:r>
              <w:rPr>
                <w:rFonts w:ascii="Arial" w:hAnsi="Arial"/>
                <w:b/>
                <w:sz w:val="24"/>
              </w:rPr>
              <w:t>CONTAMINANTE EMITIDO</w:t>
            </w:r>
          </w:p>
        </w:tc>
        <w:tc>
          <w:tcPr>
            <w:tcW w:w="2040" w:type="dxa"/>
            <w:tcBorders>
              <w:top w:val="single" w:sz="6" w:space="0" w:color="auto"/>
              <w:left w:val="single" w:sz="6" w:space="0" w:color="auto"/>
              <w:bottom w:val="single" w:sz="6" w:space="0" w:color="auto"/>
              <w:right w:val="single" w:sz="6" w:space="0" w:color="auto"/>
            </w:tcBorders>
          </w:tcPr>
          <w:p w:rsidR="00000000" w:rsidRDefault="00C04CA6">
            <w:pPr>
              <w:jc w:val="center"/>
              <w:rPr>
                <w:rFonts w:ascii="Arial" w:hAnsi="Arial"/>
                <w:b/>
                <w:sz w:val="24"/>
              </w:rPr>
            </w:pPr>
            <w:r>
              <w:rPr>
                <w:rFonts w:ascii="Arial" w:hAnsi="Arial"/>
                <w:b/>
                <w:sz w:val="24"/>
              </w:rPr>
              <w:t>OBSERVACIONES</w:t>
            </w:r>
          </w:p>
        </w:tc>
        <w:tc>
          <w:tcPr>
            <w:tcW w:w="1560" w:type="dxa"/>
            <w:tcBorders>
              <w:top w:val="single" w:sz="6" w:space="0" w:color="auto"/>
              <w:left w:val="single" w:sz="6" w:space="0" w:color="auto"/>
              <w:bottom w:val="single" w:sz="6" w:space="0" w:color="auto"/>
              <w:right w:val="single" w:sz="6" w:space="0" w:color="auto"/>
            </w:tcBorders>
          </w:tcPr>
          <w:p w:rsidR="00000000" w:rsidRDefault="00C04CA6">
            <w:pPr>
              <w:jc w:val="center"/>
              <w:rPr>
                <w:rFonts w:ascii="Arial" w:hAnsi="Arial"/>
                <w:b/>
                <w:sz w:val="24"/>
              </w:rPr>
            </w:pPr>
            <w:r>
              <w:rPr>
                <w:rFonts w:ascii="Arial" w:hAnsi="Arial"/>
                <w:b/>
                <w:sz w:val="24"/>
              </w:rPr>
              <w:t>FUENTES EXISTENTES</w:t>
            </w:r>
          </w:p>
        </w:tc>
        <w:tc>
          <w:tcPr>
            <w:tcW w:w="1440" w:type="dxa"/>
            <w:tcBorders>
              <w:top w:val="single" w:sz="6" w:space="0" w:color="auto"/>
              <w:left w:val="single" w:sz="6" w:space="0" w:color="auto"/>
              <w:bottom w:val="single" w:sz="6" w:space="0" w:color="auto"/>
              <w:right w:val="single" w:sz="6" w:space="0" w:color="auto"/>
            </w:tcBorders>
          </w:tcPr>
          <w:p w:rsidR="00000000" w:rsidRDefault="00C04CA6">
            <w:pPr>
              <w:jc w:val="center"/>
              <w:rPr>
                <w:rFonts w:ascii="Arial" w:hAnsi="Arial"/>
                <w:b/>
                <w:sz w:val="24"/>
              </w:rPr>
            </w:pPr>
            <w:r>
              <w:rPr>
                <w:rFonts w:ascii="Arial" w:hAnsi="Arial"/>
                <w:b/>
                <w:sz w:val="24"/>
              </w:rPr>
              <w:t>FUENTES NUEVAS</w:t>
            </w:r>
          </w:p>
        </w:tc>
        <w:tc>
          <w:tcPr>
            <w:tcW w:w="1560" w:type="dxa"/>
            <w:tcBorders>
              <w:top w:val="single" w:sz="6" w:space="0" w:color="auto"/>
              <w:left w:val="single" w:sz="6" w:space="0" w:color="auto"/>
              <w:bottom w:val="single" w:sz="6" w:space="0" w:color="auto"/>
            </w:tcBorders>
          </w:tcPr>
          <w:p w:rsidR="00000000" w:rsidRDefault="00C04CA6">
            <w:pPr>
              <w:jc w:val="center"/>
              <w:rPr>
                <w:rFonts w:ascii="Arial" w:hAnsi="Arial"/>
                <w:b/>
                <w:sz w:val="24"/>
              </w:rPr>
            </w:pPr>
            <w:r>
              <w:rPr>
                <w:rFonts w:ascii="Arial" w:hAnsi="Arial"/>
                <w:b/>
                <w:sz w:val="24"/>
              </w:rPr>
              <w:t xml:space="preserve"> UNIDADES </w:t>
            </w:r>
            <w:r>
              <w:rPr>
                <w:rFonts w:ascii="Arial" w:hAnsi="Arial"/>
                <w:b/>
                <w:sz w:val="24"/>
                <w:vertAlign w:val="superscript"/>
              </w:rPr>
              <w:t>[1]</w:t>
            </w:r>
            <w:r>
              <w:rPr>
                <w:rFonts w:ascii="Arial" w:hAnsi="Arial"/>
                <w:b/>
                <w:sz w:val="24"/>
              </w:rPr>
              <w:t xml:space="preserve"> </w:t>
            </w:r>
          </w:p>
        </w:tc>
      </w:tr>
      <w:tr w:rsidR="00000000">
        <w:tblPrEx>
          <w:tblCellMar>
            <w:top w:w="0" w:type="dxa"/>
            <w:bottom w:w="0" w:type="dxa"/>
          </w:tblCellMar>
        </w:tblPrEx>
        <w:trPr>
          <w:jc w:val="center"/>
        </w:trPr>
        <w:tc>
          <w:tcPr>
            <w:tcW w:w="2090" w:type="dxa"/>
            <w:tcBorders>
              <w:top w:val="single" w:sz="6" w:space="0" w:color="auto"/>
              <w:right w:val="single" w:sz="6" w:space="0" w:color="auto"/>
            </w:tcBorders>
            <w:vAlign w:val="center"/>
          </w:tcPr>
          <w:p w:rsidR="00000000" w:rsidRDefault="00C04CA6">
            <w:pPr>
              <w:rPr>
                <w:rFonts w:ascii="Arial" w:hAnsi="Arial"/>
                <w:sz w:val="24"/>
              </w:rPr>
            </w:pPr>
            <w:r>
              <w:rPr>
                <w:rFonts w:ascii="Arial" w:hAnsi="Arial"/>
                <w:sz w:val="24"/>
              </w:rPr>
              <w:t>Partículas Totales</w:t>
            </w:r>
          </w:p>
        </w:tc>
        <w:tc>
          <w:tcPr>
            <w:tcW w:w="2040" w:type="dxa"/>
            <w:tcBorders>
              <w:top w:val="single" w:sz="6" w:space="0" w:color="auto"/>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Cubilotes:</w:t>
            </w:r>
          </w:p>
        </w:tc>
        <w:tc>
          <w:tcPr>
            <w:tcW w:w="1560" w:type="dxa"/>
            <w:tcBorders>
              <w:top w:val="single" w:sz="6" w:space="0" w:color="auto"/>
              <w:left w:val="single" w:sz="6" w:space="0" w:color="auto"/>
              <w:right w:val="single" w:sz="6" w:space="0" w:color="auto"/>
            </w:tcBorders>
          </w:tcPr>
          <w:p w:rsidR="00000000" w:rsidRDefault="00C04CA6">
            <w:pPr>
              <w:ind w:right="252"/>
              <w:jc w:val="right"/>
              <w:rPr>
                <w:rFonts w:ascii="Arial" w:hAnsi="Arial"/>
                <w:sz w:val="24"/>
              </w:rPr>
            </w:pPr>
          </w:p>
        </w:tc>
        <w:tc>
          <w:tcPr>
            <w:tcW w:w="1440" w:type="dxa"/>
            <w:tcBorders>
              <w:top w:val="single" w:sz="6" w:space="0" w:color="auto"/>
              <w:left w:val="single" w:sz="6" w:space="0" w:color="auto"/>
              <w:right w:val="single" w:sz="6" w:space="0" w:color="auto"/>
            </w:tcBorders>
          </w:tcPr>
          <w:p w:rsidR="00000000" w:rsidRDefault="00C04CA6">
            <w:pPr>
              <w:ind w:right="252"/>
              <w:jc w:val="right"/>
              <w:rPr>
                <w:rFonts w:ascii="Arial" w:hAnsi="Arial"/>
                <w:sz w:val="24"/>
              </w:rPr>
            </w:pPr>
          </w:p>
        </w:tc>
        <w:tc>
          <w:tcPr>
            <w:tcW w:w="1560" w:type="dxa"/>
            <w:tcBorders>
              <w:top w:val="single" w:sz="6" w:space="0" w:color="auto"/>
              <w:left w:val="single" w:sz="6" w:space="0" w:color="auto"/>
              <w:bottom w:val="nil"/>
            </w:tcBorders>
          </w:tcPr>
          <w:p w:rsidR="00000000" w:rsidRDefault="00C04CA6">
            <w:pPr>
              <w:jc w:val="center"/>
              <w:rPr>
                <w:rFonts w:ascii="Arial" w:hAnsi="Arial"/>
                <w:sz w:val="24"/>
              </w:rPr>
            </w:pPr>
          </w:p>
        </w:tc>
      </w:tr>
      <w:tr w:rsidR="00000000">
        <w:tblPrEx>
          <w:tblCellMar>
            <w:top w:w="0" w:type="dxa"/>
            <w:bottom w:w="0" w:type="dxa"/>
          </w:tblCellMar>
        </w:tblPrEx>
        <w:trPr>
          <w:jc w:val="center"/>
        </w:trPr>
        <w:tc>
          <w:tcPr>
            <w:tcW w:w="2090" w:type="dxa"/>
            <w:tcBorders>
              <w:right w:val="single" w:sz="6" w:space="0" w:color="auto"/>
            </w:tcBorders>
            <w:vAlign w:val="center"/>
          </w:tcPr>
          <w:p w:rsidR="00000000" w:rsidRDefault="00C04CA6">
            <w:pPr>
              <w:rPr>
                <w:rFonts w:ascii="Arial" w:hAnsi="Arial"/>
                <w:sz w:val="24"/>
              </w:rPr>
            </w:pPr>
          </w:p>
        </w:tc>
        <w:tc>
          <w:tcPr>
            <w:tcW w:w="2040" w:type="dxa"/>
            <w:tcBorders>
              <w:top w:val="nil"/>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de 1 a 5 t/h</w:t>
            </w:r>
          </w:p>
        </w:tc>
        <w:tc>
          <w:tcPr>
            <w:tcW w:w="156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600</w:t>
            </w:r>
          </w:p>
        </w:tc>
        <w:tc>
          <w:tcPr>
            <w:tcW w:w="144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250</w:t>
            </w:r>
          </w:p>
        </w:tc>
        <w:tc>
          <w:tcPr>
            <w:tcW w:w="1560" w:type="dxa"/>
            <w:tcBorders>
              <w:top w:val="nil"/>
              <w:left w:val="single" w:sz="6" w:space="0" w:color="auto"/>
              <w:bottom w:val="nil"/>
            </w:tcBorders>
          </w:tcPr>
          <w:p w:rsidR="00000000" w:rsidRDefault="00C04CA6">
            <w:pPr>
              <w:jc w:val="center"/>
              <w:rPr>
                <w:rFonts w:ascii="Arial" w:hAnsi="Arial"/>
                <w:sz w:val="24"/>
              </w:rPr>
            </w:pPr>
            <w:r>
              <w:rPr>
                <w:rFonts w:ascii="Arial" w:hAnsi="Arial"/>
                <w:sz w:val="24"/>
              </w:rPr>
              <w:t>mg/Nm</w:t>
            </w:r>
            <w:r>
              <w:rPr>
                <w:rFonts w:ascii="Arial" w:hAnsi="Arial"/>
                <w:sz w:val="24"/>
                <w:vertAlign w:val="superscript"/>
              </w:rPr>
              <w:t>3</w:t>
            </w:r>
          </w:p>
        </w:tc>
      </w:tr>
      <w:tr w:rsidR="00000000">
        <w:tblPrEx>
          <w:tblCellMar>
            <w:top w:w="0" w:type="dxa"/>
            <w:bottom w:w="0" w:type="dxa"/>
          </w:tblCellMar>
        </w:tblPrEx>
        <w:trPr>
          <w:jc w:val="center"/>
        </w:trPr>
        <w:tc>
          <w:tcPr>
            <w:tcW w:w="2090" w:type="dxa"/>
            <w:tcBorders>
              <w:right w:val="single" w:sz="6" w:space="0" w:color="auto"/>
            </w:tcBorders>
            <w:vAlign w:val="center"/>
          </w:tcPr>
          <w:p w:rsidR="00000000" w:rsidRDefault="00C04CA6">
            <w:pPr>
              <w:rPr>
                <w:rFonts w:ascii="Arial" w:hAnsi="Arial"/>
                <w:sz w:val="24"/>
              </w:rPr>
            </w:pPr>
          </w:p>
        </w:tc>
        <w:tc>
          <w:tcPr>
            <w:tcW w:w="2040" w:type="dxa"/>
            <w:tcBorders>
              <w:top w:val="nil"/>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mayor a 5 t/h</w:t>
            </w:r>
          </w:p>
        </w:tc>
        <w:tc>
          <w:tcPr>
            <w:tcW w:w="156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300</w:t>
            </w:r>
          </w:p>
        </w:tc>
        <w:tc>
          <w:tcPr>
            <w:tcW w:w="144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150</w:t>
            </w:r>
          </w:p>
        </w:tc>
        <w:tc>
          <w:tcPr>
            <w:tcW w:w="1560" w:type="dxa"/>
            <w:tcBorders>
              <w:top w:val="nil"/>
              <w:left w:val="single" w:sz="6" w:space="0" w:color="auto"/>
              <w:bottom w:val="nil"/>
            </w:tcBorders>
          </w:tcPr>
          <w:p w:rsidR="00000000" w:rsidRDefault="00C04CA6">
            <w:pPr>
              <w:jc w:val="center"/>
              <w:rPr>
                <w:rFonts w:ascii="Arial" w:hAnsi="Arial"/>
                <w:sz w:val="24"/>
              </w:rPr>
            </w:pPr>
            <w:r>
              <w:rPr>
                <w:rFonts w:ascii="Arial" w:hAnsi="Arial"/>
                <w:sz w:val="24"/>
              </w:rPr>
              <w:t>mg/Nm</w:t>
            </w:r>
            <w:r>
              <w:rPr>
                <w:rFonts w:ascii="Arial" w:hAnsi="Arial"/>
                <w:sz w:val="24"/>
                <w:vertAlign w:val="superscript"/>
              </w:rPr>
              <w:t>3</w:t>
            </w:r>
          </w:p>
        </w:tc>
      </w:tr>
      <w:tr w:rsidR="00000000">
        <w:tblPrEx>
          <w:tblCellMar>
            <w:top w:w="0" w:type="dxa"/>
            <w:bottom w:w="0" w:type="dxa"/>
          </w:tblCellMar>
        </w:tblPrEx>
        <w:trPr>
          <w:jc w:val="center"/>
        </w:trPr>
        <w:tc>
          <w:tcPr>
            <w:tcW w:w="2090" w:type="dxa"/>
            <w:tcBorders>
              <w:right w:val="single" w:sz="6" w:space="0" w:color="auto"/>
            </w:tcBorders>
            <w:vAlign w:val="center"/>
          </w:tcPr>
          <w:p w:rsidR="00000000" w:rsidRDefault="00C04CA6">
            <w:pPr>
              <w:rPr>
                <w:rFonts w:ascii="Arial" w:hAnsi="Arial"/>
                <w:sz w:val="24"/>
              </w:rPr>
            </w:pPr>
          </w:p>
        </w:tc>
        <w:tc>
          <w:tcPr>
            <w:tcW w:w="2040" w:type="dxa"/>
            <w:tcBorders>
              <w:top w:val="nil"/>
              <w:left w:val="single" w:sz="6" w:space="0" w:color="auto"/>
              <w:bottom w:val="nil"/>
              <w:right w:val="single" w:sz="6" w:space="0" w:color="auto"/>
            </w:tcBorders>
          </w:tcPr>
          <w:p w:rsidR="00000000" w:rsidRDefault="00C04CA6">
            <w:pPr>
              <w:jc w:val="center"/>
              <w:rPr>
                <w:rFonts w:ascii="Arial" w:hAnsi="Arial"/>
                <w:sz w:val="24"/>
              </w:rPr>
            </w:pPr>
          </w:p>
        </w:tc>
        <w:tc>
          <w:tcPr>
            <w:tcW w:w="1560" w:type="dxa"/>
            <w:tcBorders>
              <w:left w:val="single" w:sz="6" w:space="0" w:color="auto"/>
              <w:right w:val="single" w:sz="6" w:space="0" w:color="auto"/>
            </w:tcBorders>
          </w:tcPr>
          <w:p w:rsidR="00000000" w:rsidRDefault="00C04CA6">
            <w:pPr>
              <w:ind w:right="252"/>
              <w:jc w:val="right"/>
              <w:rPr>
                <w:rFonts w:ascii="Arial" w:hAnsi="Arial"/>
                <w:sz w:val="24"/>
              </w:rPr>
            </w:pPr>
          </w:p>
        </w:tc>
        <w:tc>
          <w:tcPr>
            <w:tcW w:w="1440" w:type="dxa"/>
            <w:tcBorders>
              <w:left w:val="single" w:sz="6" w:space="0" w:color="auto"/>
              <w:right w:val="single" w:sz="6" w:space="0" w:color="auto"/>
            </w:tcBorders>
          </w:tcPr>
          <w:p w:rsidR="00000000" w:rsidRDefault="00C04CA6">
            <w:pPr>
              <w:ind w:right="252"/>
              <w:jc w:val="right"/>
              <w:rPr>
                <w:rFonts w:ascii="Arial" w:hAnsi="Arial"/>
                <w:sz w:val="24"/>
              </w:rPr>
            </w:pPr>
          </w:p>
        </w:tc>
        <w:tc>
          <w:tcPr>
            <w:tcW w:w="1560" w:type="dxa"/>
            <w:tcBorders>
              <w:top w:val="nil"/>
              <w:left w:val="single" w:sz="6" w:space="0" w:color="auto"/>
              <w:bottom w:val="nil"/>
            </w:tcBorders>
          </w:tcPr>
          <w:p w:rsidR="00000000" w:rsidRDefault="00C04CA6">
            <w:pPr>
              <w:jc w:val="center"/>
              <w:rPr>
                <w:rFonts w:ascii="Arial" w:hAnsi="Arial"/>
                <w:sz w:val="24"/>
              </w:rPr>
            </w:pPr>
          </w:p>
        </w:tc>
      </w:tr>
      <w:tr w:rsidR="00000000">
        <w:tblPrEx>
          <w:tblCellMar>
            <w:top w:w="0" w:type="dxa"/>
            <w:bottom w:w="0" w:type="dxa"/>
          </w:tblCellMar>
        </w:tblPrEx>
        <w:trPr>
          <w:jc w:val="center"/>
        </w:trPr>
        <w:tc>
          <w:tcPr>
            <w:tcW w:w="2090" w:type="dxa"/>
            <w:tcBorders>
              <w:right w:val="single" w:sz="6" w:space="0" w:color="auto"/>
            </w:tcBorders>
            <w:vAlign w:val="center"/>
          </w:tcPr>
          <w:p w:rsidR="00000000" w:rsidRDefault="00C04CA6">
            <w:pPr>
              <w:rPr>
                <w:rFonts w:ascii="Arial" w:hAnsi="Arial"/>
                <w:sz w:val="24"/>
              </w:rPr>
            </w:pPr>
          </w:p>
        </w:tc>
        <w:tc>
          <w:tcPr>
            <w:tcW w:w="2040" w:type="dxa"/>
            <w:tcBorders>
              <w:top w:val="nil"/>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Arco eléctrico:</w:t>
            </w:r>
          </w:p>
        </w:tc>
        <w:tc>
          <w:tcPr>
            <w:tcW w:w="1560" w:type="dxa"/>
            <w:tcBorders>
              <w:left w:val="single" w:sz="6" w:space="0" w:color="auto"/>
              <w:right w:val="single" w:sz="6" w:space="0" w:color="auto"/>
            </w:tcBorders>
          </w:tcPr>
          <w:p w:rsidR="00000000" w:rsidRDefault="00C04CA6">
            <w:pPr>
              <w:ind w:right="252"/>
              <w:jc w:val="right"/>
              <w:rPr>
                <w:rFonts w:ascii="Arial" w:hAnsi="Arial"/>
                <w:sz w:val="24"/>
              </w:rPr>
            </w:pPr>
          </w:p>
        </w:tc>
        <w:tc>
          <w:tcPr>
            <w:tcW w:w="1440" w:type="dxa"/>
            <w:tcBorders>
              <w:left w:val="single" w:sz="6" w:space="0" w:color="auto"/>
              <w:right w:val="single" w:sz="6" w:space="0" w:color="auto"/>
            </w:tcBorders>
          </w:tcPr>
          <w:p w:rsidR="00000000" w:rsidRDefault="00C04CA6">
            <w:pPr>
              <w:ind w:right="252"/>
              <w:jc w:val="right"/>
              <w:rPr>
                <w:rFonts w:ascii="Arial" w:hAnsi="Arial"/>
                <w:sz w:val="24"/>
              </w:rPr>
            </w:pPr>
          </w:p>
        </w:tc>
        <w:tc>
          <w:tcPr>
            <w:tcW w:w="1560" w:type="dxa"/>
            <w:tcBorders>
              <w:top w:val="nil"/>
              <w:left w:val="single" w:sz="6" w:space="0" w:color="auto"/>
              <w:bottom w:val="nil"/>
            </w:tcBorders>
          </w:tcPr>
          <w:p w:rsidR="00000000" w:rsidRDefault="00C04CA6">
            <w:pPr>
              <w:jc w:val="center"/>
              <w:rPr>
                <w:rFonts w:ascii="Arial" w:hAnsi="Arial"/>
                <w:sz w:val="24"/>
              </w:rPr>
            </w:pPr>
          </w:p>
        </w:tc>
      </w:tr>
      <w:tr w:rsidR="00000000">
        <w:tblPrEx>
          <w:tblCellMar>
            <w:top w:w="0" w:type="dxa"/>
            <w:bottom w:w="0" w:type="dxa"/>
          </w:tblCellMar>
        </w:tblPrEx>
        <w:trPr>
          <w:jc w:val="center"/>
        </w:trPr>
        <w:tc>
          <w:tcPr>
            <w:tcW w:w="2090" w:type="dxa"/>
            <w:tcBorders>
              <w:right w:val="single" w:sz="6" w:space="0" w:color="auto"/>
            </w:tcBorders>
            <w:vAlign w:val="center"/>
          </w:tcPr>
          <w:p w:rsidR="00000000" w:rsidRDefault="00C04CA6">
            <w:pPr>
              <w:rPr>
                <w:rFonts w:ascii="Arial" w:hAnsi="Arial"/>
                <w:sz w:val="24"/>
              </w:rPr>
            </w:pPr>
          </w:p>
        </w:tc>
        <w:tc>
          <w:tcPr>
            <w:tcW w:w="2040" w:type="dxa"/>
            <w:tcBorders>
              <w:top w:val="nil"/>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menor 5 t</w:t>
            </w:r>
          </w:p>
        </w:tc>
        <w:tc>
          <w:tcPr>
            <w:tcW w:w="156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350</w:t>
            </w:r>
          </w:p>
        </w:tc>
        <w:tc>
          <w:tcPr>
            <w:tcW w:w="144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250</w:t>
            </w:r>
          </w:p>
        </w:tc>
        <w:tc>
          <w:tcPr>
            <w:tcW w:w="1560" w:type="dxa"/>
            <w:tcBorders>
              <w:top w:val="nil"/>
              <w:left w:val="single" w:sz="6" w:space="0" w:color="auto"/>
              <w:bottom w:val="nil"/>
            </w:tcBorders>
          </w:tcPr>
          <w:p w:rsidR="00000000" w:rsidRDefault="00C04CA6">
            <w:pPr>
              <w:jc w:val="center"/>
              <w:rPr>
                <w:rFonts w:ascii="Arial" w:hAnsi="Arial"/>
                <w:sz w:val="24"/>
              </w:rPr>
            </w:pPr>
            <w:r>
              <w:rPr>
                <w:rFonts w:ascii="Arial" w:hAnsi="Arial"/>
                <w:sz w:val="24"/>
              </w:rPr>
              <w:t>mg/Nm</w:t>
            </w:r>
            <w:r>
              <w:rPr>
                <w:rFonts w:ascii="Arial" w:hAnsi="Arial"/>
                <w:sz w:val="24"/>
                <w:vertAlign w:val="superscript"/>
              </w:rPr>
              <w:t>3</w:t>
            </w:r>
          </w:p>
        </w:tc>
      </w:tr>
      <w:tr w:rsidR="00000000">
        <w:tblPrEx>
          <w:tblCellMar>
            <w:top w:w="0" w:type="dxa"/>
            <w:bottom w:w="0" w:type="dxa"/>
          </w:tblCellMar>
        </w:tblPrEx>
        <w:trPr>
          <w:jc w:val="center"/>
        </w:trPr>
        <w:tc>
          <w:tcPr>
            <w:tcW w:w="2090" w:type="dxa"/>
            <w:tcBorders>
              <w:right w:val="single" w:sz="6" w:space="0" w:color="auto"/>
            </w:tcBorders>
            <w:vAlign w:val="center"/>
          </w:tcPr>
          <w:p w:rsidR="00000000" w:rsidRDefault="00C04CA6">
            <w:pPr>
              <w:rPr>
                <w:rFonts w:ascii="Arial" w:hAnsi="Arial"/>
                <w:sz w:val="24"/>
              </w:rPr>
            </w:pPr>
          </w:p>
        </w:tc>
        <w:tc>
          <w:tcPr>
            <w:tcW w:w="2040" w:type="dxa"/>
            <w:tcBorders>
              <w:top w:val="nil"/>
              <w:left w:val="single" w:sz="6" w:space="0" w:color="auto"/>
              <w:bottom w:val="single" w:sz="6" w:space="0" w:color="auto"/>
              <w:right w:val="single" w:sz="6" w:space="0" w:color="auto"/>
            </w:tcBorders>
          </w:tcPr>
          <w:p w:rsidR="00000000" w:rsidRDefault="00C04CA6">
            <w:pPr>
              <w:jc w:val="center"/>
              <w:rPr>
                <w:rFonts w:ascii="Arial" w:hAnsi="Arial"/>
                <w:sz w:val="24"/>
              </w:rPr>
            </w:pPr>
            <w:r>
              <w:rPr>
                <w:rFonts w:ascii="Arial" w:hAnsi="Arial"/>
                <w:sz w:val="24"/>
              </w:rPr>
              <w:t>mayor 5 t</w:t>
            </w:r>
          </w:p>
        </w:tc>
        <w:tc>
          <w:tcPr>
            <w:tcW w:w="156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150</w:t>
            </w:r>
          </w:p>
        </w:tc>
        <w:tc>
          <w:tcPr>
            <w:tcW w:w="144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120</w:t>
            </w:r>
          </w:p>
        </w:tc>
        <w:tc>
          <w:tcPr>
            <w:tcW w:w="1560" w:type="dxa"/>
            <w:tcBorders>
              <w:top w:val="nil"/>
              <w:left w:val="single" w:sz="6" w:space="0" w:color="auto"/>
              <w:bottom w:val="single" w:sz="6" w:space="0" w:color="auto"/>
            </w:tcBorders>
          </w:tcPr>
          <w:p w:rsidR="00000000" w:rsidRDefault="00C04CA6">
            <w:pPr>
              <w:jc w:val="center"/>
              <w:rPr>
                <w:rFonts w:ascii="Arial" w:hAnsi="Arial"/>
                <w:sz w:val="24"/>
              </w:rPr>
            </w:pPr>
            <w:r>
              <w:rPr>
                <w:rFonts w:ascii="Arial" w:hAnsi="Arial"/>
                <w:sz w:val="24"/>
              </w:rPr>
              <w:t>mg/Nm</w:t>
            </w:r>
            <w:r>
              <w:rPr>
                <w:rFonts w:ascii="Arial" w:hAnsi="Arial"/>
                <w:sz w:val="24"/>
                <w:vertAlign w:val="superscript"/>
              </w:rPr>
              <w:t>3</w:t>
            </w:r>
          </w:p>
        </w:tc>
      </w:tr>
    </w:tbl>
    <w:p w:rsidR="00000000" w:rsidRDefault="00C04CA6">
      <w:pPr>
        <w:ind w:left="360" w:right="431"/>
        <w:rPr>
          <w:rFonts w:ascii="Arial" w:hAnsi="Arial"/>
          <w:sz w:val="24"/>
        </w:rPr>
      </w:pPr>
      <w:r>
        <w:rPr>
          <w:rFonts w:ascii="Arial" w:hAnsi="Arial"/>
          <w:sz w:val="24"/>
        </w:rPr>
        <w:t>Notas:</w:t>
      </w:r>
    </w:p>
    <w:p w:rsidR="00000000" w:rsidRDefault="00C04CA6">
      <w:pPr>
        <w:ind w:left="360" w:right="431"/>
        <w:rPr>
          <w:rFonts w:ascii="Arial" w:hAnsi="Arial"/>
          <w:sz w:val="24"/>
        </w:rPr>
      </w:pPr>
      <w:r>
        <w:rPr>
          <w:rFonts w:ascii="Arial" w:hAnsi="Arial"/>
          <w:sz w:val="24"/>
          <w:vertAlign w:val="superscript"/>
        </w:rPr>
        <w:t>[1]</w:t>
      </w:r>
      <w:r>
        <w:rPr>
          <w:rFonts w:ascii="Arial" w:hAnsi="Arial"/>
          <w:sz w:val="24"/>
        </w:rPr>
        <w:t xml:space="preserve">  mg/m</w:t>
      </w:r>
      <w:r>
        <w:rPr>
          <w:rFonts w:ascii="Arial" w:hAnsi="Arial"/>
          <w:sz w:val="24"/>
          <w:vertAlign w:val="superscript"/>
        </w:rPr>
        <w:t>3</w:t>
      </w:r>
      <w:r>
        <w:rPr>
          <w:rFonts w:ascii="Arial" w:hAnsi="Arial"/>
          <w:sz w:val="24"/>
        </w:rPr>
        <w:t>: miligramos por metro cúbico de gas, a condiciones normales de de 1 013 milibares de presión y temperatura de 0 °C, e</w:t>
      </w:r>
      <w:r>
        <w:rPr>
          <w:rFonts w:ascii="Arial" w:hAnsi="Arial"/>
          <w:sz w:val="24"/>
        </w:rPr>
        <w:t>n base seca y corregidos a 7% de oxígeno.</w:t>
      </w:r>
    </w:p>
    <w:p w:rsidR="00000000" w:rsidRDefault="00C04CA6">
      <w:pPr>
        <w:rPr>
          <w:rFonts w:ascii="Arial" w:hAnsi="Arial"/>
          <w:sz w:val="24"/>
        </w:rPr>
      </w:pPr>
    </w:p>
    <w:p w:rsidR="00000000" w:rsidRDefault="00C04CA6">
      <w:pPr>
        <w:rPr>
          <w:rFonts w:ascii="Arial" w:hAnsi="Arial"/>
          <w:sz w:val="24"/>
        </w:rPr>
      </w:pPr>
    </w:p>
    <w:p w:rsidR="00000000" w:rsidRDefault="00C04CA6">
      <w:pPr>
        <w:rPr>
          <w:rFonts w:ascii="Arial" w:hAnsi="Arial"/>
          <w:sz w:val="24"/>
          <w:lang w:val="es-ES"/>
        </w:rPr>
      </w:pPr>
      <w:r>
        <w:rPr>
          <w:rFonts w:ascii="Arial" w:hAnsi="Arial"/>
          <w:sz w:val="24"/>
          <w:lang w:val="es-ES"/>
        </w:rPr>
        <w:t xml:space="preserve">4.3.5  </w:t>
      </w:r>
      <w:r>
        <w:rPr>
          <w:rFonts w:ascii="Arial" w:hAnsi="Arial"/>
          <w:sz w:val="24"/>
          <w:u w:val="single"/>
          <w:lang w:val="es-ES"/>
        </w:rPr>
        <w:t>Elaboración de azúcar:  equipos de combustión que utilizan bagazo como combustible</w:t>
      </w:r>
    </w:p>
    <w:p w:rsidR="00000000" w:rsidRDefault="00C04CA6">
      <w:pPr>
        <w:rPr>
          <w:rFonts w:ascii="Arial" w:hAnsi="Arial"/>
          <w:sz w:val="24"/>
          <w:lang w:val="es-ES"/>
        </w:rPr>
      </w:pPr>
    </w:p>
    <w:p w:rsidR="00000000" w:rsidRDefault="00C04CA6">
      <w:pPr>
        <w:pStyle w:val="Ttulo7"/>
        <w:jc w:val="center"/>
        <w:rPr>
          <w:rFonts w:ascii="Arial" w:hAnsi="Arial"/>
          <w:smallCaps w:val="0"/>
          <w:sz w:val="24"/>
        </w:rPr>
      </w:pPr>
      <w:r>
        <w:rPr>
          <w:rFonts w:ascii="Arial" w:hAnsi="Arial"/>
          <w:smallCaps w:val="0"/>
          <w:sz w:val="24"/>
        </w:rPr>
        <w:t>Tabla 10.  Límites máximos permisibles de emisiones al aire desde combustión de bagazo en equipos de instalaciones de ela</w:t>
      </w:r>
      <w:r>
        <w:rPr>
          <w:rFonts w:ascii="Arial" w:hAnsi="Arial"/>
          <w:smallCaps w:val="0"/>
          <w:sz w:val="24"/>
        </w:rPr>
        <w:t>boración de azúcar</w:t>
      </w:r>
    </w:p>
    <w:p w:rsidR="00000000" w:rsidRDefault="00C04CA6">
      <w:pPr>
        <w:rPr>
          <w:rFonts w:ascii="Arial" w:hAnsi="Arial"/>
          <w:sz w:val="24"/>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2090"/>
        <w:gridCol w:w="2040"/>
        <w:gridCol w:w="1560"/>
        <w:gridCol w:w="1440"/>
        <w:gridCol w:w="1560"/>
      </w:tblGrid>
      <w:tr w:rsidR="00000000">
        <w:tblPrEx>
          <w:tblCellMar>
            <w:top w:w="0" w:type="dxa"/>
            <w:bottom w:w="0" w:type="dxa"/>
          </w:tblCellMar>
        </w:tblPrEx>
        <w:trPr>
          <w:jc w:val="center"/>
        </w:trPr>
        <w:tc>
          <w:tcPr>
            <w:tcW w:w="2090" w:type="dxa"/>
            <w:tcBorders>
              <w:top w:val="single" w:sz="6" w:space="0" w:color="auto"/>
              <w:bottom w:val="single" w:sz="6" w:space="0" w:color="auto"/>
              <w:right w:val="single" w:sz="6" w:space="0" w:color="auto"/>
            </w:tcBorders>
          </w:tcPr>
          <w:p w:rsidR="00000000" w:rsidRDefault="00C04CA6">
            <w:pPr>
              <w:rPr>
                <w:rFonts w:ascii="Arial" w:hAnsi="Arial"/>
                <w:b/>
                <w:sz w:val="24"/>
              </w:rPr>
            </w:pPr>
            <w:r>
              <w:rPr>
                <w:rFonts w:ascii="Arial" w:hAnsi="Arial"/>
                <w:b/>
                <w:sz w:val="24"/>
              </w:rPr>
              <w:t>CONTAMINANTE EMITIDO</w:t>
            </w:r>
          </w:p>
        </w:tc>
        <w:tc>
          <w:tcPr>
            <w:tcW w:w="2040" w:type="dxa"/>
            <w:tcBorders>
              <w:top w:val="single" w:sz="6" w:space="0" w:color="auto"/>
              <w:left w:val="single" w:sz="6" w:space="0" w:color="auto"/>
              <w:bottom w:val="single" w:sz="6" w:space="0" w:color="auto"/>
              <w:right w:val="single" w:sz="6" w:space="0" w:color="auto"/>
            </w:tcBorders>
          </w:tcPr>
          <w:p w:rsidR="00000000" w:rsidRDefault="00C04CA6">
            <w:pPr>
              <w:jc w:val="center"/>
              <w:rPr>
                <w:rFonts w:ascii="Arial" w:hAnsi="Arial"/>
                <w:b/>
                <w:sz w:val="24"/>
              </w:rPr>
            </w:pPr>
            <w:r>
              <w:rPr>
                <w:rFonts w:ascii="Arial" w:hAnsi="Arial"/>
                <w:b/>
                <w:sz w:val="24"/>
              </w:rPr>
              <w:t>OBSERVACIONES</w:t>
            </w:r>
          </w:p>
        </w:tc>
        <w:tc>
          <w:tcPr>
            <w:tcW w:w="1560" w:type="dxa"/>
            <w:tcBorders>
              <w:top w:val="single" w:sz="6" w:space="0" w:color="auto"/>
              <w:left w:val="single" w:sz="6" w:space="0" w:color="auto"/>
              <w:bottom w:val="single" w:sz="6" w:space="0" w:color="auto"/>
              <w:right w:val="single" w:sz="6" w:space="0" w:color="auto"/>
            </w:tcBorders>
          </w:tcPr>
          <w:p w:rsidR="00000000" w:rsidRDefault="00C04CA6">
            <w:pPr>
              <w:jc w:val="center"/>
              <w:rPr>
                <w:rFonts w:ascii="Arial" w:hAnsi="Arial"/>
                <w:b/>
                <w:sz w:val="24"/>
              </w:rPr>
            </w:pPr>
            <w:r>
              <w:rPr>
                <w:rFonts w:ascii="Arial" w:hAnsi="Arial"/>
                <w:b/>
                <w:sz w:val="24"/>
              </w:rPr>
              <w:t>FUENTES EXISTENTES</w:t>
            </w:r>
          </w:p>
        </w:tc>
        <w:tc>
          <w:tcPr>
            <w:tcW w:w="1440" w:type="dxa"/>
            <w:tcBorders>
              <w:top w:val="single" w:sz="6" w:space="0" w:color="auto"/>
              <w:left w:val="single" w:sz="6" w:space="0" w:color="auto"/>
              <w:bottom w:val="single" w:sz="6" w:space="0" w:color="auto"/>
              <w:right w:val="single" w:sz="6" w:space="0" w:color="auto"/>
            </w:tcBorders>
          </w:tcPr>
          <w:p w:rsidR="00000000" w:rsidRDefault="00C04CA6">
            <w:pPr>
              <w:jc w:val="center"/>
              <w:rPr>
                <w:rFonts w:ascii="Arial" w:hAnsi="Arial"/>
                <w:b/>
                <w:sz w:val="24"/>
              </w:rPr>
            </w:pPr>
            <w:r>
              <w:rPr>
                <w:rFonts w:ascii="Arial" w:hAnsi="Arial"/>
                <w:b/>
                <w:sz w:val="24"/>
              </w:rPr>
              <w:t>FUENTES NUEVAS</w:t>
            </w:r>
          </w:p>
        </w:tc>
        <w:tc>
          <w:tcPr>
            <w:tcW w:w="1560" w:type="dxa"/>
            <w:tcBorders>
              <w:top w:val="single" w:sz="6" w:space="0" w:color="auto"/>
              <w:left w:val="single" w:sz="6" w:space="0" w:color="auto"/>
              <w:bottom w:val="single" w:sz="6" w:space="0" w:color="auto"/>
            </w:tcBorders>
          </w:tcPr>
          <w:p w:rsidR="00000000" w:rsidRDefault="00C04CA6">
            <w:pPr>
              <w:jc w:val="center"/>
              <w:rPr>
                <w:rFonts w:ascii="Arial" w:hAnsi="Arial"/>
                <w:b/>
                <w:sz w:val="24"/>
              </w:rPr>
            </w:pPr>
            <w:r>
              <w:rPr>
                <w:rFonts w:ascii="Arial" w:hAnsi="Arial"/>
                <w:b/>
                <w:sz w:val="24"/>
              </w:rPr>
              <w:t xml:space="preserve"> UNIDADES</w:t>
            </w:r>
          </w:p>
        </w:tc>
      </w:tr>
      <w:tr w:rsidR="00000000">
        <w:tblPrEx>
          <w:tblCellMar>
            <w:top w:w="0" w:type="dxa"/>
            <w:bottom w:w="0" w:type="dxa"/>
          </w:tblCellMar>
        </w:tblPrEx>
        <w:trPr>
          <w:jc w:val="center"/>
        </w:trPr>
        <w:tc>
          <w:tcPr>
            <w:tcW w:w="2090" w:type="dxa"/>
            <w:tcBorders>
              <w:top w:val="single" w:sz="6" w:space="0" w:color="auto"/>
              <w:right w:val="single" w:sz="6" w:space="0" w:color="auto"/>
            </w:tcBorders>
            <w:vAlign w:val="center"/>
          </w:tcPr>
          <w:p w:rsidR="00000000" w:rsidRDefault="00C04CA6">
            <w:pPr>
              <w:rPr>
                <w:rFonts w:ascii="Arial" w:hAnsi="Arial"/>
                <w:sz w:val="24"/>
              </w:rPr>
            </w:pPr>
            <w:r>
              <w:rPr>
                <w:rFonts w:ascii="Arial" w:hAnsi="Arial"/>
                <w:sz w:val="24"/>
              </w:rPr>
              <w:t>Partículas Totales</w:t>
            </w:r>
          </w:p>
        </w:tc>
        <w:tc>
          <w:tcPr>
            <w:tcW w:w="2040" w:type="dxa"/>
            <w:tcBorders>
              <w:top w:val="single" w:sz="6" w:space="0" w:color="auto"/>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 –</w:t>
            </w:r>
          </w:p>
        </w:tc>
        <w:tc>
          <w:tcPr>
            <w:tcW w:w="1560" w:type="dxa"/>
            <w:tcBorders>
              <w:top w:val="single" w:sz="6" w:space="0" w:color="auto"/>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300</w:t>
            </w:r>
          </w:p>
        </w:tc>
        <w:tc>
          <w:tcPr>
            <w:tcW w:w="1440" w:type="dxa"/>
            <w:tcBorders>
              <w:top w:val="single" w:sz="6" w:space="0" w:color="auto"/>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150</w:t>
            </w:r>
          </w:p>
        </w:tc>
        <w:tc>
          <w:tcPr>
            <w:tcW w:w="1560" w:type="dxa"/>
            <w:tcBorders>
              <w:top w:val="single" w:sz="6" w:space="0" w:color="auto"/>
              <w:left w:val="single" w:sz="6" w:space="0" w:color="auto"/>
              <w:bottom w:val="nil"/>
            </w:tcBorders>
          </w:tcPr>
          <w:p w:rsidR="00000000" w:rsidRDefault="00C04CA6">
            <w:pPr>
              <w:jc w:val="center"/>
              <w:rPr>
                <w:rFonts w:ascii="Arial" w:hAnsi="Arial"/>
                <w:sz w:val="24"/>
              </w:rPr>
            </w:pPr>
            <w:r>
              <w:rPr>
                <w:rFonts w:ascii="Arial" w:hAnsi="Arial"/>
                <w:sz w:val="24"/>
              </w:rPr>
              <w:t>mg/m</w:t>
            </w:r>
            <w:r>
              <w:rPr>
                <w:rFonts w:ascii="Arial" w:hAnsi="Arial"/>
                <w:sz w:val="24"/>
                <w:vertAlign w:val="superscript"/>
              </w:rPr>
              <w:t>3</w:t>
            </w:r>
            <w:r>
              <w:rPr>
                <w:rFonts w:ascii="Arial" w:hAnsi="Arial"/>
                <w:sz w:val="24"/>
              </w:rPr>
              <w:t xml:space="preserve">  </w:t>
            </w:r>
            <w:r>
              <w:rPr>
                <w:rFonts w:ascii="Arial" w:hAnsi="Arial"/>
                <w:b/>
                <w:sz w:val="24"/>
                <w:vertAlign w:val="superscript"/>
              </w:rPr>
              <w:t>[1]</w:t>
            </w:r>
          </w:p>
        </w:tc>
      </w:tr>
      <w:tr w:rsidR="00000000">
        <w:tblPrEx>
          <w:tblCellMar>
            <w:top w:w="0" w:type="dxa"/>
            <w:bottom w:w="0" w:type="dxa"/>
          </w:tblCellMar>
        </w:tblPrEx>
        <w:trPr>
          <w:jc w:val="center"/>
        </w:trPr>
        <w:tc>
          <w:tcPr>
            <w:tcW w:w="2090" w:type="dxa"/>
            <w:tcBorders>
              <w:top w:val="nil"/>
              <w:bottom w:val="single" w:sz="6" w:space="0" w:color="auto"/>
              <w:right w:val="single" w:sz="6" w:space="0" w:color="auto"/>
            </w:tcBorders>
            <w:vAlign w:val="center"/>
          </w:tcPr>
          <w:p w:rsidR="00000000" w:rsidRDefault="00C04CA6">
            <w:pPr>
              <w:rPr>
                <w:rFonts w:ascii="Arial" w:hAnsi="Arial"/>
                <w:sz w:val="24"/>
              </w:rPr>
            </w:pPr>
          </w:p>
        </w:tc>
        <w:tc>
          <w:tcPr>
            <w:tcW w:w="2040" w:type="dxa"/>
            <w:tcBorders>
              <w:top w:val="nil"/>
              <w:left w:val="single" w:sz="6" w:space="0" w:color="auto"/>
              <w:bottom w:val="single" w:sz="6" w:space="0" w:color="auto"/>
              <w:right w:val="single" w:sz="6" w:space="0" w:color="auto"/>
            </w:tcBorders>
          </w:tcPr>
          <w:p w:rsidR="00000000" w:rsidRDefault="00C04CA6">
            <w:pPr>
              <w:jc w:val="center"/>
              <w:rPr>
                <w:rFonts w:ascii="Arial" w:hAnsi="Arial"/>
                <w:sz w:val="24"/>
              </w:rPr>
            </w:pPr>
          </w:p>
        </w:tc>
        <w:tc>
          <w:tcPr>
            <w:tcW w:w="1560" w:type="dxa"/>
            <w:tcBorders>
              <w:top w:val="nil"/>
              <w:left w:val="single" w:sz="6" w:space="0" w:color="auto"/>
              <w:bottom w:val="single" w:sz="6" w:space="0" w:color="auto"/>
              <w:right w:val="single" w:sz="6" w:space="0" w:color="auto"/>
            </w:tcBorders>
          </w:tcPr>
          <w:p w:rsidR="00000000" w:rsidRDefault="00C04CA6">
            <w:pPr>
              <w:ind w:right="252"/>
              <w:jc w:val="right"/>
              <w:rPr>
                <w:rFonts w:ascii="Arial" w:hAnsi="Arial"/>
                <w:sz w:val="24"/>
              </w:rPr>
            </w:pPr>
          </w:p>
        </w:tc>
        <w:tc>
          <w:tcPr>
            <w:tcW w:w="1440" w:type="dxa"/>
            <w:tcBorders>
              <w:top w:val="nil"/>
              <w:left w:val="single" w:sz="6" w:space="0" w:color="auto"/>
              <w:bottom w:val="single" w:sz="6" w:space="0" w:color="auto"/>
              <w:right w:val="single" w:sz="6" w:space="0" w:color="auto"/>
            </w:tcBorders>
          </w:tcPr>
          <w:p w:rsidR="00000000" w:rsidRDefault="00C04CA6">
            <w:pPr>
              <w:ind w:right="252"/>
              <w:jc w:val="right"/>
              <w:rPr>
                <w:rFonts w:ascii="Arial" w:hAnsi="Arial"/>
                <w:sz w:val="24"/>
              </w:rPr>
            </w:pPr>
          </w:p>
        </w:tc>
        <w:tc>
          <w:tcPr>
            <w:tcW w:w="1560" w:type="dxa"/>
            <w:tcBorders>
              <w:top w:val="nil"/>
              <w:left w:val="single" w:sz="6" w:space="0" w:color="auto"/>
              <w:bottom w:val="single" w:sz="6" w:space="0" w:color="auto"/>
            </w:tcBorders>
          </w:tcPr>
          <w:p w:rsidR="00000000" w:rsidRDefault="00C04CA6">
            <w:pPr>
              <w:jc w:val="center"/>
              <w:rPr>
                <w:rFonts w:ascii="Arial" w:hAnsi="Arial"/>
                <w:sz w:val="24"/>
              </w:rPr>
            </w:pPr>
          </w:p>
        </w:tc>
      </w:tr>
    </w:tbl>
    <w:p w:rsidR="00000000" w:rsidRDefault="00C04CA6">
      <w:pPr>
        <w:ind w:left="360" w:right="431"/>
        <w:rPr>
          <w:rFonts w:ascii="Arial" w:hAnsi="Arial"/>
          <w:sz w:val="24"/>
        </w:rPr>
      </w:pPr>
      <w:r>
        <w:rPr>
          <w:rFonts w:ascii="Arial" w:hAnsi="Arial"/>
          <w:sz w:val="24"/>
        </w:rPr>
        <w:t>Notas:</w:t>
      </w:r>
    </w:p>
    <w:p w:rsidR="00000000" w:rsidRDefault="00C04CA6">
      <w:pPr>
        <w:ind w:left="360" w:right="431"/>
        <w:rPr>
          <w:rFonts w:ascii="Arial" w:hAnsi="Arial"/>
          <w:sz w:val="24"/>
        </w:rPr>
      </w:pPr>
      <w:r>
        <w:rPr>
          <w:rFonts w:ascii="Arial" w:hAnsi="Arial"/>
          <w:sz w:val="24"/>
          <w:vertAlign w:val="superscript"/>
        </w:rPr>
        <w:t>[1]</w:t>
      </w:r>
      <w:r>
        <w:rPr>
          <w:rFonts w:ascii="Arial" w:hAnsi="Arial"/>
          <w:sz w:val="24"/>
        </w:rPr>
        <w:t xml:space="preserve">  mg/m</w:t>
      </w:r>
      <w:r>
        <w:rPr>
          <w:rFonts w:ascii="Arial" w:hAnsi="Arial"/>
          <w:sz w:val="24"/>
          <w:vertAlign w:val="superscript"/>
        </w:rPr>
        <w:t>3</w:t>
      </w:r>
      <w:r>
        <w:rPr>
          <w:rFonts w:ascii="Arial" w:hAnsi="Arial"/>
          <w:sz w:val="24"/>
        </w:rPr>
        <w:t>: miligramos por metro cúbico de gas a condiciones normales de de 1 013 milibares de presi</w:t>
      </w:r>
      <w:r>
        <w:rPr>
          <w:rFonts w:ascii="Arial" w:hAnsi="Arial"/>
          <w:sz w:val="24"/>
        </w:rPr>
        <w:t>ón y temperatura de 0 °C, corregidos a 12% de O2, en base seca.</w:t>
      </w:r>
    </w:p>
    <w:p w:rsidR="00000000" w:rsidRDefault="00C04CA6">
      <w:pPr>
        <w:rPr>
          <w:rFonts w:ascii="Arial" w:hAnsi="Arial"/>
          <w:sz w:val="24"/>
        </w:rPr>
      </w:pPr>
    </w:p>
    <w:p w:rsidR="00000000" w:rsidRDefault="00C04CA6">
      <w:pPr>
        <w:rPr>
          <w:rFonts w:ascii="Arial" w:hAnsi="Arial"/>
          <w:sz w:val="24"/>
        </w:rPr>
      </w:pPr>
    </w:p>
    <w:p w:rsidR="00000000" w:rsidRDefault="00C04CA6">
      <w:pPr>
        <w:rPr>
          <w:rFonts w:ascii="Arial" w:hAnsi="Arial"/>
          <w:sz w:val="24"/>
        </w:rPr>
      </w:pPr>
    </w:p>
    <w:p w:rsidR="00000000" w:rsidRDefault="00C04CA6">
      <w:pPr>
        <w:rPr>
          <w:rFonts w:ascii="Arial" w:hAnsi="Arial"/>
          <w:sz w:val="24"/>
          <w:lang w:val="es-ES"/>
        </w:rPr>
      </w:pPr>
      <w:r>
        <w:rPr>
          <w:rFonts w:ascii="Arial" w:hAnsi="Arial"/>
          <w:sz w:val="24"/>
          <w:lang w:val="es-ES"/>
        </w:rPr>
        <w:t xml:space="preserve">4.3.6  </w:t>
      </w:r>
      <w:r>
        <w:rPr>
          <w:rFonts w:ascii="Arial" w:hAnsi="Arial"/>
          <w:sz w:val="24"/>
          <w:u w:val="single"/>
          <w:lang w:val="es-ES"/>
        </w:rPr>
        <w:t>Motores de Combustión Interna</w:t>
      </w:r>
    </w:p>
    <w:p w:rsidR="00000000" w:rsidRDefault="00C04CA6">
      <w:pPr>
        <w:rPr>
          <w:rFonts w:ascii="Arial" w:hAnsi="Arial"/>
          <w:sz w:val="24"/>
          <w:lang w:val="es-ES"/>
        </w:rPr>
      </w:pPr>
    </w:p>
    <w:p w:rsidR="00000000" w:rsidRDefault="00C04CA6">
      <w:pPr>
        <w:pStyle w:val="Ttulo7"/>
        <w:jc w:val="center"/>
        <w:rPr>
          <w:rFonts w:ascii="Arial" w:hAnsi="Arial"/>
          <w:smallCaps w:val="0"/>
          <w:sz w:val="24"/>
        </w:rPr>
      </w:pPr>
      <w:r>
        <w:rPr>
          <w:rFonts w:ascii="Arial" w:hAnsi="Arial"/>
          <w:smallCaps w:val="0"/>
          <w:sz w:val="24"/>
        </w:rPr>
        <w:t>Tabla 11.  Límites máximos permisibles de emisiones al aire para motores de combustión interna</w:t>
      </w:r>
    </w:p>
    <w:p w:rsidR="00000000" w:rsidRDefault="00C04CA6">
      <w:pPr>
        <w:rPr>
          <w:rFonts w:ascii="Arial" w:hAnsi="Arial"/>
          <w:sz w:val="24"/>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2090"/>
        <w:gridCol w:w="2040"/>
        <w:gridCol w:w="1560"/>
        <w:gridCol w:w="1440"/>
        <w:gridCol w:w="1560"/>
      </w:tblGrid>
      <w:tr w:rsidR="00000000">
        <w:tblPrEx>
          <w:tblCellMar>
            <w:top w:w="0" w:type="dxa"/>
            <w:bottom w:w="0" w:type="dxa"/>
          </w:tblCellMar>
        </w:tblPrEx>
        <w:trPr>
          <w:jc w:val="center"/>
        </w:trPr>
        <w:tc>
          <w:tcPr>
            <w:tcW w:w="2090" w:type="dxa"/>
            <w:tcBorders>
              <w:top w:val="single" w:sz="6" w:space="0" w:color="auto"/>
              <w:bottom w:val="single" w:sz="6" w:space="0" w:color="auto"/>
              <w:right w:val="single" w:sz="6" w:space="0" w:color="auto"/>
            </w:tcBorders>
          </w:tcPr>
          <w:p w:rsidR="00000000" w:rsidRDefault="00C04CA6">
            <w:pPr>
              <w:rPr>
                <w:rFonts w:ascii="Arial" w:hAnsi="Arial"/>
                <w:b/>
                <w:sz w:val="24"/>
              </w:rPr>
            </w:pPr>
            <w:r>
              <w:rPr>
                <w:rFonts w:ascii="Arial" w:hAnsi="Arial"/>
                <w:b/>
                <w:sz w:val="24"/>
              </w:rPr>
              <w:t>CONTAMINANTE EMITIDO</w:t>
            </w:r>
          </w:p>
        </w:tc>
        <w:tc>
          <w:tcPr>
            <w:tcW w:w="2040" w:type="dxa"/>
            <w:tcBorders>
              <w:top w:val="single" w:sz="6" w:space="0" w:color="auto"/>
              <w:left w:val="single" w:sz="6" w:space="0" w:color="auto"/>
              <w:bottom w:val="single" w:sz="6" w:space="0" w:color="auto"/>
              <w:right w:val="single" w:sz="6" w:space="0" w:color="auto"/>
            </w:tcBorders>
          </w:tcPr>
          <w:p w:rsidR="00000000" w:rsidRDefault="00C04CA6">
            <w:pPr>
              <w:jc w:val="center"/>
              <w:rPr>
                <w:rFonts w:ascii="Arial" w:hAnsi="Arial"/>
                <w:b/>
                <w:sz w:val="24"/>
              </w:rPr>
            </w:pPr>
            <w:r>
              <w:rPr>
                <w:rFonts w:ascii="Arial" w:hAnsi="Arial"/>
                <w:b/>
                <w:sz w:val="24"/>
              </w:rPr>
              <w:t>OBSERVACIONES</w:t>
            </w:r>
          </w:p>
        </w:tc>
        <w:tc>
          <w:tcPr>
            <w:tcW w:w="1560" w:type="dxa"/>
            <w:tcBorders>
              <w:top w:val="single" w:sz="6" w:space="0" w:color="auto"/>
              <w:left w:val="single" w:sz="6" w:space="0" w:color="auto"/>
              <w:bottom w:val="single" w:sz="6" w:space="0" w:color="auto"/>
              <w:right w:val="single" w:sz="6" w:space="0" w:color="auto"/>
            </w:tcBorders>
          </w:tcPr>
          <w:p w:rsidR="00000000" w:rsidRDefault="00C04CA6">
            <w:pPr>
              <w:jc w:val="center"/>
              <w:rPr>
                <w:rFonts w:ascii="Arial" w:hAnsi="Arial"/>
                <w:b/>
                <w:sz w:val="24"/>
              </w:rPr>
            </w:pPr>
            <w:r>
              <w:rPr>
                <w:rFonts w:ascii="Arial" w:hAnsi="Arial"/>
                <w:b/>
                <w:sz w:val="24"/>
              </w:rPr>
              <w:t>FUENTES EXISTENTES</w:t>
            </w:r>
          </w:p>
        </w:tc>
        <w:tc>
          <w:tcPr>
            <w:tcW w:w="1440" w:type="dxa"/>
            <w:tcBorders>
              <w:top w:val="single" w:sz="6" w:space="0" w:color="auto"/>
              <w:left w:val="single" w:sz="6" w:space="0" w:color="auto"/>
              <w:bottom w:val="single" w:sz="6" w:space="0" w:color="auto"/>
              <w:right w:val="single" w:sz="6" w:space="0" w:color="auto"/>
            </w:tcBorders>
          </w:tcPr>
          <w:p w:rsidR="00000000" w:rsidRDefault="00C04CA6">
            <w:pPr>
              <w:jc w:val="center"/>
              <w:rPr>
                <w:rFonts w:ascii="Arial" w:hAnsi="Arial"/>
                <w:b/>
                <w:sz w:val="24"/>
              </w:rPr>
            </w:pPr>
            <w:r>
              <w:rPr>
                <w:rFonts w:ascii="Arial" w:hAnsi="Arial"/>
                <w:b/>
                <w:sz w:val="24"/>
              </w:rPr>
              <w:t>F</w:t>
            </w:r>
            <w:r>
              <w:rPr>
                <w:rFonts w:ascii="Arial" w:hAnsi="Arial"/>
                <w:b/>
                <w:sz w:val="24"/>
              </w:rPr>
              <w:t>UENTES NUEVAS</w:t>
            </w:r>
          </w:p>
        </w:tc>
        <w:tc>
          <w:tcPr>
            <w:tcW w:w="1560" w:type="dxa"/>
            <w:tcBorders>
              <w:top w:val="single" w:sz="6" w:space="0" w:color="auto"/>
              <w:left w:val="single" w:sz="6" w:space="0" w:color="auto"/>
              <w:bottom w:val="single" w:sz="6" w:space="0" w:color="auto"/>
            </w:tcBorders>
          </w:tcPr>
          <w:p w:rsidR="00000000" w:rsidRDefault="00C04CA6">
            <w:pPr>
              <w:jc w:val="center"/>
              <w:rPr>
                <w:rFonts w:ascii="Arial" w:hAnsi="Arial"/>
                <w:b/>
                <w:sz w:val="24"/>
              </w:rPr>
            </w:pPr>
            <w:r>
              <w:rPr>
                <w:rFonts w:ascii="Arial" w:hAnsi="Arial"/>
                <w:b/>
                <w:sz w:val="24"/>
              </w:rPr>
              <w:t xml:space="preserve"> UNIDADES  </w:t>
            </w:r>
            <w:r>
              <w:rPr>
                <w:rFonts w:ascii="Arial" w:hAnsi="Arial"/>
                <w:b/>
                <w:sz w:val="24"/>
                <w:vertAlign w:val="superscript"/>
              </w:rPr>
              <w:t>[1]</w:t>
            </w:r>
          </w:p>
        </w:tc>
      </w:tr>
      <w:tr w:rsidR="00000000">
        <w:tblPrEx>
          <w:tblCellMar>
            <w:top w:w="0" w:type="dxa"/>
            <w:bottom w:w="0" w:type="dxa"/>
          </w:tblCellMar>
        </w:tblPrEx>
        <w:trPr>
          <w:jc w:val="center"/>
        </w:trPr>
        <w:tc>
          <w:tcPr>
            <w:tcW w:w="2090" w:type="dxa"/>
            <w:tcBorders>
              <w:top w:val="single" w:sz="6" w:space="0" w:color="auto"/>
              <w:right w:val="single" w:sz="6" w:space="0" w:color="auto"/>
            </w:tcBorders>
            <w:vAlign w:val="center"/>
          </w:tcPr>
          <w:p w:rsidR="00000000" w:rsidRDefault="00C04CA6">
            <w:pPr>
              <w:rPr>
                <w:rFonts w:ascii="Arial" w:hAnsi="Arial"/>
                <w:sz w:val="24"/>
              </w:rPr>
            </w:pPr>
            <w:r>
              <w:rPr>
                <w:rFonts w:ascii="Arial" w:hAnsi="Arial"/>
                <w:sz w:val="24"/>
              </w:rPr>
              <w:t>Partículas Totales</w:t>
            </w:r>
          </w:p>
        </w:tc>
        <w:tc>
          <w:tcPr>
            <w:tcW w:w="2040" w:type="dxa"/>
            <w:tcBorders>
              <w:top w:val="single" w:sz="6" w:space="0" w:color="auto"/>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 –</w:t>
            </w:r>
          </w:p>
        </w:tc>
        <w:tc>
          <w:tcPr>
            <w:tcW w:w="1560" w:type="dxa"/>
            <w:tcBorders>
              <w:top w:val="single" w:sz="6" w:space="0" w:color="auto"/>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350</w:t>
            </w:r>
          </w:p>
        </w:tc>
        <w:tc>
          <w:tcPr>
            <w:tcW w:w="1440" w:type="dxa"/>
            <w:tcBorders>
              <w:top w:val="single" w:sz="6" w:space="0" w:color="auto"/>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150</w:t>
            </w:r>
          </w:p>
        </w:tc>
        <w:tc>
          <w:tcPr>
            <w:tcW w:w="1560" w:type="dxa"/>
            <w:tcBorders>
              <w:top w:val="single" w:sz="6" w:space="0" w:color="auto"/>
              <w:left w:val="single" w:sz="6" w:space="0" w:color="auto"/>
              <w:bottom w:val="nil"/>
            </w:tcBorders>
          </w:tcPr>
          <w:p w:rsidR="00000000" w:rsidRDefault="00C04CA6">
            <w:pPr>
              <w:jc w:val="center"/>
              <w:rPr>
                <w:rFonts w:ascii="Arial" w:hAnsi="Arial"/>
                <w:sz w:val="24"/>
              </w:rPr>
            </w:pPr>
            <w:r>
              <w:rPr>
                <w:rFonts w:ascii="Arial" w:hAnsi="Arial"/>
                <w:sz w:val="24"/>
              </w:rPr>
              <w:t>mg/m</w:t>
            </w:r>
            <w:r>
              <w:rPr>
                <w:rFonts w:ascii="Arial" w:hAnsi="Arial"/>
                <w:sz w:val="24"/>
                <w:vertAlign w:val="superscript"/>
              </w:rPr>
              <w:t>3</w:t>
            </w:r>
          </w:p>
        </w:tc>
      </w:tr>
      <w:tr w:rsidR="00000000">
        <w:tblPrEx>
          <w:tblCellMar>
            <w:top w:w="0" w:type="dxa"/>
            <w:bottom w:w="0" w:type="dxa"/>
          </w:tblCellMar>
        </w:tblPrEx>
        <w:trPr>
          <w:jc w:val="center"/>
        </w:trPr>
        <w:tc>
          <w:tcPr>
            <w:tcW w:w="2090" w:type="dxa"/>
            <w:tcBorders>
              <w:right w:val="single" w:sz="6" w:space="0" w:color="auto"/>
            </w:tcBorders>
            <w:vAlign w:val="center"/>
          </w:tcPr>
          <w:p w:rsidR="00000000" w:rsidRDefault="00C04CA6">
            <w:pPr>
              <w:rPr>
                <w:rFonts w:ascii="Arial" w:hAnsi="Arial"/>
                <w:sz w:val="24"/>
              </w:rPr>
            </w:pPr>
          </w:p>
        </w:tc>
        <w:tc>
          <w:tcPr>
            <w:tcW w:w="2040" w:type="dxa"/>
            <w:tcBorders>
              <w:top w:val="nil"/>
              <w:left w:val="single" w:sz="6" w:space="0" w:color="auto"/>
              <w:bottom w:val="nil"/>
              <w:right w:val="single" w:sz="6" w:space="0" w:color="auto"/>
            </w:tcBorders>
          </w:tcPr>
          <w:p w:rsidR="00000000" w:rsidRDefault="00C04CA6">
            <w:pPr>
              <w:jc w:val="center"/>
              <w:rPr>
                <w:rFonts w:ascii="Arial" w:hAnsi="Arial"/>
                <w:sz w:val="24"/>
              </w:rPr>
            </w:pPr>
          </w:p>
        </w:tc>
        <w:tc>
          <w:tcPr>
            <w:tcW w:w="1560" w:type="dxa"/>
            <w:tcBorders>
              <w:left w:val="single" w:sz="6" w:space="0" w:color="auto"/>
              <w:right w:val="single" w:sz="6" w:space="0" w:color="auto"/>
            </w:tcBorders>
          </w:tcPr>
          <w:p w:rsidR="00000000" w:rsidRDefault="00C04CA6">
            <w:pPr>
              <w:jc w:val="center"/>
              <w:rPr>
                <w:rFonts w:ascii="Arial" w:hAnsi="Arial"/>
                <w:sz w:val="24"/>
              </w:rPr>
            </w:pPr>
          </w:p>
        </w:tc>
        <w:tc>
          <w:tcPr>
            <w:tcW w:w="1440" w:type="dxa"/>
            <w:tcBorders>
              <w:left w:val="single" w:sz="6" w:space="0" w:color="auto"/>
              <w:right w:val="single" w:sz="6" w:space="0" w:color="auto"/>
            </w:tcBorders>
          </w:tcPr>
          <w:p w:rsidR="00000000" w:rsidRDefault="00C04CA6">
            <w:pPr>
              <w:ind w:right="252"/>
              <w:jc w:val="right"/>
              <w:rPr>
                <w:rFonts w:ascii="Arial" w:hAnsi="Arial"/>
                <w:sz w:val="24"/>
              </w:rPr>
            </w:pPr>
          </w:p>
        </w:tc>
        <w:tc>
          <w:tcPr>
            <w:tcW w:w="1560" w:type="dxa"/>
            <w:tcBorders>
              <w:top w:val="nil"/>
              <w:left w:val="single" w:sz="6" w:space="0" w:color="auto"/>
              <w:bottom w:val="nil"/>
            </w:tcBorders>
          </w:tcPr>
          <w:p w:rsidR="00000000" w:rsidRDefault="00C04CA6">
            <w:pPr>
              <w:jc w:val="center"/>
              <w:rPr>
                <w:rFonts w:ascii="Arial" w:hAnsi="Arial"/>
                <w:sz w:val="24"/>
              </w:rPr>
            </w:pPr>
          </w:p>
        </w:tc>
      </w:tr>
      <w:tr w:rsidR="00000000">
        <w:tblPrEx>
          <w:tblCellMar>
            <w:top w:w="0" w:type="dxa"/>
            <w:bottom w:w="0" w:type="dxa"/>
          </w:tblCellMar>
        </w:tblPrEx>
        <w:trPr>
          <w:jc w:val="center"/>
        </w:trPr>
        <w:tc>
          <w:tcPr>
            <w:tcW w:w="2090" w:type="dxa"/>
            <w:tcBorders>
              <w:right w:val="single" w:sz="6" w:space="0" w:color="auto"/>
            </w:tcBorders>
            <w:vAlign w:val="center"/>
          </w:tcPr>
          <w:p w:rsidR="00000000" w:rsidRDefault="00C04CA6">
            <w:pPr>
              <w:rPr>
                <w:rFonts w:ascii="Arial" w:hAnsi="Arial"/>
                <w:sz w:val="24"/>
              </w:rPr>
            </w:pPr>
            <w:r>
              <w:rPr>
                <w:rFonts w:ascii="Arial" w:hAnsi="Arial"/>
                <w:sz w:val="24"/>
              </w:rPr>
              <w:t>Óxidos de Nitrógeno</w:t>
            </w:r>
          </w:p>
        </w:tc>
        <w:tc>
          <w:tcPr>
            <w:tcW w:w="2040" w:type="dxa"/>
            <w:tcBorders>
              <w:top w:val="nil"/>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 –</w:t>
            </w:r>
          </w:p>
        </w:tc>
        <w:tc>
          <w:tcPr>
            <w:tcW w:w="156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2 300</w:t>
            </w:r>
          </w:p>
        </w:tc>
        <w:tc>
          <w:tcPr>
            <w:tcW w:w="144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2 000</w:t>
            </w:r>
          </w:p>
        </w:tc>
        <w:tc>
          <w:tcPr>
            <w:tcW w:w="1560" w:type="dxa"/>
            <w:tcBorders>
              <w:top w:val="nil"/>
              <w:left w:val="single" w:sz="6" w:space="0" w:color="auto"/>
              <w:bottom w:val="nil"/>
            </w:tcBorders>
          </w:tcPr>
          <w:p w:rsidR="00000000" w:rsidRDefault="00C04CA6">
            <w:pPr>
              <w:jc w:val="center"/>
              <w:rPr>
                <w:rFonts w:ascii="Arial" w:hAnsi="Arial"/>
                <w:sz w:val="24"/>
              </w:rPr>
            </w:pPr>
            <w:r>
              <w:rPr>
                <w:rFonts w:ascii="Arial" w:hAnsi="Arial"/>
                <w:sz w:val="24"/>
              </w:rPr>
              <w:t>mg/m</w:t>
            </w:r>
            <w:r>
              <w:rPr>
                <w:rFonts w:ascii="Arial" w:hAnsi="Arial"/>
                <w:sz w:val="24"/>
                <w:vertAlign w:val="superscript"/>
              </w:rPr>
              <w:t>3</w:t>
            </w:r>
          </w:p>
        </w:tc>
      </w:tr>
      <w:tr w:rsidR="00000000">
        <w:tblPrEx>
          <w:tblCellMar>
            <w:top w:w="0" w:type="dxa"/>
            <w:bottom w:w="0" w:type="dxa"/>
          </w:tblCellMar>
        </w:tblPrEx>
        <w:trPr>
          <w:jc w:val="center"/>
        </w:trPr>
        <w:tc>
          <w:tcPr>
            <w:tcW w:w="2090" w:type="dxa"/>
            <w:tcBorders>
              <w:right w:val="single" w:sz="6" w:space="0" w:color="auto"/>
            </w:tcBorders>
            <w:vAlign w:val="center"/>
          </w:tcPr>
          <w:p w:rsidR="00000000" w:rsidRDefault="00C04CA6">
            <w:pPr>
              <w:rPr>
                <w:rFonts w:ascii="Arial" w:hAnsi="Arial"/>
                <w:sz w:val="24"/>
              </w:rPr>
            </w:pPr>
          </w:p>
        </w:tc>
        <w:tc>
          <w:tcPr>
            <w:tcW w:w="2040" w:type="dxa"/>
            <w:tcBorders>
              <w:top w:val="nil"/>
              <w:left w:val="single" w:sz="6" w:space="0" w:color="auto"/>
              <w:bottom w:val="nil"/>
              <w:right w:val="single" w:sz="6" w:space="0" w:color="auto"/>
            </w:tcBorders>
          </w:tcPr>
          <w:p w:rsidR="00000000" w:rsidRDefault="00C04CA6">
            <w:pPr>
              <w:jc w:val="center"/>
              <w:rPr>
                <w:rFonts w:ascii="Arial" w:hAnsi="Arial"/>
                <w:sz w:val="24"/>
              </w:rPr>
            </w:pPr>
          </w:p>
        </w:tc>
        <w:tc>
          <w:tcPr>
            <w:tcW w:w="1560" w:type="dxa"/>
            <w:tcBorders>
              <w:left w:val="single" w:sz="6" w:space="0" w:color="auto"/>
              <w:right w:val="single" w:sz="6" w:space="0" w:color="auto"/>
            </w:tcBorders>
          </w:tcPr>
          <w:p w:rsidR="00000000" w:rsidRDefault="00C04CA6">
            <w:pPr>
              <w:jc w:val="center"/>
              <w:rPr>
                <w:rFonts w:ascii="Arial" w:hAnsi="Arial"/>
                <w:sz w:val="24"/>
              </w:rPr>
            </w:pPr>
          </w:p>
        </w:tc>
        <w:tc>
          <w:tcPr>
            <w:tcW w:w="1440" w:type="dxa"/>
            <w:tcBorders>
              <w:left w:val="single" w:sz="6" w:space="0" w:color="auto"/>
              <w:right w:val="single" w:sz="6" w:space="0" w:color="auto"/>
            </w:tcBorders>
          </w:tcPr>
          <w:p w:rsidR="00000000" w:rsidRDefault="00C04CA6">
            <w:pPr>
              <w:ind w:right="252"/>
              <w:jc w:val="right"/>
              <w:rPr>
                <w:rFonts w:ascii="Arial" w:hAnsi="Arial"/>
                <w:sz w:val="24"/>
              </w:rPr>
            </w:pPr>
          </w:p>
        </w:tc>
        <w:tc>
          <w:tcPr>
            <w:tcW w:w="1560" w:type="dxa"/>
            <w:tcBorders>
              <w:top w:val="nil"/>
              <w:left w:val="single" w:sz="6" w:space="0" w:color="auto"/>
              <w:bottom w:val="nil"/>
            </w:tcBorders>
          </w:tcPr>
          <w:p w:rsidR="00000000" w:rsidRDefault="00C04CA6">
            <w:pPr>
              <w:jc w:val="center"/>
              <w:rPr>
                <w:rFonts w:ascii="Arial" w:hAnsi="Arial"/>
                <w:sz w:val="24"/>
              </w:rPr>
            </w:pPr>
          </w:p>
        </w:tc>
      </w:tr>
      <w:tr w:rsidR="00000000">
        <w:tblPrEx>
          <w:tblCellMar>
            <w:top w:w="0" w:type="dxa"/>
            <w:bottom w:w="0" w:type="dxa"/>
          </w:tblCellMar>
        </w:tblPrEx>
        <w:trPr>
          <w:jc w:val="center"/>
        </w:trPr>
        <w:tc>
          <w:tcPr>
            <w:tcW w:w="2090" w:type="dxa"/>
            <w:tcBorders>
              <w:right w:val="single" w:sz="6" w:space="0" w:color="auto"/>
            </w:tcBorders>
            <w:vAlign w:val="center"/>
          </w:tcPr>
          <w:p w:rsidR="00000000" w:rsidRDefault="00C04CA6">
            <w:pPr>
              <w:rPr>
                <w:rFonts w:ascii="Arial" w:hAnsi="Arial"/>
                <w:sz w:val="24"/>
              </w:rPr>
            </w:pPr>
            <w:r>
              <w:rPr>
                <w:rFonts w:ascii="Arial" w:hAnsi="Arial"/>
                <w:sz w:val="24"/>
              </w:rPr>
              <w:t>Dióxido de Azufre</w:t>
            </w:r>
          </w:p>
        </w:tc>
        <w:tc>
          <w:tcPr>
            <w:tcW w:w="2040" w:type="dxa"/>
            <w:tcBorders>
              <w:top w:val="nil"/>
              <w:left w:val="single" w:sz="6" w:space="0" w:color="auto"/>
              <w:bottom w:val="nil"/>
              <w:right w:val="single" w:sz="6" w:space="0" w:color="auto"/>
            </w:tcBorders>
          </w:tcPr>
          <w:p w:rsidR="00000000" w:rsidRDefault="00C04CA6">
            <w:pPr>
              <w:jc w:val="center"/>
              <w:rPr>
                <w:rFonts w:ascii="Arial" w:hAnsi="Arial"/>
                <w:sz w:val="24"/>
              </w:rPr>
            </w:pPr>
            <w:r>
              <w:rPr>
                <w:rFonts w:ascii="Arial" w:hAnsi="Arial"/>
                <w:sz w:val="24"/>
              </w:rPr>
              <w:t>– –</w:t>
            </w:r>
          </w:p>
        </w:tc>
        <w:tc>
          <w:tcPr>
            <w:tcW w:w="156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1 500</w:t>
            </w:r>
          </w:p>
        </w:tc>
        <w:tc>
          <w:tcPr>
            <w:tcW w:w="1440" w:type="dxa"/>
            <w:tcBorders>
              <w:left w:val="single" w:sz="6" w:space="0" w:color="auto"/>
              <w:right w:val="single" w:sz="6" w:space="0" w:color="auto"/>
            </w:tcBorders>
          </w:tcPr>
          <w:p w:rsidR="00000000" w:rsidRDefault="00C04CA6">
            <w:pPr>
              <w:ind w:right="252"/>
              <w:jc w:val="right"/>
              <w:rPr>
                <w:rFonts w:ascii="Arial" w:hAnsi="Arial"/>
                <w:sz w:val="24"/>
              </w:rPr>
            </w:pPr>
            <w:r>
              <w:rPr>
                <w:rFonts w:ascii="Arial" w:hAnsi="Arial"/>
                <w:sz w:val="24"/>
              </w:rPr>
              <w:t>1 500</w:t>
            </w:r>
          </w:p>
        </w:tc>
        <w:tc>
          <w:tcPr>
            <w:tcW w:w="1560" w:type="dxa"/>
            <w:tcBorders>
              <w:top w:val="nil"/>
              <w:left w:val="single" w:sz="6" w:space="0" w:color="auto"/>
              <w:bottom w:val="nil"/>
            </w:tcBorders>
          </w:tcPr>
          <w:p w:rsidR="00000000" w:rsidRDefault="00C04CA6">
            <w:pPr>
              <w:jc w:val="center"/>
              <w:rPr>
                <w:rFonts w:ascii="Arial" w:hAnsi="Arial"/>
                <w:sz w:val="24"/>
              </w:rPr>
            </w:pPr>
            <w:r>
              <w:rPr>
                <w:rFonts w:ascii="Arial" w:hAnsi="Arial"/>
                <w:sz w:val="24"/>
              </w:rPr>
              <w:t>mg/m</w:t>
            </w:r>
            <w:r>
              <w:rPr>
                <w:rFonts w:ascii="Arial" w:hAnsi="Arial"/>
                <w:sz w:val="24"/>
                <w:vertAlign w:val="superscript"/>
              </w:rPr>
              <w:t>3</w:t>
            </w:r>
          </w:p>
        </w:tc>
      </w:tr>
      <w:tr w:rsidR="00000000">
        <w:tblPrEx>
          <w:tblCellMar>
            <w:top w:w="0" w:type="dxa"/>
            <w:bottom w:w="0" w:type="dxa"/>
          </w:tblCellMar>
        </w:tblPrEx>
        <w:trPr>
          <w:jc w:val="center"/>
        </w:trPr>
        <w:tc>
          <w:tcPr>
            <w:tcW w:w="2090" w:type="dxa"/>
            <w:tcBorders>
              <w:right w:val="single" w:sz="6" w:space="0" w:color="auto"/>
            </w:tcBorders>
            <w:vAlign w:val="center"/>
          </w:tcPr>
          <w:p w:rsidR="00000000" w:rsidRDefault="00C04CA6">
            <w:pPr>
              <w:rPr>
                <w:rFonts w:ascii="Arial" w:hAnsi="Arial"/>
                <w:sz w:val="24"/>
              </w:rPr>
            </w:pPr>
          </w:p>
        </w:tc>
        <w:tc>
          <w:tcPr>
            <w:tcW w:w="2040" w:type="dxa"/>
            <w:tcBorders>
              <w:top w:val="nil"/>
              <w:left w:val="single" w:sz="6" w:space="0" w:color="auto"/>
              <w:bottom w:val="single" w:sz="6" w:space="0" w:color="auto"/>
              <w:right w:val="single" w:sz="6" w:space="0" w:color="auto"/>
            </w:tcBorders>
          </w:tcPr>
          <w:p w:rsidR="00000000" w:rsidRDefault="00C04CA6">
            <w:pPr>
              <w:jc w:val="center"/>
              <w:rPr>
                <w:rFonts w:ascii="Arial" w:hAnsi="Arial"/>
                <w:sz w:val="24"/>
              </w:rPr>
            </w:pPr>
          </w:p>
        </w:tc>
        <w:tc>
          <w:tcPr>
            <w:tcW w:w="1560" w:type="dxa"/>
            <w:tcBorders>
              <w:left w:val="single" w:sz="6" w:space="0" w:color="auto"/>
              <w:right w:val="single" w:sz="6" w:space="0" w:color="auto"/>
            </w:tcBorders>
          </w:tcPr>
          <w:p w:rsidR="00000000" w:rsidRDefault="00C04CA6">
            <w:pPr>
              <w:jc w:val="center"/>
              <w:rPr>
                <w:rFonts w:ascii="Arial" w:hAnsi="Arial"/>
                <w:sz w:val="24"/>
              </w:rPr>
            </w:pPr>
          </w:p>
        </w:tc>
        <w:tc>
          <w:tcPr>
            <w:tcW w:w="1440" w:type="dxa"/>
            <w:tcBorders>
              <w:left w:val="single" w:sz="6" w:space="0" w:color="auto"/>
              <w:right w:val="single" w:sz="6" w:space="0" w:color="auto"/>
            </w:tcBorders>
          </w:tcPr>
          <w:p w:rsidR="00000000" w:rsidRDefault="00C04CA6">
            <w:pPr>
              <w:ind w:right="252"/>
              <w:jc w:val="right"/>
              <w:rPr>
                <w:rFonts w:ascii="Arial" w:hAnsi="Arial"/>
                <w:sz w:val="24"/>
              </w:rPr>
            </w:pPr>
          </w:p>
        </w:tc>
        <w:tc>
          <w:tcPr>
            <w:tcW w:w="1560" w:type="dxa"/>
            <w:tcBorders>
              <w:top w:val="nil"/>
              <w:left w:val="single" w:sz="6" w:space="0" w:color="auto"/>
              <w:bottom w:val="single" w:sz="6" w:space="0" w:color="auto"/>
            </w:tcBorders>
          </w:tcPr>
          <w:p w:rsidR="00000000" w:rsidRDefault="00C04CA6">
            <w:pPr>
              <w:jc w:val="center"/>
              <w:rPr>
                <w:rFonts w:ascii="Arial" w:hAnsi="Arial"/>
                <w:sz w:val="24"/>
              </w:rPr>
            </w:pPr>
          </w:p>
        </w:tc>
      </w:tr>
    </w:tbl>
    <w:p w:rsidR="00000000" w:rsidRDefault="00C04CA6">
      <w:pPr>
        <w:ind w:left="360" w:right="431"/>
        <w:rPr>
          <w:rFonts w:ascii="Arial" w:hAnsi="Arial"/>
          <w:sz w:val="24"/>
        </w:rPr>
      </w:pPr>
      <w:r>
        <w:rPr>
          <w:rFonts w:ascii="Arial" w:hAnsi="Arial"/>
          <w:sz w:val="24"/>
        </w:rPr>
        <w:t>Notas:</w:t>
      </w:r>
    </w:p>
    <w:p w:rsidR="00000000" w:rsidRDefault="00C04CA6">
      <w:pPr>
        <w:ind w:left="360" w:right="431"/>
        <w:rPr>
          <w:rFonts w:ascii="Arial" w:hAnsi="Arial"/>
          <w:sz w:val="24"/>
        </w:rPr>
      </w:pPr>
      <w:r>
        <w:rPr>
          <w:rFonts w:ascii="Arial" w:hAnsi="Arial"/>
          <w:sz w:val="24"/>
          <w:vertAlign w:val="superscript"/>
        </w:rPr>
        <w:t>[1]</w:t>
      </w:r>
      <w:r>
        <w:rPr>
          <w:rFonts w:ascii="Arial" w:hAnsi="Arial"/>
          <w:sz w:val="24"/>
        </w:rPr>
        <w:t xml:space="preserve">  mg/m</w:t>
      </w:r>
      <w:r>
        <w:rPr>
          <w:rFonts w:ascii="Arial" w:hAnsi="Arial"/>
          <w:sz w:val="24"/>
          <w:vertAlign w:val="superscript"/>
        </w:rPr>
        <w:t>3</w:t>
      </w:r>
      <w:r>
        <w:rPr>
          <w:rFonts w:ascii="Arial" w:hAnsi="Arial"/>
          <w:sz w:val="24"/>
        </w:rPr>
        <w:t>: miligramos por metro cúbico de gas a condiciones normales de de 1 0</w:t>
      </w:r>
      <w:r>
        <w:rPr>
          <w:rFonts w:ascii="Arial" w:hAnsi="Arial"/>
          <w:sz w:val="24"/>
        </w:rPr>
        <w:t>13 milibares de presión y temperatura de 0 °C, corregidos a 15% de O2, en base seca.</w:t>
      </w:r>
    </w:p>
    <w:p w:rsidR="00000000" w:rsidRDefault="00C04CA6">
      <w:pPr>
        <w:rPr>
          <w:rFonts w:ascii="Arial" w:hAnsi="Arial"/>
          <w:sz w:val="24"/>
        </w:rPr>
      </w:pPr>
    </w:p>
    <w:p w:rsidR="00000000" w:rsidRDefault="00C04CA6">
      <w:pPr>
        <w:rPr>
          <w:rFonts w:ascii="Arial" w:hAnsi="Arial"/>
          <w:sz w:val="24"/>
        </w:rPr>
      </w:pPr>
    </w:p>
    <w:p w:rsidR="00000000" w:rsidRDefault="00C04CA6">
      <w:pPr>
        <w:rPr>
          <w:rFonts w:ascii="Arial" w:hAnsi="Arial"/>
          <w:sz w:val="24"/>
          <w:lang w:val="es-ES"/>
        </w:rPr>
      </w:pPr>
    </w:p>
    <w:p w:rsidR="00000000" w:rsidRDefault="00C04CA6">
      <w:pPr>
        <w:jc w:val="center"/>
        <w:rPr>
          <w:rFonts w:ascii="Arial" w:hAnsi="Arial"/>
          <w:sz w:val="24"/>
          <w:lang w:val="es-ES"/>
        </w:rPr>
      </w:pPr>
    </w:p>
    <w:p w:rsidR="00000000" w:rsidRDefault="00C04CA6">
      <w:pPr>
        <w:jc w:val="center"/>
        <w:rPr>
          <w:rFonts w:ascii="Arial" w:hAnsi="Arial"/>
          <w:sz w:val="24"/>
          <w:lang w:val="es-ES"/>
        </w:rPr>
      </w:pPr>
    </w:p>
    <w:p w:rsidR="00000000" w:rsidRDefault="00C04CA6">
      <w:pPr>
        <w:jc w:val="center"/>
        <w:rPr>
          <w:rFonts w:ascii="Arial" w:hAnsi="Arial"/>
          <w:sz w:val="24"/>
          <w:lang w:val="es-ES"/>
        </w:rPr>
      </w:pPr>
    </w:p>
    <w:p w:rsidR="00000000" w:rsidRDefault="00C04CA6">
      <w:pPr>
        <w:jc w:val="center"/>
        <w:rPr>
          <w:rFonts w:ascii="Arial" w:hAnsi="Arial"/>
          <w:b/>
          <w:sz w:val="24"/>
          <w:lang w:val="es-ES"/>
        </w:rPr>
      </w:pPr>
      <w:r>
        <w:rPr>
          <w:rFonts w:ascii="Arial" w:hAnsi="Arial"/>
          <w:b/>
          <w:sz w:val="24"/>
          <w:lang w:val="es-ES"/>
        </w:rPr>
        <w:t>ANEXO</w:t>
      </w:r>
    </w:p>
    <w:p w:rsidR="00000000" w:rsidRDefault="00C04CA6">
      <w:pPr>
        <w:rPr>
          <w:rFonts w:ascii="Arial" w:hAnsi="Arial"/>
          <w:sz w:val="24"/>
          <w:lang w:val="es-ES"/>
        </w:rPr>
      </w:pPr>
    </w:p>
    <w:p w:rsidR="00000000" w:rsidRDefault="00C04CA6">
      <w:pPr>
        <w:pStyle w:val="Ttulo7"/>
        <w:jc w:val="center"/>
        <w:rPr>
          <w:rFonts w:ascii="Arial" w:hAnsi="Arial"/>
          <w:smallCaps w:val="0"/>
          <w:sz w:val="24"/>
        </w:rPr>
      </w:pPr>
      <w:r>
        <w:rPr>
          <w:rFonts w:ascii="Arial" w:hAnsi="Arial"/>
          <w:smallCaps w:val="0"/>
          <w:sz w:val="24"/>
        </w:rPr>
        <w:t>Figura 1.  Requisitos para ejecución de medición de emisiones al aire desde fuentes fijas</w:t>
      </w:r>
    </w:p>
    <w:p w:rsidR="00000000" w:rsidRDefault="00C04CA6">
      <w:pPr>
        <w:rPr>
          <w:rFonts w:ascii="Arial" w:hAnsi="Arial"/>
          <w:sz w:val="24"/>
        </w:rPr>
      </w:pPr>
    </w:p>
    <w:p w:rsidR="00000000" w:rsidRDefault="00C04CA6">
      <w:pPr>
        <w:rPr>
          <w:rFonts w:ascii="Arial" w:hAnsi="Arial"/>
          <w:sz w:val="24"/>
        </w:rPr>
      </w:pPr>
    </w:p>
    <w:p w:rsidR="00000000" w:rsidRDefault="00C04CA6">
      <w:pPr>
        <w:rPr>
          <w:rFonts w:ascii="Arial" w:hAnsi="Arial"/>
          <w:sz w:val="24"/>
          <w:lang w:val="es-ES"/>
        </w:rPr>
      </w:pPr>
    </w:p>
    <w:p w:rsidR="00000000" w:rsidRDefault="00C04CA6">
      <w:pPr>
        <w:jc w:val="center"/>
        <w:rPr>
          <w:rFonts w:ascii="Arial" w:hAnsi="Arial"/>
          <w:sz w:val="24"/>
        </w:rPr>
      </w:pPr>
      <w:r>
        <w:rPr>
          <w:rFonts w:ascii="Arial" w:hAnsi="Arial"/>
          <w:noProof/>
          <w:sz w:val="24"/>
        </w:rPr>
        <w:pict>
          <v:shapetype id="_x0000_t202" coordsize="21600,21600" o:spt="202" path="m,l,21600r21600,l21600,xe">
            <v:stroke joinstyle="miter"/>
            <v:path gradientshapeok="t" o:connecttype="rect"/>
          </v:shapetype>
          <v:shape id="_x0000_s1026" type="#_x0000_t202" style="position:absolute;left:0;text-align:left;margin-left:30pt;margin-top:162.5pt;width:99pt;height:36pt;z-index:251652608" o:allowincell="f" stroked="f">
            <v:textbox style="mso-next-textbox:#_x0000_s1026">
              <w:txbxContent>
                <w:p w:rsidR="00000000" w:rsidRDefault="00C04CA6">
                  <w:pPr>
                    <w:rPr>
                      <w:rFonts w:ascii="Arial" w:hAnsi="Arial"/>
                      <w:sz w:val="14"/>
                      <w:lang w:val="es-ES"/>
                    </w:rPr>
                  </w:pPr>
                  <w:r>
                    <w:rPr>
                      <w:rFonts w:ascii="Arial" w:hAnsi="Arial"/>
                      <w:sz w:val="14"/>
                      <w:lang w:val="es-ES"/>
                    </w:rPr>
                    <w:t>Al menos dos diámetros de chi</w:t>
                  </w:r>
                  <w:r>
                    <w:rPr>
                      <w:rFonts w:ascii="Arial" w:hAnsi="Arial"/>
                      <w:sz w:val="14"/>
                      <w:lang w:val="es-ES"/>
                    </w:rPr>
                    <w:t>menea por debajo de la cúspide.</w:t>
                  </w:r>
                </w:p>
              </w:txbxContent>
            </v:textbox>
          </v:shape>
        </w:pict>
      </w:r>
      <w:r>
        <w:rPr>
          <w:rFonts w:ascii="Arial" w:hAnsi="Arial"/>
          <w:noProof/>
          <w:sz w:val="24"/>
        </w:rPr>
        <w:pict>
          <v:line id="_x0000_s1036" style="position:absolute;left:0;text-align:left;flip:y;z-index:251662848" from="132pt,180.5pt" to="132pt,207.5pt" o:allowincell="f">
            <v:stroke endarrow="block"/>
          </v:line>
        </w:pict>
      </w:r>
      <w:r>
        <w:rPr>
          <w:rFonts w:ascii="Arial" w:hAnsi="Arial"/>
          <w:noProof/>
          <w:sz w:val="24"/>
        </w:rPr>
        <w:pict>
          <v:line id="_x0000_s1035" style="position:absolute;left:0;text-align:left;z-index:251661824" from="132pt,207.5pt" to="132pt,234.5pt" o:allowincell="f">
            <v:stroke endarrow="block"/>
          </v:line>
        </w:pict>
      </w:r>
      <w:r>
        <w:rPr>
          <w:rFonts w:ascii="Arial" w:hAnsi="Arial"/>
          <w:noProof/>
          <w:sz w:val="24"/>
        </w:rPr>
        <w:pict>
          <v:line id="_x0000_s1034" style="position:absolute;left:0;text-align:left;flip:x;z-index:251660800" from="300pt,244.75pt" to="318pt,244.75pt" o:allowincell="f">
            <v:stroke endarrow="block"/>
          </v:line>
        </w:pict>
      </w:r>
      <w:r>
        <w:rPr>
          <w:rFonts w:ascii="Arial" w:hAnsi="Arial"/>
          <w:noProof/>
          <w:sz w:val="24"/>
        </w:rPr>
        <w:pict>
          <v:shape id="_x0000_s1033" type="#_x0000_t202" style="position:absolute;left:0;text-align:left;margin-left:39pt;margin-top:100.75pt;width:135pt;height:18pt;z-index:251659776" o:allowincell="f" stroked="f">
            <v:textbox style="mso-next-textbox:#_x0000_s1033">
              <w:txbxContent>
                <w:p w:rsidR="00000000" w:rsidRDefault="00C04CA6">
                  <w:pPr>
                    <w:rPr>
                      <w:rFonts w:ascii="Arial" w:hAnsi="Arial"/>
                      <w:sz w:val="14"/>
                      <w:lang w:val="es-ES"/>
                    </w:rPr>
                  </w:pPr>
                  <w:r>
                    <w:rPr>
                      <w:rFonts w:ascii="Arial" w:hAnsi="Arial"/>
                      <w:sz w:val="14"/>
                      <w:lang w:val="es-ES"/>
                    </w:rPr>
                    <w:t>PASAMANOS DE SEGURIDAD</w:t>
                  </w:r>
                </w:p>
              </w:txbxContent>
            </v:textbox>
          </v:shape>
        </w:pict>
      </w:r>
      <w:r>
        <w:rPr>
          <w:rFonts w:ascii="Arial" w:hAnsi="Arial"/>
          <w:noProof/>
          <w:sz w:val="24"/>
        </w:rPr>
        <w:pict>
          <v:line id="_x0000_s1032" style="position:absolute;left:0;text-align:left;z-index:251658752" from="147pt,118.75pt" to="165pt,145.75pt" o:allowincell="f">
            <v:stroke endarrow="block"/>
          </v:line>
        </w:pict>
      </w:r>
      <w:r>
        <w:rPr>
          <w:rFonts w:ascii="Arial" w:hAnsi="Arial"/>
          <w:noProof/>
          <w:sz w:val="24"/>
        </w:rPr>
        <w:pict>
          <v:line id="_x0000_s1031" style="position:absolute;left:0;text-align:left;flip:x;z-index:251657728" from="282pt,46.75pt" to="327pt,172.75pt" o:allowincell="f">
            <v:stroke endarrow="block"/>
          </v:line>
        </w:pict>
      </w:r>
      <w:r>
        <w:rPr>
          <w:rFonts w:ascii="Arial" w:hAnsi="Arial"/>
          <w:noProof/>
          <w:sz w:val="24"/>
        </w:rPr>
        <w:pict>
          <v:shape id="_x0000_s1030" type="#_x0000_t202" style="position:absolute;left:0;text-align:left;margin-left:327pt;margin-top:28.75pt;width:135pt;height:162pt;z-index:251656704" o:allowincell="f" stroked="f">
            <v:textbox style="mso-next-textbox:#_x0000_s1030">
              <w:txbxContent>
                <w:p w:rsidR="00000000" w:rsidRDefault="00C04CA6">
                  <w:pPr>
                    <w:rPr>
                      <w:rFonts w:ascii="Arial" w:hAnsi="Arial"/>
                      <w:sz w:val="14"/>
                      <w:u w:val="single"/>
                      <w:lang w:val="es-ES"/>
                    </w:rPr>
                  </w:pPr>
                  <w:r>
                    <w:rPr>
                      <w:rFonts w:ascii="Arial" w:hAnsi="Arial"/>
                      <w:sz w:val="14"/>
                      <w:u w:val="single"/>
                      <w:lang w:val="es-ES"/>
                    </w:rPr>
                    <w:t>PLATAFORMA DE TRABAJO</w:t>
                  </w:r>
                </w:p>
                <w:p w:rsidR="00000000" w:rsidRDefault="00C04CA6">
                  <w:pPr>
                    <w:rPr>
                      <w:rFonts w:ascii="Arial" w:hAnsi="Arial"/>
                      <w:sz w:val="14"/>
                      <w:u w:val="single"/>
                      <w:lang w:val="es-ES"/>
                    </w:rPr>
                  </w:pPr>
                </w:p>
                <w:p w:rsidR="00000000" w:rsidRDefault="00C04CA6" w:rsidP="00C04CA6">
                  <w:pPr>
                    <w:numPr>
                      <w:ilvl w:val="0"/>
                      <w:numId w:val="12"/>
                    </w:numPr>
                    <w:rPr>
                      <w:rFonts w:ascii="Arial" w:hAnsi="Arial"/>
                      <w:sz w:val="14"/>
                      <w:lang w:val="es-ES"/>
                    </w:rPr>
                  </w:pPr>
                  <w:r>
                    <w:rPr>
                      <w:rFonts w:ascii="Arial" w:hAnsi="Arial"/>
                      <w:sz w:val="14"/>
                      <w:lang w:val="es-ES"/>
                    </w:rPr>
                    <w:t>Plataforma con al menos 0,9 m de ancho (1,2 m para chimeneas con 3,0 m o más de diámetro) y capaz de soportar el peso de 3 personas y de 100 kg. de equipo.</w:t>
                  </w:r>
                </w:p>
                <w:p w:rsidR="00000000" w:rsidRDefault="00C04CA6" w:rsidP="00C04CA6">
                  <w:pPr>
                    <w:numPr>
                      <w:ilvl w:val="0"/>
                      <w:numId w:val="12"/>
                    </w:numPr>
                    <w:rPr>
                      <w:rFonts w:ascii="Arial" w:hAnsi="Arial"/>
                      <w:sz w:val="14"/>
                      <w:lang w:val="es-ES"/>
                    </w:rPr>
                  </w:pPr>
                  <w:r>
                    <w:rPr>
                      <w:rFonts w:ascii="Arial" w:hAnsi="Arial"/>
                      <w:sz w:val="14"/>
                      <w:lang w:val="es-ES"/>
                    </w:rPr>
                    <w:t>La plataforma contar</w:t>
                  </w:r>
                  <w:r>
                    <w:rPr>
                      <w:rFonts w:ascii="Arial" w:hAnsi="Arial"/>
                      <w:sz w:val="14"/>
                      <w:lang w:val="es-ES"/>
                    </w:rPr>
                    <w:t>á con pasamanos de seguridad y poseerá acceso mediante escalera, adecuada para el efecto</w:t>
                  </w:r>
                </w:p>
                <w:p w:rsidR="00000000" w:rsidRDefault="00C04CA6" w:rsidP="00C04CA6">
                  <w:pPr>
                    <w:numPr>
                      <w:ilvl w:val="0"/>
                      <w:numId w:val="12"/>
                    </w:numPr>
                    <w:rPr>
                      <w:rFonts w:ascii="Arial" w:hAnsi="Arial"/>
                      <w:sz w:val="14"/>
                      <w:lang w:val="es-ES"/>
                    </w:rPr>
                  </w:pPr>
                  <w:r>
                    <w:rPr>
                      <w:rFonts w:ascii="Arial" w:hAnsi="Arial"/>
                      <w:sz w:val="14"/>
                      <w:lang w:val="es-ES"/>
                    </w:rPr>
                    <w:t>No debe existir ningún tipo de obstrucción a 0,9 m de distancia, por debajo de los puertos de muestreo.</w:t>
                  </w:r>
                </w:p>
              </w:txbxContent>
            </v:textbox>
          </v:shape>
        </w:pict>
      </w:r>
      <w:r>
        <w:rPr>
          <w:rFonts w:ascii="Arial" w:hAnsi="Arial"/>
          <w:noProof/>
          <w:sz w:val="24"/>
        </w:rPr>
        <w:pict>
          <v:shape id="_x0000_s1029" type="#_x0000_t202" style="position:absolute;left:0;text-align:left;margin-left:246pt;margin-top:325.75pt;width:135pt;height:36pt;z-index:251655680" o:allowincell="f" stroked="f">
            <v:textbox style="mso-next-textbox:#_x0000_s1029">
              <w:txbxContent>
                <w:p w:rsidR="00000000" w:rsidRDefault="00C04CA6">
                  <w:pPr>
                    <w:rPr>
                      <w:rFonts w:ascii="Arial" w:hAnsi="Arial"/>
                      <w:sz w:val="14"/>
                      <w:lang w:val="es-ES"/>
                    </w:rPr>
                  </w:pPr>
                  <w:r>
                    <w:rPr>
                      <w:rFonts w:ascii="Arial" w:hAnsi="Arial"/>
                      <w:sz w:val="14"/>
                      <w:lang w:val="es-ES"/>
                    </w:rPr>
                    <w:t>Se deberá contar con una fuente de energía eléctrica para cone</w:t>
                  </w:r>
                  <w:r>
                    <w:rPr>
                      <w:rFonts w:ascii="Arial" w:hAnsi="Arial"/>
                      <w:sz w:val="14"/>
                      <w:lang w:val="es-ES"/>
                    </w:rPr>
                    <w:t>ctar los equipos de medición.</w:t>
                  </w:r>
                </w:p>
              </w:txbxContent>
            </v:textbox>
          </v:shape>
        </w:pict>
      </w:r>
      <w:r>
        <w:rPr>
          <w:rFonts w:ascii="Arial" w:hAnsi="Arial"/>
          <w:noProof/>
          <w:sz w:val="24"/>
        </w:rPr>
        <w:pict>
          <v:shape id="_x0000_s1028" type="#_x0000_t202" style="position:absolute;left:0;text-align:left;margin-left:318pt;margin-top:226.75pt;width:90pt;height:36pt;z-index:251654656" o:allowincell="f" stroked="f">
            <v:textbox style="mso-next-textbox:#_x0000_s1028">
              <w:txbxContent>
                <w:p w:rsidR="00000000" w:rsidRDefault="00C04CA6">
                  <w:pPr>
                    <w:rPr>
                      <w:rFonts w:ascii="Arial" w:hAnsi="Arial"/>
                      <w:sz w:val="14"/>
                      <w:lang w:val="es-ES"/>
                    </w:rPr>
                  </w:pPr>
                  <w:r>
                    <w:rPr>
                      <w:rFonts w:ascii="Arial" w:hAnsi="Arial"/>
                      <w:sz w:val="14"/>
                      <w:lang w:val="es-ES"/>
                    </w:rPr>
                    <w:t>Zona de maniobra</w:t>
                  </w:r>
                </w:p>
                <w:p w:rsidR="00000000" w:rsidRDefault="00C04CA6">
                  <w:pPr>
                    <w:rPr>
                      <w:rFonts w:ascii="Arial" w:hAnsi="Arial"/>
                      <w:sz w:val="14"/>
                      <w:lang w:val="es-ES"/>
                    </w:rPr>
                  </w:pPr>
                  <w:r>
                    <w:rPr>
                      <w:rFonts w:ascii="Arial" w:hAnsi="Arial"/>
                      <w:sz w:val="14"/>
                      <w:lang w:val="es-ES"/>
                    </w:rPr>
                    <w:t>Debe de medir 1,2 m de ancho y 0,9 m</w:t>
                  </w:r>
                </w:p>
              </w:txbxContent>
            </v:textbox>
          </v:shape>
        </w:pict>
      </w:r>
      <w:r>
        <w:rPr>
          <w:rFonts w:ascii="Arial" w:hAnsi="Arial"/>
          <w:noProof/>
          <w:sz w:val="24"/>
        </w:rPr>
        <w:pict>
          <v:shape id="_x0000_s1027" type="#_x0000_t202" style="position:absolute;left:0;text-align:left;margin-left:30pt;margin-top:208.75pt;width:99pt;height:36pt;z-index:251653632" o:allowincell="f" stroked="f">
            <v:textbox style="mso-next-textbox:#_x0000_s1027">
              <w:txbxContent>
                <w:p w:rsidR="00000000" w:rsidRDefault="00C04CA6">
                  <w:pPr>
                    <w:rPr>
                      <w:rFonts w:ascii="Arial" w:hAnsi="Arial"/>
                      <w:sz w:val="14"/>
                      <w:lang w:val="es-ES"/>
                    </w:rPr>
                  </w:pPr>
                  <w:r>
                    <w:rPr>
                      <w:rFonts w:ascii="Arial" w:hAnsi="Arial"/>
                      <w:sz w:val="14"/>
                      <w:lang w:val="es-ES"/>
                    </w:rPr>
                    <w:t>Al menos ocho diámetros de chimenea sobre la última obstrucción.</w:t>
                  </w:r>
                </w:p>
              </w:txbxContent>
            </v:textbox>
          </v:shape>
        </w:pict>
      </w:r>
      <w:r w:rsidR="007D7C7D">
        <w:rPr>
          <w:rFonts w:ascii="Arial" w:hAnsi="Arial"/>
          <w:noProof/>
          <w:sz w:val="24"/>
          <w:lang w:val="es-ES"/>
        </w:rPr>
        <w:drawing>
          <wp:inline distT="0" distB="0" distL="0" distR="0">
            <wp:extent cx="4876800" cy="461962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4876800" cy="4619625"/>
                    </a:xfrm>
                    <a:prstGeom prst="rect">
                      <a:avLst/>
                    </a:prstGeom>
                    <a:noFill/>
                    <a:ln w="9525">
                      <a:noFill/>
                      <a:miter lim="800000"/>
                      <a:headEnd/>
                      <a:tailEnd/>
                    </a:ln>
                  </pic:spPr>
                </pic:pic>
              </a:graphicData>
            </a:graphic>
          </wp:inline>
        </w:drawing>
      </w:r>
    </w:p>
    <w:p w:rsidR="00000000" w:rsidRDefault="00C04CA6">
      <w:pPr>
        <w:rPr>
          <w:rFonts w:ascii="Arial" w:hAnsi="Arial"/>
          <w:sz w:val="24"/>
        </w:rPr>
      </w:pPr>
    </w:p>
    <w:p w:rsidR="00000000" w:rsidRDefault="00C04CA6">
      <w:pPr>
        <w:rPr>
          <w:rFonts w:ascii="Arial" w:hAnsi="Arial"/>
          <w:sz w:val="24"/>
        </w:rPr>
      </w:pPr>
    </w:p>
    <w:p w:rsidR="00000000" w:rsidRDefault="00C04CA6">
      <w:pPr>
        <w:rPr>
          <w:rFonts w:ascii="Arial" w:hAnsi="Arial"/>
          <w:sz w:val="24"/>
        </w:rPr>
      </w:pPr>
    </w:p>
    <w:p w:rsidR="00000000" w:rsidRDefault="00C04CA6">
      <w:pPr>
        <w:rPr>
          <w:rFonts w:ascii="Arial" w:hAnsi="Arial"/>
          <w:sz w:val="24"/>
        </w:rPr>
      </w:pPr>
    </w:p>
    <w:p w:rsidR="00000000" w:rsidRDefault="00C04CA6">
      <w:pPr>
        <w:rPr>
          <w:rFonts w:ascii="Arial" w:hAnsi="Arial"/>
          <w:sz w:val="24"/>
        </w:rPr>
      </w:pPr>
    </w:p>
    <w:p w:rsidR="00000000" w:rsidRDefault="00C04CA6">
      <w:pPr>
        <w:rPr>
          <w:rFonts w:ascii="Arial" w:hAnsi="Arial"/>
          <w:sz w:val="24"/>
        </w:rPr>
      </w:pPr>
    </w:p>
    <w:p w:rsidR="00000000" w:rsidRDefault="00C04CA6">
      <w:pPr>
        <w:rPr>
          <w:rFonts w:ascii="Arial" w:hAnsi="Arial"/>
          <w:sz w:val="24"/>
        </w:rPr>
      </w:pPr>
    </w:p>
    <w:p w:rsidR="00000000" w:rsidRDefault="00C04CA6">
      <w:pPr>
        <w:rPr>
          <w:rFonts w:ascii="Arial" w:hAnsi="Arial"/>
          <w:sz w:val="24"/>
        </w:rPr>
      </w:pPr>
    </w:p>
    <w:p w:rsidR="00000000" w:rsidRDefault="00C04CA6">
      <w:pPr>
        <w:rPr>
          <w:rFonts w:ascii="Arial" w:hAnsi="Arial"/>
          <w:sz w:val="24"/>
        </w:rPr>
      </w:pPr>
    </w:p>
    <w:p w:rsidR="00000000" w:rsidRDefault="00C04CA6">
      <w:pPr>
        <w:rPr>
          <w:rFonts w:ascii="Arial" w:hAnsi="Arial"/>
          <w:sz w:val="24"/>
        </w:rPr>
      </w:pPr>
    </w:p>
    <w:p w:rsidR="00000000" w:rsidRDefault="00C04CA6">
      <w:pPr>
        <w:rPr>
          <w:rFonts w:ascii="Arial" w:hAnsi="Arial"/>
          <w:sz w:val="24"/>
        </w:rPr>
      </w:pPr>
    </w:p>
    <w:p w:rsidR="00000000" w:rsidRDefault="00C04CA6">
      <w:pPr>
        <w:pStyle w:val="Ttulo7"/>
        <w:jc w:val="center"/>
        <w:rPr>
          <w:rFonts w:ascii="Arial" w:hAnsi="Arial"/>
          <w:smallCaps w:val="0"/>
          <w:sz w:val="24"/>
        </w:rPr>
      </w:pPr>
      <w:r>
        <w:rPr>
          <w:rFonts w:ascii="Arial" w:hAnsi="Arial"/>
          <w:smallCaps w:val="0"/>
          <w:sz w:val="24"/>
        </w:rPr>
        <w:t>Figura 2.  Número de puntos de medición d</w:t>
      </w:r>
      <w:r>
        <w:rPr>
          <w:rFonts w:ascii="Arial" w:hAnsi="Arial"/>
          <w:smallCaps w:val="0"/>
          <w:sz w:val="24"/>
        </w:rPr>
        <w:t>e emisiones al aire desde fuentes fijas</w:t>
      </w:r>
    </w:p>
    <w:p w:rsidR="00000000" w:rsidRDefault="00C04CA6">
      <w:pPr>
        <w:rPr>
          <w:rFonts w:ascii="Arial" w:hAnsi="Arial"/>
          <w:sz w:val="24"/>
        </w:rPr>
      </w:pPr>
    </w:p>
    <w:p w:rsidR="00000000" w:rsidRDefault="00C04CA6">
      <w:pPr>
        <w:rPr>
          <w:rFonts w:ascii="Arial" w:hAnsi="Arial"/>
          <w:sz w:val="24"/>
        </w:rPr>
      </w:pPr>
    </w:p>
    <w:p w:rsidR="00000000" w:rsidRDefault="00C04CA6">
      <w:pPr>
        <w:rPr>
          <w:rFonts w:ascii="Arial" w:hAnsi="Arial"/>
          <w:sz w:val="24"/>
        </w:rPr>
      </w:pPr>
    </w:p>
    <w:p w:rsidR="00000000" w:rsidRDefault="00C04CA6">
      <w:pPr>
        <w:jc w:val="center"/>
        <w:rPr>
          <w:rFonts w:ascii="Arial" w:hAnsi="Arial"/>
          <w:sz w:val="24"/>
        </w:rPr>
      </w:pPr>
      <w:r>
        <w:rPr>
          <w:rFonts w:ascii="Arial" w:hAnsi="Arial"/>
          <w:sz w:val="24"/>
        </w:rPr>
        <w:object w:dxaOrig="13425" w:dyaOrig="7575">
          <v:shape id="_x0000_i1028" type="#_x0000_t75" style="width:479.25pt;height:270pt" o:ole="" fillcolor="window">
            <v:imagedata r:id="rId14" o:title=""/>
          </v:shape>
          <o:OLEObject Type="Embed" ProgID="AutoCAD.Drawing.15" ShapeID="_x0000_i1028" DrawAspect="Content" ObjectID="_1309683807" r:id="rId15"/>
        </w:object>
      </w:r>
    </w:p>
    <w:p w:rsidR="00000000" w:rsidRDefault="00C04CA6">
      <w:pPr>
        <w:rPr>
          <w:rFonts w:ascii="Arial" w:hAnsi="Arial"/>
          <w:sz w:val="24"/>
        </w:rPr>
      </w:pPr>
    </w:p>
    <w:p w:rsidR="00000000" w:rsidRDefault="00C04CA6">
      <w:pPr>
        <w:rPr>
          <w:rFonts w:ascii="Arial" w:hAnsi="Arial"/>
          <w:sz w:val="24"/>
        </w:rPr>
      </w:pPr>
    </w:p>
    <w:p w:rsidR="00000000" w:rsidRDefault="00C04CA6">
      <w:pPr>
        <w:pStyle w:val="Ttulo7"/>
        <w:jc w:val="center"/>
        <w:rPr>
          <w:rFonts w:ascii="Arial" w:hAnsi="Arial"/>
          <w:smallCaps w:val="0"/>
          <w:sz w:val="24"/>
        </w:rPr>
      </w:pPr>
      <w:r>
        <w:rPr>
          <w:rFonts w:ascii="Arial" w:hAnsi="Arial"/>
          <w:smallCaps w:val="0"/>
          <w:sz w:val="24"/>
        </w:rPr>
        <w:t>Figura 3.  Ejemplo de puntos de medición de emisiones al aire en conducto de sección rectangular (12 áreas iguales con punto de medición en centroide de cada área)</w:t>
      </w:r>
    </w:p>
    <w:p w:rsidR="00000000" w:rsidRDefault="00C04CA6">
      <w:pPr>
        <w:rPr>
          <w:rFonts w:ascii="Arial" w:hAnsi="Arial"/>
          <w:sz w:val="24"/>
        </w:rPr>
      </w:pPr>
    </w:p>
    <w:p w:rsidR="00000000" w:rsidRDefault="00C04CA6">
      <w:pPr>
        <w:rPr>
          <w:rFonts w:ascii="Arial" w:hAnsi="Arial"/>
          <w:sz w:val="24"/>
        </w:rPr>
      </w:pPr>
    </w:p>
    <w:p w:rsidR="00000000" w:rsidRDefault="00C04CA6">
      <w:pPr>
        <w:jc w:val="center"/>
        <w:rPr>
          <w:rFonts w:ascii="Arial" w:hAnsi="Arial"/>
          <w:sz w:val="24"/>
          <w:lang w:val="es-ES"/>
        </w:rPr>
      </w:pPr>
      <w:r>
        <w:rPr>
          <w:rFonts w:ascii="Arial" w:hAnsi="Arial"/>
          <w:sz w:val="24"/>
        </w:rPr>
        <w:object w:dxaOrig="13485" w:dyaOrig="8235">
          <v:shape id="_x0000_i1029" type="#_x0000_t75" style="width:206.25pt;height:126.75pt" o:ole="" fillcolor="window">
            <v:imagedata r:id="rId16" o:title=""/>
          </v:shape>
          <o:OLEObject Type="Embed" ProgID="AutoCAD.Drawing.15" ShapeID="_x0000_i1029" DrawAspect="Content" ObjectID="_1309683808" r:id="rId17"/>
        </w:object>
      </w:r>
    </w:p>
    <w:p w:rsidR="00000000" w:rsidRDefault="00C04CA6">
      <w:pPr>
        <w:rPr>
          <w:rFonts w:ascii="Arial" w:hAnsi="Arial"/>
          <w:sz w:val="24"/>
          <w:lang w:val="es-ES"/>
        </w:rPr>
      </w:pPr>
    </w:p>
    <w:p w:rsidR="00000000" w:rsidRDefault="00C04CA6">
      <w:pPr>
        <w:rPr>
          <w:rFonts w:ascii="Arial" w:hAnsi="Arial"/>
          <w:sz w:val="24"/>
          <w:lang w:val="es-ES"/>
        </w:rPr>
      </w:pPr>
    </w:p>
    <w:p w:rsidR="00000000" w:rsidRDefault="00C04CA6">
      <w:pPr>
        <w:rPr>
          <w:rFonts w:ascii="Arial" w:hAnsi="Arial"/>
          <w:sz w:val="24"/>
          <w:lang w:val="es-ES"/>
        </w:rPr>
      </w:pPr>
    </w:p>
    <w:p w:rsidR="00C04CA6" w:rsidRDefault="00C04CA6">
      <w:pPr>
        <w:rPr>
          <w:rFonts w:ascii="Arial" w:hAnsi="Arial"/>
          <w:sz w:val="24"/>
        </w:rPr>
      </w:pPr>
    </w:p>
    <w:sectPr w:rsidR="00C04CA6">
      <w:headerReference w:type="even" r:id="rId18"/>
      <w:headerReference w:type="default" r:id="rId19"/>
      <w:footerReference w:type="even" r:id="rId20"/>
      <w:footerReference w:type="default" r:id="rId21"/>
      <w:headerReference w:type="first" r:id="rId22"/>
      <w:footerReference w:type="first" r:id="rId23"/>
      <w:pgSz w:w="12242" w:h="15842" w:code="1"/>
      <w:pgMar w:top="1418" w:right="851" w:bottom="1718" w:left="1985"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CA6" w:rsidRDefault="00C04CA6">
      <w:r>
        <w:separator/>
      </w:r>
    </w:p>
  </w:endnote>
  <w:endnote w:type="continuationSeparator" w:id="1">
    <w:p w:rsidR="00C04CA6" w:rsidRDefault="00C04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04CA6">
    <w:pPr>
      <w:pStyle w:val="Piedepgina"/>
      <w:framePr w:wrap="around" w:vAnchor="text" w:hAnchor="margin" w:xAlign="center"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C04CA6">
    <w:pPr>
      <w:pStyle w:val="Piedepgina"/>
      <w:rPr>
        <w:rStyle w:val="Nmerodepgina"/>
      </w:rPr>
    </w:pPr>
  </w:p>
  <w:p w:rsidR="00000000" w:rsidRDefault="00C04CA6">
    <w:pPr>
      <w:pStyle w:val="Piedepgina"/>
    </w:pPr>
  </w:p>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04CA6">
    <w:r>
      <w:t>LIBRO VI</w:t>
    </w:r>
    <w:r>
      <w:tab/>
    </w:r>
    <w:r>
      <w:tab/>
    </w:r>
    <w:r>
      <w:tab/>
    </w:r>
    <w:r>
      <w:tab/>
    </w:r>
    <w:r>
      <w:tab/>
    </w:r>
    <w:r>
      <w:tab/>
    </w:r>
    <w:r>
      <w:tab/>
    </w:r>
    <w:r>
      <w:tab/>
    </w:r>
    <w:r>
      <w:tab/>
    </w:r>
    <w:r>
      <w:tab/>
    </w:r>
    <w:r>
      <w:tab/>
      <w:t>ANEXO 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04CA6">
    <w:pPr>
      <w:pStyle w:val="Piedepgina"/>
      <w:jc w:val="left"/>
      <w:rPr>
        <w:rFonts w:ascii="Arial" w:hAnsi="Arial"/>
      </w:rPr>
    </w:pPr>
    <w:r>
      <w:rPr>
        <w:rFonts w:ascii="Arial" w:hAnsi="Arial"/>
      </w:rPr>
      <w:t>LIBRO VI</w:t>
    </w:r>
    <w:r>
      <w:rPr>
        <w:rFonts w:ascii="Arial" w:hAnsi="Arial"/>
      </w:rPr>
      <w:tab/>
    </w:r>
    <w:r>
      <w:rPr>
        <w:rFonts w:ascii="Arial" w:hAnsi="Arial"/>
      </w:rPr>
      <w:tab/>
      <w:t>ANEXO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CA6" w:rsidRDefault="00C04CA6">
      <w:r>
        <w:separator/>
      </w:r>
    </w:p>
  </w:footnote>
  <w:footnote w:type="continuationSeparator" w:id="1">
    <w:p w:rsidR="00C04CA6" w:rsidRDefault="00C04C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p w:rsidR="00000000" w:rsidRDefault="00C04CA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Layout w:type="fixed"/>
      <w:tblCellMar>
        <w:left w:w="70" w:type="dxa"/>
        <w:right w:w="70" w:type="dxa"/>
      </w:tblCellMar>
      <w:tblLook w:val="0000"/>
    </w:tblPr>
    <w:tblGrid>
      <w:gridCol w:w="1680"/>
      <w:gridCol w:w="5400"/>
      <w:gridCol w:w="2280"/>
    </w:tblGrid>
    <w:tr w:rsidR="00000000">
      <w:tblPrEx>
        <w:tblCellMar>
          <w:top w:w="0" w:type="dxa"/>
          <w:bottom w:w="0" w:type="dxa"/>
        </w:tblCellMar>
      </w:tblPrEx>
      <w:tc>
        <w:tcPr>
          <w:tcW w:w="1680" w:type="dxa"/>
        </w:tcPr>
        <w:p w:rsidR="00000000" w:rsidRDefault="00C04CA6">
          <w:pPr>
            <w:pStyle w:val="Encabezado"/>
          </w:pPr>
        </w:p>
      </w:tc>
      <w:tc>
        <w:tcPr>
          <w:tcW w:w="5400" w:type="dxa"/>
        </w:tcPr>
        <w:p w:rsidR="00000000" w:rsidRDefault="00C04CA6">
          <w:pPr>
            <w:pStyle w:val="Encabezado"/>
          </w:pPr>
        </w:p>
      </w:tc>
      <w:tc>
        <w:tcPr>
          <w:tcW w:w="2280" w:type="dxa"/>
        </w:tcPr>
        <w:p w:rsidR="00000000" w:rsidRDefault="00C04CA6">
          <w:pPr>
            <w:pStyle w:val="Encabezado"/>
          </w:pPr>
        </w:p>
      </w:tc>
    </w:tr>
  </w:tbl>
  <w:p w:rsidR="00000000" w:rsidRDefault="00C04CA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2830"/>
      <w:gridCol w:w="1560"/>
      <w:gridCol w:w="2640"/>
      <w:gridCol w:w="2181"/>
    </w:tblGrid>
    <w:tr w:rsidR="00000000">
      <w:tblPrEx>
        <w:tblCellMar>
          <w:top w:w="0" w:type="dxa"/>
          <w:bottom w:w="0" w:type="dxa"/>
        </w:tblCellMar>
      </w:tblPrEx>
      <w:trPr>
        <w:cantSplit/>
      </w:trPr>
      <w:tc>
        <w:tcPr>
          <w:tcW w:w="2830" w:type="dxa"/>
          <w:vAlign w:val="center"/>
        </w:tcPr>
        <w:p w:rsidR="00000000" w:rsidRDefault="00C04CA6">
          <w:pPr>
            <w:pStyle w:val="Encabezado"/>
          </w:pPr>
        </w:p>
      </w:tc>
      <w:tc>
        <w:tcPr>
          <w:tcW w:w="1560" w:type="dxa"/>
        </w:tcPr>
        <w:p w:rsidR="00000000" w:rsidRDefault="00C04CA6">
          <w:pPr>
            <w:pStyle w:val="Encabezado"/>
          </w:pPr>
        </w:p>
      </w:tc>
      <w:tc>
        <w:tcPr>
          <w:tcW w:w="2640" w:type="dxa"/>
          <w:vAlign w:val="center"/>
        </w:tcPr>
        <w:p w:rsidR="00000000" w:rsidRDefault="00C04CA6">
          <w:pPr>
            <w:pStyle w:val="Encabezado"/>
          </w:pPr>
        </w:p>
      </w:tc>
      <w:tc>
        <w:tcPr>
          <w:tcW w:w="2181" w:type="dxa"/>
          <w:vAlign w:val="center"/>
        </w:tcPr>
        <w:p w:rsidR="00000000" w:rsidRDefault="00C04CA6">
          <w:pPr>
            <w:pStyle w:val="Encabezado"/>
          </w:pPr>
        </w:p>
      </w:tc>
    </w:tr>
  </w:tbl>
  <w:p w:rsidR="00000000" w:rsidRDefault="00C04CA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2217"/>
    <w:multiLevelType w:val="multilevel"/>
    <w:tmpl w:val="2744E3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1354397"/>
    <w:multiLevelType w:val="multilevel"/>
    <w:tmpl w:val="9844F4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7C26FF5"/>
    <w:multiLevelType w:val="multilevel"/>
    <w:tmpl w:val="C826D3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EF35561"/>
    <w:multiLevelType w:val="multilevel"/>
    <w:tmpl w:val="85A8FB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2AB6ABD"/>
    <w:multiLevelType w:val="multilevel"/>
    <w:tmpl w:val="4394E3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8761CCA"/>
    <w:multiLevelType w:val="multilevel"/>
    <w:tmpl w:val="6472F4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7702696"/>
    <w:multiLevelType w:val="multilevel"/>
    <w:tmpl w:val="0C7C5A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99B466A"/>
    <w:multiLevelType w:val="multilevel"/>
    <w:tmpl w:val="113A4E56"/>
    <w:lvl w:ilvl="0">
      <w:numFmt w:val="decimal"/>
      <w:pStyle w:val="Ttulo1"/>
      <w:lvlText w:val="%1"/>
      <w:lvlJc w:val="left"/>
      <w:pPr>
        <w:tabs>
          <w:tab w:val="num" w:pos="360"/>
        </w:tabs>
        <w:ind w:left="284" w:hanging="284"/>
      </w:pPr>
      <w:rPr>
        <w:rFonts w:hint="default"/>
        <w:b/>
        <w:i w:val="0"/>
        <w:u w:val="none"/>
      </w:rPr>
    </w:lvl>
    <w:lvl w:ilvl="1">
      <w:start w:val="1"/>
      <w:numFmt w:val="decimal"/>
      <w:pStyle w:val="Ttulo2"/>
      <w:lvlText w:val="%1.%2"/>
      <w:lvlJc w:val="left"/>
      <w:pPr>
        <w:tabs>
          <w:tab w:val="num" w:pos="360"/>
        </w:tabs>
        <w:ind w:left="284" w:hanging="284"/>
      </w:pPr>
      <w:rPr>
        <w:rFonts w:hint="default"/>
      </w:rPr>
    </w:lvl>
    <w:lvl w:ilvl="2">
      <w:start w:val="1"/>
      <w:numFmt w:val="decimal"/>
      <w:lvlText w:val="%1.%2.%3"/>
      <w:lvlJc w:val="left"/>
      <w:pPr>
        <w:tabs>
          <w:tab w:val="num" w:pos="720"/>
        </w:tabs>
        <w:ind w:left="0" w:firstLine="0"/>
      </w:pPr>
      <w:rPr>
        <w:rFonts w:hint="default"/>
      </w:rPr>
    </w:lvl>
    <w:lvl w:ilvl="3">
      <w:start w:val="1"/>
      <w:numFmt w:val="decimal"/>
      <w:pStyle w:val="Ttulo4"/>
      <w:lvlText w:val="%1.%2.%3.%4"/>
      <w:lvlJc w:val="left"/>
      <w:pPr>
        <w:tabs>
          <w:tab w:val="num" w:pos="720"/>
        </w:tabs>
        <w:ind w:left="284" w:hanging="284"/>
      </w:pPr>
      <w:rPr>
        <w:rFonts w:ascii="Times New Roman" w:hAnsi="Times New Roman" w:hint="default"/>
        <w:b w:val="0"/>
        <w:i w:val="0"/>
        <w:u w:val="none"/>
      </w:rPr>
    </w:lvl>
    <w:lvl w:ilvl="4">
      <w:start w:val="1"/>
      <w:numFmt w:val="decimal"/>
      <w:pStyle w:val="Ttulo5"/>
      <w:lvlText w:val="%1.%2.%3.%4.%5"/>
      <w:lvlJc w:val="left"/>
      <w:pPr>
        <w:tabs>
          <w:tab w:val="num" w:pos="1418"/>
        </w:tabs>
        <w:ind w:left="1418" w:hanging="1418"/>
      </w:pPr>
      <w:rPr>
        <w:rFonts w:ascii="Times New Roman" w:hAnsi="Times New Roman" w:hint="default"/>
        <w:b/>
        <w:i w:val="0"/>
        <w:caps w:val="0"/>
        <w:strike w:val="0"/>
        <w:dstrike w:val="0"/>
        <w:shadow w:val="0"/>
        <w:emboss w:val="0"/>
        <w:imprint w:val="0"/>
        <w:vanish w:val="0"/>
        <w:color w:val="auto"/>
        <w:sz w:val="24"/>
        <w:u w:val="none"/>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1DF7B23"/>
    <w:multiLevelType w:val="multilevel"/>
    <w:tmpl w:val="BEE4D19A"/>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7C3744D"/>
    <w:multiLevelType w:val="multilevel"/>
    <w:tmpl w:val="CE726D60"/>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6A771DB9"/>
    <w:multiLevelType w:val="multilevel"/>
    <w:tmpl w:val="F86CF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17D2053"/>
    <w:multiLevelType w:val="multilevel"/>
    <w:tmpl w:val="25C67216"/>
    <w:lvl w:ilvl="0">
      <w:start w:val="1"/>
      <w:numFmt w:val="lowerLetter"/>
      <w:lvlText w:val="%1)"/>
      <w:lvlJc w:val="left"/>
      <w:pPr>
        <w:tabs>
          <w:tab w:val="num" w:pos="720"/>
        </w:tabs>
        <w:ind w:left="720" w:hanging="360"/>
      </w:pPr>
      <w:rPr>
        <w:rFont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nsid w:val="7CA92E1A"/>
    <w:multiLevelType w:val="multilevel"/>
    <w:tmpl w:val="AEEE85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8"/>
  </w:num>
  <w:num w:numId="4">
    <w:abstractNumId w:val="3"/>
  </w:num>
  <w:num w:numId="5">
    <w:abstractNumId w:val="5"/>
  </w:num>
  <w:num w:numId="6">
    <w:abstractNumId w:val="6"/>
  </w:num>
  <w:num w:numId="7">
    <w:abstractNumId w:val="12"/>
  </w:num>
  <w:num w:numId="8">
    <w:abstractNumId w:val="0"/>
  </w:num>
  <w:num w:numId="9">
    <w:abstractNumId w:val="2"/>
  </w:num>
  <w:num w:numId="10">
    <w:abstractNumId w:val="1"/>
  </w:num>
  <w:num w:numId="11">
    <w:abstractNumId w:val="4"/>
  </w:num>
  <w:num w:numId="12">
    <w:abstractNumId w:val="9"/>
  </w:num>
  <w:num w:numId="13">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D7C7D"/>
    <w:rsid w:val="007D7C7D"/>
    <w:rsid w:val="00C04CA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paragraph" w:styleId="Ttulo1">
    <w:name w:val="heading 1"/>
    <w:basedOn w:val="Normal"/>
    <w:next w:val="Normal"/>
    <w:qFormat/>
    <w:pPr>
      <w:keepNext/>
      <w:widowControl w:val="0"/>
      <w:numPr>
        <w:numId w:val="1"/>
      </w:numPr>
      <w:spacing w:before="240" w:after="240"/>
      <w:jc w:val="center"/>
      <w:outlineLvl w:val="0"/>
    </w:pPr>
    <w:rPr>
      <w:rFonts w:ascii="Book Antiqua" w:hAnsi="Book Antiqua"/>
      <w:b/>
      <w:caps/>
      <w:lang w:val="es-MX"/>
    </w:rPr>
  </w:style>
  <w:style w:type="paragraph" w:styleId="Ttulo2">
    <w:name w:val="heading 2"/>
    <w:basedOn w:val="Normal"/>
    <w:qFormat/>
    <w:pPr>
      <w:widowControl w:val="0"/>
      <w:numPr>
        <w:ilvl w:val="1"/>
        <w:numId w:val="1"/>
      </w:numPr>
      <w:tabs>
        <w:tab w:val="clear" w:pos="360"/>
        <w:tab w:val="left" w:pos="600"/>
        <w:tab w:val="left" w:pos="720"/>
      </w:tabs>
      <w:spacing w:before="240" w:after="240"/>
      <w:outlineLvl w:val="1"/>
    </w:pPr>
    <w:rPr>
      <w:rFonts w:ascii="Book Antiqua" w:hAnsi="Book Antiqua"/>
      <w:b/>
      <w:lang w:val="es-MX"/>
    </w:rPr>
  </w:style>
  <w:style w:type="paragraph" w:styleId="Ttulo4">
    <w:name w:val="heading 4"/>
    <w:basedOn w:val="Normal"/>
    <w:next w:val="Normal"/>
    <w:qFormat/>
    <w:pPr>
      <w:keepNext/>
      <w:widowControl w:val="0"/>
      <w:numPr>
        <w:ilvl w:val="3"/>
        <w:numId w:val="1"/>
      </w:numPr>
      <w:spacing w:before="240" w:after="240"/>
      <w:outlineLvl w:val="3"/>
    </w:pPr>
    <w:rPr>
      <w:rFonts w:ascii="Book Antiqua" w:hAnsi="Book Antiqua"/>
      <w:lang w:val="es-MX"/>
    </w:rPr>
  </w:style>
  <w:style w:type="paragraph" w:styleId="Ttulo5">
    <w:name w:val="heading 5"/>
    <w:basedOn w:val="Normal"/>
    <w:next w:val="Normal"/>
    <w:qFormat/>
    <w:pPr>
      <w:keepNext/>
      <w:widowControl w:val="0"/>
      <w:numPr>
        <w:ilvl w:val="4"/>
        <w:numId w:val="1"/>
      </w:numPr>
      <w:spacing w:before="240" w:after="240"/>
      <w:outlineLvl w:val="4"/>
    </w:pPr>
    <w:rPr>
      <w:rFonts w:ascii="Book Antiqua" w:hAnsi="Book Antiqua"/>
      <w:b/>
      <w:u w:val="single"/>
      <w:lang w:val="es-MX"/>
    </w:rPr>
  </w:style>
  <w:style w:type="paragraph" w:styleId="Ttulo7">
    <w:name w:val="heading 7"/>
    <w:basedOn w:val="Normal"/>
    <w:next w:val="Normal"/>
    <w:qFormat/>
    <w:pPr>
      <w:keepNext/>
      <w:widowControl w:val="0"/>
      <w:jc w:val="both"/>
      <w:outlineLvl w:val="6"/>
    </w:pPr>
    <w:rPr>
      <w:rFonts w:ascii="Book Antiqua" w:hAnsi="Book Antiqua"/>
      <w:b/>
      <w:smallCaps/>
      <w:lang w:val="es-MX"/>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semiHidden/>
    <w:pPr>
      <w:jc w:val="both"/>
    </w:pPr>
    <w:rPr>
      <w:rFonts w:ascii="Book Antiqua" w:hAnsi="Book Antiqua"/>
      <w:lang w:val="es-ES"/>
    </w:rPr>
  </w:style>
  <w:style w:type="paragraph" w:customStyle="1" w:styleId="Titulodeldocumento">
    <w:name w:val="Titulo del documento"/>
    <w:basedOn w:val="Normal"/>
    <w:autoRedefine/>
    <w:pPr>
      <w:jc w:val="both"/>
    </w:pPr>
    <w:rPr>
      <w:rFonts w:ascii="Book Antiqua" w:hAnsi="Book Antiqua"/>
      <w:b/>
      <w:caps/>
      <w:sz w:val="22"/>
      <w:lang w:val="es-MX"/>
    </w:rPr>
  </w:style>
  <w:style w:type="paragraph" w:styleId="Encabezado">
    <w:name w:val="header"/>
    <w:basedOn w:val="Normal"/>
    <w:semiHidden/>
    <w:pPr>
      <w:tabs>
        <w:tab w:val="center" w:pos="4419"/>
        <w:tab w:val="right" w:pos="8838"/>
      </w:tabs>
      <w:jc w:val="center"/>
    </w:pPr>
    <w:rPr>
      <w:rFonts w:ascii="Book Antiqua" w:hAnsi="Book Antiqua"/>
      <w:b/>
      <w:lang w:val="es-MX"/>
    </w:rPr>
  </w:style>
  <w:style w:type="character" w:styleId="Nmerodepgina">
    <w:name w:val="page number"/>
    <w:basedOn w:val="Fuentedeprrafopredeter"/>
    <w:semiHidden/>
    <w:rPr>
      <w:rFonts w:ascii="Book Antiqua" w:hAnsi="Book Antiqua"/>
      <w:sz w:val="22"/>
    </w:rPr>
  </w:style>
  <w:style w:type="paragraph" w:styleId="Piedepgina">
    <w:name w:val="footer"/>
    <w:basedOn w:val="Normal"/>
    <w:semiHidden/>
    <w:pPr>
      <w:tabs>
        <w:tab w:val="center" w:pos="4320"/>
        <w:tab w:val="right" w:pos="8640"/>
      </w:tabs>
      <w:jc w:val="center"/>
    </w:pPr>
    <w:rPr>
      <w:rFonts w:ascii="Book Antiqua" w:hAnsi="Book Antiqua"/>
      <w:sz w:val="16"/>
      <w:lang w:val="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8705</Words>
  <Characters>47882</Characters>
  <Application>Microsoft Office Word</Application>
  <DocSecurity>0</DocSecurity>
  <Lines>399</Lines>
  <Paragraphs>112</Paragraphs>
  <ScaleCrop>false</ScaleCrop>
  <HeadingPairs>
    <vt:vector size="2" baseType="variant">
      <vt:variant>
        <vt:lpstr>Título</vt:lpstr>
      </vt:variant>
      <vt:variant>
        <vt:i4>1</vt:i4>
      </vt:variant>
    </vt:vector>
  </HeadingPairs>
  <TitlesOfParts>
    <vt:vector size="1" baseType="lpstr">
      <vt:lpstr>NORMA  DE  EMISIONES AL AIRE DESDE FUENTES FIJAS DE COMBUSTION</vt:lpstr>
    </vt:vector>
  </TitlesOfParts>
  <Company>Acer OEM</Company>
  <LinksUpToDate>false</LinksUpToDate>
  <CharactersWithSpaces>56475</CharactersWithSpaces>
  <SharedDoc>false</SharedDoc>
  <HLinks>
    <vt:vector size="6" baseType="variant">
      <vt:variant>
        <vt:i4>0</vt:i4>
      </vt:variant>
      <vt:variant>
        <vt:i4>57290</vt:i4>
      </vt:variant>
      <vt:variant>
        <vt:i4>1027</vt:i4>
      </vt:variant>
      <vt:variant>
        <vt:i4>1</vt:i4>
      </vt:variant>
      <vt:variant>
        <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  DE  EMISIONES AL AIRE DESDE FUENTES FIJAS DE COMBUSTION</dc:title>
  <dc:subject/>
  <dc:creator>Acer End User</dc:creator>
  <cp:keywords/>
  <cp:lastModifiedBy>Administrador</cp:lastModifiedBy>
  <cp:revision>2</cp:revision>
  <dcterms:created xsi:type="dcterms:W3CDTF">2009-07-21T17:17:00Z</dcterms:created>
  <dcterms:modified xsi:type="dcterms:W3CDTF">2009-07-21T17:17:00Z</dcterms:modified>
</cp:coreProperties>
</file>