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85" w:rsidRDefault="002F5B85" w:rsidP="00580049">
      <w:pPr>
        <w:spacing w:line="480" w:lineRule="auto"/>
        <w:jc w:val="center"/>
        <w:rPr>
          <w:b/>
        </w:rPr>
      </w:pPr>
    </w:p>
    <w:p w:rsidR="002F5B85" w:rsidRDefault="002F5B85" w:rsidP="00580049">
      <w:pPr>
        <w:spacing w:line="480" w:lineRule="auto"/>
        <w:jc w:val="center"/>
        <w:rPr>
          <w:b/>
        </w:rPr>
      </w:pPr>
    </w:p>
    <w:p w:rsidR="002F5B85" w:rsidRDefault="002F5B85" w:rsidP="00580049">
      <w:pPr>
        <w:spacing w:line="480" w:lineRule="auto"/>
        <w:jc w:val="center"/>
        <w:rPr>
          <w:b/>
        </w:rPr>
      </w:pPr>
    </w:p>
    <w:p w:rsidR="002F5B85" w:rsidRPr="002F5B85" w:rsidRDefault="002F5B85" w:rsidP="00580049">
      <w:pPr>
        <w:spacing w:line="480" w:lineRule="auto"/>
        <w:jc w:val="center"/>
        <w:rPr>
          <w:b/>
        </w:rPr>
      </w:pPr>
    </w:p>
    <w:p w:rsidR="00AA193E" w:rsidRPr="0055097E" w:rsidRDefault="007E1D0E" w:rsidP="00580049">
      <w:pPr>
        <w:spacing w:line="480" w:lineRule="auto"/>
        <w:jc w:val="center"/>
        <w:rPr>
          <w:b/>
          <w:sz w:val="32"/>
          <w:szCs w:val="32"/>
        </w:rPr>
      </w:pPr>
      <w:r>
        <w:rPr>
          <w:b/>
          <w:sz w:val="32"/>
          <w:szCs w:val="32"/>
        </w:rPr>
        <w:t>CAPÍTULO 5</w:t>
      </w:r>
    </w:p>
    <w:p w:rsidR="00A45E3E" w:rsidRDefault="00A45E3E" w:rsidP="002F5B85">
      <w:pPr>
        <w:spacing w:line="480" w:lineRule="auto"/>
        <w:rPr>
          <w:b/>
        </w:rPr>
      </w:pPr>
    </w:p>
    <w:p w:rsidR="006C1AC7" w:rsidRDefault="006C1AC7" w:rsidP="002F5B85">
      <w:pPr>
        <w:spacing w:line="480" w:lineRule="auto"/>
        <w:rPr>
          <w:b/>
        </w:rPr>
      </w:pPr>
    </w:p>
    <w:p w:rsidR="006C1AC7" w:rsidRDefault="006C1AC7" w:rsidP="002F5B85">
      <w:pPr>
        <w:spacing w:line="480" w:lineRule="auto"/>
        <w:rPr>
          <w:b/>
        </w:rPr>
      </w:pPr>
    </w:p>
    <w:p w:rsidR="006C1AC7" w:rsidRDefault="006C1AC7" w:rsidP="002F5B85">
      <w:pPr>
        <w:spacing w:line="480" w:lineRule="auto"/>
        <w:rPr>
          <w:b/>
        </w:rPr>
      </w:pPr>
    </w:p>
    <w:p w:rsidR="00150FFD" w:rsidRPr="003844AD" w:rsidRDefault="007E1D0E" w:rsidP="002F5B85">
      <w:pPr>
        <w:spacing w:line="480" w:lineRule="auto"/>
        <w:rPr>
          <w:b/>
          <w:sz w:val="32"/>
          <w:szCs w:val="32"/>
        </w:rPr>
      </w:pPr>
      <w:r>
        <w:rPr>
          <w:b/>
          <w:sz w:val="32"/>
          <w:szCs w:val="32"/>
        </w:rPr>
        <w:t>5</w:t>
      </w:r>
      <w:r w:rsidR="002F5B85" w:rsidRPr="003844AD">
        <w:rPr>
          <w:b/>
          <w:sz w:val="32"/>
          <w:szCs w:val="32"/>
        </w:rPr>
        <w:t xml:space="preserve">.- </w:t>
      </w:r>
      <w:r w:rsidR="00131C9F">
        <w:rPr>
          <w:b/>
          <w:sz w:val="32"/>
          <w:szCs w:val="32"/>
        </w:rPr>
        <w:t xml:space="preserve">Estudio </w:t>
      </w:r>
      <w:r>
        <w:rPr>
          <w:b/>
          <w:sz w:val="32"/>
          <w:szCs w:val="32"/>
        </w:rPr>
        <w:t>Económico-Financiero</w:t>
      </w:r>
    </w:p>
    <w:p w:rsidR="00B509B1" w:rsidRDefault="00B509B1" w:rsidP="002F5B85">
      <w:pPr>
        <w:spacing w:line="480" w:lineRule="auto"/>
      </w:pPr>
    </w:p>
    <w:p w:rsidR="0014322E" w:rsidRPr="005B0C0D" w:rsidRDefault="0014322E" w:rsidP="002F5B85">
      <w:pPr>
        <w:spacing w:line="480" w:lineRule="auto"/>
      </w:pPr>
    </w:p>
    <w:p w:rsidR="00ED2C87" w:rsidRPr="00ED2C87" w:rsidRDefault="00ED2C87" w:rsidP="00115804">
      <w:pPr>
        <w:spacing w:line="480" w:lineRule="auto"/>
        <w:ind w:firstLine="540"/>
        <w:jc w:val="both"/>
      </w:pPr>
      <w:r w:rsidRPr="00ED2C87">
        <w:t xml:space="preserve">Una vez determinada la inversión en </w:t>
      </w:r>
      <w:r>
        <w:t xml:space="preserve">muebles y </w:t>
      </w:r>
      <w:r w:rsidR="00AF0C3C">
        <w:t>equipos,</w:t>
      </w:r>
      <w:r w:rsidRPr="00ED2C87">
        <w:t xml:space="preserve"> es el momento de de</w:t>
      </w:r>
      <w:r>
        <w:t>terminar</w:t>
      </w:r>
      <w:r w:rsidRPr="00ED2C87">
        <w:t xml:space="preserve"> si el presente proyecto es económicamente viable. Para ello, se mostrará el comportamiento proyectado de variables como: </w:t>
      </w:r>
      <w:r>
        <w:t>Los ingresos;</w:t>
      </w:r>
      <w:r w:rsidRPr="00ED2C87">
        <w:t xml:space="preserve"> los gastos administrativos y de ventas; con esta información se descontarán los flujos de cada período utilizando una tasa de descuento, para obtener el valor actual neto (VAN), la tasa interna de retorno del proyecto (TIR) y el período de recuperación de la inversión (Payback). De esta forma determinar la factibilidad económica del mismo.</w:t>
      </w:r>
    </w:p>
    <w:p w:rsidR="00ED2C87" w:rsidRDefault="00ED2C87" w:rsidP="002F5B85">
      <w:pPr>
        <w:spacing w:line="480" w:lineRule="auto"/>
      </w:pPr>
    </w:p>
    <w:p w:rsidR="00454417" w:rsidRPr="00ED2C87" w:rsidRDefault="00454417" w:rsidP="002F5B85">
      <w:pPr>
        <w:spacing w:line="480" w:lineRule="auto"/>
      </w:pPr>
    </w:p>
    <w:p w:rsidR="00ED2C87" w:rsidRPr="00ED2C87" w:rsidRDefault="00ED2C87" w:rsidP="002F5B85">
      <w:pPr>
        <w:spacing w:line="480" w:lineRule="auto"/>
      </w:pPr>
    </w:p>
    <w:p w:rsidR="00ED2C87" w:rsidRPr="00C33653" w:rsidRDefault="00ED2C87" w:rsidP="00ED2C87">
      <w:pPr>
        <w:spacing w:line="480" w:lineRule="auto"/>
        <w:rPr>
          <w:b/>
          <w:sz w:val="28"/>
          <w:szCs w:val="28"/>
        </w:rPr>
      </w:pPr>
      <w:r>
        <w:rPr>
          <w:b/>
          <w:sz w:val="28"/>
          <w:szCs w:val="28"/>
        </w:rPr>
        <w:lastRenderedPageBreak/>
        <w:t>5</w:t>
      </w:r>
      <w:r w:rsidRPr="00C33653">
        <w:rPr>
          <w:b/>
          <w:sz w:val="28"/>
          <w:szCs w:val="28"/>
        </w:rPr>
        <w:t>.</w:t>
      </w:r>
      <w:r>
        <w:rPr>
          <w:b/>
          <w:sz w:val="28"/>
          <w:szCs w:val="28"/>
        </w:rPr>
        <w:t>1</w:t>
      </w:r>
      <w:r w:rsidRPr="00C33653">
        <w:rPr>
          <w:b/>
          <w:sz w:val="28"/>
          <w:szCs w:val="28"/>
        </w:rPr>
        <w:t xml:space="preserve">.- </w:t>
      </w:r>
      <w:r>
        <w:rPr>
          <w:b/>
          <w:sz w:val="28"/>
          <w:szCs w:val="28"/>
        </w:rPr>
        <w:t>Inversión Inicial</w:t>
      </w:r>
    </w:p>
    <w:p w:rsidR="00ED2C87" w:rsidRDefault="00ED2C87" w:rsidP="00ED2C87">
      <w:pPr>
        <w:spacing w:line="480" w:lineRule="auto"/>
        <w:jc w:val="both"/>
      </w:pPr>
    </w:p>
    <w:p w:rsidR="00506576" w:rsidRDefault="00ED2C87" w:rsidP="00115804">
      <w:pPr>
        <w:spacing w:line="480" w:lineRule="auto"/>
        <w:ind w:firstLine="540"/>
        <w:jc w:val="both"/>
      </w:pPr>
      <w:r w:rsidRPr="00ED2C87">
        <w:t>El costo de inversión inicial, incluye todo el flujo de recursos orientados a la compra</w:t>
      </w:r>
      <w:r>
        <w:t xml:space="preserve"> e instalación de muebles y</w:t>
      </w:r>
      <w:r w:rsidRPr="00ED2C87">
        <w:t xml:space="preserve"> de equipos que permit</w:t>
      </w:r>
      <w:r>
        <w:t>irán</w:t>
      </w:r>
      <w:r w:rsidRPr="00ED2C87">
        <w:t xml:space="preserve"> la “puesta en marcha” del proyecto</w:t>
      </w:r>
      <w:r>
        <w:t>:</w:t>
      </w:r>
    </w:p>
    <w:p w:rsidR="00403FCA" w:rsidRPr="00ED2C87" w:rsidRDefault="00403FCA" w:rsidP="00ED2C87">
      <w:pPr>
        <w:spacing w:line="480" w:lineRule="auto"/>
        <w:jc w:val="both"/>
      </w:pPr>
    </w:p>
    <w:p w:rsidR="00506576" w:rsidRPr="004D468B" w:rsidRDefault="00506576" w:rsidP="00506576">
      <w:pPr>
        <w:spacing w:line="480" w:lineRule="auto"/>
        <w:jc w:val="center"/>
        <w:rPr>
          <w:b/>
        </w:rPr>
      </w:pPr>
      <w:r>
        <w:rPr>
          <w:b/>
        </w:rPr>
        <w:t>Tabla N</w:t>
      </w:r>
      <w:r w:rsidRPr="004D468B">
        <w:rPr>
          <w:b/>
        </w:rPr>
        <w:t xml:space="preserve">o. </w:t>
      </w:r>
      <w:r>
        <w:rPr>
          <w:b/>
        </w:rPr>
        <w:t>2</w:t>
      </w:r>
    </w:p>
    <w:p w:rsidR="00506576" w:rsidRPr="00371DB7" w:rsidRDefault="00506576" w:rsidP="00506576">
      <w:pPr>
        <w:spacing w:line="480" w:lineRule="auto"/>
        <w:jc w:val="center"/>
        <w:rPr>
          <w:b/>
          <w:i/>
        </w:rPr>
      </w:pPr>
      <w:r>
        <w:rPr>
          <w:b/>
          <w:i/>
        </w:rPr>
        <w:t>Inversión Inicial</w:t>
      </w:r>
    </w:p>
    <w:tbl>
      <w:tblPr>
        <w:tblW w:w="5368" w:type="dxa"/>
        <w:jc w:val="center"/>
        <w:tblInd w:w="47" w:type="dxa"/>
        <w:tblCellMar>
          <w:left w:w="70" w:type="dxa"/>
          <w:right w:w="70" w:type="dxa"/>
        </w:tblCellMar>
        <w:tblLook w:val="0000"/>
      </w:tblPr>
      <w:tblGrid>
        <w:gridCol w:w="288"/>
        <w:gridCol w:w="3236"/>
        <w:gridCol w:w="1556"/>
        <w:gridCol w:w="288"/>
      </w:tblGrid>
      <w:tr w:rsidR="00506576">
        <w:trPr>
          <w:trHeight w:val="195"/>
          <w:jc w:val="center"/>
        </w:trPr>
        <w:tc>
          <w:tcPr>
            <w:tcW w:w="288" w:type="dxa"/>
            <w:tcBorders>
              <w:top w:val="double" w:sz="6" w:space="0" w:color="auto"/>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double" w:sz="6" w:space="0" w:color="auto"/>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1556" w:type="dxa"/>
            <w:tcBorders>
              <w:top w:val="double" w:sz="6" w:space="0" w:color="auto"/>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288" w:type="dxa"/>
            <w:tcBorders>
              <w:top w:val="double" w:sz="6" w:space="0" w:color="auto"/>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b/>
                <w:bCs/>
                <w:sz w:val="14"/>
                <w:szCs w:val="14"/>
              </w:rPr>
            </w:pPr>
            <w:r>
              <w:rPr>
                <w:rFonts w:ascii="Verdana" w:hAnsi="Verdana" w:cs="Arial"/>
                <w:b/>
                <w:bCs/>
                <w:sz w:val="14"/>
                <w:szCs w:val="14"/>
              </w:rPr>
              <w:t>ASPECTOS LEGALES</w:t>
            </w:r>
          </w:p>
        </w:tc>
        <w:tc>
          <w:tcPr>
            <w:tcW w:w="155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Constitución de la Empresa</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$ 350,00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Registro de Marca</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$ 350,00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Cta. Integración de Capitales</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$ 200,00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Tasas y Gastos Judiciales</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$ 400,00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C0C0C0"/>
            <w:noWrap/>
            <w:vAlign w:val="bottom"/>
          </w:tcPr>
          <w:p w:rsidR="00506576" w:rsidRDefault="00506576">
            <w:pPr>
              <w:rPr>
                <w:rFonts w:ascii="Verdana" w:hAnsi="Verdana" w:cs="Arial"/>
                <w:b/>
                <w:bCs/>
                <w:sz w:val="14"/>
                <w:szCs w:val="14"/>
              </w:rPr>
            </w:pPr>
            <w:r>
              <w:rPr>
                <w:rFonts w:ascii="Verdana" w:hAnsi="Verdana" w:cs="Arial"/>
                <w:b/>
                <w:bCs/>
                <w:sz w:val="14"/>
                <w:szCs w:val="14"/>
              </w:rPr>
              <w:t>TOTAL</w:t>
            </w:r>
          </w:p>
        </w:tc>
        <w:tc>
          <w:tcPr>
            <w:tcW w:w="1556" w:type="dxa"/>
            <w:tcBorders>
              <w:top w:val="nil"/>
              <w:left w:val="nil"/>
              <w:bottom w:val="nil"/>
              <w:right w:val="nil"/>
            </w:tcBorders>
            <w:shd w:val="clear" w:color="auto" w:fill="C0C0C0"/>
            <w:noWrap/>
            <w:vAlign w:val="bottom"/>
          </w:tcPr>
          <w:p w:rsidR="00506576" w:rsidRDefault="00506576">
            <w:pPr>
              <w:jc w:val="right"/>
              <w:rPr>
                <w:rFonts w:ascii="Verdana" w:hAnsi="Verdana" w:cs="Arial"/>
                <w:b/>
                <w:bCs/>
                <w:sz w:val="14"/>
                <w:szCs w:val="14"/>
              </w:rPr>
            </w:pPr>
            <w:r>
              <w:rPr>
                <w:rFonts w:ascii="Verdana" w:hAnsi="Verdana" w:cs="Arial"/>
                <w:b/>
                <w:bCs/>
                <w:sz w:val="14"/>
                <w:szCs w:val="14"/>
              </w:rPr>
              <w:t>$ 1.300,00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155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b/>
                <w:bCs/>
                <w:sz w:val="14"/>
                <w:szCs w:val="14"/>
              </w:rPr>
            </w:pPr>
            <w:r>
              <w:rPr>
                <w:rFonts w:ascii="Verdana" w:hAnsi="Verdana" w:cs="Arial"/>
                <w:b/>
                <w:bCs/>
                <w:sz w:val="14"/>
                <w:szCs w:val="14"/>
              </w:rPr>
              <w:t>ASPECTOS TRIBUTARIOS</w:t>
            </w:r>
          </w:p>
        </w:tc>
        <w:tc>
          <w:tcPr>
            <w:tcW w:w="155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Permiso de los Bomberos</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$ 8,00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Extintores</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$ 60,00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Permiso de Funcionamiento</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$ 32,00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C0C0C0"/>
            <w:noWrap/>
            <w:vAlign w:val="bottom"/>
          </w:tcPr>
          <w:p w:rsidR="00506576" w:rsidRDefault="00506576">
            <w:pPr>
              <w:rPr>
                <w:rFonts w:ascii="Verdana" w:hAnsi="Verdana" w:cs="Arial"/>
                <w:b/>
                <w:bCs/>
                <w:sz w:val="14"/>
                <w:szCs w:val="14"/>
              </w:rPr>
            </w:pPr>
            <w:r>
              <w:rPr>
                <w:rFonts w:ascii="Verdana" w:hAnsi="Verdana" w:cs="Arial"/>
                <w:b/>
                <w:bCs/>
                <w:sz w:val="14"/>
                <w:szCs w:val="14"/>
              </w:rPr>
              <w:t>TOTAL</w:t>
            </w:r>
          </w:p>
        </w:tc>
        <w:tc>
          <w:tcPr>
            <w:tcW w:w="1556" w:type="dxa"/>
            <w:tcBorders>
              <w:top w:val="nil"/>
              <w:left w:val="nil"/>
              <w:bottom w:val="nil"/>
              <w:right w:val="nil"/>
            </w:tcBorders>
            <w:shd w:val="clear" w:color="auto" w:fill="C0C0C0"/>
            <w:noWrap/>
            <w:vAlign w:val="bottom"/>
          </w:tcPr>
          <w:p w:rsidR="00506576" w:rsidRDefault="00506576">
            <w:pPr>
              <w:jc w:val="right"/>
              <w:rPr>
                <w:rFonts w:ascii="Verdana" w:hAnsi="Verdana" w:cs="Arial"/>
                <w:b/>
                <w:bCs/>
                <w:sz w:val="14"/>
                <w:szCs w:val="14"/>
              </w:rPr>
            </w:pPr>
            <w:r>
              <w:rPr>
                <w:rFonts w:ascii="Verdana" w:hAnsi="Verdana" w:cs="Arial"/>
                <w:b/>
                <w:bCs/>
                <w:sz w:val="14"/>
                <w:szCs w:val="14"/>
              </w:rPr>
              <w:t>$ 100,00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155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b/>
                <w:bCs/>
                <w:sz w:val="14"/>
                <w:szCs w:val="14"/>
              </w:rPr>
            </w:pPr>
            <w:r>
              <w:rPr>
                <w:rFonts w:ascii="Verdana" w:hAnsi="Verdana" w:cs="Arial"/>
                <w:b/>
                <w:bCs/>
                <w:sz w:val="14"/>
                <w:szCs w:val="14"/>
              </w:rPr>
              <w:t>MARKETING</w:t>
            </w:r>
          </w:p>
        </w:tc>
        <w:tc>
          <w:tcPr>
            <w:tcW w:w="155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Dominio y Hosting</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$ 100,00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Papelería Básica</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$ 1.000,00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Facturas</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$ 200,00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Carpetas y Trípticos</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$ 1.000,00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C0C0C0"/>
            <w:noWrap/>
            <w:vAlign w:val="bottom"/>
          </w:tcPr>
          <w:p w:rsidR="00506576" w:rsidRDefault="00506576">
            <w:pPr>
              <w:rPr>
                <w:rFonts w:ascii="Verdana" w:hAnsi="Verdana" w:cs="Arial"/>
                <w:b/>
                <w:bCs/>
                <w:sz w:val="14"/>
                <w:szCs w:val="14"/>
              </w:rPr>
            </w:pPr>
            <w:r>
              <w:rPr>
                <w:rFonts w:ascii="Verdana" w:hAnsi="Verdana" w:cs="Arial"/>
                <w:b/>
                <w:bCs/>
                <w:sz w:val="14"/>
                <w:szCs w:val="14"/>
              </w:rPr>
              <w:t>TOTAL</w:t>
            </w:r>
          </w:p>
        </w:tc>
        <w:tc>
          <w:tcPr>
            <w:tcW w:w="1556" w:type="dxa"/>
            <w:tcBorders>
              <w:top w:val="nil"/>
              <w:left w:val="nil"/>
              <w:bottom w:val="nil"/>
              <w:right w:val="nil"/>
            </w:tcBorders>
            <w:shd w:val="clear" w:color="auto" w:fill="C0C0C0"/>
            <w:noWrap/>
            <w:vAlign w:val="bottom"/>
          </w:tcPr>
          <w:p w:rsidR="00506576" w:rsidRDefault="00506576">
            <w:pPr>
              <w:jc w:val="right"/>
              <w:rPr>
                <w:rFonts w:ascii="Verdana" w:hAnsi="Verdana" w:cs="Arial"/>
                <w:b/>
                <w:bCs/>
                <w:sz w:val="14"/>
                <w:szCs w:val="14"/>
              </w:rPr>
            </w:pPr>
            <w:r>
              <w:rPr>
                <w:rFonts w:ascii="Verdana" w:hAnsi="Verdana" w:cs="Arial"/>
                <w:b/>
                <w:bCs/>
                <w:sz w:val="14"/>
                <w:szCs w:val="14"/>
              </w:rPr>
              <w:t>$ 2.300,00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155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b/>
                <w:bCs/>
                <w:sz w:val="14"/>
                <w:szCs w:val="14"/>
              </w:rPr>
            </w:pPr>
            <w:r>
              <w:rPr>
                <w:rFonts w:ascii="Verdana" w:hAnsi="Verdana" w:cs="Arial"/>
                <w:b/>
                <w:bCs/>
                <w:sz w:val="14"/>
                <w:szCs w:val="14"/>
              </w:rPr>
              <w:t>MAQUINARIAS Y EQUIPOS</w:t>
            </w:r>
          </w:p>
        </w:tc>
        <w:tc>
          <w:tcPr>
            <w:tcW w:w="155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Laptop</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$ 1.500,00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PC Diseñador Gráfico</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$ 2.000,00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PC Asistente Administrativa</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$ 500,00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Impresora</w:t>
            </w:r>
            <w:r w:rsidR="006E46CF">
              <w:rPr>
                <w:rFonts w:ascii="Verdana" w:hAnsi="Verdana" w:cs="Arial"/>
                <w:sz w:val="14"/>
                <w:szCs w:val="14"/>
              </w:rPr>
              <w:t>s</w:t>
            </w:r>
            <w:r>
              <w:rPr>
                <w:rFonts w:ascii="Verdana" w:hAnsi="Verdana" w:cs="Arial"/>
                <w:sz w:val="14"/>
                <w:szCs w:val="14"/>
              </w:rPr>
              <w:t xml:space="preserve">, </w:t>
            </w:r>
            <w:r w:rsidR="006E46CF">
              <w:rPr>
                <w:rFonts w:ascii="Verdana" w:hAnsi="Verdana" w:cs="Arial"/>
                <w:sz w:val="14"/>
                <w:szCs w:val="14"/>
              </w:rPr>
              <w:t xml:space="preserve">Central, </w:t>
            </w:r>
            <w:r>
              <w:rPr>
                <w:rFonts w:ascii="Verdana" w:hAnsi="Verdana" w:cs="Arial"/>
                <w:sz w:val="14"/>
                <w:szCs w:val="14"/>
              </w:rPr>
              <w:t>Teléfonos y Fax</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 xml:space="preserve">$ </w:t>
            </w:r>
            <w:r w:rsidR="006E46CF">
              <w:rPr>
                <w:rFonts w:ascii="Verdana" w:hAnsi="Verdana" w:cs="Arial"/>
                <w:sz w:val="14"/>
                <w:szCs w:val="14"/>
              </w:rPr>
              <w:t>1.</w:t>
            </w:r>
            <w:r>
              <w:rPr>
                <w:rFonts w:ascii="Verdana" w:hAnsi="Verdana" w:cs="Arial"/>
                <w:sz w:val="14"/>
                <w:szCs w:val="14"/>
              </w:rPr>
              <w:t>300,00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C0C0C0"/>
            <w:noWrap/>
            <w:vAlign w:val="bottom"/>
          </w:tcPr>
          <w:p w:rsidR="00506576" w:rsidRDefault="00506576">
            <w:pPr>
              <w:rPr>
                <w:rFonts w:ascii="Verdana" w:hAnsi="Verdana" w:cs="Arial"/>
                <w:b/>
                <w:bCs/>
                <w:sz w:val="14"/>
                <w:szCs w:val="14"/>
              </w:rPr>
            </w:pPr>
            <w:r>
              <w:rPr>
                <w:rFonts w:ascii="Verdana" w:hAnsi="Verdana" w:cs="Arial"/>
                <w:b/>
                <w:bCs/>
                <w:sz w:val="14"/>
                <w:szCs w:val="14"/>
              </w:rPr>
              <w:t>TOTAL</w:t>
            </w:r>
          </w:p>
        </w:tc>
        <w:tc>
          <w:tcPr>
            <w:tcW w:w="1556" w:type="dxa"/>
            <w:tcBorders>
              <w:top w:val="nil"/>
              <w:left w:val="nil"/>
              <w:bottom w:val="nil"/>
              <w:right w:val="nil"/>
            </w:tcBorders>
            <w:shd w:val="clear" w:color="auto" w:fill="C0C0C0"/>
            <w:noWrap/>
            <w:vAlign w:val="bottom"/>
          </w:tcPr>
          <w:p w:rsidR="00506576" w:rsidRDefault="006E46CF">
            <w:pPr>
              <w:jc w:val="right"/>
              <w:rPr>
                <w:rFonts w:ascii="Verdana" w:hAnsi="Verdana" w:cs="Arial"/>
                <w:b/>
                <w:bCs/>
                <w:sz w:val="14"/>
                <w:szCs w:val="14"/>
              </w:rPr>
            </w:pPr>
            <w:r>
              <w:rPr>
                <w:rFonts w:ascii="Verdana" w:hAnsi="Verdana" w:cs="Arial"/>
                <w:b/>
                <w:bCs/>
                <w:sz w:val="14"/>
                <w:szCs w:val="14"/>
              </w:rPr>
              <w:t>$ 5</w:t>
            </w:r>
            <w:r w:rsidR="00506576">
              <w:rPr>
                <w:rFonts w:ascii="Verdana" w:hAnsi="Verdana" w:cs="Arial"/>
                <w:b/>
                <w:bCs/>
                <w:sz w:val="14"/>
                <w:szCs w:val="14"/>
              </w:rPr>
              <w:t>.300,00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155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b/>
                <w:bCs/>
                <w:sz w:val="14"/>
                <w:szCs w:val="14"/>
              </w:rPr>
            </w:pPr>
            <w:r>
              <w:rPr>
                <w:rFonts w:ascii="Verdana" w:hAnsi="Verdana" w:cs="Arial"/>
                <w:b/>
                <w:bCs/>
                <w:sz w:val="14"/>
                <w:szCs w:val="14"/>
              </w:rPr>
              <w:t>INSTALACIONES</w:t>
            </w:r>
          </w:p>
        </w:tc>
        <w:tc>
          <w:tcPr>
            <w:tcW w:w="155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Cableado Estructurado</w:t>
            </w:r>
          </w:p>
        </w:tc>
        <w:tc>
          <w:tcPr>
            <w:tcW w:w="1556" w:type="dxa"/>
            <w:tcBorders>
              <w:top w:val="nil"/>
              <w:left w:val="nil"/>
              <w:bottom w:val="nil"/>
              <w:right w:val="nil"/>
            </w:tcBorders>
            <w:shd w:val="clear" w:color="auto" w:fill="FFFFFF"/>
            <w:noWrap/>
            <w:vAlign w:val="bottom"/>
          </w:tcPr>
          <w:p w:rsidR="00506576" w:rsidRDefault="00506576">
            <w:pPr>
              <w:jc w:val="right"/>
              <w:rPr>
                <w:rFonts w:ascii="Verdana" w:hAnsi="Verdana" w:cs="Arial"/>
                <w:sz w:val="14"/>
                <w:szCs w:val="14"/>
              </w:rPr>
            </w:pPr>
            <w:r>
              <w:rPr>
                <w:rFonts w:ascii="Verdana" w:hAnsi="Verdana" w:cs="Arial"/>
                <w:sz w:val="14"/>
                <w:szCs w:val="14"/>
              </w:rPr>
              <w:t>$</w:t>
            </w:r>
            <w:r w:rsidR="006E46CF">
              <w:rPr>
                <w:rFonts w:ascii="Verdana" w:hAnsi="Verdana" w:cs="Arial"/>
                <w:sz w:val="14"/>
                <w:szCs w:val="14"/>
              </w:rPr>
              <w:t>1.0</w:t>
            </w:r>
            <w:r>
              <w:rPr>
                <w:rFonts w:ascii="Verdana" w:hAnsi="Verdana" w:cs="Arial"/>
                <w:sz w:val="14"/>
                <w:szCs w:val="14"/>
              </w:rPr>
              <w:t>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Divisiones Modulares</w:t>
            </w:r>
          </w:p>
        </w:tc>
        <w:tc>
          <w:tcPr>
            <w:tcW w:w="1556" w:type="dxa"/>
            <w:tcBorders>
              <w:top w:val="nil"/>
              <w:left w:val="nil"/>
              <w:bottom w:val="nil"/>
              <w:right w:val="nil"/>
            </w:tcBorders>
            <w:shd w:val="clear" w:color="auto" w:fill="FFFFFF"/>
            <w:noWrap/>
            <w:vAlign w:val="bottom"/>
          </w:tcPr>
          <w:p w:rsidR="00506576" w:rsidRDefault="006E46CF">
            <w:pPr>
              <w:jc w:val="right"/>
              <w:rPr>
                <w:rFonts w:ascii="Verdana" w:hAnsi="Verdana" w:cs="Arial"/>
                <w:sz w:val="14"/>
                <w:szCs w:val="14"/>
              </w:rPr>
            </w:pPr>
            <w:r>
              <w:rPr>
                <w:rFonts w:ascii="Verdana" w:hAnsi="Verdana" w:cs="Arial"/>
                <w:sz w:val="14"/>
                <w:szCs w:val="14"/>
              </w:rPr>
              <w:t>$ 2</w:t>
            </w:r>
            <w:r w:rsidR="00506576">
              <w:rPr>
                <w:rFonts w:ascii="Verdana" w:hAnsi="Verdana" w:cs="Arial"/>
                <w:sz w:val="14"/>
                <w:szCs w:val="14"/>
              </w:rPr>
              <w:t>.500,00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C0C0C0"/>
            <w:noWrap/>
            <w:vAlign w:val="bottom"/>
          </w:tcPr>
          <w:p w:rsidR="00506576" w:rsidRDefault="00506576">
            <w:pPr>
              <w:rPr>
                <w:rFonts w:ascii="Verdana" w:hAnsi="Verdana" w:cs="Arial"/>
                <w:b/>
                <w:bCs/>
                <w:sz w:val="14"/>
                <w:szCs w:val="14"/>
              </w:rPr>
            </w:pPr>
            <w:r>
              <w:rPr>
                <w:rFonts w:ascii="Verdana" w:hAnsi="Verdana" w:cs="Arial"/>
                <w:b/>
                <w:bCs/>
                <w:sz w:val="14"/>
                <w:szCs w:val="14"/>
              </w:rPr>
              <w:t>TOTAL</w:t>
            </w:r>
          </w:p>
        </w:tc>
        <w:tc>
          <w:tcPr>
            <w:tcW w:w="1556" w:type="dxa"/>
            <w:tcBorders>
              <w:top w:val="nil"/>
              <w:left w:val="nil"/>
              <w:bottom w:val="nil"/>
              <w:right w:val="nil"/>
            </w:tcBorders>
            <w:shd w:val="clear" w:color="auto" w:fill="C0C0C0"/>
            <w:noWrap/>
            <w:vAlign w:val="bottom"/>
          </w:tcPr>
          <w:p w:rsidR="00506576" w:rsidRDefault="00506576">
            <w:pPr>
              <w:jc w:val="right"/>
              <w:rPr>
                <w:rFonts w:ascii="Verdana" w:hAnsi="Verdana" w:cs="Arial"/>
                <w:b/>
                <w:bCs/>
                <w:sz w:val="14"/>
                <w:szCs w:val="14"/>
              </w:rPr>
            </w:pPr>
            <w:r>
              <w:rPr>
                <w:rFonts w:ascii="Verdana" w:hAnsi="Verdana" w:cs="Arial"/>
                <w:b/>
                <w:bCs/>
                <w:sz w:val="14"/>
                <w:szCs w:val="14"/>
              </w:rPr>
              <w:t xml:space="preserve">$ </w:t>
            </w:r>
            <w:r w:rsidR="006E46CF">
              <w:rPr>
                <w:rFonts w:ascii="Verdana" w:hAnsi="Verdana" w:cs="Arial"/>
                <w:b/>
                <w:bCs/>
                <w:sz w:val="14"/>
                <w:szCs w:val="14"/>
              </w:rPr>
              <w:t>3.5</w:t>
            </w:r>
            <w:r>
              <w:rPr>
                <w:rFonts w:ascii="Verdana" w:hAnsi="Verdana" w:cs="Arial"/>
                <w:b/>
                <w:bCs/>
                <w:sz w:val="14"/>
                <w:szCs w:val="14"/>
              </w:rPr>
              <w:t>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155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b/>
                <w:bCs/>
                <w:sz w:val="14"/>
                <w:szCs w:val="14"/>
              </w:rPr>
            </w:pPr>
            <w:r>
              <w:rPr>
                <w:rFonts w:ascii="Verdana" w:hAnsi="Verdana" w:cs="Arial"/>
                <w:b/>
                <w:bCs/>
                <w:sz w:val="14"/>
                <w:szCs w:val="14"/>
              </w:rPr>
              <w:t>MOVILIARIOS</w:t>
            </w:r>
          </w:p>
        </w:tc>
        <w:tc>
          <w:tcPr>
            <w:tcW w:w="155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Sillas y Escritorios</w:t>
            </w:r>
          </w:p>
        </w:tc>
        <w:tc>
          <w:tcPr>
            <w:tcW w:w="1556" w:type="dxa"/>
            <w:tcBorders>
              <w:top w:val="nil"/>
              <w:left w:val="nil"/>
              <w:bottom w:val="nil"/>
              <w:right w:val="nil"/>
            </w:tcBorders>
            <w:shd w:val="clear" w:color="auto" w:fill="FFFFFF"/>
            <w:noWrap/>
            <w:vAlign w:val="bottom"/>
          </w:tcPr>
          <w:p w:rsidR="00506576" w:rsidRDefault="006E46CF">
            <w:pPr>
              <w:jc w:val="right"/>
              <w:rPr>
                <w:rFonts w:ascii="Verdana" w:hAnsi="Verdana" w:cs="Arial"/>
                <w:sz w:val="14"/>
                <w:szCs w:val="14"/>
              </w:rPr>
            </w:pPr>
            <w:r>
              <w:rPr>
                <w:rFonts w:ascii="Verdana" w:hAnsi="Verdana" w:cs="Arial"/>
                <w:sz w:val="14"/>
                <w:szCs w:val="14"/>
              </w:rPr>
              <w:t>$ 4</w:t>
            </w:r>
            <w:r w:rsidR="00506576">
              <w:rPr>
                <w:rFonts w:ascii="Verdana" w:hAnsi="Verdana" w:cs="Arial"/>
                <w:sz w:val="14"/>
                <w:szCs w:val="14"/>
              </w:rPr>
              <w:t>.000,00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Otros Modulares</w:t>
            </w:r>
          </w:p>
        </w:tc>
        <w:tc>
          <w:tcPr>
            <w:tcW w:w="1556" w:type="dxa"/>
            <w:tcBorders>
              <w:top w:val="nil"/>
              <w:left w:val="nil"/>
              <w:bottom w:val="nil"/>
              <w:right w:val="nil"/>
            </w:tcBorders>
            <w:shd w:val="clear" w:color="auto" w:fill="FFFFFF"/>
            <w:noWrap/>
            <w:vAlign w:val="bottom"/>
          </w:tcPr>
          <w:p w:rsidR="00506576" w:rsidRDefault="006E46CF">
            <w:pPr>
              <w:jc w:val="right"/>
              <w:rPr>
                <w:rFonts w:ascii="Verdana" w:hAnsi="Verdana" w:cs="Arial"/>
                <w:sz w:val="14"/>
                <w:szCs w:val="14"/>
              </w:rPr>
            </w:pPr>
            <w:r>
              <w:rPr>
                <w:rFonts w:ascii="Verdana" w:hAnsi="Verdana" w:cs="Arial"/>
                <w:sz w:val="14"/>
                <w:szCs w:val="14"/>
              </w:rPr>
              <w:t>$ 1.5</w:t>
            </w:r>
            <w:r w:rsidR="00506576">
              <w:rPr>
                <w:rFonts w:ascii="Verdana" w:hAnsi="Verdana" w:cs="Arial"/>
                <w:sz w:val="14"/>
                <w:szCs w:val="14"/>
              </w:rPr>
              <w:t>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C0C0C0"/>
            <w:noWrap/>
            <w:vAlign w:val="bottom"/>
          </w:tcPr>
          <w:p w:rsidR="00506576" w:rsidRDefault="00506576">
            <w:pPr>
              <w:rPr>
                <w:rFonts w:ascii="Verdana" w:hAnsi="Verdana" w:cs="Arial"/>
                <w:b/>
                <w:bCs/>
                <w:sz w:val="14"/>
                <w:szCs w:val="14"/>
              </w:rPr>
            </w:pPr>
            <w:r>
              <w:rPr>
                <w:rFonts w:ascii="Verdana" w:hAnsi="Verdana" w:cs="Arial"/>
                <w:b/>
                <w:bCs/>
                <w:sz w:val="14"/>
                <w:szCs w:val="14"/>
              </w:rPr>
              <w:t>TOTAL</w:t>
            </w:r>
          </w:p>
        </w:tc>
        <w:tc>
          <w:tcPr>
            <w:tcW w:w="1556" w:type="dxa"/>
            <w:tcBorders>
              <w:top w:val="nil"/>
              <w:left w:val="nil"/>
              <w:bottom w:val="nil"/>
              <w:right w:val="nil"/>
            </w:tcBorders>
            <w:shd w:val="clear" w:color="auto" w:fill="C0C0C0"/>
            <w:noWrap/>
            <w:vAlign w:val="bottom"/>
          </w:tcPr>
          <w:p w:rsidR="00506576" w:rsidRDefault="006E46CF">
            <w:pPr>
              <w:jc w:val="right"/>
              <w:rPr>
                <w:rFonts w:ascii="Verdana" w:hAnsi="Verdana" w:cs="Arial"/>
                <w:b/>
                <w:bCs/>
                <w:sz w:val="14"/>
                <w:szCs w:val="14"/>
              </w:rPr>
            </w:pPr>
            <w:r>
              <w:rPr>
                <w:rFonts w:ascii="Verdana" w:hAnsi="Verdana" w:cs="Arial"/>
                <w:b/>
                <w:bCs/>
                <w:sz w:val="14"/>
                <w:szCs w:val="14"/>
              </w:rPr>
              <w:t>$ 5.5</w:t>
            </w:r>
            <w:r w:rsidR="00506576">
              <w:rPr>
                <w:rFonts w:ascii="Verdana" w:hAnsi="Verdana" w:cs="Arial"/>
                <w:b/>
                <w:bCs/>
                <w:sz w:val="14"/>
                <w:szCs w:val="14"/>
              </w:rPr>
              <w:t>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1556" w:type="dxa"/>
            <w:tcBorders>
              <w:top w:val="nil"/>
              <w:left w:val="nil"/>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4792" w:type="dxa"/>
            <w:gridSpan w:val="2"/>
            <w:tcBorders>
              <w:top w:val="nil"/>
              <w:left w:val="nil"/>
              <w:bottom w:val="nil"/>
              <w:right w:val="nil"/>
            </w:tcBorders>
            <w:shd w:val="clear" w:color="auto" w:fill="FFFFFF"/>
            <w:noWrap/>
            <w:vAlign w:val="bottom"/>
          </w:tcPr>
          <w:p w:rsidR="00506576" w:rsidRDefault="00506576">
            <w:pPr>
              <w:rPr>
                <w:rFonts w:ascii="Verdana" w:hAnsi="Verdana" w:cs="Arial"/>
                <w:b/>
                <w:bCs/>
                <w:sz w:val="14"/>
                <w:szCs w:val="14"/>
              </w:rPr>
            </w:pPr>
            <w:r>
              <w:rPr>
                <w:rFonts w:ascii="Verdana" w:hAnsi="Verdana" w:cs="Arial"/>
                <w:b/>
                <w:bCs/>
                <w:sz w:val="14"/>
                <w:szCs w:val="14"/>
              </w:rPr>
              <w:t>TOTAL DE INVERSIÓN FIJA EN EL PRIMER AÑO</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80"/>
          <w:jc w:val="center"/>
        </w:trPr>
        <w:tc>
          <w:tcPr>
            <w:tcW w:w="288" w:type="dxa"/>
            <w:tcBorders>
              <w:top w:val="nil"/>
              <w:left w:val="double" w:sz="6" w:space="0" w:color="auto"/>
              <w:bottom w:val="nil"/>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nil"/>
              <w:right w:val="nil"/>
            </w:tcBorders>
            <w:shd w:val="clear" w:color="auto" w:fill="C0C0C0"/>
            <w:noWrap/>
            <w:vAlign w:val="bottom"/>
          </w:tcPr>
          <w:p w:rsidR="00506576" w:rsidRDefault="00506576">
            <w:pPr>
              <w:rPr>
                <w:rFonts w:ascii="Verdana" w:hAnsi="Verdana" w:cs="Arial"/>
                <w:b/>
                <w:bCs/>
                <w:sz w:val="14"/>
                <w:szCs w:val="14"/>
              </w:rPr>
            </w:pPr>
            <w:r>
              <w:rPr>
                <w:rFonts w:ascii="Verdana" w:hAnsi="Verdana" w:cs="Arial"/>
                <w:b/>
                <w:bCs/>
                <w:sz w:val="14"/>
                <w:szCs w:val="14"/>
              </w:rPr>
              <w:t>TOTAL</w:t>
            </w:r>
          </w:p>
        </w:tc>
        <w:tc>
          <w:tcPr>
            <w:tcW w:w="1556" w:type="dxa"/>
            <w:tcBorders>
              <w:top w:val="nil"/>
              <w:left w:val="nil"/>
              <w:bottom w:val="nil"/>
              <w:right w:val="nil"/>
            </w:tcBorders>
            <w:shd w:val="clear" w:color="auto" w:fill="C0C0C0"/>
            <w:noWrap/>
            <w:vAlign w:val="bottom"/>
          </w:tcPr>
          <w:p w:rsidR="00506576" w:rsidRDefault="006E46CF">
            <w:pPr>
              <w:jc w:val="right"/>
              <w:rPr>
                <w:rFonts w:ascii="Verdana" w:hAnsi="Verdana" w:cs="Arial"/>
                <w:b/>
                <w:bCs/>
                <w:sz w:val="14"/>
                <w:szCs w:val="14"/>
              </w:rPr>
            </w:pPr>
            <w:r>
              <w:rPr>
                <w:rFonts w:ascii="Verdana" w:hAnsi="Verdana" w:cs="Arial"/>
                <w:b/>
                <w:bCs/>
                <w:sz w:val="14"/>
                <w:szCs w:val="14"/>
              </w:rPr>
              <w:t>$ 18.0</w:t>
            </w:r>
            <w:r w:rsidR="00506576">
              <w:rPr>
                <w:rFonts w:ascii="Verdana" w:hAnsi="Verdana" w:cs="Arial"/>
                <w:b/>
                <w:bCs/>
                <w:sz w:val="14"/>
                <w:szCs w:val="14"/>
              </w:rPr>
              <w:t>00,00</w:t>
            </w:r>
          </w:p>
        </w:tc>
        <w:tc>
          <w:tcPr>
            <w:tcW w:w="288" w:type="dxa"/>
            <w:tcBorders>
              <w:top w:val="nil"/>
              <w:left w:val="nil"/>
              <w:bottom w:val="nil"/>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r w:rsidR="00506576">
        <w:trPr>
          <w:trHeight w:val="195"/>
          <w:jc w:val="center"/>
        </w:trPr>
        <w:tc>
          <w:tcPr>
            <w:tcW w:w="288" w:type="dxa"/>
            <w:tcBorders>
              <w:top w:val="nil"/>
              <w:left w:val="double" w:sz="6" w:space="0" w:color="auto"/>
              <w:bottom w:val="double" w:sz="6" w:space="0" w:color="auto"/>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3236" w:type="dxa"/>
            <w:tcBorders>
              <w:top w:val="nil"/>
              <w:left w:val="nil"/>
              <w:bottom w:val="double" w:sz="6" w:space="0" w:color="auto"/>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1556" w:type="dxa"/>
            <w:tcBorders>
              <w:top w:val="nil"/>
              <w:left w:val="nil"/>
              <w:bottom w:val="double" w:sz="6" w:space="0" w:color="auto"/>
              <w:right w:val="nil"/>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c>
          <w:tcPr>
            <w:tcW w:w="288" w:type="dxa"/>
            <w:tcBorders>
              <w:top w:val="nil"/>
              <w:left w:val="nil"/>
              <w:bottom w:val="double" w:sz="6" w:space="0" w:color="auto"/>
              <w:right w:val="double" w:sz="6" w:space="0" w:color="auto"/>
            </w:tcBorders>
            <w:shd w:val="clear" w:color="auto" w:fill="FFFFFF"/>
            <w:noWrap/>
            <w:vAlign w:val="bottom"/>
          </w:tcPr>
          <w:p w:rsidR="00506576" w:rsidRDefault="00506576">
            <w:pPr>
              <w:rPr>
                <w:rFonts w:ascii="Verdana" w:hAnsi="Verdana" w:cs="Arial"/>
                <w:sz w:val="14"/>
                <w:szCs w:val="14"/>
              </w:rPr>
            </w:pPr>
            <w:r>
              <w:rPr>
                <w:rFonts w:ascii="Verdana" w:hAnsi="Verdana" w:cs="Arial"/>
                <w:sz w:val="14"/>
                <w:szCs w:val="14"/>
              </w:rPr>
              <w:t> </w:t>
            </w:r>
          </w:p>
        </w:tc>
      </w:tr>
    </w:tbl>
    <w:p w:rsidR="00506576" w:rsidRPr="008D290B" w:rsidRDefault="00506576" w:rsidP="00506576">
      <w:pPr>
        <w:spacing w:line="480" w:lineRule="auto"/>
        <w:jc w:val="center"/>
        <w:rPr>
          <w:i/>
          <w:sz w:val="20"/>
          <w:szCs w:val="20"/>
        </w:rPr>
      </w:pPr>
      <w:r>
        <w:rPr>
          <w:b/>
          <w:i/>
          <w:sz w:val="20"/>
          <w:szCs w:val="20"/>
        </w:rPr>
        <w:t>Elaboración</w:t>
      </w:r>
      <w:r w:rsidRPr="008D290B">
        <w:rPr>
          <w:b/>
          <w:i/>
          <w:sz w:val="20"/>
          <w:szCs w:val="20"/>
        </w:rPr>
        <w:t>:</w:t>
      </w:r>
      <w:r w:rsidRPr="008D290B">
        <w:rPr>
          <w:i/>
          <w:sz w:val="20"/>
          <w:szCs w:val="20"/>
        </w:rPr>
        <w:t xml:space="preserve"> </w:t>
      </w:r>
      <w:r>
        <w:rPr>
          <w:i/>
          <w:sz w:val="20"/>
          <w:szCs w:val="20"/>
        </w:rPr>
        <w:t>Los Autores</w:t>
      </w:r>
    </w:p>
    <w:p w:rsidR="00ED2C87" w:rsidRPr="00C33653" w:rsidRDefault="00ED2C87" w:rsidP="00ED2C87">
      <w:pPr>
        <w:spacing w:line="480" w:lineRule="auto"/>
        <w:rPr>
          <w:b/>
          <w:sz w:val="28"/>
          <w:szCs w:val="28"/>
        </w:rPr>
      </w:pPr>
      <w:r>
        <w:rPr>
          <w:b/>
          <w:sz w:val="28"/>
          <w:szCs w:val="28"/>
        </w:rPr>
        <w:t>5</w:t>
      </w:r>
      <w:r w:rsidRPr="00C33653">
        <w:rPr>
          <w:b/>
          <w:sz w:val="28"/>
          <w:szCs w:val="28"/>
        </w:rPr>
        <w:t>.</w:t>
      </w:r>
      <w:r w:rsidR="007C0A4A">
        <w:rPr>
          <w:b/>
          <w:sz w:val="28"/>
          <w:szCs w:val="28"/>
        </w:rPr>
        <w:t>2</w:t>
      </w:r>
      <w:r w:rsidRPr="00C33653">
        <w:rPr>
          <w:b/>
          <w:sz w:val="28"/>
          <w:szCs w:val="28"/>
        </w:rPr>
        <w:t xml:space="preserve">.- </w:t>
      </w:r>
      <w:r w:rsidR="007C0A4A">
        <w:rPr>
          <w:b/>
          <w:sz w:val="28"/>
          <w:szCs w:val="28"/>
        </w:rPr>
        <w:t xml:space="preserve">Gastos de </w:t>
      </w:r>
      <w:r w:rsidR="00403FCA">
        <w:rPr>
          <w:b/>
          <w:sz w:val="28"/>
          <w:szCs w:val="28"/>
        </w:rPr>
        <w:t>Personal</w:t>
      </w:r>
    </w:p>
    <w:p w:rsidR="00403FCA" w:rsidRDefault="00403FCA" w:rsidP="00403FCA">
      <w:pPr>
        <w:spacing w:line="480" w:lineRule="auto"/>
        <w:jc w:val="both"/>
      </w:pPr>
    </w:p>
    <w:p w:rsidR="00ED2C87" w:rsidRDefault="009D6B7E" w:rsidP="00115804">
      <w:pPr>
        <w:spacing w:line="480" w:lineRule="auto"/>
        <w:ind w:firstLine="540"/>
        <w:jc w:val="both"/>
      </w:pPr>
      <w:r>
        <w:t>Los gastos de</w:t>
      </w:r>
      <w:r w:rsidR="00403FCA" w:rsidRPr="00403FCA">
        <w:t xml:space="preserve"> personal están calculados para poder mantener la estructura organizativa de la empresa</w:t>
      </w:r>
      <w:r>
        <w:t xml:space="preserve">, se muestran tanto los gastos del personal en relación de dependencia </w:t>
      </w:r>
      <w:r w:rsidR="00035E39">
        <w:t>como los servicios tercerizados. Estos gastos son fijos e independientes del nivel de ingresos por ventas que tenga la empresa, dentro de los límites de la capacidad máxima de trabajo que pueda manejar el personal.</w:t>
      </w:r>
    </w:p>
    <w:p w:rsidR="009D6B7E" w:rsidRPr="00403FCA" w:rsidRDefault="009D6B7E" w:rsidP="00403FCA">
      <w:pPr>
        <w:spacing w:line="480" w:lineRule="auto"/>
        <w:jc w:val="both"/>
      </w:pPr>
    </w:p>
    <w:p w:rsidR="001B0F7D" w:rsidRPr="004D468B" w:rsidRDefault="001B0F7D" w:rsidP="001B0F7D">
      <w:pPr>
        <w:spacing w:line="480" w:lineRule="auto"/>
        <w:jc w:val="center"/>
        <w:rPr>
          <w:b/>
        </w:rPr>
      </w:pPr>
      <w:r>
        <w:rPr>
          <w:b/>
        </w:rPr>
        <w:t>Tabla N</w:t>
      </w:r>
      <w:r w:rsidRPr="004D468B">
        <w:rPr>
          <w:b/>
        </w:rPr>
        <w:t xml:space="preserve">o. </w:t>
      </w:r>
      <w:r>
        <w:rPr>
          <w:b/>
        </w:rPr>
        <w:t>3</w:t>
      </w:r>
    </w:p>
    <w:p w:rsidR="001B0F7D" w:rsidRPr="00371DB7" w:rsidRDefault="001B0F7D" w:rsidP="001B0F7D">
      <w:pPr>
        <w:spacing w:line="480" w:lineRule="auto"/>
        <w:jc w:val="center"/>
        <w:rPr>
          <w:b/>
          <w:i/>
        </w:rPr>
      </w:pPr>
      <w:r>
        <w:rPr>
          <w:b/>
          <w:i/>
        </w:rPr>
        <w:t xml:space="preserve">Gastos de </w:t>
      </w:r>
      <w:r w:rsidR="00403FCA">
        <w:rPr>
          <w:b/>
          <w:i/>
        </w:rPr>
        <w:t>Personal</w:t>
      </w:r>
    </w:p>
    <w:tbl>
      <w:tblPr>
        <w:tblW w:w="7864" w:type="dxa"/>
        <w:jc w:val="center"/>
        <w:tblInd w:w="47" w:type="dxa"/>
        <w:tblCellMar>
          <w:left w:w="70" w:type="dxa"/>
          <w:right w:w="70" w:type="dxa"/>
        </w:tblCellMar>
        <w:tblLook w:val="0000"/>
      </w:tblPr>
      <w:tblGrid>
        <w:gridCol w:w="288"/>
        <w:gridCol w:w="2746"/>
        <w:gridCol w:w="1080"/>
        <w:gridCol w:w="1080"/>
        <w:gridCol w:w="1031"/>
        <w:gridCol w:w="1309"/>
        <w:gridCol w:w="330"/>
      </w:tblGrid>
      <w:tr w:rsidR="001B0F7D">
        <w:trPr>
          <w:trHeight w:val="195"/>
          <w:jc w:val="center"/>
        </w:trPr>
        <w:tc>
          <w:tcPr>
            <w:tcW w:w="288" w:type="dxa"/>
            <w:tcBorders>
              <w:top w:val="double" w:sz="6" w:space="0" w:color="auto"/>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double" w:sz="6" w:space="0" w:color="auto"/>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80" w:type="dxa"/>
            <w:tcBorders>
              <w:top w:val="double" w:sz="6" w:space="0" w:color="auto"/>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80" w:type="dxa"/>
            <w:tcBorders>
              <w:top w:val="double" w:sz="6" w:space="0" w:color="auto"/>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31" w:type="dxa"/>
            <w:tcBorders>
              <w:top w:val="double" w:sz="6" w:space="0" w:color="auto"/>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309" w:type="dxa"/>
            <w:tcBorders>
              <w:top w:val="double" w:sz="6" w:space="0" w:color="auto"/>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330" w:type="dxa"/>
            <w:tcBorders>
              <w:top w:val="double" w:sz="6" w:space="0" w:color="auto"/>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4906" w:type="dxa"/>
            <w:gridSpan w:val="3"/>
            <w:tcBorders>
              <w:top w:val="nil"/>
              <w:left w:val="nil"/>
              <w:bottom w:val="nil"/>
              <w:right w:val="nil"/>
            </w:tcBorders>
            <w:shd w:val="clear" w:color="auto" w:fill="FFFFFF"/>
            <w:noWrap/>
            <w:vAlign w:val="bottom"/>
          </w:tcPr>
          <w:p w:rsidR="001B0F7D" w:rsidRDefault="001B0F7D">
            <w:pPr>
              <w:rPr>
                <w:rFonts w:ascii="Verdana" w:hAnsi="Verdana" w:cs="Arial"/>
                <w:b/>
                <w:bCs/>
                <w:sz w:val="14"/>
                <w:szCs w:val="14"/>
              </w:rPr>
            </w:pPr>
            <w:r>
              <w:rPr>
                <w:rFonts w:ascii="Verdana" w:hAnsi="Verdana" w:cs="Arial"/>
                <w:b/>
                <w:bCs/>
                <w:sz w:val="14"/>
                <w:szCs w:val="14"/>
              </w:rPr>
              <w:t>PERSONAL EN RELACIÓN DE DEPENDENCIA</w:t>
            </w:r>
          </w:p>
        </w:tc>
        <w:tc>
          <w:tcPr>
            <w:tcW w:w="1031"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309"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C0C0C0"/>
            <w:noWrap/>
            <w:vAlign w:val="bottom"/>
          </w:tcPr>
          <w:p w:rsidR="001B0F7D" w:rsidRDefault="001B0F7D">
            <w:pPr>
              <w:rPr>
                <w:rFonts w:ascii="Verdana" w:hAnsi="Verdana" w:cs="Arial"/>
                <w:b/>
                <w:bCs/>
                <w:sz w:val="14"/>
                <w:szCs w:val="14"/>
              </w:rPr>
            </w:pPr>
            <w:r>
              <w:rPr>
                <w:rFonts w:ascii="Verdana" w:hAnsi="Verdana" w:cs="Arial"/>
                <w:b/>
                <w:bCs/>
                <w:sz w:val="14"/>
                <w:szCs w:val="14"/>
              </w:rPr>
              <w:t>Descripción:</w:t>
            </w:r>
          </w:p>
        </w:tc>
        <w:tc>
          <w:tcPr>
            <w:tcW w:w="1080"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Cantidad</w:t>
            </w:r>
          </w:p>
        </w:tc>
        <w:tc>
          <w:tcPr>
            <w:tcW w:w="1080"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Sueldo</w:t>
            </w:r>
          </w:p>
        </w:tc>
        <w:tc>
          <w:tcPr>
            <w:tcW w:w="1031"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Mes</w:t>
            </w:r>
          </w:p>
        </w:tc>
        <w:tc>
          <w:tcPr>
            <w:tcW w:w="1309"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Año</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Consultor</w:t>
            </w:r>
          </w:p>
        </w:tc>
        <w:tc>
          <w:tcPr>
            <w:tcW w:w="1080" w:type="dxa"/>
            <w:tcBorders>
              <w:top w:val="nil"/>
              <w:left w:val="nil"/>
              <w:bottom w:val="nil"/>
              <w:right w:val="nil"/>
            </w:tcBorders>
            <w:shd w:val="clear" w:color="auto" w:fill="FFFFFF"/>
            <w:noWrap/>
            <w:vAlign w:val="bottom"/>
          </w:tcPr>
          <w:p w:rsidR="001B0F7D" w:rsidRDefault="001B0F7D">
            <w:pPr>
              <w:jc w:val="center"/>
              <w:rPr>
                <w:rFonts w:ascii="Verdana" w:hAnsi="Verdana" w:cs="Arial"/>
                <w:sz w:val="14"/>
                <w:szCs w:val="14"/>
              </w:rPr>
            </w:pPr>
            <w:r>
              <w:rPr>
                <w:rFonts w:ascii="Verdana" w:hAnsi="Verdana" w:cs="Arial"/>
                <w:sz w:val="14"/>
                <w:szCs w:val="14"/>
              </w:rPr>
              <w:t>1</w:t>
            </w:r>
          </w:p>
        </w:tc>
        <w:tc>
          <w:tcPr>
            <w:tcW w:w="1080"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$ 1.000,00</w:t>
            </w:r>
          </w:p>
        </w:tc>
        <w:tc>
          <w:tcPr>
            <w:tcW w:w="1031"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$ 1.000,00</w:t>
            </w:r>
          </w:p>
        </w:tc>
        <w:tc>
          <w:tcPr>
            <w:tcW w:w="1309"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$ 12.000,00</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Diseñador Gráfico</w:t>
            </w:r>
          </w:p>
        </w:tc>
        <w:tc>
          <w:tcPr>
            <w:tcW w:w="1080" w:type="dxa"/>
            <w:tcBorders>
              <w:top w:val="nil"/>
              <w:left w:val="nil"/>
              <w:bottom w:val="nil"/>
              <w:right w:val="nil"/>
            </w:tcBorders>
            <w:shd w:val="clear" w:color="auto" w:fill="FFFFFF"/>
            <w:noWrap/>
            <w:vAlign w:val="bottom"/>
          </w:tcPr>
          <w:p w:rsidR="001B0F7D" w:rsidRDefault="001B0F7D">
            <w:pPr>
              <w:jc w:val="center"/>
              <w:rPr>
                <w:rFonts w:ascii="Verdana" w:hAnsi="Verdana" w:cs="Arial"/>
                <w:sz w:val="14"/>
                <w:szCs w:val="14"/>
              </w:rPr>
            </w:pPr>
            <w:r>
              <w:rPr>
                <w:rFonts w:ascii="Verdana" w:hAnsi="Verdana" w:cs="Arial"/>
                <w:sz w:val="14"/>
                <w:szCs w:val="14"/>
              </w:rPr>
              <w:t>1</w:t>
            </w:r>
          </w:p>
        </w:tc>
        <w:tc>
          <w:tcPr>
            <w:tcW w:w="1080"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$ 700,00</w:t>
            </w:r>
          </w:p>
        </w:tc>
        <w:tc>
          <w:tcPr>
            <w:tcW w:w="1031"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$ 700,00</w:t>
            </w:r>
          </w:p>
        </w:tc>
        <w:tc>
          <w:tcPr>
            <w:tcW w:w="1309"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$ 8.400,00</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Asistente Administrativa</w:t>
            </w:r>
          </w:p>
        </w:tc>
        <w:tc>
          <w:tcPr>
            <w:tcW w:w="1080" w:type="dxa"/>
            <w:tcBorders>
              <w:top w:val="nil"/>
              <w:left w:val="nil"/>
              <w:bottom w:val="nil"/>
              <w:right w:val="nil"/>
            </w:tcBorders>
            <w:shd w:val="clear" w:color="auto" w:fill="FFFFFF"/>
            <w:noWrap/>
            <w:vAlign w:val="bottom"/>
          </w:tcPr>
          <w:p w:rsidR="001B0F7D" w:rsidRDefault="001B0F7D">
            <w:pPr>
              <w:jc w:val="center"/>
              <w:rPr>
                <w:rFonts w:ascii="Verdana" w:hAnsi="Verdana" w:cs="Arial"/>
                <w:sz w:val="14"/>
                <w:szCs w:val="14"/>
              </w:rPr>
            </w:pPr>
            <w:r>
              <w:rPr>
                <w:rFonts w:ascii="Verdana" w:hAnsi="Verdana" w:cs="Arial"/>
                <w:sz w:val="14"/>
                <w:szCs w:val="14"/>
              </w:rPr>
              <w:t>1</w:t>
            </w:r>
          </w:p>
        </w:tc>
        <w:tc>
          <w:tcPr>
            <w:tcW w:w="1080"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$ 300,00</w:t>
            </w:r>
          </w:p>
        </w:tc>
        <w:tc>
          <w:tcPr>
            <w:tcW w:w="1031"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$ 300,00</w:t>
            </w:r>
          </w:p>
        </w:tc>
        <w:tc>
          <w:tcPr>
            <w:tcW w:w="1309"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$ 3.600,00</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C0C0C0"/>
            <w:noWrap/>
            <w:vAlign w:val="bottom"/>
          </w:tcPr>
          <w:p w:rsidR="001B0F7D" w:rsidRDefault="001B0F7D">
            <w:pPr>
              <w:rPr>
                <w:rFonts w:ascii="Verdana" w:hAnsi="Verdana" w:cs="Arial"/>
                <w:b/>
                <w:bCs/>
                <w:sz w:val="14"/>
                <w:szCs w:val="14"/>
              </w:rPr>
            </w:pPr>
            <w:r>
              <w:rPr>
                <w:rFonts w:ascii="Verdana" w:hAnsi="Verdana" w:cs="Arial"/>
                <w:b/>
                <w:bCs/>
                <w:sz w:val="14"/>
                <w:szCs w:val="14"/>
              </w:rPr>
              <w:t>TOTAL</w:t>
            </w:r>
          </w:p>
        </w:tc>
        <w:tc>
          <w:tcPr>
            <w:tcW w:w="1080"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3</w:t>
            </w:r>
          </w:p>
        </w:tc>
        <w:tc>
          <w:tcPr>
            <w:tcW w:w="1080" w:type="dxa"/>
            <w:tcBorders>
              <w:top w:val="nil"/>
              <w:left w:val="nil"/>
              <w:bottom w:val="nil"/>
              <w:right w:val="nil"/>
            </w:tcBorders>
            <w:shd w:val="clear" w:color="auto" w:fill="C0C0C0"/>
            <w:noWrap/>
            <w:vAlign w:val="bottom"/>
          </w:tcPr>
          <w:p w:rsidR="001B0F7D" w:rsidRDefault="001B0F7D">
            <w:pPr>
              <w:jc w:val="right"/>
              <w:rPr>
                <w:rFonts w:ascii="Verdana" w:hAnsi="Verdana" w:cs="Arial"/>
                <w:b/>
                <w:bCs/>
                <w:sz w:val="14"/>
                <w:szCs w:val="14"/>
              </w:rPr>
            </w:pPr>
            <w:r>
              <w:rPr>
                <w:rFonts w:ascii="Verdana" w:hAnsi="Verdana" w:cs="Arial"/>
                <w:b/>
                <w:bCs/>
                <w:sz w:val="14"/>
                <w:szCs w:val="14"/>
              </w:rPr>
              <w:t>$ 2.000,00</w:t>
            </w:r>
          </w:p>
        </w:tc>
        <w:tc>
          <w:tcPr>
            <w:tcW w:w="1031" w:type="dxa"/>
            <w:tcBorders>
              <w:top w:val="nil"/>
              <w:left w:val="nil"/>
              <w:bottom w:val="nil"/>
              <w:right w:val="nil"/>
            </w:tcBorders>
            <w:shd w:val="clear" w:color="auto" w:fill="C0C0C0"/>
            <w:noWrap/>
            <w:vAlign w:val="bottom"/>
          </w:tcPr>
          <w:p w:rsidR="001B0F7D" w:rsidRDefault="001B0F7D">
            <w:pPr>
              <w:jc w:val="right"/>
              <w:rPr>
                <w:rFonts w:ascii="Verdana" w:hAnsi="Verdana" w:cs="Arial"/>
                <w:b/>
                <w:bCs/>
                <w:sz w:val="14"/>
                <w:szCs w:val="14"/>
              </w:rPr>
            </w:pPr>
            <w:r>
              <w:rPr>
                <w:rFonts w:ascii="Verdana" w:hAnsi="Verdana" w:cs="Arial"/>
                <w:b/>
                <w:bCs/>
                <w:sz w:val="14"/>
                <w:szCs w:val="14"/>
              </w:rPr>
              <w:t>$ 2.000,00</w:t>
            </w:r>
          </w:p>
        </w:tc>
        <w:tc>
          <w:tcPr>
            <w:tcW w:w="1309" w:type="dxa"/>
            <w:tcBorders>
              <w:top w:val="nil"/>
              <w:left w:val="nil"/>
              <w:bottom w:val="nil"/>
              <w:right w:val="nil"/>
            </w:tcBorders>
            <w:shd w:val="clear" w:color="auto" w:fill="C0C0C0"/>
            <w:noWrap/>
            <w:vAlign w:val="bottom"/>
          </w:tcPr>
          <w:p w:rsidR="001B0F7D" w:rsidRDefault="001B0F7D">
            <w:pPr>
              <w:jc w:val="right"/>
              <w:rPr>
                <w:rFonts w:ascii="Verdana" w:hAnsi="Verdana" w:cs="Arial"/>
                <w:b/>
                <w:bCs/>
                <w:sz w:val="14"/>
                <w:szCs w:val="14"/>
              </w:rPr>
            </w:pPr>
            <w:r>
              <w:rPr>
                <w:rFonts w:ascii="Verdana" w:hAnsi="Verdana" w:cs="Arial"/>
                <w:b/>
                <w:bCs/>
                <w:sz w:val="14"/>
                <w:szCs w:val="14"/>
              </w:rPr>
              <w:t>$ 24.000,00</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80"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80"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31"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309"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80"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80"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31"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309"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3826" w:type="dxa"/>
            <w:gridSpan w:val="2"/>
            <w:tcBorders>
              <w:top w:val="nil"/>
              <w:left w:val="nil"/>
              <w:bottom w:val="nil"/>
              <w:right w:val="nil"/>
            </w:tcBorders>
            <w:shd w:val="clear" w:color="auto" w:fill="FFFFFF"/>
            <w:noWrap/>
            <w:vAlign w:val="bottom"/>
          </w:tcPr>
          <w:p w:rsidR="001B0F7D" w:rsidRDefault="001B0F7D">
            <w:pPr>
              <w:rPr>
                <w:rFonts w:ascii="Verdana" w:hAnsi="Verdana" w:cs="Arial"/>
                <w:b/>
                <w:bCs/>
                <w:sz w:val="14"/>
                <w:szCs w:val="14"/>
              </w:rPr>
            </w:pPr>
            <w:r>
              <w:rPr>
                <w:rFonts w:ascii="Verdana" w:hAnsi="Verdana" w:cs="Arial"/>
                <w:b/>
                <w:bCs/>
                <w:sz w:val="14"/>
                <w:szCs w:val="14"/>
              </w:rPr>
              <w:t>SERVICIOS TERCERIZADOS</w:t>
            </w:r>
          </w:p>
        </w:tc>
        <w:tc>
          <w:tcPr>
            <w:tcW w:w="1080"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31"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309"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C0C0C0"/>
            <w:noWrap/>
            <w:vAlign w:val="bottom"/>
          </w:tcPr>
          <w:p w:rsidR="001B0F7D" w:rsidRDefault="001B0F7D">
            <w:pPr>
              <w:rPr>
                <w:rFonts w:ascii="Verdana" w:hAnsi="Verdana" w:cs="Arial"/>
                <w:b/>
                <w:bCs/>
                <w:sz w:val="14"/>
                <w:szCs w:val="14"/>
              </w:rPr>
            </w:pPr>
            <w:r>
              <w:rPr>
                <w:rFonts w:ascii="Verdana" w:hAnsi="Verdana" w:cs="Arial"/>
                <w:b/>
                <w:bCs/>
                <w:sz w:val="14"/>
                <w:szCs w:val="14"/>
              </w:rPr>
              <w:t>Descripción:</w:t>
            </w:r>
          </w:p>
        </w:tc>
        <w:tc>
          <w:tcPr>
            <w:tcW w:w="1080"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Cantidad</w:t>
            </w:r>
          </w:p>
        </w:tc>
        <w:tc>
          <w:tcPr>
            <w:tcW w:w="1080"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Sueldo</w:t>
            </w:r>
          </w:p>
        </w:tc>
        <w:tc>
          <w:tcPr>
            <w:tcW w:w="1031"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Mes</w:t>
            </w:r>
          </w:p>
        </w:tc>
        <w:tc>
          <w:tcPr>
            <w:tcW w:w="1309"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Año</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Contabilidad y Tributación</w:t>
            </w:r>
          </w:p>
        </w:tc>
        <w:tc>
          <w:tcPr>
            <w:tcW w:w="1080" w:type="dxa"/>
            <w:tcBorders>
              <w:top w:val="nil"/>
              <w:left w:val="nil"/>
              <w:bottom w:val="nil"/>
              <w:right w:val="nil"/>
            </w:tcBorders>
            <w:shd w:val="clear" w:color="auto" w:fill="FFFFFF"/>
            <w:noWrap/>
            <w:vAlign w:val="bottom"/>
          </w:tcPr>
          <w:p w:rsidR="001B0F7D" w:rsidRDefault="001B0F7D">
            <w:pPr>
              <w:jc w:val="center"/>
              <w:rPr>
                <w:rFonts w:ascii="Verdana" w:hAnsi="Verdana" w:cs="Arial"/>
                <w:sz w:val="14"/>
                <w:szCs w:val="14"/>
              </w:rPr>
            </w:pPr>
            <w:r>
              <w:rPr>
                <w:rFonts w:ascii="Verdana" w:hAnsi="Verdana" w:cs="Arial"/>
                <w:sz w:val="14"/>
                <w:szCs w:val="14"/>
              </w:rPr>
              <w:t>1</w:t>
            </w:r>
          </w:p>
        </w:tc>
        <w:tc>
          <w:tcPr>
            <w:tcW w:w="1080"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$ 300,00</w:t>
            </w:r>
          </w:p>
        </w:tc>
        <w:tc>
          <w:tcPr>
            <w:tcW w:w="1031"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$ 300,00</w:t>
            </w:r>
          </w:p>
        </w:tc>
        <w:tc>
          <w:tcPr>
            <w:tcW w:w="1309"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$ 3.600,00</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Mantenimiento y Limpieza</w:t>
            </w:r>
          </w:p>
        </w:tc>
        <w:tc>
          <w:tcPr>
            <w:tcW w:w="1080" w:type="dxa"/>
            <w:tcBorders>
              <w:top w:val="nil"/>
              <w:left w:val="nil"/>
              <w:bottom w:val="nil"/>
              <w:right w:val="nil"/>
            </w:tcBorders>
            <w:shd w:val="clear" w:color="auto" w:fill="FFFFFF"/>
            <w:noWrap/>
            <w:vAlign w:val="bottom"/>
          </w:tcPr>
          <w:p w:rsidR="001B0F7D" w:rsidRDefault="001B0F7D">
            <w:pPr>
              <w:jc w:val="center"/>
              <w:rPr>
                <w:rFonts w:ascii="Verdana" w:hAnsi="Verdana" w:cs="Arial"/>
                <w:sz w:val="14"/>
                <w:szCs w:val="14"/>
              </w:rPr>
            </w:pPr>
            <w:r>
              <w:rPr>
                <w:rFonts w:ascii="Verdana" w:hAnsi="Verdana" w:cs="Arial"/>
                <w:sz w:val="14"/>
                <w:szCs w:val="14"/>
              </w:rPr>
              <w:t>1</w:t>
            </w:r>
          </w:p>
        </w:tc>
        <w:tc>
          <w:tcPr>
            <w:tcW w:w="1080"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$ 200,00</w:t>
            </w:r>
          </w:p>
        </w:tc>
        <w:tc>
          <w:tcPr>
            <w:tcW w:w="1031"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$ 200,00</w:t>
            </w:r>
          </w:p>
        </w:tc>
        <w:tc>
          <w:tcPr>
            <w:tcW w:w="1309"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$ 2.400,00</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C0C0C0"/>
            <w:noWrap/>
            <w:vAlign w:val="bottom"/>
          </w:tcPr>
          <w:p w:rsidR="001B0F7D" w:rsidRDefault="001B0F7D">
            <w:pPr>
              <w:rPr>
                <w:rFonts w:ascii="Verdana" w:hAnsi="Verdana" w:cs="Arial"/>
                <w:b/>
                <w:bCs/>
                <w:sz w:val="14"/>
                <w:szCs w:val="14"/>
              </w:rPr>
            </w:pPr>
            <w:r>
              <w:rPr>
                <w:rFonts w:ascii="Verdana" w:hAnsi="Verdana" w:cs="Arial"/>
                <w:b/>
                <w:bCs/>
                <w:sz w:val="14"/>
                <w:szCs w:val="14"/>
              </w:rPr>
              <w:t>TOTAL</w:t>
            </w:r>
          </w:p>
        </w:tc>
        <w:tc>
          <w:tcPr>
            <w:tcW w:w="1080"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2</w:t>
            </w:r>
          </w:p>
        </w:tc>
        <w:tc>
          <w:tcPr>
            <w:tcW w:w="1080" w:type="dxa"/>
            <w:tcBorders>
              <w:top w:val="nil"/>
              <w:left w:val="nil"/>
              <w:bottom w:val="nil"/>
              <w:right w:val="nil"/>
            </w:tcBorders>
            <w:shd w:val="clear" w:color="auto" w:fill="C0C0C0"/>
            <w:noWrap/>
            <w:vAlign w:val="bottom"/>
          </w:tcPr>
          <w:p w:rsidR="001B0F7D" w:rsidRDefault="001B0F7D">
            <w:pPr>
              <w:jc w:val="right"/>
              <w:rPr>
                <w:rFonts w:ascii="Verdana" w:hAnsi="Verdana" w:cs="Arial"/>
                <w:b/>
                <w:bCs/>
                <w:sz w:val="14"/>
                <w:szCs w:val="14"/>
              </w:rPr>
            </w:pPr>
            <w:r>
              <w:rPr>
                <w:rFonts w:ascii="Verdana" w:hAnsi="Verdana" w:cs="Arial"/>
                <w:b/>
                <w:bCs/>
                <w:sz w:val="14"/>
                <w:szCs w:val="14"/>
              </w:rPr>
              <w:t>$ 500,00</w:t>
            </w:r>
          </w:p>
        </w:tc>
        <w:tc>
          <w:tcPr>
            <w:tcW w:w="1031" w:type="dxa"/>
            <w:tcBorders>
              <w:top w:val="nil"/>
              <w:left w:val="nil"/>
              <w:bottom w:val="nil"/>
              <w:right w:val="nil"/>
            </w:tcBorders>
            <w:shd w:val="clear" w:color="auto" w:fill="C0C0C0"/>
            <w:noWrap/>
            <w:vAlign w:val="bottom"/>
          </w:tcPr>
          <w:p w:rsidR="001B0F7D" w:rsidRDefault="001B0F7D">
            <w:pPr>
              <w:jc w:val="right"/>
              <w:rPr>
                <w:rFonts w:ascii="Verdana" w:hAnsi="Verdana" w:cs="Arial"/>
                <w:b/>
                <w:bCs/>
                <w:sz w:val="14"/>
                <w:szCs w:val="14"/>
              </w:rPr>
            </w:pPr>
            <w:r>
              <w:rPr>
                <w:rFonts w:ascii="Verdana" w:hAnsi="Verdana" w:cs="Arial"/>
                <w:b/>
                <w:bCs/>
                <w:sz w:val="14"/>
                <w:szCs w:val="14"/>
              </w:rPr>
              <w:t>$ 500,00</w:t>
            </w:r>
          </w:p>
        </w:tc>
        <w:tc>
          <w:tcPr>
            <w:tcW w:w="1309" w:type="dxa"/>
            <w:tcBorders>
              <w:top w:val="nil"/>
              <w:left w:val="nil"/>
              <w:bottom w:val="nil"/>
              <w:right w:val="nil"/>
            </w:tcBorders>
            <w:shd w:val="clear" w:color="auto" w:fill="C0C0C0"/>
            <w:noWrap/>
            <w:vAlign w:val="bottom"/>
          </w:tcPr>
          <w:p w:rsidR="001B0F7D" w:rsidRDefault="001B0F7D">
            <w:pPr>
              <w:jc w:val="right"/>
              <w:rPr>
                <w:rFonts w:ascii="Verdana" w:hAnsi="Verdana" w:cs="Arial"/>
                <w:b/>
                <w:bCs/>
                <w:sz w:val="14"/>
                <w:szCs w:val="14"/>
              </w:rPr>
            </w:pPr>
            <w:r>
              <w:rPr>
                <w:rFonts w:ascii="Verdana" w:hAnsi="Verdana" w:cs="Arial"/>
                <w:b/>
                <w:bCs/>
                <w:sz w:val="14"/>
                <w:szCs w:val="14"/>
              </w:rPr>
              <w:t>$ 6.000,00</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80"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80"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31"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309"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80"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80"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31"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309"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3826" w:type="dxa"/>
            <w:gridSpan w:val="2"/>
            <w:tcBorders>
              <w:top w:val="nil"/>
              <w:left w:val="nil"/>
              <w:bottom w:val="nil"/>
              <w:right w:val="nil"/>
            </w:tcBorders>
            <w:shd w:val="clear" w:color="auto" w:fill="FFFFFF"/>
            <w:noWrap/>
            <w:vAlign w:val="bottom"/>
          </w:tcPr>
          <w:p w:rsidR="001B0F7D" w:rsidRDefault="001B0F7D">
            <w:pPr>
              <w:rPr>
                <w:rFonts w:ascii="Verdana" w:hAnsi="Verdana" w:cs="Arial"/>
                <w:b/>
                <w:bCs/>
                <w:sz w:val="14"/>
                <w:szCs w:val="14"/>
              </w:rPr>
            </w:pPr>
            <w:r>
              <w:rPr>
                <w:rFonts w:ascii="Verdana" w:hAnsi="Verdana" w:cs="Arial"/>
                <w:b/>
                <w:bCs/>
                <w:sz w:val="14"/>
                <w:szCs w:val="14"/>
              </w:rPr>
              <w:t>TOTAL DE LA EMPRESA</w:t>
            </w:r>
          </w:p>
        </w:tc>
        <w:tc>
          <w:tcPr>
            <w:tcW w:w="1080"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31"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309"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C0C0C0"/>
            <w:noWrap/>
            <w:vAlign w:val="bottom"/>
          </w:tcPr>
          <w:p w:rsidR="001B0F7D" w:rsidRDefault="001B0F7D">
            <w:pPr>
              <w:rPr>
                <w:rFonts w:ascii="Verdana" w:hAnsi="Verdana" w:cs="Arial"/>
                <w:b/>
                <w:bCs/>
                <w:sz w:val="14"/>
                <w:szCs w:val="14"/>
              </w:rPr>
            </w:pPr>
            <w:r>
              <w:rPr>
                <w:rFonts w:ascii="Verdana" w:hAnsi="Verdana" w:cs="Arial"/>
                <w:b/>
                <w:bCs/>
                <w:sz w:val="14"/>
                <w:szCs w:val="14"/>
              </w:rPr>
              <w:t>Descripción:</w:t>
            </w:r>
          </w:p>
        </w:tc>
        <w:tc>
          <w:tcPr>
            <w:tcW w:w="1080"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Cantidad</w:t>
            </w:r>
          </w:p>
        </w:tc>
        <w:tc>
          <w:tcPr>
            <w:tcW w:w="1080"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Sueldo</w:t>
            </w:r>
          </w:p>
        </w:tc>
        <w:tc>
          <w:tcPr>
            <w:tcW w:w="1031"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Mes</w:t>
            </w:r>
          </w:p>
        </w:tc>
        <w:tc>
          <w:tcPr>
            <w:tcW w:w="1309"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Año</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Relación de Dependencia</w:t>
            </w:r>
          </w:p>
        </w:tc>
        <w:tc>
          <w:tcPr>
            <w:tcW w:w="1080" w:type="dxa"/>
            <w:tcBorders>
              <w:top w:val="nil"/>
              <w:left w:val="nil"/>
              <w:bottom w:val="nil"/>
              <w:right w:val="nil"/>
            </w:tcBorders>
            <w:shd w:val="clear" w:color="auto" w:fill="FFFFFF"/>
            <w:noWrap/>
            <w:vAlign w:val="bottom"/>
          </w:tcPr>
          <w:p w:rsidR="001B0F7D" w:rsidRDefault="001B0F7D">
            <w:pPr>
              <w:jc w:val="center"/>
              <w:rPr>
                <w:rFonts w:ascii="Verdana" w:hAnsi="Verdana" w:cs="Arial"/>
                <w:sz w:val="14"/>
                <w:szCs w:val="14"/>
              </w:rPr>
            </w:pPr>
            <w:r>
              <w:rPr>
                <w:rFonts w:ascii="Verdana" w:hAnsi="Verdana" w:cs="Arial"/>
                <w:sz w:val="14"/>
                <w:szCs w:val="14"/>
              </w:rPr>
              <w:t>3</w:t>
            </w:r>
          </w:p>
        </w:tc>
        <w:tc>
          <w:tcPr>
            <w:tcW w:w="1080"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$ 2.000,00</w:t>
            </w:r>
          </w:p>
        </w:tc>
        <w:tc>
          <w:tcPr>
            <w:tcW w:w="1031"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$ 2.000,00</w:t>
            </w:r>
          </w:p>
        </w:tc>
        <w:tc>
          <w:tcPr>
            <w:tcW w:w="1309"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$ 24.000,00</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Servicios Tercerizados</w:t>
            </w:r>
          </w:p>
        </w:tc>
        <w:tc>
          <w:tcPr>
            <w:tcW w:w="1080" w:type="dxa"/>
            <w:tcBorders>
              <w:top w:val="nil"/>
              <w:left w:val="nil"/>
              <w:bottom w:val="nil"/>
              <w:right w:val="nil"/>
            </w:tcBorders>
            <w:shd w:val="clear" w:color="auto" w:fill="FFFFFF"/>
            <w:noWrap/>
            <w:vAlign w:val="bottom"/>
          </w:tcPr>
          <w:p w:rsidR="001B0F7D" w:rsidRDefault="001B0F7D">
            <w:pPr>
              <w:jc w:val="center"/>
              <w:rPr>
                <w:rFonts w:ascii="Verdana" w:hAnsi="Verdana" w:cs="Arial"/>
                <w:sz w:val="14"/>
                <w:szCs w:val="14"/>
              </w:rPr>
            </w:pPr>
            <w:r>
              <w:rPr>
                <w:rFonts w:ascii="Verdana" w:hAnsi="Verdana" w:cs="Arial"/>
                <w:sz w:val="14"/>
                <w:szCs w:val="14"/>
              </w:rPr>
              <w:t>2</w:t>
            </w:r>
          </w:p>
        </w:tc>
        <w:tc>
          <w:tcPr>
            <w:tcW w:w="1080"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$ 500,00</w:t>
            </w:r>
          </w:p>
        </w:tc>
        <w:tc>
          <w:tcPr>
            <w:tcW w:w="1031"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$ 500,00</w:t>
            </w:r>
          </w:p>
        </w:tc>
        <w:tc>
          <w:tcPr>
            <w:tcW w:w="1309" w:type="dxa"/>
            <w:tcBorders>
              <w:top w:val="nil"/>
              <w:left w:val="nil"/>
              <w:bottom w:val="nil"/>
              <w:right w:val="nil"/>
            </w:tcBorders>
            <w:shd w:val="clear" w:color="auto" w:fill="FFFFFF"/>
            <w:noWrap/>
            <w:vAlign w:val="bottom"/>
          </w:tcPr>
          <w:p w:rsidR="001B0F7D" w:rsidRDefault="001B0F7D">
            <w:pPr>
              <w:jc w:val="right"/>
              <w:rPr>
                <w:rFonts w:ascii="Verdana" w:hAnsi="Verdana" w:cs="Arial"/>
                <w:sz w:val="14"/>
                <w:szCs w:val="14"/>
              </w:rPr>
            </w:pPr>
            <w:r>
              <w:rPr>
                <w:rFonts w:ascii="Verdana" w:hAnsi="Verdana" w:cs="Arial"/>
                <w:sz w:val="14"/>
                <w:szCs w:val="14"/>
              </w:rPr>
              <w:t>$ 6.000,00</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80"/>
          <w:jc w:val="center"/>
        </w:trPr>
        <w:tc>
          <w:tcPr>
            <w:tcW w:w="288" w:type="dxa"/>
            <w:tcBorders>
              <w:top w:val="nil"/>
              <w:left w:val="double" w:sz="6" w:space="0" w:color="auto"/>
              <w:bottom w:val="nil"/>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nil"/>
              <w:right w:val="nil"/>
            </w:tcBorders>
            <w:shd w:val="clear" w:color="auto" w:fill="C0C0C0"/>
            <w:noWrap/>
            <w:vAlign w:val="bottom"/>
          </w:tcPr>
          <w:p w:rsidR="001B0F7D" w:rsidRDefault="001B0F7D">
            <w:pPr>
              <w:rPr>
                <w:rFonts w:ascii="Verdana" w:hAnsi="Verdana" w:cs="Arial"/>
                <w:b/>
                <w:bCs/>
                <w:sz w:val="14"/>
                <w:szCs w:val="14"/>
              </w:rPr>
            </w:pPr>
            <w:r>
              <w:rPr>
                <w:rFonts w:ascii="Verdana" w:hAnsi="Verdana" w:cs="Arial"/>
                <w:b/>
                <w:bCs/>
                <w:sz w:val="14"/>
                <w:szCs w:val="14"/>
              </w:rPr>
              <w:t>TOTAL</w:t>
            </w:r>
          </w:p>
        </w:tc>
        <w:tc>
          <w:tcPr>
            <w:tcW w:w="1080" w:type="dxa"/>
            <w:tcBorders>
              <w:top w:val="nil"/>
              <w:left w:val="nil"/>
              <w:bottom w:val="nil"/>
              <w:right w:val="nil"/>
            </w:tcBorders>
            <w:shd w:val="clear" w:color="auto" w:fill="C0C0C0"/>
            <w:noWrap/>
            <w:vAlign w:val="bottom"/>
          </w:tcPr>
          <w:p w:rsidR="001B0F7D" w:rsidRDefault="001B0F7D">
            <w:pPr>
              <w:jc w:val="center"/>
              <w:rPr>
                <w:rFonts w:ascii="Verdana" w:hAnsi="Verdana" w:cs="Arial"/>
                <w:b/>
                <w:bCs/>
                <w:sz w:val="14"/>
                <w:szCs w:val="14"/>
              </w:rPr>
            </w:pPr>
            <w:r>
              <w:rPr>
                <w:rFonts w:ascii="Verdana" w:hAnsi="Verdana" w:cs="Arial"/>
                <w:b/>
                <w:bCs/>
                <w:sz w:val="14"/>
                <w:szCs w:val="14"/>
              </w:rPr>
              <w:t>5</w:t>
            </w:r>
          </w:p>
        </w:tc>
        <w:tc>
          <w:tcPr>
            <w:tcW w:w="1080" w:type="dxa"/>
            <w:tcBorders>
              <w:top w:val="nil"/>
              <w:left w:val="nil"/>
              <w:bottom w:val="nil"/>
              <w:right w:val="nil"/>
            </w:tcBorders>
            <w:shd w:val="clear" w:color="auto" w:fill="C0C0C0"/>
            <w:noWrap/>
            <w:vAlign w:val="bottom"/>
          </w:tcPr>
          <w:p w:rsidR="001B0F7D" w:rsidRDefault="001B0F7D">
            <w:pPr>
              <w:jc w:val="right"/>
              <w:rPr>
                <w:rFonts w:ascii="Verdana" w:hAnsi="Verdana" w:cs="Arial"/>
                <w:b/>
                <w:bCs/>
                <w:sz w:val="14"/>
                <w:szCs w:val="14"/>
              </w:rPr>
            </w:pPr>
            <w:r>
              <w:rPr>
                <w:rFonts w:ascii="Verdana" w:hAnsi="Verdana" w:cs="Arial"/>
                <w:b/>
                <w:bCs/>
                <w:sz w:val="14"/>
                <w:szCs w:val="14"/>
              </w:rPr>
              <w:t>$ 2.500,00</w:t>
            </w:r>
          </w:p>
        </w:tc>
        <w:tc>
          <w:tcPr>
            <w:tcW w:w="1031" w:type="dxa"/>
            <w:tcBorders>
              <w:top w:val="nil"/>
              <w:left w:val="nil"/>
              <w:bottom w:val="nil"/>
              <w:right w:val="nil"/>
            </w:tcBorders>
            <w:shd w:val="clear" w:color="auto" w:fill="C0C0C0"/>
            <w:noWrap/>
            <w:vAlign w:val="bottom"/>
          </w:tcPr>
          <w:p w:rsidR="001B0F7D" w:rsidRDefault="001B0F7D">
            <w:pPr>
              <w:jc w:val="right"/>
              <w:rPr>
                <w:rFonts w:ascii="Verdana" w:hAnsi="Verdana" w:cs="Arial"/>
                <w:b/>
                <w:bCs/>
                <w:sz w:val="14"/>
                <w:szCs w:val="14"/>
              </w:rPr>
            </w:pPr>
            <w:r>
              <w:rPr>
                <w:rFonts w:ascii="Verdana" w:hAnsi="Verdana" w:cs="Arial"/>
                <w:b/>
                <w:bCs/>
                <w:sz w:val="14"/>
                <w:szCs w:val="14"/>
              </w:rPr>
              <w:t>$ 2.500,00</w:t>
            </w:r>
          </w:p>
        </w:tc>
        <w:tc>
          <w:tcPr>
            <w:tcW w:w="1309" w:type="dxa"/>
            <w:tcBorders>
              <w:top w:val="nil"/>
              <w:left w:val="nil"/>
              <w:bottom w:val="nil"/>
              <w:right w:val="nil"/>
            </w:tcBorders>
            <w:shd w:val="clear" w:color="auto" w:fill="C0C0C0"/>
            <w:noWrap/>
            <w:vAlign w:val="bottom"/>
          </w:tcPr>
          <w:p w:rsidR="001B0F7D" w:rsidRDefault="001B0F7D">
            <w:pPr>
              <w:jc w:val="right"/>
              <w:rPr>
                <w:rFonts w:ascii="Verdana" w:hAnsi="Verdana" w:cs="Arial"/>
                <w:b/>
                <w:bCs/>
                <w:sz w:val="14"/>
                <w:szCs w:val="14"/>
              </w:rPr>
            </w:pPr>
            <w:r>
              <w:rPr>
                <w:rFonts w:ascii="Verdana" w:hAnsi="Verdana" w:cs="Arial"/>
                <w:b/>
                <w:bCs/>
                <w:sz w:val="14"/>
                <w:szCs w:val="14"/>
              </w:rPr>
              <w:t>$ 30.000,00</w:t>
            </w:r>
          </w:p>
        </w:tc>
        <w:tc>
          <w:tcPr>
            <w:tcW w:w="330" w:type="dxa"/>
            <w:tcBorders>
              <w:top w:val="nil"/>
              <w:left w:val="nil"/>
              <w:bottom w:val="nil"/>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r w:rsidR="001B0F7D">
        <w:trPr>
          <w:trHeight w:val="195"/>
          <w:jc w:val="center"/>
        </w:trPr>
        <w:tc>
          <w:tcPr>
            <w:tcW w:w="288" w:type="dxa"/>
            <w:tcBorders>
              <w:top w:val="nil"/>
              <w:left w:val="double" w:sz="6" w:space="0" w:color="auto"/>
              <w:bottom w:val="double" w:sz="6" w:space="0" w:color="auto"/>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2746" w:type="dxa"/>
            <w:tcBorders>
              <w:top w:val="nil"/>
              <w:left w:val="nil"/>
              <w:bottom w:val="double" w:sz="6" w:space="0" w:color="auto"/>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80" w:type="dxa"/>
            <w:tcBorders>
              <w:top w:val="nil"/>
              <w:left w:val="nil"/>
              <w:bottom w:val="double" w:sz="6" w:space="0" w:color="auto"/>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80" w:type="dxa"/>
            <w:tcBorders>
              <w:top w:val="nil"/>
              <w:left w:val="nil"/>
              <w:bottom w:val="double" w:sz="6" w:space="0" w:color="auto"/>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031" w:type="dxa"/>
            <w:tcBorders>
              <w:top w:val="nil"/>
              <w:left w:val="nil"/>
              <w:bottom w:val="double" w:sz="6" w:space="0" w:color="auto"/>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1309" w:type="dxa"/>
            <w:tcBorders>
              <w:top w:val="nil"/>
              <w:left w:val="nil"/>
              <w:bottom w:val="double" w:sz="6" w:space="0" w:color="auto"/>
              <w:right w:val="nil"/>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c>
          <w:tcPr>
            <w:tcW w:w="330" w:type="dxa"/>
            <w:tcBorders>
              <w:top w:val="nil"/>
              <w:left w:val="nil"/>
              <w:bottom w:val="double" w:sz="6" w:space="0" w:color="auto"/>
              <w:right w:val="double" w:sz="6" w:space="0" w:color="auto"/>
            </w:tcBorders>
            <w:shd w:val="clear" w:color="auto" w:fill="FFFFFF"/>
            <w:noWrap/>
            <w:vAlign w:val="bottom"/>
          </w:tcPr>
          <w:p w:rsidR="001B0F7D" w:rsidRDefault="001B0F7D">
            <w:pPr>
              <w:rPr>
                <w:rFonts w:ascii="Verdana" w:hAnsi="Verdana" w:cs="Arial"/>
                <w:sz w:val="14"/>
                <w:szCs w:val="14"/>
              </w:rPr>
            </w:pPr>
            <w:r>
              <w:rPr>
                <w:rFonts w:ascii="Verdana" w:hAnsi="Verdana" w:cs="Arial"/>
                <w:sz w:val="14"/>
                <w:szCs w:val="14"/>
              </w:rPr>
              <w:t> </w:t>
            </w:r>
          </w:p>
        </w:tc>
      </w:tr>
    </w:tbl>
    <w:p w:rsidR="001B0F7D" w:rsidRPr="008D290B" w:rsidRDefault="001B0F7D" w:rsidP="001B0F7D">
      <w:pPr>
        <w:spacing w:line="480" w:lineRule="auto"/>
        <w:jc w:val="center"/>
        <w:rPr>
          <w:i/>
          <w:sz w:val="20"/>
          <w:szCs w:val="20"/>
        </w:rPr>
      </w:pPr>
      <w:r>
        <w:rPr>
          <w:b/>
          <w:i/>
          <w:sz w:val="20"/>
          <w:szCs w:val="20"/>
        </w:rPr>
        <w:t>Elaboración</w:t>
      </w:r>
      <w:r w:rsidRPr="008D290B">
        <w:rPr>
          <w:b/>
          <w:i/>
          <w:sz w:val="20"/>
          <w:szCs w:val="20"/>
        </w:rPr>
        <w:t>:</w:t>
      </w:r>
      <w:r w:rsidRPr="008D290B">
        <w:rPr>
          <w:i/>
          <w:sz w:val="20"/>
          <w:szCs w:val="20"/>
        </w:rPr>
        <w:t xml:space="preserve"> </w:t>
      </w:r>
      <w:r>
        <w:rPr>
          <w:i/>
          <w:sz w:val="20"/>
          <w:szCs w:val="20"/>
        </w:rPr>
        <w:t>Los Autores</w:t>
      </w:r>
    </w:p>
    <w:p w:rsidR="00403FCA" w:rsidRDefault="00403FCA" w:rsidP="002F5B85">
      <w:pPr>
        <w:spacing w:line="480" w:lineRule="auto"/>
        <w:rPr>
          <w:b/>
        </w:rPr>
      </w:pPr>
    </w:p>
    <w:p w:rsidR="00403FCA" w:rsidRDefault="00403FCA" w:rsidP="002F5B85">
      <w:pPr>
        <w:spacing w:line="480" w:lineRule="auto"/>
        <w:rPr>
          <w:b/>
        </w:rPr>
      </w:pPr>
    </w:p>
    <w:p w:rsidR="00035E39" w:rsidRDefault="00035E39" w:rsidP="002F5B85">
      <w:pPr>
        <w:spacing w:line="480" w:lineRule="auto"/>
        <w:rPr>
          <w:b/>
        </w:rPr>
      </w:pPr>
    </w:p>
    <w:p w:rsidR="00035E39" w:rsidRDefault="00035E39" w:rsidP="002F5B85">
      <w:pPr>
        <w:spacing w:line="480" w:lineRule="auto"/>
        <w:rPr>
          <w:b/>
        </w:rPr>
      </w:pPr>
    </w:p>
    <w:p w:rsidR="006A5E10" w:rsidRPr="00C33653" w:rsidRDefault="006A5E10" w:rsidP="006A5E10">
      <w:pPr>
        <w:spacing w:line="480" w:lineRule="auto"/>
        <w:rPr>
          <w:b/>
          <w:sz w:val="28"/>
          <w:szCs w:val="28"/>
        </w:rPr>
      </w:pPr>
      <w:r>
        <w:rPr>
          <w:b/>
          <w:sz w:val="28"/>
          <w:szCs w:val="28"/>
        </w:rPr>
        <w:t>5</w:t>
      </w:r>
      <w:r w:rsidRPr="00C33653">
        <w:rPr>
          <w:b/>
          <w:sz w:val="28"/>
          <w:szCs w:val="28"/>
        </w:rPr>
        <w:t>.</w:t>
      </w:r>
      <w:r>
        <w:rPr>
          <w:b/>
          <w:sz w:val="28"/>
          <w:szCs w:val="28"/>
        </w:rPr>
        <w:t>3</w:t>
      </w:r>
      <w:r w:rsidRPr="00C33653">
        <w:rPr>
          <w:b/>
          <w:sz w:val="28"/>
          <w:szCs w:val="28"/>
        </w:rPr>
        <w:t xml:space="preserve">.- </w:t>
      </w:r>
      <w:r w:rsidR="0030771A">
        <w:rPr>
          <w:b/>
          <w:sz w:val="28"/>
          <w:szCs w:val="28"/>
        </w:rPr>
        <w:t>Gastos Administrativos y de Ventas</w:t>
      </w:r>
    </w:p>
    <w:p w:rsidR="006A5E10" w:rsidRPr="009D6B7E" w:rsidRDefault="006A5E10" w:rsidP="002F5B85">
      <w:pPr>
        <w:spacing w:line="480" w:lineRule="auto"/>
      </w:pPr>
    </w:p>
    <w:p w:rsidR="0030771A" w:rsidRPr="009D6B7E" w:rsidRDefault="009D6B7E" w:rsidP="00115804">
      <w:pPr>
        <w:spacing w:line="480" w:lineRule="auto"/>
        <w:ind w:firstLine="540"/>
        <w:jc w:val="both"/>
      </w:pPr>
      <w:r w:rsidRPr="009D6B7E">
        <w:t xml:space="preserve">Los </w:t>
      </w:r>
      <w:r>
        <w:t xml:space="preserve">gastos administrativos </w:t>
      </w:r>
      <w:r w:rsidR="00035E39">
        <w:t>incluyen el alquiler de la oficina, los suministros de oficina y los servicios básicos; mientras que los gastos de ventas incluyen las comisiones por ventas para el personal en relación de dependencia y los gastos de representación.</w:t>
      </w:r>
    </w:p>
    <w:p w:rsidR="009D6B7E" w:rsidRPr="009D6B7E" w:rsidRDefault="009D6B7E" w:rsidP="002F5B85">
      <w:pPr>
        <w:spacing w:line="480" w:lineRule="auto"/>
      </w:pPr>
    </w:p>
    <w:p w:rsidR="0030771A" w:rsidRPr="004D468B" w:rsidRDefault="0030771A" w:rsidP="0030771A">
      <w:pPr>
        <w:spacing w:line="480" w:lineRule="auto"/>
        <w:jc w:val="center"/>
        <w:rPr>
          <w:b/>
        </w:rPr>
      </w:pPr>
      <w:r>
        <w:rPr>
          <w:b/>
        </w:rPr>
        <w:t>Tabla N</w:t>
      </w:r>
      <w:r w:rsidRPr="004D468B">
        <w:rPr>
          <w:b/>
        </w:rPr>
        <w:t xml:space="preserve">o. </w:t>
      </w:r>
      <w:r>
        <w:rPr>
          <w:b/>
        </w:rPr>
        <w:t>4</w:t>
      </w:r>
    </w:p>
    <w:p w:rsidR="0030771A" w:rsidRPr="00371DB7" w:rsidRDefault="0030771A" w:rsidP="0030771A">
      <w:pPr>
        <w:spacing w:line="480" w:lineRule="auto"/>
        <w:jc w:val="center"/>
        <w:rPr>
          <w:b/>
          <w:i/>
        </w:rPr>
      </w:pPr>
      <w:r>
        <w:rPr>
          <w:b/>
          <w:i/>
        </w:rPr>
        <w:t>Gastos Administrativos y de Ventas</w:t>
      </w:r>
    </w:p>
    <w:tbl>
      <w:tblPr>
        <w:tblW w:w="8394" w:type="dxa"/>
        <w:jc w:val="center"/>
        <w:tblInd w:w="47" w:type="dxa"/>
        <w:tblCellMar>
          <w:left w:w="70" w:type="dxa"/>
          <w:right w:w="70" w:type="dxa"/>
        </w:tblCellMar>
        <w:tblLook w:val="0000"/>
      </w:tblPr>
      <w:tblGrid>
        <w:gridCol w:w="188"/>
        <w:gridCol w:w="1802"/>
        <w:gridCol w:w="1036"/>
        <w:gridCol w:w="1036"/>
        <w:gridCol w:w="1036"/>
        <w:gridCol w:w="1036"/>
        <w:gridCol w:w="1036"/>
        <w:gridCol w:w="1036"/>
        <w:gridCol w:w="188"/>
      </w:tblGrid>
      <w:tr w:rsidR="0030771A">
        <w:trPr>
          <w:trHeight w:val="180"/>
          <w:jc w:val="center"/>
        </w:trPr>
        <w:tc>
          <w:tcPr>
            <w:tcW w:w="188" w:type="dxa"/>
            <w:tcBorders>
              <w:top w:val="double" w:sz="6" w:space="0" w:color="auto"/>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double" w:sz="6" w:space="0" w:color="auto"/>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double" w:sz="6" w:space="0" w:color="auto"/>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double" w:sz="6" w:space="0" w:color="auto"/>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double" w:sz="6" w:space="0" w:color="auto"/>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double" w:sz="6" w:space="0" w:color="auto"/>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double" w:sz="6" w:space="0" w:color="auto"/>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double" w:sz="6" w:space="0" w:color="auto"/>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8" w:type="dxa"/>
            <w:tcBorders>
              <w:top w:val="double" w:sz="6" w:space="0" w:color="auto"/>
              <w:left w:val="nil"/>
              <w:bottom w:val="nil"/>
              <w:right w:val="double" w:sz="6" w:space="0" w:color="auto"/>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3874" w:type="dxa"/>
            <w:gridSpan w:val="3"/>
            <w:tcBorders>
              <w:top w:val="nil"/>
              <w:left w:val="nil"/>
              <w:bottom w:val="nil"/>
              <w:right w:val="nil"/>
            </w:tcBorders>
            <w:shd w:val="clear" w:color="auto" w:fill="FFFFFF"/>
            <w:noWrap/>
            <w:vAlign w:val="bottom"/>
          </w:tcPr>
          <w:p w:rsidR="0030771A" w:rsidRDefault="0030771A">
            <w:pPr>
              <w:rPr>
                <w:rFonts w:ascii="Verdana" w:hAnsi="Verdana" w:cs="Arial"/>
                <w:b/>
                <w:bCs/>
                <w:sz w:val="12"/>
                <w:szCs w:val="12"/>
              </w:rPr>
            </w:pPr>
            <w:r>
              <w:rPr>
                <w:rFonts w:ascii="Verdana" w:hAnsi="Verdana" w:cs="Arial"/>
                <w:b/>
                <w:bCs/>
                <w:sz w:val="12"/>
                <w:szCs w:val="12"/>
              </w:rPr>
              <w:t>GASTOS ADMINISTRATIVOS (DÓLARES)</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8" w:type="dxa"/>
            <w:tcBorders>
              <w:top w:val="nil"/>
              <w:left w:val="nil"/>
              <w:bottom w:val="nil"/>
              <w:right w:val="double" w:sz="6" w:space="0" w:color="auto"/>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C0C0C0"/>
            <w:noWrap/>
            <w:vAlign w:val="bottom"/>
          </w:tcPr>
          <w:p w:rsidR="0030771A" w:rsidRDefault="0030771A">
            <w:pPr>
              <w:rPr>
                <w:rFonts w:ascii="Verdana" w:hAnsi="Verdana" w:cs="Arial"/>
                <w:b/>
                <w:bCs/>
                <w:sz w:val="12"/>
                <w:szCs w:val="12"/>
              </w:rPr>
            </w:pPr>
            <w:r>
              <w:rPr>
                <w:rFonts w:ascii="Verdana" w:hAnsi="Verdana" w:cs="Arial"/>
                <w:b/>
                <w:bCs/>
                <w:sz w:val="12"/>
                <w:szCs w:val="12"/>
              </w:rPr>
              <w:t>Periodos Anuales:</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1</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2</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3</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4</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5</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TOTAL</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Alquiler</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$ 4.800,00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$ 4.992,00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$ 5.191,68</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$ 5.399,35</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$ 5.615,32</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b/>
                <w:bCs/>
                <w:sz w:val="12"/>
                <w:szCs w:val="12"/>
              </w:rPr>
            </w:pPr>
            <w:r>
              <w:rPr>
                <w:rFonts w:ascii="Verdana" w:hAnsi="Verdana" w:cs="Arial"/>
                <w:b/>
                <w:bCs/>
                <w:sz w:val="12"/>
                <w:szCs w:val="12"/>
              </w:rPr>
              <w:t>$ 25.998,35</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sz w:val="12"/>
                <w:szCs w:val="12"/>
              </w:rPr>
            </w:pPr>
            <w:r>
              <w:rPr>
                <w:rFonts w:ascii="Verdana" w:hAnsi="Verdana" w:cs="Arial"/>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Suministros de Oficina</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$ 360,00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$ 374,40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$ 430,56</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$ 495,14</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$ 569,42</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b/>
                <w:bCs/>
                <w:sz w:val="12"/>
                <w:szCs w:val="12"/>
              </w:rPr>
            </w:pPr>
            <w:r>
              <w:rPr>
                <w:rFonts w:ascii="Verdana" w:hAnsi="Verdana" w:cs="Arial"/>
                <w:b/>
                <w:bCs/>
                <w:sz w:val="12"/>
                <w:szCs w:val="12"/>
              </w:rPr>
              <w:t>$ 2.229,52</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sz w:val="12"/>
                <w:szCs w:val="12"/>
              </w:rPr>
            </w:pPr>
            <w:r>
              <w:rPr>
                <w:rFonts w:ascii="Verdana" w:hAnsi="Verdana" w:cs="Arial"/>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Energía Eléctrica</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$ 1.200,00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$ 1.248,00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$ 1.248,00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$ 1.248,00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$ 1.248,00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b/>
                <w:bCs/>
                <w:sz w:val="12"/>
                <w:szCs w:val="12"/>
              </w:rPr>
            </w:pPr>
            <w:r>
              <w:rPr>
                <w:rFonts w:ascii="Verdana" w:hAnsi="Verdana" w:cs="Arial"/>
                <w:b/>
                <w:bCs/>
                <w:sz w:val="12"/>
                <w:szCs w:val="12"/>
              </w:rPr>
              <w:t>$ 6.192,00</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Teléfono</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$ 480,00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$ 499,20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$ 499,20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$ 499,20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$ 499,20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b/>
                <w:bCs/>
                <w:sz w:val="12"/>
                <w:szCs w:val="12"/>
              </w:rPr>
            </w:pPr>
            <w:r>
              <w:rPr>
                <w:rFonts w:ascii="Verdana" w:hAnsi="Verdana" w:cs="Arial"/>
                <w:b/>
                <w:bCs/>
                <w:sz w:val="12"/>
                <w:szCs w:val="12"/>
              </w:rPr>
              <w:t>$ 2.476,80</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Internet</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$ 720,00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$ 748,80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$ 748,80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$ 748,80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$ 748,80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b/>
                <w:bCs/>
                <w:sz w:val="12"/>
                <w:szCs w:val="12"/>
              </w:rPr>
            </w:pPr>
            <w:r>
              <w:rPr>
                <w:rFonts w:ascii="Verdana" w:hAnsi="Verdana" w:cs="Arial"/>
                <w:b/>
                <w:bCs/>
                <w:sz w:val="12"/>
                <w:szCs w:val="12"/>
              </w:rPr>
              <w:t>$ 3.715,20</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Agua Potable</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$ 240,00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$ 249,60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$ 249,60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$ 249,60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$ 249,60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b/>
                <w:bCs/>
                <w:sz w:val="12"/>
                <w:szCs w:val="12"/>
              </w:rPr>
            </w:pPr>
            <w:r>
              <w:rPr>
                <w:rFonts w:ascii="Verdana" w:hAnsi="Verdana" w:cs="Arial"/>
                <w:b/>
                <w:bCs/>
                <w:sz w:val="12"/>
                <w:szCs w:val="12"/>
              </w:rPr>
              <w:t>$ 1.238,40</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Telefonía Móvil</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$ 1.800,00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$ 1.872,00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$ 1.872,00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$ 1.872,00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$ 1.872,00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b/>
                <w:bCs/>
                <w:sz w:val="12"/>
                <w:szCs w:val="12"/>
              </w:rPr>
            </w:pPr>
            <w:r>
              <w:rPr>
                <w:rFonts w:ascii="Verdana" w:hAnsi="Verdana" w:cs="Arial"/>
                <w:b/>
                <w:bCs/>
                <w:sz w:val="12"/>
                <w:szCs w:val="12"/>
              </w:rPr>
              <w:t>$ 9.288,00</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C0C0C0"/>
            <w:noWrap/>
            <w:vAlign w:val="bottom"/>
          </w:tcPr>
          <w:p w:rsidR="0030771A" w:rsidRDefault="0030771A">
            <w:pPr>
              <w:rPr>
                <w:rFonts w:ascii="Verdana" w:hAnsi="Verdana" w:cs="Arial"/>
                <w:b/>
                <w:bCs/>
                <w:sz w:val="12"/>
                <w:szCs w:val="12"/>
              </w:rPr>
            </w:pPr>
            <w:r>
              <w:rPr>
                <w:rFonts w:ascii="Verdana" w:hAnsi="Verdana" w:cs="Arial"/>
                <w:b/>
                <w:bCs/>
                <w:sz w:val="12"/>
                <w:szCs w:val="12"/>
              </w:rPr>
              <w:t>TOTAL</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$ 9.600,00</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$ 9.984,00</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$ 10.239,84</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$ 10.512,09</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$ 10.802,34</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$ 51.138,27</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8" w:type="dxa"/>
            <w:tcBorders>
              <w:top w:val="nil"/>
              <w:left w:val="nil"/>
              <w:bottom w:val="nil"/>
              <w:right w:val="double" w:sz="6" w:space="0" w:color="auto"/>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2838" w:type="dxa"/>
            <w:gridSpan w:val="2"/>
            <w:tcBorders>
              <w:top w:val="nil"/>
              <w:left w:val="nil"/>
              <w:bottom w:val="nil"/>
              <w:right w:val="nil"/>
            </w:tcBorders>
            <w:shd w:val="clear" w:color="auto" w:fill="FFFFFF"/>
            <w:noWrap/>
            <w:vAlign w:val="bottom"/>
          </w:tcPr>
          <w:p w:rsidR="0030771A" w:rsidRDefault="0030771A">
            <w:pPr>
              <w:rPr>
                <w:rFonts w:ascii="Verdana" w:hAnsi="Verdana" w:cs="Arial"/>
                <w:b/>
                <w:bCs/>
                <w:sz w:val="12"/>
                <w:szCs w:val="12"/>
              </w:rPr>
            </w:pPr>
            <w:r>
              <w:rPr>
                <w:rFonts w:ascii="Verdana" w:hAnsi="Verdana" w:cs="Arial"/>
                <w:b/>
                <w:bCs/>
                <w:sz w:val="12"/>
                <w:szCs w:val="12"/>
              </w:rPr>
              <w:t>GASTOS DE VENTAS (DÓLARES)</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8" w:type="dxa"/>
            <w:tcBorders>
              <w:top w:val="nil"/>
              <w:left w:val="nil"/>
              <w:bottom w:val="nil"/>
              <w:right w:val="double" w:sz="6" w:space="0" w:color="auto"/>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C0C0C0"/>
            <w:noWrap/>
            <w:vAlign w:val="bottom"/>
          </w:tcPr>
          <w:p w:rsidR="0030771A" w:rsidRDefault="0030771A">
            <w:pPr>
              <w:rPr>
                <w:rFonts w:ascii="Verdana" w:hAnsi="Verdana" w:cs="Arial"/>
                <w:b/>
                <w:bCs/>
                <w:sz w:val="12"/>
                <w:szCs w:val="12"/>
              </w:rPr>
            </w:pPr>
            <w:r>
              <w:rPr>
                <w:rFonts w:ascii="Verdana" w:hAnsi="Verdana" w:cs="Arial"/>
                <w:b/>
                <w:bCs/>
                <w:sz w:val="12"/>
                <w:szCs w:val="12"/>
              </w:rPr>
              <w:t>Periodos Anuales:</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1</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2</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3</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4</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5</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TOTAL</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Comisiones Consultor Político</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$ 3.150,00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$ 3.975,00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$ 4.800,00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$ 5.625,00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$ 6.450,00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b/>
                <w:bCs/>
                <w:sz w:val="12"/>
                <w:szCs w:val="12"/>
              </w:rPr>
            </w:pPr>
            <w:r>
              <w:rPr>
                <w:rFonts w:ascii="Verdana" w:hAnsi="Verdana" w:cs="Arial"/>
                <w:b/>
                <w:bCs/>
                <w:sz w:val="12"/>
                <w:szCs w:val="12"/>
              </w:rPr>
              <w:t>$ 24.000,00</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Comisiones Diseñador Gráfico</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$ 1.890,00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$ 2.385,00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$ 2.880,00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$ 3.375,00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$ 3.870,00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b/>
                <w:bCs/>
                <w:sz w:val="12"/>
                <w:szCs w:val="12"/>
              </w:rPr>
            </w:pPr>
            <w:r>
              <w:rPr>
                <w:rFonts w:ascii="Verdana" w:hAnsi="Verdana" w:cs="Arial"/>
                <w:b/>
                <w:bCs/>
                <w:sz w:val="12"/>
                <w:szCs w:val="12"/>
              </w:rPr>
              <w:t>$ 14.400,00</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Comisiones Asistente Adm.</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$ 1.260,00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$ 1.590,00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$ 1.920,00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$ 2.250,00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$ 2.580,00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b/>
                <w:bCs/>
                <w:sz w:val="12"/>
                <w:szCs w:val="12"/>
              </w:rPr>
            </w:pPr>
            <w:r>
              <w:rPr>
                <w:rFonts w:ascii="Verdana" w:hAnsi="Verdana" w:cs="Arial"/>
                <w:b/>
                <w:bCs/>
                <w:sz w:val="12"/>
                <w:szCs w:val="12"/>
              </w:rPr>
              <w:t>$ 9.600,00</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Gastos de Representación</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$ 9.450,00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$ 11.925,00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$ 14.400,00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$ 16.875,00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sz w:val="12"/>
                <w:szCs w:val="12"/>
              </w:rPr>
            </w:pPr>
            <w:r>
              <w:rPr>
                <w:rFonts w:ascii="Verdana" w:hAnsi="Verdana" w:cs="Arial"/>
                <w:sz w:val="12"/>
                <w:szCs w:val="12"/>
              </w:rPr>
              <w:t>$ 19.350,00</w:t>
            </w:r>
          </w:p>
        </w:tc>
        <w:tc>
          <w:tcPr>
            <w:tcW w:w="1036" w:type="dxa"/>
            <w:tcBorders>
              <w:top w:val="nil"/>
              <w:left w:val="nil"/>
              <w:bottom w:val="nil"/>
              <w:right w:val="nil"/>
            </w:tcBorders>
            <w:shd w:val="clear" w:color="auto" w:fill="FFFFFF"/>
            <w:noWrap/>
            <w:vAlign w:val="bottom"/>
          </w:tcPr>
          <w:p w:rsidR="0030771A" w:rsidRDefault="0030771A">
            <w:pPr>
              <w:jc w:val="right"/>
              <w:rPr>
                <w:rFonts w:ascii="Verdana" w:hAnsi="Verdana" w:cs="Arial"/>
                <w:b/>
                <w:bCs/>
                <w:sz w:val="12"/>
                <w:szCs w:val="12"/>
              </w:rPr>
            </w:pPr>
            <w:r>
              <w:rPr>
                <w:rFonts w:ascii="Verdana" w:hAnsi="Verdana" w:cs="Arial"/>
                <w:b/>
                <w:bCs/>
                <w:sz w:val="12"/>
                <w:szCs w:val="12"/>
              </w:rPr>
              <w:t>$ 48.000,00</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C0C0C0"/>
            <w:noWrap/>
            <w:vAlign w:val="bottom"/>
          </w:tcPr>
          <w:p w:rsidR="0030771A" w:rsidRDefault="0030771A">
            <w:pPr>
              <w:rPr>
                <w:rFonts w:ascii="Verdana" w:hAnsi="Verdana" w:cs="Arial"/>
                <w:b/>
                <w:bCs/>
                <w:sz w:val="12"/>
                <w:szCs w:val="12"/>
              </w:rPr>
            </w:pPr>
            <w:r>
              <w:rPr>
                <w:rFonts w:ascii="Verdana" w:hAnsi="Verdana" w:cs="Arial"/>
                <w:b/>
                <w:bCs/>
                <w:sz w:val="12"/>
                <w:szCs w:val="12"/>
              </w:rPr>
              <w:t>TOTAL</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$ 15.750,00</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$ 19.875,00</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$ 24.000,00</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$ 28.125,00</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$ 32.250,00</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$ 96.000,00</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8" w:type="dxa"/>
            <w:tcBorders>
              <w:top w:val="nil"/>
              <w:left w:val="nil"/>
              <w:bottom w:val="nil"/>
              <w:right w:val="double" w:sz="6" w:space="0" w:color="auto"/>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5946" w:type="dxa"/>
            <w:gridSpan w:val="5"/>
            <w:tcBorders>
              <w:top w:val="nil"/>
              <w:left w:val="nil"/>
              <w:bottom w:val="nil"/>
              <w:right w:val="nil"/>
            </w:tcBorders>
            <w:shd w:val="clear" w:color="auto" w:fill="FFFFFF"/>
            <w:noWrap/>
            <w:vAlign w:val="bottom"/>
          </w:tcPr>
          <w:p w:rsidR="0030771A" w:rsidRDefault="0030771A">
            <w:pPr>
              <w:rPr>
                <w:rFonts w:ascii="Verdana" w:hAnsi="Verdana" w:cs="Arial"/>
                <w:b/>
                <w:bCs/>
                <w:sz w:val="12"/>
                <w:szCs w:val="12"/>
              </w:rPr>
            </w:pPr>
            <w:r>
              <w:rPr>
                <w:rFonts w:ascii="Verdana" w:hAnsi="Verdana" w:cs="Arial"/>
                <w:b/>
                <w:bCs/>
                <w:sz w:val="12"/>
                <w:szCs w:val="12"/>
              </w:rPr>
              <w:t>TOTAL DE GASTOS ADMINISTRATIVOS Y DE VENTAS (DÓLARES)</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8" w:type="dxa"/>
            <w:tcBorders>
              <w:top w:val="nil"/>
              <w:left w:val="nil"/>
              <w:bottom w:val="nil"/>
              <w:right w:val="double" w:sz="6" w:space="0" w:color="auto"/>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C0C0C0"/>
            <w:noWrap/>
            <w:vAlign w:val="bottom"/>
          </w:tcPr>
          <w:p w:rsidR="0030771A" w:rsidRDefault="0030771A">
            <w:pPr>
              <w:rPr>
                <w:rFonts w:ascii="Verdana" w:hAnsi="Verdana" w:cs="Arial"/>
                <w:b/>
                <w:bCs/>
                <w:sz w:val="12"/>
                <w:szCs w:val="12"/>
              </w:rPr>
            </w:pPr>
            <w:r>
              <w:rPr>
                <w:rFonts w:ascii="Verdana" w:hAnsi="Verdana" w:cs="Arial"/>
                <w:b/>
                <w:bCs/>
                <w:sz w:val="12"/>
                <w:szCs w:val="12"/>
              </w:rPr>
              <w:t>Periodos Anuales:</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1</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2</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3</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4</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Año 5</w:t>
            </w:r>
          </w:p>
        </w:tc>
        <w:tc>
          <w:tcPr>
            <w:tcW w:w="1036" w:type="dxa"/>
            <w:tcBorders>
              <w:top w:val="nil"/>
              <w:left w:val="nil"/>
              <w:bottom w:val="nil"/>
              <w:right w:val="nil"/>
            </w:tcBorders>
            <w:shd w:val="clear" w:color="auto" w:fill="C0C0C0"/>
            <w:noWrap/>
            <w:vAlign w:val="bottom"/>
          </w:tcPr>
          <w:p w:rsidR="0030771A" w:rsidRDefault="0030771A">
            <w:pPr>
              <w:jc w:val="center"/>
              <w:rPr>
                <w:rFonts w:ascii="Verdana" w:hAnsi="Verdana" w:cs="Arial"/>
                <w:b/>
                <w:bCs/>
                <w:sz w:val="12"/>
                <w:szCs w:val="12"/>
              </w:rPr>
            </w:pPr>
            <w:r>
              <w:rPr>
                <w:rFonts w:ascii="Verdana" w:hAnsi="Verdana" w:cs="Arial"/>
                <w:b/>
                <w:bCs/>
                <w:sz w:val="12"/>
                <w:szCs w:val="12"/>
              </w:rPr>
              <w:t>TOTAL</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65"/>
          <w:jc w:val="center"/>
        </w:trPr>
        <w:tc>
          <w:tcPr>
            <w:tcW w:w="188" w:type="dxa"/>
            <w:tcBorders>
              <w:top w:val="nil"/>
              <w:left w:val="double" w:sz="6" w:space="0" w:color="auto"/>
              <w:bottom w:val="nil"/>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nil"/>
              <w:right w:val="nil"/>
            </w:tcBorders>
            <w:shd w:val="clear" w:color="auto" w:fill="C0C0C0"/>
            <w:noWrap/>
            <w:vAlign w:val="bottom"/>
          </w:tcPr>
          <w:p w:rsidR="0030771A" w:rsidRDefault="0030771A">
            <w:pPr>
              <w:rPr>
                <w:rFonts w:ascii="Verdana" w:hAnsi="Verdana" w:cs="Arial"/>
                <w:b/>
                <w:bCs/>
                <w:sz w:val="12"/>
                <w:szCs w:val="12"/>
              </w:rPr>
            </w:pPr>
            <w:r>
              <w:rPr>
                <w:rFonts w:ascii="Verdana" w:hAnsi="Verdana" w:cs="Arial"/>
                <w:b/>
                <w:bCs/>
                <w:sz w:val="12"/>
                <w:szCs w:val="12"/>
              </w:rPr>
              <w:t>TOTAL</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$ 25.350,00</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$ 29.859,00</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$ 34.239,84</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$ 38.637,09</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$ 43.052,34</w:t>
            </w:r>
          </w:p>
        </w:tc>
        <w:tc>
          <w:tcPr>
            <w:tcW w:w="1036" w:type="dxa"/>
            <w:tcBorders>
              <w:top w:val="nil"/>
              <w:left w:val="nil"/>
              <w:bottom w:val="nil"/>
              <w:right w:val="nil"/>
            </w:tcBorders>
            <w:shd w:val="clear" w:color="auto" w:fill="C0C0C0"/>
            <w:noWrap/>
            <w:vAlign w:val="bottom"/>
          </w:tcPr>
          <w:p w:rsidR="0030771A" w:rsidRDefault="0030771A">
            <w:pPr>
              <w:jc w:val="right"/>
              <w:rPr>
                <w:rFonts w:ascii="Verdana" w:hAnsi="Verdana" w:cs="Arial"/>
                <w:b/>
                <w:bCs/>
                <w:sz w:val="12"/>
                <w:szCs w:val="12"/>
              </w:rPr>
            </w:pPr>
            <w:r>
              <w:rPr>
                <w:rFonts w:ascii="Verdana" w:hAnsi="Verdana" w:cs="Arial"/>
                <w:b/>
                <w:bCs/>
                <w:sz w:val="12"/>
                <w:szCs w:val="12"/>
              </w:rPr>
              <w:t>$ 171.138,27</w:t>
            </w:r>
          </w:p>
        </w:tc>
        <w:tc>
          <w:tcPr>
            <w:tcW w:w="188" w:type="dxa"/>
            <w:tcBorders>
              <w:top w:val="nil"/>
              <w:left w:val="nil"/>
              <w:bottom w:val="nil"/>
              <w:right w:val="double" w:sz="6" w:space="0" w:color="auto"/>
            </w:tcBorders>
            <w:shd w:val="clear" w:color="auto" w:fill="FFFFFF"/>
            <w:noWrap/>
            <w:vAlign w:val="bottom"/>
          </w:tcPr>
          <w:p w:rsidR="0030771A" w:rsidRDefault="0030771A">
            <w:pPr>
              <w:jc w:val="center"/>
              <w:rPr>
                <w:rFonts w:ascii="Verdana" w:hAnsi="Verdana" w:cs="Arial"/>
                <w:b/>
                <w:bCs/>
                <w:sz w:val="12"/>
                <w:szCs w:val="12"/>
              </w:rPr>
            </w:pPr>
            <w:r>
              <w:rPr>
                <w:rFonts w:ascii="Verdana" w:hAnsi="Verdana" w:cs="Arial"/>
                <w:b/>
                <w:bCs/>
                <w:sz w:val="12"/>
                <w:szCs w:val="12"/>
              </w:rPr>
              <w:t> </w:t>
            </w:r>
          </w:p>
        </w:tc>
      </w:tr>
      <w:tr w:rsidR="0030771A">
        <w:trPr>
          <w:trHeight w:val="180"/>
          <w:jc w:val="center"/>
        </w:trPr>
        <w:tc>
          <w:tcPr>
            <w:tcW w:w="188" w:type="dxa"/>
            <w:tcBorders>
              <w:top w:val="nil"/>
              <w:left w:val="double" w:sz="6" w:space="0" w:color="auto"/>
              <w:bottom w:val="double" w:sz="6" w:space="0" w:color="auto"/>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02" w:type="dxa"/>
            <w:tcBorders>
              <w:top w:val="nil"/>
              <w:left w:val="nil"/>
              <w:bottom w:val="double" w:sz="6" w:space="0" w:color="auto"/>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double" w:sz="6" w:space="0" w:color="auto"/>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double" w:sz="6" w:space="0" w:color="auto"/>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double" w:sz="6" w:space="0" w:color="auto"/>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double" w:sz="6" w:space="0" w:color="auto"/>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double" w:sz="6" w:space="0" w:color="auto"/>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036" w:type="dxa"/>
            <w:tcBorders>
              <w:top w:val="nil"/>
              <w:left w:val="nil"/>
              <w:bottom w:val="double" w:sz="6" w:space="0" w:color="auto"/>
              <w:right w:val="nil"/>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c>
          <w:tcPr>
            <w:tcW w:w="188" w:type="dxa"/>
            <w:tcBorders>
              <w:top w:val="nil"/>
              <w:left w:val="nil"/>
              <w:bottom w:val="double" w:sz="6" w:space="0" w:color="auto"/>
              <w:right w:val="double" w:sz="6" w:space="0" w:color="auto"/>
            </w:tcBorders>
            <w:shd w:val="clear" w:color="auto" w:fill="FFFFFF"/>
            <w:noWrap/>
            <w:vAlign w:val="bottom"/>
          </w:tcPr>
          <w:p w:rsidR="0030771A" w:rsidRDefault="0030771A">
            <w:pPr>
              <w:rPr>
                <w:rFonts w:ascii="Verdana" w:hAnsi="Verdana" w:cs="Arial"/>
                <w:sz w:val="12"/>
                <w:szCs w:val="12"/>
              </w:rPr>
            </w:pPr>
            <w:r>
              <w:rPr>
                <w:rFonts w:ascii="Verdana" w:hAnsi="Verdana" w:cs="Arial"/>
                <w:sz w:val="12"/>
                <w:szCs w:val="12"/>
              </w:rPr>
              <w:t> </w:t>
            </w:r>
          </w:p>
        </w:tc>
      </w:tr>
    </w:tbl>
    <w:p w:rsidR="0030771A" w:rsidRPr="008D290B" w:rsidRDefault="0030771A" w:rsidP="0030771A">
      <w:pPr>
        <w:spacing w:line="480" w:lineRule="auto"/>
        <w:jc w:val="center"/>
        <w:rPr>
          <w:i/>
          <w:sz w:val="20"/>
          <w:szCs w:val="20"/>
        </w:rPr>
      </w:pPr>
      <w:r>
        <w:rPr>
          <w:b/>
          <w:i/>
          <w:sz w:val="20"/>
          <w:szCs w:val="20"/>
        </w:rPr>
        <w:t>Elaboración</w:t>
      </w:r>
      <w:r w:rsidRPr="008D290B">
        <w:rPr>
          <w:b/>
          <w:i/>
          <w:sz w:val="20"/>
          <w:szCs w:val="20"/>
        </w:rPr>
        <w:t>:</w:t>
      </w:r>
      <w:r w:rsidRPr="008D290B">
        <w:rPr>
          <w:i/>
          <w:sz w:val="20"/>
          <w:szCs w:val="20"/>
        </w:rPr>
        <w:t xml:space="preserve"> </w:t>
      </w:r>
      <w:r>
        <w:rPr>
          <w:i/>
          <w:sz w:val="20"/>
          <w:szCs w:val="20"/>
        </w:rPr>
        <w:t>Los Autores</w:t>
      </w:r>
    </w:p>
    <w:p w:rsidR="006A5E10" w:rsidRDefault="006A5E10" w:rsidP="002F5B85">
      <w:pPr>
        <w:spacing w:line="480" w:lineRule="auto"/>
        <w:rPr>
          <w:b/>
        </w:rPr>
      </w:pPr>
    </w:p>
    <w:p w:rsidR="006A5E10" w:rsidRDefault="006A5E10" w:rsidP="002F5B85">
      <w:pPr>
        <w:spacing w:line="480" w:lineRule="auto"/>
        <w:rPr>
          <w:b/>
        </w:rPr>
      </w:pPr>
    </w:p>
    <w:p w:rsidR="006A5E10" w:rsidRDefault="006A5E10" w:rsidP="002F5B85">
      <w:pPr>
        <w:spacing w:line="480" w:lineRule="auto"/>
        <w:rPr>
          <w:b/>
        </w:rPr>
      </w:pPr>
    </w:p>
    <w:p w:rsidR="006A5E10" w:rsidRDefault="006A5E10" w:rsidP="002F5B85">
      <w:pPr>
        <w:spacing w:line="480" w:lineRule="auto"/>
        <w:rPr>
          <w:b/>
        </w:rPr>
      </w:pPr>
    </w:p>
    <w:p w:rsidR="007C0A4A" w:rsidRPr="00C33653" w:rsidRDefault="007C0A4A" w:rsidP="007C0A4A">
      <w:pPr>
        <w:spacing w:line="480" w:lineRule="auto"/>
        <w:rPr>
          <w:b/>
          <w:sz w:val="28"/>
          <w:szCs w:val="28"/>
        </w:rPr>
      </w:pPr>
      <w:r>
        <w:rPr>
          <w:b/>
          <w:sz w:val="28"/>
          <w:szCs w:val="28"/>
        </w:rPr>
        <w:t>5</w:t>
      </w:r>
      <w:r w:rsidRPr="00C33653">
        <w:rPr>
          <w:b/>
          <w:sz w:val="28"/>
          <w:szCs w:val="28"/>
        </w:rPr>
        <w:t>.</w:t>
      </w:r>
      <w:r w:rsidR="00B62AB0">
        <w:rPr>
          <w:b/>
          <w:sz w:val="28"/>
          <w:szCs w:val="28"/>
        </w:rPr>
        <w:t>4</w:t>
      </w:r>
      <w:r w:rsidRPr="00C33653">
        <w:rPr>
          <w:b/>
          <w:sz w:val="28"/>
          <w:szCs w:val="28"/>
        </w:rPr>
        <w:t xml:space="preserve">.- </w:t>
      </w:r>
      <w:r w:rsidR="00B62AB0">
        <w:rPr>
          <w:b/>
          <w:sz w:val="28"/>
          <w:szCs w:val="28"/>
        </w:rPr>
        <w:t>Depreciación y Valor de Desecho Contable en Activos</w:t>
      </w:r>
    </w:p>
    <w:p w:rsidR="007C0A4A" w:rsidRPr="00B62AB0" w:rsidRDefault="007C0A4A" w:rsidP="002F5B85">
      <w:pPr>
        <w:spacing w:line="480" w:lineRule="auto"/>
      </w:pPr>
    </w:p>
    <w:p w:rsidR="00B62AB0" w:rsidRPr="00B62AB0" w:rsidRDefault="00B62AB0" w:rsidP="00115804">
      <w:pPr>
        <w:spacing w:line="480" w:lineRule="auto"/>
        <w:ind w:firstLine="540"/>
        <w:jc w:val="both"/>
      </w:pPr>
      <w:r w:rsidRPr="00B62AB0">
        <w:t xml:space="preserve">La depreciación de activos fijos refleja la pérdida de valor de </w:t>
      </w:r>
      <w:r>
        <w:t>los</w:t>
      </w:r>
      <w:r w:rsidRPr="00B62AB0">
        <w:t xml:space="preserve"> equipos</w:t>
      </w:r>
      <w:r>
        <w:t xml:space="preserve"> y mobiliarios</w:t>
      </w:r>
      <w:r w:rsidRPr="00B62AB0">
        <w:t xml:space="preserve"> como consecuencia de la utilización de los mismos. En el Ecuador se utiliza el método de depreciación en línea recta, a través del cual se calcula la depreciación anual dividiendo el costo inicial menos el valor de salvamento de cada activo fijo para el número de años de vida útil. </w:t>
      </w:r>
    </w:p>
    <w:p w:rsidR="00B62AB0" w:rsidRPr="00B62AB0" w:rsidRDefault="00B62AB0" w:rsidP="00B62AB0">
      <w:pPr>
        <w:spacing w:line="480" w:lineRule="auto"/>
        <w:jc w:val="both"/>
      </w:pPr>
    </w:p>
    <w:p w:rsidR="00B62AB0" w:rsidRPr="00B62AB0" w:rsidRDefault="00B62AB0" w:rsidP="00115804">
      <w:pPr>
        <w:spacing w:line="480" w:lineRule="auto"/>
        <w:ind w:firstLine="540"/>
        <w:jc w:val="both"/>
      </w:pPr>
      <w:r w:rsidRPr="00B62AB0">
        <w:t xml:space="preserve">En este caso se decidió utilizar el valor de desecho contable puesto que los activos que se han adquirido, luego de </w:t>
      </w:r>
      <w:r w:rsidR="00703D30">
        <w:t>cinco</w:t>
      </w:r>
      <w:r w:rsidRPr="00B62AB0">
        <w:t xml:space="preserve"> años difícilmente representarían ingresos interesantes para el proyecto desde el punto de vista comercial.</w:t>
      </w:r>
    </w:p>
    <w:p w:rsidR="00B62AB0" w:rsidRPr="00B62AB0" w:rsidRDefault="00B62AB0" w:rsidP="002F5B85">
      <w:pPr>
        <w:spacing w:line="480" w:lineRule="auto"/>
      </w:pPr>
    </w:p>
    <w:p w:rsidR="00A47FC3" w:rsidRPr="004D468B" w:rsidRDefault="00A47FC3" w:rsidP="00A47FC3">
      <w:pPr>
        <w:spacing w:line="480" w:lineRule="auto"/>
        <w:jc w:val="center"/>
        <w:rPr>
          <w:b/>
        </w:rPr>
      </w:pPr>
      <w:r>
        <w:rPr>
          <w:b/>
        </w:rPr>
        <w:t>Tabla N</w:t>
      </w:r>
      <w:r w:rsidRPr="004D468B">
        <w:rPr>
          <w:b/>
        </w:rPr>
        <w:t xml:space="preserve">o. </w:t>
      </w:r>
      <w:r>
        <w:rPr>
          <w:b/>
        </w:rPr>
        <w:t>5</w:t>
      </w:r>
    </w:p>
    <w:p w:rsidR="00A47FC3" w:rsidRPr="00371DB7" w:rsidRDefault="00A47FC3" w:rsidP="00A47FC3">
      <w:pPr>
        <w:spacing w:line="480" w:lineRule="auto"/>
        <w:jc w:val="center"/>
        <w:rPr>
          <w:b/>
          <w:i/>
        </w:rPr>
      </w:pPr>
      <w:r>
        <w:rPr>
          <w:b/>
          <w:i/>
        </w:rPr>
        <w:t>Depreciación Lineal de Activos</w:t>
      </w:r>
    </w:p>
    <w:tbl>
      <w:tblPr>
        <w:tblW w:w="7060" w:type="dxa"/>
        <w:jc w:val="center"/>
        <w:tblInd w:w="47" w:type="dxa"/>
        <w:tblCellMar>
          <w:left w:w="70" w:type="dxa"/>
          <w:right w:w="70" w:type="dxa"/>
        </w:tblCellMar>
        <w:tblLook w:val="0000"/>
      </w:tblPr>
      <w:tblGrid>
        <w:gridCol w:w="188"/>
        <w:gridCol w:w="2264"/>
        <w:gridCol w:w="1440"/>
        <w:gridCol w:w="1260"/>
        <w:gridCol w:w="1720"/>
        <w:gridCol w:w="188"/>
      </w:tblGrid>
      <w:tr w:rsidR="00A47FC3">
        <w:trPr>
          <w:trHeight w:val="180"/>
          <w:jc w:val="center"/>
        </w:trPr>
        <w:tc>
          <w:tcPr>
            <w:tcW w:w="188" w:type="dxa"/>
            <w:tcBorders>
              <w:top w:val="double" w:sz="6" w:space="0" w:color="auto"/>
              <w:left w:val="double" w:sz="6" w:space="0" w:color="auto"/>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2264" w:type="dxa"/>
            <w:tcBorders>
              <w:top w:val="double" w:sz="6" w:space="0" w:color="auto"/>
              <w:left w:val="nil"/>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1440" w:type="dxa"/>
            <w:tcBorders>
              <w:top w:val="double" w:sz="6" w:space="0" w:color="auto"/>
              <w:left w:val="nil"/>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1260" w:type="dxa"/>
            <w:tcBorders>
              <w:top w:val="double" w:sz="6" w:space="0" w:color="auto"/>
              <w:left w:val="nil"/>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1720" w:type="dxa"/>
            <w:tcBorders>
              <w:top w:val="double" w:sz="6" w:space="0" w:color="auto"/>
              <w:left w:val="nil"/>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188" w:type="dxa"/>
            <w:tcBorders>
              <w:top w:val="double" w:sz="6" w:space="0" w:color="auto"/>
              <w:left w:val="nil"/>
              <w:bottom w:val="nil"/>
              <w:right w:val="double" w:sz="6" w:space="0" w:color="auto"/>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r>
      <w:tr w:rsidR="00A47FC3">
        <w:trPr>
          <w:trHeight w:val="165"/>
          <w:jc w:val="center"/>
        </w:trPr>
        <w:tc>
          <w:tcPr>
            <w:tcW w:w="188" w:type="dxa"/>
            <w:tcBorders>
              <w:top w:val="nil"/>
              <w:left w:val="double" w:sz="6" w:space="0" w:color="auto"/>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2264" w:type="dxa"/>
            <w:tcBorders>
              <w:top w:val="nil"/>
              <w:left w:val="nil"/>
              <w:bottom w:val="nil"/>
              <w:right w:val="nil"/>
            </w:tcBorders>
            <w:shd w:val="clear" w:color="auto" w:fill="C0C0C0"/>
            <w:noWrap/>
            <w:vAlign w:val="bottom"/>
          </w:tcPr>
          <w:p w:rsidR="00A47FC3" w:rsidRDefault="00A47FC3">
            <w:pPr>
              <w:rPr>
                <w:rFonts w:ascii="Verdana" w:hAnsi="Verdana" w:cs="Arial"/>
                <w:b/>
                <w:bCs/>
                <w:sz w:val="12"/>
                <w:szCs w:val="12"/>
              </w:rPr>
            </w:pPr>
            <w:r>
              <w:rPr>
                <w:rFonts w:ascii="Verdana" w:hAnsi="Verdana" w:cs="Arial"/>
                <w:b/>
                <w:bCs/>
                <w:sz w:val="12"/>
                <w:szCs w:val="12"/>
              </w:rPr>
              <w:t>Descripción:</w:t>
            </w:r>
          </w:p>
        </w:tc>
        <w:tc>
          <w:tcPr>
            <w:tcW w:w="1440" w:type="dxa"/>
            <w:tcBorders>
              <w:top w:val="nil"/>
              <w:left w:val="nil"/>
              <w:bottom w:val="nil"/>
              <w:right w:val="nil"/>
            </w:tcBorders>
            <w:shd w:val="clear" w:color="auto" w:fill="C0C0C0"/>
            <w:noWrap/>
            <w:vAlign w:val="bottom"/>
          </w:tcPr>
          <w:p w:rsidR="00A47FC3" w:rsidRDefault="00A47FC3">
            <w:pPr>
              <w:jc w:val="center"/>
              <w:rPr>
                <w:rFonts w:ascii="Verdana" w:hAnsi="Verdana" w:cs="Arial"/>
                <w:b/>
                <w:bCs/>
                <w:sz w:val="12"/>
                <w:szCs w:val="12"/>
              </w:rPr>
            </w:pPr>
            <w:r>
              <w:rPr>
                <w:rFonts w:ascii="Verdana" w:hAnsi="Verdana" w:cs="Arial"/>
                <w:b/>
                <w:bCs/>
                <w:sz w:val="12"/>
                <w:szCs w:val="12"/>
              </w:rPr>
              <w:t>Valor de Compra</w:t>
            </w:r>
          </w:p>
        </w:tc>
        <w:tc>
          <w:tcPr>
            <w:tcW w:w="1260" w:type="dxa"/>
            <w:tcBorders>
              <w:top w:val="nil"/>
              <w:left w:val="nil"/>
              <w:bottom w:val="nil"/>
              <w:right w:val="nil"/>
            </w:tcBorders>
            <w:shd w:val="clear" w:color="auto" w:fill="C0C0C0"/>
            <w:noWrap/>
            <w:vAlign w:val="bottom"/>
          </w:tcPr>
          <w:p w:rsidR="00A47FC3" w:rsidRDefault="00A47FC3">
            <w:pPr>
              <w:jc w:val="center"/>
              <w:rPr>
                <w:rFonts w:ascii="Verdana" w:hAnsi="Verdana" w:cs="Arial"/>
                <w:b/>
                <w:bCs/>
                <w:sz w:val="12"/>
                <w:szCs w:val="12"/>
              </w:rPr>
            </w:pPr>
            <w:r>
              <w:rPr>
                <w:rFonts w:ascii="Verdana" w:hAnsi="Verdana" w:cs="Arial"/>
                <w:b/>
                <w:bCs/>
                <w:sz w:val="12"/>
                <w:szCs w:val="12"/>
              </w:rPr>
              <w:t>Vida Contable</w:t>
            </w:r>
          </w:p>
        </w:tc>
        <w:tc>
          <w:tcPr>
            <w:tcW w:w="1720" w:type="dxa"/>
            <w:tcBorders>
              <w:top w:val="nil"/>
              <w:left w:val="nil"/>
              <w:bottom w:val="nil"/>
              <w:right w:val="nil"/>
            </w:tcBorders>
            <w:shd w:val="clear" w:color="auto" w:fill="C0C0C0"/>
            <w:noWrap/>
            <w:vAlign w:val="bottom"/>
          </w:tcPr>
          <w:p w:rsidR="00A47FC3" w:rsidRDefault="00A47FC3">
            <w:pPr>
              <w:jc w:val="center"/>
              <w:rPr>
                <w:rFonts w:ascii="Verdana" w:hAnsi="Verdana" w:cs="Arial"/>
                <w:b/>
                <w:bCs/>
                <w:sz w:val="12"/>
                <w:szCs w:val="12"/>
              </w:rPr>
            </w:pPr>
            <w:r>
              <w:rPr>
                <w:rFonts w:ascii="Verdana" w:hAnsi="Verdana" w:cs="Arial"/>
                <w:b/>
                <w:bCs/>
                <w:sz w:val="12"/>
                <w:szCs w:val="12"/>
              </w:rPr>
              <w:t>Depreciación Anual</w:t>
            </w:r>
          </w:p>
        </w:tc>
        <w:tc>
          <w:tcPr>
            <w:tcW w:w="188" w:type="dxa"/>
            <w:tcBorders>
              <w:top w:val="nil"/>
              <w:left w:val="nil"/>
              <w:bottom w:val="nil"/>
              <w:right w:val="double" w:sz="6" w:space="0" w:color="auto"/>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r>
      <w:tr w:rsidR="00A47FC3">
        <w:trPr>
          <w:trHeight w:val="165"/>
          <w:jc w:val="center"/>
        </w:trPr>
        <w:tc>
          <w:tcPr>
            <w:tcW w:w="188" w:type="dxa"/>
            <w:tcBorders>
              <w:top w:val="nil"/>
              <w:left w:val="double" w:sz="6" w:space="0" w:color="auto"/>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2264" w:type="dxa"/>
            <w:tcBorders>
              <w:top w:val="nil"/>
              <w:left w:val="nil"/>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Laptop</w:t>
            </w:r>
            <w:r w:rsidR="00703D30">
              <w:rPr>
                <w:rFonts w:ascii="Verdana" w:hAnsi="Verdana" w:cs="Arial"/>
                <w:sz w:val="12"/>
                <w:szCs w:val="12"/>
              </w:rPr>
              <w:t xml:space="preserve"> Consultor</w:t>
            </w:r>
          </w:p>
        </w:tc>
        <w:tc>
          <w:tcPr>
            <w:tcW w:w="1440" w:type="dxa"/>
            <w:tcBorders>
              <w:top w:val="nil"/>
              <w:left w:val="nil"/>
              <w:bottom w:val="nil"/>
              <w:right w:val="nil"/>
            </w:tcBorders>
            <w:shd w:val="clear" w:color="auto" w:fill="FFFFFF"/>
            <w:noWrap/>
            <w:vAlign w:val="bottom"/>
          </w:tcPr>
          <w:p w:rsidR="00A47FC3" w:rsidRDefault="00A47FC3">
            <w:pPr>
              <w:jc w:val="right"/>
              <w:rPr>
                <w:rFonts w:ascii="Verdana" w:hAnsi="Verdana" w:cs="Arial"/>
                <w:sz w:val="12"/>
                <w:szCs w:val="12"/>
              </w:rPr>
            </w:pPr>
            <w:r>
              <w:rPr>
                <w:rFonts w:ascii="Verdana" w:hAnsi="Verdana" w:cs="Arial"/>
                <w:sz w:val="12"/>
                <w:szCs w:val="12"/>
              </w:rPr>
              <w:t>$ 1.500,00</w:t>
            </w:r>
          </w:p>
        </w:tc>
        <w:tc>
          <w:tcPr>
            <w:tcW w:w="1260" w:type="dxa"/>
            <w:tcBorders>
              <w:top w:val="nil"/>
              <w:left w:val="nil"/>
              <w:bottom w:val="nil"/>
              <w:right w:val="nil"/>
            </w:tcBorders>
            <w:shd w:val="clear" w:color="auto" w:fill="FFFFFF"/>
            <w:noWrap/>
            <w:vAlign w:val="bottom"/>
          </w:tcPr>
          <w:p w:rsidR="00A47FC3" w:rsidRDefault="00A47FC3">
            <w:pPr>
              <w:jc w:val="center"/>
              <w:rPr>
                <w:rFonts w:ascii="Verdana" w:hAnsi="Verdana" w:cs="Arial"/>
                <w:sz w:val="12"/>
                <w:szCs w:val="12"/>
              </w:rPr>
            </w:pPr>
            <w:r>
              <w:rPr>
                <w:rFonts w:ascii="Verdana" w:hAnsi="Verdana" w:cs="Arial"/>
                <w:sz w:val="12"/>
                <w:szCs w:val="12"/>
              </w:rPr>
              <w:t>2</w:t>
            </w:r>
          </w:p>
        </w:tc>
        <w:tc>
          <w:tcPr>
            <w:tcW w:w="1720" w:type="dxa"/>
            <w:tcBorders>
              <w:top w:val="nil"/>
              <w:left w:val="nil"/>
              <w:bottom w:val="nil"/>
              <w:right w:val="nil"/>
            </w:tcBorders>
            <w:shd w:val="clear" w:color="auto" w:fill="FFFFFF"/>
            <w:noWrap/>
            <w:vAlign w:val="bottom"/>
          </w:tcPr>
          <w:p w:rsidR="00A47FC3" w:rsidRDefault="00A47FC3">
            <w:pPr>
              <w:jc w:val="right"/>
              <w:rPr>
                <w:rFonts w:ascii="Verdana" w:hAnsi="Verdana" w:cs="Arial"/>
                <w:sz w:val="12"/>
                <w:szCs w:val="12"/>
              </w:rPr>
            </w:pPr>
            <w:r>
              <w:rPr>
                <w:rFonts w:ascii="Verdana" w:hAnsi="Verdana" w:cs="Arial"/>
                <w:sz w:val="12"/>
                <w:szCs w:val="12"/>
              </w:rPr>
              <w:t>$ 750,00</w:t>
            </w:r>
          </w:p>
        </w:tc>
        <w:tc>
          <w:tcPr>
            <w:tcW w:w="188" w:type="dxa"/>
            <w:tcBorders>
              <w:top w:val="nil"/>
              <w:left w:val="nil"/>
              <w:bottom w:val="nil"/>
              <w:right w:val="double" w:sz="6" w:space="0" w:color="auto"/>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r>
      <w:tr w:rsidR="00A47FC3">
        <w:trPr>
          <w:trHeight w:val="165"/>
          <w:jc w:val="center"/>
        </w:trPr>
        <w:tc>
          <w:tcPr>
            <w:tcW w:w="188" w:type="dxa"/>
            <w:tcBorders>
              <w:top w:val="nil"/>
              <w:left w:val="double" w:sz="6" w:space="0" w:color="auto"/>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2264" w:type="dxa"/>
            <w:tcBorders>
              <w:top w:val="nil"/>
              <w:left w:val="nil"/>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PC Diseñador Gráfico</w:t>
            </w:r>
          </w:p>
        </w:tc>
        <w:tc>
          <w:tcPr>
            <w:tcW w:w="1440" w:type="dxa"/>
            <w:tcBorders>
              <w:top w:val="nil"/>
              <w:left w:val="nil"/>
              <w:bottom w:val="nil"/>
              <w:right w:val="nil"/>
            </w:tcBorders>
            <w:shd w:val="clear" w:color="auto" w:fill="FFFFFF"/>
            <w:noWrap/>
            <w:vAlign w:val="bottom"/>
          </w:tcPr>
          <w:p w:rsidR="00A47FC3" w:rsidRDefault="00A47FC3">
            <w:pPr>
              <w:jc w:val="right"/>
              <w:rPr>
                <w:rFonts w:ascii="Verdana" w:hAnsi="Verdana" w:cs="Arial"/>
                <w:sz w:val="12"/>
                <w:szCs w:val="12"/>
              </w:rPr>
            </w:pPr>
            <w:r>
              <w:rPr>
                <w:rFonts w:ascii="Verdana" w:hAnsi="Verdana" w:cs="Arial"/>
                <w:sz w:val="12"/>
                <w:szCs w:val="12"/>
              </w:rPr>
              <w:t>$ 2.000,00</w:t>
            </w:r>
          </w:p>
        </w:tc>
        <w:tc>
          <w:tcPr>
            <w:tcW w:w="1260" w:type="dxa"/>
            <w:tcBorders>
              <w:top w:val="nil"/>
              <w:left w:val="nil"/>
              <w:bottom w:val="nil"/>
              <w:right w:val="nil"/>
            </w:tcBorders>
            <w:shd w:val="clear" w:color="auto" w:fill="FFFFFF"/>
            <w:noWrap/>
            <w:vAlign w:val="bottom"/>
          </w:tcPr>
          <w:p w:rsidR="00A47FC3" w:rsidRDefault="00A47FC3">
            <w:pPr>
              <w:jc w:val="center"/>
              <w:rPr>
                <w:rFonts w:ascii="Verdana" w:hAnsi="Verdana" w:cs="Arial"/>
                <w:sz w:val="12"/>
                <w:szCs w:val="12"/>
              </w:rPr>
            </w:pPr>
            <w:r>
              <w:rPr>
                <w:rFonts w:ascii="Verdana" w:hAnsi="Verdana" w:cs="Arial"/>
                <w:sz w:val="12"/>
                <w:szCs w:val="12"/>
              </w:rPr>
              <w:t>2</w:t>
            </w:r>
          </w:p>
        </w:tc>
        <w:tc>
          <w:tcPr>
            <w:tcW w:w="1720" w:type="dxa"/>
            <w:tcBorders>
              <w:top w:val="nil"/>
              <w:left w:val="nil"/>
              <w:bottom w:val="nil"/>
              <w:right w:val="nil"/>
            </w:tcBorders>
            <w:shd w:val="clear" w:color="auto" w:fill="FFFFFF"/>
            <w:noWrap/>
            <w:vAlign w:val="bottom"/>
          </w:tcPr>
          <w:p w:rsidR="00A47FC3" w:rsidRDefault="00A47FC3">
            <w:pPr>
              <w:jc w:val="right"/>
              <w:rPr>
                <w:rFonts w:ascii="Verdana" w:hAnsi="Verdana" w:cs="Arial"/>
                <w:sz w:val="12"/>
                <w:szCs w:val="12"/>
              </w:rPr>
            </w:pPr>
            <w:r>
              <w:rPr>
                <w:rFonts w:ascii="Verdana" w:hAnsi="Verdana" w:cs="Arial"/>
                <w:sz w:val="12"/>
                <w:szCs w:val="12"/>
              </w:rPr>
              <w:t>$ 1.000,00</w:t>
            </w:r>
          </w:p>
        </w:tc>
        <w:tc>
          <w:tcPr>
            <w:tcW w:w="188" w:type="dxa"/>
            <w:tcBorders>
              <w:top w:val="nil"/>
              <w:left w:val="nil"/>
              <w:bottom w:val="nil"/>
              <w:right w:val="double" w:sz="6" w:space="0" w:color="auto"/>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r>
      <w:tr w:rsidR="00A47FC3">
        <w:trPr>
          <w:trHeight w:val="165"/>
          <w:jc w:val="center"/>
        </w:trPr>
        <w:tc>
          <w:tcPr>
            <w:tcW w:w="188" w:type="dxa"/>
            <w:tcBorders>
              <w:top w:val="nil"/>
              <w:left w:val="double" w:sz="6" w:space="0" w:color="auto"/>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2264" w:type="dxa"/>
            <w:tcBorders>
              <w:top w:val="nil"/>
              <w:left w:val="nil"/>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PC Asistente Administrativa</w:t>
            </w:r>
          </w:p>
        </w:tc>
        <w:tc>
          <w:tcPr>
            <w:tcW w:w="1440" w:type="dxa"/>
            <w:tcBorders>
              <w:top w:val="nil"/>
              <w:left w:val="nil"/>
              <w:bottom w:val="nil"/>
              <w:right w:val="nil"/>
            </w:tcBorders>
            <w:shd w:val="clear" w:color="auto" w:fill="FFFFFF"/>
            <w:noWrap/>
            <w:vAlign w:val="bottom"/>
          </w:tcPr>
          <w:p w:rsidR="00A47FC3" w:rsidRDefault="00A47FC3">
            <w:pPr>
              <w:jc w:val="right"/>
              <w:rPr>
                <w:rFonts w:ascii="Verdana" w:hAnsi="Verdana" w:cs="Arial"/>
                <w:sz w:val="12"/>
                <w:szCs w:val="12"/>
              </w:rPr>
            </w:pPr>
            <w:r>
              <w:rPr>
                <w:rFonts w:ascii="Verdana" w:hAnsi="Verdana" w:cs="Arial"/>
                <w:sz w:val="12"/>
                <w:szCs w:val="12"/>
              </w:rPr>
              <w:t>$ 500,00</w:t>
            </w:r>
          </w:p>
        </w:tc>
        <w:tc>
          <w:tcPr>
            <w:tcW w:w="1260" w:type="dxa"/>
            <w:tcBorders>
              <w:top w:val="nil"/>
              <w:left w:val="nil"/>
              <w:bottom w:val="nil"/>
              <w:right w:val="nil"/>
            </w:tcBorders>
            <w:shd w:val="clear" w:color="auto" w:fill="FFFFFF"/>
            <w:noWrap/>
            <w:vAlign w:val="bottom"/>
          </w:tcPr>
          <w:p w:rsidR="00A47FC3" w:rsidRDefault="00A47FC3">
            <w:pPr>
              <w:jc w:val="center"/>
              <w:rPr>
                <w:rFonts w:ascii="Verdana" w:hAnsi="Verdana" w:cs="Arial"/>
                <w:sz w:val="12"/>
                <w:szCs w:val="12"/>
              </w:rPr>
            </w:pPr>
            <w:r>
              <w:rPr>
                <w:rFonts w:ascii="Verdana" w:hAnsi="Verdana" w:cs="Arial"/>
                <w:sz w:val="12"/>
                <w:szCs w:val="12"/>
              </w:rPr>
              <w:t>2</w:t>
            </w:r>
          </w:p>
        </w:tc>
        <w:tc>
          <w:tcPr>
            <w:tcW w:w="1720" w:type="dxa"/>
            <w:tcBorders>
              <w:top w:val="nil"/>
              <w:left w:val="nil"/>
              <w:bottom w:val="nil"/>
              <w:right w:val="nil"/>
            </w:tcBorders>
            <w:shd w:val="clear" w:color="auto" w:fill="FFFFFF"/>
            <w:noWrap/>
            <w:vAlign w:val="bottom"/>
          </w:tcPr>
          <w:p w:rsidR="00A47FC3" w:rsidRDefault="00A47FC3">
            <w:pPr>
              <w:jc w:val="right"/>
              <w:rPr>
                <w:rFonts w:ascii="Verdana" w:hAnsi="Verdana" w:cs="Arial"/>
                <w:sz w:val="12"/>
                <w:szCs w:val="12"/>
              </w:rPr>
            </w:pPr>
            <w:r>
              <w:rPr>
                <w:rFonts w:ascii="Verdana" w:hAnsi="Verdana" w:cs="Arial"/>
                <w:sz w:val="12"/>
                <w:szCs w:val="12"/>
              </w:rPr>
              <w:t>$ 250,00</w:t>
            </w:r>
          </w:p>
        </w:tc>
        <w:tc>
          <w:tcPr>
            <w:tcW w:w="188" w:type="dxa"/>
            <w:tcBorders>
              <w:top w:val="nil"/>
              <w:left w:val="nil"/>
              <w:bottom w:val="nil"/>
              <w:right w:val="double" w:sz="6" w:space="0" w:color="auto"/>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r>
      <w:tr w:rsidR="00A47FC3">
        <w:trPr>
          <w:trHeight w:val="165"/>
          <w:jc w:val="center"/>
        </w:trPr>
        <w:tc>
          <w:tcPr>
            <w:tcW w:w="188" w:type="dxa"/>
            <w:tcBorders>
              <w:top w:val="nil"/>
              <w:left w:val="double" w:sz="6" w:space="0" w:color="auto"/>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2264" w:type="dxa"/>
            <w:tcBorders>
              <w:top w:val="nil"/>
              <w:left w:val="nil"/>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Impresora,</w:t>
            </w:r>
            <w:r w:rsidR="006E46CF">
              <w:rPr>
                <w:rFonts w:ascii="Verdana" w:hAnsi="Verdana" w:cs="Arial"/>
                <w:sz w:val="12"/>
                <w:szCs w:val="12"/>
              </w:rPr>
              <w:t xml:space="preserve"> Central,</w:t>
            </w:r>
            <w:r>
              <w:rPr>
                <w:rFonts w:ascii="Verdana" w:hAnsi="Verdana" w:cs="Arial"/>
                <w:sz w:val="12"/>
                <w:szCs w:val="12"/>
              </w:rPr>
              <w:t xml:space="preserve"> Teléf</w:t>
            </w:r>
            <w:r w:rsidR="006E46CF">
              <w:rPr>
                <w:rFonts w:ascii="Verdana" w:hAnsi="Verdana" w:cs="Arial"/>
                <w:sz w:val="12"/>
                <w:szCs w:val="12"/>
              </w:rPr>
              <w:t>.</w:t>
            </w:r>
            <w:r>
              <w:rPr>
                <w:rFonts w:ascii="Verdana" w:hAnsi="Verdana" w:cs="Arial"/>
                <w:sz w:val="12"/>
                <w:szCs w:val="12"/>
              </w:rPr>
              <w:t xml:space="preserve"> y Fax</w:t>
            </w:r>
          </w:p>
        </w:tc>
        <w:tc>
          <w:tcPr>
            <w:tcW w:w="1440" w:type="dxa"/>
            <w:tcBorders>
              <w:top w:val="nil"/>
              <w:left w:val="nil"/>
              <w:bottom w:val="nil"/>
              <w:right w:val="nil"/>
            </w:tcBorders>
            <w:shd w:val="clear" w:color="auto" w:fill="FFFFFF"/>
            <w:noWrap/>
            <w:vAlign w:val="bottom"/>
          </w:tcPr>
          <w:p w:rsidR="00A47FC3" w:rsidRDefault="00A47FC3">
            <w:pPr>
              <w:jc w:val="right"/>
              <w:rPr>
                <w:rFonts w:ascii="Verdana" w:hAnsi="Verdana" w:cs="Arial"/>
                <w:sz w:val="12"/>
                <w:szCs w:val="12"/>
              </w:rPr>
            </w:pPr>
            <w:r>
              <w:rPr>
                <w:rFonts w:ascii="Verdana" w:hAnsi="Verdana" w:cs="Arial"/>
                <w:sz w:val="12"/>
                <w:szCs w:val="12"/>
              </w:rPr>
              <w:t xml:space="preserve">$ </w:t>
            </w:r>
            <w:r w:rsidR="006E46CF">
              <w:rPr>
                <w:rFonts w:ascii="Verdana" w:hAnsi="Verdana" w:cs="Arial"/>
                <w:sz w:val="12"/>
                <w:szCs w:val="12"/>
              </w:rPr>
              <w:t>1.</w:t>
            </w:r>
            <w:r>
              <w:rPr>
                <w:rFonts w:ascii="Verdana" w:hAnsi="Verdana" w:cs="Arial"/>
                <w:sz w:val="12"/>
                <w:szCs w:val="12"/>
              </w:rPr>
              <w:t>300,00</w:t>
            </w:r>
          </w:p>
        </w:tc>
        <w:tc>
          <w:tcPr>
            <w:tcW w:w="1260" w:type="dxa"/>
            <w:tcBorders>
              <w:top w:val="nil"/>
              <w:left w:val="nil"/>
              <w:bottom w:val="nil"/>
              <w:right w:val="nil"/>
            </w:tcBorders>
            <w:shd w:val="clear" w:color="auto" w:fill="FFFFFF"/>
            <w:noWrap/>
            <w:vAlign w:val="bottom"/>
          </w:tcPr>
          <w:p w:rsidR="00A47FC3" w:rsidRDefault="00A47FC3">
            <w:pPr>
              <w:jc w:val="center"/>
              <w:rPr>
                <w:rFonts w:ascii="Verdana" w:hAnsi="Verdana" w:cs="Arial"/>
                <w:sz w:val="12"/>
                <w:szCs w:val="12"/>
              </w:rPr>
            </w:pPr>
            <w:r>
              <w:rPr>
                <w:rFonts w:ascii="Verdana" w:hAnsi="Verdana" w:cs="Arial"/>
                <w:sz w:val="12"/>
                <w:szCs w:val="12"/>
              </w:rPr>
              <w:t>2</w:t>
            </w:r>
          </w:p>
        </w:tc>
        <w:tc>
          <w:tcPr>
            <w:tcW w:w="1720" w:type="dxa"/>
            <w:tcBorders>
              <w:top w:val="nil"/>
              <w:left w:val="nil"/>
              <w:bottom w:val="nil"/>
              <w:right w:val="nil"/>
            </w:tcBorders>
            <w:shd w:val="clear" w:color="auto" w:fill="FFFFFF"/>
            <w:noWrap/>
            <w:vAlign w:val="bottom"/>
          </w:tcPr>
          <w:p w:rsidR="00A47FC3" w:rsidRDefault="006E46CF">
            <w:pPr>
              <w:jc w:val="right"/>
              <w:rPr>
                <w:rFonts w:ascii="Verdana" w:hAnsi="Verdana" w:cs="Arial"/>
                <w:sz w:val="12"/>
                <w:szCs w:val="12"/>
              </w:rPr>
            </w:pPr>
            <w:r>
              <w:rPr>
                <w:rFonts w:ascii="Verdana" w:hAnsi="Verdana" w:cs="Arial"/>
                <w:sz w:val="12"/>
                <w:szCs w:val="12"/>
              </w:rPr>
              <w:t>$ 6</w:t>
            </w:r>
            <w:r w:rsidR="00A47FC3">
              <w:rPr>
                <w:rFonts w:ascii="Verdana" w:hAnsi="Verdana" w:cs="Arial"/>
                <w:sz w:val="12"/>
                <w:szCs w:val="12"/>
              </w:rPr>
              <w:t>50,00</w:t>
            </w:r>
          </w:p>
        </w:tc>
        <w:tc>
          <w:tcPr>
            <w:tcW w:w="188" w:type="dxa"/>
            <w:tcBorders>
              <w:top w:val="nil"/>
              <w:left w:val="nil"/>
              <w:bottom w:val="nil"/>
              <w:right w:val="double" w:sz="6" w:space="0" w:color="auto"/>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r>
      <w:tr w:rsidR="00A47FC3">
        <w:trPr>
          <w:trHeight w:val="165"/>
          <w:jc w:val="center"/>
        </w:trPr>
        <w:tc>
          <w:tcPr>
            <w:tcW w:w="188" w:type="dxa"/>
            <w:tcBorders>
              <w:top w:val="nil"/>
              <w:left w:val="double" w:sz="6" w:space="0" w:color="auto"/>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2264" w:type="dxa"/>
            <w:tcBorders>
              <w:top w:val="nil"/>
              <w:left w:val="nil"/>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Cableado Estructurado</w:t>
            </w:r>
          </w:p>
        </w:tc>
        <w:tc>
          <w:tcPr>
            <w:tcW w:w="1440" w:type="dxa"/>
            <w:tcBorders>
              <w:top w:val="nil"/>
              <w:left w:val="nil"/>
              <w:bottom w:val="nil"/>
              <w:right w:val="nil"/>
            </w:tcBorders>
            <w:shd w:val="clear" w:color="auto" w:fill="FFFFFF"/>
            <w:noWrap/>
            <w:vAlign w:val="bottom"/>
          </w:tcPr>
          <w:p w:rsidR="00A47FC3" w:rsidRDefault="006E46CF">
            <w:pPr>
              <w:jc w:val="right"/>
              <w:rPr>
                <w:rFonts w:ascii="Verdana" w:hAnsi="Verdana" w:cs="Arial"/>
                <w:sz w:val="12"/>
                <w:szCs w:val="12"/>
              </w:rPr>
            </w:pPr>
            <w:r>
              <w:rPr>
                <w:rFonts w:ascii="Verdana" w:hAnsi="Verdana" w:cs="Arial"/>
                <w:sz w:val="12"/>
                <w:szCs w:val="12"/>
              </w:rPr>
              <w:t>$ 1.0</w:t>
            </w:r>
            <w:r w:rsidR="00A47FC3">
              <w:rPr>
                <w:rFonts w:ascii="Verdana" w:hAnsi="Verdana" w:cs="Arial"/>
                <w:sz w:val="12"/>
                <w:szCs w:val="12"/>
              </w:rPr>
              <w:t>00,00</w:t>
            </w:r>
          </w:p>
        </w:tc>
        <w:tc>
          <w:tcPr>
            <w:tcW w:w="1260" w:type="dxa"/>
            <w:tcBorders>
              <w:top w:val="nil"/>
              <w:left w:val="nil"/>
              <w:bottom w:val="nil"/>
              <w:right w:val="nil"/>
            </w:tcBorders>
            <w:shd w:val="clear" w:color="auto" w:fill="FFFFFF"/>
            <w:noWrap/>
            <w:vAlign w:val="bottom"/>
          </w:tcPr>
          <w:p w:rsidR="00A47FC3" w:rsidRDefault="00A47FC3">
            <w:pPr>
              <w:jc w:val="center"/>
              <w:rPr>
                <w:rFonts w:ascii="Verdana" w:hAnsi="Verdana" w:cs="Arial"/>
                <w:sz w:val="12"/>
                <w:szCs w:val="12"/>
              </w:rPr>
            </w:pPr>
            <w:r>
              <w:rPr>
                <w:rFonts w:ascii="Verdana" w:hAnsi="Verdana" w:cs="Arial"/>
                <w:sz w:val="12"/>
                <w:szCs w:val="12"/>
              </w:rPr>
              <w:t>5</w:t>
            </w:r>
          </w:p>
        </w:tc>
        <w:tc>
          <w:tcPr>
            <w:tcW w:w="1720" w:type="dxa"/>
            <w:tcBorders>
              <w:top w:val="nil"/>
              <w:left w:val="nil"/>
              <w:bottom w:val="nil"/>
              <w:right w:val="nil"/>
            </w:tcBorders>
            <w:shd w:val="clear" w:color="auto" w:fill="FFFFFF"/>
            <w:noWrap/>
            <w:vAlign w:val="bottom"/>
          </w:tcPr>
          <w:p w:rsidR="00A47FC3" w:rsidRDefault="006E46CF">
            <w:pPr>
              <w:jc w:val="right"/>
              <w:rPr>
                <w:rFonts w:ascii="Verdana" w:hAnsi="Verdana" w:cs="Arial"/>
                <w:sz w:val="12"/>
                <w:szCs w:val="12"/>
              </w:rPr>
            </w:pPr>
            <w:r>
              <w:rPr>
                <w:rFonts w:ascii="Verdana" w:hAnsi="Verdana" w:cs="Arial"/>
                <w:sz w:val="12"/>
                <w:szCs w:val="12"/>
              </w:rPr>
              <w:t>$ 2</w:t>
            </w:r>
            <w:r w:rsidR="00A47FC3">
              <w:rPr>
                <w:rFonts w:ascii="Verdana" w:hAnsi="Verdana" w:cs="Arial"/>
                <w:sz w:val="12"/>
                <w:szCs w:val="12"/>
              </w:rPr>
              <w:t>00,00</w:t>
            </w:r>
          </w:p>
        </w:tc>
        <w:tc>
          <w:tcPr>
            <w:tcW w:w="188" w:type="dxa"/>
            <w:tcBorders>
              <w:top w:val="nil"/>
              <w:left w:val="nil"/>
              <w:bottom w:val="nil"/>
              <w:right w:val="double" w:sz="6" w:space="0" w:color="auto"/>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r>
      <w:tr w:rsidR="00A47FC3">
        <w:trPr>
          <w:trHeight w:val="165"/>
          <w:jc w:val="center"/>
        </w:trPr>
        <w:tc>
          <w:tcPr>
            <w:tcW w:w="188" w:type="dxa"/>
            <w:tcBorders>
              <w:top w:val="nil"/>
              <w:left w:val="double" w:sz="6" w:space="0" w:color="auto"/>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2264" w:type="dxa"/>
            <w:tcBorders>
              <w:top w:val="nil"/>
              <w:left w:val="nil"/>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Divisiones Modulares</w:t>
            </w:r>
          </w:p>
        </w:tc>
        <w:tc>
          <w:tcPr>
            <w:tcW w:w="1440" w:type="dxa"/>
            <w:tcBorders>
              <w:top w:val="nil"/>
              <w:left w:val="nil"/>
              <w:bottom w:val="nil"/>
              <w:right w:val="nil"/>
            </w:tcBorders>
            <w:shd w:val="clear" w:color="auto" w:fill="FFFFFF"/>
            <w:noWrap/>
            <w:vAlign w:val="bottom"/>
          </w:tcPr>
          <w:p w:rsidR="00A47FC3" w:rsidRDefault="006E46CF">
            <w:pPr>
              <w:jc w:val="right"/>
              <w:rPr>
                <w:rFonts w:ascii="Verdana" w:hAnsi="Verdana" w:cs="Arial"/>
                <w:sz w:val="12"/>
                <w:szCs w:val="12"/>
              </w:rPr>
            </w:pPr>
            <w:r>
              <w:rPr>
                <w:rFonts w:ascii="Verdana" w:hAnsi="Verdana" w:cs="Arial"/>
                <w:sz w:val="12"/>
                <w:szCs w:val="12"/>
              </w:rPr>
              <w:t>$ 2</w:t>
            </w:r>
            <w:r w:rsidR="00A47FC3">
              <w:rPr>
                <w:rFonts w:ascii="Verdana" w:hAnsi="Verdana" w:cs="Arial"/>
                <w:sz w:val="12"/>
                <w:szCs w:val="12"/>
              </w:rPr>
              <w:t>.500,00</w:t>
            </w:r>
          </w:p>
        </w:tc>
        <w:tc>
          <w:tcPr>
            <w:tcW w:w="1260" w:type="dxa"/>
            <w:tcBorders>
              <w:top w:val="nil"/>
              <w:left w:val="nil"/>
              <w:bottom w:val="nil"/>
              <w:right w:val="nil"/>
            </w:tcBorders>
            <w:shd w:val="clear" w:color="auto" w:fill="FFFFFF"/>
            <w:noWrap/>
            <w:vAlign w:val="bottom"/>
          </w:tcPr>
          <w:p w:rsidR="00A47FC3" w:rsidRDefault="00A47FC3">
            <w:pPr>
              <w:jc w:val="center"/>
              <w:rPr>
                <w:rFonts w:ascii="Verdana" w:hAnsi="Verdana" w:cs="Arial"/>
                <w:sz w:val="12"/>
                <w:szCs w:val="12"/>
              </w:rPr>
            </w:pPr>
            <w:r>
              <w:rPr>
                <w:rFonts w:ascii="Verdana" w:hAnsi="Verdana" w:cs="Arial"/>
                <w:sz w:val="12"/>
                <w:szCs w:val="12"/>
              </w:rPr>
              <w:t>5</w:t>
            </w:r>
          </w:p>
        </w:tc>
        <w:tc>
          <w:tcPr>
            <w:tcW w:w="1720" w:type="dxa"/>
            <w:tcBorders>
              <w:top w:val="nil"/>
              <w:left w:val="nil"/>
              <w:bottom w:val="nil"/>
              <w:right w:val="nil"/>
            </w:tcBorders>
            <w:shd w:val="clear" w:color="auto" w:fill="FFFFFF"/>
            <w:noWrap/>
            <w:vAlign w:val="bottom"/>
          </w:tcPr>
          <w:p w:rsidR="00A47FC3" w:rsidRDefault="006E46CF">
            <w:pPr>
              <w:jc w:val="right"/>
              <w:rPr>
                <w:rFonts w:ascii="Verdana" w:hAnsi="Verdana" w:cs="Arial"/>
                <w:sz w:val="12"/>
                <w:szCs w:val="12"/>
              </w:rPr>
            </w:pPr>
            <w:r>
              <w:rPr>
                <w:rFonts w:ascii="Verdana" w:hAnsi="Verdana" w:cs="Arial"/>
                <w:sz w:val="12"/>
                <w:szCs w:val="12"/>
              </w:rPr>
              <w:t>$ 5</w:t>
            </w:r>
            <w:r w:rsidR="00A47FC3">
              <w:rPr>
                <w:rFonts w:ascii="Verdana" w:hAnsi="Verdana" w:cs="Arial"/>
                <w:sz w:val="12"/>
                <w:szCs w:val="12"/>
              </w:rPr>
              <w:t>00,00</w:t>
            </w:r>
          </w:p>
        </w:tc>
        <w:tc>
          <w:tcPr>
            <w:tcW w:w="188" w:type="dxa"/>
            <w:tcBorders>
              <w:top w:val="nil"/>
              <w:left w:val="nil"/>
              <w:bottom w:val="nil"/>
              <w:right w:val="double" w:sz="6" w:space="0" w:color="auto"/>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r>
      <w:tr w:rsidR="00A47FC3">
        <w:trPr>
          <w:trHeight w:val="165"/>
          <w:jc w:val="center"/>
        </w:trPr>
        <w:tc>
          <w:tcPr>
            <w:tcW w:w="188" w:type="dxa"/>
            <w:tcBorders>
              <w:top w:val="nil"/>
              <w:left w:val="double" w:sz="6" w:space="0" w:color="auto"/>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2264" w:type="dxa"/>
            <w:tcBorders>
              <w:top w:val="nil"/>
              <w:left w:val="nil"/>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Sillas y Escritorios</w:t>
            </w:r>
          </w:p>
        </w:tc>
        <w:tc>
          <w:tcPr>
            <w:tcW w:w="1440" w:type="dxa"/>
            <w:tcBorders>
              <w:top w:val="nil"/>
              <w:left w:val="nil"/>
              <w:bottom w:val="nil"/>
              <w:right w:val="nil"/>
            </w:tcBorders>
            <w:shd w:val="clear" w:color="auto" w:fill="FFFFFF"/>
            <w:noWrap/>
            <w:vAlign w:val="bottom"/>
          </w:tcPr>
          <w:p w:rsidR="00A47FC3" w:rsidRDefault="006E46CF">
            <w:pPr>
              <w:jc w:val="right"/>
              <w:rPr>
                <w:rFonts w:ascii="Verdana" w:hAnsi="Verdana" w:cs="Arial"/>
                <w:sz w:val="12"/>
                <w:szCs w:val="12"/>
              </w:rPr>
            </w:pPr>
            <w:r>
              <w:rPr>
                <w:rFonts w:ascii="Verdana" w:hAnsi="Verdana" w:cs="Arial"/>
                <w:sz w:val="12"/>
                <w:szCs w:val="12"/>
              </w:rPr>
              <w:t>$ 4</w:t>
            </w:r>
            <w:r w:rsidR="00A47FC3">
              <w:rPr>
                <w:rFonts w:ascii="Verdana" w:hAnsi="Verdana" w:cs="Arial"/>
                <w:sz w:val="12"/>
                <w:szCs w:val="12"/>
              </w:rPr>
              <w:t>.000,00</w:t>
            </w:r>
          </w:p>
        </w:tc>
        <w:tc>
          <w:tcPr>
            <w:tcW w:w="1260" w:type="dxa"/>
            <w:tcBorders>
              <w:top w:val="nil"/>
              <w:left w:val="nil"/>
              <w:bottom w:val="nil"/>
              <w:right w:val="nil"/>
            </w:tcBorders>
            <w:shd w:val="clear" w:color="auto" w:fill="FFFFFF"/>
            <w:noWrap/>
            <w:vAlign w:val="bottom"/>
          </w:tcPr>
          <w:p w:rsidR="00A47FC3" w:rsidRDefault="00A47FC3">
            <w:pPr>
              <w:jc w:val="center"/>
              <w:rPr>
                <w:rFonts w:ascii="Verdana" w:hAnsi="Verdana" w:cs="Arial"/>
                <w:sz w:val="12"/>
                <w:szCs w:val="12"/>
              </w:rPr>
            </w:pPr>
            <w:r>
              <w:rPr>
                <w:rFonts w:ascii="Verdana" w:hAnsi="Verdana" w:cs="Arial"/>
                <w:sz w:val="12"/>
                <w:szCs w:val="12"/>
              </w:rPr>
              <w:t>5</w:t>
            </w:r>
          </w:p>
        </w:tc>
        <w:tc>
          <w:tcPr>
            <w:tcW w:w="1720" w:type="dxa"/>
            <w:tcBorders>
              <w:top w:val="nil"/>
              <w:left w:val="nil"/>
              <w:bottom w:val="nil"/>
              <w:right w:val="nil"/>
            </w:tcBorders>
            <w:shd w:val="clear" w:color="auto" w:fill="FFFFFF"/>
            <w:noWrap/>
            <w:vAlign w:val="bottom"/>
          </w:tcPr>
          <w:p w:rsidR="00A47FC3" w:rsidRDefault="006E46CF">
            <w:pPr>
              <w:jc w:val="right"/>
              <w:rPr>
                <w:rFonts w:ascii="Verdana" w:hAnsi="Verdana" w:cs="Arial"/>
                <w:sz w:val="12"/>
                <w:szCs w:val="12"/>
              </w:rPr>
            </w:pPr>
            <w:r>
              <w:rPr>
                <w:rFonts w:ascii="Verdana" w:hAnsi="Verdana" w:cs="Arial"/>
                <w:sz w:val="12"/>
                <w:szCs w:val="12"/>
              </w:rPr>
              <w:t>$ 8</w:t>
            </w:r>
            <w:r w:rsidR="00A47FC3">
              <w:rPr>
                <w:rFonts w:ascii="Verdana" w:hAnsi="Verdana" w:cs="Arial"/>
                <w:sz w:val="12"/>
                <w:szCs w:val="12"/>
              </w:rPr>
              <w:t>00,00</w:t>
            </w:r>
          </w:p>
        </w:tc>
        <w:tc>
          <w:tcPr>
            <w:tcW w:w="188" w:type="dxa"/>
            <w:tcBorders>
              <w:top w:val="nil"/>
              <w:left w:val="nil"/>
              <w:bottom w:val="nil"/>
              <w:right w:val="double" w:sz="6" w:space="0" w:color="auto"/>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r>
      <w:tr w:rsidR="00A47FC3">
        <w:trPr>
          <w:trHeight w:val="165"/>
          <w:jc w:val="center"/>
        </w:trPr>
        <w:tc>
          <w:tcPr>
            <w:tcW w:w="188" w:type="dxa"/>
            <w:tcBorders>
              <w:top w:val="nil"/>
              <w:left w:val="double" w:sz="6" w:space="0" w:color="auto"/>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2264" w:type="dxa"/>
            <w:tcBorders>
              <w:top w:val="nil"/>
              <w:left w:val="nil"/>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Otros Modulares</w:t>
            </w:r>
          </w:p>
        </w:tc>
        <w:tc>
          <w:tcPr>
            <w:tcW w:w="1440" w:type="dxa"/>
            <w:tcBorders>
              <w:top w:val="nil"/>
              <w:left w:val="nil"/>
              <w:bottom w:val="nil"/>
              <w:right w:val="nil"/>
            </w:tcBorders>
            <w:shd w:val="clear" w:color="auto" w:fill="FFFFFF"/>
            <w:noWrap/>
            <w:vAlign w:val="bottom"/>
          </w:tcPr>
          <w:p w:rsidR="00A47FC3" w:rsidRDefault="006E46CF">
            <w:pPr>
              <w:jc w:val="right"/>
              <w:rPr>
                <w:rFonts w:ascii="Verdana" w:hAnsi="Verdana" w:cs="Arial"/>
                <w:sz w:val="12"/>
                <w:szCs w:val="12"/>
              </w:rPr>
            </w:pPr>
            <w:r>
              <w:rPr>
                <w:rFonts w:ascii="Verdana" w:hAnsi="Verdana" w:cs="Arial"/>
                <w:sz w:val="12"/>
                <w:szCs w:val="12"/>
              </w:rPr>
              <w:t>$ 1.5</w:t>
            </w:r>
            <w:r w:rsidR="00A47FC3">
              <w:rPr>
                <w:rFonts w:ascii="Verdana" w:hAnsi="Verdana" w:cs="Arial"/>
                <w:sz w:val="12"/>
                <w:szCs w:val="12"/>
              </w:rPr>
              <w:t>00,00</w:t>
            </w:r>
          </w:p>
        </w:tc>
        <w:tc>
          <w:tcPr>
            <w:tcW w:w="1260" w:type="dxa"/>
            <w:tcBorders>
              <w:top w:val="nil"/>
              <w:left w:val="nil"/>
              <w:bottom w:val="nil"/>
              <w:right w:val="nil"/>
            </w:tcBorders>
            <w:shd w:val="clear" w:color="auto" w:fill="FFFFFF"/>
            <w:noWrap/>
            <w:vAlign w:val="bottom"/>
          </w:tcPr>
          <w:p w:rsidR="00A47FC3" w:rsidRDefault="00A47FC3">
            <w:pPr>
              <w:jc w:val="center"/>
              <w:rPr>
                <w:rFonts w:ascii="Verdana" w:hAnsi="Verdana" w:cs="Arial"/>
                <w:sz w:val="12"/>
                <w:szCs w:val="12"/>
              </w:rPr>
            </w:pPr>
            <w:r>
              <w:rPr>
                <w:rFonts w:ascii="Verdana" w:hAnsi="Verdana" w:cs="Arial"/>
                <w:sz w:val="12"/>
                <w:szCs w:val="12"/>
              </w:rPr>
              <w:t>5</w:t>
            </w:r>
          </w:p>
        </w:tc>
        <w:tc>
          <w:tcPr>
            <w:tcW w:w="1720" w:type="dxa"/>
            <w:tcBorders>
              <w:top w:val="nil"/>
              <w:left w:val="nil"/>
              <w:bottom w:val="nil"/>
              <w:right w:val="nil"/>
            </w:tcBorders>
            <w:shd w:val="clear" w:color="auto" w:fill="FFFFFF"/>
            <w:noWrap/>
            <w:vAlign w:val="bottom"/>
          </w:tcPr>
          <w:p w:rsidR="00A47FC3" w:rsidRDefault="006E46CF">
            <w:pPr>
              <w:jc w:val="right"/>
              <w:rPr>
                <w:rFonts w:ascii="Verdana" w:hAnsi="Verdana" w:cs="Arial"/>
                <w:sz w:val="12"/>
                <w:szCs w:val="12"/>
              </w:rPr>
            </w:pPr>
            <w:r>
              <w:rPr>
                <w:rFonts w:ascii="Verdana" w:hAnsi="Verdana" w:cs="Arial"/>
                <w:sz w:val="12"/>
                <w:szCs w:val="12"/>
              </w:rPr>
              <w:t>$ 30</w:t>
            </w:r>
            <w:r w:rsidR="00A47FC3">
              <w:rPr>
                <w:rFonts w:ascii="Verdana" w:hAnsi="Verdana" w:cs="Arial"/>
                <w:sz w:val="12"/>
                <w:szCs w:val="12"/>
              </w:rPr>
              <w:t>0,00</w:t>
            </w:r>
          </w:p>
        </w:tc>
        <w:tc>
          <w:tcPr>
            <w:tcW w:w="188" w:type="dxa"/>
            <w:tcBorders>
              <w:top w:val="nil"/>
              <w:left w:val="nil"/>
              <w:bottom w:val="nil"/>
              <w:right w:val="double" w:sz="6" w:space="0" w:color="auto"/>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r>
      <w:tr w:rsidR="00A47FC3">
        <w:trPr>
          <w:trHeight w:val="165"/>
          <w:jc w:val="center"/>
        </w:trPr>
        <w:tc>
          <w:tcPr>
            <w:tcW w:w="188" w:type="dxa"/>
            <w:tcBorders>
              <w:top w:val="nil"/>
              <w:left w:val="double" w:sz="6" w:space="0" w:color="auto"/>
              <w:bottom w:val="nil"/>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2264" w:type="dxa"/>
            <w:tcBorders>
              <w:top w:val="nil"/>
              <w:left w:val="nil"/>
              <w:bottom w:val="nil"/>
              <w:right w:val="nil"/>
            </w:tcBorders>
            <w:shd w:val="clear" w:color="auto" w:fill="C0C0C0"/>
            <w:noWrap/>
            <w:vAlign w:val="bottom"/>
          </w:tcPr>
          <w:p w:rsidR="00A47FC3" w:rsidRDefault="00A47FC3">
            <w:pPr>
              <w:rPr>
                <w:rFonts w:ascii="Verdana" w:hAnsi="Verdana" w:cs="Arial"/>
                <w:b/>
                <w:bCs/>
                <w:sz w:val="12"/>
                <w:szCs w:val="12"/>
              </w:rPr>
            </w:pPr>
            <w:r>
              <w:rPr>
                <w:rFonts w:ascii="Verdana" w:hAnsi="Verdana" w:cs="Arial"/>
                <w:b/>
                <w:bCs/>
                <w:sz w:val="12"/>
                <w:szCs w:val="12"/>
              </w:rPr>
              <w:t>TOTAL</w:t>
            </w:r>
          </w:p>
        </w:tc>
        <w:tc>
          <w:tcPr>
            <w:tcW w:w="1440" w:type="dxa"/>
            <w:tcBorders>
              <w:top w:val="nil"/>
              <w:left w:val="nil"/>
              <w:bottom w:val="nil"/>
              <w:right w:val="nil"/>
            </w:tcBorders>
            <w:shd w:val="clear" w:color="auto" w:fill="C0C0C0"/>
            <w:noWrap/>
            <w:vAlign w:val="bottom"/>
          </w:tcPr>
          <w:p w:rsidR="00A47FC3" w:rsidRDefault="006E46CF">
            <w:pPr>
              <w:jc w:val="right"/>
              <w:rPr>
                <w:rFonts w:ascii="Verdana" w:hAnsi="Verdana" w:cs="Arial"/>
                <w:b/>
                <w:bCs/>
                <w:sz w:val="12"/>
                <w:szCs w:val="12"/>
              </w:rPr>
            </w:pPr>
            <w:r>
              <w:rPr>
                <w:rFonts w:ascii="Verdana" w:hAnsi="Verdana" w:cs="Arial"/>
                <w:b/>
                <w:bCs/>
                <w:sz w:val="12"/>
                <w:szCs w:val="12"/>
              </w:rPr>
              <w:t>$ 14.3</w:t>
            </w:r>
            <w:r w:rsidR="00A47FC3">
              <w:rPr>
                <w:rFonts w:ascii="Verdana" w:hAnsi="Verdana" w:cs="Arial"/>
                <w:b/>
                <w:bCs/>
                <w:sz w:val="12"/>
                <w:szCs w:val="12"/>
              </w:rPr>
              <w:t>00,00</w:t>
            </w:r>
          </w:p>
        </w:tc>
        <w:tc>
          <w:tcPr>
            <w:tcW w:w="1260" w:type="dxa"/>
            <w:tcBorders>
              <w:top w:val="nil"/>
              <w:left w:val="nil"/>
              <w:bottom w:val="nil"/>
              <w:right w:val="nil"/>
            </w:tcBorders>
            <w:shd w:val="clear" w:color="auto" w:fill="C0C0C0"/>
            <w:noWrap/>
            <w:vAlign w:val="bottom"/>
          </w:tcPr>
          <w:p w:rsidR="00A47FC3" w:rsidRDefault="00A47FC3">
            <w:pPr>
              <w:rPr>
                <w:rFonts w:ascii="Verdana" w:hAnsi="Verdana" w:cs="Arial"/>
                <w:b/>
                <w:bCs/>
                <w:sz w:val="12"/>
                <w:szCs w:val="12"/>
              </w:rPr>
            </w:pPr>
            <w:r>
              <w:rPr>
                <w:rFonts w:ascii="Verdana" w:hAnsi="Verdana" w:cs="Arial"/>
                <w:b/>
                <w:bCs/>
                <w:sz w:val="12"/>
                <w:szCs w:val="12"/>
              </w:rPr>
              <w:t> </w:t>
            </w:r>
          </w:p>
        </w:tc>
        <w:tc>
          <w:tcPr>
            <w:tcW w:w="1720" w:type="dxa"/>
            <w:tcBorders>
              <w:top w:val="nil"/>
              <w:left w:val="nil"/>
              <w:bottom w:val="nil"/>
              <w:right w:val="nil"/>
            </w:tcBorders>
            <w:shd w:val="clear" w:color="auto" w:fill="C0C0C0"/>
            <w:noWrap/>
            <w:vAlign w:val="bottom"/>
          </w:tcPr>
          <w:p w:rsidR="00A47FC3" w:rsidRDefault="006E46CF">
            <w:pPr>
              <w:jc w:val="right"/>
              <w:rPr>
                <w:rFonts w:ascii="Verdana" w:hAnsi="Verdana" w:cs="Arial"/>
                <w:b/>
                <w:bCs/>
                <w:sz w:val="12"/>
                <w:szCs w:val="12"/>
              </w:rPr>
            </w:pPr>
            <w:r>
              <w:rPr>
                <w:rFonts w:ascii="Verdana" w:hAnsi="Verdana" w:cs="Arial"/>
                <w:b/>
                <w:bCs/>
                <w:sz w:val="12"/>
                <w:szCs w:val="12"/>
              </w:rPr>
              <w:t>$ 4.450</w:t>
            </w:r>
            <w:r w:rsidR="00A47FC3">
              <w:rPr>
                <w:rFonts w:ascii="Verdana" w:hAnsi="Verdana" w:cs="Arial"/>
                <w:b/>
                <w:bCs/>
                <w:sz w:val="12"/>
                <w:szCs w:val="12"/>
              </w:rPr>
              <w:t>,00</w:t>
            </w:r>
          </w:p>
        </w:tc>
        <w:tc>
          <w:tcPr>
            <w:tcW w:w="188" w:type="dxa"/>
            <w:tcBorders>
              <w:top w:val="nil"/>
              <w:left w:val="nil"/>
              <w:bottom w:val="nil"/>
              <w:right w:val="double" w:sz="6" w:space="0" w:color="auto"/>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r>
      <w:tr w:rsidR="00A47FC3">
        <w:trPr>
          <w:trHeight w:val="180"/>
          <w:jc w:val="center"/>
        </w:trPr>
        <w:tc>
          <w:tcPr>
            <w:tcW w:w="188" w:type="dxa"/>
            <w:tcBorders>
              <w:top w:val="nil"/>
              <w:left w:val="double" w:sz="6" w:space="0" w:color="auto"/>
              <w:bottom w:val="double" w:sz="6" w:space="0" w:color="auto"/>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2264" w:type="dxa"/>
            <w:tcBorders>
              <w:top w:val="nil"/>
              <w:left w:val="nil"/>
              <w:bottom w:val="double" w:sz="6" w:space="0" w:color="auto"/>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1440" w:type="dxa"/>
            <w:tcBorders>
              <w:top w:val="nil"/>
              <w:left w:val="nil"/>
              <w:bottom w:val="double" w:sz="6" w:space="0" w:color="auto"/>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1260" w:type="dxa"/>
            <w:tcBorders>
              <w:top w:val="nil"/>
              <w:left w:val="nil"/>
              <w:bottom w:val="double" w:sz="6" w:space="0" w:color="auto"/>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1720" w:type="dxa"/>
            <w:tcBorders>
              <w:top w:val="nil"/>
              <w:left w:val="nil"/>
              <w:bottom w:val="double" w:sz="6" w:space="0" w:color="auto"/>
              <w:right w:val="nil"/>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c>
          <w:tcPr>
            <w:tcW w:w="188" w:type="dxa"/>
            <w:tcBorders>
              <w:top w:val="nil"/>
              <w:left w:val="nil"/>
              <w:bottom w:val="double" w:sz="6" w:space="0" w:color="auto"/>
              <w:right w:val="double" w:sz="6" w:space="0" w:color="auto"/>
            </w:tcBorders>
            <w:shd w:val="clear" w:color="auto" w:fill="FFFFFF"/>
            <w:noWrap/>
            <w:vAlign w:val="bottom"/>
          </w:tcPr>
          <w:p w:rsidR="00A47FC3" w:rsidRDefault="00A47FC3">
            <w:pPr>
              <w:rPr>
                <w:rFonts w:ascii="Verdana" w:hAnsi="Verdana" w:cs="Arial"/>
                <w:sz w:val="12"/>
                <w:szCs w:val="12"/>
              </w:rPr>
            </w:pPr>
            <w:r>
              <w:rPr>
                <w:rFonts w:ascii="Verdana" w:hAnsi="Verdana" w:cs="Arial"/>
                <w:sz w:val="12"/>
                <w:szCs w:val="12"/>
              </w:rPr>
              <w:t> </w:t>
            </w:r>
          </w:p>
        </w:tc>
      </w:tr>
    </w:tbl>
    <w:p w:rsidR="00703D30" w:rsidRPr="008D290B" w:rsidRDefault="00703D30" w:rsidP="00703D30">
      <w:pPr>
        <w:spacing w:line="480" w:lineRule="auto"/>
        <w:jc w:val="center"/>
        <w:rPr>
          <w:i/>
          <w:sz w:val="20"/>
          <w:szCs w:val="20"/>
        </w:rPr>
      </w:pPr>
      <w:r>
        <w:rPr>
          <w:b/>
          <w:i/>
          <w:sz w:val="20"/>
          <w:szCs w:val="20"/>
        </w:rPr>
        <w:t>Elaboración</w:t>
      </w:r>
      <w:r w:rsidRPr="008D290B">
        <w:rPr>
          <w:b/>
          <w:i/>
          <w:sz w:val="20"/>
          <w:szCs w:val="20"/>
        </w:rPr>
        <w:t>:</w:t>
      </w:r>
      <w:r w:rsidRPr="008D290B">
        <w:rPr>
          <w:i/>
          <w:sz w:val="20"/>
          <w:szCs w:val="20"/>
        </w:rPr>
        <w:t xml:space="preserve"> </w:t>
      </w:r>
      <w:r>
        <w:rPr>
          <w:i/>
          <w:sz w:val="20"/>
          <w:szCs w:val="20"/>
        </w:rPr>
        <w:t>Los Autores</w:t>
      </w:r>
    </w:p>
    <w:p w:rsidR="00B62AB0" w:rsidRDefault="00B62AB0" w:rsidP="002F5B85">
      <w:pPr>
        <w:spacing w:line="480" w:lineRule="auto"/>
      </w:pPr>
    </w:p>
    <w:p w:rsidR="00A47FC3" w:rsidRDefault="00A47FC3" w:rsidP="002F5B85">
      <w:pPr>
        <w:spacing w:line="480" w:lineRule="auto"/>
      </w:pPr>
    </w:p>
    <w:p w:rsidR="002F6390" w:rsidRDefault="002F6390" w:rsidP="002F5B85">
      <w:pPr>
        <w:spacing w:line="480" w:lineRule="auto"/>
      </w:pPr>
    </w:p>
    <w:p w:rsidR="00581580" w:rsidRPr="00570B9C" w:rsidRDefault="00581580" w:rsidP="00581580">
      <w:pPr>
        <w:spacing w:line="480" w:lineRule="auto"/>
        <w:rPr>
          <w:b/>
          <w:sz w:val="28"/>
          <w:szCs w:val="28"/>
        </w:rPr>
      </w:pPr>
      <w:r w:rsidRPr="00570B9C">
        <w:rPr>
          <w:b/>
          <w:sz w:val="28"/>
          <w:szCs w:val="28"/>
        </w:rPr>
        <w:t>5.</w:t>
      </w:r>
      <w:r w:rsidR="00570B9C">
        <w:rPr>
          <w:b/>
          <w:sz w:val="28"/>
          <w:szCs w:val="28"/>
        </w:rPr>
        <w:t>5</w:t>
      </w:r>
      <w:r w:rsidRPr="00570B9C">
        <w:rPr>
          <w:b/>
          <w:sz w:val="28"/>
          <w:szCs w:val="28"/>
        </w:rPr>
        <w:t xml:space="preserve">.- </w:t>
      </w:r>
      <w:r w:rsidR="00BD4923" w:rsidRPr="00570B9C">
        <w:rPr>
          <w:b/>
          <w:sz w:val="28"/>
          <w:szCs w:val="28"/>
        </w:rPr>
        <w:t>Proyección de Ingresos</w:t>
      </w:r>
    </w:p>
    <w:p w:rsidR="00581580" w:rsidRDefault="00581580" w:rsidP="002F5B85">
      <w:pPr>
        <w:spacing w:line="480" w:lineRule="auto"/>
      </w:pPr>
    </w:p>
    <w:p w:rsidR="00581580" w:rsidRDefault="00AB3E90" w:rsidP="00115804">
      <w:pPr>
        <w:spacing w:line="480" w:lineRule="auto"/>
        <w:ind w:firstLine="540"/>
        <w:jc w:val="both"/>
      </w:pPr>
      <w:r>
        <w:t>La facturación mensual promedio por servicios prestados durante campañas electorales y gobierno, es de US $ 2.500 y US $ 1.500 respectivamente. La duración de los contratos para campañas electorales y gobierno, es de 3 y 12 meses respectivamente.</w:t>
      </w:r>
      <w:r w:rsidR="00BA2D75">
        <w:t xml:space="preserve"> Cada unidad de venta equivale a una factura en su categoría correspondiente. A medida que se ganan campañas, los contratos de gobierno aumentan, invirtiendo la proporción de ambas categorías en el largo plazo.</w:t>
      </w:r>
    </w:p>
    <w:p w:rsidR="00C53AA6" w:rsidRDefault="00C53AA6" w:rsidP="00AB3E90">
      <w:pPr>
        <w:spacing w:line="480" w:lineRule="auto"/>
        <w:jc w:val="both"/>
      </w:pPr>
    </w:p>
    <w:p w:rsidR="00BA2D75" w:rsidRPr="004D468B" w:rsidRDefault="00BA2D75" w:rsidP="00BA2D75">
      <w:pPr>
        <w:spacing w:line="480" w:lineRule="auto"/>
        <w:jc w:val="center"/>
        <w:rPr>
          <w:b/>
        </w:rPr>
      </w:pPr>
      <w:r>
        <w:rPr>
          <w:b/>
        </w:rPr>
        <w:t>Tabla N</w:t>
      </w:r>
      <w:r w:rsidRPr="004D468B">
        <w:rPr>
          <w:b/>
        </w:rPr>
        <w:t xml:space="preserve">o. </w:t>
      </w:r>
      <w:r>
        <w:rPr>
          <w:b/>
        </w:rPr>
        <w:t>6</w:t>
      </w:r>
    </w:p>
    <w:p w:rsidR="00BA2D75" w:rsidRPr="00371DB7" w:rsidRDefault="00BA2D75" w:rsidP="00BA2D75">
      <w:pPr>
        <w:spacing w:line="480" w:lineRule="auto"/>
        <w:jc w:val="center"/>
        <w:rPr>
          <w:b/>
          <w:i/>
        </w:rPr>
      </w:pPr>
      <w:r>
        <w:rPr>
          <w:b/>
          <w:i/>
        </w:rPr>
        <w:t>Proyección de los Ingresos</w:t>
      </w:r>
    </w:p>
    <w:tbl>
      <w:tblPr>
        <w:tblW w:w="8282" w:type="dxa"/>
        <w:tblInd w:w="47" w:type="dxa"/>
        <w:tblCellMar>
          <w:left w:w="70" w:type="dxa"/>
          <w:right w:w="70" w:type="dxa"/>
        </w:tblCellMar>
        <w:tblLook w:val="0000"/>
      </w:tblPr>
      <w:tblGrid>
        <w:gridCol w:w="188"/>
        <w:gridCol w:w="1690"/>
        <w:gridCol w:w="1036"/>
        <w:gridCol w:w="1036"/>
        <w:gridCol w:w="1036"/>
        <w:gridCol w:w="1036"/>
        <w:gridCol w:w="1036"/>
        <w:gridCol w:w="1036"/>
        <w:gridCol w:w="188"/>
      </w:tblGrid>
      <w:tr w:rsidR="00BA2D75">
        <w:trPr>
          <w:trHeight w:val="180"/>
        </w:trPr>
        <w:tc>
          <w:tcPr>
            <w:tcW w:w="188" w:type="dxa"/>
            <w:tcBorders>
              <w:top w:val="double" w:sz="6" w:space="0" w:color="auto"/>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double" w:sz="6" w:space="0" w:color="auto"/>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double" w:sz="6" w:space="0" w:color="auto"/>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double" w:sz="6" w:space="0" w:color="auto"/>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double" w:sz="6" w:space="0" w:color="auto"/>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double" w:sz="6" w:space="0" w:color="auto"/>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double" w:sz="6" w:space="0" w:color="auto"/>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double" w:sz="6" w:space="0" w:color="auto"/>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88" w:type="dxa"/>
            <w:tcBorders>
              <w:top w:val="double" w:sz="6" w:space="0" w:color="auto"/>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3762" w:type="dxa"/>
            <w:gridSpan w:val="3"/>
            <w:tcBorders>
              <w:top w:val="nil"/>
              <w:left w:val="nil"/>
              <w:bottom w:val="nil"/>
              <w:right w:val="nil"/>
            </w:tcBorders>
            <w:shd w:val="clear" w:color="auto" w:fill="FFFFFF"/>
            <w:noWrap/>
            <w:vAlign w:val="bottom"/>
          </w:tcPr>
          <w:p w:rsidR="00BA2D75" w:rsidRDefault="00BA2D75">
            <w:pPr>
              <w:rPr>
                <w:rFonts w:ascii="Verdana" w:hAnsi="Verdana" w:cs="Arial"/>
                <w:b/>
                <w:bCs/>
                <w:sz w:val="12"/>
                <w:szCs w:val="12"/>
              </w:rPr>
            </w:pPr>
            <w:r>
              <w:rPr>
                <w:rFonts w:ascii="Verdana" w:hAnsi="Verdana" w:cs="Arial"/>
                <w:b/>
                <w:bCs/>
                <w:sz w:val="12"/>
                <w:szCs w:val="12"/>
              </w:rPr>
              <w:t>VOLUMEN DE VENTAS (UNIDADES)</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C0C0C0"/>
            <w:noWrap/>
            <w:vAlign w:val="bottom"/>
          </w:tcPr>
          <w:p w:rsidR="00BA2D75" w:rsidRDefault="00BA2D75">
            <w:pPr>
              <w:rPr>
                <w:rFonts w:ascii="Verdana" w:hAnsi="Verdana" w:cs="Arial"/>
                <w:b/>
                <w:bCs/>
                <w:sz w:val="12"/>
                <w:szCs w:val="12"/>
              </w:rPr>
            </w:pPr>
            <w:r>
              <w:rPr>
                <w:rFonts w:ascii="Verdana" w:hAnsi="Verdana" w:cs="Arial"/>
                <w:b/>
                <w:bCs/>
                <w:sz w:val="12"/>
                <w:szCs w:val="12"/>
              </w:rPr>
              <w:t>Periodos Anuales:</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1</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2</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3</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4</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5</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TOTAL</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Campañas Electorales</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sz w:val="12"/>
                <w:szCs w:val="12"/>
              </w:rPr>
            </w:pPr>
            <w:r>
              <w:rPr>
                <w:rFonts w:ascii="Verdana" w:hAnsi="Verdana" w:cs="Arial"/>
                <w:sz w:val="12"/>
                <w:szCs w:val="12"/>
              </w:rPr>
              <w:t>18</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sz w:val="12"/>
                <w:szCs w:val="12"/>
              </w:rPr>
            </w:pPr>
            <w:r>
              <w:rPr>
                <w:rFonts w:ascii="Verdana" w:hAnsi="Verdana" w:cs="Arial"/>
                <w:sz w:val="12"/>
                <w:szCs w:val="12"/>
              </w:rPr>
              <w:t>21</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sz w:val="12"/>
                <w:szCs w:val="12"/>
              </w:rPr>
            </w:pPr>
            <w:r>
              <w:rPr>
                <w:rFonts w:ascii="Verdana" w:hAnsi="Verdana" w:cs="Arial"/>
                <w:sz w:val="12"/>
                <w:szCs w:val="12"/>
              </w:rPr>
              <w:t>24</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sz w:val="12"/>
                <w:szCs w:val="12"/>
              </w:rPr>
            </w:pPr>
            <w:r>
              <w:rPr>
                <w:rFonts w:ascii="Verdana" w:hAnsi="Verdana" w:cs="Arial"/>
                <w:sz w:val="12"/>
                <w:szCs w:val="12"/>
              </w:rPr>
              <w:t>27</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sz w:val="12"/>
                <w:szCs w:val="12"/>
              </w:rPr>
            </w:pPr>
            <w:r>
              <w:rPr>
                <w:rFonts w:ascii="Verdana" w:hAnsi="Verdana" w:cs="Arial"/>
                <w:sz w:val="12"/>
                <w:szCs w:val="12"/>
              </w:rPr>
              <w:t>30</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b/>
                <w:bCs/>
                <w:sz w:val="12"/>
                <w:szCs w:val="12"/>
              </w:rPr>
            </w:pPr>
            <w:r>
              <w:rPr>
                <w:rFonts w:ascii="Verdana" w:hAnsi="Verdana" w:cs="Arial"/>
                <w:b/>
                <w:bCs/>
                <w:sz w:val="12"/>
                <w:szCs w:val="12"/>
              </w:rPr>
              <w:t>120</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Gobierno</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sz w:val="12"/>
                <w:szCs w:val="12"/>
              </w:rPr>
            </w:pPr>
            <w:r>
              <w:rPr>
                <w:rFonts w:ascii="Verdana" w:hAnsi="Verdana" w:cs="Arial"/>
                <w:sz w:val="12"/>
                <w:szCs w:val="12"/>
              </w:rPr>
              <w:t>12</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sz w:val="12"/>
                <w:szCs w:val="12"/>
              </w:rPr>
            </w:pPr>
            <w:r>
              <w:rPr>
                <w:rFonts w:ascii="Verdana" w:hAnsi="Verdana" w:cs="Arial"/>
                <w:sz w:val="12"/>
                <w:szCs w:val="12"/>
              </w:rPr>
              <w:t>18</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sz w:val="12"/>
                <w:szCs w:val="12"/>
              </w:rPr>
            </w:pPr>
            <w:r>
              <w:rPr>
                <w:rFonts w:ascii="Verdana" w:hAnsi="Verdana" w:cs="Arial"/>
                <w:sz w:val="12"/>
                <w:szCs w:val="12"/>
              </w:rPr>
              <w:t>24</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sz w:val="12"/>
                <w:szCs w:val="12"/>
              </w:rPr>
            </w:pPr>
            <w:r>
              <w:rPr>
                <w:rFonts w:ascii="Verdana" w:hAnsi="Verdana" w:cs="Arial"/>
                <w:sz w:val="12"/>
                <w:szCs w:val="12"/>
              </w:rPr>
              <w:t>30</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sz w:val="12"/>
                <w:szCs w:val="12"/>
              </w:rPr>
            </w:pPr>
            <w:r>
              <w:rPr>
                <w:rFonts w:ascii="Verdana" w:hAnsi="Verdana" w:cs="Arial"/>
                <w:sz w:val="12"/>
                <w:szCs w:val="12"/>
              </w:rPr>
              <w:t>36</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b/>
                <w:bCs/>
                <w:sz w:val="12"/>
                <w:szCs w:val="12"/>
              </w:rPr>
            </w:pPr>
            <w:r>
              <w:rPr>
                <w:rFonts w:ascii="Verdana" w:hAnsi="Verdana" w:cs="Arial"/>
                <w:b/>
                <w:bCs/>
                <w:sz w:val="12"/>
                <w:szCs w:val="12"/>
              </w:rPr>
              <w:t>120</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C0C0C0"/>
            <w:noWrap/>
            <w:vAlign w:val="bottom"/>
          </w:tcPr>
          <w:p w:rsidR="00BA2D75" w:rsidRDefault="00BA2D75">
            <w:pPr>
              <w:rPr>
                <w:rFonts w:ascii="Verdana" w:hAnsi="Verdana" w:cs="Arial"/>
                <w:b/>
                <w:bCs/>
                <w:sz w:val="12"/>
                <w:szCs w:val="12"/>
              </w:rPr>
            </w:pPr>
            <w:r>
              <w:rPr>
                <w:rFonts w:ascii="Verdana" w:hAnsi="Verdana" w:cs="Arial"/>
                <w:b/>
                <w:bCs/>
                <w:sz w:val="12"/>
                <w:szCs w:val="12"/>
              </w:rPr>
              <w:t>TOTAL</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30</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39</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48</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57</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66</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240</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4798" w:type="dxa"/>
            <w:gridSpan w:val="4"/>
            <w:tcBorders>
              <w:top w:val="nil"/>
              <w:left w:val="nil"/>
              <w:bottom w:val="nil"/>
              <w:right w:val="nil"/>
            </w:tcBorders>
            <w:shd w:val="clear" w:color="auto" w:fill="FFFFFF"/>
            <w:noWrap/>
            <w:vAlign w:val="bottom"/>
          </w:tcPr>
          <w:p w:rsidR="00BA2D75" w:rsidRDefault="00BA2D75">
            <w:pPr>
              <w:rPr>
                <w:rFonts w:ascii="Verdana" w:hAnsi="Verdana" w:cs="Arial"/>
                <w:b/>
                <w:bCs/>
                <w:sz w:val="12"/>
                <w:szCs w:val="12"/>
              </w:rPr>
            </w:pPr>
            <w:r>
              <w:rPr>
                <w:rFonts w:ascii="Verdana" w:hAnsi="Verdana" w:cs="Arial"/>
                <w:b/>
                <w:bCs/>
                <w:sz w:val="12"/>
                <w:szCs w:val="12"/>
              </w:rPr>
              <w:t>PRECIOS UNITARIOS DE LOS PRODUCTOS (DÓLARES)</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C0C0C0"/>
            <w:noWrap/>
            <w:vAlign w:val="bottom"/>
          </w:tcPr>
          <w:p w:rsidR="00BA2D75" w:rsidRDefault="00BA2D75">
            <w:pPr>
              <w:rPr>
                <w:rFonts w:ascii="Verdana" w:hAnsi="Verdana" w:cs="Arial"/>
                <w:b/>
                <w:bCs/>
                <w:sz w:val="12"/>
                <w:szCs w:val="12"/>
              </w:rPr>
            </w:pPr>
            <w:r>
              <w:rPr>
                <w:rFonts w:ascii="Verdana" w:hAnsi="Verdana" w:cs="Arial"/>
                <w:b/>
                <w:bCs/>
                <w:sz w:val="12"/>
                <w:szCs w:val="12"/>
              </w:rPr>
              <w:t>Periodos Anuales:</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1</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2</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3</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4</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5</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b/>
                <w:bCs/>
                <w:sz w:val="12"/>
                <w:szCs w:val="12"/>
              </w:rPr>
            </w:pPr>
            <w:r>
              <w:rPr>
                <w:rFonts w:ascii="Verdana" w:hAnsi="Verdana" w:cs="Arial"/>
                <w:b/>
                <w:bCs/>
                <w:sz w:val="12"/>
                <w:szCs w:val="12"/>
              </w:rPr>
              <w:t> </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Campañas Electorales</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$ 2.500,00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$ 2.500,00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$ 2.500,00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$ 2.500,00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$ 2.500,00</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b/>
                <w:bCs/>
                <w:sz w:val="12"/>
                <w:szCs w:val="12"/>
              </w:rPr>
            </w:pPr>
            <w:r>
              <w:rPr>
                <w:rFonts w:ascii="Verdana" w:hAnsi="Verdana" w:cs="Arial"/>
                <w:b/>
                <w:bCs/>
                <w:sz w:val="12"/>
                <w:szCs w:val="12"/>
              </w:rPr>
              <w:t> </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Gobierno</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$ 1.500,00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$ 1.500,00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$ 1.500,00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$ 1.500,00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$ 1.500,00</w:t>
            </w:r>
          </w:p>
        </w:tc>
        <w:tc>
          <w:tcPr>
            <w:tcW w:w="1036" w:type="dxa"/>
            <w:tcBorders>
              <w:top w:val="nil"/>
              <w:left w:val="nil"/>
              <w:bottom w:val="nil"/>
              <w:right w:val="nil"/>
            </w:tcBorders>
            <w:shd w:val="clear" w:color="auto" w:fill="FFFFFF"/>
            <w:noWrap/>
            <w:vAlign w:val="bottom"/>
          </w:tcPr>
          <w:p w:rsidR="00BA2D75" w:rsidRDefault="00BA2D75">
            <w:pPr>
              <w:jc w:val="center"/>
              <w:rPr>
                <w:rFonts w:ascii="Verdana" w:hAnsi="Verdana" w:cs="Arial"/>
                <w:b/>
                <w:bCs/>
                <w:sz w:val="12"/>
                <w:szCs w:val="12"/>
              </w:rPr>
            </w:pPr>
            <w:r>
              <w:rPr>
                <w:rFonts w:ascii="Verdana" w:hAnsi="Verdana" w:cs="Arial"/>
                <w:b/>
                <w:bCs/>
                <w:sz w:val="12"/>
                <w:szCs w:val="12"/>
              </w:rPr>
              <w:t> </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2726" w:type="dxa"/>
            <w:gridSpan w:val="2"/>
            <w:tcBorders>
              <w:top w:val="nil"/>
              <w:left w:val="nil"/>
              <w:bottom w:val="nil"/>
              <w:right w:val="nil"/>
            </w:tcBorders>
            <w:shd w:val="clear" w:color="auto" w:fill="FFFFFF"/>
            <w:noWrap/>
            <w:vAlign w:val="bottom"/>
          </w:tcPr>
          <w:p w:rsidR="00BA2D75" w:rsidRDefault="00BA2D75">
            <w:pPr>
              <w:rPr>
                <w:rFonts w:ascii="Verdana" w:hAnsi="Verdana" w:cs="Arial"/>
                <w:b/>
                <w:bCs/>
                <w:sz w:val="12"/>
                <w:szCs w:val="12"/>
              </w:rPr>
            </w:pPr>
            <w:r>
              <w:rPr>
                <w:rFonts w:ascii="Verdana" w:hAnsi="Verdana" w:cs="Arial"/>
                <w:b/>
                <w:bCs/>
                <w:sz w:val="12"/>
                <w:szCs w:val="12"/>
              </w:rPr>
              <w:t>VENTAS NETAS (DÓLARES)</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C0C0C0"/>
            <w:noWrap/>
            <w:vAlign w:val="bottom"/>
          </w:tcPr>
          <w:p w:rsidR="00BA2D75" w:rsidRDefault="00BA2D75">
            <w:pPr>
              <w:rPr>
                <w:rFonts w:ascii="Verdana" w:hAnsi="Verdana" w:cs="Arial"/>
                <w:b/>
                <w:bCs/>
                <w:sz w:val="12"/>
                <w:szCs w:val="12"/>
              </w:rPr>
            </w:pPr>
            <w:r>
              <w:rPr>
                <w:rFonts w:ascii="Verdana" w:hAnsi="Verdana" w:cs="Arial"/>
                <w:b/>
                <w:bCs/>
                <w:sz w:val="12"/>
                <w:szCs w:val="12"/>
              </w:rPr>
              <w:t>Periodos Anuales:</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1</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2</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3</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4</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Año 5</w:t>
            </w:r>
          </w:p>
        </w:tc>
        <w:tc>
          <w:tcPr>
            <w:tcW w:w="1036" w:type="dxa"/>
            <w:tcBorders>
              <w:top w:val="nil"/>
              <w:left w:val="nil"/>
              <w:bottom w:val="nil"/>
              <w:right w:val="nil"/>
            </w:tcBorders>
            <w:shd w:val="clear" w:color="auto" w:fill="C0C0C0"/>
            <w:noWrap/>
            <w:vAlign w:val="bottom"/>
          </w:tcPr>
          <w:p w:rsidR="00BA2D75" w:rsidRDefault="00BA2D75">
            <w:pPr>
              <w:jc w:val="center"/>
              <w:rPr>
                <w:rFonts w:ascii="Verdana" w:hAnsi="Verdana" w:cs="Arial"/>
                <w:b/>
                <w:bCs/>
                <w:sz w:val="12"/>
                <w:szCs w:val="12"/>
              </w:rPr>
            </w:pPr>
            <w:r>
              <w:rPr>
                <w:rFonts w:ascii="Verdana" w:hAnsi="Verdana" w:cs="Arial"/>
                <w:b/>
                <w:bCs/>
                <w:sz w:val="12"/>
                <w:szCs w:val="12"/>
              </w:rPr>
              <w:t>TOTAL</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Campañas Electorales</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$ 45.000,00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$ 52.500,00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$ 60.000,00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$ 67.500,00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$ 75.000,00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b/>
                <w:bCs/>
                <w:sz w:val="12"/>
                <w:szCs w:val="12"/>
              </w:rPr>
            </w:pPr>
            <w:r>
              <w:rPr>
                <w:rFonts w:ascii="Verdana" w:hAnsi="Verdana" w:cs="Arial"/>
                <w:b/>
                <w:bCs/>
                <w:sz w:val="12"/>
                <w:szCs w:val="12"/>
              </w:rPr>
              <w:t>$ 300.000,00</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Gobierno</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$ 18.000,00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$ 27.000,00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$ 36.000,00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$ 45.000,00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sz w:val="12"/>
                <w:szCs w:val="12"/>
              </w:rPr>
            </w:pPr>
            <w:r>
              <w:rPr>
                <w:rFonts w:ascii="Verdana" w:hAnsi="Verdana" w:cs="Arial"/>
                <w:sz w:val="12"/>
                <w:szCs w:val="12"/>
              </w:rPr>
              <w:t>$ 54.000,00</w:t>
            </w:r>
          </w:p>
        </w:tc>
        <w:tc>
          <w:tcPr>
            <w:tcW w:w="1036" w:type="dxa"/>
            <w:tcBorders>
              <w:top w:val="nil"/>
              <w:left w:val="nil"/>
              <w:bottom w:val="nil"/>
              <w:right w:val="nil"/>
            </w:tcBorders>
            <w:shd w:val="clear" w:color="auto" w:fill="FFFFFF"/>
            <w:noWrap/>
            <w:vAlign w:val="bottom"/>
          </w:tcPr>
          <w:p w:rsidR="00BA2D75" w:rsidRDefault="00BA2D75">
            <w:pPr>
              <w:jc w:val="right"/>
              <w:rPr>
                <w:rFonts w:ascii="Verdana" w:hAnsi="Verdana" w:cs="Arial"/>
                <w:b/>
                <w:bCs/>
                <w:sz w:val="12"/>
                <w:szCs w:val="12"/>
              </w:rPr>
            </w:pPr>
            <w:r>
              <w:rPr>
                <w:rFonts w:ascii="Verdana" w:hAnsi="Verdana" w:cs="Arial"/>
                <w:b/>
                <w:bCs/>
                <w:sz w:val="12"/>
                <w:szCs w:val="12"/>
              </w:rPr>
              <w:t>$ 180.000,00</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C0C0C0"/>
            <w:noWrap/>
            <w:vAlign w:val="bottom"/>
          </w:tcPr>
          <w:p w:rsidR="00BA2D75" w:rsidRDefault="00BA2D75">
            <w:pPr>
              <w:rPr>
                <w:rFonts w:ascii="Verdana" w:hAnsi="Verdana" w:cs="Arial"/>
                <w:b/>
                <w:bCs/>
                <w:sz w:val="12"/>
                <w:szCs w:val="12"/>
              </w:rPr>
            </w:pPr>
            <w:r>
              <w:rPr>
                <w:rFonts w:ascii="Verdana" w:hAnsi="Verdana" w:cs="Arial"/>
                <w:b/>
                <w:bCs/>
                <w:sz w:val="12"/>
                <w:szCs w:val="12"/>
              </w:rPr>
              <w:t>TOTAL</w:t>
            </w:r>
          </w:p>
        </w:tc>
        <w:tc>
          <w:tcPr>
            <w:tcW w:w="1036" w:type="dxa"/>
            <w:tcBorders>
              <w:top w:val="nil"/>
              <w:left w:val="nil"/>
              <w:bottom w:val="nil"/>
              <w:right w:val="nil"/>
            </w:tcBorders>
            <w:shd w:val="clear" w:color="auto" w:fill="C0C0C0"/>
            <w:noWrap/>
            <w:vAlign w:val="bottom"/>
          </w:tcPr>
          <w:p w:rsidR="00BA2D75" w:rsidRDefault="00BA2D75">
            <w:pPr>
              <w:jc w:val="right"/>
              <w:rPr>
                <w:rFonts w:ascii="Verdana" w:hAnsi="Verdana" w:cs="Arial"/>
                <w:b/>
                <w:bCs/>
                <w:sz w:val="12"/>
                <w:szCs w:val="12"/>
              </w:rPr>
            </w:pPr>
            <w:r>
              <w:rPr>
                <w:rFonts w:ascii="Verdana" w:hAnsi="Verdana" w:cs="Arial"/>
                <w:b/>
                <w:bCs/>
                <w:sz w:val="12"/>
                <w:szCs w:val="12"/>
              </w:rPr>
              <w:t>$ 63.000,00</w:t>
            </w:r>
          </w:p>
        </w:tc>
        <w:tc>
          <w:tcPr>
            <w:tcW w:w="1036" w:type="dxa"/>
            <w:tcBorders>
              <w:top w:val="nil"/>
              <w:left w:val="nil"/>
              <w:bottom w:val="nil"/>
              <w:right w:val="nil"/>
            </w:tcBorders>
            <w:shd w:val="clear" w:color="auto" w:fill="C0C0C0"/>
            <w:noWrap/>
            <w:vAlign w:val="bottom"/>
          </w:tcPr>
          <w:p w:rsidR="00BA2D75" w:rsidRDefault="00BA2D75">
            <w:pPr>
              <w:jc w:val="right"/>
              <w:rPr>
                <w:rFonts w:ascii="Verdana" w:hAnsi="Verdana" w:cs="Arial"/>
                <w:b/>
                <w:bCs/>
                <w:sz w:val="12"/>
                <w:szCs w:val="12"/>
              </w:rPr>
            </w:pPr>
            <w:r>
              <w:rPr>
                <w:rFonts w:ascii="Verdana" w:hAnsi="Verdana" w:cs="Arial"/>
                <w:b/>
                <w:bCs/>
                <w:sz w:val="12"/>
                <w:szCs w:val="12"/>
              </w:rPr>
              <w:t>$ 79.500,00</w:t>
            </w:r>
          </w:p>
        </w:tc>
        <w:tc>
          <w:tcPr>
            <w:tcW w:w="1036" w:type="dxa"/>
            <w:tcBorders>
              <w:top w:val="nil"/>
              <w:left w:val="nil"/>
              <w:bottom w:val="nil"/>
              <w:right w:val="nil"/>
            </w:tcBorders>
            <w:shd w:val="clear" w:color="auto" w:fill="C0C0C0"/>
            <w:noWrap/>
            <w:vAlign w:val="bottom"/>
          </w:tcPr>
          <w:p w:rsidR="00BA2D75" w:rsidRDefault="00BA2D75">
            <w:pPr>
              <w:jc w:val="right"/>
              <w:rPr>
                <w:rFonts w:ascii="Verdana" w:hAnsi="Verdana" w:cs="Arial"/>
                <w:b/>
                <w:bCs/>
                <w:sz w:val="12"/>
                <w:szCs w:val="12"/>
              </w:rPr>
            </w:pPr>
            <w:r>
              <w:rPr>
                <w:rFonts w:ascii="Verdana" w:hAnsi="Verdana" w:cs="Arial"/>
                <w:b/>
                <w:bCs/>
                <w:sz w:val="12"/>
                <w:szCs w:val="12"/>
              </w:rPr>
              <w:t>$ 96.000,00</w:t>
            </w:r>
          </w:p>
        </w:tc>
        <w:tc>
          <w:tcPr>
            <w:tcW w:w="1036" w:type="dxa"/>
            <w:tcBorders>
              <w:top w:val="nil"/>
              <w:left w:val="nil"/>
              <w:bottom w:val="nil"/>
              <w:right w:val="nil"/>
            </w:tcBorders>
            <w:shd w:val="clear" w:color="auto" w:fill="C0C0C0"/>
            <w:noWrap/>
            <w:vAlign w:val="bottom"/>
          </w:tcPr>
          <w:p w:rsidR="00BA2D75" w:rsidRDefault="00BA2D75">
            <w:pPr>
              <w:jc w:val="right"/>
              <w:rPr>
                <w:rFonts w:ascii="Verdana" w:hAnsi="Verdana" w:cs="Arial"/>
                <w:b/>
                <w:bCs/>
                <w:sz w:val="12"/>
                <w:szCs w:val="12"/>
              </w:rPr>
            </w:pPr>
            <w:r>
              <w:rPr>
                <w:rFonts w:ascii="Verdana" w:hAnsi="Verdana" w:cs="Arial"/>
                <w:b/>
                <w:bCs/>
                <w:sz w:val="12"/>
                <w:szCs w:val="12"/>
              </w:rPr>
              <w:t>$ 112.500,00</w:t>
            </w:r>
          </w:p>
        </w:tc>
        <w:tc>
          <w:tcPr>
            <w:tcW w:w="1036" w:type="dxa"/>
            <w:tcBorders>
              <w:top w:val="nil"/>
              <w:left w:val="nil"/>
              <w:bottom w:val="nil"/>
              <w:right w:val="nil"/>
            </w:tcBorders>
            <w:shd w:val="clear" w:color="auto" w:fill="C0C0C0"/>
            <w:noWrap/>
            <w:vAlign w:val="bottom"/>
          </w:tcPr>
          <w:p w:rsidR="00BA2D75" w:rsidRDefault="00BA2D75">
            <w:pPr>
              <w:jc w:val="right"/>
              <w:rPr>
                <w:rFonts w:ascii="Verdana" w:hAnsi="Verdana" w:cs="Arial"/>
                <w:b/>
                <w:bCs/>
                <w:sz w:val="12"/>
                <w:szCs w:val="12"/>
              </w:rPr>
            </w:pPr>
            <w:r>
              <w:rPr>
                <w:rFonts w:ascii="Verdana" w:hAnsi="Verdana" w:cs="Arial"/>
                <w:b/>
                <w:bCs/>
                <w:sz w:val="12"/>
                <w:szCs w:val="12"/>
              </w:rPr>
              <w:t>$ 129.000,00</w:t>
            </w:r>
          </w:p>
        </w:tc>
        <w:tc>
          <w:tcPr>
            <w:tcW w:w="1036" w:type="dxa"/>
            <w:tcBorders>
              <w:top w:val="nil"/>
              <w:left w:val="nil"/>
              <w:bottom w:val="nil"/>
              <w:right w:val="nil"/>
            </w:tcBorders>
            <w:shd w:val="clear" w:color="auto" w:fill="C0C0C0"/>
            <w:noWrap/>
            <w:vAlign w:val="bottom"/>
          </w:tcPr>
          <w:p w:rsidR="00BA2D75" w:rsidRDefault="00BA2D75">
            <w:pPr>
              <w:jc w:val="right"/>
              <w:rPr>
                <w:rFonts w:ascii="Verdana" w:hAnsi="Verdana" w:cs="Arial"/>
                <w:b/>
                <w:bCs/>
                <w:sz w:val="12"/>
                <w:szCs w:val="12"/>
              </w:rPr>
            </w:pPr>
            <w:r>
              <w:rPr>
                <w:rFonts w:ascii="Verdana" w:hAnsi="Verdana" w:cs="Arial"/>
                <w:b/>
                <w:bCs/>
                <w:sz w:val="12"/>
                <w:szCs w:val="12"/>
              </w:rPr>
              <w:t>$ 480.000,00</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65"/>
        </w:trPr>
        <w:tc>
          <w:tcPr>
            <w:tcW w:w="188" w:type="dxa"/>
            <w:tcBorders>
              <w:top w:val="nil"/>
              <w:left w:val="double" w:sz="6" w:space="0" w:color="auto"/>
              <w:bottom w:val="nil"/>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nil"/>
              <w:right w:val="nil"/>
            </w:tcBorders>
            <w:shd w:val="clear" w:color="auto" w:fill="C0C0C0"/>
            <w:noWrap/>
            <w:vAlign w:val="bottom"/>
          </w:tcPr>
          <w:p w:rsidR="00BA2D75" w:rsidRDefault="00BA2D75">
            <w:pPr>
              <w:rPr>
                <w:rFonts w:ascii="Verdana" w:hAnsi="Verdana" w:cs="Arial"/>
                <w:b/>
                <w:bCs/>
                <w:sz w:val="12"/>
                <w:szCs w:val="12"/>
              </w:rPr>
            </w:pPr>
            <w:r>
              <w:rPr>
                <w:rFonts w:ascii="Verdana" w:hAnsi="Verdana" w:cs="Arial"/>
                <w:b/>
                <w:bCs/>
                <w:sz w:val="12"/>
                <w:szCs w:val="12"/>
              </w:rPr>
              <w:t>Precio Unitario Promedio</w:t>
            </w:r>
          </w:p>
        </w:tc>
        <w:tc>
          <w:tcPr>
            <w:tcW w:w="1036" w:type="dxa"/>
            <w:tcBorders>
              <w:top w:val="nil"/>
              <w:left w:val="nil"/>
              <w:bottom w:val="nil"/>
              <w:right w:val="nil"/>
            </w:tcBorders>
            <w:shd w:val="clear" w:color="auto" w:fill="C0C0C0"/>
            <w:noWrap/>
            <w:vAlign w:val="bottom"/>
          </w:tcPr>
          <w:p w:rsidR="00BA2D75" w:rsidRDefault="00BA2D75">
            <w:pPr>
              <w:jc w:val="right"/>
              <w:rPr>
                <w:rFonts w:ascii="Verdana" w:hAnsi="Verdana" w:cs="Arial"/>
                <w:b/>
                <w:bCs/>
                <w:sz w:val="12"/>
                <w:szCs w:val="12"/>
              </w:rPr>
            </w:pPr>
            <w:r>
              <w:rPr>
                <w:rFonts w:ascii="Verdana" w:hAnsi="Verdana" w:cs="Arial"/>
                <w:b/>
                <w:bCs/>
                <w:sz w:val="12"/>
                <w:szCs w:val="12"/>
              </w:rPr>
              <w:t>$ 2.100,00</w:t>
            </w:r>
          </w:p>
        </w:tc>
        <w:tc>
          <w:tcPr>
            <w:tcW w:w="1036" w:type="dxa"/>
            <w:tcBorders>
              <w:top w:val="nil"/>
              <w:left w:val="nil"/>
              <w:bottom w:val="nil"/>
              <w:right w:val="nil"/>
            </w:tcBorders>
            <w:shd w:val="clear" w:color="auto" w:fill="C0C0C0"/>
            <w:noWrap/>
            <w:vAlign w:val="bottom"/>
          </w:tcPr>
          <w:p w:rsidR="00BA2D75" w:rsidRDefault="00BA2D75">
            <w:pPr>
              <w:jc w:val="right"/>
              <w:rPr>
                <w:rFonts w:ascii="Verdana" w:hAnsi="Verdana" w:cs="Arial"/>
                <w:b/>
                <w:bCs/>
                <w:sz w:val="12"/>
                <w:szCs w:val="12"/>
              </w:rPr>
            </w:pPr>
            <w:r>
              <w:rPr>
                <w:rFonts w:ascii="Verdana" w:hAnsi="Verdana" w:cs="Arial"/>
                <w:b/>
                <w:bCs/>
                <w:sz w:val="12"/>
                <w:szCs w:val="12"/>
              </w:rPr>
              <w:t>$ 2.038,46</w:t>
            </w:r>
          </w:p>
        </w:tc>
        <w:tc>
          <w:tcPr>
            <w:tcW w:w="1036" w:type="dxa"/>
            <w:tcBorders>
              <w:top w:val="nil"/>
              <w:left w:val="nil"/>
              <w:bottom w:val="nil"/>
              <w:right w:val="nil"/>
            </w:tcBorders>
            <w:shd w:val="clear" w:color="auto" w:fill="C0C0C0"/>
            <w:noWrap/>
            <w:vAlign w:val="bottom"/>
          </w:tcPr>
          <w:p w:rsidR="00BA2D75" w:rsidRDefault="00BA2D75">
            <w:pPr>
              <w:jc w:val="right"/>
              <w:rPr>
                <w:rFonts w:ascii="Verdana" w:hAnsi="Verdana" w:cs="Arial"/>
                <w:b/>
                <w:bCs/>
                <w:sz w:val="12"/>
                <w:szCs w:val="12"/>
              </w:rPr>
            </w:pPr>
            <w:r>
              <w:rPr>
                <w:rFonts w:ascii="Verdana" w:hAnsi="Verdana" w:cs="Arial"/>
                <w:b/>
                <w:bCs/>
                <w:sz w:val="12"/>
                <w:szCs w:val="12"/>
              </w:rPr>
              <w:t>$ 2.000,00</w:t>
            </w:r>
          </w:p>
        </w:tc>
        <w:tc>
          <w:tcPr>
            <w:tcW w:w="1036" w:type="dxa"/>
            <w:tcBorders>
              <w:top w:val="nil"/>
              <w:left w:val="nil"/>
              <w:bottom w:val="nil"/>
              <w:right w:val="nil"/>
            </w:tcBorders>
            <w:shd w:val="clear" w:color="auto" w:fill="C0C0C0"/>
            <w:noWrap/>
            <w:vAlign w:val="bottom"/>
          </w:tcPr>
          <w:p w:rsidR="00BA2D75" w:rsidRDefault="00BA2D75">
            <w:pPr>
              <w:jc w:val="right"/>
              <w:rPr>
                <w:rFonts w:ascii="Verdana" w:hAnsi="Verdana" w:cs="Arial"/>
                <w:b/>
                <w:bCs/>
                <w:sz w:val="12"/>
                <w:szCs w:val="12"/>
              </w:rPr>
            </w:pPr>
            <w:r>
              <w:rPr>
                <w:rFonts w:ascii="Verdana" w:hAnsi="Verdana" w:cs="Arial"/>
                <w:b/>
                <w:bCs/>
                <w:sz w:val="12"/>
                <w:szCs w:val="12"/>
              </w:rPr>
              <w:t>$ 1.973,68</w:t>
            </w:r>
          </w:p>
        </w:tc>
        <w:tc>
          <w:tcPr>
            <w:tcW w:w="1036" w:type="dxa"/>
            <w:tcBorders>
              <w:top w:val="nil"/>
              <w:left w:val="nil"/>
              <w:bottom w:val="nil"/>
              <w:right w:val="nil"/>
            </w:tcBorders>
            <w:shd w:val="clear" w:color="auto" w:fill="C0C0C0"/>
            <w:noWrap/>
            <w:vAlign w:val="bottom"/>
          </w:tcPr>
          <w:p w:rsidR="00BA2D75" w:rsidRDefault="00BA2D75">
            <w:pPr>
              <w:jc w:val="right"/>
              <w:rPr>
                <w:rFonts w:ascii="Verdana" w:hAnsi="Verdana" w:cs="Arial"/>
                <w:b/>
                <w:bCs/>
                <w:sz w:val="12"/>
                <w:szCs w:val="12"/>
              </w:rPr>
            </w:pPr>
            <w:r>
              <w:rPr>
                <w:rFonts w:ascii="Verdana" w:hAnsi="Verdana" w:cs="Arial"/>
                <w:b/>
                <w:bCs/>
                <w:sz w:val="12"/>
                <w:szCs w:val="12"/>
              </w:rPr>
              <w:t>$ 1.954,55</w:t>
            </w:r>
          </w:p>
        </w:tc>
        <w:tc>
          <w:tcPr>
            <w:tcW w:w="1036" w:type="dxa"/>
            <w:tcBorders>
              <w:top w:val="nil"/>
              <w:left w:val="nil"/>
              <w:bottom w:val="nil"/>
              <w:right w:val="nil"/>
            </w:tcBorders>
            <w:shd w:val="clear" w:color="auto" w:fill="C0C0C0"/>
            <w:noWrap/>
            <w:vAlign w:val="bottom"/>
          </w:tcPr>
          <w:p w:rsidR="00BA2D75" w:rsidRDefault="00BA2D75">
            <w:pPr>
              <w:jc w:val="right"/>
              <w:rPr>
                <w:rFonts w:ascii="Verdana" w:hAnsi="Verdana" w:cs="Arial"/>
                <w:b/>
                <w:bCs/>
                <w:sz w:val="12"/>
                <w:szCs w:val="12"/>
              </w:rPr>
            </w:pPr>
            <w:r>
              <w:rPr>
                <w:rFonts w:ascii="Verdana" w:hAnsi="Verdana" w:cs="Arial"/>
                <w:b/>
                <w:bCs/>
                <w:sz w:val="12"/>
                <w:szCs w:val="12"/>
              </w:rPr>
              <w:t>$ 2.000,00</w:t>
            </w:r>
          </w:p>
        </w:tc>
        <w:tc>
          <w:tcPr>
            <w:tcW w:w="188" w:type="dxa"/>
            <w:tcBorders>
              <w:top w:val="nil"/>
              <w:left w:val="nil"/>
              <w:bottom w:val="nil"/>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r w:rsidR="00BA2D75">
        <w:trPr>
          <w:trHeight w:val="180"/>
        </w:trPr>
        <w:tc>
          <w:tcPr>
            <w:tcW w:w="188" w:type="dxa"/>
            <w:tcBorders>
              <w:top w:val="nil"/>
              <w:left w:val="double" w:sz="6" w:space="0" w:color="auto"/>
              <w:bottom w:val="double" w:sz="6" w:space="0" w:color="auto"/>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690" w:type="dxa"/>
            <w:tcBorders>
              <w:top w:val="nil"/>
              <w:left w:val="nil"/>
              <w:bottom w:val="double" w:sz="6" w:space="0" w:color="auto"/>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double" w:sz="6" w:space="0" w:color="auto"/>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double" w:sz="6" w:space="0" w:color="auto"/>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double" w:sz="6" w:space="0" w:color="auto"/>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double" w:sz="6" w:space="0" w:color="auto"/>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double" w:sz="6" w:space="0" w:color="auto"/>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036" w:type="dxa"/>
            <w:tcBorders>
              <w:top w:val="nil"/>
              <w:left w:val="nil"/>
              <w:bottom w:val="double" w:sz="6" w:space="0" w:color="auto"/>
              <w:right w:val="nil"/>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c>
          <w:tcPr>
            <w:tcW w:w="188" w:type="dxa"/>
            <w:tcBorders>
              <w:top w:val="nil"/>
              <w:left w:val="nil"/>
              <w:bottom w:val="double" w:sz="6" w:space="0" w:color="auto"/>
              <w:right w:val="double" w:sz="6" w:space="0" w:color="auto"/>
            </w:tcBorders>
            <w:shd w:val="clear" w:color="auto" w:fill="FFFFFF"/>
            <w:noWrap/>
            <w:vAlign w:val="bottom"/>
          </w:tcPr>
          <w:p w:rsidR="00BA2D75" w:rsidRDefault="00BA2D75">
            <w:pPr>
              <w:rPr>
                <w:rFonts w:ascii="Verdana" w:hAnsi="Verdana" w:cs="Arial"/>
                <w:sz w:val="12"/>
                <w:szCs w:val="12"/>
              </w:rPr>
            </w:pPr>
            <w:r>
              <w:rPr>
                <w:rFonts w:ascii="Verdana" w:hAnsi="Verdana" w:cs="Arial"/>
                <w:sz w:val="12"/>
                <w:szCs w:val="12"/>
              </w:rPr>
              <w:t> </w:t>
            </w:r>
          </w:p>
        </w:tc>
      </w:tr>
    </w:tbl>
    <w:p w:rsidR="00BA2D75" w:rsidRPr="008D290B" w:rsidRDefault="00BA2D75" w:rsidP="00BA2D75">
      <w:pPr>
        <w:spacing w:line="480" w:lineRule="auto"/>
        <w:jc w:val="center"/>
        <w:rPr>
          <w:i/>
          <w:sz w:val="20"/>
          <w:szCs w:val="20"/>
        </w:rPr>
      </w:pPr>
      <w:r>
        <w:rPr>
          <w:b/>
          <w:i/>
          <w:sz w:val="20"/>
          <w:szCs w:val="20"/>
        </w:rPr>
        <w:t>Elaboración</w:t>
      </w:r>
      <w:r w:rsidRPr="008D290B">
        <w:rPr>
          <w:b/>
          <w:i/>
          <w:sz w:val="20"/>
          <w:szCs w:val="20"/>
        </w:rPr>
        <w:t>:</w:t>
      </w:r>
      <w:r w:rsidRPr="008D290B">
        <w:rPr>
          <w:i/>
          <w:sz w:val="20"/>
          <w:szCs w:val="20"/>
        </w:rPr>
        <w:t xml:space="preserve"> </w:t>
      </w:r>
      <w:r>
        <w:rPr>
          <w:i/>
          <w:sz w:val="20"/>
          <w:szCs w:val="20"/>
        </w:rPr>
        <w:t>Los Autores</w:t>
      </w:r>
    </w:p>
    <w:p w:rsidR="00BD4923" w:rsidRDefault="00BD4923" w:rsidP="002F5B85">
      <w:pPr>
        <w:spacing w:line="480" w:lineRule="auto"/>
      </w:pPr>
    </w:p>
    <w:p w:rsidR="00C53AA6" w:rsidRDefault="00C53AA6" w:rsidP="002F5B85">
      <w:pPr>
        <w:spacing w:line="480" w:lineRule="auto"/>
      </w:pPr>
    </w:p>
    <w:p w:rsidR="00C53AA6" w:rsidRDefault="00C53AA6" w:rsidP="002F5B85">
      <w:pPr>
        <w:spacing w:line="480" w:lineRule="auto"/>
      </w:pPr>
    </w:p>
    <w:p w:rsidR="00570B9C" w:rsidRDefault="00570B9C" w:rsidP="00BD4923">
      <w:pPr>
        <w:spacing w:line="480" w:lineRule="auto"/>
      </w:pPr>
    </w:p>
    <w:p w:rsidR="00570B9C" w:rsidRPr="00C33653" w:rsidRDefault="00570B9C" w:rsidP="00570B9C">
      <w:pPr>
        <w:spacing w:line="480" w:lineRule="auto"/>
        <w:rPr>
          <w:b/>
          <w:sz w:val="28"/>
          <w:szCs w:val="28"/>
        </w:rPr>
      </w:pPr>
      <w:r>
        <w:rPr>
          <w:b/>
          <w:sz w:val="28"/>
          <w:szCs w:val="28"/>
        </w:rPr>
        <w:t>5</w:t>
      </w:r>
      <w:r w:rsidRPr="00C33653">
        <w:rPr>
          <w:b/>
          <w:sz w:val="28"/>
          <w:szCs w:val="28"/>
        </w:rPr>
        <w:t>.</w:t>
      </w:r>
      <w:r>
        <w:rPr>
          <w:b/>
          <w:sz w:val="28"/>
          <w:szCs w:val="28"/>
        </w:rPr>
        <w:t>6</w:t>
      </w:r>
      <w:r w:rsidRPr="00C33653">
        <w:rPr>
          <w:b/>
          <w:sz w:val="28"/>
          <w:szCs w:val="28"/>
        </w:rPr>
        <w:t xml:space="preserve">.- </w:t>
      </w:r>
      <w:r>
        <w:rPr>
          <w:b/>
          <w:sz w:val="28"/>
          <w:szCs w:val="28"/>
        </w:rPr>
        <w:t>Capital de Trabajo</w:t>
      </w:r>
    </w:p>
    <w:p w:rsidR="00570B9C" w:rsidRDefault="00570B9C" w:rsidP="00570B9C">
      <w:pPr>
        <w:spacing w:line="480" w:lineRule="auto"/>
      </w:pPr>
    </w:p>
    <w:p w:rsidR="00185B86" w:rsidRDefault="00570B9C" w:rsidP="00115804">
      <w:pPr>
        <w:spacing w:line="480" w:lineRule="auto"/>
        <w:ind w:firstLine="540"/>
        <w:jc w:val="both"/>
      </w:pPr>
      <w:r w:rsidRPr="00581580">
        <w:t>Para calcular el monto de dinero con el cual se debe de contar para afrontar los costos y gastos relacionados con la operatividad del proyecto, capital de trabajo, se utilizó el métod</w:t>
      </w:r>
      <w:r w:rsidR="00185B86">
        <w:t>o del déficit acumulado máximo.</w:t>
      </w:r>
    </w:p>
    <w:p w:rsidR="00185B86" w:rsidRDefault="00185B86" w:rsidP="00570B9C">
      <w:pPr>
        <w:spacing w:line="480" w:lineRule="auto"/>
        <w:jc w:val="both"/>
      </w:pPr>
    </w:p>
    <w:p w:rsidR="00570B9C" w:rsidRPr="00581580" w:rsidRDefault="00570B9C" w:rsidP="00115804">
      <w:pPr>
        <w:spacing w:line="480" w:lineRule="auto"/>
        <w:ind w:firstLine="360"/>
        <w:jc w:val="both"/>
      </w:pPr>
      <w:r w:rsidRPr="00581580">
        <w:t xml:space="preserve">En base a los ingresos y egresos </w:t>
      </w:r>
      <w:r>
        <w:t>proyectados</w:t>
      </w:r>
      <w:r w:rsidRPr="00581580">
        <w:t>, se obtuvieron los saldos de caja y finalmente los saldos acumulados, escogiendo aquel en el c</w:t>
      </w:r>
      <w:r>
        <w:t>uá</w:t>
      </w:r>
      <w:r w:rsidRPr="00581580">
        <w:t>l se registre el mayor déficit acumulado máximo entre ingresos y egresos</w:t>
      </w:r>
      <w:r w:rsidR="00E827D3">
        <w:t xml:space="preserve"> mensuales durante </w:t>
      </w:r>
      <w:r w:rsidR="00E827D3" w:rsidRPr="00581580">
        <w:t>el primer año</w:t>
      </w:r>
      <w:r>
        <w:t xml:space="preserve">, </w:t>
      </w:r>
      <w:r w:rsidRPr="00581580">
        <w:t xml:space="preserve">que para el proyecto en cuestión </w:t>
      </w:r>
      <w:r>
        <w:t>es</w:t>
      </w:r>
      <w:r w:rsidRPr="00581580">
        <w:t xml:space="preserve"> de $</w:t>
      </w:r>
      <w:r>
        <w:t>8,025.00 para poder solventarlo</w:t>
      </w:r>
      <w:r w:rsidRPr="00581580">
        <w:t xml:space="preserve">. Esto es una cifra normal para este tipo de proyectos ya que el principal rubro que hace que el proyecto funcione </w:t>
      </w:r>
      <w:r>
        <w:t>es solventar los costos fijos en los primeros meses de ejecución.</w:t>
      </w:r>
      <w:r w:rsidR="00E827D3">
        <w:t xml:space="preserve"> El cuadro de saldos acumulados de caja del año 1 se muestra en el Anexo </w:t>
      </w:r>
      <w:r w:rsidR="0006585C">
        <w:t>13</w:t>
      </w:r>
      <w:r w:rsidR="00E827D3">
        <w:t xml:space="preserve">, cuyo saldo acumulado total será igual al flujo de caja </w:t>
      </w:r>
      <w:r w:rsidR="00906BB4">
        <w:t>del año 1 (Tabla 7).</w:t>
      </w:r>
    </w:p>
    <w:p w:rsidR="00185B86" w:rsidRDefault="00185B86" w:rsidP="00570B9C">
      <w:pPr>
        <w:spacing w:line="480" w:lineRule="auto"/>
      </w:pPr>
    </w:p>
    <w:p w:rsidR="00570B9C" w:rsidRDefault="00570B9C" w:rsidP="00570B9C">
      <w:pPr>
        <w:spacing w:line="480" w:lineRule="auto"/>
      </w:pPr>
    </w:p>
    <w:p w:rsidR="00570B9C" w:rsidRPr="00C33653" w:rsidRDefault="00570B9C" w:rsidP="00570B9C">
      <w:pPr>
        <w:spacing w:line="480" w:lineRule="auto"/>
        <w:jc w:val="both"/>
        <w:rPr>
          <w:b/>
          <w:sz w:val="28"/>
          <w:szCs w:val="28"/>
        </w:rPr>
      </w:pPr>
      <w:r w:rsidRPr="00B13A3D">
        <w:rPr>
          <w:b/>
          <w:sz w:val="28"/>
          <w:szCs w:val="28"/>
        </w:rPr>
        <w:t>5.</w:t>
      </w:r>
      <w:r>
        <w:rPr>
          <w:b/>
          <w:sz w:val="28"/>
          <w:szCs w:val="28"/>
        </w:rPr>
        <w:t>7</w:t>
      </w:r>
      <w:r w:rsidRPr="00B13A3D">
        <w:rPr>
          <w:b/>
          <w:sz w:val="28"/>
          <w:szCs w:val="28"/>
        </w:rPr>
        <w:t>.- Financiamiento</w:t>
      </w:r>
    </w:p>
    <w:p w:rsidR="00570B9C" w:rsidRPr="00565EBD" w:rsidRDefault="00570B9C" w:rsidP="00570B9C">
      <w:pPr>
        <w:spacing w:line="480" w:lineRule="auto"/>
        <w:jc w:val="both"/>
        <w:rPr>
          <w:b/>
        </w:rPr>
      </w:pPr>
    </w:p>
    <w:p w:rsidR="00570B9C" w:rsidRDefault="00570B9C" w:rsidP="00115804">
      <w:pPr>
        <w:spacing w:line="480" w:lineRule="auto"/>
        <w:ind w:firstLine="540"/>
        <w:jc w:val="both"/>
      </w:pPr>
      <w:r>
        <w:t xml:space="preserve">El 100% de este proyecto será financiado con recursos propios de los accionistas, tanto la inversión inicial como el capital de trabajo. En la evaluación de un proyecto, se considera capital patrimonial a aquella parte de la inversión que debe financiarse con recursos propios. </w:t>
      </w:r>
    </w:p>
    <w:p w:rsidR="00185B86" w:rsidRPr="00C33653" w:rsidRDefault="00185B86" w:rsidP="00185B86">
      <w:pPr>
        <w:spacing w:line="480" w:lineRule="auto"/>
        <w:rPr>
          <w:b/>
          <w:sz w:val="28"/>
          <w:szCs w:val="28"/>
        </w:rPr>
      </w:pPr>
      <w:r w:rsidRPr="00B13A3D">
        <w:rPr>
          <w:b/>
          <w:sz w:val="28"/>
          <w:szCs w:val="28"/>
        </w:rPr>
        <w:t>5.</w:t>
      </w:r>
      <w:r>
        <w:rPr>
          <w:b/>
          <w:sz w:val="28"/>
          <w:szCs w:val="28"/>
        </w:rPr>
        <w:t>8</w:t>
      </w:r>
      <w:r w:rsidRPr="00B13A3D">
        <w:rPr>
          <w:b/>
          <w:sz w:val="28"/>
          <w:szCs w:val="28"/>
        </w:rPr>
        <w:t>.- Flujo de Caja Proyectado</w:t>
      </w:r>
    </w:p>
    <w:p w:rsidR="00185B86" w:rsidRDefault="00185B86" w:rsidP="00185B86">
      <w:pPr>
        <w:spacing w:line="480" w:lineRule="auto"/>
        <w:rPr>
          <w:b/>
        </w:rPr>
      </w:pPr>
    </w:p>
    <w:p w:rsidR="00185B86" w:rsidRDefault="00185B86" w:rsidP="00115804">
      <w:pPr>
        <w:spacing w:line="480" w:lineRule="auto"/>
        <w:ind w:firstLine="540"/>
        <w:jc w:val="both"/>
      </w:pPr>
      <w:r>
        <w:t xml:space="preserve">La proyección del flujo de caja constituye uno de los elementos más importantes del estudio de un proyecto, ya que la evaluación del mismo se efectuará sobre los resultados que en ella se determinen. </w:t>
      </w:r>
      <w:r w:rsidR="00777B61">
        <w:t>Constituye los flujos de las entradas (ingresos) y salidas (egresos) de efectivo en un periodo dado.</w:t>
      </w:r>
      <w:r w:rsidR="00CB1B51">
        <w:t xml:space="preserve"> Es muy útil para evitar problemas de liquidez, ya que el ser rentable no implica necesariamente poseer liquidez.</w:t>
      </w:r>
    </w:p>
    <w:p w:rsidR="00185B86" w:rsidRDefault="00185B86" w:rsidP="00185B86">
      <w:pPr>
        <w:spacing w:line="480" w:lineRule="auto"/>
        <w:jc w:val="both"/>
      </w:pPr>
    </w:p>
    <w:p w:rsidR="00185B86" w:rsidRPr="004D468B" w:rsidRDefault="00185B86" w:rsidP="00185B86">
      <w:pPr>
        <w:spacing w:line="480" w:lineRule="auto"/>
        <w:jc w:val="center"/>
        <w:rPr>
          <w:b/>
        </w:rPr>
      </w:pPr>
      <w:r>
        <w:rPr>
          <w:b/>
        </w:rPr>
        <w:t>Tabla N</w:t>
      </w:r>
      <w:r w:rsidRPr="004D468B">
        <w:rPr>
          <w:b/>
        </w:rPr>
        <w:t xml:space="preserve">o. </w:t>
      </w:r>
      <w:r w:rsidR="00B21A9B">
        <w:rPr>
          <w:b/>
        </w:rPr>
        <w:t>7</w:t>
      </w:r>
    </w:p>
    <w:p w:rsidR="00185B86" w:rsidRDefault="00185B86" w:rsidP="00185B86">
      <w:pPr>
        <w:spacing w:line="480" w:lineRule="auto"/>
        <w:jc w:val="center"/>
        <w:rPr>
          <w:b/>
          <w:i/>
        </w:rPr>
      </w:pPr>
      <w:r>
        <w:rPr>
          <w:b/>
          <w:i/>
        </w:rPr>
        <w:t>Flujo de Caja Proyectado</w:t>
      </w:r>
    </w:p>
    <w:tbl>
      <w:tblPr>
        <w:tblW w:w="8560" w:type="dxa"/>
        <w:jc w:val="center"/>
        <w:tblInd w:w="47" w:type="dxa"/>
        <w:tblCellMar>
          <w:left w:w="70" w:type="dxa"/>
          <w:right w:w="70" w:type="dxa"/>
        </w:tblCellMar>
        <w:tblLook w:val="0000"/>
      </w:tblPr>
      <w:tblGrid>
        <w:gridCol w:w="183"/>
        <w:gridCol w:w="1660"/>
        <w:gridCol w:w="1020"/>
        <w:gridCol w:w="1020"/>
        <w:gridCol w:w="1020"/>
        <w:gridCol w:w="1120"/>
        <w:gridCol w:w="1120"/>
        <w:gridCol w:w="1240"/>
        <w:gridCol w:w="183"/>
      </w:tblGrid>
      <w:tr w:rsidR="002D5A15">
        <w:trPr>
          <w:trHeight w:val="180"/>
          <w:jc w:val="center"/>
        </w:trPr>
        <w:tc>
          <w:tcPr>
            <w:tcW w:w="180" w:type="dxa"/>
            <w:tcBorders>
              <w:top w:val="double" w:sz="6" w:space="0" w:color="auto"/>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double" w:sz="6" w:space="0" w:color="auto"/>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020" w:type="dxa"/>
            <w:tcBorders>
              <w:top w:val="double" w:sz="6" w:space="0" w:color="auto"/>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020" w:type="dxa"/>
            <w:tcBorders>
              <w:top w:val="double" w:sz="6" w:space="0" w:color="auto"/>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020" w:type="dxa"/>
            <w:tcBorders>
              <w:top w:val="double" w:sz="6" w:space="0" w:color="auto"/>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120" w:type="dxa"/>
            <w:tcBorders>
              <w:top w:val="double" w:sz="6" w:space="0" w:color="auto"/>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120" w:type="dxa"/>
            <w:tcBorders>
              <w:top w:val="double" w:sz="6" w:space="0" w:color="auto"/>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240" w:type="dxa"/>
            <w:tcBorders>
              <w:top w:val="double" w:sz="6" w:space="0" w:color="auto"/>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80" w:type="dxa"/>
            <w:tcBorders>
              <w:top w:val="double" w:sz="6" w:space="0" w:color="auto"/>
              <w:left w:val="nil"/>
              <w:bottom w:val="nil"/>
              <w:right w:val="double" w:sz="6" w:space="0" w:color="auto"/>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8200" w:type="dxa"/>
            <w:gridSpan w:val="7"/>
            <w:tcBorders>
              <w:top w:val="nil"/>
              <w:left w:val="nil"/>
              <w:bottom w:val="nil"/>
              <w:right w:val="nil"/>
            </w:tcBorders>
            <w:shd w:val="clear" w:color="auto" w:fill="FFFFFF"/>
            <w:noWrap/>
            <w:vAlign w:val="bottom"/>
          </w:tcPr>
          <w:p w:rsidR="002D5A15" w:rsidRDefault="002D5A15">
            <w:pPr>
              <w:rPr>
                <w:rFonts w:ascii="Verdana" w:hAnsi="Verdana" w:cs="Arial"/>
                <w:b/>
                <w:bCs/>
                <w:sz w:val="12"/>
                <w:szCs w:val="12"/>
              </w:rPr>
            </w:pPr>
            <w:r>
              <w:rPr>
                <w:rFonts w:ascii="Verdana" w:hAnsi="Verdana" w:cs="Arial"/>
                <w:b/>
                <w:bCs/>
                <w:sz w:val="12"/>
                <w:szCs w:val="12"/>
              </w:rPr>
              <w:t>A.- TOTAL DE INGRESOS (DÓLARES)</w:t>
            </w:r>
          </w:p>
        </w:tc>
        <w:tc>
          <w:tcPr>
            <w:tcW w:w="180" w:type="dxa"/>
            <w:tcBorders>
              <w:top w:val="nil"/>
              <w:left w:val="nil"/>
              <w:bottom w:val="nil"/>
              <w:right w:val="double" w:sz="6" w:space="0" w:color="auto"/>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nil"/>
              <w:left w:val="nil"/>
              <w:bottom w:val="nil"/>
              <w:right w:val="nil"/>
            </w:tcBorders>
            <w:shd w:val="clear" w:color="auto" w:fill="C0C0C0"/>
            <w:noWrap/>
            <w:vAlign w:val="bottom"/>
          </w:tcPr>
          <w:p w:rsidR="002D5A15" w:rsidRDefault="002D5A15">
            <w:pPr>
              <w:rPr>
                <w:rFonts w:ascii="Verdana" w:hAnsi="Verdana" w:cs="Arial"/>
                <w:b/>
                <w:bCs/>
                <w:sz w:val="12"/>
                <w:szCs w:val="12"/>
              </w:rPr>
            </w:pPr>
            <w:r>
              <w:rPr>
                <w:rFonts w:ascii="Verdana" w:hAnsi="Verdana" w:cs="Arial"/>
                <w:b/>
                <w:bCs/>
                <w:sz w:val="12"/>
                <w:szCs w:val="12"/>
              </w:rPr>
              <w:t>Periodos Anuales:</w:t>
            </w:r>
          </w:p>
        </w:tc>
        <w:tc>
          <w:tcPr>
            <w:tcW w:w="10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1</w:t>
            </w:r>
          </w:p>
        </w:tc>
        <w:tc>
          <w:tcPr>
            <w:tcW w:w="10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2</w:t>
            </w:r>
          </w:p>
        </w:tc>
        <w:tc>
          <w:tcPr>
            <w:tcW w:w="10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3</w:t>
            </w:r>
          </w:p>
        </w:tc>
        <w:tc>
          <w:tcPr>
            <w:tcW w:w="11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4</w:t>
            </w:r>
          </w:p>
        </w:tc>
        <w:tc>
          <w:tcPr>
            <w:tcW w:w="11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5</w:t>
            </w:r>
          </w:p>
        </w:tc>
        <w:tc>
          <w:tcPr>
            <w:tcW w:w="124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TOTAL</w:t>
            </w:r>
          </w:p>
        </w:tc>
        <w:tc>
          <w:tcPr>
            <w:tcW w:w="180" w:type="dxa"/>
            <w:tcBorders>
              <w:top w:val="nil"/>
              <w:left w:val="nil"/>
              <w:bottom w:val="nil"/>
              <w:right w:val="double" w:sz="6" w:space="0" w:color="auto"/>
            </w:tcBorders>
            <w:shd w:val="clear" w:color="auto" w:fill="FFFFFF"/>
            <w:noWrap/>
            <w:vAlign w:val="bottom"/>
          </w:tcPr>
          <w:p w:rsidR="002D5A15" w:rsidRDefault="002D5A15">
            <w:pPr>
              <w:jc w:val="center"/>
              <w:rPr>
                <w:rFonts w:ascii="Verdana" w:hAnsi="Verdana" w:cs="Arial"/>
                <w:b/>
                <w:bCs/>
                <w:sz w:val="12"/>
                <w:szCs w:val="12"/>
              </w:rPr>
            </w:pPr>
            <w:r>
              <w:rPr>
                <w:rFonts w:ascii="Verdana" w:hAnsi="Verdana" w:cs="Arial"/>
                <w:b/>
                <w:bCs/>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Ingresos por Ventas</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$ 63.000,00</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$ 79.500,00</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$ 96.000,00</w:t>
            </w:r>
          </w:p>
        </w:tc>
        <w:tc>
          <w:tcPr>
            <w:tcW w:w="11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$ 112.500,00</w:t>
            </w:r>
          </w:p>
        </w:tc>
        <w:tc>
          <w:tcPr>
            <w:tcW w:w="11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$ 129.000,00</w:t>
            </w:r>
          </w:p>
        </w:tc>
        <w:tc>
          <w:tcPr>
            <w:tcW w:w="1240" w:type="dxa"/>
            <w:tcBorders>
              <w:top w:val="nil"/>
              <w:left w:val="nil"/>
              <w:bottom w:val="nil"/>
              <w:right w:val="nil"/>
            </w:tcBorders>
            <w:shd w:val="clear" w:color="auto" w:fill="FFFFFF"/>
            <w:noWrap/>
            <w:vAlign w:val="bottom"/>
          </w:tcPr>
          <w:p w:rsidR="002D5A15" w:rsidRDefault="002D5A15">
            <w:pPr>
              <w:jc w:val="right"/>
              <w:rPr>
                <w:rFonts w:ascii="Verdana" w:hAnsi="Verdana" w:cs="Arial"/>
                <w:b/>
                <w:bCs/>
                <w:sz w:val="12"/>
                <w:szCs w:val="12"/>
              </w:rPr>
            </w:pPr>
            <w:r>
              <w:rPr>
                <w:rFonts w:ascii="Verdana" w:hAnsi="Verdana" w:cs="Arial"/>
                <w:b/>
                <w:bCs/>
                <w:sz w:val="12"/>
                <w:szCs w:val="12"/>
              </w:rPr>
              <w:t>$ 480.000,00</w:t>
            </w:r>
          </w:p>
        </w:tc>
        <w:tc>
          <w:tcPr>
            <w:tcW w:w="180" w:type="dxa"/>
            <w:tcBorders>
              <w:top w:val="nil"/>
              <w:left w:val="nil"/>
              <w:bottom w:val="nil"/>
              <w:right w:val="double" w:sz="6" w:space="0" w:color="auto"/>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Otros Ingresos</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$ 0,00</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$ 0,00</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$ 0,00</w:t>
            </w:r>
          </w:p>
        </w:tc>
        <w:tc>
          <w:tcPr>
            <w:tcW w:w="11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$ 0,00</w:t>
            </w:r>
          </w:p>
        </w:tc>
        <w:tc>
          <w:tcPr>
            <w:tcW w:w="11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$ 0,00</w:t>
            </w:r>
          </w:p>
        </w:tc>
        <w:tc>
          <w:tcPr>
            <w:tcW w:w="1240" w:type="dxa"/>
            <w:tcBorders>
              <w:top w:val="nil"/>
              <w:left w:val="nil"/>
              <w:bottom w:val="nil"/>
              <w:right w:val="nil"/>
            </w:tcBorders>
            <w:shd w:val="clear" w:color="auto" w:fill="FFFFFF"/>
            <w:noWrap/>
            <w:vAlign w:val="bottom"/>
          </w:tcPr>
          <w:p w:rsidR="002D5A15" w:rsidRDefault="002D5A15">
            <w:pPr>
              <w:jc w:val="right"/>
              <w:rPr>
                <w:rFonts w:ascii="Verdana" w:hAnsi="Verdana" w:cs="Arial"/>
                <w:b/>
                <w:bCs/>
                <w:sz w:val="12"/>
                <w:szCs w:val="12"/>
              </w:rPr>
            </w:pPr>
            <w:r>
              <w:rPr>
                <w:rFonts w:ascii="Verdana" w:hAnsi="Verdana" w:cs="Arial"/>
                <w:b/>
                <w:bCs/>
                <w:sz w:val="12"/>
                <w:szCs w:val="12"/>
              </w:rPr>
              <w:t>$ 0,00</w:t>
            </w:r>
          </w:p>
        </w:tc>
        <w:tc>
          <w:tcPr>
            <w:tcW w:w="180" w:type="dxa"/>
            <w:tcBorders>
              <w:top w:val="nil"/>
              <w:left w:val="nil"/>
              <w:bottom w:val="nil"/>
              <w:right w:val="double" w:sz="6" w:space="0" w:color="auto"/>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nil"/>
              <w:left w:val="nil"/>
              <w:bottom w:val="nil"/>
              <w:right w:val="nil"/>
            </w:tcBorders>
            <w:shd w:val="clear" w:color="auto" w:fill="C0C0C0"/>
            <w:noWrap/>
            <w:vAlign w:val="bottom"/>
          </w:tcPr>
          <w:p w:rsidR="002D5A15" w:rsidRDefault="002D5A15">
            <w:pPr>
              <w:rPr>
                <w:rFonts w:ascii="Verdana" w:hAnsi="Verdana" w:cs="Arial"/>
                <w:b/>
                <w:bCs/>
                <w:sz w:val="12"/>
                <w:szCs w:val="12"/>
              </w:rPr>
            </w:pPr>
            <w:r>
              <w:rPr>
                <w:rFonts w:ascii="Verdana" w:hAnsi="Verdana" w:cs="Arial"/>
                <w:b/>
                <w:bCs/>
                <w:sz w:val="12"/>
                <w:szCs w:val="12"/>
              </w:rPr>
              <w:t>TOTAL DE INGRESOS</w:t>
            </w:r>
          </w:p>
        </w:tc>
        <w:tc>
          <w:tcPr>
            <w:tcW w:w="10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$ 63.000,00</w:t>
            </w:r>
          </w:p>
        </w:tc>
        <w:tc>
          <w:tcPr>
            <w:tcW w:w="10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$ 79.500,00</w:t>
            </w:r>
          </w:p>
        </w:tc>
        <w:tc>
          <w:tcPr>
            <w:tcW w:w="10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$ 96.000,00</w:t>
            </w:r>
          </w:p>
        </w:tc>
        <w:tc>
          <w:tcPr>
            <w:tcW w:w="11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$ 112.500,00</w:t>
            </w:r>
          </w:p>
        </w:tc>
        <w:tc>
          <w:tcPr>
            <w:tcW w:w="11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$ 129.000,00</w:t>
            </w:r>
          </w:p>
        </w:tc>
        <w:tc>
          <w:tcPr>
            <w:tcW w:w="124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$ 480.000,00</w:t>
            </w:r>
          </w:p>
        </w:tc>
        <w:tc>
          <w:tcPr>
            <w:tcW w:w="180" w:type="dxa"/>
            <w:tcBorders>
              <w:top w:val="nil"/>
              <w:left w:val="nil"/>
              <w:bottom w:val="nil"/>
              <w:right w:val="double" w:sz="6" w:space="0" w:color="auto"/>
            </w:tcBorders>
            <w:shd w:val="clear" w:color="auto" w:fill="FFFFFF"/>
            <w:noWrap/>
            <w:vAlign w:val="bottom"/>
          </w:tcPr>
          <w:p w:rsidR="002D5A15" w:rsidRDefault="002D5A15">
            <w:pPr>
              <w:jc w:val="center"/>
              <w:rPr>
                <w:rFonts w:ascii="Verdana" w:hAnsi="Verdana" w:cs="Arial"/>
                <w:b/>
                <w:bCs/>
                <w:sz w:val="12"/>
                <w:szCs w:val="12"/>
              </w:rPr>
            </w:pPr>
            <w:r>
              <w:rPr>
                <w:rFonts w:ascii="Verdana" w:hAnsi="Verdana" w:cs="Arial"/>
                <w:b/>
                <w:bCs/>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02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02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02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12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12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24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80" w:type="dxa"/>
            <w:tcBorders>
              <w:top w:val="nil"/>
              <w:left w:val="nil"/>
              <w:bottom w:val="nil"/>
              <w:right w:val="double" w:sz="6" w:space="0" w:color="auto"/>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8200" w:type="dxa"/>
            <w:gridSpan w:val="7"/>
            <w:tcBorders>
              <w:top w:val="nil"/>
              <w:left w:val="nil"/>
              <w:bottom w:val="nil"/>
              <w:right w:val="nil"/>
            </w:tcBorders>
            <w:shd w:val="clear" w:color="auto" w:fill="FFFFFF"/>
            <w:noWrap/>
            <w:vAlign w:val="bottom"/>
          </w:tcPr>
          <w:p w:rsidR="002D5A15" w:rsidRDefault="002D5A15">
            <w:pPr>
              <w:rPr>
                <w:rFonts w:ascii="Verdana" w:hAnsi="Verdana" w:cs="Arial"/>
                <w:b/>
                <w:bCs/>
                <w:sz w:val="12"/>
                <w:szCs w:val="12"/>
              </w:rPr>
            </w:pPr>
            <w:r>
              <w:rPr>
                <w:rFonts w:ascii="Verdana" w:hAnsi="Verdana" w:cs="Arial"/>
                <w:b/>
                <w:bCs/>
                <w:sz w:val="12"/>
                <w:szCs w:val="12"/>
              </w:rPr>
              <w:t>B.- TOTAL DE EGRESOS (DÓLARES)</w:t>
            </w:r>
          </w:p>
        </w:tc>
        <w:tc>
          <w:tcPr>
            <w:tcW w:w="180" w:type="dxa"/>
            <w:tcBorders>
              <w:top w:val="nil"/>
              <w:left w:val="nil"/>
              <w:bottom w:val="nil"/>
              <w:right w:val="double" w:sz="6" w:space="0" w:color="auto"/>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nil"/>
              <w:left w:val="nil"/>
              <w:bottom w:val="nil"/>
              <w:right w:val="nil"/>
            </w:tcBorders>
            <w:shd w:val="clear" w:color="auto" w:fill="C0C0C0"/>
            <w:noWrap/>
            <w:vAlign w:val="bottom"/>
          </w:tcPr>
          <w:p w:rsidR="002D5A15" w:rsidRDefault="002D5A15">
            <w:pPr>
              <w:rPr>
                <w:rFonts w:ascii="Verdana" w:hAnsi="Verdana" w:cs="Arial"/>
                <w:b/>
                <w:bCs/>
                <w:sz w:val="12"/>
                <w:szCs w:val="12"/>
              </w:rPr>
            </w:pPr>
            <w:r>
              <w:rPr>
                <w:rFonts w:ascii="Verdana" w:hAnsi="Verdana" w:cs="Arial"/>
                <w:b/>
                <w:bCs/>
                <w:sz w:val="12"/>
                <w:szCs w:val="12"/>
              </w:rPr>
              <w:t>Periodos Anuales:</w:t>
            </w:r>
          </w:p>
        </w:tc>
        <w:tc>
          <w:tcPr>
            <w:tcW w:w="10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1</w:t>
            </w:r>
          </w:p>
        </w:tc>
        <w:tc>
          <w:tcPr>
            <w:tcW w:w="10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2</w:t>
            </w:r>
          </w:p>
        </w:tc>
        <w:tc>
          <w:tcPr>
            <w:tcW w:w="10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3</w:t>
            </w:r>
          </w:p>
        </w:tc>
        <w:tc>
          <w:tcPr>
            <w:tcW w:w="11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4</w:t>
            </w:r>
          </w:p>
        </w:tc>
        <w:tc>
          <w:tcPr>
            <w:tcW w:w="11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5</w:t>
            </w:r>
          </w:p>
        </w:tc>
        <w:tc>
          <w:tcPr>
            <w:tcW w:w="124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TOTAL</w:t>
            </w:r>
          </w:p>
        </w:tc>
        <w:tc>
          <w:tcPr>
            <w:tcW w:w="180" w:type="dxa"/>
            <w:tcBorders>
              <w:top w:val="nil"/>
              <w:left w:val="nil"/>
              <w:bottom w:val="nil"/>
              <w:right w:val="double" w:sz="6" w:space="0" w:color="auto"/>
            </w:tcBorders>
            <w:shd w:val="clear" w:color="auto" w:fill="FFFFFF"/>
            <w:noWrap/>
            <w:vAlign w:val="bottom"/>
          </w:tcPr>
          <w:p w:rsidR="002D5A15" w:rsidRDefault="002D5A15">
            <w:pPr>
              <w:jc w:val="center"/>
              <w:rPr>
                <w:rFonts w:ascii="Verdana" w:hAnsi="Verdana" w:cs="Arial"/>
                <w:b/>
                <w:bCs/>
                <w:sz w:val="12"/>
                <w:szCs w:val="12"/>
              </w:rPr>
            </w:pPr>
            <w:r>
              <w:rPr>
                <w:rFonts w:ascii="Verdana" w:hAnsi="Verdana" w:cs="Arial"/>
                <w:b/>
                <w:bCs/>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Gastos de Personal</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$ 30.000,00</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$ 30.000,00</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$ 30.000,00</w:t>
            </w:r>
          </w:p>
        </w:tc>
        <w:tc>
          <w:tcPr>
            <w:tcW w:w="11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$ 30.000,00</w:t>
            </w:r>
          </w:p>
        </w:tc>
        <w:tc>
          <w:tcPr>
            <w:tcW w:w="11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$ 30.000,00</w:t>
            </w:r>
          </w:p>
        </w:tc>
        <w:tc>
          <w:tcPr>
            <w:tcW w:w="1240" w:type="dxa"/>
            <w:tcBorders>
              <w:top w:val="nil"/>
              <w:left w:val="nil"/>
              <w:bottom w:val="nil"/>
              <w:right w:val="nil"/>
            </w:tcBorders>
            <w:shd w:val="clear" w:color="auto" w:fill="FFFFFF"/>
            <w:noWrap/>
            <w:vAlign w:val="bottom"/>
          </w:tcPr>
          <w:p w:rsidR="002D5A15" w:rsidRDefault="002D5A15">
            <w:pPr>
              <w:jc w:val="right"/>
              <w:rPr>
                <w:rFonts w:ascii="Verdana" w:hAnsi="Verdana" w:cs="Arial"/>
                <w:b/>
                <w:bCs/>
                <w:sz w:val="12"/>
                <w:szCs w:val="12"/>
              </w:rPr>
            </w:pPr>
            <w:r>
              <w:rPr>
                <w:rFonts w:ascii="Verdana" w:hAnsi="Verdana" w:cs="Arial"/>
                <w:b/>
                <w:bCs/>
                <w:sz w:val="12"/>
                <w:szCs w:val="12"/>
              </w:rPr>
              <w:t>$ 150.000,00</w:t>
            </w:r>
          </w:p>
        </w:tc>
        <w:tc>
          <w:tcPr>
            <w:tcW w:w="180" w:type="dxa"/>
            <w:tcBorders>
              <w:top w:val="nil"/>
              <w:left w:val="nil"/>
              <w:bottom w:val="nil"/>
              <w:right w:val="double" w:sz="6" w:space="0" w:color="auto"/>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Gastos Administrativos</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$ 9.600,00</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$ 9.984,00</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$ 10.239,84</w:t>
            </w:r>
          </w:p>
        </w:tc>
        <w:tc>
          <w:tcPr>
            <w:tcW w:w="11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$ 10.512,09</w:t>
            </w:r>
          </w:p>
        </w:tc>
        <w:tc>
          <w:tcPr>
            <w:tcW w:w="11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$ 10.802,34</w:t>
            </w:r>
          </w:p>
        </w:tc>
        <w:tc>
          <w:tcPr>
            <w:tcW w:w="1240" w:type="dxa"/>
            <w:tcBorders>
              <w:top w:val="nil"/>
              <w:left w:val="nil"/>
              <w:bottom w:val="nil"/>
              <w:right w:val="nil"/>
            </w:tcBorders>
            <w:shd w:val="clear" w:color="auto" w:fill="FFFFFF"/>
            <w:noWrap/>
            <w:vAlign w:val="bottom"/>
          </w:tcPr>
          <w:p w:rsidR="002D5A15" w:rsidRDefault="002D5A15">
            <w:pPr>
              <w:jc w:val="right"/>
              <w:rPr>
                <w:rFonts w:ascii="Verdana" w:hAnsi="Verdana" w:cs="Arial"/>
                <w:b/>
                <w:bCs/>
                <w:sz w:val="12"/>
                <w:szCs w:val="12"/>
              </w:rPr>
            </w:pPr>
            <w:r>
              <w:rPr>
                <w:rFonts w:ascii="Verdana" w:hAnsi="Verdana" w:cs="Arial"/>
                <w:b/>
                <w:bCs/>
                <w:sz w:val="12"/>
                <w:szCs w:val="12"/>
              </w:rPr>
              <w:t>$ 51.138,27</w:t>
            </w:r>
          </w:p>
        </w:tc>
        <w:tc>
          <w:tcPr>
            <w:tcW w:w="180" w:type="dxa"/>
            <w:tcBorders>
              <w:top w:val="nil"/>
              <w:left w:val="nil"/>
              <w:bottom w:val="nil"/>
              <w:right w:val="double" w:sz="6" w:space="0" w:color="auto"/>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Gastos de Ventas</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$ 15.750,00</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$ 19.875,00</w:t>
            </w:r>
          </w:p>
        </w:tc>
        <w:tc>
          <w:tcPr>
            <w:tcW w:w="10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$ 24.000,00</w:t>
            </w:r>
          </w:p>
        </w:tc>
        <w:tc>
          <w:tcPr>
            <w:tcW w:w="11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$ 28.125,00</w:t>
            </w:r>
          </w:p>
        </w:tc>
        <w:tc>
          <w:tcPr>
            <w:tcW w:w="1120" w:type="dxa"/>
            <w:tcBorders>
              <w:top w:val="nil"/>
              <w:left w:val="nil"/>
              <w:bottom w:val="nil"/>
              <w:right w:val="nil"/>
            </w:tcBorders>
            <w:shd w:val="clear" w:color="auto" w:fill="FFFFFF"/>
            <w:noWrap/>
            <w:vAlign w:val="bottom"/>
          </w:tcPr>
          <w:p w:rsidR="002D5A15" w:rsidRDefault="002D5A15">
            <w:pPr>
              <w:jc w:val="right"/>
              <w:rPr>
                <w:rFonts w:ascii="Verdana" w:hAnsi="Verdana" w:cs="Arial"/>
                <w:sz w:val="12"/>
                <w:szCs w:val="12"/>
              </w:rPr>
            </w:pPr>
            <w:r>
              <w:rPr>
                <w:rFonts w:ascii="Verdana" w:hAnsi="Verdana" w:cs="Arial"/>
                <w:sz w:val="12"/>
                <w:szCs w:val="12"/>
              </w:rPr>
              <w:t>$ 32.250,00</w:t>
            </w:r>
          </w:p>
        </w:tc>
        <w:tc>
          <w:tcPr>
            <w:tcW w:w="1240" w:type="dxa"/>
            <w:tcBorders>
              <w:top w:val="nil"/>
              <w:left w:val="nil"/>
              <w:bottom w:val="nil"/>
              <w:right w:val="nil"/>
            </w:tcBorders>
            <w:shd w:val="clear" w:color="auto" w:fill="FFFFFF"/>
            <w:noWrap/>
            <w:vAlign w:val="bottom"/>
          </w:tcPr>
          <w:p w:rsidR="002D5A15" w:rsidRDefault="002D5A15">
            <w:pPr>
              <w:jc w:val="right"/>
              <w:rPr>
                <w:rFonts w:ascii="Verdana" w:hAnsi="Verdana" w:cs="Arial"/>
                <w:b/>
                <w:bCs/>
                <w:sz w:val="12"/>
                <w:szCs w:val="12"/>
              </w:rPr>
            </w:pPr>
            <w:r>
              <w:rPr>
                <w:rFonts w:ascii="Verdana" w:hAnsi="Verdana" w:cs="Arial"/>
                <w:b/>
                <w:bCs/>
                <w:sz w:val="12"/>
                <w:szCs w:val="12"/>
              </w:rPr>
              <w:t>$ 120.000,00</w:t>
            </w:r>
          </w:p>
        </w:tc>
        <w:tc>
          <w:tcPr>
            <w:tcW w:w="180" w:type="dxa"/>
            <w:tcBorders>
              <w:top w:val="nil"/>
              <w:left w:val="nil"/>
              <w:bottom w:val="nil"/>
              <w:right w:val="double" w:sz="6" w:space="0" w:color="auto"/>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nil"/>
              <w:left w:val="nil"/>
              <w:bottom w:val="nil"/>
              <w:right w:val="nil"/>
            </w:tcBorders>
            <w:shd w:val="clear" w:color="auto" w:fill="C0C0C0"/>
            <w:noWrap/>
            <w:vAlign w:val="bottom"/>
          </w:tcPr>
          <w:p w:rsidR="002D5A15" w:rsidRDefault="002D5A15">
            <w:pPr>
              <w:rPr>
                <w:rFonts w:ascii="Verdana" w:hAnsi="Verdana" w:cs="Arial"/>
                <w:b/>
                <w:bCs/>
                <w:sz w:val="12"/>
                <w:szCs w:val="12"/>
              </w:rPr>
            </w:pPr>
            <w:r>
              <w:rPr>
                <w:rFonts w:ascii="Verdana" w:hAnsi="Verdana" w:cs="Arial"/>
                <w:b/>
                <w:bCs/>
                <w:sz w:val="12"/>
                <w:szCs w:val="12"/>
              </w:rPr>
              <w:t>TOTAL DE ENGRESOS</w:t>
            </w:r>
          </w:p>
        </w:tc>
        <w:tc>
          <w:tcPr>
            <w:tcW w:w="10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$ 55.350,00</w:t>
            </w:r>
          </w:p>
        </w:tc>
        <w:tc>
          <w:tcPr>
            <w:tcW w:w="10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$ 59.859,00</w:t>
            </w:r>
          </w:p>
        </w:tc>
        <w:tc>
          <w:tcPr>
            <w:tcW w:w="10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$ 64.239,84</w:t>
            </w:r>
          </w:p>
        </w:tc>
        <w:tc>
          <w:tcPr>
            <w:tcW w:w="11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$ 68.637,09</w:t>
            </w:r>
          </w:p>
        </w:tc>
        <w:tc>
          <w:tcPr>
            <w:tcW w:w="11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$ 73.052,34</w:t>
            </w:r>
          </w:p>
        </w:tc>
        <w:tc>
          <w:tcPr>
            <w:tcW w:w="124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$ 321.138,27</w:t>
            </w:r>
          </w:p>
        </w:tc>
        <w:tc>
          <w:tcPr>
            <w:tcW w:w="180" w:type="dxa"/>
            <w:tcBorders>
              <w:top w:val="nil"/>
              <w:left w:val="nil"/>
              <w:bottom w:val="nil"/>
              <w:right w:val="double" w:sz="6" w:space="0" w:color="auto"/>
            </w:tcBorders>
            <w:shd w:val="clear" w:color="auto" w:fill="FFFFFF"/>
            <w:noWrap/>
            <w:vAlign w:val="bottom"/>
          </w:tcPr>
          <w:p w:rsidR="002D5A15" w:rsidRDefault="002D5A15">
            <w:pPr>
              <w:jc w:val="center"/>
              <w:rPr>
                <w:rFonts w:ascii="Verdana" w:hAnsi="Verdana" w:cs="Arial"/>
                <w:b/>
                <w:bCs/>
                <w:sz w:val="12"/>
                <w:szCs w:val="12"/>
              </w:rPr>
            </w:pPr>
            <w:r>
              <w:rPr>
                <w:rFonts w:ascii="Verdana" w:hAnsi="Verdana" w:cs="Arial"/>
                <w:b/>
                <w:bCs/>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02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02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02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12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12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240" w:type="dxa"/>
            <w:tcBorders>
              <w:top w:val="nil"/>
              <w:left w:val="nil"/>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80" w:type="dxa"/>
            <w:tcBorders>
              <w:top w:val="nil"/>
              <w:left w:val="nil"/>
              <w:bottom w:val="nil"/>
              <w:right w:val="double" w:sz="6" w:space="0" w:color="auto"/>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8200" w:type="dxa"/>
            <w:gridSpan w:val="7"/>
            <w:tcBorders>
              <w:top w:val="nil"/>
              <w:left w:val="nil"/>
              <w:bottom w:val="nil"/>
              <w:right w:val="nil"/>
            </w:tcBorders>
            <w:shd w:val="clear" w:color="auto" w:fill="FFFFFF"/>
            <w:noWrap/>
            <w:vAlign w:val="bottom"/>
          </w:tcPr>
          <w:p w:rsidR="002D5A15" w:rsidRDefault="002D5A15">
            <w:pPr>
              <w:rPr>
                <w:rFonts w:ascii="Verdana" w:hAnsi="Verdana" w:cs="Arial"/>
                <w:b/>
                <w:bCs/>
                <w:sz w:val="12"/>
                <w:szCs w:val="12"/>
              </w:rPr>
            </w:pPr>
            <w:r>
              <w:rPr>
                <w:rFonts w:ascii="Verdana" w:hAnsi="Verdana" w:cs="Arial"/>
                <w:b/>
                <w:bCs/>
                <w:sz w:val="12"/>
                <w:szCs w:val="12"/>
              </w:rPr>
              <w:t>C.- FLUJO DE CAJA (DÓLARES)</w:t>
            </w:r>
          </w:p>
        </w:tc>
        <w:tc>
          <w:tcPr>
            <w:tcW w:w="180" w:type="dxa"/>
            <w:tcBorders>
              <w:top w:val="nil"/>
              <w:left w:val="nil"/>
              <w:bottom w:val="nil"/>
              <w:right w:val="double" w:sz="6" w:space="0" w:color="auto"/>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nil"/>
              <w:left w:val="nil"/>
              <w:bottom w:val="nil"/>
              <w:right w:val="nil"/>
            </w:tcBorders>
            <w:shd w:val="clear" w:color="auto" w:fill="C0C0C0"/>
            <w:noWrap/>
            <w:vAlign w:val="bottom"/>
          </w:tcPr>
          <w:p w:rsidR="002D5A15" w:rsidRDefault="002D5A15">
            <w:pPr>
              <w:rPr>
                <w:rFonts w:ascii="Verdana" w:hAnsi="Verdana" w:cs="Arial"/>
                <w:b/>
                <w:bCs/>
                <w:sz w:val="12"/>
                <w:szCs w:val="12"/>
              </w:rPr>
            </w:pPr>
            <w:r>
              <w:rPr>
                <w:rFonts w:ascii="Verdana" w:hAnsi="Verdana" w:cs="Arial"/>
                <w:b/>
                <w:bCs/>
                <w:sz w:val="12"/>
                <w:szCs w:val="12"/>
              </w:rPr>
              <w:t>Periodos Anuales:</w:t>
            </w:r>
          </w:p>
        </w:tc>
        <w:tc>
          <w:tcPr>
            <w:tcW w:w="10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1</w:t>
            </w:r>
          </w:p>
        </w:tc>
        <w:tc>
          <w:tcPr>
            <w:tcW w:w="10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2</w:t>
            </w:r>
          </w:p>
        </w:tc>
        <w:tc>
          <w:tcPr>
            <w:tcW w:w="10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3</w:t>
            </w:r>
          </w:p>
        </w:tc>
        <w:tc>
          <w:tcPr>
            <w:tcW w:w="11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4</w:t>
            </w:r>
          </w:p>
        </w:tc>
        <w:tc>
          <w:tcPr>
            <w:tcW w:w="112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Año 5</w:t>
            </w:r>
          </w:p>
        </w:tc>
        <w:tc>
          <w:tcPr>
            <w:tcW w:w="1240" w:type="dxa"/>
            <w:tcBorders>
              <w:top w:val="nil"/>
              <w:left w:val="nil"/>
              <w:bottom w:val="nil"/>
              <w:right w:val="nil"/>
            </w:tcBorders>
            <w:shd w:val="clear" w:color="auto" w:fill="C0C0C0"/>
            <w:noWrap/>
            <w:vAlign w:val="bottom"/>
          </w:tcPr>
          <w:p w:rsidR="002D5A15" w:rsidRDefault="002D5A15">
            <w:pPr>
              <w:jc w:val="center"/>
              <w:rPr>
                <w:rFonts w:ascii="Verdana" w:hAnsi="Verdana" w:cs="Arial"/>
                <w:b/>
                <w:bCs/>
                <w:sz w:val="12"/>
                <w:szCs w:val="12"/>
              </w:rPr>
            </w:pPr>
            <w:r>
              <w:rPr>
                <w:rFonts w:ascii="Verdana" w:hAnsi="Verdana" w:cs="Arial"/>
                <w:b/>
                <w:bCs/>
                <w:sz w:val="12"/>
                <w:szCs w:val="12"/>
              </w:rPr>
              <w:t>TOTAL</w:t>
            </w:r>
          </w:p>
        </w:tc>
        <w:tc>
          <w:tcPr>
            <w:tcW w:w="180" w:type="dxa"/>
            <w:tcBorders>
              <w:top w:val="nil"/>
              <w:left w:val="nil"/>
              <w:bottom w:val="nil"/>
              <w:right w:val="double" w:sz="6" w:space="0" w:color="auto"/>
            </w:tcBorders>
            <w:shd w:val="clear" w:color="auto" w:fill="FFFFFF"/>
            <w:noWrap/>
            <w:vAlign w:val="bottom"/>
          </w:tcPr>
          <w:p w:rsidR="002D5A15" w:rsidRDefault="002D5A15">
            <w:pPr>
              <w:jc w:val="center"/>
              <w:rPr>
                <w:rFonts w:ascii="Verdana" w:hAnsi="Verdana" w:cs="Arial"/>
                <w:b/>
                <w:bCs/>
                <w:sz w:val="12"/>
                <w:szCs w:val="12"/>
              </w:rPr>
            </w:pPr>
            <w:r>
              <w:rPr>
                <w:rFonts w:ascii="Verdana" w:hAnsi="Verdana" w:cs="Arial"/>
                <w:b/>
                <w:bCs/>
                <w:sz w:val="12"/>
                <w:szCs w:val="12"/>
              </w:rPr>
              <w:t> </w:t>
            </w:r>
          </w:p>
        </w:tc>
      </w:tr>
      <w:tr w:rsidR="002D5A15">
        <w:trPr>
          <w:trHeight w:val="165"/>
          <w:jc w:val="center"/>
        </w:trPr>
        <w:tc>
          <w:tcPr>
            <w:tcW w:w="180" w:type="dxa"/>
            <w:tcBorders>
              <w:top w:val="nil"/>
              <w:left w:val="double" w:sz="6" w:space="0" w:color="auto"/>
              <w:bottom w:val="nil"/>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nil"/>
              <w:left w:val="nil"/>
              <w:bottom w:val="nil"/>
              <w:right w:val="nil"/>
            </w:tcBorders>
            <w:shd w:val="clear" w:color="auto" w:fill="C0C0C0"/>
            <w:noWrap/>
            <w:vAlign w:val="bottom"/>
          </w:tcPr>
          <w:p w:rsidR="002D5A15" w:rsidRDefault="002D5A15">
            <w:pPr>
              <w:rPr>
                <w:rFonts w:ascii="Verdana" w:hAnsi="Verdana" w:cs="Arial"/>
                <w:b/>
                <w:bCs/>
                <w:sz w:val="12"/>
                <w:szCs w:val="12"/>
              </w:rPr>
            </w:pPr>
            <w:r>
              <w:rPr>
                <w:rFonts w:ascii="Verdana" w:hAnsi="Verdana" w:cs="Arial"/>
                <w:b/>
                <w:bCs/>
                <w:sz w:val="12"/>
                <w:szCs w:val="12"/>
              </w:rPr>
              <w:t>FLUJO DE CAJA</w:t>
            </w:r>
          </w:p>
        </w:tc>
        <w:tc>
          <w:tcPr>
            <w:tcW w:w="10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$ 7.650,00</w:t>
            </w:r>
          </w:p>
        </w:tc>
        <w:tc>
          <w:tcPr>
            <w:tcW w:w="10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$ 19.641,00</w:t>
            </w:r>
          </w:p>
        </w:tc>
        <w:tc>
          <w:tcPr>
            <w:tcW w:w="10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$ 31.760,16</w:t>
            </w:r>
          </w:p>
        </w:tc>
        <w:tc>
          <w:tcPr>
            <w:tcW w:w="11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$ 43.862,91</w:t>
            </w:r>
          </w:p>
        </w:tc>
        <w:tc>
          <w:tcPr>
            <w:tcW w:w="112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$ 55.947,66</w:t>
            </w:r>
          </w:p>
        </w:tc>
        <w:tc>
          <w:tcPr>
            <w:tcW w:w="1240" w:type="dxa"/>
            <w:tcBorders>
              <w:top w:val="nil"/>
              <w:left w:val="nil"/>
              <w:bottom w:val="nil"/>
              <w:right w:val="nil"/>
            </w:tcBorders>
            <w:shd w:val="clear" w:color="auto" w:fill="C0C0C0"/>
            <w:noWrap/>
            <w:vAlign w:val="bottom"/>
          </w:tcPr>
          <w:p w:rsidR="002D5A15" w:rsidRDefault="002D5A15">
            <w:pPr>
              <w:jc w:val="right"/>
              <w:rPr>
                <w:rFonts w:ascii="Verdana" w:hAnsi="Verdana" w:cs="Arial"/>
                <w:b/>
                <w:bCs/>
                <w:sz w:val="12"/>
                <w:szCs w:val="12"/>
              </w:rPr>
            </w:pPr>
            <w:r>
              <w:rPr>
                <w:rFonts w:ascii="Verdana" w:hAnsi="Verdana" w:cs="Arial"/>
                <w:b/>
                <w:bCs/>
                <w:sz w:val="12"/>
                <w:szCs w:val="12"/>
              </w:rPr>
              <w:t>$ 158.861,73</w:t>
            </w:r>
          </w:p>
        </w:tc>
        <w:tc>
          <w:tcPr>
            <w:tcW w:w="180" w:type="dxa"/>
            <w:tcBorders>
              <w:top w:val="nil"/>
              <w:left w:val="nil"/>
              <w:bottom w:val="nil"/>
              <w:right w:val="double" w:sz="6" w:space="0" w:color="auto"/>
            </w:tcBorders>
            <w:shd w:val="clear" w:color="auto" w:fill="FFFFFF"/>
            <w:noWrap/>
            <w:vAlign w:val="bottom"/>
          </w:tcPr>
          <w:p w:rsidR="002D5A15" w:rsidRDefault="002D5A15">
            <w:pPr>
              <w:jc w:val="center"/>
              <w:rPr>
                <w:rFonts w:ascii="Verdana" w:hAnsi="Verdana" w:cs="Arial"/>
                <w:b/>
                <w:bCs/>
                <w:sz w:val="12"/>
                <w:szCs w:val="12"/>
              </w:rPr>
            </w:pPr>
            <w:r>
              <w:rPr>
                <w:rFonts w:ascii="Verdana" w:hAnsi="Verdana" w:cs="Arial"/>
                <w:b/>
                <w:bCs/>
                <w:sz w:val="12"/>
                <w:szCs w:val="12"/>
              </w:rPr>
              <w:t> </w:t>
            </w:r>
          </w:p>
        </w:tc>
      </w:tr>
      <w:tr w:rsidR="002D5A15">
        <w:trPr>
          <w:trHeight w:val="180"/>
          <w:jc w:val="center"/>
        </w:trPr>
        <w:tc>
          <w:tcPr>
            <w:tcW w:w="180" w:type="dxa"/>
            <w:tcBorders>
              <w:top w:val="nil"/>
              <w:left w:val="double" w:sz="6" w:space="0" w:color="auto"/>
              <w:bottom w:val="double" w:sz="6" w:space="0" w:color="auto"/>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660" w:type="dxa"/>
            <w:tcBorders>
              <w:top w:val="nil"/>
              <w:left w:val="nil"/>
              <w:bottom w:val="double" w:sz="6" w:space="0" w:color="auto"/>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020" w:type="dxa"/>
            <w:tcBorders>
              <w:top w:val="nil"/>
              <w:left w:val="nil"/>
              <w:bottom w:val="double" w:sz="6" w:space="0" w:color="auto"/>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020" w:type="dxa"/>
            <w:tcBorders>
              <w:top w:val="nil"/>
              <w:left w:val="nil"/>
              <w:bottom w:val="double" w:sz="6" w:space="0" w:color="auto"/>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020" w:type="dxa"/>
            <w:tcBorders>
              <w:top w:val="nil"/>
              <w:left w:val="nil"/>
              <w:bottom w:val="double" w:sz="6" w:space="0" w:color="auto"/>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120" w:type="dxa"/>
            <w:tcBorders>
              <w:top w:val="nil"/>
              <w:left w:val="nil"/>
              <w:bottom w:val="double" w:sz="6" w:space="0" w:color="auto"/>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120" w:type="dxa"/>
            <w:tcBorders>
              <w:top w:val="nil"/>
              <w:left w:val="nil"/>
              <w:bottom w:val="double" w:sz="6" w:space="0" w:color="auto"/>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240" w:type="dxa"/>
            <w:tcBorders>
              <w:top w:val="nil"/>
              <w:left w:val="nil"/>
              <w:bottom w:val="double" w:sz="6" w:space="0" w:color="auto"/>
              <w:right w:val="nil"/>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c>
          <w:tcPr>
            <w:tcW w:w="180" w:type="dxa"/>
            <w:tcBorders>
              <w:top w:val="nil"/>
              <w:left w:val="nil"/>
              <w:bottom w:val="double" w:sz="6" w:space="0" w:color="auto"/>
              <w:right w:val="double" w:sz="6" w:space="0" w:color="auto"/>
            </w:tcBorders>
            <w:shd w:val="clear" w:color="auto" w:fill="FFFFFF"/>
            <w:noWrap/>
            <w:vAlign w:val="bottom"/>
          </w:tcPr>
          <w:p w:rsidR="002D5A15" w:rsidRDefault="002D5A15">
            <w:pPr>
              <w:rPr>
                <w:rFonts w:ascii="Verdana" w:hAnsi="Verdana" w:cs="Arial"/>
                <w:sz w:val="12"/>
                <w:szCs w:val="12"/>
              </w:rPr>
            </w:pPr>
            <w:r>
              <w:rPr>
                <w:rFonts w:ascii="Verdana" w:hAnsi="Verdana" w:cs="Arial"/>
                <w:sz w:val="12"/>
                <w:szCs w:val="12"/>
              </w:rPr>
              <w:t> </w:t>
            </w:r>
          </w:p>
        </w:tc>
      </w:tr>
    </w:tbl>
    <w:p w:rsidR="00185B86" w:rsidRDefault="00185B86" w:rsidP="00570B9C">
      <w:pPr>
        <w:spacing w:line="480" w:lineRule="auto"/>
        <w:jc w:val="both"/>
      </w:pPr>
    </w:p>
    <w:p w:rsidR="005D5EE4" w:rsidRDefault="005D5EE4" w:rsidP="00570B9C">
      <w:pPr>
        <w:spacing w:line="480" w:lineRule="auto"/>
        <w:jc w:val="both"/>
      </w:pPr>
    </w:p>
    <w:p w:rsidR="005D5EE4" w:rsidRDefault="005D5EE4" w:rsidP="00570B9C">
      <w:pPr>
        <w:spacing w:line="480" w:lineRule="auto"/>
        <w:jc w:val="both"/>
      </w:pPr>
    </w:p>
    <w:p w:rsidR="005D5EE4" w:rsidRDefault="005D5EE4" w:rsidP="00570B9C">
      <w:pPr>
        <w:spacing w:line="480" w:lineRule="auto"/>
        <w:jc w:val="both"/>
      </w:pPr>
    </w:p>
    <w:p w:rsidR="005D5EE4" w:rsidRDefault="005D5EE4" w:rsidP="00570B9C">
      <w:pPr>
        <w:spacing w:line="480" w:lineRule="auto"/>
        <w:jc w:val="both"/>
      </w:pPr>
    </w:p>
    <w:p w:rsidR="005D5EE4" w:rsidRDefault="005D5EE4" w:rsidP="00570B9C">
      <w:pPr>
        <w:spacing w:line="480" w:lineRule="auto"/>
        <w:jc w:val="both"/>
      </w:pPr>
    </w:p>
    <w:p w:rsidR="00BD4923" w:rsidRPr="00C33653" w:rsidRDefault="00BD4923" w:rsidP="00BD4923">
      <w:pPr>
        <w:spacing w:line="480" w:lineRule="auto"/>
        <w:rPr>
          <w:b/>
          <w:sz w:val="28"/>
          <w:szCs w:val="28"/>
        </w:rPr>
      </w:pPr>
      <w:r>
        <w:rPr>
          <w:b/>
          <w:sz w:val="28"/>
          <w:szCs w:val="28"/>
        </w:rPr>
        <w:t>5</w:t>
      </w:r>
      <w:r w:rsidRPr="00C33653">
        <w:rPr>
          <w:b/>
          <w:sz w:val="28"/>
          <w:szCs w:val="28"/>
        </w:rPr>
        <w:t>.</w:t>
      </w:r>
      <w:r w:rsidR="00185B86">
        <w:rPr>
          <w:b/>
          <w:sz w:val="28"/>
          <w:szCs w:val="28"/>
        </w:rPr>
        <w:t>9</w:t>
      </w:r>
      <w:r w:rsidRPr="00C33653">
        <w:rPr>
          <w:b/>
          <w:sz w:val="28"/>
          <w:szCs w:val="28"/>
        </w:rPr>
        <w:t xml:space="preserve">.- </w:t>
      </w:r>
      <w:r>
        <w:rPr>
          <w:b/>
          <w:sz w:val="28"/>
          <w:szCs w:val="28"/>
        </w:rPr>
        <w:t>Estado de Resultados Proyectado</w:t>
      </w:r>
    </w:p>
    <w:p w:rsidR="00BD4923" w:rsidRDefault="00BD4923" w:rsidP="002F5B85">
      <w:pPr>
        <w:spacing w:line="480" w:lineRule="auto"/>
      </w:pPr>
    </w:p>
    <w:p w:rsidR="002F5B85" w:rsidRDefault="005F5055" w:rsidP="00115804">
      <w:pPr>
        <w:spacing w:line="480" w:lineRule="auto"/>
        <w:ind w:firstLine="540"/>
        <w:jc w:val="both"/>
      </w:pPr>
      <w:r>
        <w:t xml:space="preserve">También conocido como estado de pérdidas y </w:t>
      </w:r>
      <w:r w:rsidR="006456D9">
        <w:t>ganancias proyectadas</w:t>
      </w:r>
      <w:r>
        <w:t xml:space="preserve">, nos muestra detalladamente la utilidad o pérdida del ejercicio financiero </w:t>
      </w:r>
      <w:r w:rsidR="006456D9">
        <w:t>del período</w:t>
      </w:r>
      <w:r>
        <w:t xml:space="preserve"> que deseamos estimar.</w:t>
      </w:r>
      <w:r w:rsidR="00CB1B51">
        <w:t xml:space="preserve"> En este caso los 5 primeros años.</w:t>
      </w:r>
    </w:p>
    <w:p w:rsidR="008912F6" w:rsidRPr="004D468B" w:rsidRDefault="00B13A3D" w:rsidP="008912F6">
      <w:pPr>
        <w:spacing w:line="480" w:lineRule="auto"/>
        <w:jc w:val="center"/>
        <w:rPr>
          <w:b/>
        </w:rPr>
      </w:pPr>
      <w:r>
        <w:rPr>
          <w:b/>
        </w:rPr>
        <w:t>Tabla</w:t>
      </w:r>
      <w:r w:rsidR="008912F6">
        <w:rPr>
          <w:b/>
        </w:rPr>
        <w:t xml:space="preserve"> N</w:t>
      </w:r>
      <w:r w:rsidR="008912F6" w:rsidRPr="004D468B">
        <w:rPr>
          <w:b/>
        </w:rPr>
        <w:t xml:space="preserve">o. </w:t>
      </w:r>
      <w:r w:rsidR="00B21A9B">
        <w:rPr>
          <w:b/>
        </w:rPr>
        <w:t>8</w:t>
      </w:r>
    </w:p>
    <w:p w:rsidR="008912F6" w:rsidRDefault="008912F6" w:rsidP="008912F6">
      <w:pPr>
        <w:spacing w:line="480" w:lineRule="auto"/>
        <w:jc w:val="center"/>
        <w:rPr>
          <w:b/>
          <w:i/>
        </w:rPr>
      </w:pPr>
      <w:r>
        <w:rPr>
          <w:b/>
          <w:i/>
        </w:rPr>
        <w:t>Estado de Resultados Proyectado</w:t>
      </w:r>
    </w:p>
    <w:tbl>
      <w:tblPr>
        <w:tblW w:w="8306" w:type="dxa"/>
        <w:tblInd w:w="47" w:type="dxa"/>
        <w:tblCellMar>
          <w:left w:w="70" w:type="dxa"/>
          <w:right w:w="70" w:type="dxa"/>
        </w:tblCellMar>
        <w:tblLook w:val="0000"/>
      </w:tblPr>
      <w:tblGrid>
        <w:gridCol w:w="185"/>
        <w:gridCol w:w="1458"/>
        <w:gridCol w:w="1080"/>
        <w:gridCol w:w="1080"/>
        <w:gridCol w:w="1080"/>
        <w:gridCol w:w="1080"/>
        <w:gridCol w:w="1080"/>
        <w:gridCol w:w="1080"/>
        <w:gridCol w:w="183"/>
      </w:tblGrid>
      <w:tr w:rsidR="001E332D">
        <w:trPr>
          <w:trHeight w:val="180"/>
        </w:trPr>
        <w:tc>
          <w:tcPr>
            <w:tcW w:w="185" w:type="dxa"/>
            <w:tcBorders>
              <w:top w:val="double" w:sz="6" w:space="0" w:color="auto"/>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double" w:sz="6" w:space="0" w:color="auto"/>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double" w:sz="6" w:space="0" w:color="auto"/>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double" w:sz="6" w:space="0" w:color="auto"/>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double" w:sz="6" w:space="0" w:color="auto"/>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double" w:sz="6" w:space="0" w:color="auto"/>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double" w:sz="6" w:space="0" w:color="auto"/>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double" w:sz="6" w:space="0" w:color="auto"/>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83" w:type="dxa"/>
            <w:tcBorders>
              <w:top w:val="double" w:sz="6" w:space="0" w:color="auto"/>
              <w:left w:val="nil"/>
              <w:bottom w:val="nil"/>
              <w:right w:val="double" w:sz="6" w:space="0" w:color="auto"/>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C0C0C0"/>
            <w:noWrap/>
            <w:vAlign w:val="bottom"/>
          </w:tcPr>
          <w:p w:rsidR="001E332D" w:rsidRDefault="001E332D">
            <w:pPr>
              <w:rPr>
                <w:rFonts w:ascii="Verdana" w:hAnsi="Verdana" w:cs="Arial"/>
                <w:b/>
                <w:bCs/>
                <w:sz w:val="12"/>
                <w:szCs w:val="12"/>
              </w:rPr>
            </w:pPr>
            <w:r>
              <w:rPr>
                <w:rFonts w:ascii="Verdana" w:hAnsi="Verdana" w:cs="Arial"/>
                <w:b/>
                <w:bCs/>
                <w:sz w:val="12"/>
                <w:szCs w:val="12"/>
              </w:rPr>
              <w:t>Periodos Anuales:</w:t>
            </w:r>
          </w:p>
        </w:tc>
        <w:tc>
          <w:tcPr>
            <w:tcW w:w="1080" w:type="dxa"/>
            <w:tcBorders>
              <w:top w:val="nil"/>
              <w:left w:val="nil"/>
              <w:bottom w:val="nil"/>
              <w:right w:val="nil"/>
            </w:tcBorders>
            <w:shd w:val="clear" w:color="auto" w:fill="C0C0C0"/>
            <w:noWrap/>
            <w:vAlign w:val="bottom"/>
          </w:tcPr>
          <w:p w:rsidR="001E332D" w:rsidRDefault="001E332D">
            <w:pPr>
              <w:jc w:val="center"/>
              <w:rPr>
                <w:rFonts w:ascii="Verdana" w:hAnsi="Verdana" w:cs="Arial"/>
                <w:b/>
                <w:bCs/>
                <w:sz w:val="12"/>
                <w:szCs w:val="12"/>
              </w:rPr>
            </w:pPr>
            <w:r>
              <w:rPr>
                <w:rFonts w:ascii="Verdana" w:hAnsi="Verdana" w:cs="Arial"/>
                <w:b/>
                <w:bCs/>
                <w:sz w:val="12"/>
                <w:szCs w:val="12"/>
              </w:rPr>
              <w:t>Año 1</w:t>
            </w:r>
          </w:p>
        </w:tc>
        <w:tc>
          <w:tcPr>
            <w:tcW w:w="1080" w:type="dxa"/>
            <w:tcBorders>
              <w:top w:val="nil"/>
              <w:left w:val="nil"/>
              <w:bottom w:val="nil"/>
              <w:right w:val="nil"/>
            </w:tcBorders>
            <w:shd w:val="clear" w:color="auto" w:fill="C0C0C0"/>
            <w:noWrap/>
            <w:vAlign w:val="bottom"/>
          </w:tcPr>
          <w:p w:rsidR="001E332D" w:rsidRDefault="001E332D">
            <w:pPr>
              <w:jc w:val="center"/>
              <w:rPr>
                <w:rFonts w:ascii="Verdana" w:hAnsi="Verdana" w:cs="Arial"/>
                <w:b/>
                <w:bCs/>
                <w:sz w:val="12"/>
                <w:szCs w:val="12"/>
              </w:rPr>
            </w:pPr>
            <w:r>
              <w:rPr>
                <w:rFonts w:ascii="Verdana" w:hAnsi="Verdana" w:cs="Arial"/>
                <w:b/>
                <w:bCs/>
                <w:sz w:val="12"/>
                <w:szCs w:val="12"/>
              </w:rPr>
              <w:t>Año 2</w:t>
            </w:r>
          </w:p>
        </w:tc>
        <w:tc>
          <w:tcPr>
            <w:tcW w:w="1080" w:type="dxa"/>
            <w:tcBorders>
              <w:top w:val="nil"/>
              <w:left w:val="nil"/>
              <w:bottom w:val="nil"/>
              <w:right w:val="nil"/>
            </w:tcBorders>
            <w:shd w:val="clear" w:color="auto" w:fill="C0C0C0"/>
            <w:noWrap/>
            <w:vAlign w:val="bottom"/>
          </w:tcPr>
          <w:p w:rsidR="001E332D" w:rsidRDefault="001E332D">
            <w:pPr>
              <w:jc w:val="center"/>
              <w:rPr>
                <w:rFonts w:ascii="Verdana" w:hAnsi="Verdana" w:cs="Arial"/>
                <w:b/>
                <w:bCs/>
                <w:sz w:val="12"/>
                <w:szCs w:val="12"/>
              </w:rPr>
            </w:pPr>
            <w:r>
              <w:rPr>
                <w:rFonts w:ascii="Verdana" w:hAnsi="Verdana" w:cs="Arial"/>
                <w:b/>
                <w:bCs/>
                <w:sz w:val="12"/>
                <w:szCs w:val="12"/>
              </w:rPr>
              <w:t>Año 3</w:t>
            </w:r>
          </w:p>
        </w:tc>
        <w:tc>
          <w:tcPr>
            <w:tcW w:w="1080" w:type="dxa"/>
            <w:tcBorders>
              <w:top w:val="nil"/>
              <w:left w:val="nil"/>
              <w:bottom w:val="nil"/>
              <w:right w:val="nil"/>
            </w:tcBorders>
            <w:shd w:val="clear" w:color="auto" w:fill="C0C0C0"/>
            <w:noWrap/>
            <w:vAlign w:val="bottom"/>
          </w:tcPr>
          <w:p w:rsidR="001E332D" w:rsidRDefault="001E332D">
            <w:pPr>
              <w:jc w:val="center"/>
              <w:rPr>
                <w:rFonts w:ascii="Verdana" w:hAnsi="Verdana" w:cs="Arial"/>
                <w:b/>
                <w:bCs/>
                <w:sz w:val="12"/>
                <w:szCs w:val="12"/>
              </w:rPr>
            </w:pPr>
            <w:r>
              <w:rPr>
                <w:rFonts w:ascii="Verdana" w:hAnsi="Verdana" w:cs="Arial"/>
                <w:b/>
                <w:bCs/>
                <w:sz w:val="12"/>
                <w:szCs w:val="12"/>
              </w:rPr>
              <w:t>Año 4</w:t>
            </w:r>
          </w:p>
        </w:tc>
        <w:tc>
          <w:tcPr>
            <w:tcW w:w="1080" w:type="dxa"/>
            <w:tcBorders>
              <w:top w:val="nil"/>
              <w:left w:val="nil"/>
              <w:bottom w:val="nil"/>
              <w:right w:val="nil"/>
            </w:tcBorders>
            <w:shd w:val="clear" w:color="auto" w:fill="C0C0C0"/>
            <w:noWrap/>
            <w:vAlign w:val="bottom"/>
          </w:tcPr>
          <w:p w:rsidR="001E332D" w:rsidRDefault="001E332D">
            <w:pPr>
              <w:jc w:val="center"/>
              <w:rPr>
                <w:rFonts w:ascii="Verdana" w:hAnsi="Verdana" w:cs="Arial"/>
                <w:b/>
                <w:bCs/>
                <w:sz w:val="12"/>
                <w:szCs w:val="12"/>
              </w:rPr>
            </w:pPr>
            <w:r>
              <w:rPr>
                <w:rFonts w:ascii="Verdana" w:hAnsi="Verdana" w:cs="Arial"/>
                <w:b/>
                <w:bCs/>
                <w:sz w:val="12"/>
                <w:szCs w:val="12"/>
              </w:rPr>
              <w:t>Año 5</w:t>
            </w:r>
          </w:p>
        </w:tc>
        <w:tc>
          <w:tcPr>
            <w:tcW w:w="1080" w:type="dxa"/>
            <w:tcBorders>
              <w:top w:val="nil"/>
              <w:left w:val="nil"/>
              <w:bottom w:val="nil"/>
              <w:right w:val="nil"/>
            </w:tcBorders>
            <w:shd w:val="clear" w:color="auto" w:fill="C0C0C0"/>
            <w:noWrap/>
            <w:vAlign w:val="bottom"/>
          </w:tcPr>
          <w:p w:rsidR="001E332D" w:rsidRDefault="001E332D">
            <w:pPr>
              <w:jc w:val="center"/>
              <w:rPr>
                <w:rFonts w:ascii="Verdana" w:hAnsi="Verdana" w:cs="Arial"/>
                <w:b/>
                <w:bCs/>
                <w:sz w:val="12"/>
                <w:szCs w:val="12"/>
              </w:rPr>
            </w:pPr>
            <w:r>
              <w:rPr>
                <w:rFonts w:ascii="Verdana" w:hAnsi="Verdana" w:cs="Arial"/>
                <w:b/>
                <w:bCs/>
                <w:sz w:val="12"/>
                <w:szCs w:val="12"/>
              </w:rPr>
              <w:t>TOTAL</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83" w:type="dxa"/>
            <w:tcBorders>
              <w:top w:val="nil"/>
              <w:left w:val="nil"/>
              <w:bottom w:val="nil"/>
              <w:right w:val="double" w:sz="6" w:space="0" w:color="auto"/>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Volumen de Ventas (Unidades):</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30</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39</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48</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57</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66</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240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Precio Unitario Promedio:</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$ 2.100,00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$ 2.038,46</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$ 2.000,00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$ 1.973,68</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$ 1.954,55</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b/>
                <w:bCs/>
                <w:sz w:val="12"/>
                <w:szCs w:val="12"/>
              </w:rPr>
            </w:pPr>
            <w:r>
              <w:rPr>
                <w:rFonts w:ascii="Verdana" w:hAnsi="Verdana" w:cs="Arial"/>
                <w:b/>
                <w:bCs/>
                <w:sz w:val="12"/>
                <w:szCs w:val="12"/>
              </w:rPr>
              <w:t>$ 2.000,00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C0C0C0"/>
            <w:noWrap/>
            <w:vAlign w:val="bottom"/>
          </w:tcPr>
          <w:p w:rsidR="001E332D" w:rsidRDefault="001E332D">
            <w:pPr>
              <w:rPr>
                <w:rFonts w:ascii="Verdana" w:hAnsi="Verdana" w:cs="Arial"/>
                <w:b/>
                <w:bCs/>
                <w:sz w:val="12"/>
                <w:szCs w:val="12"/>
              </w:rPr>
            </w:pPr>
            <w:r>
              <w:rPr>
                <w:rFonts w:ascii="Verdana" w:hAnsi="Verdana" w:cs="Arial"/>
                <w:b/>
                <w:bCs/>
                <w:sz w:val="12"/>
                <w:szCs w:val="12"/>
              </w:rPr>
              <w:t>VENTAS NETAS</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$ 63.000,00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$ 79.500,00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$ 96.000,00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$ 112.500,00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$ 129.000,00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$ 480.000,00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83" w:type="dxa"/>
            <w:tcBorders>
              <w:top w:val="nil"/>
              <w:left w:val="nil"/>
              <w:bottom w:val="nil"/>
              <w:right w:val="double" w:sz="6" w:space="0" w:color="auto"/>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Volumen de Ventas (Unidades):</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30</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39</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48</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57</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66</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240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Costo Unitario Promedio:</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$ 525,00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$ 509,62</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$ 500,00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$ 493,42</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$ 488,64</w:t>
            </w:r>
          </w:p>
        </w:tc>
        <w:tc>
          <w:tcPr>
            <w:tcW w:w="1080" w:type="dxa"/>
            <w:tcBorders>
              <w:top w:val="nil"/>
              <w:left w:val="nil"/>
              <w:bottom w:val="nil"/>
              <w:right w:val="nil"/>
            </w:tcBorders>
            <w:shd w:val="clear" w:color="auto" w:fill="FFFFFF"/>
            <w:noWrap/>
            <w:vAlign w:val="bottom"/>
          </w:tcPr>
          <w:p w:rsidR="001E332D" w:rsidRDefault="00F46656">
            <w:pPr>
              <w:jc w:val="right"/>
              <w:rPr>
                <w:rFonts w:ascii="Verdana" w:hAnsi="Verdana" w:cs="Arial"/>
                <w:b/>
                <w:bCs/>
                <w:sz w:val="12"/>
                <w:szCs w:val="12"/>
              </w:rPr>
            </w:pPr>
            <w:r>
              <w:rPr>
                <w:rFonts w:ascii="Verdana" w:hAnsi="Verdana" w:cs="Arial"/>
                <w:b/>
                <w:bCs/>
                <w:sz w:val="12"/>
                <w:szCs w:val="12"/>
              </w:rPr>
              <w:t>$ 5</w:t>
            </w:r>
            <w:r w:rsidR="001E332D">
              <w:rPr>
                <w:rFonts w:ascii="Verdana" w:hAnsi="Verdana" w:cs="Arial"/>
                <w:b/>
                <w:bCs/>
                <w:sz w:val="12"/>
                <w:szCs w:val="12"/>
              </w:rPr>
              <w:t>00,00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C0C0C0"/>
            <w:noWrap/>
            <w:vAlign w:val="bottom"/>
          </w:tcPr>
          <w:p w:rsidR="001E332D" w:rsidRDefault="001E332D">
            <w:pPr>
              <w:rPr>
                <w:rFonts w:ascii="Verdana" w:hAnsi="Verdana" w:cs="Arial"/>
                <w:b/>
                <w:bCs/>
                <w:sz w:val="12"/>
                <w:szCs w:val="12"/>
              </w:rPr>
            </w:pPr>
            <w:r>
              <w:rPr>
                <w:rFonts w:ascii="Verdana" w:hAnsi="Verdana" w:cs="Arial"/>
                <w:b/>
                <w:bCs/>
                <w:sz w:val="12"/>
                <w:szCs w:val="12"/>
              </w:rPr>
              <w:t>GASTOS VARIABLES</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$ 15.750,00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$ 19.875,00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$ 24.000,00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$ 28.125,00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$ 32.250,00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xml:space="preserve">$ </w:t>
            </w:r>
            <w:r w:rsidR="00F46656">
              <w:rPr>
                <w:rFonts w:ascii="Verdana" w:hAnsi="Verdana" w:cs="Arial"/>
                <w:b/>
                <w:bCs/>
                <w:sz w:val="12"/>
                <w:szCs w:val="12"/>
              </w:rPr>
              <w:t>120</w:t>
            </w:r>
            <w:r>
              <w:rPr>
                <w:rFonts w:ascii="Verdana" w:hAnsi="Verdana" w:cs="Arial"/>
                <w:b/>
                <w:bCs/>
                <w:sz w:val="12"/>
                <w:szCs w:val="12"/>
              </w:rPr>
              <w:t>.000,00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83" w:type="dxa"/>
            <w:tcBorders>
              <w:top w:val="nil"/>
              <w:left w:val="nil"/>
              <w:bottom w:val="nil"/>
              <w:right w:val="double" w:sz="6" w:space="0" w:color="auto"/>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Volumen de Ventas (Unidades):</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30</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39</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48</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57</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66</w:t>
            </w:r>
          </w:p>
        </w:tc>
        <w:tc>
          <w:tcPr>
            <w:tcW w:w="1080" w:type="dxa"/>
            <w:tcBorders>
              <w:top w:val="nil"/>
              <w:left w:val="nil"/>
              <w:bottom w:val="nil"/>
              <w:right w:val="nil"/>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240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Margen Unitario Promedio:</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$ 1.575,00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$ 1.528,85</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$ 1.500,00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$ 1.480,26</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$ 1.465,91</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b/>
                <w:bCs/>
                <w:sz w:val="12"/>
                <w:szCs w:val="12"/>
              </w:rPr>
            </w:pPr>
            <w:r>
              <w:rPr>
                <w:rFonts w:ascii="Verdana" w:hAnsi="Verdana" w:cs="Arial"/>
                <w:b/>
                <w:bCs/>
                <w:sz w:val="12"/>
                <w:szCs w:val="12"/>
              </w:rPr>
              <w:t>$ 1.</w:t>
            </w:r>
            <w:r w:rsidR="00F46656">
              <w:rPr>
                <w:rFonts w:ascii="Verdana" w:hAnsi="Verdana" w:cs="Arial"/>
                <w:b/>
                <w:bCs/>
                <w:sz w:val="12"/>
                <w:szCs w:val="12"/>
              </w:rPr>
              <w:t>5</w:t>
            </w:r>
            <w:r>
              <w:rPr>
                <w:rFonts w:ascii="Verdana" w:hAnsi="Verdana" w:cs="Arial"/>
                <w:b/>
                <w:bCs/>
                <w:sz w:val="12"/>
                <w:szCs w:val="12"/>
              </w:rPr>
              <w:t>00,00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C0C0C0"/>
            <w:noWrap/>
            <w:vAlign w:val="bottom"/>
          </w:tcPr>
          <w:p w:rsidR="001E332D" w:rsidRDefault="001E332D">
            <w:pPr>
              <w:rPr>
                <w:rFonts w:ascii="Verdana" w:hAnsi="Verdana" w:cs="Arial"/>
                <w:b/>
                <w:bCs/>
                <w:sz w:val="12"/>
                <w:szCs w:val="12"/>
              </w:rPr>
            </w:pPr>
            <w:r>
              <w:rPr>
                <w:rFonts w:ascii="Verdana" w:hAnsi="Verdana" w:cs="Arial"/>
                <w:b/>
                <w:bCs/>
                <w:sz w:val="12"/>
                <w:szCs w:val="12"/>
              </w:rPr>
              <w:t>MARGEN DE CONTRIBUCIÓN</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$ 47.250,00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$ 59.625,00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$ 72.000,00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$ 84.375,00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$ 96.750,00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$ 3</w:t>
            </w:r>
            <w:r w:rsidR="00F46656">
              <w:rPr>
                <w:rFonts w:ascii="Verdana" w:hAnsi="Verdana" w:cs="Arial"/>
                <w:b/>
                <w:bCs/>
                <w:sz w:val="12"/>
                <w:szCs w:val="12"/>
              </w:rPr>
              <w:t>60</w:t>
            </w:r>
            <w:r>
              <w:rPr>
                <w:rFonts w:ascii="Verdana" w:hAnsi="Verdana" w:cs="Arial"/>
                <w:b/>
                <w:bCs/>
                <w:sz w:val="12"/>
                <w:szCs w:val="12"/>
              </w:rPr>
              <w:t>.000,00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83" w:type="dxa"/>
            <w:tcBorders>
              <w:top w:val="nil"/>
              <w:left w:val="nil"/>
              <w:bottom w:val="nil"/>
              <w:right w:val="double" w:sz="6" w:space="0" w:color="auto"/>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Depreciación</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xml:space="preserve">$ </w:t>
            </w:r>
            <w:r w:rsidR="00F46656">
              <w:rPr>
                <w:rFonts w:ascii="Verdana" w:hAnsi="Verdana" w:cs="Arial"/>
                <w:sz w:val="12"/>
                <w:szCs w:val="12"/>
              </w:rPr>
              <w:t>6.492</w:t>
            </w:r>
            <w:r>
              <w:rPr>
                <w:rFonts w:ascii="Verdana" w:hAnsi="Verdana" w:cs="Arial"/>
                <w:sz w:val="12"/>
                <w:szCs w:val="12"/>
              </w:rPr>
              <w:t>,00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xml:space="preserve">$ </w:t>
            </w:r>
            <w:r w:rsidR="00F46656">
              <w:rPr>
                <w:rFonts w:ascii="Verdana" w:hAnsi="Verdana" w:cs="Arial"/>
                <w:sz w:val="12"/>
                <w:szCs w:val="12"/>
              </w:rPr>
              <w:t>6.492</w:t>
            </w:r>
            <w:r>
              <w:rPr>
                <w:rFonts w:ascii="Verdana" w:hAnsi="Verdana" w:cs="Arial"/>
                <w:sz w:val="12"/>
                <w:szCs w:val="12"/>
              </w:rPr>
              <w:t>,00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xml:space="preserve">$ </w:t>
            </w:r>
            <w:r w:rsidR="00F46656">
              <w:rPr>
                <w:rFonts w:ascii="Verdana" w:hAnsi="Verdana" w:cs="Arial"/>
                <w:sz w:val="12"/>
                <w:szCs w:val="12"/>
              </w:rPr>
              <w:t>5</w:t>
            </w:r>
            <w:r>
              <w:rPr>
                <w:rFonts w:ascii="Verdana" w:hAnsi="Verdana" w:cs="Arial"/>
                <w:sz w:val="12"/>
                <w:szCs w:val="12"/>
              </w:rPr>
              <w:t>.</w:t>
            </w:r>
            <w:r w:rsidR="00F46656">
              <w:rPr>
                <w:rFonts w:ascii="Verdana" w:hAnsi="Verdana" w:cs="Arial"/>
                <w:sz w:val="12"/>
                <w:szCs w:val="12"/>
              </w:rPr>
              <w:t>016</w:t>
            </w:r>
            <w:r>
              <w:rPr>
                <w:rFonts w:ascii="Verdana" w:hAnsi="Verdana" w:cs="Arial"/>
                <w:sz w:val="12"/>
                <w:szCs w:val="12"/>
              </w:rPr>
              <w:t>,00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$ 0,00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$ 0,00</w:t>
            </w:r>
          </w:p>
        </w:tc>
        <w:tc>
          <w:tcPr>
            <w:tcW w:w="1080" w:type="dxa"/>
            <w:tcBorders>
              <w:top w:val="nil"/>
              <w:left w:val="nil"/>
              <w:bottom w:val="nil"/>
              <w:right w:val="nil"/>
            </w:tcBorders>
            <w:shd w:val="clear" w:color="auto" w:fill="FFFFFF"/>
            <w:noWrap/>
            <w:vAlign w:val="bottom"/>
          </w:tcPr>
          <w:p w:rsidR="001E332D" w:rsidRDefault="00F46656">
            <w:pPr>
              <w:jc w:val="right"/>
              <w:rPr>
                <w:rFonts w:ascii="Verdana" w:hAnsi="Verdana" w:cs="Arial"/>
                <w:b/>
                <w:bCs/>
                <w:sz w:val="12"/>
                <w:szCs w:val="12"/>
              </w:rPr>
            </w:pPr>
            <w:r>
              <w:rPr>
                <w:rFonts w:ascii="Verdana" w:hAnsi="Verdana" w:cs="Arial"/>
                <w:b/>
                <w:bCs/>
                <w:sz w:val="12"/>
                <w:szCs w:val="12"/>
              </w:rPr>
              <w:t>$ 18.0</w:t>
            </w:r>
            <w:r w:rsidR="001E332D">
              <w:rPr>
                <w:rFonts w:ascii="Verdana" w:hAnsi="Verdana" w:cs="Arial"/>
                <w:b/>
                <w:bCs/>
                <w:sz w:val="12"/>
                <w:szCs w:val="12"/>
              </w:rPr>
              <w:t>00,00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Amortización</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$ 0,00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$ 0,00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$ 0,00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$ 0,00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$ 0,00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b/>
                <w:bCs/>
                <w:sz w:val="12"/>
                <w:szCs w:val="12"/>
              </w:rPr>
            </w:pPr>
            <w:r>
              <w:rPr>
                <w:rFonts w:ascii="Verdana" w:hAnsi="Verdana" w:cs="Arial"/>
                <w:b/>
                <w:bCs/>
                <w:sz w:val="12"/>
                <w:szCs w:val="12"/>
              </w:rPr>
              <w:t>$ 0,00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Mantenimiento</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$ 1</w:t>
            </w:r>
            <w:r w:rsidR="004F0F0C">
              <w:rPr>
                <w:rFonts w:ascii="Verdana" w:hAnsi="Verdana" w:cs="Arial"/>
                <w:sz w:val="12"/>
                <w:szCs w:val="12"/>
              </w:rPr>
              <w:t>0</w:t>
            </w:r>
            <w:r>
              <w:rPr>
                <w:rFonts w:ascii="Verdana" w:hAnsi="Verdana" w:cs="Arial"/>
                <w:sz w:val="12"/>
                <w:szCs w:val="12"/>
              </w:rPr>
              <w:t>6,00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$ 1</w:t>
            </w:r>
            <w:r w:rsidR="004F0F0C">
              <w:rPr>
                <w:rFonts w:ascii="Verdana" w:hAnsi="Verdana" w:cs="Arial"/>
                <w:sz w:val="12"/>
                <w:szCs w:val="12"/>
              </w:rPr>
              <w:t>0</w:t>
            </w:r>
            <w:r>
              <w:rPr>
                <w:rFonts w:ascii="Verdana" w:hAnsi="Verdana" w:cs="Arial"/>
                <w:sz w:val="12"/>
                <w:szCs w:val="12"/>
              </w:rPr>
              <w:t>6,00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$ 1</w:t>
            </w:r>
            <w:r w:rsidR="004F0F0C">
              <w:rPr>
                <w:rFonts w:ascii="Verdana" w:hAnsi="Verdana" w:cs="Arial"/>
                <w:sz w:val="12"/>
                <w:szCs w:val="12"/>
              </w:rPr>
              <w:t>0</w:t>
            </w:r>
            <w:r>
              <w:rPr>
                <w:rFonts w:ascii="Verdana" w:hAnsi="Verdana" w:cs="Arial"/>
                <w:sz w:val="12"/>
                <w:szCs w:val="12"/>
              </w:rPr>
              <w:t>6,00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$ 1</w:t>
            </w:r>
            <w:r w:rsidR="004F0F0C">
              <w:rPr>
                <w:rFonts w:ascii="Verdana" w:hAnsi="Verdana" w:cs="Arial"/>
                <w:sz w:val="12"/>
                <w:szCs w:val="12"/>
              </w:rPr>
              <w:t>0</w:t>
            </w:r>
            <w:r>
              <w:rPr>
                <w:rFonts w:ascii="Verdana" w:hAnsi="Verdana" w:cs="Arial"/>
                <w:sz w:val="12"/>
                <w:szCs w:val="12"/>
              </w:rPr>
              <w:t>6,00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$ 1</w:t>
            </w:r>
            <w:r w:rsidR="004F0F0C">
              <w:rPr>
                <w:rFonts w:ascii="Verdana" w:hAnsi="Verdana" w:cs="Arial"/>
                <w:sz w:val="12"/>
                <w:szCs w:val="12"/>
              </w:rPr>
              <w:t>0</w:t>
            </w:r>
            <w:r>
              <w:rPr>
                <w:rFonts w:ascii="Verdana" w:hAnsi="Verdana" w:cs="Arial"/>
                <w:sz w:val="12"/>
                <w:szCs w:val="12"/>
              </w:rPr>
              <w:t>6,00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b/>
                <w:bCs/>
                <w:sz w:val="12"/>
                <w:szCs w:val="12"/>
              </w:rPr>
            </w:pPr>
            <w:r>
              <w:rPr>
                <w:rFonts w:ascii="Verdana" w:hAnsi="Verdana" w:cs="Arial"/>
                <w:b/>
                <w:bCs/>
                <w:sz w:val="12"/>
                <w:szCs w:val="12"/>
              </w:rPr>
              <w:t xml:space="preserve">$ </w:t>
            </w:r>
            <w:r w:rsidR="004F0F0C">
              <w:rPr>
                <w:rFonts w:ascii="Verdana" w:hAnsi="Verdana" w:cs="Arial"/>
                <w:b/>
                <w:bCs/>
                <w:sz w:val="12"/>
                <w:szCs w:val="12"/>
              </w:rPr>
              <w:t>5</w:t>
            </w:r>
            <w:r>
              <w:rPr>
                <w:rFonts w:ascii="Verdana" w:hAnsi="Verdana" w:cs="Arial"/>
                <w:b/>
                <w:bCs/>
                <w:sz w:val="12"/>
                <w:szCs w:val="12"/>
              </w:rPr>
              <w:t>30,00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C0C0C0"/>
            <w:noWrap/>
            <w:vAlign w:val="bottom"/>
          </w:tcPr>
          <w:p w:rsidR="001E332D" w:rsidRDefault="001E332D">
            <w:pPr>
              <w:rPr>
                <w:rFonts w:ascii="Verdana" w:hAnsi="Verdana" w:cs="Arial"/>
                <w:b/>
                <w:bCs/>
                <w:sz w:val="12"/>
                <w:szCs w:val="12"/>
              </w:rPr>
            </w:pPr>
            <w:r>
              <w:rPr>
                <w:rFonts w:ascii="Verdana" w:hAnsi="Verdana" w:cs="Arial"/>
                <w:b/>
                <w:bCs/>
                <w:sz w:val="12"/>
                <w:szCs w:val="12"/>
              </w:rPr>
              <w:t>INVERSIÓN INICIAL</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xml:space="preserve">$ </w:t>
            </w:r>
            <w:r w:rsidR="004F0F0C">
              <w:rPr>
                <w:rFonts w:ascii="Verdana" w:hAnsi="Verdana" w:cs="Arial"/>
                <w:b/>
                <w:bCs/>
                <w:sz w:val="12"/>
                <w:szCs w:val="12"/>
              </w:rPr>
              <w:t>6</w:t>
            </w:r>
            <w:r>
              <w:rPr>
                <w:rFonts w:ascii="Verdana" w:hAnsi="Verdana" w:cs="Arial"/>
                <w:b/>
                <w:bCs/>
                <w:sz w:val="12"/>
                <w:szCs w:val="12"/>
              </w:rPr>
              <w:t>.</w:t>
            </w:r>
            <w:r w:rsidR="004F0F0C">
              <w:rPr>
                <w:rFonts w:ascii="Verdana" w:hAnsi="Verdana" w:cs="Arial"/>
                <w:b/>
                <w:bCs/>
                <w:sz w:val="12"/>
                <w:szCs w:val="12"/>
              </w:rPr>
              <w:t>598</w:t>
            </w:r>
            <w:r>
              <w:rPr>
                <w:rFonts w:ascii="Verdana" w:hAnsi="Verdana" w:cs="Arial"/>
                <w:b/>
                <w:bCs/>
                <w:sz w:val="12"/>
                <w:szCs w:val="12"/>
              </w:rPr>
              <w:t>,00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xml:space="preserve">$ </w:t>
            </w:r>
            <w:r w:rsidR="004F0F0C">
              <w:rPr>
                <w:rFonts w:ascii="Verdana" w:hAnsi="Verdana" w:cs="Arial"/>
                <w:b/>
                <w:bCs/>
                <w:sz w:val="12"/>
                <w:szCs w:val="12"/>
              </w:rPr>
              <w:t>6</w:t>
            </w:r>
            <w:r>
              <w:rPr>
                <w:rFonts w:ascii="Verdana" w:hAnsi="Verdana" w:cs="Arial"/>
                <w:b/>
                <w:bCs/>
                <w:sz w:val="12"/>
                <w:szCs w:val="12"/>
              </w:rPr>
              <w:t>.</w:t>
            </w:r>
            <w:r w:rsidR="004F0F0C">
              <w:rPr>
                <w:rFonts w:ascii="Verdana" w:hAnsi="Verdana" w:cs="Arial"/>
                <w:b/>
                <w:bCs/>
                <w:sz w:val="12"/>
                <w:szCs w:val="12"/>
              </w:rPr>
              <w:t>598</w:t>
            </w:r>
            <w:r>
              <w:rPr>
                <w:rFonts w:ascii="Verdana" w:hAnsi="Verdana" w:cs="Arial"/>
                <w:b/>
                <w:bCs/>
                <w:sz w:val="12"/>
                <w:szCs w:val="12"/>
              </w:rPr>
              <w:t>,00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xml:space="preserve">$ </w:t>
            </w:r>
            <w:r w:rsidR="004F0F0C">
              <w:rPr>
                <w:rFonts w:ascii="Verdana" w:hAnsi="Verdana" w:cs="Arial"/>
                <w:b/>
                <w:bCs/>
                <w:sz w:val="12"/>
                <w:szCs w:val="12"/>
              </w:rPr>
              <w:t>5</w:t>
            </w:r>
            <w:r>
              <w:rPr>
                <w:rFonts w:ascii="Verdana" w:hAnsi="Verdana" w:cs="Arial"/>
                <w:b/>
                <w:bCs/>
                <w:sz w:val="12"/>
                <w:szCs w:val="12"/>
              </w:rPr>
              <w:t>.</w:t>
            </w:r>
            <w:r w:rsidR="004F0F0C">
              <w:rPr>
                <w:rFonts w:ascii="Verdana" w:hAnsi="Verdana" w:cs="Arial"/>
                <w:b/>
                <w:bCs/>
                <w:sz w:val="12"/>
                <w:szCs w:val="12"/>
              </w:rPr>
              <w:t>1</w:t>
            </w:r>
            <w:r>
              <w:rPr>
                <w:rFonts w:ascii="Verdana" w:hAnsi="Verdana" w:cs="Arial"/>
                <w:b/>
                <w:bCs/>
                <w:sz w:val="12"/>
                <w:szCs w:val="12"/>
              </w:rPr>
              <w:t>22,00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$ 1</w:t>
            </w:r>
            <w:r w:rsidR="004F0F0C">
              <w:rPr>
                <w:rFonts w:ascii="Verdana" w:hAnsi="Verdana" w:cs="Arial"/>
                <w:b/>
                <w:bCs/>
                <w:sz w:val="12"/>
                <w:szCs w:val="12"/>
              </w:rPr>
              <w:t>0</w:t>
            </w:r>
            <w:r>
              <w:rPr>
                <w:rFonts w:ascii="Verdana" w:hAnsi="Verdana" w:cs="Arial"/>
                <w:b/>
                <w:bCs/>
                <w:sz w:val="12"/>
                <w:szCs w:val="12"/>
              </w:rPr>
              <w:t>6,00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$ 1</w:t>
            </w:r>
            <w:r w:rsidR="004F0F0C">
              <w:rPr>
                <w:rFonts w:ascii="Verdana" w:hAnsi="Verdana" w:cs="Arial"/>
                <w:b/>
                <w:bCs/>
                <w:sz w:val="12"/>
                <w:szCs w:val="12"/>
              </w:rPr>
              <w:t>0</w:t>
            </w:r>
            <w:r>
              <w:rPr>
                <w:rFonts w:ascii="Verdana" w:hAnsi="Verdana" w:cs="Arial"/>
                <w:b/>
                <w:bCs/>
                <w:sz w:val="12"/>
                <w:szCs w:val="12"/>
              </w:rPr>
              <w:t>6,00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$ 1</w:t>
            </w:r>
            <w:r w:rsidR="004F0F0C">
              <w:rPr>
                <w:rFonts w:ascii="Verdana" w:hAnsi="Verdana" w:cs="Arial"/>
                <w:b/>
                <w:bCs/>
                <w:sz w:val="12"/>
                <w:szCs w:val="12"/>
              </w:rPr>
              <w:t>8</w:t>
            </w:r>
            <w:r>
              <w:rPr>
                <w:rFonts w:ascii="Verdana" w:hAnsi="Verdana" w:cs="Arial"/>
                <w:b/>
                <w:bCs/>
                <w:sz w:val="12"/>
                <w:szCs w:val="12"/>
              </w:rPr>
              <w:t>.</w:t>
            </w:r>
            <w:r w:rsidR="004F0F0C">
              <w:rPr>
                <w:rFonts w:ascii="Verdana" w:hAnsi="Verdana" w:cs="Arial"/>
                <w:b/>
                <w:bCs/>
                <w:sz w:val="12"/>
                <w:szCs w:val="12"/>
              </w:rPr>
              <w:t>5</w:t>
            </w:r>
            <w:r>
              <w:rPr>
                <w:rFonts w:ascii="Verdana" w:hAnsi="Verdana" w:cs="Arial"/>
                <w:b/>
                <w:bCs/>
                <w:sz w:val="12"/>
                <w:szCs w:val="12"/>
              </w:rPr>
              <w:t>30,00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83" w:type="dxa"/>
            <w:tcBorders>
              <w:top w:val="nil"/>
              <w:left w:val="nil"/>
              <w:bottom w:val="nil"/>
              <w:right w:val="double" w:sz="6" w:space="0" w:color="auto"/>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C0C0C0"/>
            <w:noWrap/>
            <w:vAlign w:val="bottom"/>
          </w:tcPr>
          <w:p w:rsidR="001E332D" w:rsidRDefault="001E332D">
            <w:pPr>
              <w:rPr>
                <w:rFonts w:ascii="Verdana" w:hAnsi="Verdana" w:cs="Arial"/>
                <w:b/>
                <w:bCs/>
                <w:sz w:val="12"/>
                <w:szCs w:val="12"/>
              </w:rPr>
            </w:pPr>
            <w:r>
              <w:rPr>
                <w:rFonts w:ascii="Verdana" w:hAnsi="Verdana" w:cs="Arial"/>
                <w:b/>
                <w:bCs/>
                <w:sz w:val="12"/>
                <w:szCs w:val="12"/>
              </w:rPr>
              <w:t>UTILIDAD BRUTA</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$ 4</w:t>
            </w:r>
            <w:r w:rsidR="00535D8F">
              <w:rPr>
                <w:rFonts w:ascii="Verdana" w:hAnsi="Verdana" w:cs="Arial"/>
                <w:b/>
                <w:bCs/>
                <w:sz w:val="12"/>
                <w:szCs w:val="12"/>
              </w:rPr>
              <w:t>0</w:t>
            </w:r>
            <w:r>
              <w:rPr>
                <w:rFonts w:ascii="Verdana" w:hAnsi="Verdana" w:cs="Arial"/>
                <w:b/>
                <w:bCs/>
                <w:sz w:val="12"/>
                <w:szCs w:val="12"/>
              </w:rPr>
              <w:t>.</w:t>
            </w:r>
            <w:r w:rsidR="00535D8F">
              <w:rPr>
                <w:rFonts w:ascii="Verdana" w:hAnsi="Verdana" w:cs="Arial"/>
                <w:b/>
                <w:bCs/>
                <w:sz w:val="12"/>
                <w:szCs w:val="12"/>
              </w:rPr>
              <w:t>652</w:t>
            </w:r>
            <w:r>
              <w:rPr>
                <w:rFonts w:ascii="Verdana" w:hAnsi="Verdana" w:cs="Arial"/>
                <w:b/>
                <w:bCs/>
                <w:sz w:val="12"/>
                <w:szCs w:val="12"/>
              </w:rPr>
              <w:t>,00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xml:space="preserve">$ </w:t>
            </w:r>
            <w:r w:rsidR="00535D8F">
              <w:rPr>
                <w:rFonts w:ascii="Verdana" w:hAnsi="Verdana" w:cs="Arial"/>
                <w:b/>
                <w:bCs/>
                <w:sz w:val="12"/>
                <w:szCs w:val="12"/>
              </w:rPr>
              <w:t>53.027</w:t>
            </w:r>
            <w:r>
              <w:rPr>
                <w:rFonts w:ascii="Verdana" w:hAnsi="Verdana" w:cs="Arial"/>
                <w:b/>
                <w:bCs/>
                <w:sz w:val="12"/>
                <w:szCs w:val="12"/>
              </w:rPr>
              <w:t>,00</w:t>
            </w:r>
          </w:p>
        </w:tc>
        <w:tc>
          <w:tcPr>
            <w:tcW w:w="1080" w:type="dxa"/>
            <w:tcBorders>
              <w:top w:val="nil"/>
              <w:left w:val="nil"/>
              <w:bottom w:val="nil"/>
              <w:right w:val="nil"/>
            </w:tcBorders>
            <w:shd w:val="clear" w:color="auto" w:fill="C0C0C0"/>
            <w:noWrap/>
            <w:vAlign w:val="bottom"/>
          </w:tcPr>
          <w:p w:rsidR="001E332D" w:rsidRDefault="00535D8F">
            <w:pPr>
              <w:jc w:val="right"/>
              <w:rPr>
                <w:rFonts w:ascii="Verdana" w:hAnsi="Verdana" w:cs="Arial"/>
                <w:b/>
                <w:bCs/>
                <w:sz w:val="12"/>
                <w:szCs w:val="12"/>
              </w:rPr>
            </w:pPr>
            <w:r>
              <w:rPr>
                <w:rFonts w:ascii="Verdana" w:hAnsi="Verdana" w:cs="Arial"/>
                <w:b/>
                <w:bCs/>
                <w:sz w:val="12"/>
                <w:szCs w:val="12"/>
              </w:rPr>
              <w:t>$ 66</w:t>
            </w:r>
            <w:r w:rsidR="001E332D">
              <w:rPr>
                <w:rFonts w:ascii="Verdana" w:hAnsi="Verdana" w:cs="Arial"/>
                <w:b/>
                <w:bCs/>
                <w:sz w:val="12"/>
                <w:szCs w:val="12"/>
              </w:rPr>
              <w:t>.</w:t>
            </w:r>
            <w:r>
              <w:rPr>
                <w:rFonts w:ascii="Verdana" w:hAnsi="Verdana" w:cs="Arial"/>
                <w:b/>
                <w:bCs/>
                <w:sz w:val="12"/>
                <w:szCs w:val="12"/>
              </w:rPr>
              <w:t>8</w:t>
            </w:r>
            <w:r w:rsidR="001E332D">
              <w:rPr>
                <w:rFonts w:ascii="Verdana" w:hAnsi="Verdana" w:cs="Arial"/>
                <w:b/>
                <w:bCs/>
                <w:sz w:val="12"/>
                <w:szCs w:val="12"/>
              </w:rPr>
              <w:t>78,00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$ 84.2</w:t>
            </w:r>
            <w:r w:rsidR="00535D8F">
              <w:rPr>
                <w:rFonts w:ascii="Verdana" w:hAnsi="Verdana" w:cs="Arial"/>
                <w:b/>
                <w:bCs/>
                <w:sz w:val="12"/>
                <w:szCs w:val="12"/>
              </w:rPr>
              <w:t>6</w:t>
            </w:r>
            <w:r>
              <w:rPr>
                <w:rFonts w:ascii="Verdana" w:hAnsi="Verdana" w:cs="Arial"/>
                <w:b/>
                <w:bCs/>
                <w:sz w:val="12"/>
                <w:szCs w:val="12"/>
              </w:rPr>
              <w:t>9,00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$ 96.6</w:t>
            </w:r>
            <w:r w:rsidR="00535D8F">
              <w:rPr>
                <w:rFonts w:ascii="Verdana" w:hAnsi="Verdana" w:cs="Arial"/>
                <w:b/>
                <w:bCs/>
                <w:sz w:val="12"/>
                <w:szCs w:val="12"/>
              </w:rPr>
              <w:t>4</w:t>
            </w:r>
            <w:r>
              <w:rPr>
                <w:rFonts w:ascii="Verdana" w:hAnsi="Verdana" w:cs="Arial"/>
                <w:b/>
                <w:bCs/>
                <w:sz w:val="12"/>
                <w:szCs w:val="12"/>
              </w:rPr>
              <w:t>4,00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$ 3</w:t>
            </w:r>
            <w:r w:rsidR="00535D8F">
              <w:rPr>
                <w:rFonts w:ascii="Verdana" w:hAnsi="Verdana" w:cs="Arial"/>
                <w:b/>
                <w:bCs/>
                <w:sz w:val="12"/>
                <w:szCs w:val="12"/>
              </w:rPr>
              <w:t>41</w:t>
            </w:r>
            <w:r>
              <w:rPr>
                <w:rFonts w:ascii="Verdana" w:hAnsi="Verdana" w:cs="Arial"/>
                <w:b/>
                <w:bCs/>
                <w:sz w:val="12"/>
                <w:szCs w:val="12"/>
              </w:rPr>
              <w:t>.</w:t>
            </w:r>
            <w:r w:rsidR="00535D8F">
              <w:rPr>
                <w:rFonts w:ascii="Verdana" w:hAnsi="Verdana" w:cs="Arial"/>
                <w:b/>
                <w:bCs/>
                <w:sz w:val="12"/>
                <w:szCs w:val="12"/>
              </w:rPr>
              <w:t>4</w:t>
            </w:r>
            <w:r>
              <w:rPr>
                <w:rFonts w:ascii="Verdana" w:hAnsi="Verdana" w:cs="Arial"/>
                <w:b/>
                <w:bCs/>
                <w:sz w:val="12"/>
                <w:szCs w:val="12"/>
              </w:rPr>
              <w:t>70,00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83" w:type="dxa"/>
            <w:tcBorders>
              <w:top w:val="nil"/>
              <w:left w:val="nil"/>
              <w:bottom w:val="nil"/>
              <w:right w:val="double" w:sz="6" w:space="0" w:color="auto"/>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C0C0C0"/>
            <w:noWrap/>
            <w:vAlign w:val="bottom"/>
          </w:tcPr>
          <w:p w:rsidR="001E332D" w:rsidRDefault="001E332D">
            <w:pPr>
              <w:rPr>
                <w:rFonts w:ascii="Verdana" w:hAnsi="Verdana" w:cs="Arial"/>
                <w:b/>
                <w:bCs/>
                <w:sz w:val="12"/>
                <w:szCs w:val="12"/>
              </w:rPr>
            </w:pPr>
            <w:r>
              <w:rPr>
                <w:rFonts w:ascii="Verdana" w:hAnsi="Verdana" w:cs="Arial"/>
                <w:b/>
                <w:bCs/>
                <w:sz w:val="12"/>
                <w:szCs w:val="12"/>
              </w:rPr>
              <w:t>GASTOS ADM. Y DE VTAS.</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$ 39.600,00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$ 39.984,00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$ 40.239,84</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$ 40.512,09</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$ 40.802,34</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$ 201.138,27</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83" w:type="dxa"/>
            <w:tcBorders>
              <w:top w:val="nil"/>
              <w:left w:val="nil"/>
              <w:bottom w:val="nil"/>
              <w:right w:val="double" w:sz="6" w:space="0" w:color="auto"/>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C0C0C0"/>
            <w:noWrap/>
            <w:vAlign w:val="bottom"/>
          </w:tcPr>
          <w:p w:rsidR="001E332D" w:rsidRDefault="001E332D">
            <w:pPr>
              <w:rPr>
                <w:rFonts w:ascii="Verdana" w:hAnsi="Verdana" w:cs="Arial"/>
                <w:b/>
                <w:bCs/>
                <w:sz w:val="12"/>
                <w:szCs w:val="12"/>
              </w:rPr>
            </w:pPr>
            <w:r>
              <w:rPr>
                <w:rFonts w:ascii="Verdana" w:hAnsi="Verdana" w:cs="Arial"/>
                <w:b/>
                <w:bCs/>
                <w:sz w:val="12"/>
                <w:szCs w:val="12"/>
              </w:rPr>
              <w:t>UTILIDAD OPERACIONAL</w:t>
            </w:r>
          </w:p>
        </w:tc>
        <w:tc>
          <w:tcPr>
            <w:tcW w:w="1080" w:type="dxa"/>
            <w:tcBorders>
              <w:top w:val="nil"/>
              <w:left w:val="nil"/>
              <w:bottom w:val="nil"/>
              <w:right w:val="nil"/>
            </w:tcBorders>
            <w:shd w:val="clear" w:color="auto" w:fill="C0C0C0"/>
            <w:noWrap/>
            <w:vAlign w:val="bottom"/>
          </w:tcPr>
          <w:p w:rsidR="001E332D" w:rsidRDefault="00535D8F">
            <w:pPr>
              <w:jc w:val="right"/>
              <w:rPr>
                <w:rFonts w:ascii="Verdana" w:hAnsi="Verdana" w:cs="Arial"/>
                <w:b/>
                <w:bCs/>
                <w:sz w:val="12"/>
                <w:szCs w:val="12"/>
              </w:rPr>
            </w:pPr>
            <w:r>
              <w:rPr>
                <w:rFonts w:ascii="Verdana" w:hAnsi="Verdana" w:cs="Arial"/>
                <w:b/>
                <w:bCs/>
                <w:sz w:val="12"/>
                <w:szCs w:val="12"/>
              </w:rPr>
              <w:t>$ 1.05</w:t>
            </w:r>
            <w:r w:rsidR="001E332D">
              <w:rPr>
                <w:rFonts w:ascii="Verdana" w:hAnsi="Verdana" w:cs="Arial"/>
                <w:b/>
                <w:bCs/>
                <w:sz w:val="12"/>
                <w:szCs w:val="12"/>
              </w:rPr>
              <w:t>2,00</w:t>
            </w:r>
          </w:p>
        </w:tc>
        <w:tc>
          <w:tcPr>
            <w:tcW w:w="1080" w:type="dxa"/>
            <w:tcBorders>
              <w:top w:val="nil"/>
              <w:left w:val="nil"/>
              <w:bottom w:val="nil"/>
              <w:right w:val="nil"/>
            </w:tcBorders>
            <w:shd w:val="clear" w:color="auto" w:fill="C0C0C0"/>
            <w:noWrap/>
            <w:vAlign w:val="bottom"/>
          </w:tcPr>
          <w:p w:rsidR="001E332D" w:rsidRDefault="00535D8F">
            <w:pPr>
              <w:jc w:val="right"/>
              <w:rPr>
                <w:rFonts w:ascii="Verdana" w:hAnsi="Verdana" w:cs="Arial"/>
                <w:b/>
                <w:bCs/>
                <w:sz w:val="12"/>
                <w:szCs w:val="12"/>
              </w:rPr>
            </w:pPr>
            <w:r>
              <w:rPr>
                <w:rFonts w:ascii="Verdana" w:hAnsi="Verdana" w:cs="Arial"/>
                <w:b/>
                <w:bCs/>
                <w:sz w:val="12"/>
                <w:szCs w:val="12"/>
              </w:rPr>
              <w:t>$ 13.04</w:t>
            </w:r>
            <w:r w:rsidR="001E332D">
              <w:rPr>
                <w:rFonts w:ascii="Verdana" w:hAnsi="Verdana" w:cs="Arial"/>
                <w:b/>
                <w:bCs/>
                <w:sz w:val="12"/>
                <w:szCs w:val="12"/>
              </w:rPr>
              <w:t>3,00</w:t>
            </w:r>
          </w:p>
        </w:tc>
        <w:tc>
          <w:tcPr>
            <w:tcW w:w="1080" w:type="dxa"/>
            <w:tcBorders>
              <w:top w:val="nil"/>
              <w:left w:val="nil"/>
              <w:bottom w:val="nil"/>
              <w:right w:val="nil"/>
            </w:tcBorders>
            <w:shd w:val="clear" w:color="auto" w:fill="C0C0C0"/>
            <w:noWrap/>
            <w:vAlign w:val="bottom"/>
          </w:tcPr>
          <w:p w:rsidR="001E332D" w:rsidRDefault="00535D8F">
            <w:pPr>
              <w:jc w:val="right"/>
              <w:rPr>
                <w:rFonts w:ascii="Verdana" w:hAnsi="Verdana" w:cs="Arial"/>
                <w:b/>
                <w:bCs/>
                <w:sz w:val="12"/>
                <w:szCs w:val="12"/>
              </w:rPr>
            </w:pPr>
            <w:r>
              <w:rPr>
                <w:rFonts w:ascii="Verdana" w:hAnsi="Verdana" w:cs="Arial"/>
                <w:b/>
                <w:bCs/>
                <w:sz w:val="12"/>
                <w:szCs w:val="12"/>
              </w:rPr>
              <w:t>$ 26.6</w:t>
            </w:r>
            <w:r w:rsidR="001E332D">
              <w:rPr>
                <w:rFonts w:ascii="Verdana" w:hAnsi="Verdana" w:cs="Arial"/>
                <w:b/>
                <w:bCs/>
                <w:sz w:val="12"/>
                <w:szCs w:val="12"/>
              </w:rPr>
              <w:t>38,16</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$ 43.7</w:t>
            </w:r>
            <w:r w:rsidR="00535D8F">
              <w:rPr>
                <w:rFonts w:ascii="Verdana" w:hAnsi="Verdana" w:cs="Arial"/>
                <w:b/>
                <w:bCs/>
                <w:sz w:val="12"/>
                <w:szCs w:val="12"/>
              </w:rPr>
              <w:t>5</w:t>
            </w:r>
            <w:r>
              <w:rPr>
                <w:rFonts w:ascii="Verdana" w:hAnsi="Verdana" w:cs="Arial"/>
                <w:b/>
                <w:bCs/>
                <w:sz w:val="12"/>
                <w:szCs w:val="12"/>
              </w:rPr>
              <w:t>6,91</w:t>
            </w:r>
          </w:p>
        </w:tc>
        <w:tc>
          <w:tcPr>
            <w:tcW w:w="1080" w:type="dxa"/>
            <w:tcBorders>
              <w:top w:val="nil"/>
              <w:left w:val="nil"/>
              <w:bottom w:val="nil"/>
              <w:right w:val="nil"/>
            </w:tcBorders>
            <w:shd w:val="clear" w:color="auto" w:fill="C0C0C0"/>
            <w:noWrap/>
            <w:vAlign w:val="bottom"/>
          </w:tcPr>
          <w:p w:rsidR="001E332D" w:rsidRDefault="00535D8F">
            <w:pPr>
              <w:jc w:val="right"/>
              <w:rPr>
                <w:rFonts w:ascii="Verdana" w:hAnsi="Verdana" w:cs="Arial"/>
                <w:b/>
                <w:bCs/>
                <w:sz w:val="12"/>
                <w:szCs w:val="12"/>
              </w:rPr>
            </w:pPr>
            <w:r>
              <w:rPr>
                <w:rFonts w:ascii="Verdana" w:hAnsi="Verdana" w:cs="Arial"/>
                <w:b/>
                <w:bCs/>
                <w:sz w:val="12"/>
                <w:szCs w:val="12"/>
              </w:rPr>
              <w:t>$ 55.84</w:t>
            </w:r>
            <w:r w:rsidR="001E332D">
              <w:rPr>
                <w:rFonts w:ascii="Verdana" w:hAnsi="Verdana" w:cs="Arial"/>
                <w:b/>
                <w:bCs/>
                <w:sz w:val="12"/>
                <w:szCs w:val="12"/>
              </w:rPr>
              <w:t>1,66</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$ 1</w:t>
            </w:r>
            <w:r w:rsidR="00535D8F">
              <w:rPr>
                <w:rFonts w:ascii="Verdana" w:hAnsi="Verdana" w:cs="Arial"/>
                <w:b/>
                <w:bCs/>
                <w:sz w:val="12"/>
                <w:szCs w:val="12"/>
              </w:rPr>
              <w:t>40.3</w:t>
            </w:r>
            <w:r>
              <w:rPr>
                <w:rFonts w:ascii="Verdana" w:hAnsi="Verdana" w:cs="Arial"/>
                <w:b/>
                <w:bCs/>
                <w:sz w:val="12"/>
                <w:szCs w:val="12"/>
              </w:rPr>
              <w:t>31,73</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83" w:type="dxa"/>
            <w:tcBorders>
              <w:top w:val="nil"/>
              <w:left w:val="nil"/>
              <w:bottom w:val="nil"/>
              <w:right w:val="double" w:sz="6" w:space="0" w:color="auto"/>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C0C0C0"/>
            <w:noWrap/>
            <w:vAlign w:val="bottom"/>
          </w:tcPr>
          <w:p w:rsidR="001E332D" w:rsidRDefault="001E332D">
            <w:pPr>
              <w:rPr>
                <w:rFonts w:ascii="Verdana" w:hAnsi="Verdana" w:cs="Arial"/>
                <w:b/>
                <w:bCs/>
                <w:sz w:val="12"/>
                <w:szCs w:val="12"/>
              </w:rPr>
            </w:pPr>
            <w:r>
              <w:rPr>
                <w:rFonts w:ascii="Verdana" w:hAnsi="Verdana" w:cs="Arial"/>
                <w:b/>
                <w:bCs/>
                <w:sz w:val="12"/>
                <w:szCs w:val="12"/>
              </w:rPr>
              <w:t>GASTOS FINANCIEROS</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$ 0,00</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$ 0,00</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83" w:type="dxa"/>
            <w:tcBorders>
              <w:top w:val="nil"/>
              <w:left w:val="nil"/>
              <w:bottom w:val="nil"/>
              <w:right w:val="double" w:sz="6" w:space="0" w:color="auto"/>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C0C0C0"/>
            <w:noWrap/>
            <w:vAlign w:val="bottom"/>
          </w:tcPr>
          <w:p w:rsidR="001E332D" w:rsidRDefault="001E332D">
            <w:pPr>
              <w:rPr>
                <w:rFonts w:ascii="Verdana" w:hAnsi="Verdana" w:cs="Arial"/>
                <w:b/>
                <w:bCs/>
                <w:sz w:val="12"/>
                <w:szCs w:val="12"/>
              </w:rPr>
            </w:pPr>
            <w:r>
              <w:rPr>
                <w:rFonts w:ascii="Verdana" w:hAnsi="Verdana" w:cs="Arial"/>
                <w:b/>
                <w:bCs/>
                <w:sz w:val="12"/>
                <w:szCs w:val="12"/>
              </w:rPr>
              <w:t>UTILIDAD ANTES DE IMP. Y P.T.</w:t>
            </w:r>
          </w:p>
        </w:tc>
        <w:tc>
          <w:tcPr>
            <w:tcW w:w="1080" w:type="dxa"/>
            <w:tcBorders>
              <w:top w:val="nil"/>
              <w:left w:val="nil"/>
              <w:bottom w:val="nil"/>
              <w:right w:val="nil"/>
            </w:tcBorders>
            <w:shd w:val="clear" w:color="auto" w:fill="C0C0C0"/>
            <w:noWrap/>
            <w:vAlign w:val="bottom"/>
          </w:tcPr>
          <w:p w:rsidR="001E332D" w:rsidRDefault="00535D8F">
            <w:pPr>
              <w:jc w:val="right"/>
              <w:rPr>
                <w:rFonts w:ascii="Verdana" w:hAnsi="Verdana" w:cs="Arial"/>
                <w:b/>
                <w:bCs/>
                <w:sz w:val="12"/>
                <w:szCs w:val="12"/>
              </w:rPr>
            </w:pPr>
            <w:r>
              <w:rPr>
                <w:rFonts w:ascii="Verdana" w:hAnsi="Verdana" w:cs="Arial"/>
                <w:b/>
                <w:bCs/>
                <w:sz w:val="12"/>
                <w:szCs w:val="12"/>
              </w:rPr>
              <w:t>$ 1.05</w:t>
            </w:r>
            <w:r w:rsidR="001E332D">
              <w:rPr>
                <w:rFonts w:ascii="Verdana" w:hAnsi="Verdana" w:cs="Arial"/>
                <w:b/>
                <w:bCs/>
                <w:sz w:val="12"/>
                <w:szCs w:val="12"/>
              </w:rPr>
              <w:t>2,00</w:t>
            </w:r>
          </w:p>
        </w:tc>
        <w:tc>
          <w:tcPr>
            <w:tcW w:w="1080" w:type="dxa"/>
            <w:tcBorders>
              <w:top w:val="nil"/>
              <w:left w:val="nil"/>
              <w:bottom w:val="nil"/>
              <w:right w:val="nil"/>
            </w:tcBorders>
            <w:shd w:val="clear" w:color="auto" w:fill="C0C0C0"/>
            <w:noWrap/>
            <w:vAlign w:val="bottom"/>
          </w:tcPr>
          <w:p w:rsidR="001E332D" w:rsidRDefault="00535D8F">
            <w:pPr>
              <w:jc w:val="right"/>
              <w:rPr>
                <w:rFonts w:ascii="Verdana" w:hAnsi="Verdana" w:cs="Arial"/>
                <w:b/>
                <w:bCs/>
                <w:sz w:val="12"/>
                <w:szCs w:val="12"/>
              </w:rPr>
            </w:pPr>
            <w:r>
              <w:rPr>
                <w:rFonts w:ascii="Verdana" w:hAnsi="Verdana" w:cs="Arial"/>
                <w:b/>
                <w:bCs/>
                <w:sz w:val="12"/>
                <w:szCs w:val="12"/>
              </w:rPr>
              <w:t>$ 13.04</w:t>
            </w:r>
            <w:r w:rsidR="001E332D">
              <w:rPr>
                <w:rFonts w:ascii="Verdana" w:hAnsi="Verdana" w:cs="Arial"/>
                <w:b/>
                <w:bCs/>
                <w:sz w:val="12"/>
                <w:szCs w:val="12"/>
              </w:rPr>
              <w:t>3,00</w:t>
            </w:r>
          </w:p>
        </w:tc>
        <w:tc>
          <w:tcPr>
            <w:tcW w:w="1080" w:type="dxa"/>
            <w:tcBorders>
              <w:top w:val="nil"/>
              <w:left w:val="nil"/>
              <w:bottom w:val="nil"/>
              <w:right w:val="nil"/>
            </w:tcBorders>
            <w:shd w:val="clear" w:color="auto" w:fill="C0C0C0"/>
            <w:noWrap/>
            <w:vAlign w:val="bottom"/>
          </w:tcPr>
          <w:p w:rsidR="001E332D" w:rsidRDefault="00535D8F">
            <w:pPr>
              <w:jc w:val="right"/>
              <w:rPr>
                <w:rFonts w:ascii="Verdana" w:hAnsi="Verdana" w:cs="Arial"/>
                <w:b/>
                <w:bCs/>
                <w:sz w:val="12"/>
                <w:szCs w:val="12"/>
              </w:rPr>
            </w:pPr>
            <w:r>
              <w:rPr>
                <w:rFonts w:ascii="Verdana" w:hAnsi="Verdana" w:cs="Arial"/>
                <w:b/>
                <w:bCs/>
                <w:sz w:val="12"/>
                <w:szCs w:val="12"/>
              </w:rPr>
              <w:t>$ 26.6</w:t>
            </w:r>
            <w:r w:rsidR="001E332D">
              <w:rPr>
                <w:rFonts w:ascii="Verdana" w:hAnsi="Verdana" w:cs="Arial"/>
                <w:b/>
                <w:bCs/>
                <w:sz w:val="12"/>
                <w:szCs w:val="12"/>
              </w:rPr>
              <w:t>38,16</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$ 43.7</w:t>
            </w:r>
            <w:r w:rsidR="00535D8F">
              <w:rPr>
                <w:rFonts w:ascii="Verdana" w:hAnsi="Verdana" w:cs="Arial"/>
                <w:b/>
                <w:bCs/>
                <w:sz w:val="12"/>
                <w:szCs w:val="12"/>
              </w:rPr>
              <w:t>5</w:t>
            </w:r>
            <w:r>
              <w:rPr>
                <w:rFonts w:ascii="Verdana" w:hAnsi="Verdana" w:cs="Arial"/>
                <w:b/>
                <w:bCs/>
                <w:sz w:val="12"/>
                <w:szCs w:val="12"/>
              </w:rPr>
              <w:t>6,91</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$ 55.8</w:t>
            </w:r>
            <w:r w:rsidR="00535D8F">
              <w:rPr>
                <w:rFonts w:ascii="Verdana" w:hAnsi="Verdana" w:cs="Arial"/>
                <w:b/>
                <w:bCs/>
                <w:sz w:val="12"/>
                <w:szCs w:val="12"/>
              </w:rPr>
              <w:t>4</w:t>
            </w:r>
            <w:r>
              <w:rPr>
                <w:rFonts w:ascii="Verdana" w:hAnsi="Verdana" w:cs="Arial"/>
                <w:b/>
                <w:bCs/>
                <w:sz w:val="12"/>
                <w:szCs w:val="12"/>
              </w:rPr>
              <w:t>1,66</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$ 1</w:t>
            </w:r>
            <w:r w:rsidR="00535D8F">
              <w:rPr>
                <w:rFonts w:ascii="Verdana" w:hAnsi="Verdana" w:cs="Arial"/>
                <w:b/>
                <w:bCs/>
                <w:sz w:val="12"/>
                <w:szCs w:val="12"/>
              </w:rPr>
              <w:t>40.3</w:t>
            </w:r>
            <w:r>
              <w:rPr>
                <w:rFonts w:ascii="Verdana" w:hAnsi="Verdana" w:cs="Arial"/>
                <w:b/>
                <w:bCs/>
                <w:sz w:val="12"/>
                <w:szCs w:val="12"/>
              </w:rPr>
              <w:t>31,73</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83" w:type="dxa"/>
            <w:tcBorders>
              <w:top w:val="nil"/>
              <w:left w:val="nil"/>
              <w:bottom w:val="nil"/>
              <w:right w:val="double" w:sz="6" w:space="0" w:color="auto"/>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Participación de Trabajadores:</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xml:space="preserve">$ </w:t>
            </w:r>
            <w:r w:rsidR="00535D8F">
              <w:rPr>
                <w:rFonts w:ascii="Verdana" w:hAnsi="Verdana" w:cs="Arial"/>
                <w:sz w:val="12"/>
                <w:szCs w:val="12"/>
              </w:rPr>
              <w:t>157</w:t>
            </w:r>
            <w:r>
              <w:rPr>
                <w:rFonts w:ascii="Verdana" w:hAnsi="Verdana" w:cs="Arial"/>
                <w:sz w:val="12"/>
                <w:szCs w:val="12"/>
              </w:rPr>
              <w:t>,80</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xml:space="preserve">$ </w:t>
            </w:r>
            <w:r w:rsidR="00C316A7">
              <w:rPr>
                <w:rFonts w:ascii="Verdana" w:hAnsi="Verdana" w:cs="Arial"/>
                <w:sz w:val="12"/>
                <w:szCs w:val="12"/>
              </w:rPr>
              <w:t>1</w:t>
            </w:r>
            <w:r>
              <w:rPr>
                <w:rFonts w:ascii="Verdana" w:hAnsi="Verdana" w:cs="Arial"/>
                <w:sz w:val="12"/>
                <w:szCs w:val="12"/>
              </w:rPr>
              <w:t>.</w:t>
            </w:r>
            <w:r w:rsidR="00C316A7">
              <w:rPr>
                <w:rFonts w:ascii="Verdana" w:hAnsi="Verdana" w:cs="Arial"/>
                <w:sz w:val="12"/>
                <w:szCs w:val="12"/>
              </w:rPr>
              <w:t>9</w:t>
            </w:r>
            <w:r>
              <w:rPr>
                <w:rFonts w:ascii="Verdana" w:hAnsi="Verdana" w:cs="Arial"/>
                <w:sz w:val="12"/>
                <w:szCs w:val="12"/>
              </w:rPr>
              <w:t>5</w:t>
            </w:r>
            <w:r w:rsidR="00C316A7">
              <w:rPr>
                <w:rFonts w:ascii="Verdana" w:hAnsi="Verdana" w:cs="Arial"/>
                <w:sz w:val="12"/>
                <w:szCs w:val="12"/>
              </w:rPr>
              <w:t>6</w:t>
            </w:r>
            <w:r>
              <w:rPr>
                <w:rFonts w:ascii="Verdana" w:hAnsi="Verdana" w:cs="Arial"/>
                <w:sz w:val="12"/>
                <w:szCs w:val="12"/>
              </w:rPr>
              <w:t>,45</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xml:space="preserve">$ </w:t>
            </w:r>
            <w:r w:rsidR="00C316A7">
              <w:rPr>
                <w:rFonts w:ascii="Verdana" w:hAnsi="Verdana" w:cs="Arial"/>
                <w:sz w:val="12"/>
                <w:szCs w:val="12"/>
              </w:rPr>
              <w:t>3</w:t>
            </w:r>
            <w:r>
              <w:rPr>
                <w:rFonts w:ascii="Verdana" w:hAnsi="Verdana" w:cs="Arial"/>
                <w:sz w:val="12"/>
                <w:szCs w:val="12"/>
              </w:rPr>
              <w:t>.</w:t>
            </w:r>
            <w:r w:rsidR="00C316A7">
              <w:rPr>
                <w:rFonts w:ascii="Verdana" w:hAnsi="Verdana" w:cs="Arial"/>
                <w:sz w:val="12"/>
                <w:szCs w:val="12"/>
              </w:rPr>
              <w:t>995</w:t>
            </w:r>
            <w:r>
              <w:rPr>
                <w:rFonts w:ascii="Verdana" w:hAnsi="Verdana" w:cs="Arial"/>
                <w:sz w:val="12"/>
                <w:szCs w:val="12"/>
              </w:rPr>
              <w:t>,72</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$ 6.5</w:t>
            </w:r>
            <w:r w:rsidR="00A810FD">
              <w:rPr>
                <w:rFonts w:ascii="Verdana" w:hAnsi="Verdana" w:cs="Arial"/>
                <w:sz w:val="12"/>
                <w:szCs w:val="12"/>
              </w:rPr>
              <w:t>63</w:t>
            </w:r>
            <w:r>
              <w:rPr>
                <w:rFonts w:ascii="Verdana" w:hAnsi="Verdana" w:cs="Arial"/>
                <w:sz w:val="12"/>
                <w:szCs w:val="12"/>
              </w:rPr>
              <w:t>,54</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$ 8.37</w:t>
            </w:r>
            <w:r w:rsidR="00A810FD">
              <w:rPr>
                <w:rFonts w:ascii="Verdana" w:hAnsi="Verdana" w:cs="Arial"/>
                <w:sz w:val="12"/>
                <w:szCs w:val="12"/>
              </w:rPr>
              <w:t>6</w:t>
            </w:r>
            <w:r>
              <w:rPr>
                <w:rFonts w:ascii="Verdana" w:hAnsi="Verdana" w:cs="Arial"/>
                <w:sz w:val="12"/>
                <w:szCs w:val="12"/>
              </w:rPr>
              <w:t>,25</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b/>
                <w:bCs/>
                <w:sz w:val="12"/>
                <w:szCs w:val="12"/>
              </w:rPr>
            </w:pPr>
            <w:r>
              <w:rPr>
                <w:rFonts w:ascii="Verdana" w:hAnsi="Verdana" w:cs="Arial"/>
                <w:b/>
                <w:bCs/>
                <w:sz w:val="12"/>
                <w:szCs w:val="12"/>
              </w:rPr>
              <w:t>$ 2</w:t>
            </w:r>
            <w:r w:rsidR="00A810FD">
              <w:rPr>
                <w:rFonts w:ascii="Verdana" w:hAnsi="Verdana" w:cs="Arial"/>
                <w:b/>
                <w:bCs/>
                <w:sz w:val="12"/>
                <w:szCs w:val="12"/>
              </w:rPr>
              <w:t>1</w:t>
            </w:r>
            <w:r>
              <w:rPr>
                <w:rFonts w:ascii="Verdana" w:hAnsi="Verdana" w:cs="Arial"/>
                <w:b/>
                <w:bCs/>
                <w:sz w:val="12"/>
                <w:szCs w:val="12"/>
              </w:rPr>
              <w:t>.</w:t>
            </w:r>
            <w:r w:rsidR="00A810FD">
              <w:rPr>
                <w:rFonts w:ascii="Verdana" w:hAnsi="Verdana" w:cs="Arial"/>
                <w:b/>
                <w:bCs/>
                <w:sz w:val="12"/>
                <w:szCs w:val="12"/>
              </w:rPr>
              <w:t>04</w:t>
            </w:r>
            <w:r>
              <w:rPr>
                <w:rFonts w:ascii="Verdana" w:hAnsi="Verdana" w:cs="Arial"/>
                <w:b/>
                <w:bCs/>
                <w:sz w:val="12"/>
                <w:szCs w:val="12"/>
              </w:rPr>
              <w:t>9,76</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Impuesto a la Renta:</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w:t>
            </w:r>
            <w:r w:rsidR="00535D8F">
              <w:rPr>
                <w:rFonts w:ascii="Verdana" w:hAnsi="Verdana" w:cs="Arial"/>
                <w:sz w:val="12"/>
                <w:szCs w:val="12"/>
              </w:rPr>
              <w:t>223</w:t>
            </w:r>
            <w:r>
              <w:rPr>
                <w:rFonts w:ascii="Verdana" w:hAnsi="Verdana" w:cs="Arial"/>
                <w:sz w:val="12"/>
                <w:szCs w:val="12"/>
              </w:rPr>
              <w:t>,</w:t>
            </w:r>
            <w:r w:rsidR="00535D8F">
              <w:rPr>
                <w:rFonts w:ascii="Verdana" w:hAnsi="Verdana" w:cs="Arial"/>
                <w:sz w:val="12"/>
                <w:szCs w:val="12"/>
              </w:rPr>
              <w:t>55</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xml:space="preserve">$ </w:t>
            </w:r>
            <w:r w:rsidR="00C316A7">
              <w:rPr>
                <w:rFonts w:ascii="Verdana" w:hAnsi="Verdana" w:cs="Arial"/>
                <w:sz w:val="12"/>
                <w:szCs w:val="12"/>
              </w:rPr>
              <w:t>2</w:t>
            </w:r>
            <w:r>
              <w:rPr>
                <w:rFonts w:ascii="Verdana" w:hAnsi="Verdana" w:cs="Arial"/>
                <w:sz w:val="12"/>
                <w:szCs w:val="12"/>
              </w:rPr>
              <w:t>.</w:t>
            </w:r>
            <w:r w:rsidR="00C316A7">
              <w:rPr>
                <w:rFonts w:ascii="Verdana" w:hAnsi="Verdana" w:cs="Arial"/>
                <w:sz w:val="12"/>
                <w:szCs w:val="12"/>
              </w:rPr>
              <w:t>771</w:t>
            </w:r>
            <w:r>
              <w:rPr>
                <w:rFonts w:ascii="Verdana" w:hAnsi="Verdana" w:cs="Arial"/>
                <w:sz w:val="12"/>
                <w:szCs w:val="12"/>
              </w:rPr>
              <w:t>,</w:t>
            </w:r>
            <w:r w:rsidR="00C316A7">
              <w:rPr>
                <w:rFonts w:ascii="Verdana" w:hAnsi="Verdana" w:cs="Arial"/>
                <w:sz w:val="12"/>
                <w:szCs w:val="12"/>
              </w:rPr>
              <w:t>64</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xml:space="preserve">$ </w:t>
            </w:r>
            <w:r w:rsidR="00C316A7">
              <w:rPr>
                <w:rFonts w:ascii="Verdana" w:hAnsi="Verdana" w:cs="Arial"/>
                <w:sz w:val="12"/>
                <w:szCs w:val="12"/>
              </w:rPr>
              <w:t>5</w:t>
            </w:r>
            <w:r>
              <w:rPr>
                <w:rFonts w:ascii="Verdana" w:hAnsi="Verdana" w:cs="Arial"/>
                <w:sz w:val="12"/>
                <w:szCs w:val="12"/>
              </w:rPr>
              <w:t>.</w:t>
            </w:r>
            <w:r w:rsidR="00C316A7">
              <w:rPr>
                <w:rFonts w:ascii="Verdana" w:hAnsi="Verdana" w:cs="Arial"/>
                <w:sz w:val="12"/>
                <w:szCs w:val="12"/>
              </w:rPr>
              <w:t>660</w:t>
            </w:r>
            <w:r>
              <w:rPr>
                <w:rFonts w:ascii="Verdana" w:hAnsi="Verdana" w:cs="Arial"/>
                <w:sz w:val="12"/>
                <w:szCs w:val="12"/>
              </w:rPr>
              <w:t>,</w:t>
            </w:r>
            <w:r w:rsidR="00C316A7">
              <w:rPr>
                <w:rFonts w:ascii="Verdana" w:hAnsi="Verdana" w:cs="Arial"/>
                <w:sz w:val="12"/>
                <w:szCs w:val="12"/>
              </w:rPr>
              <w:t>6</w:t>
            </w:r>
            <w:r>
              <w:rPr>
                <w:rFonts w:ascii="Verdana" w:hAnsi="Verdana" w:cs="Arial"/>
                <w:sz w:val="12"/>
                <w:szCs w:val="12"/>
              </w:rPr>
              <w:t>1</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$ 9.2</w:t>
            </w:r>
            <w:r w:rsidR="00A810FD">
              <w:rPr>
                <w:rFonts w:ascii="Verdana" w:hAnsi="Verdana" w:cs="Arial"/>
                <w:sz w:val="12"/>
                <w:szCs w:val="12"/>
              </w:rPr>
              <w:t>98</w:t>
            </w:r>
            <w:r>
              <w:rPr>
                <w:rFonts w:ascii="Verdana" w:hAnsi="Verdana" w:cs="Arial"/>
                <w:sz w:val="12"/>
                <w:szCs w:val="12"/>
              </w:rPr>
              <w:t>,</w:t>
            </w:r>
            <w:r w:rsidR="00A810FD">
              <w:rPr>
                <w:rFonts w:ascii="Verdana" w:hAnsi="Verdana" w:cs="Arial"/>
                <w:sz w:val="12"/>
                <w:szCs w:val="12"/>
              </w:rPr>
              <w:t>3</w:t>
            </w:r>
            <w:r>
              <w:rPr>
                <w:rFonts w:ascii="Verdana" w:hAnsi="Verdana" w:cs="Arial"/>
                <w:sz w:val="12"/>
                <w:szCs w:val="12"/>
              </w:rPr>
              <w:t>4</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sz w:val="12"/>
                <w:szCs w:val="12"/>
              </w:rPr>
            </w:pPr>
            <w:r>
              <w:rPr>
                <w:rFonts w:ascii="Verdana" w:hAnsi="Verdana" w:cs="Arial"/>
                <w:sz w:val="12"/>
                <w:szCs w:val="12"/>
              </w:rPr>
              <w:t>$ 11.8</w:t>
            </w:r>
            <w:r w:rsidR="00A810FD">
              <w:rPr>
                <w:rFonts w:ascii="Verdana" w:hAnsi="Verdana" w:cs="Arial"/>
                <w:sz w:val="12"/>
                <w:szCs w:val="12"/>
              </w:rPr>
              <w:t>66,3</w:t>
            </w:r>
            <w:r>
              <w:rPr>
                <w:rFonts w:ascii="Verdana" w:hAnsi="Verdana" w:cs="Arial"/>
                <w:sz w:val="12"/>
                <w:szCs w:val="12"/>
              </w:rPr>
              <w:t>5</w:t>
            </w:r>
          </w:p>
        </w:tc>
        <w:tc>
          <w:tcPr>
            <w:tcW w:w="1080" w:type="dxa"/>
            <w:tcBorders>
              <w:top w:val="nil"/>
              <w:left w:val="nil"/>
              <w:bottom w:val="nil"/>
              <w:right w:val="nil"/>
            </w:tcBorders>
            <w:shd w:val="clear" w:color="auto" w:fill="FFFFFF"/>
            <w:noWrap/>
            <w:vAlign w:val="bottom"/>
          </w:tcPr>
          <w:p w:rsidR="001E332D" w:rsidRDefault="001E332D">
            <w:pPr>
              <w:jc w:val="right"/>
              <w:rPr>
                <w:rFonts w:ascii="Verdana" w:hAnsi="Verdana" w:cs="Arial"/>
                <w:b/>
                <w:bCs/>
                <w:sz w:val="12"/>
                <w:szCs w:val="12"/>
              </w:rPr>
            </w:pPr>
            <w:r>
              <w:rPr>
                <w:rFonts w:ascii="Verdana" w:hAnsi="Verdana" w:cs="Arial"/>
                <w:b/>
                <w:bCs/>
                <w:sz w:val="12"/>
                <w:szCs w:val="12"/>
              </w:rPr>
              <w:t xml:space="preserve">$ </w:t>
            </w:r>
            <w:r w:rsidR="00A810FD">
              <w:rPr>
                <w:rFonts w:ascii="Verdana" w:hAnsi="Verdana" w:cs="Arial"/>
                <w:b/>
                <w:bCs/>
                <w:sz w:val="12"/>
                <w:szCs w:val="12"/>
              </w:rPr>
              <w:t>29</w:t>
            </w:r>
            <w:r>
              <w:rPr>
                <w:rFonts w:ascii="Verdana" w:hAnsi="Verdana" w:cs="Arial"/>
                <w:b/>
                <w:bCs/>
                <w:sz w:val="12"/>
                <w:szCs w:val="12"/>
              </w:rPr>
              <w:t>.</w:t>
            </w:r>
            <w:r w:rsidR="00A810FD">
              <w:rPr>
                <w:rFonts w:ascii="Verdana" w:hAnsi="Verdana" w:cs="Arial"/>
                <w:b/>
                <w:bCs/>
                <w:sz w:val="12"/>
                <w:szCs w:val="12"/>
              </w:rPr>
              <w:t>820</w:t>
            </w:r>
            <w:r>
              <w:rPr>
                <w:rFonts w:ascii="Verdana" w:hAnsi="Verdana" w:cs="Arial"/>
                <w:b/>
                <w:bCs/>
                <w:sz w:val="12"/>
                <w:szCs w:val="12"/>
              </w:rPr>
              <w:t>,49</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sz w:val="12"/>
                <w:szCs w:val="12"/>
              </w:rPr>
            </w:pPr>
            <w:r>
              <w:rPr>
                <w:rFonts w:ascii="Verdana" w:hAnsi="Verdana" w:cs="Arial"/>
                <w:sz w:val="12"/>
                <w:szCs w:val="12"/>
              </w:rPr>
              <w:t> </w:t>
            </w:r>
          </w:p>
        </w:tc>
      </w:tr>
      <w:tr w:rsidR="001E332D">
        <w:trPr>
          <w:trHeight w:val="165"/>
        </w:trPr>
        <w:tc>
          <w:tcPr>
            <w:tcW w:w="185" w:type="dxa"/>
            <w:tcBorders>
              <w:top w:val="nil"/>
              <w:left w:val="double" w:sz="6" w:space="0" w:color="auto"/>
              <w:bottom w:val="nil"/>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nil"/>
              <w:right w:val="nil"/>
            </w:tcBorders>
            <w:shd w:val="clear" w:color="auto" w:fill="C0C0C0"/>
            <w:noWrap/>
            <w:vAlign w:val="bottom"/>
          </w:tcPr>
          <w:p w:rsidR="001E332D" w:rsidRDefault="001E332D">
            <w:pPr>
              <w:rPr>
                <w:rFonts w:ascii="Verdana" w:hAnsi="Verdana" w:cs="Arial"/>
                <w:b/>
                <w:bCs/>
                <w:sz w:val="12"/>
                <w:szCs w:val="12"/>
              </w:rPr>
            </w:pPr>
            <w:r>
              <w:rPr>
                <w:rFonts w:ascii="Verdana" w:hAnsi="Verdana" w:cs="Arial"/>
                <w:b/>
                <w:bCs/>
                <w:sz w:val="12"/>
                <w:szCs w:val="12"/>
              </w:rPr>
              <w:t>UTILIDAD NETA</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xml:space="preserve">$ </w:t>
            </w:r>
            <w:r w:rsidR="00535D8F">
              <w:rPr>
                <w:rFonts w:ascii="Verdana" w:hAnsi="Verdana" w:cs="Arial"/>
                <w:b/>
                <w:bCs/>
                <w:sz w:val="12"/>
                <w:szCs w:val="12"/>
              </w:rPr>
              <w:t>670</w:t>
            </w:r>
            <w:r>
              <w:rPr>
                <w:rFonts w:ascii="Verdana" w:hAnsi="Verdana" w:cs="Arial"/>
                <w:b/>
                <w:bCs/>
                <w:sz w:val="12"/>
                <w:szCs w:val="12"/>
              </w:rPr>
              <w:t>,</w:t>
            </w:r>
            <w:r w:rsidR="00535D8F">
              <w:rPr>
                <w:rFonts w:ascii="Verdana" w:hAnsi="Verdana" w:cs="Arial"/>
                <w:b/>
                <w:bCs/>
                <w:sz w:val="12"/>
                <w:szCs w:val="12"/>
              </w:rPr>
              <w:t>65</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xml:space="preserve">$ </w:t>
            </w:r>
            <w:r w:rsidR="00C316A7">
              <w:rPr>
                <w:rFonts w:ascii="Verdana" w:hAnsi="Verdana" w:cs="Arial"/>
                <w:b/>
                <w:bCs/>
                <w:sz w:val="12"/>
                <w:szCs w:val="12"/>
              </w:rPr>
              <w:t>8</w:t>
            </w:r>
            <w:r>
              <w:rPr>
                <w:rFonts w:ascii="Verdana" w:hAnsi="Verdana" w:cs="Arial"/>
                <w:b/>
                <w:bCs/>
                <w:sz w:val="12"/>
                <w:szCs w:val="12"/>
              </w:rPr>
              <w:t>.</w:t>
            </w:r>
            <w:r w:rsidR="00C316A7">
              <w:rPr>
                <w:rFonts w:ascii="Verdana" w:hAnsi="Verdana" w:cs="Arial"/>
                <w:b/>
                <w:bCs/>
                <w:sz w:val="12"/>
                <w:szCs w:val="12"/>
              </w:rPr>
              <w:t>314</w:t>
            </w:r>
            <w:r>
              <w:rPr>
                <w:rFonts w:ascii="Verdana" w:hAnsi="Verdana" w:cs="Arial"/>
                <w:b/>
                <w:bCs/>
                <w:sz w:val="12"/>
                <w:szCs w:val="12"/>
              </w:rPr>
              <w:t>,</w:t>
            </w:r>
            <w:r w:rsidR="00C316A7">
              <w:rPr>
                <w:rFonts w:ascii="Verdana" w:hAnsi="Verdana" w:cs="Arial"/>
                <w:b/>
                <w:bCs/>
                <w:sz w:val="12"/>
                <w:szCs w:val="12"/>
              </w:rPr>
              <w:t>91</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$ 1</w:t>
            </w:r>
            <w:r w:rsidR="00C316A7">
              <w:rPr>
                <w:rFonts w:ascii="Verdana" w:hAnsi="Verdana" w:cs="Arial"/>
                <w:b/>
                <w:bCs/>
                <w:sz w:val="12"/>
                <w:szCs w:val="12"/>
              </w:rPr>
              <w:t>6</w:t>
            </w:r>
            <w:r>
              <w:rPr>
                <w:rFonts w:ascii="Verdana" w:hAnsi="Verdana" w:cs="Arial"/>
                <w:b/>
                <w:bCs/>
                <w:sz w:val="12"/>
                <w:szCs w:val="12"/>
              </w:rPr>
              <w:t>.</w:t>
            </w:r>
            <w:r w:rsidR="00C316A7">
              <w:rPr>
                <w:rFonts w:ascii="Verdana" w:hAnsi="Verdana" w:cs="Arial"/>
                <w:b/>
                <w:bCs/>
                <w:sz w:val="12"/>
                <w:szCs w:val="12"/>
              </w:rPr>
              <w:t>981</w:t>
            </w:r>
            <w:r>
              <w:rPr>
                <w:rFonts w:ascii="Verdana" w:hAnsi="Verdana" w:cs="Arial"/>
                <w:b/>
                <w:bCs/>
                <w:sz w:val="12"/>
                <w:szCs w:val="12"/>
              </w:rPr>
              <w:t>,</w:t>
            </w:r>
            <w:r w:rsidR="00C316A7">
              <w:rPr>
                <w:rFonts w:ascii="Verdana" w:hAnsi="Verdana" w:cs="Arial"/>
                <w:b/>
                <w:bCs/>
                <w:sz w:val="12"/>
                <w:szCs w:val="12"/>
              </w:rPr>
              <w:t>8</w:t>
            </w:r>
            <w:r>
              <w:rPr>
                <w:rFonts w:ascii="Verdana" w:hAnsi="Verdana" w:cs="Arial"/>
                <w:b/>
                <w:bCs/>
                <w:sz w:val="12"/>
                <w:szCs w:val="12"/>
              </w:rPr>
              <w:t>3</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$ 27.8</w:t>
            </w:r>
            <w:r w:rsidR="00A810FD">
              <w:rPr>
                <w:rFonts w:ascii="Verdana" w:hAnsi="Verdana" w:cs="Arial"/>
                <w:b/>
                <w:bCs/>
                <w:sz w:val="12"/>
                <w:szCs w:val="12"/>
              </w:rPr>
              <w:t>95</w:t>
            </w:r>
            <w:r>
              <w:rPr>
                <w:rFonts w:ascii="Verdana" w:hAnsi="Verdana" w:cs="Arial"/>
                <w:b/>
                <w:bCs/>
                <w:sz w:val="12"/>
                <w:szCs w:val="12"/>
              </w:rPr>
              <w:t>,</w:t>
            </w:r>
            <w:r w:rsidR="00A810FD">
              <w:rPr>
                <w:rFonts w:ascii="Verdana" w:hAnsi="Verdana" w:cs="Arial"/>
                <w:b/>
                <w:bCs/>
                <w:sz w:val="12"/>
                <w:szCs w:val="12"/>
              </w:rPr>
              <w:t>0</w:t>
            </w:r>
            <w:r>
              <w:rPr>
                <w:rFonts w:ascii="Verdana" w:hAnsi="Verdana" w:cs="Arial"/>
                <w:b/>
                <w:bCs/>
                <w:sz w:val="12"/>
                <w:szCs w:val="12"/>
              </w:rPr>
              <w:t>3</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$ 35.</w:t>
            </w:r>
            <w:r w:rsidR="00A810FD">
              <w:rPr>
                <w:rFonts w:ascii="Verdana" w:hAnsi="Verdana" w:cs="Arial"/>
                <w:b/>
                <w:bCs/>
                <w:sz w:val="12"/>
                <w:szCs w:val="12"/>
              </w:rPr>
              <w:t>599,0</w:t>
            </w:r>
            <w:r>
              <w:rPr>
                <w:rFonts w:ascii="Verdana" w:hAnsi="Verdana" w:cs="Arial"/>
                <w:b/>
                <w:bCs/>
                <w:sz w:val="12"/>
                <w:szCs w:val="12"/>
              </w:rPr>
              <w:t>6</w:t>
            </w:r>
          </w:p>
        </w:tc>
        <w:tc>
          <w:tcPr>
            <w:tcW w:w="1080" w:type="dxa"/>
            <w:tcBorders>
              <w:top w:val="nil"/>
              <w:left w:val="nil"/>
              <w:bottom w:val="nil"/>
              <w:right w:val="nil"/>
            </w:tcBorders>
            <w:shd w:val="clear" w:color="auto" w:fill="C0C0C0"/>
            <w:noWrap/>
            <w:vAlign w:val="bottom"/>
          </w:tcPr>
          <w:p w:rsidR="001E332D" w:rsidRDefault="001E332D">
            <w:pPr>
              <w:jc w:val="right"/>
              <w:rPr>
                <w:rFonts w:ascii="Verdana" w:hAnsi="Verdana" w:cs="Arial"/>
                <w:b/>
                <w:bCs/>
                <w:sz w:val="12"/>
                <w:szCs w:val="12"/>
              </w:rPr>
            </w:pPr>
            <w:r>
              <w:rPr>
                <w:rFonts w:ascii="Verdana" w:hAnsi="Verdana" w:cs="Arial"/>
                <w:b/>
                <w:bCs/>
                <w:sz w:val="12"/>
                <w:szCs w:val="12"/>
              </w:rPr>
              <w:t xml:space="preserve">$ </w:t>
            </w:r>
            <w:r w:rsidR="00A810FD">
              <w:rPr>
                <w:rFonts w:ascii="Verdana" w:hAnsi="Verdana" w:cs="Arial"/>
                <w:b/>
                <w:bCs/>
                <w:sz w:val="12"/>
                <w:szCs w:val="12"/>
              </w:rPr>
              <w:t>89</w:t>
            </w:r>
            <w:r>
              <w:rPr>
                <w:rFonts w:ascii="Verdana" w:hAnsi="Verdana" w:cs="Arial"/>
                <w:b/>
                <w:bCs/>
                <w:sz w:val="12"/>
                <w:szCs w:val="12"/>
              </w:rPr>
              <w:t>.</w:t>
            </w:r>
            <w:r w:rsidR="00A810FD">
              <w:rPr>
                <w:rFonts w:ascii="Verdana" w:hAnsi="Verdana" w:cs="Arial"/>
                <w:b/>
                <w:bCs/>
                <w:sz w:val="12"/>
                <w:szCs w:val="12"/>
              </w:rPr>
              <w:t>461</w:t>
            </w:r>
            <w:r>
              <w:rPr>
                <w:rFonts w:ascii="Verdana" w:hAnsi="Verdana" w:cs="Arial"/>
                <w:b/>
                <w:bCs/>
                <w:sz w:val="12"/>
                <w:szCs w:val="12"/>
              </w:rPr>
              <w:t>,48</w:t>
            </w:r>
          </w:p>
        </w:tc>
        <w:tc>
          <w:tcPr>
            <w:tcW w:w="183" w:type="dxa"/>
            <w:tcBorders>
              <w:top w:val="nil"/>
              <w:left w:val="nil"/>
              <w:bottom w:val="nil"/>
              <w:right w:val="double" w:sz="6" w:space="0" w:color="auto"/>
            </w:tcBorders>
            <w:shd w:val="clear" w:color="auto" w:fill="FFFFFF"/>
            <w:noWrap/>
            <w:vAlign w:val="bottom"/>
          </w:tcPr>
          <w:p w:rsidR="001E332D" w:rsidRDefault="001E332D">
            <w:pPr>
              <w:jc w:val="center"/>
              <w:rPr>
                <w:rFonts w:ascii="Verdana" w:hAnsi="Verdana" w:cs="Arial"/>
                <w:b/>
                <w:bCs/>
                <w:sz w:val="12"/>
                <w:szCs w:val="12"/>
              </w:rPr>
            </w:pPr>
            <w:r>
              <w:rPr>
                <w:rFonts w:ascii="Verdana" w:hAnsi="Verdana" w:cs="Arial"/>
                <w:b/>
                <w:bCs/>
                <w:sz w:val="12"/>
                <w:szCs w:val="12"/>
              </w:rPr>
              <w:t> </w:t>
            </w:r>
          </w:p>
        </w:tc>
      </w:tr>
      <w:tr w:rsidR="001E332D">
        <w:trPr>
          <w:trHeight w:val="180"/>
        </w:trPr>
        <w:tc>
          <w:tcPr>
            <w:tcW w:w="185" w:type="dxa"/>
            <w:tcBorders>
              <w:top w:val="nil"/>
              <w:left w:val="double" w:sz="6" w:space="0" w:color="auto"/>
              <w:bottom w:val="double" w:sz="6" w:space="0" w:color="auto"/>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458" w:type="dxa"/>
            <w:tcBorders>
              <w:top w:val="nil"/>
              <w:left w:val="nil"/>
              <w:bottom w:val="double" w:sz="6" w:space="0" w:color="auto"/>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double" w:sz="6" w:space="0" w:color="auto"/>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double" w:sz="6" w:space="0" w:color="auto"/>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double" w:sz="6" w:space="0" w:color="auto"/>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double" w:sz="6" w:space="0" w:color="auto"/>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double" w:sz="6" w:space="0" w:color="auto"/>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080" w:type="dxa"/>
            <w:tcBorders>
              <w:top w:val="nil"/>
              <w:left w:val="nil"/>
              <w:bottom w:val="double" w:sz="6" w:space="0" w:color="auto"/>
              <w:right w:val="nil"/>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c>
          <w:tcPr>
            <w:tcW w:w="183" w:type="dxa"/>
            <w:tcBorders>
              <w:top w:val="nil"/>
              <w:left w:val="nil"/>
              <w:bottom w:val="double" w:sz="6" w:space="0" w:color="auto"/>
              <w:right w:val="double" w:sz="6" w:space="0" w:color="auto"/>
            </w:tcBorders>
            <w:shd w:val="clear" w:color="auto" w:fill="FFFFFF"/>
            <w:noWrap/>
            <w:vAlign w:val="bottom"/>
          </w:tcPr>
          <w:p w:rsidR="001E332D" w:rsidRDefault="001E332D">
            <w:pPr>
              <w:rPr>
                <w:rFonts w:ascii="Verdana" w:hAnsi="Verdana" w:cs="Arial"/>
                <w:sz w:val="12"/>
                <w:szCs w:val="12"/>
              </w:rPr>
            </w:pPr>
            <w:r>
              <w:rPr>
                <w:rFonts w:ascii="Verdana" w:hAnsi="Verdana" w:cs="Arial"/>
                <w:sz w:val="12"/>
                <w:szCs w:val="12"/>
              </w:rPr>
              <w:t> </w:t>
            </w:r>
          </w:p>
        </w:tc>
      </w:tr>
    </w:tbl>
    <w:p w:rsidR="001E332D" w:rsidRPr="008D290B" w:rsidRDefault="001E332D" w:rsidP="001E332D">
      <w:pPr>
        <w:spacing w:line="480" w:lineRule="auto"/>
        <w:jc w:val="center"/>
        <w:rPr>
          <w:i/>
          <w:sz w:val="20"/>
          <w:szCs w:val="20"/>
        </w:rPr>
      </w:pPr>
      <w:r>
        <w:rPr>
          <w:b/>
          <w:i/>
          <w:sz w:val="20"/>
          <w:szCs w:val="20"/>
        </w:rPr>
        <w:t>Elaboración</w:t>
      </w:r>
      <w:r w:rsidRPr="008D290B">
        <w:rPr>
          <w:b/>
          <w:i/>
          <w:sz w:val="20"/>
          <w:szCs w:val="20"/>
        </w:rPr>
        <w:t>:</w:t>
      </w:r>
      <w:r w:rsidRPr="008D290B">
        <w:rPr>
          <w:i/>
          <w:sz w:val="20"/>
          <w:szCs w:val="20"/>
        </w:rPr>
        <w:t xml:space="preserve"> </w:t>
      </w:r>
      <w:r>
        <w:rPr>
          <w:i/>
          <w:sz w:val="20"/>
          <w:szCs w:val="20"/>
        </w:rPr>
        <w:t>Los Autores</w:t>
      </w:r>
    </w:p>
    <w:p w:rsidR="009B1B70" w:rsidRDefault="009B1B70" w:rsidP="002F5B85">
      <w:pPr>
        <w:spacing w:line="480" w:lineRule="auto"/>
        <w:jc w:val="both"/>
      </w:pPr>
    </w:p>
    <w:p w:rsidR="00FA0BCD" w:rsidRPr="00C33653" w:rsidRDefault="00FA0BCD" w:rsidP="00FA0BCD">
      <w:pPr>
        <w:spacing w:line="480" w:lineRule="auto"/>
        <w:jc w:val="both"/>
        <w:rPr>
          <w:b/>
          <w:sz w:val="28"/>
          <w:szCs w:val="28"/>
        </w:rPr>
      </w:pPr>
      <w:r w:rsidRPr="0073469F">
        <w:rPr>
          <w:b/>
          <w:sz w:val="28"/>
          <w:szCs w:val="28"/>
        </w:rPr>
        <w:t>5.10.- Criterios de Evaluación de Proyectos</w:t>
      </w:r>
    </w:p>
    <w:p w:rsidR="00FA0BCD" w:rsidRDefault="00FA0BCD" w:rsidP="003108C5">
      <w:pPr>
        <w:spacing w:line="480" w:lineRule="auto"/>
        <w:jc w:val="both"/>
      </w:pPr>
    </w:p>
    <w:p w:rsidR="00B95DB0" w:rsidRPr="00B95DB0" w:rsidRDefault="00B95DB0" w:rsidP="00115804">
      <w:pPr>
        <w:spacing w:line="480" w:lineRule="auto"/>
        <w:ind w:firstLine="540"/>
        <w:jc w:val="both"/>
      </w:pPr>
      <w:r w:rsidRPr="00B95DB0">
        <w:t xml:space="preserve">Antes de calcular la tasa interna de retorno (TIR), el valor actual neto (VAN) y el periodo de recuperación de la inversión (Payback) del proyecto, se debe de estimar la tasa de descuento que representa la rentabilidad exigida para el proyecto, en base al riesgo en el cual se incurre al invertir en el mismo. </w:t>
      </w:r>
    </w:p>
    <w:p w:rsidR="00B95DB0" w:rsidRPr="00B95DB0" w:rsidRDefault="00B95DB0" w:rsidP="00B95DB0">
      <w:pPr>
        <w:spacing w:line="480" w:lineRule="auto"/>
        <w:jc w:val="both"/>
      </w:pPr>
    </w:p>
    <w:p w:rsidR="00B95DB0" w:rsidRPr="00B95DB0" w:rsidRDefault="00B95DB0" w:rsidP="00115804">
      <w:pPr>
        <w:spacing w:line="480" w:lineRule="auto"/>
        <w:ind w:firstLine="540"/>
        <w:jc w:val="both"/>
      </w:pPr>
      <w:r w:rsidRPr="00B95DB0">
        <w:t>Para ello se utilizará la siguiente ecuación:</w:t>
      </w:r>
    </w:p>
    <w:p w:rsidR="00B95DB0" w:rsidRPr="00B95DB0" w:rsidRDefault="00B95DB0" w:rsidP="00B95DB0">
      <w:pPr>
        <w:spacing w:line="480" w:lineRule="auto"/>
        <w:jc w:val="both"/>
      </w:pPr>
      <w:r w:rsidRPr="00B95DB0">
        <w:object w:dxaOrig="2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0pt" o:ole="">
            <v:imagedata r:id="rId7" o:title=""/>
          </v:shape>
          <o:OLEObject Type="Embed" ProgID="Equation.3" ShapeID="_x0000_i1025" DrawAspect="Content" ObjectID="_1319273715" r:id="rId8"/>
        </w:object>
      </w:r>
    </w:p>
    <w:p w:rsidR="00B95DB0" w:rsidRPr="00B95DB0" w:rsidRDefault="00B95DB0" w:rsidP="00B95DB0">
      <w:pPr>
        <w:spacing w:line="480" w:lineRule="auto"/>
        <w:jc w:val="both"/>
      </w:pPr>
    </w:p>
    <w:p w:rsidR="00B95DB0" w:rsidRPr="00B95DB0" w:rsidRDefault="00B95DB0" w:rsidP="00115804">
      <w:pPr>
        <w:spacing w:line="480" w:lineRule="auto"/>
        <w:ind w:firstLine="540"/>
        <w:jc w:val="both"/>
      </w:pPr>
      <w:r w:rsidRPr="00B95DB0">
        <w:t>Donde:</w:t>
      </w:r>
    </w:p>
    <w:p w:rsidR="00B95DB0" w:rsidRPr="00B95DB0" w:rsidRDefault="00B95DB0" w:rsidP="00B95DB0">
      <w:pPr>
        <w:spacing w:line="480" w:lineRule="auto"/>
        <w:jc w:val="both"/>
      </w:pPr>
      <w:r w:rsidRPr="00B95DB0">
        <w:object w:dxaOrig="220" w:dyaOrig="360">
          <v:shape id="_x0000_i1026" type="#_x0000_t75" style="width:18.75pt;height:30pt" o:ole="">
            <v:imagedata r:id="rId9" o:title=""/>
          </v:shape>
          <o:OLEObject Type="Embed" ProgID="Equation.3" ShapeID="_x0000_i1026" DrawAspect="Content" ObjectID="_1319273716" r:id="rId10"/>
        </w:object>
      </w:r>
      <w:r w:rsidRPr="00B95DB0">
        <w:t>: Rentabilidad exigida del capital propio</w:t>
      </w:r>
    </w:p>
    <w:p w:rsidR="00B95DB0" w:rsidRPr="00B95DB0" w:rsidRDefault="00B95DB0" w:rsidP="00B95DB0">
      <w:pPr>
        <w:spacing w:line="480" w:lineRule="auto"/>
        <w:jc w:val="both"/>
      </w:pPr>
      <w:r w:rsidRPr="00B95DB0">
        <w:object w:dxaOrig="240" w:dyaOrig="380">
          <v:shape id="_x0000_i1027" type="#_x0000_t75" style="width:18.75pt;height:30pt" o:ole="">
            <v:imagedata r:id="rId11" o:title=""/>
          </v:shape>
          <o:OLEObject Type="Embed" ProgID="Equation.3" ShapeID="_x0000_i1027" DrawAspect="Content" ObjectID="_1319273717" r:id="rId12"/>
        </w:object>
      </w:r>
      <w:r w:rsidRPr="00B95DB0">
        <w:t xml:space="preserve">: Tasa libre de riesgo </w:t>
      </w:r>
    </w:p>
    <w:p w:rsidR="00B95DB0" w:rsidRPr="00B95DB0" w:rsidRDefault="00B95DB0" w:rsidP="00B95DB0">
      <w:pPr>
        <w:spacing w:line="480" w:lineRule="auto"/>
        <w:jc w:val="both"/>
      </w:pPr>
      <w:r w:rsidRPr="00B95DB0">
        <w:object w:dxaOrig="380" w:dyaOrig="360">
          <v:shape id="_x0000_i1028" type="#_x0000_t75" style="width:27pt;height:26.25pt" o:ole="">
            <v:imagedata r:id="rId13" o:title=""/>
          </v:shape>
          <o:OLEObject Type="Embed" ProgID="Equation.3" ShapeID="_x0000_i1028" DrawAspect="Content" ObjectID="_1319273718" r:id="rId14"/>
        </w:object>
      </w:r>
      <w:r w:rsidRPr="00B95DB0">
        <w:t xml:space="preserve"> Tasa de rentabilidad del mercado</w:t>
      </w:r>
    </w:p>
    <w:p w:rsidR="00B95DB0" w:rsidRPr="00B95DB0" w:rsidRDefault="00B95DB0" w:rsidP="00B95DB0">
      <w:pPr>
        <w:spacing w:line="480" w:lineRule="auto"/>
        <w:jc w:val="both"/>
      </w:pPr>
      <w:r w:rsidRPr="00B95DB0">
        <w:object w:dxaOrig="240" w:dyaOrig="320">
          <v:shape id="_x0000_i1029" type="#_x0000_t75" style="width:15pt;height:19.5pt" o:ole="">
            <v:imagedata r:id="rId15" o:title=""/>
          </v:shape>
          <o:OLEObject Type="Embed" ProgID="Equation.3" ShapeID="_x0000_i1029" DrawAspect="Content" ObjectID="_1319273719" r:id="rId16"/>
        </w:object>
      </w:r>
      <w:r w:rsidRPr="00B95DB0">
        <w:t xml:space="preserve">: </w:t>
      </w:r>
      <w:smartTag w:uri="urn:schemas-microsoft-com:office:smarttags" w:element="PersonName">
        <w:smartTagPr>
          <w:attr w:name="ProductID" w:val="La Beta"/>
        </w:smartTagPr>
        <w:r w:rsidRPr="00B95DB0">
          <w:t>La Beta</w:t>
        </w:r>
      </w:smartTag>
      <w:r w:rsidRPr="00B95DB0">
        <w:t>, sensibilidad del activo con respecto al mercado</w:t>
      </w:r>
    </w:p>
    <w:p w:rsidR="00B95DB0" w:rsidRPr="00B95DB0" w:rsidRDefault="00B95DB0" w:rsidP="00B95DB0">
      <w:pPr>
        <w:spacing w:line="480" w:lineRule="auto"/>
        <w:jc w:val="both"/>
      </w:pPr>
      <w:r w:rsidRPr="00B95DB0">
        <w:object w:dxaOrig="660" w:dyaOrig="380">
          <v:shape id="_x0000_i1030" type="#_x0000_t75" style="width:49.5pt;height:28.5pt" o:ole="">
            <v:imagedata r:id="rId17" o:title=""/>
          </v:shape>
          <o:OLEObject Type="Embed" ProgID="Equation.3" ShapeID="_x0000_i1030" DrawAspect="Content" ObjectID="_1319273720" r:id="rId18"/>
        </w:object>
      </w:r>
      <w:r w:rsidRPr="00B95DB0">
        <w:t>: Riesgo país del Ecuador</w:t>
      </w:r>
    </w:p>
    <w:p w:rsidR="00B95DB0" w:rsidRPr="00B95DB0" w:rsidRDefault="00B95DB0" w:rsidP="00B95DB0">
      <w:pPr>
        <w:spacing w:line="480" w:lineRule="auto"/>
        <w:jc w:val="both"/>
      </w:pPr>
    </w:p>
    <w:p w:rsidR="00B95DB0" w:rsidRPr="00B95DB0" w:rsidRDefault="00B95DB0" w:rsidP="00115804">
      <w:pPr>
        <w:spacing w:line="480" w:lineRule="auto"/>
        <w:ind w:firstLine="540"/>
        <w:jc w:val="both"/>
      </w:pPr>
      <w:r w:rsidRPr="00B95DB0">
        <w:t>Dado que el CAPM es aplicable para mercados de capitales perfectos, como el caso de Estados Unidos, es necesario agregar el riesgo país del Ecuador, para obtener una tasa de retorno “</w:t>
      </w:r>
      <w:r w:rsidRPr="00B95DB0">
        <w:object w:dxaOrig="220" w:dyaOrig="360">
          <v:shape id="_x0000_i1031" type="#_x0000_t75" style="width:11.25pt;height:18pt" o:ole="">
            <v:imagedata r:id="rId19" o:title=""/>
          </v:shape>
          <o:OLEObject Type="Embed" ProgID="Equation.3" ShapeID="_x0000_i1031" DrawAspect="Content" ObjectID="_1319273721" r:id="rId20"/>
        </w:object>
      </w:r>
      <w:r w:rsidRPr="00B95DB0">
        <w:t xml:space="preserve">” acorde al nivel de riesgo existente.  </w:t>
      </w:r>
    </w:p>
    <w:p w:rsidR="00B95DB0" w:rsidRPr="00B95DB0" w:rsidRDefault="00B95DB0" w:rsidP="00B95DB0">
      <w:pPr>
        <w:spacing w:line="480" w:lineRule="auto"/>
        <w:jc w:val="both"/>
      </w:pPr>
    </w:p>
    <w:p w:rsidR="00B95DB0" w:rsidRPr="00B95DB0" w:rsidRDefault="00B95DB0" w:rsidP="00115804">
      <w:pPr>
        <w:spacing w:line="480" w:lineRule="auto"/>
        <w:ind w:firstLine="540"/>
        <w:jc w:val="both"/>
      </w:pPr>
      <w:r w:rsidRPr="00B95DB0">
        <w:t xml:space="preserve">Detallando más la fórmula del CAPM, se puede decir que, la tasa libre de riesgo viene representada por la tasa de retorno de los bonos del tesoro de los Estados Unidos (T-BONDS), mientras que la tasa de rentabilidad del mercado se deriva de la variación del precio del índice S&amp;P 500, finalmente el beta representa el riesgo del sector </w:t>
      </w:r>
      <w:r w:rsidR="0073469F">
        <w:t>de servicios</w:t>
      </w:r>
      <w:r w:rsidRPr="00B95DB0">
        <w:t xml:space="preserve"> en EE.UU.</w:t>
      </w:r>
    </w:p>
    <w:p w:rsidR="00B95DB0" w:rsidRPr="00B95DB0" w:rsidRDefault="00B95DB0" w:rsidP="00B95DB0">
      <w:pPr>
        <w:spacing w:line="480" w:lineRule="auto"/>
        <w:jc w:val="both"/>
      </w:pPr>
    </w:p>
    <w:p w:rsidR="00B95DB0" w:rsidRPr="00B95DB0" w:rsidRDefault="00B95DB0" w:rsidP="00115804">
      <w:pPr>
        <w:spacing w:line="480" w:lineRule="auto"/>
        <w:ind w:firstLine="540"/>
        <w:jc w:val="both"/>
      </w:pPr>
      <w:r w:rsidRPr="00B95DB0">
        <w:t>Reemplazando los datos:</w:t>
      </w:r>
    </w:p>
    <w:p w:rsidR="00B95DB0" w:rsidRPr="00B95DB0" w:rsidRDefault="00B95DB0" w:rsidP="00B95DB0">
      <w:pPr>
        <w:spacing w:line="480" w:lineRule="auto"/>
        <w:jc w:val="both"/>
      </w:pPr>
      <w:r w:rsidRPr="00B95DB0">
        <w:object w:dxaOrig="260" w:dyaOrig="340">
          <v:shape id="_x0000_i1032" type="#_x0000_t75" style="width:15pt;height:19.5pt" o:ole="">
            <v:imagedata r:id="rId21" o:title=""/>
          </v:shape>
          <o:OLEObject Type="Embed" ProgID="Equation.3" ShapeID="_x0000_i1032" DrawAspect="Content" ObjectID="_1319273722" r:id="rId22"/>
        </w:object>
      </w:r>
      <w:r w:rsidRPr="00B95DB0">
        <w:t xml:space="preserve"> = 5% anual</w:t>
      </w:r>
    </w:p>
    <w:p w:rsidR="00B95DB0" w:rsidRPr="00B95DB0" w:rsidRDefault="00B95DB0" w:rsidP="00B95DB0">
      <w:pPr>
        <w:spacing w:line="480" w:lineRule="auto"/>
        <w:jc w:val="both"/>
      </w:pPr>
      <w:r w:rsidRPr="00B95DB0">
        <w:object w:dxaOrig="260" w:dyaOrig="360">
          <v:shape id="_x0000_i1033" type="#_x0000_t75" style="width:20.25pt;height:28.5pt" o:ole="">
            <v:imagedata r:id="rId23" o:title=""/>
          </v:shape>
          <o:OLEObject Type="Embed" ProgID="Equation.3" ShapeID="_x0000_i1033" DrawAspect="Content" ObjectID="_1319273723" r:id="rId24"/>
        </w:object>
      </w:r>
      <w:r w:rsidRPr="00B95DB0">
        <w:t xml:space="preserve"> = 15% anual</w:t>
      </w:r>
    </w:p>
    <w:p w:rsidR="00B95DB0" w:rsidRPr="00B95DB0" w:rsidRDefault="00B95DB0" w:rsidP="00B95DB0">
      <w:pPr>
        <w:spacing w:line="480" w:lineRule="auto"/>
        <w:jc w:val="both"/>
      </w:pPr>
      <w:r w:rsidRPr="001C4825">
        <w:object w:dxaOrig="240" w:dyaOrig="320">
          <v:shape id="_x0000_i1034" type="#_x0000_t75" style="width:15pt;height:19.5pt" o:ole="">
            <v:imagedata r:id="rId15" o:title=""/>
          </v:shape>
          <o:OLEObject Type="Embed" ProgID="Equation.3" ShapeID="_x0000_i1034" DrawAspect="Content" ObjectID="_1319273724" r:id="rId25"/>
        </w:object>
      </w:r>
      <w:r w:rsidRPr="001C4825">
        <w:t xml:space="preserve"> = 1,75</w:t>
      </w:r>
    </w:p>
    <w:p w:rsidR="00B95DB0" w:rsidRPr="00B95DB0" w:rsidRDefault="00B95DB0" w:rsidP="00B95DB0">
      <w:pPr>
        <w:spacing w:line="480" w:lineRule="auto"/>
        <w:jc w:val="both"/>
      </w:pPr>
      <w:r w:rsidRPr="000F5242">
        <w:t>Riesgo País = 7</w:t>
      </w:r>
      <w:r w:rsidR="000F5242" w:rsidRPr="000F5242">
        <w:t>81</w:t>
      </w:r>
      <w:r w:rsidRPr="000F5242">
        <w:t xml:space="preserve"> Puntos básicos</w:t>
      </w:r>
    </w:p>
    <w:p w:rsidR="00B95DB0" w:rsidRPr="00B95DB0" w:rsidRDefault="00B95DB0" w:rsidP="00B95DB0">
      <w:pPr>
        <w:spacing w:line="480" w:lineRule="auto"/>
        <w:jc w:val="both"/>
      </w:pPr>
    </w:p>
    <w:p w:rsidR="00B95DB0" w:rsidRPr="00B95DB0" w:rsidRDefault="00B95DB0" w:rsidP="00115804">
      <w:pPr>
        <w:spacing w:line="480" w:lineRule="auto"/>
        <w:ind w:firstLine="540"/>
        <w:jc w:val="both"/>
      </w:pPr>
      <w:r w:rsidRPr="00B95DB0">
        <w:t>Se obtiene:</w:t>
      </w:r>
    </w:p>
    <w:p w:rsidR="00B95DB0" w:rsidRPr="00B95DB0" w:rsidRDefault="0094642F" w:rsidP="00B95DB0">
      <w:pPr>
        <w:spacing w:line="480" w:lineRule="auto"/>
        <w:jc w:val="both"/>
      </w:pPr>
      <w:r w:rsidRPr="000F5242">
        <w:rPr>
          <w:position w:val="-16"/>
        </w:rPr>
        <w:object w:dxaOrig="3019" w:dyaOrig="400">
          <v:shape id="_x0000_i1035" type="#_x0000_t75" style="width:192.75pt;height:26.25pt" o:ole="">
            <v:imagedata r:id="rId26" o:title=""/>
          </v:shape>
          <o:OLEObject Type="Embed" ProgID="Equation.3" ShapeID="_x0000_i1035" DrawAspect="Content" ObjectID="_1319273725" r:id="rId27"/>
        </w:object>
      </w:r>
    </w:p>
    <w:p w:rsidR="00B95DB0" w:rsidRPr="00B95DB0" w:rsidRDefault="00B95DB0" w:rsidP="00B95DB0">
      <w:pPr>
        <w:spacing w:line="480" w:lineRule="auto"/>
        <w:jc w:val="both"/>
      </w:pPr>
      <w:r w:rsidRPr="000F5242">
        <w:object w:dxaOrig="220" w:dyaOrig="360">
          <v:shape id="_x0000_i1036" type="#_x0000_t75" style="width:12.75pt;height:21pt" o:ole="">
            <v:imagedata r:id="rId28" o:title=""/>
          </v:shape>
          <o:OLEObject Type="Embed" ProgID="Equation.3" ShapeID="_x0000_i1036" DrawAspect="Content" ObjectID="_1319273726" r:id="rId29"/>
        </w:object>
      </w:r>
      <w:r w:rsidRPr="000F5242">
        <w:t xml:space="preserve"> = 30,</w:t>
      </w:r>
      <w:r w:rsidR="000F5242" w:rsidRPr="000F5242">
        <w:t>31</w:t>
      </w:r>
      <w:r w:rsidRPr="000F5242">
        <w:t>% anual</w:t>
      </w:r>
    </w:p>
    <w:p w:rsidR="00B95DB0" w:rsidRPr="00B95DB0" w:rsidRDefault="00B95DB0" w:rsidP="00B95DB0">
      <w:pPr>
        <w:spacing w:line="480" w:lineRule="auto"/>
        <w:jc w:val="both"/>
      </w:pPr>
    </w:p>
    <w:p w:rsidR="00B95DB0" w:rsidRPr="00B95DB0" w:rsidRDefault="00B95DB0" w:rsidP="00115804">
      <w:pPr>
        <w:spacing w:line="480" w:lineRule="auto"/>
        <w:ind w:firstLine="540"/>
        <w:jc w:val="both"/>
      </w:pPr>
      <w:r w:rsidRPr="00B95DB0">
        <w:t xml:space="preserve">Con la tasa de descuento estimada, se procede a calcular la tasa interna de retorno ofrecida por el proyecto (TIR), considerando los flujos de efectivo durante los </w:t>
      </w:r>
      <w:r w:rsidR="0073469F">
        <w:t>5</w:t>
      </w:r>
      <w:r w:rsidRPr="00B95DB0">
        <w:t xml:space="preserve"> años de vida del proyecto, se obtuvieron los siguientes resultados:</w:t>
      </w:r>
    </w:p>
    <w:p w:rsidR="00B95DB0" w:rsidRPr="00B95DB0" w:rsidRDefault="00B95DB0" w:rsidP="00B95DB0">
      <w:pPr>
        <w:spacing w:line="480" w:lineRule="auto"/>
        <w:jc w:val="both"/>
      </w:pPr>
    </w:p>
    <w:p w:rsidR="00B95DB0" w:rsidRPr="0094642F" w:rsidRDefault="00B95DB0" w:rsidP="00B95DB0">
      <w:pPr>
        <w:spacing w:line="480" w:lineRule="auto"/>
        <w:jc w:val="both"/>
      </w:pPr>
      <w:r w:rsidRPr="0094642F">
        <w:t xml:space="preserve">TIR = </w:t>
      </w:r>
      <w:r w:rsidR="0094642F" w:rsidRPr="0094642F">
        <w:t>9</w:t>
      </w:r>
      <w:r w:rsidR="00CE55C6">
        <w:t>6</w:t>
      </w:r>
      <w:r w:rsidR="0094642F" w:rsidRPr="0094642F">
        <w:t>.5</w:t>
      </w:r>
      <w:r w:rsidR="00E11049">
        <w:t>7</w:t>
      </w:r>
      <w:r w:rsidRPr="0094642F">
        <w:t>%</w:t>
      </w:r>
    </w:p>
    <w:p w:rsidR="00B95DB0" w:rsidRPr="00B95DB0" w:rsidRDefault="00B95DB0" w:rsidP="00B95DB0">
      <w:pPr>
        <w:spacing w:line="480" w:lineRule="auto"/>
        <w:jc w:val="both"/>
      </w:pPr>
      <w:r w:rsidRPr="0094642F">
        <w:t>VAN = $</w:t>
      </w:r>
      <w:r w:rsidR="00CE55C6">
        <w:t>53</w:t>
      </w:r>
      <w:r w:rsidR="0094642F" w:rsidRPr="0094642F">
        <w:t>,</w:t>
      </w:r>
      <w:r w:rsidR="00CE55C6">
        <w:t>359</w:t>
      </w:r>
      <w:r w:rsidR="0094642F" w:rsidRPr="0094642F">
        <w:t>.</w:t>
      </w:r>
      <w:r w:rsidR="00CE55C6">
        <w:t>53</w:t>
      </w:r>
      <w:r w:rsidRPr="00B95DB0">
        <w:t xml:space="preserve">  </w:t>
      </w:r>
    </w:p>
    <w:p w:rsidR="00B95DB0" w:rsidRPr="00B95DB0" w:rsidRDefault="00B95DB0" w:rsidP="00B95DB0">
      <w:pPr>
        <w:spacing w:line="480" w:lineRule="auto"/>
        <w:jc w:val="both"/>
      </w:pPr>
    </w:p>
    <w:p w:rsidR="00B95DB0" w:rsidRPr="00B95DB0" w:rsidRDefault="00B95DB0" w:rsidP="00115804">
      <w:pPr>
        <w:spacing w:line="480" w:lineRule="auto"/>
        <w:ind w:firstLine="540"/>
        <w:jc w:val="both"/>
      </w:pPr>
      <w:r w:rsidRPr="00B95DB0">
        <w:t xml:space="preserve">Como se puede apreciar, la tasa interna  de retorno es  mayor que la tasa de rentabilidad exigida para el proyecto, mientras  que el valor actual neto de los flujos descontados es mayor a cero; estos dos indicadores demuestran que el proyecto es económicamente factible. </w:t>
      </w:r>
    </w:p>
    <w:p w:rsidR="00B95DB0" w:rsidRPr="00B95DB0" w:rsidRDefault="00B95DB0" w:rsidP="00B95DB0">
      <w:pPr>
        <w:spacing w:line="480" w:lineRule="auto"/>
        <w:jc w:val="both"/>
      </w:pPr>
    </w:p>
    <w:p w:rsidR="00B95DB0" w:rsidRPr="00B95DB0" w:rsidRDefault="00B95DB0" w:rsidP="00115804">
      <w:pPr>
        <w:spacing w:line="480" w:lineRule="auto"/>
        <w:ind w:firstLine="540"/>
        <w:jc w:val="both"/>
      </w:pPr>
      <w:r w:rsidRPr="00B95DB0">
        <w:t xml:space="preserve">Por último, como se puede apreciar en </w:t>
      </w:r>
      <w:r w:rsidR="00CE55C6">
        <w:t>la tabla 9</w:t>
      </w:r>
      <w:r w:rsidRPr="00B95DB0">
        <w:t xml:space="preserve">, durante el transcurso del </w:t>
      </w:r>
      <w:r w:rsidR="0094642F">
        <w:t>segundo</w:t>
      </w:r>
      <w:r w:rsidRPr="00B95DB0">
        <w:t xml:space="preserve"> año, se recupera en su totalidad la inversión realizada tomando en cuenta la rentabilidad exigida al proyecto.</w:t>
      </w:r>
    </w:p>
    <w:p w:rsidR="00FA0BCD" w:rsidRDefault="00FA0BCD" w:rsidP="003108C5">
      <w:pPr>
        <w:spacing w:line="480" w:lineRule="auto"/>
        <w:jc w:val="both"/>
      </w:pPr>
    </w:p>
    <w:p w:rsidR="0073469F" w:rsidRDefault="0073469F" w:rsidP="003108C5">
      <w:pPr>
        <w:spacing w:line="480" w:lineRule="auto"/>
        <w:jc w:val="both"/>
      </w:pPr>
    </w:p>
    <w:p w:rsidR="0073469F" w:rsidRDefault="0073469F" w:rsidP="003108C5">
      <w:pPr>
        <w:spacing w:line="480" w:lineRule="auto"/>
        <w:jc w:val="both"/>
      </w:pPr>
    </w:p>
    <w:p w:rsidR="0073469F" w:rsidRDefault="0073469F" w:rsidP="003108C5">
      <w:pPr>
        <w:spacing w:line="480" w:lineRule="auto"/>
        <w:jc w:val="both"/>
      </w:pPr>
    </w:p>
    <w:p w:rsidR="00FA0BCD" w:rsidRDefault="00FA0BCD" w:rsidP="003108C5">
      <w:pPr>
        <w:spacing w:line="480" w:lineRule="auto"/>
        <w:jc w:val="both"/>
      </w:pPr>
    </w:p>
    <w:p w:rsidR="00FA0BCD" w:rsidRDefault="00FA0BCD" w:rsidP="003108C5">
      <w:pPr>
        <w:spacing w:line="480" w:lineRule="auto"/>
        <w:jc w:val="both"/>
      </w:pPr>
    </w:p>
    <w:p w:rsidR="007F5E3B" w:rsidRDefault="007F5E3B" w:rsidP="003108C5">
      <w:pPr>
        <w:spacing w:line="480" w:lineRule="auto"/>
        <w:jc w:val="both"/>
      </w:pPr>
    </w:p>
    <w:p w:rsidR="00A554DD" w:rsidRPr="00C33653" w:rsidRDefault="007E1D0E" w:rsidP="00A554DD">
      <w:pPr>
        <w:spacing w:line="480" w:lineRule="auto"/>
        <w:jc w:val="both"/>
        <w:rPr>
          <w:b/>
          <w:sz w:val="28"/>
          <w:szCs w:val="28"/>
        </w:rPr>
      </w:pPr>
      <w:r w:rsidRPr="00B13A3D">
        <w:rPr>
          <w:b/>
          <w:sz w:val="28"/>
          <w:szCs w:val="28"/>
        </w:rPr>
        <w:t>5</w:t>
      </w:r>
      <w:r w:rsidR="00A554DD" w:rsidRPr="00B13A3D">
        <w:rPr>
          <w:b/>
          <w:sz w:val="28"/>
          <w:szCs w:val="28"/>
        </w:rPr>
        <w:t>.</w:t>
      </w:r>
      <w:r w:rsidR="0004177A">
        <w:rPr>
          <w:b/>
          <w:sz w:val="28"/>
          <w:szCs w:val="28"/>
        </w:rPr>
        <w:t>1</w:t>
      </w:r>
      <w:r w:rsidR="00FA0BCD">
        <w:rPr>
          <w:b/>
          <w:sz w:val="28"/>
          <w:szCs w:val="28"/>
        </w:rPr>
        <w:t>1</w:t>
      </w:r>
      <w:r w:rsidR="00A554DD" w:rsidRPr="00B13A3D">
        <w:rPr>
          <w:b/>
          <w:sz w:val="28"/>
          <w:szCs w:val="28"/>
        </w:rPr>
        <w:t xml:space="preserve">.- </w:t>
      </w:r>
      <w:r w:rsidRPr="00B13A3D">
        <w:rPr>
          <w:b/>
          <w:sz w:val="28"/>
          <w:szCs w:val="28"/>
        </w:rPr>
        <w:t>Análisis de Sensibilidad</w:t>
      </w:r>
    </w:p>
    <w:p w:rsidR="00A554DD" w:rsidRPr="00565EBD" w:rsidRDefault="00A554DD" w:rsidP="00A554DD">
      <w:pPr>
        <w:spacing w:line="480" w:lineRule="auto"/>
        <w:jc w:val="both"/>
        <w:rPr>
          <w:b/>
        </w:rPr>
      </w:pPr>
    </w:p>
    <w:p w:rsidR="00A554DD" w:rsidRDefault="006F2BCF" w:rsidP="00115804">
      <w:pPr>
        <w:spacing w:line="480" w:lineRule="auto"/>
        <w:ind w:firstLine="540"/>
        <w:jc w:val="both"/>
      </w:pPr>
      <w:r>
        <w:t>El análisis de sensibilidad permite medir cuán sensible es la evaluación realizada a variaciones en uno o más parámetros decisorios. Básicamente, la sensibilización se realiza para evidenciar la marginalidad de un proyecto, para indicar su grado de riesgo o para incorporar valores no cuantificados.</w:t>
      </w:r>
    </w:p>
    <w:p w:rsidR="006F2BCF" w:rsidRDefault="006F2BCF" w:rsidP="00A554DD">
      <w:pPr>
        <w:spacing w:line="480" w:lineRule="auto"/>
        <w:jc w:val="both"/>
      </w:pPr>
    </w:p>
    <w:p w:rsidR="004A679E" w:rsidRDefault="004A679E" w:rsidP="00115804">
      <w:pPr>
        <w:spacing w:line="480" w:lineRule="auto"/>
        <w:ind w:firstLine="540"/>
        <w:jc w:val="both"/>
      </w:pPr>
      <w:r>
        <w:t>Determinar la marginalidad de un proyecto es relevante, puesto que el monto del VAN calculado no representa una medida suficiente para calcular la proporcionalidad de los beneficios y costos del proyecto. El análisis de sensibilidad muestra cuán cerca del margen se encuentra el resultado del proyecto al permitir conocer si un cambio porcentual muy pequeño en la cantidad o precio de un producto hace negativo el VAN calculado. Si así fuese, el proyecto sería claramente marginal.</w:t>
      </w:r>
      <w:r w:rsidR="0004110F">
        <w:t xml:space="preserve"> </w:t>
      </w:r>
      <w:r w:rsidR="0033510F">
        <w:t>Teóricamente no es importante conocer la marginalidad de un proyecto si no existe incertidumbre. Sin embargo, al ser el flujo de caja, sobre el que se basa a evaluación, el resultado de innumerables estimaciones acerca del futuro, siempre será necesaria su sensibilización.</w:t>
      </w:r>
    </w:p>
    <w:p w:rsidR="0033510F" w:rsidRDefault="0033510F" w:rsidP="00A554DD">
      <w:pPr>
        <w:spacing w:line="480" w:lineRule="auto"/>
        <w:jc w:val="both"/>
      </w:pPr>
    </w:p>
    <w:p w:rsidR="0033510F" w:rsidRDefault="00014F4A" w:rsidP="00115804">
      <w:pPr>
        <w:spacing w:line="480" w:lineRule="auto"/>
        <w:ind w:firstLine="540"/>
        <w:jc w:val="both"/>
      </w:pPr>
      <w:r>
        <w:t xml:space="preserve">De aquí se desprende cómo se puede emplear este análisis para ilustrar lo riesgoso que puede ser un proyecto. Si se determina que le valor asignado a una variable es muy incierto, se precisa la sensibilización del proyecto a los valores probables a esa variable. Si el resultado es muy sensible a esos cambios, el proyecto es riesgoso. </w:t>
      </w:r>
    </w:p>
    <w:p w:rsidR="00115804" w:rsidRDefault="00115804" w:rsidP="00115804">
      <w:pPr>
        <w:spacing w:line="480" w:lineRule="auto"/>
        <w:ind w:firstLine="540"/>
        <w:jc w:val="both"/>
      </w:pPr>
    </w:p>
    <w:p w:rsidR="00B938FF" w:rsidRDefault="00B938FF" w:rsidP="00115804">
      <w:pPr>
        <w:spacing w:line="480" w:lineRule="auto"/>
        <w:ind w:firstLine="540"/>
        <w:jc w:val="both"/>
      </w:pPr>
      <w:r>
        <w:t>El análisis de sensibilidad, en estos términos, es útil para decidir cuál variable deber ser estudiada a profundidad y cuál no. En general, mientras mayor sea un valor y más cercano esté el periodo cero en el tiempo, más sensible es el resultado a toda variación porcentual en la estimación.</w:t>
      </w:r>
    </w:p>
    <w:p w:rsidR="00B938FF" w:rsidRDefault="00B938FF" w:rsidP="00B938FF">
      <w:pPr>
        <w:spacing w:line="480" w:lineRule="auto"/>
        <w:jc w:val="both"/>
      </w:pPr>
    </w:p>
    <w:p w:rsidR="00B938FF" w:rsidRPr="004D468B" w:rsidRDefault="00B13A3D" w:rsidP="00B938FF">
      <w:pPr>
        <w:spacing w:line="480" w:lineRule="auto"/>
        <w:jc w:val="center"/>
        <w:rPr>
          <w:b/>
        </w:rPr>
      </w:pPr>
      <w:r w:rsidRPr="00753C40">
        <w:rPr>
          <w:b/>
        </w:rPr>
        <w:t>Tabla</w:t>
      </w:r>
      <w:r w:rsidR="00B938FF" w:rsidRPr="00753C40">
        <w:rPr>
          <w:b/>
        </w:rPr>
        <w:t xml:space="preserve"> No. </w:t>
      </w:r>
      <w:r w:rsidR="00313744" w:rsidRPr="00753C40">
        <w:rPr>
          <w:b/>
        </w:rPr>
        <w:t>9</w:t>
      </w:r>
    </w:p>
    <w:p w:rsidR="00B938FF" w:rsidRDefault="00B938FF" w:rsidP="00B938FF">
      <w:pPr>
        <w:spacing w:line="480" w:lineRule="auto"/>
        <w:jc w:val="center"/>
        <w:rPr>
          <w:b/>
          <w:i/>
        </w:rPr>
      </w:pPr>
      <w:r>
        <w:rPr>
          <w:b/>
          <w:i/>
        </w:rPr>
        <w:t>Análisis de Sensibilidad</w:t>
      </w:r>
    </w:p>
    <w:tbl>
      <w:tblPr>
        <w:tblW w:w="8100" w:type="dxa"/>
        <w:jc w:val="center"/>
        <w:tblInd w:w="47" w:type="dxa"/>
        <w:tblCellMar>
          <w:left w:w="70" w:type="dxa"/>
          <w:right w:w="70" w:type="dxa"/>
        </w:tblCellMar>
        <w:tblLook w:val="0000"/>
      </w:tblPr>
      <w:tblGrid>
        <w:gridCol w:w="288"/>
        <w:gridCol w:w="2196"/>
        <w:gridCol w:w="1776"/>
        <w:gridCol w:w="1776"/>
        <w:gridCol w:w="1776"/>
        <w:gridCol w:w="288"/>
      </w:tblGrid>
      <w:tr w:rsidR="00753C40">
        <w:trPr>
          <w:trHeight w:val="225"/>
          <w:jc w:val="center"/>
        </w:trPr>
        <w:tc>
          <w:tcPr>
            <w:tcW w:w="288" w:type="dxa"/>
            <w:tcBorders>
              <w:top w:val="double" w:sz="6" w:space="0" w:color="auto"/>
              <w:left w:val="double" w:sz="6" w:space="0" w:color="auto"/>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2196" w:type="dxa"/>
            <w:tcBorders>
              <w:top w:val="double" w:sz="6" w:space="0" w:color="auto"/>
              <w:left w:val="nil"/>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1776" w:type="dxa"/>
            <w:tcBorders>
              <w:top w:val="double" w:sz="6" w:space="0" w:color="auto"/>
              <w:left w:val="nil"/>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1776" w:type="dxa"/>
            <w:tcBorders>
              <w:top w:val="double" w:sz="6" w:space="0" w:color="auto"/>
              <w:left w:val="nil"/>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1776" w:type="dxa"/>
            <w:tcBorders>
              <w:top w:val="double" w:sz="6" w:space="0" w:color="auto"/>
              <w:left w:val="nil"/>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288" w:type="dxa"/>
            <w:tcBorders>
              <w:top w:val="double" w:sz="6" w:space="0" w:color="auto"/>
              <w:left w:val="nil"/>
              <w:bottom w:val="nil"/>
              <w:right w:val="double" w:sz="6" w:space="0" w:color="auto"/>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r>
      <w:tr w:rsidR="00753C40">
        <w:trPr>
          <w:trHeight w:val="210"/>
          <w:jc w:val="center"/>
        </w:trPr>
        <w:tc>
          <w:tcPr>
            <w:tcW w:w="288" w:type="dxa"/>
            <w:tcBorders>
              <w:top w:val="nil"/>
              <w:left w:val="double" w:sz="6" w:space="0" w:color="auto"/>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5748" w:type="dxa"/>
            <w:gridSpan w:val="3"/>
            <w:tcBorders>
              <w:top w:val="nil"/>
              <w:left w:val="nil"/>
              <w:bottom w:val="nil"/>
              <w:right w:val="nil"/>
            </w:tcBorders>
            <w:shd w:val="clear" w:color="auto" w:fill="FFFFFF"/>
            <w:noWrap/>
            <w:vAlign w:val="bottom"/>
          </w:tcPr>
          <w:p w:rsidR="00753C40" w:rsidRDefault="00753C40">
            <w:pPr>
              <w:rPr>
                <w:rFonts w:ascii="Verdana" w:hAnsi="Verdana" w:cs="Arial"/>
                <w:b/>
                <w:bCs/>
                <w:sz w:val="16"/>
                <w:szCs w:val="16"/>
              </w:rPr>
            </w:pPr>
            <w:r>
              <w:rPr>
                <w:rFonts w:ascii="Verdana" w:hAnsi="Verdana" w:cs="Arial"/>
                <w:b/>
                <w:bCs/>
                <w:sz w:val="16"/>
                <w:szCs w:val="16"/>
              </w:rPr>
              <w:t>CON UNA VARIABLE: VARIACIÓN DEL INGRESO</w:t>
            </w:r>
          </w:p>
        </w:tc>
        <w:tc>
          <w:tcPr>
            <w:tcW w:w="1776" w:type="dxa"/>
            <w:tcBorders>
              <w:top w:val="nil"/>
              <w:left w:val="nil"/>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288" w:type="dxa"/>
            <w:tcBorders>
              <w:top w:val="nil"/>
              <w:left w:val="nil"/>
              <w:bottom w:val="nil"/>
              <w:right w:val="double" w:sz="6" w:space="0" w:color="auto"/>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r>
      <w:tr w:rsidR="00753C40">
        <w:trPr>
          <w:trHeight w:val="210"/>
          <w:jc w:val="center"/>
        </w:trPr>
        <w:tc>
          <w:tcPr>
            <w:tcW w:w="288" w:type="dxa"/>
            <w:tcBorders>
              <w:top w:val="nil"/>
              <w:left w:val="double" w:sz="6" w:space="0" w:color="auto"/>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2196" w:type="dxa"/>
            <w:tcBorders>
              <w:top w:val="nil"/>
              <w:left w:val="nil"/>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288" w:type="dxa"/>
            <w:tcBorders>
              <w:top w:val="nil"/>
              <w:left w:val="nil"/>
              <w:bottom w:val="nil"/>
              <w:right w:val="double" w:sz="6" w:space="0" w:color="auto"/>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r>
      <w:tr w:rsidR="00753C40">
        <w:trPr>
          <w:trHeight w:val="210"/>
          <w:jc w:val="center"/>
        </w:trPr>
        <w:tc>
          <w:tcPr>
            <w:tcW w:w="288" w:type="dxa"/>
            <w:tcBorders>
              <w:top w:val="nil"/>
              <w:left w:val="double" w:sz="6" w:space="0" w:color="auto"/>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2196" w:type="dxa"/>
            <w:tcBorders>
              <w:top w:val="nil"/>
              <w:left w:val="nil"/>
              <w:bottom w:val="nil"/>
              <w:right w:val="nil"/>
            </w:tcBorders>
            <w:shd w:val="clear" w:color="auto" w:fill="C0C0C0"/>
            <w:noWrap/>
            <w:vAlign w:val="bottom"/>
          </w:tcPr>
          <w:p w:rsidR="00753C40" w:rsidRDefault="00753C40">
            <w:pPr>
              <w:rPr>
                <w:rFonts w:ascii="Verdana" w:hAnsi="Verdana" w:cs="Arial"/>
                <w:b/>
                <w:bCs/>
                <w:sz w:val="16"/>
                <w:szCs w:val="16"/>
              </w:rPr>
            </w:pPr>
            <w:r>
              <w:rPr>
                <w:rFonts w:ascii="Verdana" w:hAnsi="Verdana" w:cs="Arial"/>
                <w:b/>
                <w:bCs/>
                <w:sz w:val="16"/>
                <w:szCs w:val="16"/>
              </w:rPr>
              <w:t>Variación del Ingreso</w:t>
            </w:r>
          </w:p>
        </w:tc>
        <w:tc>
          <w:tcPr>
            <w:tcW w:w="1776" w:type="dxa"/>
            <w:tcBorders>
              <w:top w:val="nil"/>
              <w:left w:val="nil"/>
              <w:bottom w:val="nil"/>
              <w:right w:val="nil"/>
            </w:tcBorders>
            <w:shd w:val="clear" w:color="auto" w:fill="C0C0C0"/>
            <w:noWrap/>
            <w:vAlign w:val="bottom"/>
          </w:tcPr>
          <w:p w:rsidR="00753C40" w:rsidRDefault="00753C40">
            <w:pPr>
              <w:jc w:val="center"/>
              <w:rPr>
                <w:rFonts w:ascii="Verdana" w:hAnsi="Verdana" w:cs="Arial"/>
                <w:b/>
                <w:bCs/>
                <w:sz w:val="16"/>
                <w:szCs w:val="16"/>
              </w:rPr>
            </w:pPr>
            <w:r>
              <w:rPr>
                <w:rFonts w:ascii="Verdana" w:hAnsi="Verdana" w:cs="Arial"/>
                <w:b/>
                <w:bCs/>
                <w:sz w:val="16"/>
                <w:szCs w:val="16"/>
              </w:rPr>
              <w:t>TIR</w:t>
            </w:r>
          </w:p>
        </w:tc>
        <w:tc>
          <w:tcPr>
            <w:tcW w:w="1776" w:type="dxa"/>
            <w:tcBorders>
              <w:top w:val="nil"/>
              <w:left w:val="nil"/>
              <w:bottom w:val="nil"/>
              <w:right w:val="nil"/>
            </w:tcBorders>
            <w:shd w:val="clear" w:color="auto" w:fill="C0C0C0"/>
            <w:noWrap/>
            <w:vAlign w:val="bottom"/>
          </w:tcPr>
          <w:p w:rsidR="00753C40" w:rsidRDefault="00753C40">
            <w:pPr>
              <w:jc w:val="center"/>
              <w:rPr>
                <w:rFonts w:ascii="Verdana" w:hAnsi="Verdana" w:cs="Arial"/>
                <w:b/>
                <w:bCs/>
                <w:sz w:val="16"/>
                <w:szCs w:val="16"/>
              </w:rPr>
            </w:pPr>
            <w:r>
              <w:rPr>
                <w:rFonts w:ascii="Verdana" w:hAnsi="Verdana" w:cs="Arial"/>
                <w:b/>
                <w:bCs/>
                <w:sz w:val="16"/>
                <w:szCs w:val="16"/>
              </w:rPr>
              <w:t>Recuperación</w:t>
            </w:r>
          </w:p>
        </w:tc>
        <w:tc>
          <w:tcPr>
            <w:tcW w:w="1776" w:type="dxa"/>
            <w:tcBorders>
              <w:top w:val="nil"/>
              <w:left w:val="nil"/>
              <w:bottom w:val="nil"/>
              <w:right w:val="nil"/>
            </w:tcBorders>
            <w:shd w:val="clear" w:color="auto" w:fill="C0C0C0"/>
            <w:noWrap/>
            <w:vAlign w:val="bottom"/>
          </w:tcPr>
          <w:p w:rsidR="00753C40" w:rsidRDefault="0067684F">
            <w:pPr>
              <w:jc w:val="center"/>
              <w:rPr>
                <w:rFonts w:ascii="Verdana" w:hAnsi="Verdana" w:cs="Arial"/>
                <w:b/>
                <w:bCs/>
                <w:sz w:val="16"/>
                <w:szCs w:val="16"/>
              </w:rPr>
            </w:pPr>
            <w:r>
              <w:rPr>
                <w:rFonts w:ascii="Verdana" w:hAnsi="Verdana" w:cs="Arial"/>
                <w:b/>
                <w:bCs/>
                <w:sz w:val="16"/>
                <w:szCs w:val="16"/>
              </w:rPr>
              <w:t>VAN</w:t>
            </w:r>
          </w:p>
        </w:tc>
        <w:tc>
          <w:tcPr>
            <w:tcW w:w="288" w:type="dxa"/>
            <w:tcBorders>
              <w:top w:val="nil"/>
              <w:left w:val="nil"/>
              <w:bottom w:val="nil"/>
              <w:right w:val="double" w:sz="6" w:space="0" w:color="auto"/>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r>
      <w:tr w:rsidR="00753C40">
        <w:trPr>
          <w:trHeight w:val="210"/>
          <w:jc w:val="center"/>
        </w:trPr>
        <w:tc>
          <w:tcPr>
            <w:tcW w:w="288" w:type="dxa"/>
            <w:tcBorders>
              <w:top w:val="nil"/>
              <w:left w:val="double" w:sz="6" w:space="0" w:color="auto"/>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2196" w:type="dxa"/>
            <w:tcBorders>
              <w:top w:val="nil"/>
              <w:left w:val="nil"/>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288" w:type="dxa"/>
            <w:tcBorders>
              <w:top w:val="nil"/>
              <w:left w:val="nil"/>
              <w:bottom w:val="nil"/>
              <w:right w:val="double" w:sz="6" w:space="0" w:color="auto"/>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r>
      <w:tr w:rsidR="005C280F">
        <w:trPr>
          <w:trHeight w:val="210"/>
          <w:jc w:val="center"/>
        </w:trPr>
        <w:tc>
          <w:tcPr>
            <w:tcW w:w="288" w:type="dxa"/>
            <w:tcBorders>
              <w:top w:val="nil"/>
              <w:left w:val="double" w:sz="6" w:space="0" w:color="auto"/>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196" w:type="dxa"/>
            <w:tcBorders>
              <w:top w:val="nil"/>
              <w:left w:val="nil"/>
              <w:bottom w:val="nil"/>
              <w:right w:val="nil"/>
            </w:tcBorders>
            <w:shd w:val="clear" w:color="auto" w:fill="C0C0C0"/>
            <w:noWrap/>
            <w:vAlign w:val="bottom"/>
          </w:tcPr>
          <w:p w:rsidR="005C280F" w:rsidRDefault="005C280F">
            <w:pPr>
              <w:jc w:val="center"/>
              <w:rPr>
                <w:rFonts w:ascii="Verdana" w:hAnsi="Verdana" w:cs="Arial"/>
                <w:sz w:val="16"/>
                <w:szCs w:val="16"/>
              </w:rPr>
            </w:pPr>
            <w:r>
              <w:rPr>
                <w:rFonts w:ascii="Verdana" w:hAnsi="Verdana" w:cs="Arial"/>
                <w:sz w:val="16"/>
                <w:szCs w:val="16"/>
              </w:rPr>
              <w:t>-75%</w:t>
            </w:r>
          </w:p>
        </w:tc>
        <w:tc>
          <w:tcPr>
            <w:tcW w:w="1776" w:type="dxa"/>
            <w:tcBorders>
              <w:top w:val="nil"/>
              <w:left w:val="nil"/>
              <w:bottom w:val="nil"/>
              <w:right w:val="nil"/>
            </w:tcBorders>
            <w:shd w:val="clear" w:color="auto" w:fill="C0C0C0"/>
            <w:noWrap/>
            <w:vAlign w:val="bottom"/>
          </w:tcPr>
          <w:p w:rsidR="005C280F" w:rsidRDefault="005C280F">
            <w:pPr>
              <w:jc w:val="center"/>
              <w:rPr>
                <w:rFonts w:ascii="Verdana" w:hAnsi="Verdana" w:cs="Arial"/>
                <w:sz w:val="16"/>
                <w:szCs w:val="16"/>
              </w:rPr>
            </w:pPr>
            <w:r>
              <w:rPr>
                <w:rFonts w:ascii="Verdana" w:hAnsi="Verdana" w:cs="Arial"/>
                <w:sz w:val="16"/>
                <w:szCs w:val="16"/>
              </w:rPr>
              <w:t>2</w:t>
            </w:r>
            <w:r w:rsidR="00061725">
              <w:rPr>
                <w:rFonts w:ascii="Verdana" w:hAnsi="Verdana" w:cs="Arial"/>
                <w:sz w:val="16"/>
                <w:szCs w:val="16"/>
              </w:rPr>
              <w:t>4</w:t>
            </w:r>
            <w:r>
              <w:rPr>
                <w:rFonts w:ascii="Verdana" w:hAnsi="Verdana" w:cs="Arial"/>
                <w:sz w:val="16"/>
                <w:szCs w:val="16"/>
              </w:rPr>
              <w:t>,</w:t>
            </w:r>
            <w:r w:rsidR="00061725">
              <w:rPr>
                <w:rFonts w:ascii="Verdana" w:hAnsi="Verdana" w:cs="Arial"/>
                <w:sz w:val="16"/>
                <w:szCs w:val="16"/>
              </w:rPr>
              <w:t>62</w:t>
            </w:r>
            <w:r>
              <w:rPr>
                <w:rFonts w:ascii="Verdana" w:hAnsi="Verdana" w:cs="Arial"/>
                <w:sz w:val="16"/>
                <w:szCs w:val="16"/>
              </w:rPr>
              <w:t>%</w:t>
            </w:r>
          </w:p>
        </w:tc>
        <w:tc>
          <w:tcPr>
            <w:tcW w:w="1776" w:type="dxa"/>
            <w:tcBorders>
              <w:top w:val="nil"/>
              <w:left w:val="nil"/>
              <w:bottom w:val="nil"/>
              <w:right w:val="nil"/>
            </w:tcBorders>
            <w:shd w:val="clear" w:color="auto" w:fill="C0C0C0"/>
            <w:noWrap/>
            <w:vAlign w:val="bottom"/>
          </w:tcPr>
          <w:p w:rsidR="005C280F" w:rsidRDefault="005C280F">
            <w:pPr>
              <w:jc w:val="center"/>
              <w:rPr>
                <w:rFonts w:ascii="Verdana" w:hAnsi="Verdana" w:cs="Arial"/>
                <w:sz w:val="16"/>
                <w:szCs w:val="16"/>
              </w:rPr>
            </w:pPr>
            <w:r>
              <w:rPr>
                <w:rFonts w:ascii="Verdana" w:hAnsi="Verdana" w:cs="Arial"/>
                <w:sz w:val="16"/>
                <w:szCs w:val="16"/>
              </w:rPr>
              <w:t>3,3</w:t>
            </w:r>
          </w:p>
        </w:tc>
        <w:tc>
          <w:tcPr>
            <w:tcW w:w="1776" w:type="dxa"/>
            <w:tcBorders>
              <w:top w:val="nil"/>
              <w:left w:val="nil"/>
              <w:bottom w:val="nil"/>
              <w:right w:val="nil"/>
            </w:tcBorders>
            <w:shd w:val="clear" w:color="auto" w:fill="C0C0C0"/>
            <w:noWrap/>
            <w:vAlign w:val="bottom"/>
          </w:tcPr>
          <w:p w:rsidR="005C280F" w:rsidRDefault="00061725">
            <w:pPr>
              <w:jc w:val="right"/>
              <w:rPr>
                <w:rFonts w:ascii="Verdana" w:hAnsi="Verdana" w:cs="Arial"/>
                <w:sz w:val="16"/>
                <w:szCs w:val="16"/>
              </w:rPr>
            </w:pPr>
            <w:r>
              <w:rPr>
                <w:rFonts w:ascii="Verdana" w:hAnsi="Verdana" w:cs="Arial"/>
                <w:sz w:val="16"/>
                <w:szCs w:val="16"/>
              </w:rPr>
              <w:t>$ 2</w:t>
            </w:r>
            <w:r w:rsidR="005C280F">
              <w:rPr>
                <w:rFonts w:ascii="Verdana" w:hAnsi="Verdana" w:cs="Arial"/>
                <w:sz w:val="16"/>
                <w:szCs w:val="16"/>
              </w:rPr>
              <w:t>.0</w:t>
            </w:r>
            <w:r>
              <w:rPr>
                <w:rFonts w:ascii="Verdana" w:hAnsi="Verdana" w:cs="Arial"/>
                <w:sz w:val="16"/>
                <w:szCs w:val="16"/>
              </w:rPr>
              <w:t>89,88</w:t>
            </w:r>
          </w:p>
        </w:tc>
        <w:tc>
          <w:tcPr>
            <w:tcW w:w="288" w:type="dxa"/>
            <w:tcBorders>
              <w:top w:val="nil"/>
              <w:left w:val="nil"/>
              <w:bottom w:val="nil"/>
              <w:right w:val="double" w:sz="6" w:space="0" w:color="auto"/>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r>
      <w:tr w:rsidR="005C280F">
        <w:trPr>
          <w:trHeight w:val="210"/>
          <w:jc w:val="center"/>
        </w:trPr>
        <w:tc>
          <w:tcPr>
            <w:tcW w:w="288" w:type="dxa"/>
            <w:tcBorders>
              <w:top w:val="nil"/>
              <w:left w:val="double" w:sz="6" w:space="0" w:color="auto"/>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19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88" w:type="dxa"/>
            <w:tcBorders>
              <w:top w:val="nil"/>
              <w:left w:val="nil"/>
              <w:bottom w:val="nil"/>
              <w:right w:val="double" w:sz="6" w:space="0" w:color="auto"/>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r>
      <w:tr w:rsidR="005C280F">
        <w:trPr>
          <w:trHeight w:val="210"/>
          <w:jc w:val="center"/>
        </w:trPr>
        <w:tc>
          <w:tcPr>
            <w:tcW w:w="288" w:type="dxa"/>
            <w:tcBorders>
              <w:top w:val="nil"/>
              <w:left w:val="double" w:sz="6" w:space="0" w:color="auto"/>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196" w:type="dxa"/>
            <w:tcBorders>
              <w:top w:val="nil"/>
              <w:left w:val="nil"/>
              <w:bottom w:val="nil"/>
              <w:right w:val="nil"/>
            </w:tcBorders>
            <w:shd w:val="clear" w:color="auto" w:fill="C0C0C0"/>
            <w:noWrap/>
            <w:vAlign w:val="bottom"/>
          </w:tcPr>
          <w:p w:rsidR="005C280F" w:rsidRDefault="005C280F">
            <w:pPr>
              <w:jc w:val="center"/>
              <w:rPr>
                <w:rFonts w:ascii="Verdana" w:hAnsi="Verdana" w:cs="Arial"/>
                <w:sz w:val="16"/>
                <w:szCs w:val="16"/>
              </w:rPr>
            </w:pPr>
            <w:r>
              <w:rPr>
                <w:rFonts w:ascii="Verdana" w:hAnsi="Verdana" w:cs="Arial"/>
                <w:sz w:val="16"/>
                <w:szCs w:val="16"/>
              </w:rPr>
              <w:t>-50%</w:t>
            </w:r>
          </w:p>
        </w:tc>
        <w:tc>
          <w:tcPr>
            <w:tcW w:w="1776" w:type="dxa"/>
            <w:tcBorders>
              <w:top w:val="nil"/>
              <w:left w:val="nil"/>
              <w:bottom w:val="nil"/>
              <w:right w:val="nil"/>
            </w:tcBorders>
            <w:shd w:val="clear" w:color="auto" w:fill="C0C0C0"/>
            <w:noWrap/>
            <w:vAlign w:val="bottom"/>
          </w:tcPr>
          <w:p w:rsidR="005C280F" w:rsidRDefault="00061725">
            <w:pPr>
              <w:jc w:val="center"/>
              <w:rPr>
                <w:rFonts w:ascii="Verdana" w:hAnsi="Verdana" w:cs="Arial"/>
                <w:sz w:val="16"/>
                <w:szCs w:val="16"/>
              </w:rPr>
            </w:pPr>
            <w:r>
              <w:rPr>
                <w:rFonts w:ascii="Verdana" w:hAnsi="Verdana" w:cs="Arial"/>
                <w:sz w:val="16"/>
                <w:szCs w:val="16"/>
              </w:rPr>
              <w:t>54</w:t>
            </w:r>
            <w:r w:rsidR="005C280F">
              <w:rPr>
                <w:rFonts w:ascii="Verdana" w:hAnsi="Verdana" w:cs="Arial"/>
                <w:sz w:val="16"/>
                <w:szCs w:val="16"/>
              </w:rPr>
              <w:t>,</w:t>
            </w:r>
            <w:r>
              <w:rPr>
                <w:rFonts w:ascii="Verdana" w:hAnsi="Verdana" w:cs="Arial"/>
                <w:sz w:val="16"/>
                <w:szCs w:val="16"/>
              </w:rPr>
              <w:t>28</w:t>
            </w:r>
            <w:r w:rsidR="005C280F">
              <w:rPr>
                <w:rFonts w:ascii="Verdana" w:hAnsi="Verdana" w:cs="Arial"/>
                <w:sz w:val="16"/>
                <w:szCs w:val="16"/>
              </w:rPr>
              <w:t>%</w:t>
            </w:r>
          </w:p>
        </w:tc>
        <w:tc>
          <w:tcPr>
            <w:tcW w:w="1776" w:type="dxa"/>
            <w:tcBorders>
              <w:top w:val="nil"/>
              <w:left w:val="nil"/>
              <w:bottom w:val="nil"/>
              <w:right w:val="nil"/>
            </w:tcBorders>
            <w:shd w:val="clear" w:color="auto" w:fill="C0C0C0"/>
            <w:noWrap/>
            <w:vAlign w:val="bottom"/>
          </w:tcPr>
          <w:p w:rsidR="005C280F" w:rsidRDefault="00061725">
            <w:pPr>
              <w:jc w:val="center"/>
              <w:rPr>
                <w:rFonts w:ascii="Verdana" w:hAnsi="Verdana" w:cs="Arial"/>
                <w:sz w:val="16"/>
                <w:szCs w:val="16"/>
              </w:rPr>
            </w:pPr>
            <w:r>
              <w:rPr>
                <w:rFonts w:ascii="Verdana" w:hAnsi="Verdana" w:cs="Arial"/>
                <w:sz w:val="16"/>
                <w:szCs w:val="16"/>
              </w:rPr>
              <w:t>2,3</w:t>
            </w:r>
          </w:p>
        </w:tc>
        <w:tc>
          <w:tcPr>
            <w:tcW w:w="1776" w:type="dxa"/>
            <w:tcBorders>
              <w:top w:val="nil"/>
              <w:left w:val="nil"/>
              <w:bottom w:val="nil"/>
              <w:right w:val="nil"/>
            </w:tcBorders>
            <w:shd w:val="clear" w:color="auto" w:fill="C0C0C0"/>
            <w:noWrap/>
            <w:vAlign w:val="bottom"/>
          </w:tcPr>
          <w:p w:rsidR="005C280F" w:rsidRDefault="005C280F">
            <w:pPr>
              <w:jc w:val="right"/>
              <w:rPr>
                <w:rFonts w:ascii="Verdana" w:hAnsi="Verdana" w:cs="Arial"/>
                <w:sz w:val="16"/>
                <w:szCs w:val="16"/>
              </w:rPr>
            </w:pPr>
            <w:r>
              <w:rPr>
                <w:rFonts w:ascii="Verdana" w:hAnsi="Verdana" w:cs="Arial"/>
                <w:sz w:val="16"/>
                <w:szCs w:val="16"/>
              </w:rPr>
              <w:t xml:space="preserve">$ </w:t>
            </w:r>
            <w:r w:rsidR="00061725">
              <w:rPr>
                <w:rFonts w:ascii="Verdana" w:hAnsi="Verdana" w:cs="Arial"/>
                <w:sz w:val="16"/>
                <w:szCs w:val="16"/>
              </w:rPr>
              <w:t>19</w:t>
            </w:r>
            <w:r>
              <w:rPr>
                <w:rFonts w:ascii="Verdana" w:hAnsi="Verdana" w:cs="Arial"/>
                <w:sz w:val="16"/>
                <w:szCs w:val="16"/>
              </w:rPr>
              <w:t>.</w:t>
            </w:r>
            <w:r w:rsidR="00061725">
              <w:rPr>
                <w:rFonts w:ascii="Verdana" w:hAnsi="Verdana" w:cs="Arial"/>
                <w:sz w:val="16"/>
                <w:szCs w:val="16"/>
              </w:rPr>
              <w:t>179,77</w:t>
            </w:r>
          </w:p>
        </w:tc>
        <w:tc>
          <w:tcPr>
            <w:tcW w:w="288" w:type="dxa"/>
            <w:tcBorders>
              <w:top w:val="nil"/>
              <w:left w:val="nil"/>
              <w:bottom w:val="nil"/>
              <w:right w:val="double" w:sz="6" w:space="0" w:color="auto"/>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r>
      <w:tr w:rsidR="005C280F">
        <w:trPr>
          <w:trHeight w:val="210"/>
          <w:jc w:val="center"/>
        </w:trPr>
        <w:tc>
          <w:tcPr>
            <w:tcW w:w="288" w:type="dxa"/>
            <w:tcBorders>
              <w:top w:val="nil"/>
              <w:left w:val="double" w:sz="6" w:space="0" w:color="auto"/>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19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88" w:type="dxa"/>
            <w:tcBorders>
              <w:top w:val="nil"/>
              <w:left w:val="nil"/>
              <w:bottom w:val="nil"/>
              <w:right w:val="double" w:sz="6" w:space="0" w:color="auto"/>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r>
      <w:tr w:rsidR="005C280F">
        <w:trPr>
          <w:trHeight w:val="210"/>
          <w:jc w:val="center"/>
        </w:trPr>
        <w:tc>
          <w:tcPr>
            <w:tcW w:w="288" w:type="dxa"/>
            <w:tcBorders>
              <w:top w:val="nil"/>
              <w:left w:val="double" w:sz="6" w:space="0" w:color="auto"/>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196" w:type="dxa"/>
            <w:tcBorders>
              <w:top w:val="nil"/>
              <w:left w:val="nil"/>
              <w:bottom w:val="nil"/>
              <w:right w:val="nil"/>
            </w:tcBorders>
            <w:shd w:val="clear" w:color="auto" w:fill="C0C0C0"/>
            <w:noWrap/>
            <w:vAlign w:val="bottom"/>
          </w:tcPr>
          <w:p w:rsidR="005C280F" w:rsidRDefault="005C280F">
            <w:pPr>
              <w:jc w:val="center"/>
              <w:rPr>
                <w:rFonts w:ascii="Verdana" w:hAnsi="Verdana" w:cs="Arial"/>
                <w:sz w:val="16"/>
                <w:szCs w:val="16"/>
              </w:rPr>
            </w:pPr>
            <w:r>
              <w:rPr>
                <w:rFonts w:ascii="Verdana" w:hAnsi="Verdana" w:cs="Arial"/>
                <w:sz w:val="16"/>
                <w:szCs w:val="16"/>
              </w:rPr>
              <w:t>-25%</w:t>
            </w:r>
          </w:p>
        </w:tc>
        <w:tc>
          <w:tcPr>
            <w:tcW w:w="1776" w:type="dxa"/>
            <w:tcBorders>
              <w:top w:val="nil"/>
              <w:left w:val="nil"/>
              <w:bottom w:val="nil"/>
              <w:right w:val="nil"/>
            </w:tcBorders>
            <w:shd w:val="clear" w:color="auto" w:fill="C0C0C0"/>
            <w:noWrap/>
            <w:vAlign w:val="bottom"/>
          </w:tcPr>
          <w:p w:rsidR="005C280F" w:rsidRDefault="00061725">
            <w:pPr>
              <w:jc w:val="center"/>
              <w:rPr>
                <w:rFonts w:ascii="Verdana" w:hAnsi="Verdana" w:cs="Arial"/>
                <w:sz w:val="16"/>
                <w:szCs w:val="16"/>
              </w:rPr>
            </w:pPr>
            <w:r>
              <w:rPr>
                <w:rFonts w:ascii="Verdana" w:hAnsi="Verdana" w:cs="Arial"/>
                <w:sz w:val="16"/>
                <w:szCs w:val="16"/>
              </w:rPr>
              <w:t>77,0</w:t>
            </w:r>
            <w:r w:rsidR="005C280F">
              <w:rPr>
                <w:rFonts w:ascii="Verdana" w:hAnsi="Verdana" w:cs="Arial"/>
                <w:sz w:val="16"/>
                <w:szCs w:val="16"/>
              </w:rPr>
              <w:t>2%</w:t>
            </w:r>
          </w:p>
        </w:tc>
        <w:tc>
          <w:tcPr>
            <w:tcW w:w="1776" w:type="dxa"/>
            <w:tcBorders>
              <w:top w:val="nil"/>
              <w:left w:val="nil"/>
              <w:bottom w:val="nil"/>
              <w:right w:val="nil"/>
            </w:tcBorders>
            <w:shd w:val="clear" w:color="auto" w:fill="C0C0C0"/>
            <w:noWrap/>
            <w:vAlign w:val="bottom"/>
          </w:tcPr>
          <w:p w:rsidR="005C280F" w:rsidRDefault="00061725">
            <w:pPr>
              <w:jc w:val="center"/>
              <w:rPr>
                <w:rFonts w:ascii="Verdana" w:hAnsi="Verdana" w:cs="Arial"/>
                <w:sz w:val="16"/>
                <w:szCs w:val="16"/>
              </w:rPr>
            </w:pPr>
            <w:r>
              <w:rPr>
                <w:rFonts w:ascii="Verdana" w:hAnsi="Verdana" w:cs="Arial"/>
                <w:sz w:val="16"/>
                <w:szCs w:val="16"/>
              </w:rPr>
              <w:t>1,8</w:t>
            </w:r>
          </w:p>
        </w:tc>
        <w:tc>
          <w:tcPr>
            <w:tcW w:w="1776" w:type="dxa"/>
            <w:tcBorders>
              <w:top w:val="nil"/>
              <w:left w:val="nil"/>
              <w:bottom w:val="nil"/>
              <w:right w:val="nil"/>
            </w:tcBorders>
            <w:shd w:val="clear" w:color="auto" w:fill="C0C0C0"/>
            <w:noWrap/>
            <w:vAlign w:val="bottom"/>
          </w:tcPr>
          <w:p w:rsidR="005C280F" w:rsidRDefault="005C280F">
            <w:pPr>
              <w:jc w:val="right"/>
              <w:rPr>
                <w:rFonts w:ascii="Verdana" w:hAnsi="Verdana" w:cs="Arial"/>
                <w:sz w:val="16"/>
                <w:szCs w:val="16"/>
              </w:rPr>
            </w:pPr>
            <w:r>
              <w:rPr>
                <w:rFonts w:ascii="Verdana" w:hAnsi="Verdana" w:cs="Arial"/>
                <w:sz w:val="16"/>
                <w:szCs w:val="16"/>
              </w:rPr>
              <w:t xml:space="preserve">$ </w:t>
            </w:r>
            <w:r w:rsidR="00061725">
              <w:rPr>
                <w:rFonts w:ascii="Verdana" w:hAnsi="Verdana" w:cs="Arial"/>
                <w:sz w:val="16"/>
                <w:szCs w:val="16"/>
              </w:rPr>
              <w:t>36</w:t>
            </w:r>
            <w:r>
              <w:rPr>
                <w:rFonts w:ascii="Verdana" w:hAnsi="Verdana" w:cs="Arial"/>
                <w:sz w:val="16"/>
                <w:szCs w:val="16"/>
              </w:rPr>
              <w:t>.</w:t>
            </w:r>
            <w:r w:rsidR="00061725">
              <w:rPr>
                <w:rFonts w:ascii="Verdana" w:hAnsi="Verdana" w:cs="Arial"/>
                <w:sz w:val="16"/>
                <w:szCs w:val="16"/>
              </w:rPr>
              <w:t>269</w:t>
            </w:r>
            <w:r>
              <w:rPr>
                <w:rFonts w:ascii="Verdana" w:hAnsi="Verdana" w:cs="Arial"/>
                <w:sz w:val="16"/>
                <w:szCs w:val="16"/>
              </w:rPr>
              <w:t>,</w:t>
            </w:r>
            <w:r w:rsidR="00061725">
              <w:rPr>
                <w:rFonts w:ascii="Verdana" w:hAnsi="Verdana" w:cs="Arial"/>
                <w:sz w:val="16"/>
                <w:szCs w:val="16"/>
              </w:rPr>
              <w:t>65</w:t>
            </w:r>
          </w:p>
        </w:tc>
        <w:tc>
          <w:tcPr>
            <w:tcW w:w="288" w:type="dxa"/>
            <w:tcBorders>
              <w:top w:val="nil"/>
              <w:left w:val="nil"/>
              <w:bottom w:val="nil"/>
              <w:right w:val="double" w:sz="6" w:space="0" w:color="auto"/>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r>
      <w:tr w:rsidR="005C280F">
        <w:trPr>
          <w:trHeight w:val="210"/>
          <w:jc w:val="center"/>
        </w:trPr>
        <w:tc>
          <w:tcPr>
            <w:tcW w:w="288" w:type="dxa"/>
            <w:tcBorders>
              <w:top w:val="nil"/>
              <w:left w:val="double" w:sz="6" w:space="0" w:color="auto"/>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19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88" w:type="dxa"/>
            <w:tcBorders>
              <w:top w:val="nil"/>
              <w:left w:val="nil"/>
              <w:bottom w:val="nil"/>
              <w:right w:val="double" w:sz="6" w:space="0" w:color="auto"/>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r>
      <w:tr w:rsidR="005C280F">
        <w:trPr>
          <w:trHeight w:val="210"/>
          <w:jc w:val="center"/>
        </w:trPr>
        <w:tc>
          <w:tcPr>
            <w:tcW w:w="288" w:type="dxa"/>
            <w:tcBorders>
              <w:top w:val="nil"/>
              <w:left w:val="double" w:sz="6" w:space="0" w:color="auto"/>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196" w:type="dxa"/>
            <w:tcBorders>
              <w:top w:val="nil"/>
              <w:left w:val="nil"/>
              <w:bottom w:val="nil"/>
              <w:right w:val="nil"/>
            </w:tcBorders>
            <w:shd w:val="clear" w:color="auto" w:fill="C0C0C0"/>
            <w:noWrap/>
            <w:vAlign w:val="bottom"/>
          </w:tcPr>
          <w:p w:rsidR="005C280F" w:rsidRDefault="005C280F">
            <w:pPr>
              <w:jc w:val="center"/>
              <w:rPr>
                <w:rFonts w:ascii="Verdana" w:hAnsi="Verdana" w:cs="Arial"/>
                <w:sz w:val="16"/>
                <w:szCs w:val="16"/>
              </w:rPr>
            </w:pPr>
            <w:r>
              <w:rPr>
                <w:rFonts w:ascii="Verdana" w:hAnsi="Verdana" w:cs="Arial"/>
                <w:sz w:val="16"/>
                <w:szCs w:val="16"/>
              </w:rPr>
              <w:t>0%</w:t>
            </w:r>
          </w:p>
        </w:tc>
        <w:tc>
          <w:tcPr>
            <w:tcW w:w="1776" w:type="dxa"/>
            <w:tcBorders>
              <w:top w:val="nil"/>
              <w:left w:val="nil"/>
              <w:bottom w:val="nil"/>
              <w:right w:val="nil"/>
            </w:tcBorders>
            <w:shd w:val="clear" w:color="auto" w:fill="C0C0C0"/>
            <w:noWrap/>
            <w:vAlign w:val="bottom"/>
          </w:tcPr>
          <w:p w:rsidR="005C280F" w:rsidRDefault="005C280F">
            <w:pPr>
              <w:jc w:val="center"/>
              <w:rPr>
                <w:rFonts w:ascii="Verdana" w:hAnsi="Verdana" w:cs="Arial"/>
                <w:sz w:val="16"/>
                <w:szCs w:val="16"/>
              </w:rPr>
            </w:pPr>
            <w:r>
              <w:rPr>
                <w:rFonts w:ascii="Verdana" w:hAnsi="Verdana" w:cs="Arial"/>
                <w:sz w:val="16"/>
                <w:szCs w:val="16"/>
              </w:rPr>
              <w:t>9</w:t>
            </w:r>
            <w:r w:rsidR="00061725">
              <w:rPr>
                <w:rFonts w:ascii="Verdana" w:hAnsi="Verdana" w:cs="Arial"/>
                <w:sz w:val="16"/>
                <w:szCs w:val="16"/>
              </w:rPr>
              <w:t>6</w:t>
            </w:r>
            <w:r>
              <w:rPr>
                <w:rFonts w:ascii="Verdana" w:hAnsi="Verdana" w:cs="Arial"/>
                <w:sz w:val="16"/>
                <w:szCs w:val="16"/>
              </w:rPr>
              <w:t>,5</w:t>
            </w:r>
            <w:r w:rsidR="00061725">
              <w:rPr>
                <w:rFonts w:ascii="Verdana" w:hAnsi="Verdana" w:cs="Arial"/>
                <w:sz w:val="16"/>
                <w:szCs w:val="16"/>
              </w:rPr>
              <w:t>7</w:t>
            </w:r>
            <w:r>
              <w:rPr>
                <w:rFonts w:ascii="Verdana" w:hAnsi="Verdana" w:cs="Arial"/>
                <w:sz w:val="16"/>
                <w:szCs w:val="16"/>
              </w:rPr>
              <w:t>%</w:t>
            </w:r>
          </w:p>
        </w:tc>
        <w:tc>
          <w:tcPr>
            <w:tcW w:w="1776" w:type="dxa"/>
            <w:tcBorders>
              <w:top w:val="nil"/>
              <w:left w:val="nil"/>
              <w:bottom w:val="nil"/>
              <w:right w:val="nil"/>
            </w:tcBorders>
            <w:shd w:val="clear" w:color="auto" w:fill="C0C0C0"/>
            <w:noWrap/>
            <w:vAlign w:val="bottom"/>
          </w:tcPr>
          <w:p w:rsidR="005C280F" w:rsidRDefault="005C280F">
            <w:pPr>
              <w:jc w:val="center"/>
              <w:rPr>
                <w:rFonts w:ascii="Verdana" w:hAnsi="Verdana" w:cs="Arial"/>
                <w:sz w:val="16"/>
                <w:szCs w:val="16"/>
              </w:rPr>
            </w:pPr>
            <w:r>
              <w:rPr>
                <w:rFonts w:ascii="Verdana" w:hAnsi="Verdana" w:cs="Arial"/>
                <w:sz w:val="16"/>
                <w:szCs w:val="16"/>
              </w:rPr>
              <w:t>1,</w:t>
            </w:r>
            <w:r w:rsidR="00061725">
              <w:rPr>
                <w:rFonts w:ascii="Verdana" w:hAnsi="Verdana" w:cs="Arial"/>
                <w:sz w:val="16"/>
                <w:szCs w:val="16"/>
              </w:rPr>
              <w:t>5</w:t>
            </w:r>
          </w:p>
        </w:tc>
        <w:tc>
          <w:tcPr>
            <w:tcW w:w="1776" w:type="dxa"/>
            <w:tcBorders>
              <w:top w:val="nil"/>
              <w:left w:val="nil"/>
              <w:bottom w:val="nil"/>
              <w:right w:val="nil"/>
            </w:tcBorders>
            <w:shd w:val="clear" w:color="auto" w:fill="C0C0C0"/>
            <w:noWrap/>
            <w:vAlign w:val="bottom"/>
          </w:tcPr>
          <w:p w:rsidR="005C280F" w:rsidRDefault="00061725">
            <w:pPr>
              <w:jc w:val="right"/>
              <w:rPr>
                <w:rFonts w:ascii="Verdana" w:hAnsi="Verdana" w:cs="Arial"/>
                <w:sz w:val="16"/>
                <w:szCs w:val="16"/>
              </w:rPr>
            </w:pPr>
            <w:r>
              <w:rPr>
                <w:rFonts w:ascii="Verdana" w:hAnsi="Verdana" w:cs="Arial"/>
                <w:sz w:val="16"/>
                <w:szCs w:val="16"/>
              </w:rPr>
              <w:t>$ 53.359,53</w:t>
            </w:r>
          </w:p>
        </w:tc>
        <w:tc>
          <w:tcPr>
            <w:tcW w:w="288" w:type="dxa"/>
            <w:tcBorders>
              <w:top w:val="nil"/>
              <w:left w:val="nil"/>
              <w:bottom w:val="nil"/>
              <w:right w:val="double" w:sz="6" w:space="0" w:color="auto"/>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r>
      <w:tr w:rsidR="005C280F">
        <w:trPr>
          <w:trHeight w:val="210"/>
          <w:jc w:val="center"/>
        </w:trPr>
        <w:tc>
          <w:tcPr>
            <w:tcW w:w="288" w:type="dxa"/>
            <w:tcBorders>
              <w:top w:val="nil"/>
              <w:left w:val="double" w:sz="6" w:space="0" w:color="auto"/>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19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88" w:type="dxa"/>
            <w:tcBorders>
              <w:top w:val="nil"/>
              <w:left w:val="nil"/>
              <w:bottom w:val="nil"/>
              <w:right w:val="double" w:sz="6" w:space="0" w:color="auto"/>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r>
      <w:tr w:rsidR="005C280F">
        <w:trPr>
          <w:trHeight w:val="210"/>
          <w:jc w:val="center"/>
        </w:trPr>
        <w:tc>
          <w:tcPr>
            <w:tcW w:w="288" w:type="dxa"/>
            <w:tcBorders>
              <w:top w:val="nil"/>
              <w:left w:val="double" w:sz="6" w:space="0" w:color="auto"/>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196" w:type="dxa"/>
            <w:tcBorders>
              <w:top w:val="nil"/>
              <w:left w:val="nil"/>
              <w:bottom w:val="nil"/>
              <w:right w:val="nil"/>
            </w:tcBorders>
            <w:shd w:val="clear" w:color="auto" w:fill="C0C0C0"/>
            <w:noWrap/>
            <w:vAlign w:val="bottom"/>
          </w:tcPr>
          <w:p w:rsidR="005C280F" w:rsidRDefault="005C280F">
            <w:pPr>
              <w:jc w:val="center"/>
              <w:rPr>
                <w:rFonts w:ascii="Verdana" w:hAnsi="Verdana" w:cs="Arial"/>
                <w:sz w:val="16"/>
                <w:szCs w:val="16"/>
              </w:rPr>
            </w:pPr>
            <w:r>
              <w:rPr>
                <w:rFonts w:ascii="Verdana" w:hAnsi="Verdana" w:cs="Arial"/>
                <w:sz w:val="16"/>
                <w:szCs w:val="16"/>
              </w:rPr>
              <w:t>25%</w:t>
            </w:r>
          </w:p>
        </w:tc>
        <w:tc>
          <w:tcPr>
            <w:tcW w:w="1776" w:type="dxa"/>
            <w:tcBorders>
              <w:top w:val="nil"/>
              <w:left w:val="nil"/>
              <w:bottom w:val="nil"/>
              <w:right w:val="nil"/>
            </w:tcBorders>
            <w:shd w:val="clear" w:color="auto" w:fill="C0C0C0"/>
            <w:noWrap/>
            <w:vAlign w:val="bottom"/>
          </w:tcPr>
          <w:p w:rsidR="005C280F" w:rsidRDefault="00061725">
            <w:pPr>
              <w:jc w:val="center"/>
              <w:rPr>
                <w:rFonts w:ascii="Verdana" w:hAnsi="Verdana" w:cs="Arial"/>
                <w:sz w:val="16"/>
                <w:szCs w:val="16"/>
              </w:rPr>
            </w:pPr>
            <w:r>
              <w:rPr>
                <w:rFonts w:ascii="Verdana" w:hAnsi="Verdana" w:cs="Arial"/>
                <w:sz w:val="16"/>
                <w:szCs w:val="16"/>
              </w:rPr>
              <w:t>114,25</w:t>
            </w:r>
            <w:r w:rsidR="005C280F">
              <w:rPr>
                <w:rFonts w:ascii="Verdana" w:hAnsi="Verdana" w:cs="Arial"/>
                <w:sz w:val="16"/>
                <w:szCs w:val="16"/>
              </w:rPr>
              <w:t>%</w:t>
            </w:r>
          </w:p>
        </w:tc>
        <w:tc>
          <w:tcPr>
            <w:tcW w:w="1776" w:type="dxa"/>
            <w:tcBorders>
              <w:top w:val="nil"/>
              <w:left w:val="nil"/>
              <w:bottom w:val="nil"/>
              <w:right w:val="nil"/>
            </w:tcBorders>
            <w:shd w:val="clear" w:color="auto" w:fill="C0C0C0"/>
            <w:noWrap/>
            <w:vAlign w:val="bottom"/>
          </w:tcPr>
          <w:p w:rsidR="005C280F" w:rsidRDefault="00061725">
            <w:pPr>
              <w:jc w:val="center"/>
              <w:rPr>
                <w:rFonts w:ascii="Verdana" w:hAnsi="Verdana" w:cs="Arial"/>
                <w:sz w:val="16"/>
                <w:szCs w:val="16"/>
              </w:rPr>
            </w:pPr>
            <w:r>
              <w:rPr>
                <w:rFonts w:ascii="Verdana" w:hAnsi="Verdana" w:cs="Arial"/>
                <w:sz w:val="16"/>
                <w:szCs w:val="16"/>
              </w:rPr>
              <w:t>1,3</w:t>
            </w:r>
          </w:p>
        </w:tc>
        <w:tc>
          <w:tcPr>
            <w:tcW w:w="1776" w:type="dxa"/>
            <w:tcBorders>
              <w:top w:val="nil"/>
              <w:left w:val="nil"/>
              <w:bottom w:val="nil"/>
              <w:right w:val="nil"/>
            </w:tcBorders>
            <w:shd w:val="clear" w:color="auto" w:fill="C0C0C0"/>
            <w:noWrap/>
            <w:vAlign w:val="bottom"/>
          </w:tcPr>
          <w:p w:rsidR="005C280F" w:rsidRDefault="005C280F">
            <w:pPr>
              <w:jc w:val="right"/>
              <w:rPr>
                <w:rFonts w:ascii="Verdana" w:hAnsi="Verdana" w:cs="Arial"/>
                <w:sz w:val="16"/>
                <w:szCs w:val="16"/>
              </w:rPr>
            </w:pPr>
            <w:r>
              <w:rPr>
                <w:rFonts w:ascii="Verdana" w:hAnsi="Verdana" w:cs="Arial"/>
                <w:sz w:val="16"/>
                <w:szCs w:val="16"/>
              </w:rPr>
              <w:t xml:space="preserve">$ </w:t>
            </w:r>
            <w:r w:rsidR="00061725">
              <w:rPr>
                <w:rFonts w:ascii="Verdana" w:hAnsi="Verdana" w:cs="Arial"/>
                <w:sz w:val="16"/>
                <w:szCs w:val="16"/>
              </w:rPr>
              <w:t>70</w:t>
            </w:r>
            <w:r>
              <w:rPr>
                <w:rFonts w:ascii="Verdana" w:hAnsi="Verdana" w:cs="Arial"/>
                <w:sz w:val="16"/>
                <w:szCs w:val="16"/>
              </w:rPr>
              <w:t>.</w:t>
            </w:r>
            <w:r w:rsidR="00061725">
              <w:rPr>
                <w:rFonts w:ascii="Verdana" w:hAnsi="Verdana" w:cs="Arial"/>
                <w:sz w:val="16"/>
                <w:szCs w:val="16"/>
              </w:rPr>
              <w:t>449</w:t>
            </w:r>
            <w:r>
              <w:rPr>
                <w:rFonts w:ascii="Verdana" w:hAnsi="Verdana" w:cs="Arial"/>
                <w:sz w:val="16"/>
                <w:szCs w:val="16"/>
              </w:rPr>
              <w:t>,</w:t>
            </w:r>
            <w:r w:rsidR="00061725">
              <w:rPr>
                <w:rFonts w:ascii="Verdana" w:hAnsi="Verdana" w:cs="Arial"/>
                <w:sz w:val="16"/>
                <w:szCs w:val="16"/>
              </w:rPr>
              <w:t>42</w:t>
            </w:r>
          </w:p>
        </w:tc>
        <w:tc>
          <w:tcPr>
            <w:tcW w:w="288" w:type="dxa"/>
            <w:tcBorders>
              <w:top w:val="nil"/>
              <w:left w:val="nil"/>
              <w:bottom w:val="nil"/>
              <w:right w:val="double" w:sz="6" w:space="0" w:color="auto"/>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r>
      <w:tr w:rsidR="005C280F">
        <w:trPr>
          <w:trHeight w:val="210"/>
          <w:jc w:val="center"/>
        </w:trPr>
        <w:tc>
          <w:tcPr>
            <w:tcW w:w="288" w:type="dxa"/>
            <w:tcBorders>
              <w:top w:val="nil"/>
              <w:left w:val="double" w:sz="6" w:space="0" w:color="auto"/>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19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1776" w:type="dxa"/>
            <w:tcBorders>
              <w:top w:val="nil"/>
              <w:left w:val="nil"/>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88" w:type="dxa"/>
            <w:tcBorders>
              <w:top w:val="nil"/>
              <w:left w:val="nil"/>
              <w:bottom w:val="nil"/>
              <w:right w:val="double" w:sz="6" w:space="0" w:color="auto"/>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r>
      <w:tr w:rsidR="005C280F">
        <w:trPr>
          <w:trHeight w:val="210"/>
          <w:jc w:val="center"/>
        </w:trPr>
        <w:tc>
          <w:tcPr>
            <w:tcW w:w="288" w:type="dxa"/>
            <w:tcBorders>
              <w:top w:val="nil"/>
              <w:left w:val="double" w:sz="6" w:space="0" w:color="auto"/>
              <w:bottom w:val="nil"/>
              <w:right w:val="nil"/>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c>
          <w:tcPr>
            <w:tcW w:w="2196" w:type="dxa"/>
            <w:tcBorders>
              <w:top w:val="nil"/>
              <w:left w:val="nil"/>
              <w:bottom w:val="nil"/>
              <w:right w:val="nil"/>
            </w:tcBorders>
            <w:shd w:val="clear" w:color="auto" w:fill="C0C0C0"/>
            <w:noWrap/>
            <w:vAlign w:val="bottom"/>
          </w:tcPr>
          <w:p w:rsidR="005C280F" w:rsidRDefault="005C280F">
            <w:pPr>
              <w:jc w:val="center"/>
              <w:rPr>
                <w:rFonts w:ascii="Verdana" w:hAnsi="Verdana" w:cs="Arial"/>
                <w:sz w:val="16"/>
                <w:szCs w:val="16"/>
              </w:rPr>
            </w:pPr>
            <w:r>
              <w:rPr>
                <w:rFonts w:ascii="Verdana" w:hAnsi="Verdana" w:cs="Arial"/>
                <w:sz w:val="16"/>
                <w:szCs w:val="16"/>
              </w:rPr>
              <w:t>50%</w:t>
            </w:r>
          </w:p>
        </w:tc>
        <w:tc>
          <w:tcPr>
            <w:tcW w:w="1776" w:type="dxa"/>
            <w:tcBorders>
              <w:top w:val="nil"/>
              <w:left w:val="nil"/>
              <w:bottom w:val="nil"/>
              <w:right w:val="nil"/>
            </w:tcBorders>
            <w:shd w:val="clear" w:color="auto" w:fill="C0C0C0"/>
            <w:noWrap/>
            <w:vAlign w:val="bottom"/>
          </w:tcPr>
          <w:p w:rsidR="005C280F" w:rsidRDefault="005C280F">
            <w:pPr>
              <w:jc w:val="center"/>
              <w:rPr>
                <w:rFonts w:ascii="Verdana" w:hAnsi="Verdana" w:cs="Arial"/>
                <w:sz w:val="16"/>
                <w:szCs w:val="16"/>
              </w:rPr>
            </w:pPr>
            <w:r>
              <w:rPr>
                <w:rFonts w:ascii="Verdana" w:hAnsi="Verdana" w:cs="Arial"/>
                <w:sz w:val="16"/>
                <w:szCs w:val="16"/>
              </w:rPr>
              <w:t>13</w:t>
            </w:r>
            <w:r w:rsidR="00061725">
              <w:rPr>
                <w:rFonts w:ascii="Verdana" w:hAnsi="Verdana" w:cs="Arial"/>
                <w:sz w:val="16"/>
                <w:szCs w:val="16"/>
              </w:rPr>
              <w:t>0</w:t>
            </w:r>
            <w:r>
              <w:rPr>
                <w:rFonts w:ascii="Verdana" w:hAnsi="Verdana" w:cs="Arial"/>
                <w:sz w:val="16"/>
                <w:szCs w:val="16"/>
              </w:rPr>
              <w:t>,</w:t>
            </w:r>
            <w:r w:rsidR="00061725">
              <w:rPr>
                <w:rFonts w:ascii="Verdana" w:hAnsi="Verdana" w:cs="Arial"/>
                <w:sz w:val="16"/>
                <w:szCs w:val="16"/>
              </w:rPr>
              <w:t>68</w:t>
            </w:r>
            <w:r>
              <w:rPr>
                <w:rFonts w:ascii="Verdana" w:hAnsi="Verdana" w:cs="Arial"/>
                <w:sz w:val="16"/>
                <w:szCs w:val="16"/>
              </w:rPr>
              <w:t>%</w:t>
            </w:r>
          </w:p>
        </w:tc>
        <w:tc>
          <w:tcPr>
            <w:tcW w:w="1776" w:type="dxa"/>
            <w:tcBorders>
              <w:top w:val="nil"/>
              <w:left w:val="nil"/>
              <w:bottom w:val="nil"/>
              <w:right w:val="nil"/>
            </w:tcBorders>
            <w:shd w:val="clear" w:color="auto" w:fill="C0C0C0"/>
            <w:noWrap/>
            <w:vAlign w:val="bottom"/>
          </w:tcPr>
          <w:p w:rsidR="005C280F" w:rsidRDefault="005C280F">
            <w:pPr>
              <w:jc w:val="center"/>
              <w:rPr>
                <w:rFonts w:ascii="Verdana" w:hAnsi="Verdana" w:cs="Arial"/>
                <w:sz w:val="16"/>
                <w:szCs w:val="16"/>
              </w:rPr>
            </w:pPr>
            <w:r>
              <w:rPr>
                <w:rFonts w:ascii="Verdana" w:hAnsi="Verdana" w:cs="Arial"/>
                <w:sz w:val="16"/>
                <w:szCs w:val="16"/>
              </w:rPr>
              <w:t>1,</w:t>
            </w:r>
            <w:r w:rsidR="00061725">
              <w:rPr>
                <w:rFonts w:ascii="Verdana" w:hAnsi="Verdana" w:cs="Arial"/>
                <w:sz w:val="16"/>
                <w:szCs w:val="16"/>
              </w:rPr>
              <w:t>2</w:t>
            </w:r>
          </w:p>
        </w:tc>
        <w:tc>
          <w:tcPr>
            <w:tcW w:w="1776" w:type="dxa"/>
            <w:tcBorders>
              <w:top w:val="nil"/>
              <w:left w:val="nil"/>
              <w:bottom w:val="nil"/>
              <w:right w:val="nil"/>
            </w:tcBorders>
            <w:shd w:val="clear" w:color="auto" w:fill="C0C0C0"/>
            <w:noWrap/>
            <w:vAlign w:val="bottom"/>
          </w:tcPr>
          <w:p w:rsidR="005C280F" w:rsidRDefault="005C280F">
            <w:pPr>
              <w:jc w:val="right"/>
              <w:rPr>
                <w:rFonts w:ascii="Verdana" w:hAnsi="Verdana" w:cs="Arial"/>
                <w:sz w:val="16"/>
                <w:szCs w:val="16"/>
              </w:rPr>
            </w:pPr>
            <w:r>
              <w:rPr>
                <w:rFonts w:ascii="Verdana" w:hAnsi="Verdana" w:cs="Arial"/>
                <w:sz w:val="16"/>
                <w:szCs w:val="16"/>
              </w:rPr>
              <w:t>$ 5</w:t>
            </w:r>
            <w:r w:rsidR="00061725">
              <w:rPr>
                <w:rFonts w:ascii="Verdana" w:hAnsi="Verdana" w:cs="Arial"/>
                <w:sz w:val="16"/>
                <w:szCs w:val="16"/>
              </w:rPr>
              <w:t>7</w:t>
            </w:r>
            <w:r>
              <w:rPr>
                <w:rFonts w:ascii="Verdana" w:hAnsi="Verdana" w:cs="Arial"/>
                <w:sz w:val="16"/>
                <w:szCs w:val="16"/>
              </w:rPr>
              <w:t>.</w:t>
            </w:r>
            <w:r w:rsidR="00061725">
              <w:rPr>
                <w:rFonts w:ascii="Verdana" w:hAnsi="Verdana" w:cs="Arial"/>
                <w:sz w:val="16"/>
                <w:szCs w:val="16"/>
              </w:rPr>
              <w:t>539</w:t>
            </w:r>
            <w:r>
              <w:rPr>
                <w:rFonts w:ascii="Verdana" w:hAnsi="Verdana" w:cs="Arial"/>
                <w:sz w:val="16"/>
                <w:szCs w:val="16"/>
              </w:rPr>
              <w:t>,</w:t>
            </w:r>
            <w:r w:rsidR="00061725">
              <w:rPr>
                <w:rFonts w:ascii="Verdana" w:hAnsi="Verdana" w:cs="Arial"/>
                <w:sz w:val="16"/>
                <w:szCs w:val="16"/>
              </w:rPr>
              <w:t>30</w:t>
            </w:r>
          </w:p>
        </w:tc>
        <w:tc>
          <w:tcPr>
            <w:tcW w:w="288" w:type="dxa"/>
            <w:tcBorders>
              <w:top w:val="nil"/>
              <w:left w:val="nil"/>
              <w:bottom w:val="nil"/>
              <w:right w:val="double" w:sz="6" w:space="0" w:color="auto"/>
            </w:tcBorders>
            <w:shd w:val="clear" w:color="auto" w:fill="FFFFFF"/>
            <w:noWrap/>
            <w:vAlign w:val="bottom"/>
          </w:tcPr>
          <w:p w:rsidR="005C280F" w:rsidRDefault="005C280F">
            <w:pPr>
              <w:rPr>
                <w:rFonts w:ascii="Verdana" w:hAnsi="Verdana" w:cs="Arial"/>
                <w:sz w:val="16"/>
                <w:szCs w:val="16"/>
              </w:rPr>
            </w:pPr>
            <w:r>
              <w:rPr>
                <w:rFonts w:ascii="Verdana" w:hAnsi="Verdana" w:cs="Arial"/>
                <w:sz w:val="16"/>
                <w:szCs w:val="16"/>
              </w:rPr>
              <w:t> </w:t>
            </w:r>
          </w:p>
        </w:tc>
      </w:tr>
      <w:tr w:rsidR="00753C40">
        <w:trPr>
          <w:trHeight w:val="225"/>
          <w:jc w:val="center"/>
        </w:trPr>
        <w:tc>
          <w:tcPr>
            <w:tcW w:w="288" w:type="dxa"/>
            <w:tcBorders>
              <w:top w:val="nil"/>
              <w:left w:val="double" w:sz="6" w:space="0" w:color="auto"/>
              <w:bottom w:val="double" w:sz="6" w:space="0" w:color="auto"/>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2196" w:type="dxa"/>
            <w:tcBorders>
              <w:top w:val="nil"/>
              <w:left w:val="nil"/>
              <w:bottom w:val="double" w:sz="6" w:space="0" w:color="auto"/>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1776" w:type="dxa"/>
            <w:tcBorders>
              <w:top w:val="nil"/>
              <w:left w:val="nil"/>
              <w:bottom w:val="double" w:sz="6" w:space="0" w:color="auto"/>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1776" w:type="dxa"/>
            <w:tcBorders>
              <w:top w:val="nil"/>
              <w:left w:val="nil"/>
              <w:bottom w:val="double" w:sz="6" w:space="0" w:color="auto"/>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1776" w:type="dxa"/>
            <w:tcBorders>
              <w:top w:val="nil"/>
              <w:left w:val="nil"/>
              <w:bottom w:val="double" w:sz="6" w:space="0" w:color="auto"/>
              <w:right w:val="nil"/>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c>
          <w:tcPr>
            <w:tcW w:w="288" w:type="dxa"/>
            <w:tcBorders>
              <w:top w:val="nil"/>
              <w:left w:val="nil"/>
              <w:bottom w:val="double" w:sz="6" w:space="0" w:color="auto"/>
              <w:right w:val="double" w:sz="6" w:space="0" w:color="auto"/>
            </w:tcBorders>
            <w:shd w:val="clear" w:color="auto" w:fill="FFFFFF"/>
            <w:noWrap/>
            <w:vAlign w:val="bottom"/>
          </w:tcPr>
          <w:p w:rsidR="00753C40" w:rsidRDefault="00753C40">
            <w:pPr>
              <w:rPr>
                <w:rFonts w:ascii="Verdana" w:hAnsi="Verdana" w:cs="Arial"/>
                <w:sz w:val="16"/>
                <w:szCs w:val="16"/>
              </w:rPr>
            </w:pPr>
            <w:r>
              <w:rPr>
                <w:rFonts w:ascii="Verdana" w:hAnsi="Verdana" w:cs="Arial"/>
                <w:sz w:val="16"/>
                <w:szCs w:val="16"/>
              </w:rPr>
              <w:t> </w:t>
            </w:r>
          </w:p>
        </w:tc>
      </w:tr>
    </w:tbl>
    <w:p w:rsidR="00753C40" w:rsidRDefault="00753C40" w:rsidP="00753C40">
      <w:pPr>
        <w:spacing w:line="480" w:lineRule="auto"/>
        <w:jc w:val="center"/>
        <w:rPr>
          <w:i/>
          <w:sz w:val="20"/>
          <w:szCs w:val="20"/>
        </w:rPr>
      </w:pPr>
      <w:r>
        <w:rPr>
          <w:b/>
          <w:i/>
          <w:sz w:val="20"/>
          <w:szCs w:val="20"/>
        </w:rPr>
        <w:t>Elaboración</w:t>
      </w:r>
      <w:r w:rsidRPr="008D290B">
        <w:rPr>
          <w:b/>
          <w:i/>
          <w:sz w:val="20"/>
          <w:szCs w:val="20"/>
        </w:rPr>
        <w:t>:</w:t>
      </w:r>
      <w:r w:rsidRPr="008D290B">
        <w:rPr>
          <w:i/>
          <w:sz w:val="20"/>
          <w:szCs w:val="20"/>
        </w:rPr>
        <w:t xml:space="preserve"> </w:t>
      </w:r>
      <w:r>
        <w:rPr>
          <w:i/>
          <w:sz w:val="20"/>
          <w:szCs w:val="20"/>
        </w:rPr>
        <w:t>Los Autores</w:t>
      </w:r>
    </w:p>
    <w:p w:rsidR="00753C40" w:rsidRDefault="00753C40" w:rsidP="00580049">
      <w:pPr>
        <w:spacing w:line="480" w:lineRule="auto"/>
        <w:jc w:val="both"/>
      </w:pPr>
    </w:p>
    <w:p w:rsidR="00E11049" w:rsidRDefault="00E11049" w:rsidP="00115804">
      <w:pPr>
        <w:spacing w:line="480" w:lineRule="auto"/>
        <w:ind w:firstLine="540"/>
        <w:jc w:val="both"/>
      </w:pPr>
      <w:r>
        <w:t xml:space="preserve">La tabla 9 muestra como varía la tasa interna de retorno (TIR), el periodo de recuperación (Años) y el valor </w:t>
      </w:r>
      <w:r w:rsidR="0067684F">
        <w:t>actual</w:t>
      </w:r>
      <w:r>
        <w:t xml:space="preserve"> </w:t>
      </w:r>
      <w:r w:rsidR="0067684F">
        <w:t xml:space="preserve">neto </w:t>
      </w:r>
      <w:r>
        <w:t>(V</w:t>
      </w:r>
      <w:r w:rsidR="0067684F">
        <w:t>AN</w:t>
      </w:r>
      <w:r>
        <w:t xml:space="preserve">) del proyecto ante una variación del ingreso. Podemos apreciar que aún cayendo el ingreso 50% </w:t>
      </w:r>
      <w:smartTag w:uri="urn:schemas-microsoft-com:office:smarttags" w:element="PersonName">
        <w:smartTagPr>
          <w:attr w:name="ProductID" w:val="la TIR"/>
        </w:smartTagPr>
        <w:r>
          <w:t>la TIR</w:t>
        </w:r>
      </w:smartTag>
      <w:r>
        <w:t xml:space="preserve"> es superior a </w:t>
      </w:r>
      <w:smartTag w:uri="urn:schemas-microsoft-com:office:smarttags" w:element="PersonName">
        <w:smartTagPr>
          <w:attr w:name="ProductID" w:val="la TMAR"/>
        </w:smartTagPr>
        <w:r>
          <w:t>la TMAR</w:t>
        </w:r>
      </w:smartTag>
      <w:r>
        <w:t xml:space="preserve"> (30.31%).</w:t>
      </w:r>
    </w:p>
    <w:p w:rsidR="007B73B3" w:rsidRDefault="00115804" w:rsidP="00115804">
      <w:pPr>
        <w:spacing w:line="480" w:lineRule="auto"/>
        <w:ind w:firstLine="540"/>
      </w:pPr>
      <w:r>
        <w:t>A continuación se muestra</w:t>
      </w:r>
      <w:r w:rsidR="007B73B3" w:rsidRPr="00B06B64">
        <w:t xml:space="preserve"> </w:t>
      </w:r>
      <w:r>
        <w:t>el gráfico</w:t>
      </w:r>
      <w:r w:rsidR="007B73B3" w:rsidRPr="00B06B64">
        <w:t xml:space="preserve"> del análisis de sensibilidad del proyecto con respecto a </w:t>
      </w:r>
      <w:smartTag w:uri="urn:schemas-microsoft-com:office:smarttags" w:element="PersonName">
        <w:smartTagPr>
          <w:attr w:name="ProductID" w:val="la TIR"/>
        </w:smartTagPr>
        <w:r w:rsidR="007B73B3" w:rsidRPr="00B06B64">
          <w:t>la TIR</w:t>
        </w:r>
      </w:smartTag>
      <w:r w:rsidR="007B73B3" w:rsidRPr="00B06B64">
        <w:t>:</w:t>
      </w:r>
    </w:p>
    <w:p w:rsidR="00115804" w:rsidRPr="00B06B64" w:rsidRDefault="00115804" w:rsidP="00115804">
      <w:pPr>
        <w:spacing w:line="480" w:lineRule="auto"/>
        <w:ind w:firstLine="540"/>
      </w:pPr>
    </w:p>
    <w:p w:rsidR="007B73B3" w:rsidRPr="004D468B" w:rsidRDefault="007B73B3" w:rsidP="007B73B3">
      <w:pPr>
        <w:spacing w:line="480" w:lineRule="auto"/>
        <w:jc w:val="center"/>
        <w:rPr>
          <w:b/>
        </w:rPr>
      </w:pPr>
      <w:r w:rsidRPr="005C667A">
        <w:rPr>
          <w:b/>
        </w:rPr>
        <w:t>Gráfico No. 35</w:t>
      </w:r>
    </w:p>
    <w:p w:rsidR="007B73B3" w:rsidRPr="005C280F" w:rsidRDefault="008E6A4C" w:rsidP="005C280F">
      <w:pPr>
        <w:jc w:val="center"/>
      </w:pPr>
      <w:r>
        <w:rPr>
          <w:noProof/>
        </w:rPr>
        <w:drawing>
          <wp:inline distT="0" distB="0" distL="0" distR="0">
            <wp:extent cx="5200650" cy="250571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a:off x="0" y="0"/>
                      <a:ext cx="5200650" cy="2505710"/>
                    </a:xfrm>
                    <a:prstGeom prst="rect">
                      <a:avLst/>
                    </a:prstGeom>
                    <a:noFill/>
                    <a:ln w="1">
                      <a:noFill/>
                      <a:miter lim="800000"/>
                      <a:headEnd/>
                      <a:tailEnd/>
                    </a:ln>
                    <a:effectLst/>
                  </pic:spPr>
                </pic:pic>
              </a:graphicData>
            </a:graphic>
          </wp:inline>
        </w:drawing>
      </w:r>
    </w:p>
    <w:p w:rsidR="001C02E3" w:rsidRPr="005C280F" w:rsidRDefault="001C02E3" w:rsidP="005C280F">
      <w:pPr>
        <w:spacing w:line="480" w:lineRule="auto"/>
        <w:jc w:val="center"/>
        <w:rPr>
          <w:i/>
          <w:sz w:val="20"/>
          <w:szCs w:val="20"/>
        </w:rPr>
      </w:pPr>
      <w:r>
        <w:rPr>
          <w:b/>
          <w:i/>
          <w:sz w:val="20"/>
          <w:szCs w:val="20"/>
        </w:rPr>
        <w:t>Elaboración</w:t>
      </w:r>
      <w:r w:rsidRPr="008D290B">
        <w:rPr>
          <w:b/>
          <w:i/>
          <w:sz w:val="20"/>
          <w:szCs w:val="20"/>
        </w:rPr>
        <w:t>:</w:t>
      </w:r>
      <w:r w:rsidRPr="008D290B">
        <w:rPr>
          <w:i/>
          <w:sz w:val="20"/>
          <w:szCs w:val="20"/>
        </w:rPr>
        <w:t xml:space="preserve"> </w:t>
      </w:r>
      <w:r>
        <w:rPr>
          <w:i/>
          <w:sz w:val="20"/>
          <w:szCs w:val="20"/>
        </w:rPr>
        <w:t>Los Autores</w:t>
      </w:r>
    </w:p>
    <w:p w:rsidR="002F6390" w:rsidRDefault="002F6390" w:rsidP="001C02E3">
      <w:pPr>
        <w:spacing w:line="480" w:lineRule="auto"/>
        <w:jc w:val="center"/>
        <w:rPr>
          <w:b/>
        </w:rPr>
      </w:pPr>
    </w:p>
    <w:p w:rsidR="0067684F" w:rsidRDefault="00181E60" w:rsidP="00115804">
      <w:pPr>
        <w:spacing w:line="480" w:lineRule="auto"/>
        <w:ind w:firstLine="540"/>
        <w:jc w:val="both"/>
      </w:pPr>
      <w:r>
        <w:t>Como podemos apreciar en la curva del gráfico No. 35,</w:t>
      </w:r>
      <w:r w:rsidR="00711DE6">
        <w:t xml:space="preserve"> que</w:t>
      </w:r>
      <w:r>
        <w:t xml:space="preserve"> </w:t>
      </w:r>
      <w:smartTag w:uri="urn:schemas-microsoft-com:office:smarttags" w:element="PersonName">
        <w:smartTagPr>
          <w:attr w:name="ProductID" w:val="la TIR"/>
        </w:smartTagPr>
        <w:r>
          <w:t>la TIR</w:t>
        </w:r>
      </w:smartTag>
      <w:r w:rsidR="0067684F">
        <w:t xml:space="preserve"> </w:t>
      </w:r>
      <w:r>
        <w:t xml:space="preserve">es siempre mayor a </w:t>
      </w:r>
      <w:smartTag w:uri="urn:schemas-microsoft-com:office:smarttags" w:element="PersonName">
        <w:smartTagPr>
          <w:attr w:name="ProductID" w:val="la TMAR"/>
        </w:smartTagPr>
        <w:r>
          <w:t>la T</w:t>
        </w:r>
        <w:r w:rsidR="0067684F">
          <w:t>MAR</w:t>
        </w:r>
      </w:smartTag>
      <w:r>
        <w:t xml:space="preserve">, que como recordaremos es de 30.31%. Esto quiere decir, que </w:t>
      </w:r>
      <w:r w:rsidR="0067684F">
        <w:t>las</w:t>
      </w:r>
      <w:r>
        <w:t xml:space="preserve"> probabilidades de que el proy</w:t>
      </w:r>
      <w:r w:rsidR="0067684F">
        <w:t xml:space="preserve">ecto no sea rentable son nulas. Cabe mencionar, que </w:t>
      </w:r>
      <w:smartTag w:uri="urn:schemas-microsoft-com:office:smarttags" w:element="PersonName">
        <w:smartTagPr>
          <w:attr w:name="ProductID" w:val="la TIR"/>
        </w:smartTagPr>
        <w:r w:rsidR="0067684F">
          <w:t>la TIR</w:t>
        </w:r>
      </w:smartTag>
      <w:r w:rsidR="0067684F">
        <w:t xml:space="preserve"> no es la mejor medida para evaluar proyectos de inversión, pero es una referencia muy importante.</w:t>
      </w:r>
    </w:p>
    <w:p w:rsidR="0067684F" w:rsidRDefault="0067684F" w:rsidP="00181E60">
      <w:pPr>
        <w:spacing w:line="480" w:lineRule="auto"/>
        <w:jc w:val="both"/>
      </w:pPr>
    </w:p>
    <w:p w:rsidR="002E51A0" w:rsidRPr="00181E60" w:rsidRDefault="0067684F" w:rsidP="00115804">
      <w:pPr>
        <w:spacing w:line="480" w:lineRule="auto"/>
        <w:ind w:firstLine="540"/>
        <w:jc w:val="both"/>
      </w:pPr>
      <w:r>
        <w:t>Consideremos que en la tabla No. 9 se muestra que para que la TIR sea igual o menos a la TMAR los ingresos deben caer en más del 70% de lo proyectado. Todo esto es coherente con el gráfico del VAN que se muestra a continuación:</w:t>
      </w:r>
    </w:p>
    <w:p w:rsidR="0067684F" w:rsidRPr="00115804" w:rsidRDefault="00115804" w:rsidP="00115804">
      <w:pPr>
        <w:spacing w:line="480" w:lineRule="auto"/>
        <w:ind w:firstLine="540"/>
        <w:jc w:val="both"/>
      </w:pPr>
      <w:r>
        <w:t>A continuación se muestra el gráfico</w:t>
      </w:r>
      <w:r w:rsidRPr="00B06B64">
        <w:t xml:space="preserve"> del análisis de sensibilid</w:t>
      </w:r>
      <w:r>
        <w:t xml:space="preserve">ad del proyecto con respecto </w:t>
      </w:r>
      <w:r w:rsidRPr="00B06B64">
        <w:t>al VAN:</w:t>
      </w:r>
    </w:p>
    <w:p w:rsidR="001C02E3" w:rsidRPr="004D468B" w:rsidRDefault="001C02E3" w:rsidP="001C02E3">
      <w:pPr>
        <w:spacing w:line="480" w:lineRule="auto"/>
        <w:jc w:val="center"/>
        <w:rPr>
          <w:b/>
        </w:rPr>
      </w:pPr>
      <w:r w:rsidRPr="005C667A">
        <w:rPr>
          <w:b/>
        </w:rPr>
        <w:t>Gráfico No. 36</w:t>
      </w:r>
    </w:p>
    <w:p w:rsidR="00E53343" w:rsidRPr="005C280F" w:rsidRDefault="008E6A4C" w:rsidP="005C280F">
      <w:pPr>
        <w:jc w:val="center"/>
      </w:pPr>
      <w:r>
        <w:rPr>
          <w:noProof/>
        </w:rPr>
        <w:drawing>
          <wp:inline distT="0" distB="0" distL="0" distR="0">
            <wp:extent cx="5200650" cy="250571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srcRect/>
                    <a:stretch>
                      <a:fillRect/>
                    </a:stretch>
                  </pic:blipFill>
                  <pic:spPr bwMode="auto">
                    <a:xfrm>
                      <a:off x="0" y="0"/>
                      <a:ext cx="5200650" cy="2505710"/>
                    </a:xfrm>
                    <a:prstGeom prst="rect">
                      <a:avLst/>
                    </a:prstGeom>
                    <a:noFill/>
                    <a:ln w="1">
                      <a:noFill/>
                      <a:miter lim="800000"/>
                      <a:headEnd/>
                      <a:tailEnd/>
                    </a:ln>
                    <a:effectLst/>
                  </pic:spPr>
                </pic:pic>
              </a:graphicData>
            </a:graphic>
          </wp:inline>
        </w:drawing>
      </w:r>
    </w:p>
    <w:p w:rsidR="00E53343" w:rsidRDefault="001C02E3" w:rsidP="001C02E3">
      <w:pPr>
        <w:spacing w:line="480" w:lineRule="auto"/>
        <w:jc w:val="center"/>
        <w:rPr>
          <w:i/>
          <w:sz w:val="20"/>
          <w:szCs w:val="20"/>
        </w:rPr>
      </w:pPr>
      <w:r>
        <w:rPr>
          <w:b/>
          <w:i/>
          <w:sz w:val="20"/>
          <w:szCs w:val="20"/>
        </w:rPr>
        <w:t>Elaboración</w:t>
      </w:r>
      <w:r w:rsidRPr="008D290B">
        <w:rPr>
          <w:b/>
          <w:i/>
          <w:sz w:val="20"/>
          <w:szCs w:val="20"/>
        </w:rPr>
        <w:t>:</w:t>
      </w:r>
      <w:r w:rsidRPr="008D290B">
        <w:rPr>
          <w:i/>
          <w:sz w:val="20"/>
          <w:szCs w:val="20"/>
        </w:rPr>
        <w:t xml:space="preserve"> </w:t>
      </w:r>
      <w:r>
        <w:rPr>
          <w:i/>
          <w:sz w:val="20"/>
          <w:szCs w:val="20"/>
        </w:rPr>
        <w:t>Los Autores</w:t>
      </w:r>
    </w:p>
    <w:p w:rsidR="00711DE6" w:rsidRDefault="00711DE6" w:rsidP="00711DE6">
      <w:pPr>
        <w:spacing w:line="480" w:lineRule="auto"/>
      </w:pPr>
    </w:p>
    <w:p w:rsidR="00B925CA" w:rsidRDefault="00711DE6" w:rsidP="00115804">
      <w:pPr>
        <w:spacing w:line="480" w:lineRule="auto"/>
        <w:ind w:firstLine="540"/>
        <w:jc w:val="both"/>
      </w:pPr>
      <w:r>
        <w:t xml:space="preserve">Podemos apreciar en la curva del gráfico No. 36, que </w:t>
      </w:r>
      <w:smartTag w:uri="urn:schemas-microsoft-com:office:smarttags" w:element="PersonName">
        <w:smartTagPr>
          <w:attr w:name="ProductID" w:val="la VAN"/>
        </w:smartTagPr>
        <w:r>
          <w:t>la VAN</w:t>
        </w:r>
      </w:smartTag>
      <w:r>
        <w:t xml:space="preserve"> </w:t>
      </w:r>
      <w:r w:rsidR="00B925CA">
        <w:t>del proyecto es</w:t>
      </w:r>
      <w:r>
        <w:t xml:space="preserve"> siempre positivo</w:t>
      </w:r>
      <w:r w:rsidR="00B925CA">
        <w:t xml:space="preserve"> o mayor a cero, a pesar de todas las iteraciones (trials) realizadas. El valor actual neto (VAN) es igual al valor presente descontada la inversión.</w:t>
      </w:r>
      <w:r w:rsidR="00115804">
        <w:t xml:space="preserve"> </w:t>
      </w:r>
      <w:r w:rsidR="00B925CA">
        <w:t xml:space="preserve">Estas conclusiones son coherentes con los resultados obtenidos en la simulación que se muestran en los anexos 14, 15, 16, 17 y 18. </w:t>
      </w:r>
      <w:r w:rsidR="00714AFA">
        <w:t>Dónde los coeficientes de variación de ambas mediciones son muy bajos, los cuáles miden el nivel de riesgo del proyecto.</w:t>
      </w:r>
    </w:p>
    <w:p w:rsidR="00714AFA" w:rsidRDefault="00714AFA" w:rsidP="00711DE6">
      <w:pPr>
        <w:spacing w:line="480" w:lineRule="auto"/>
      </w:pPr>
    </w:p>
    <w:p w:rsidR="00714AFA" w:rsidRPr="00711DE6" w:rsidRDefault="00714AFA" w:rsidP="00115804">
      <w:pPr>
        <w:spacing w:line="480" w:lineRule="auto"/>
        <w:ind w:firstLine="540"/>
        <w:jc w:val="both"/>
      </w:pPr>
      <w:r>
        <w:t xml:space="preserve">Todo esto nos muestra un proyecto con una TIR mayor a </w:t>
      </w:r>
      <w:smartTag w:uri="urn:schemas-microsoft-com:office:smarttags" w:element="PersonName">
        <w:smartTagPr>
          <w:attr w:name="ProductID" w:val="la TMAR"/>
        </w:smartTagPr>
        <w:r>
          <w:t>la TMAR</w:t>
        </w:r>
      </w:smartTag>
      <w:r>
        <w:t xml:space="preserve">, un VAN mayor a cero y bajo riesgo. Para que estos supuestos no se cumplan los ingresos tendrían que caer más del 70%, obteniendo una TIR menor a </w:t>
      </w:r>
      <w:smartTag w:uri="urn:schemas-microsoft-com:office:smarttags" w:element="PersonName">
        <w:smartTagPr>
          <w:attr w:name="ProductID" w:val="la TMAR."/>
        </w:smartTagPr>
        <w:r>
          <w:t>la TMAR.</w:t>
        </w:r>
      </w:smartTag>
    </w:p>
    <w:sectPr w:rsidR="00714AFA" w:rsidRPr="00711DE6" w:rsidSect="005D180E">
      <w:headerReference w:type="default" r:id="rId32"/>
      <w:pgSz w:w="11906" w:h="16838"/>
      <w:pgMar w:top="2268" w:right="1361" w:bottom="2268" w:left="2268" w:header="709" w:footer="709" w:gutter="0"/>
      <w:pgNumType w:start="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052" w:rsidRDefault="00300052">
      <w:r>
        <w:separator/>
      </w:r>
    </w:p>
  </w:endnote>
  <w:endnote w:type="continuationSeparator" w:id="1">
    <w:p w:rsidR="00300052" w:rsidRDefault="003000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052" w:rsidRDefault="00300052">
      <w:r>
        <w:separator/>
      </w:r>
    </w:p>
  </w:footnote>
  <w:footnote w:type="continuationSeparator" w:id="1">
    <w:p w:rsidR="00300052" w:rsidRDefault="00300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5A" w:rsidRDefault="00A3065A" w:rsidP="00E34458">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8E6A4C">
      <w:rPr>
        <w:rStyle w:val="Nmerodepgina"/>
        <w:noProof/>
      </w:rPr>
      <w:t>83</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A14C5"/>
    <w:multiLevelType w:val="hybridMultilevel"/>
    <w:tmpl w:val="F856A0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E6F78"/>
    <w:rsid w:val="00001A6C"/>
    <w:rsid w:val="00003D00"/>
    <w:rsid w:val="00004316"/>
    <w:rsid w:val="000054E9"/>
    <w:rsid w:val="00007AA9"/>
    <w:rsid w:val="00010409"/>
    <w:rsid w:val="000113EB"/>
    <w:rsid w:val="00013DBB"/>
    <w:rsid w:val="00014F4A"/>
    <w:rsid w:val="0001585D"/>
    <w:rsid w:val="00021FBF"/>
    <w:rsid w:val="00023026"/>
    <w:rsid w:val="00027C1F"/>
    <w:rsid w:val="0003305A"/>
    <w:rsid w:val="00034796"/>
    <w:rsid w:val="00035E39"/>
    <w:rsid w:val="0004110F"/>
    <w:rsid w:val="0004177A"/>
    <w:rsid w:val="00045479"/>
    <w:rsid w:val="00047970"/>
    <w:rsid w:val="000514FF"/>
    <w:rsid w:val="00051F14"/>
    <w:rsid w:val="00056E90"/>
    <w:rsid w:val="000603C9"/>
    <w:rsid w:val="00061725"/>
    <w:rsid w:val="000642CC"/>
    <w:rsid w:val="0006585C"/>
    <w:rsid w:val="00074F7E"/>
    <w:rsid w:val="00081304"/>
    <w:rsid w:val="0009166F"/>
    <w:rsid w:val="00096894"/>
    <w:rsid w:val="000A0F40"/>
    <w:rsid w:val="000A444B"/>
    <w:rsid w:val="000A484D"/>
    <w:rsid w:val="000A7105"/>
    <w:rsid w:val="000B1B26"/>
    <w:rsid w:val="000B1B9E"/>
    <w:rsid w:val="000C1BFA"/>
    <w:rsid w:val="000D0706"/>
    <w:rsid w:val="000D2228"/>
    <w:rsid w:val="000D6EAC"/>
    <w:rsid w:val="000E35B2"/>
    <w:rsid w:val="000E5689"/>
    <w:rsid w:val="000F4F07"/>
    <w:rsid w:val="000F5242"/>
    <w:rsid w:val="000F599A"/>
    <w:rsid w:val="00100797"/>
    <w:rsid w:val="00101C5A"/>
    <w:rsid w:val="0010547E"/>
    <w:rsid w:val="00105968"/>
    <w:rsid w:val="00105ECD"/>
    <w:rsid w:val="00112ABA"/>
    <w:rsid w:val="00115804"/>
    <w:rsid w:val="00115A51"/>
    <w:rsid w:val="00117528"/>
    <w:rsid w:val="0012020A"/>
    <w:rsid w:val="001233FB"/>
    <w:rsid w:val="00125490"/>
    <w:rsid w:val="00127525"/>
    <w:rsid w:val="00131C9F"/>
    <w:rsid w:val="00131D77"/>
    <w:rsid w:val="00133E60"/>
    <w:rsid w:val="001346E7"/>
    <w:rsid w:val="00135C6E"/>
    <w:rsid w:val="0014322E"/>
    <w:rsid w:val="00145766"/>
    <w:rsid w:val="00150FFD"/>
    <w:rsid w:val="00153D32"/>
    <w:rsid w:val="00154639"/>
    <w:rsid w:val="00155245"/>
    <w:rsid w:val="001752EF"/>
    <w:rsid w:val="0018197F"/>
    <w:rsid w:val="00181E60"/>
    <w:rsid w:val="00185B86"/>
    <w:rsid w:val="00192CB0"/>
    <w:rsid w:val="00193118"/>
    <w:rsid w:val="00193779"/>
    <w:rsid w:val="00195618"/>
    <w:rsid w:val="001A17B2"/>
    <w:rsid w:val="001B0F7D"/>
    <w:rsid w:val="001B302B"/>
    <w:rsid w:val="001B6A9B"/>
    <w:rsid w:val="001C02E3"/>
    <w:rsid w:val="001C2448"/>
    <w:rsid w:val="001C2990"/>
    <w:rsid w:val="001C3138"/>
    <w:rsid w:val="001C4825"/>
    <w:rsid w:val="001C6060"/>
    <w:rsid w:val="001C74D7"/>
    <w:rsid w:val="001C79F1"/>
    <w:rsid w:val="001D33DA"/>
    <w:rsid w:val="001D5600"/>
    <w:rsid w:val="001E332D"/>
    <w:rsid w:val="001F56BD"/>
    <w:rsid w:val="00202131"/>
    <w:rsid w:val="00202F9F"/>
    <w:rsid w:val="00205F86"/>
    <w:rsid w:val="002078A6"/>
    <w:rsid w:val="00217A7F"/>
    <w:rsid w:val="002203C5"/>
    <w:rsid w:val="00224339"/>
    <w:rsid w:val="00227F37"/>
    <w:rsid w:val="00230334"/>
    <w:rsid w:val="00230664"/>
    <w:rsid w:val="00237CFA"/>
    <w:rsid w:val="002443F8"/>
    <w:rsid w:val="00245A38"/>
    <w:rsid w:val="0024619E"/>
    <w:rsid w:val="00251E35"/>
    <w:rsid w:val="00253383"/>
    <w:rsid w:val="0025753C"/>
    <w:rsid w:val="00260DF0"/>
    <w:rsid w:val="002636C3"/>
    <w:rsid w:val="00271889"/>
    <w:rsid w:val="0027706B"/>
    <w:rsid w:val="00277E89"/>
    <w:rsid w:val="00287255"/>
    <w:rsid w:val="0029056B"/>
    <w:rsid w:val="00291A99"/>
    <w:rsid w:val="0029454A"/>
    <w:rsid w:val="0029479B"/>
    <w:rsid w:val="0029570F"/>
    <w:rsid w:val="002A3C66"/>
    <w:rsid w:val="002A6810"/>
    <w:rsid w:val="002A6EAE"/>
    <w:rsid w:val="002B1316"/>
    <w:rsid w:val="002B39E7"/>
    <w:rsid w:val="002C5DDC"/>
    <w:rsid w:val="002D11A8"/>
    <w:rsid w:val="002D2325"/>
    <w:rsid w:val="002D3686"/>
    <w:rsid w:val="002D5A15"/>
    <w:rsid w:val="002D7490"/>
    <w:rsid w:val="002E51A0"/>
    <w:rsid w:val="002F1365"/>
    <w:rsid w:val="002F3979"/>
    <w:rsid w:val="002F549A"/>
    <w:rsid w:val="002F5B85"/>
    <w:rsid w:val="002F5D4A"/>
    <w:rsid w:val="002F6390"/>
    <w:rsid w:val="002F6F52"/>
    <w:rsid w:val="00300052"/>
    <w:rsid w:val="00301F5A"/>
    <w:rsid w:val="0030381A"/>
    <w:rsid w:val="00307257"/>
    <w:rsid w:val="0030771A"/>
    <w:rsid w:val="00307A7B"/>
    <w:rsid w:val="003108C5"/>
    <w:rsid w:val="00310D83"/>
    <w:rsid w:val="00313744"/>
    <w:rsid w:val="00326385"/>
    <w:rsid w:val="0033023E"/>
    <w:rsid w:val="00330FD6"/>
    <w:rsid w:val="0033296E"/>
    <w:rsid w:val="003344DD"/>
    <w:rsid w:val="0033510F"/>
    <w:rsid w:val="003442DD"/>
    <w:rsid w:val="00351BB2"/>
    <w:rsid w:val="00355C0B"/>
    <w:rsid w:val="00363C03"/>
    <w:rsid w:val="00367495"/>
    <w:rsid w:val="00370C76"/>
    <w:rsid w:val="00371DB7"/>
    <w:rsid w:val="00373307"/>
    <w:rsid w:val="0037471E"/>
    <w:rsid w:val="00375292"/>
    <w:rsid w:val="003844AD"/>
    <w:rsid w:val="0038537B"/>
    <w:rsid w:val="003870F9"/>
    <w:rsid w:val="003A3587"/>
    <w:rsid w:val="003A7452"/>
    <w:rsid w:val="003B17B7"/>
    <w:rsid w:val="003B213A"/>
    <w:rsid w:val="003C2E6E"/>
    <w:rsid w:val="003C7C61"/>
    <w:rsid w:val="003F0933"/>
    <w:rsid w:val="003F6672"/>
    <w:rsid w:val="00401949"/>
    <w:rsid w:val="00403FCA"/>
    <w:rsid w:val="004055DA"/>
    <w:rsid w:val="00406B57"/>
    <w:rsid w:val="00410C37"/>
    <w:rsid w:val="00415BD7"/>
    <w:rsid w:val="004163EC"/>
    <w:rsid w:val="00416E21"/>
    <w:rsid w:val="00417FF6"/>
    <w:rsid w:val="00420A21"/>
    <w:rsid w:val="004262A0"/>
    <w:rsid w:val="0043226D"/>
    <w:rsid w:val="00432E44"/>
    <w:rsid w:val="004405A8"/>
    <w:rsid w:val="00441CC5"/>
    <w:rsid w:val="004479AB"/>
    <w:rsid w:val="00450523"/>
    <w:rsid w:val="00453276"/>
    <w:rsid w:val="00454417"/>
    <w:rsid w:val="00457C02"/>
    <w:rsid w:val="00457D6E"/>
    <w:rsid w:val="00463BC6"/>
    <w:rsid w:val="0047034A"/>
    <w:rsid w:val="00470A93"/>
    <w:rsid w:val="00473520"/>
    <w:rsid w:val="00476D7E"/>
    <w:rsid w:val="00482AA8"/>
    <w:rsid w:val="00484727"/>
    <w:rsid w:val="00486C6B"/>
    <w:rsid w:val="00491BA9"/>
    <w:rsid w:val="00495AC9"/>
    <w:rsid w:val="004963A4"/>
    <w:rsid w:val="004967B2"/>
    <w:rsid w:val="00496F0B"/>
    <w:rsid w:val="00497DCC"/>
    <w:rsid w:val="004A2505"/>
    <w:rsid w:val="004A679E"/>
    <w:rsid w:val="004A7E4D"/>
    <w:rsid w:val="004B44F5"/>
    <w:rsid w:val="004B6D00"/>
    <w:rsid w:val="004D21A0"/>
    <w:rsid w:val="004D468B"/>
    <w:rsid w:val="004E518C"/>
    <w:rsid w:val="004F0F0C"/>
    <w:rsid w:val="004F71A2"/>
    <w:rsid w:val="005003CC"/>
    <w:rsid w:val="00502BE1"/>
    <w:rsid w:val="00506576"/>
    <w:rsid w:val="005152D1"/>
    <w:rsid w:val="005154E9"/>
    <w:rsid w:val="00516DA4"/>
    <w:rsid w:val="005173DF"/>
    <w:rsid w:val="00524323"/>
    <w:rsid w:val="0052531C"/>
    <w:rsid w:val="00527123"/>
    <w:rsid w:val="00530C3D"/>
    <w:rsid w:val="005318D8"/>
    <w:rsid w:val="00534477"/>
    <w:rsid w:val="00535D8F"/>
    <w:rsid w:val="0053644C"/>
    <w:rsid w:val="00540E55"/>
    <w:rsid w:val="00542715"/>
    <w:rsid w:val="00542816"/>
    <w:rsid w:val="00545AEE"/>
    <w:rsid w:val="00546759"/>
    <w:rsid w:val="0055097E"/>
    <w:rsid w:val="005526D6"/>
    <w:rsid w:val="00553BA6"/>
    <w:rsid w:val="00562793"/>
    <w:rsid w:val="005667E6"/>
    <w:rsid w:val="005672BC"/>
    <w:rsid w:val="00570B9C"/>
    <w:rsid w:val="0057567D"/>
    <w:rsid w:val="00580049"/>
    <w:rsid w:val="00581580"/>
    <w:rsid w:val="00581E15"/>
    <w:rsid w:val="00582994"/>
    <w:rsid w:val="005839D5"/>
    <w:rsid w:val="00585665"/>
    <w:rsid w:val="005932FF"/>
    <w:rsid w:val="00593D43"/>
    <w:rsid w:val="00595559"/>
    <w:rsid w:val="00596765"/>
    <w:rsid w:val="005A1EC3"/>
    <w:rsid w:val="005A6DC5"/>
    <w:rsid w:val="005B0C0D"/>
    <w:rsid w:val="005B132F"/>
    <w:rsid w:val="005B4E38"/>
    <w:rsid w:val="005B6CFB"/>
    <w:rsid w:val="005C0F9D"/>
    <w:rsid w:val="005C280F"/>
    <w:rsid w:val="005C40C1"/>
    <w:rsid w:val="005C40EF"/>
    <w:rsid w:val="005C667A"/>
    <w:rsid w:val="005D180E"/>
    <w:rsid w:val="005D3CED"/>
    <w:rsid w:val="005D5EE4"/>
    <w:rsid w:val="005E3117"/>
    <w:rsid w:val="005F5055"/>
    <w:rsid w:val="005F60E2"/>
    <w:rsid w:val="00603E9E"/>
    <w:rsid w:val="00604803"/>
    <w:rsid w:val="0060639A"/>
    <w:rsid w:val="00606A22"/>
    <w:rsid w:val="00607666"/>
    <w:rsid w:val="00624295"/>
    <w:rsid w:val="006266F3"/>
    <w:rsid w:val="00627A5C"/>
    <w:rsid w:val="006406F5"/>
    <w:rsid w:val="006456D9"/>
    <w:rsid w:val="00645732"/>
    <w:rsid w:val="00652157"/>
    <w:rsid w:val="00654CCC"/>
    <w:rsid w:val="00655BE0"/>
    <w:rsid w:val="006562DE"/>
    <w:rsid w:val="00656581"/>
    <w:rsid w:val="0065662E"/>
    <w:rsid w:val="0066196A"/>
    <w:rsid w:val="00672CC8"/>
    <w:rsid w:val="0067684F"/>
    <w:rsid w:val="00677E24"/>
    <w:rsid w:val="00692331"/>
    <w:rsid w:val="00695149"/>
    <w:rsid w:val="006A5E10"/>
    <w:rsid w:val="006C1AC7"/>
    <w:rsid w:val="006D1947"/>
    <w:rsid w:val="006D26A5"/>
    <w:rsid w:val="006E46CF"/>
    <w:rsid w:val="006F1695"/>
    <w:rsid w:val="006F2BCF"/>
    <w:rsid w:val="006F3816"/>
    <w:rsid w:val="00701794"/>
    <w:rsid w:val="007037C4"/>
    <w:rsid w:val="00703D30"/>
    <w:rsid w:val="00705C71"/>
    <w:rsid w:val="00710EC2"/>
    <w:rsid w:val="00711DE6"/>
    <w:rsid w:val="00712550"/>
    <w:rsid w:val="00714AFA"/>
    <w:rsid w:val="007160D3"/>
    <w:rsid w:val="007201E5"/>
    <w:rsid w:val="00723EB3"/>
    <w:rsid w:val="00732E4E"/>
    <w:rsid w:val="0073469F"/>
    <w:rsid w:val="00737732"/>
    <w:rsid w:val="00740593"/>
    <w:rsid w:val="0074197E"/>
    <w:rsid w:val="00743BCB"/>
    <w:rsid w:val="00745B3E"/>
    <w:rsid w:val="00745EB3"/>
    <w:rsid w:val="007515C6"/>
    <w:rsid w:val="00753C40"/>
    <w:rsid w:val="00755C1E"/>
    <w:rsid w:val="00756A4F"/>
    <w:rsid w:val="00762DF2"/>
    <w:rsid w:val="00763D9C"/>
    <w:rsid w:val="00766463"/>
    <w:rsid w:val="007678D0"/>
    <w:rsid w:val="00774C48"/>
    <w:rsid w:val="00775158"/>
    <w:rsid w:val="00777B61"/>
    <w:rsid w:val="00785B86"/>
    <w:rsid w:val="00787108"/>
    <w:rsid w:val="0079020B"/>
    <w:rsid w:val="00792674"/>
    <w:rsid w:val="00795B55"/>
    <w:rsid w:val="007A2D85"/>
    <w:rsid w:val="007A3621"/>
    <w:rsid w:val="007A4BCA"/>
    <w:rsid w:val="007A5B0A"/>
    <w:rsid w:val="007B1AB6"/>
    <w:rsid w:val="007B1D3D"/>
    <w:rsid w:val="007B6411"/>
    <w:rsid w:val="007B73B3"/>
    <w:rsid w:val="007C0A4A"/>
    <w:rsid w:val="007C21D7"/>
    <w:rsid w:val="007D0193"/>
    <w:rsid w:val="007E0A12"/>
    <w:rsid w:val="007E1D0E"/>
    <w:rsid w:val="007E2BAB"/>
    <w:rsid w:val="007E4A9E"/>
    <w:rsid w:val="007E6975"/>
    <w:rsid w:val="007F1116"/>
    <w:rsid w:val="007F5050"/>
    <w:rsid w:val="007F5E3B"/>
    <w:rsid w:val="00801BA3"/>
    <w:rsid w:val="00815D0A"/>
    <w:rsid w:val="00823B05"/>
    <w:rsid w:val="00824076"/>
    <w:rsid w:val="00830FEA"/>
    <w:rsid w:val="00834191"/>
    <w:rsid w:val="008369A8"/>
    <w:rsid w:val="00843EDA"/>
    <w:rsid w:val="00845B2E"/>
    <w:rsid w:val="008465D5"/>
    <w:rsid w:val="00853E6B"/>
    <w:rsid w:val="00860024"/>
    <w:rsid w:val="008607AC"/>
    <w:rsid w:val="00863F08"/>
    <w:rsid w:val="008656C6"/>
    <w:rsid w:val="0086621C"/>
    <w:rsid w:val="008678BF"/>
    <w:rsid w:val="00873435"/>
    <w:rsid w:val="00877C8F"/>
    <w:rsid w:val="00882A5A"/>
    <w:rsid w:val="00882EEE"/>
    <w:rsid w:val="0088348E"/>
    <w:rsid w:val="008912F6"/>
    <w:rsid w:val="008971F5"/>
    <w:rsid w:val="008A3ABA"/>
    <w:rsid w:val="008A7CD0"/>
    <w:rsid w:val="008B35A3"/>
    <w:rsid w:val="008B6EE3"/>
    <w:rsid w:val="008B7049"/>
    <w:rsid w:val="008C1DEF"/>
    <w:rsid w:val="008C57F0"/>
    <w:rsid w:val="008D290B"/>
    <w:rsid w:val="008D5095"/>
    <w:rsid w:val="008D646E"/>
    <w:rsid w:val="008E6A4C"/>
    <w:rsid w:val="008F1005"/>
    <w:rsid w:val="008F189F"/>
    <w:rsid w:val="008F5C09"/>
    <w:rsid w:val="008F777D"/>
    <w:rsid w:val="0090014C"/>
    <w:rsid w:val="00906BB4"/>
    <w:rsid w:val="00910968"/>
    <w:rsid w:val="00910F1C"/>
    <w:rsid w:val="00922CD7"/>
    <w:rsid w:val="009253B8"/>
    <w:rsid w:val="00930484"/>
    <w:rsid w:val="009327A7"/>
    <w:rsid w:val="00941390"/>
    <w:rsid w:val="00944278"/>
    <w:rsid w:val="0094642F"/>
    <w:rsid w:val="009507CF"/>
    <w:rsid w:val="00961726"/>
    <w:rsid w:val="00977B50"/>
    <w:rsid w:val="009810B4"/>
    <w:rsid w:val="00991086"/>
    <w:rsid w:val="009914A8"/>
    <w:rsid w:val="009926AF"/>
    <w:rsid w:val="009A2ED4"/>
    <w:rsid w:val="009A3DAE"/>
    <w:rsid w:val="009A6477"/>
    <w:rsid w:val="009A65F5"/>
    <w:rsid w:val="009B1B70"/>
    <w:rsid w:val="009B1EBB"/>
    <w:rsid w:val="009B2A0E"/>
    <w:rsid w:val="009B68F3"/>
    <w:rsid w:val="009C35FC"/>
    <w:rsid w:val="009C592B"/>
    <w:rsid w:val="009C7AD0"/>
    <w:rsid w:val="009D0AC6"/>
    <w:rsid w:val="009D0B22"/>
    <w:rsid w:val="009D2808"/>
    <w:rsid w:val="009D5042"/>
    <w:rsid w:val="009D5A55"/>
    <w:rsid w:val="009D6B7E"/>
    <w:rsid w:val="009E4EA9"/>
    <w:rsid w:val="009E6630"/>
    <w:rsid w:val="009F2F3B"/>
    <w:rsid w:val="009F3B9F"/>
    <w:rsid w:val="009F71B4"/>
    <w:rsid w:val="00A00645"/>
    <w:rsid w:val="00A12459"/>
    <w:rsid w:val="00A15F0A"/>
    <w:rsid w:val="00A170AC"/>
    <w:rsid w:val="00A24458"/>
    <w:rsid w:val="00A254B7"/>
    <w:rsid w:val="00A27659"/>
    <w:rsid w:val="00A3065A"/>
    <w:rsid w:val="00A353CB"/>
    <w:rsid w:val="00A3658F"/>
    <w:rsid w:val="00A400A5"/>
    <w:rsid w:val="00A44FE4"/>
    <w:rsid w:val="00A45E3E"/>
    <w:rsid w:val="00A47FC3"/>
    <w:rsid w:val="00A5031D"/>
    <w:rsid w:val="00A5447D"/>
    <w:rsid w:val="00A547A3"/>
    <w:rsid w:val="00A554DD"/>
    <w:rsid w:val="00A56760"/>
    <w:rsid w:val="00A6040F"/>
    <w:rsid w:val="00A71F60"/>
    <w:rsid w:val="00A72442"/>
    <w:rsid w:val="00A74D93"/>
    <w:rsid w:val="00A810FD"/>
    <w:rsid w:val="00A81D9E"/>
    <w:rsid w:val="00A852F2"/>
    <w:rsid w:val="00A85A9F"/>
    <w:rsid w:val="00A937EC"/>
    <w:rsid w:val="00A9596B"/>
    <w:rsid w:val="00AA193E"/>
    <w:rsid w:val="00AA3E31"/>
    <w:rsid w:val="00AA69FC"/>
    <w:rsid w:val="00AA6FDD"/>
    <w:rsid w:val="00AB03C9"/>
    <w:rsid w:val="00AB27F7"/>
    <w:rsid w:val="00AB3E90"/>
    <w:rsid w:val="00AB6A7D"/>
    <w:rsid w:val="00AB6F33"/>
    <w:rsid w:val="00AC0E84"/>
    <w:rsid w:val="00AC3BE7"/>
    <w:rsid w:val="00AE68CB"/>
    <w:rsid w:val="00AF0C3C"/>
    <w:rsid w:val="00AF0CF4"/>
    <w:rsid w:val="00AF5245"/>
    <w:rsid w:val="00AF7725"/>
    <w:rsid w:val="00B02747"/>
    <w:rsid w:val="00B05158"/>
    <w:rsid w:val="00B06B64"/>
    <w:rsid w:val="00B13A3D"/>
    <w:rsid w:val="00B13E26"/>
    <w:rsid w:val="00B17F05"/>
    <w:rsid w:val="00B21A9B"/>
    <w:rsid w:val="00B2612A"/>
    <w:rsid w:val="00B26945"/>
    <w:rsid w:val="00B27ED4"/>
    <w:rsid w:val="00B36EF8"/>
    <w:rsid w:val="00B371D0"/>
    <w:rsid w:val="00B41399"/>
    <w:rsid w:val="00B440DE"/>
    <w:rsid w:val="00B50591"/>
    <w:rsid w:val="00B509B1"/>
    <w:rsid w:val="00B52583"/>
    <w:rsid w:val="00B5506D"/>
    <w:rsid w:val="00B616F4"/>
    <w:rsid w:val="00B62AB0"/>
    <w:rsid w:val="00B67A71"/>
    <w:rsid w:val="00B67B8E"/>
    <w:rsid w:val="00B67FFE"/>
    <w:rsid w:val="00B76270"/>
    <w:rsid w:val="00B832AC"/>
    <w:rsid w:val="00B83FDC"/>
    <w:rsid w:val="00B84C30"/>
    <w:rsid w:val="00B8505A"/>
    <w:rsid w:val="00B925CA"/>
    <w:rsid w:val="00B92CFD"/>
    <w:rsid w:val="00B938FF"/>
    <w:rsid w:val="00B95DB0"/>
    <w:rsid w:val="00B975F0"/>
    <w:rsid w:val="00BA26A1"/>
    <w:rsid w:val="00BA2D75"/>
    <w:rsid w:val="00BA4F6B"/>
    <w:rsid w:val="00BB0666"/>
    <w:rsid w:val="00BB261B"/>
    <w:rsid w:val="00BC026B"/>
    <w:rsid w:val="00BC4FA6"/>
    <w:rsid w:val="00BD201B"/>
    <w:rsid w:val="00BD4923"/>
    <w:rsid w:val="00BD5E56"/>
    <w:rsid w:val="00BE39E0"/>
    <w:rsid w:val="00BE52A7"/>
    <w:rsid w:val="00BE62C4"/>
    <w:rsid w:val="00BE6CCD"/>
    <w:rsid w:val="00BE7553"/>
    <w:rsid w:val="00BF0D12"/>
    <w:rsid w:val="00BF5173"/>
    <w:rsid w:val="00BF543D"/>
    <w:rsid w:val="00BF5F26"/>
    <w:rsid w:val="00C013ED"/>
    <w:rsid w:val="00C05C31"/>
    <w:rsid w:val="00C0619B"/>
    <w:rsid w:val="00C106F0"/>
    <w:rsid w:val="00C1261B"/>
    <w:rsid w:val="00C14993"/>
    <w:rsid w:val="00C21DD5"/>
    <w:rsid w:val="00C30155"/>
    <w:rsid w:val="00C304D6"/>
    <w:rsid w:val="00C316A7"/>
    <w:rsid w:val="00C321B3"/>
    <w:rsid w:val="00C330D7"/>
    <w:rsid w:val="00C33653"/>
    <w:rsid w:val="00C3662A"/>
    <w:rsid w:val="00C43382"/>
    <w:rsid w:val="00C4369B"/>
    <w:rsid w:val="00C53484"/>
    <w:rsid w:val="00C53AA6"/>
    <w:rsid w:val="00C558DF"/>
    <w:rsid w:val="00C6373C"/>
    <w:rsid w:val="00C65C7E"/>
    <w:rsid w:val="00C678B2"/>
    <w:rsid w:val="00C7082B"/>
    <w:rsid w:val="00C756AD"/>
    <w:rsid w:val="00C77BCA"/>
    <w:rsid w:val="00C86EE0"/>
    <w:rsid w:val="00C8790B"/>
    <w:rsid w:val="00CA3B59"/>
    <w:rsid w:val="00CB03F5"/>
    <w:rsid w:val="00CB1B51"/>
    <w:rsid w:val="00CB22A1"/>
    <w:rsid w:val="00CB59C5"/>
    <w:rsid w:val="00CB5BEC"/>
    <w:rsid w:val="00CC43B9"/>
    <w:rsid w:val="00CC4D8B"/>
    <w:rsid w:val="00CC6A9B"/>
    <w:rsid w:val="00CD2375"/>
    <w:rsid w:val="00CD2FF8"/>
    <w:rsid w:val="00CD57FF"/>
    <w:rsid w:val="00CE1067"/>
    <w:rsid w:val="00CE542E"/>
    <w:rsid w:val="00CE55C6"/>
    <w:rsid w:val="00CE65AE"/>
    <w:rsid w:val="00CF1634"/>
    <w:rsid w:val="00CF4F12"/>
    <w:rsid w:val="00D1641A"/>
    <w:rsid w:val="00D22E2A"/>
    <w:rsid w:val="00D3302B"/>
    <w:rsid w:val="00D37EC2"/>
    <w:rsid w:val="00D42019"/>
    <w:rsid w:val="00D44CF7"/>
    <w:rsid w:val="00D54156"/>
    <w:rsid w:val="00D55FD4"/>
    <w:rsid w:val="00D617B8"/>
    <w:rsid w:val="00D712CD"/>
    <w:rsid w:val="00D77EB7"/>
    <w:rsid w:val="00D81617"/>
    <w:rsid w:val="00D837F7"/>
    <w:rsid w:val="00D86236"/>
    <w:rsid w:val="00D86B35"/>
    <w:rsid w:val="00D86D79"/>
    <w:rsid w:val="00DA2588"/>
    <w:rsid w:val="00DA4366"/>
    <w:rsid w:val="00DA5265"/>
    <w:rsid w:val="00DB0689"/>
    <w:rsid w:val="00DB5D84"/>
    <w:rsid w:val="00DC07A4"/>
    <w:rsid w:val="00DC0C86"/>
    <w:rsid w:val="00DC2D88"/>
    <w:rsid w:val="00DC6FDE"/>
    <w:rsid w:val="00DD2D03"/>
    <w:rsid w:val="00DD6F7C"/>
    <w:rsid w:val="00DE31DF"/>
    <w:rsid w:val="00DE67C2"/>
    <w:rsid w:val="00DE7E06"/>
    <w:rsid w:val="00DF0BBF"/>
    <w:rsid w:val="00DF51CD"/>
    <w:rsid w:val="00E00FBB"/>
    <w:rsid w:val="00E015F9"/>
    <w:rsid w:val="00E01A71"/>
    <w:rsid w:val="00E027A2"/>
    <w:rsid w:val="00E02D54"/>
    <w:rsid w:val="00E04111"/>
    <w:rsid w:val="00E043D4"/>
    <w:rsid w:val="00E0602B"/>
    <w:rsid w:val="00E060CA"/>
    <w:rsid w:val="00E107DC"/>
    <w:rsid w:val="00E11049"/>
    <w:rsid w:val="00E1169E"/>
    <w:rsid w:val="00E12F1F"/>
    <w:rsid w:val="00E134E8"/>
    <w:rsid w:val="00E253B5"/>
    <w:rsid w:val="00E33D9A"/>
    <w:rsid w:val="00E34458"/>
    <w:rsid w:val="00E36583"/>
    <w:rsid w:val="00E44056"/>
    <w:rsid w:val="00E53343"/>
    <w:rsid w:val="00E55750"/>
    <w:rsid w:val="00E576E5"/>
    <w:rsid w:val="00E57EBF"/>
    <w:rsid w:val="00E61A1F"/>
    <w:rsid w:val="00E6670C"/>
    <w:rsid w:val="00E827D3"/>
    <w:rsid w:val="00E84B0A"/>
    <w:rsid w:val="00E862CC"/>
    <w:rsid w:val="00E9622F"/>
    <w:rsid w:val="00E97AFE"/>
    <w:rsid w:val="00EB413A"/>
    <w:rsid w:val="00EB5D8C"/>
    <w:rsid w:val="00EB5FBA"/>
    <w:rsid w:val="00EC1347"/>
    <w:rsid w:val="00EC2A9B"/>
    <w:rsid w:val="00EC4472"/>
    <w:rsid w:val="00EC70AE"/>
    <w:rsid w:val="00EC7B9B"/>
    <w:rsid w:val="00ED2C87"/>
    <w:rsid w:val="00ED3A11"/>
    <w:rsid w:val="00EE04FA"/>
    <w:rsid w:val="00EE49CA"/>
    <w:rsid w:val="00EE5E75"/>
    <w:rsid w:val="00EE6F78"/>
    <w:rsid w:val="00EE7621"/>
    <w:rsid w:val="00EF0E9F"/>
    <w:rsid w:val="00EF4510"/>
    <w:rsid w:val="00EF6724"/>
    <w:rsid w:val="00F0061A"/>
    <w:rsid w:val="00F00672"/>
    <w:rsid w:val="00F05254"/>
    <w:rsid w:val="00F10A86"/>
    <w:rsid w:val="00F11279"/>
    <w:rsid w:val="00F1744C"/>
    <w:rsid w:val="00F26BEA"/>
    <w:rsid w:val="00F335EE"/>
    <w:rsid w:val="00F4299A"/>
    <w:rsid w:val="00F46656"/>
    <w:rsid w:val="00F51D6F"/>
    <w:rsid w:val="00F530FB"/>
    <w:rsid w:val="00F54ABB"/>
    <w:rsid w:val="00F62269"/>
    <w:rsid w:val="00F63856"/>
    <w:rsid w:val="00F667FF"/>
    <w:rsid w:val="00F74655"/>
    <w:rsid w:val="00F746A7"/>
    <w:rsid w:val="00F768A3"/>
    <w:rsid w:val="00F777AA"/>
    <w:rsid w:val="00F84146"/>
    <w:rsid w:val="00F84FC0"/>
    <w:rsid w:val="00F90659"/>
    <w:rsid w:val="00F92E66"/>
    <w:rsid w:val="00F960F9"/>
    <w:rsid w:val="00FA0BCD"/>
    <w:rsid w:val="00FA16CD"/>
    <w:rsid w:val="00FA25B8"/>
    <w:rsid w:val="00FA27C3"/>
    <w:rsid w:val="00FA4B3D"/>
    <w:rsid w:val="00FA5EBB"/>
    <w:rsid w:val="00FA699E"/>
    <w:rsid w:val="00FC16A1"/>
    <w:rsid w:val="00FC2873"/>
    <w:rsid w:val="00FC3EA2"/>
    <w:rsid w:val="00FC624A"/>
    <w:rsid w:val="00FC6AA4"/>
    <w:rsid w:val="00FD11A7"/>
    <w:rsid w:val="00FD3328"/>
    <w:rsid w:val="00FD7F5C"/>
    <w:rsid w:val="00FE25F0"/>
    <w:rsid w:val="00FE78A9"/>
    <w:rsid w:val="00FF02C0"/>
    <w:rsid w:val="00FF1C15"/>
    <w:rsid w:val="00FF2EB4"/>
    <w:rsid w:val="00FF38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EC4472"/>
    <w:rPr>
      <w:rFonts w:ascii="Tahoma" w:hAnsi="Tahoma" w:cs="Tahoma"/>
      <w:sz w:val="16"/>
      <w:szCs w:val="16"/>
    </w:rPr>
  </w:style>
  <w:style w:type="paragraph" w:styleId="Encabezado">
    <w:name w:val="header"/>
    <w:basedOn w:val="Normal"/>
    <w:rsid w:val="00E34458"/>
    <w:pPr>
      <w:tabs>
        <w:tab w:val="center" w:pos="4252"/>
        <w:tab w:val="right" w:pos="8504"/>
      </w:tabs>
    </w:pPr>
  </w:style>
  <w:style w:type="paragraph" w:styleId="Piedepgina">
    <w:name w:val="footer"/>
    <w:basedOn w:val="Normal"/>
    <w:rsid w:val="00E34458"/>
    <w:pPr>
      <w:tabs>
        <w:tab w:val="center" w:pos="4252"/>
        <w:tab w:val="right" w:pos="8504"/>
      </w:tabs>
    </w:pPr>
  </w:style>
  <w:style w:type="character" w:styleId="Nmerodepgina">
    <w:name w:val="page number"/>
    <w:basedOn w:val="Fuentedeprrafopredeter"/>
    <w:rsid w:val="00E34458"/>
  </w:style>
  <w:style w:type="character" w:styleId="Hipervnculo">
    <w:name w:val="Hyperlink"/>
    <w:basedOn w:val="Fuentedeprrafopredeter"/>
    <w:rsid w:val="00DC2D88"/>
    <w:rPr>
      <w:color w:val="0000FF"/>
      <w:u w:val="single"/>
    </w:rPr>
  </w:style>
</w:styles>
</file>

<file path=word/webSettings.xml><?xml version="1.0" encoding="utf-8"?>
<w:webSettings xmlns:r="http://schemas.openxmlformats.org/officeDocument/2006/relationships" xmlns:w="http://schemas.openxmlformats.org/wordprocessingml/2006/main">
  <w:divs>
    <w:div w:id="29575967">
      <w:bodyDiv w:val="1"/>
      <w:marLeft w:val="0"/>
      <w:marRight w:val="0"/>
      <w:marTop w:val="0"/>
      <w:marBottom w:val="0"/>
      <w:divBdr>
        <w:top w:val="none" w:sz="0" w:space="0" w:color="auto"/>
        <w:left w:val="none" w:sz="0" w:space="0" w:color="auto"/>
        <w:bottom w:val="none" w:sz="0" w:space="0" w:color="auto"/>
        <w:right w:val="none" w:sz="0" w:space="0" w:color="auto"/>
      </w:divBdr>
    </w:div>
    <w:div w:id="121075364">
      <w:bodyDiv w:val="1"/>
      <w:marLeft w:val="0"/>
      <w:marRight w:val="0"/>
      <w:marTop w:val="0"/>
      <w:marBottom w:val="0"/>
      <w:divBdr>
        <w:top w:val="none" w:sz="0" w:space="0" w:color="auto"/>
        <w:left w:val="none" w:sz="0" w:space="0" w:color="auto"/>
        <w:bottom w:val="none" w:sz="0" w:space="0" w:color="auto"/>
        <w:right w:val="none" w:sz="0" w:space="0" w:color="auto"/>
      </w:divBdr>
    </w:div>
    <w:div w:id="175535564">
      <w:bodyDiv w:val="1"/>
      <w:marLeft w:val="0"/>
      <w:marRight w:val="0"/>
      <w:marTop w:val="0"/>
      <w:marBottom w:val="0"/>
      <w:divBdr>
        <w:top w:val="none" w:sz="0" w:space="0" w:color="auto"/>
        <w:left w:val="none" w:sz="0" w:space="0" w:color="auto"/>
        <w:bottom w:val="none" w:sz="0" w:space="0" w:color="auto"/>
        <w:right w:val="none" w:sz="0" w:space="0" w:color="auto"/>
      </w:divBdr>
    </w:div>
    <w:div w:id="334960864">
      <w:bodyDiv w:val="1"/>
      <w:marLeft w:val="0"/>
      <w:marRight w:val="0"/>
      <w:marTop w:val="0"/>
      <w:marBottom w:val="0"/>
      <w:divBdr>
        <w:top w:val="none" w:sz="0" w:space="0" w:color="auto"/>
        <w:left w:val="none" w:sz="0" w:space="0" w:color="auto"/>
        <w:bottom w:val="none" w:sz="0" w:space="0" w:color="auto"/>
        <w:right w:val="none" w:sz="0" w:space="0" w:color="auto"/>
      </w:divBdr>
    </w:div>
    <w:div w:id="335302832">
      <w:bodyDiv w:val="1"/>
      <w:marLeft w:val="0"/>
      <w:marRight w:val="0"/>
      <w:marTop w:val="0"/>
      <w:marBottom w:val="0"/>
      <w:divBdr>
        <w:top w:val="none" w:sz="0" w:space="0" w:color="auto"/>
        <w:left w:val="none" w:sz="0" w:space="0" w:color="auto"/>
        <w:bottom w:val="none" w:sz="0" w:space="0" w:color="auto"/>
        <w:right w:val="none" w:sz="0" w:space="0" w:color="auto"/>
      </w:divBdr>
    </w:div>
    <w:div w:id="378019499">
      <w:bodyDiv w:val="1"/>
      <w:marLeft w:val="0"/>
      <w:marRight w:val="0"/>
      <w:marTop w:val="0"/>
      <w:marBottom w:val="0"/>
      <w:divBdr>
        <w:top w:val="none" w:sz="0" w:space="0" w:color="auto"/>
        <w:left w:val="none" w:sz="0" w:space="0" w:color="auto"/>
        <w:bottom w:val="none" w:sz="0" w:space="0" w:color="auto"/>
        <w:right w:val="none" w:sz="0" w:space="0" w:color="auto"/>
      </w:divBdr>
    </w:div>
    <w:div w:id="406418938">
      <w:bodyDiv w:val="1"/>
      <w:marLeft w:val="0"/>
      <w:marRight w:val="0"/>
      <w:marTop w:val="0"/>
      <w:marBottom w:val="0"/>
      <w:divBdr>
        <w:top w:val="none" w:sz="0" w:space="0" w:color="auto"/>
        <w:left w:val="none" w:sz="0" w:space="0" w:color="auto"/>
        <w:bottom w:val="none" w:sz="0" w:space="0" w:color="auto"/>
        <w:right w:val="none" w:sz="0" w:space="0" w:color="auto"/>
      </w:divBdr>
    </w:div>
    <w:div w:id="417678757">
      <w:bodyDiv w:val="1"/>
      <w:marLeft w:val="0"/>
      <w:marRight w:val="0"/>
      <w:marTop w:val="0"/>
      <w:marBottom w:val="0"/>
      <w:divBdr>
        <w:top w:val="none" w:sz="0" w:space="0" w:color="auto"/>
        <w:left w:val="none" w:sz="0" w:space="0" w:color="auto"/>
        <w:bottom w:val="none" w:sz="0" w:space="0" w:color="auto"/>
        <w:right w:val="none" w:sz="0" w:space="0" w:color="auto"/>
      </w:divBdr>
    </w:div>
    <w:div w:id="417752100">
      <w:bodyDiv w:val="1"/>
      <w:marLeft w:val="0"/>
      <w:marRight w:val="0"/>
      <w:marTop w:val="0"/>
      <w:marBottom w:val="0"/>
      <w:divBdr>
        <w:top w:val="none" w:sz="0" w:space="0" w:color="auto"/>
        <w:left w:val="none" w:sz="0" w:space="0" w:color="auto"/>
        <w:bottom w:val="none" w:sz="0" w:space="0" w:color="auto"/>
        <w:right w:val="none" w:sz="0" w:space="0" w:color="auto"/>
      </w:divBdr>
    </w:div>
    <w:div w:id="419644443">
      <w:bodyDiv w:val="1"/>
      <w:marLeft w:val="0"/>
      <w:marRight w:val="0"/>
      <w:marTop w:val="0"/>
      <w:marBottom w:val="0"/>
      <w:divBdr>
        <w:top w:val="none" w:sz="0" w:space="0" w:color="auto"/>
        <w:left w:val="none" w:sz="0" w:space="0" w:color="auto"/>
        <w:bottom w:val="none" w:sz="0" w:space="0" w:color="auto"/>
        <w:right w:val="none" w:sz="0" w:space="0" w:color="auto"/>
      </w:divBdr>
    </w:div>
    <w:div w:id="420176579">
      <w:bodyDiv w:val="1"/>
      <w:marLeft w:val="0"/>
      <w:marRight w:val="0"/>
      <w:marTop w:val="0"/>
      <w:marBottom w:val="0"/>
      <w:divBdr>
        <w:top w:val="none" w:sz="0" w:space="0" w:color="auto"/>
        <w:left w:val="none" w:sz="0" w:space="0" w:color="auto"/>
        <w:bottom w:val="none" w:sz="0" w:space="0" w:color="auto"/>
        <w:right w:val="none" w:sz="0" w:space="0" w:color="auto"/>
      </w:divBdr>
    </w:div>
    <w:div w:id="460610307">
      <w:bodyDiv w:val="1"/>
      <w:marLeft w:val="0"/>
      <w:marRight w:val="0"/>
      <w:marTop w:val="0"/>
      <w:marBottom w:val="0"/>
      <w:divBdr>
        <w:top w:val="none" w:sz="0" w:space="0" w:color="auto"/>
        <w:left w:val="none" w:sz="0" w:space="0" w:color="auto"/>
        <w:bottom w:val="none" w:sz="0" w:space="0" w:color="auto"/>
        <w:right w:val="none" w:sz="0" w:space="0" w:color="auto"/>
      </w:divBdr>
    </w:div>
    <w:div w:id="475493954">
      <w:bodyDiv w:val="1"/>
      <w:marLeft w:val="0"/>
      <w:marRight w:val="0"/>
      <w:marTop w:val="0"/>
      <w:marBottom w:val="0"/>
      <w:divBdr>
        <w:top w:val="none" w:sz="0" w:space="0" w:color="auto"/>
        <w:left w:val="none" w:sz="0" w:space="0" w:color="auto"/>
        <w:bottom w:val="none" w:sz="0" w:space="0" w:color="auto"/>
        <w:right w:val="none" w:sz="0" w:space="0" w:color="auto"/>
      </w:divBdr>
    </w:div>
    <w:div w:id="551501798">
      <w:bodyDiv w:val="1"/>
      <w:marLeft w:val="0"/>
      <w:marRight w:val="0"/>
      <w:marTop w:val="0"/>
      <w:marBottom w:val="0"/>
      <w:divBdr>
        <w:top w:val="none" w:sz="0" w:space="0" w:color="auto"/>
        <w:left w:val="none" w:sz="0" w:space="0" w:color="auto"/>
        <w:bottom w:val="none" w:sz="0" w:space="0" w:color="auto"/>
        <w:right w:val="none" w:sz="0" w:space="0" w:color="auto"/>
      </w:divBdr>
    </w:div>
    <w:div w:id="561871484">
      <w:bodyDiv w:val="1"/>
      <w:marLeft w:val="0"/>
      <w:marRight w:val="0"/>
      <w:marTop w:val="0"/>
      <w:marBottom w:val="0"/>
      <w:divBdr>
        <w:top w:val="none" w:sz="0" w:space="0" w:color="auto"/>
        <w:left w:val="none" w:sz="0" w:space="0" w:color="auto"/>
        <w:bottom w:val="none" w:sz="0" w:space="0" w:color="auto"/>
        <w:right w:val="none" w:sz="0" w:space="0" w:color="auto"/>
      </w:divBdr>
    </w:div>
    <w:div w:id="615407483">
      <w:bodyDiv w:val="1"/>
      <w:marLeft w:val="0"/>
      <w:marRight w:val="0"/>
      <w:marTop w:val="0"/>
      <w:marBottom w:val="0"/>
      <w:divBdr>
        <w:top w:val="none" w:sz="0" w:space="0" w:color="auto"/>
        <w:left w:val="none" w:sz="0" w:space="0" w:color="auto"/>
        <w:bottom w:val="none" w:sz="0" w:space="0" w:color="auto"/>
        <w:right w:val="none" w:sz="0" w:space="0" w:color="auto"/>
      </w:divBdr>
    </w:div>
    <w:div w:id="685443140">
      <w:bodyDiv w:val="1"/>
      <w:marLeft w:val="0"/>
      <w:marRight w:val="0"/>
      <w:marTop w:val="0"/>
      <w:marBottom w:val="0"/>
      <w:divBdr>
        <w:top w:val="none" w:sz="0" w:space="0" w:color="auto"/>
        <w:left w:val="none" w:sz="0" w:space="0" w:color="auto"/>
        <w:bottom w:val="none" w:sz="0" w:space="0" w:color="auto"/>
        <w:right w:val="none" w:sz="0" w:space="0" w:color="auto"/>
      </w:divBdr>
    </w:div>
    <w:div w:id="740522177">
      <w:bodyDiv w:val="1"/>
      <w:marLeft w:val="0"/>
      <w:marRight w:val="0"/>
      <w:marTop w:val="0"/>
      <w:marBottom w:val="0"/>
      <w:divBdr>
        <w:top w:val="none" w:sz="0" w:space="0" w:color="auto"/>
        <w:left w:val="none" w:sz="0" w:space="0" w:color="auto"/>
        <w:bottom w:val="none" w:sz="0" w:space="0" w:color="auto"/>
        <w:right w:val="none" w:sz="0" w:space="0" w:color="auto"/>
      </w:divBdr>
    </w:div>
    <w:div w:id="744038177">
      <w:bodyDiv w:val="1"/>
      <w:marLeft w:val="0"/>
      <w:marRight w:val="0"/>
      <w:marTop w:val="0"/>
      <w:marBottom w:val="0"/>
      <w:divBdr>
        <w:top w:val="none" w:sz="0" w:space="0" w:color="auto"/>
        <w:left w:val="none" w:sz="0" w:space="0" w:color="auto"/>
        <w:bottom w:val="none" w:sz="0" w:space="0" w:color="auto"/>
        <w:right w:val="none" w:sz="0" w:space="0" w:color="auto"/>
      </w:divBdr>
    </w:div>
    <w:div w:id="793670689">
      <w:bodyDiv w:val="1"/>
      <w:marLeft w:val="0"/>
      <w:marRight w:val="0"/>
      <w:marTop w:val="0"/>
      <w:marBottom w:val="0"/>
      <w:divBdr>
        <w:top w:val="none" w:sz="0" w:space="0" w:color="auto"/>
        <w:left w:val="none" w:sz="0" w:space="0" w:color="auto"/>
        <w:bottom w:val="none" w:sz="0" w:space="0" w:color="auto"/>
        <w:right w:val="none" w:sz="0" w:space="0" w:color="auto"/>
      </w:divBdr>
    </w:div>
    <w:div w:id="899092623">
      <w:bodyDiv w:val="1"/>
      <w:marLeft w:val="0"/>
      <w:marRight w:val="0"/>
      <w:marTop w:val="0"/>
      <w:marBottom w:val="0"/>
      <w:divBdr>
        <w:top w:val="none" w:sz="0" w:space="0" w:color="auto"/>
        <w:left w:val="none" w:sz="0" w:space="0" w:color="auto"/>
        <w:bottom w:val="none" w:sz="0" w:space="0" w:color="auto"/>
        <w:right w:val="none" w:sz="0" w:space="0" w:color="auto"/>
      </w:divBdr>
    </w:div>
    <w:div w:id="918251770">
      <w:bodyDiv w:val="1"/>
      <w:marLeft w:val="0"/>
      <w:marRight w:val="0"/>
      <w:marTop w:val="0"/>
      <w:marBottom w:val="0"/>
      <w:divBdr>
        <w:top w:val="none" w:sz="0" w:space="0" w:color="auto"/>
        <w:left w:val="none" w:sz="0" w:space="0" w:color="auto"/>
        <w:bottom w:val="none" w:sz="0" w:space="0" w:color="auto"/>
        <w:right w:val="none" w:sz="0" w:space="0" w:color="auto"/>
      </w:divBdr>
    </w:div>
    <w:div w:id="942229044">
      <w:bodyDiv w:val="1"/>
      <w:marLeft w:val="0"/>
      <w:marRight w:val="0"/>
      <w:marTop w:val="0"/>
      <w:marBottom w:val="0"/>
      <w:divBdr>
        <w:top w:val="none" w:sz="0" w:space="0" w:color="auto"/>
        <w:left w:val="none" w:sz="0" w:space="0" w:color="auto"/>
        <w:bottom w:val="none" w:sz="0" w:space="0" w:color="auto"/>
        <w:right w:val="none" w:sz="0" w:space="0" w:color="auto"/>
      </w:divBdr>
    </w:div>
    <w:div w:id="957683788">
      <w:bodyDiv w:val="1"/>
      <w:marLeft w:val="0"/>
      <w:marRight w:val="0"/>
      <w:marTop w:val="0"/>
      <w:marBottom w:val="0"/>
      <w:divBdr>
        <w:top w:val="none" w:sz="0" w:space="0" w:color="auto"/>
        <w:left w:val="none" w:sz="0" w:space="0" w:color="auto"/>
        <w:bottom w:val="none" w:sz="0" w:space="0" w:color="auto"/>
        <w:right w:val="none" w:sz="0" w:space="0" w:color="auto"/>
      </w:divBdr>
    </w:div>
    <w:div w:id="961618169">
      <w:bodyDiv w:val="1"/>
      <w:marLeft w:val="0"/>
      <w:marRight w:val="0"/>
      <w:marTop w:val="0"/>
      <w:marBottom w:val="0"/>
      <w:divBdr>
        <w:top w:val="none" w:sz="0" w:space="0" w:color="auto"/>
        <w:left w:val="none" w:sz="0" w:space="0" w:color="auto"/>
        <w:bottom w:val="none" w:sz="0" w:space="0" w:color="auto"/>
        <w:right w:val="none" w:sz="0" w:space="0" w:color="auto"/>
      </w:divBdr>
    </w:div>
    <w:div w:id="1001541643">
      <w:bodyDiv w:val="1"/>
      <w:marLeft w:val="0"/>
      <w:marRight w:val="0"/>
      <w:marTop w:val="0"/>
      <w:marBottom w:val="0"/>
      <w:divBdr>
        <w:top w:val="none" w:sz="0" w:space="0" w:color="auto"/>
        <w:left w:val="none" w:sz="0" w:space="0" w:color="auto"/>
        <w:bottom w:val="none" w:sz="0" w:space="0" w:color="auto"/>
        <w:right w:val="none" w:sz="0" w:space="0" w:color="auto"/>
      </w:divBdr>
    </w:div>
    <w:div w:id="1012337727">
      <w:bodyDiv w:val="1"/>
      <w:marLeft w:val="0"/>
      <w:marRight w:val="0"/>
      <w:marTop w:val="0"/>
      <w:marBottom w:val="0"/>
      <w:divBdr>
        <w:top w:val="none" w:sz="0" w:space="0" w:color="auto"/>
        <w:left w:val="none" w:sz="0" w:space="0" w:color="auto"/>
        <w:bottom w:val="none" w:sz="0" w:space="0" w:color="auto"/>
        <w:right w:val="none" w:sz="0" w:space="0" w:color="auto"/>
      </w:divBdr>
    </w:div>
    <w:div w:id="1051147979">
      <w:bodyDiv w:val="1"/>
      <w:marLeft w:val="0"/>
      <w:marRight w:val="0"/>
      <w:marTop w:val="0"/>
      <w:marBottom w:val="0"/>
      <w:divBdr>
        <w:top w:val="none" w:sz="0" w:space="0" w:color="auto"/>
        <w:left w:val="none" w:sz="0" w:space="0" w:color="auto"/>
        <w:bottom w:val="none" w:sz="0" w:space="0" w:color="auto"/>
        <w:right w:val="none" w:sz="0" w:space="0" w:color="auto"/>
      </w:divBdr>
    </w:div>
    <w:div w:id="1090659482">
      <w:bodyDiv w:val="1"/>
      <w:marLeft w:val="0"/>
      <w:marRight w:val="0"/>
      <w:marTop w:val="0"/>
      <w:marBottom w:val="0"/>
      <w:divBdr>
        <w:top w:val="none" w:sz="0" w:space="0" w:color="auto"/>
        <w:left w:val="none" w:sz="0" w:space="0" w:color="auto"/>
        <w:bottom w:val="none" w:sz="0" w:space="0" w:color="auto"/>
        <w:right w:val="none" w:sz="0" w:space="0" w:color="auto"/>
      </w:divBdr>
    </w:div>
    <w:div w:id="1101997105">
      <w:bodyDiv w:val="1"/>
      <w:marLeft w:val="0"/>
      <w:marRight w:val="0"/>
      <w:marTop w:val="0"/>
      <w:marBottom w:val="0"/>
      <w:divBdr>
        <w:top w:val="none" w:sz="0" w:space="0" w:color="auto"/>
        <w:left w:val="none" w:sz="0" w:space="0" w:color="auto"/>
        <w:bottom w:val="none" w:sz="0" w:space="0" w:color="auto"/>
        <w:right w:val="none" w:sz="0" w:space="0" w:color="auto"/>
      </w:divBdr>
    </w:div>
    <w:div w:id="1108936497">
      <w:bodyDiv w:val="1"/>
      <w:marLeft w:val="0"/>
      <w:marRight w:val="0"/>
      <w:marTop w:val="0"/>
      <w:marBottom w:val="0"/>
      <w:divBdr>
        <w:top w:val="none" w:sz="0" w:space="0" w:color="auto"/>
        <w:left w:val="none" w:sz="0" w:space="0" w:color="auto"/>
        <w:bottom w:val="none" w:sz="0" w:space="0" w:color="auto"/>
        <w:right w:val="none" w:sz="0" w:space="0" w:color="auto"/>
      </w:divBdr>
    </w:div>
    <w:div w:id="1134758049">
      <w:bodyDiv w:val="1"/>
      <w:marLeft w:val="0"/>
      <w:marRight w:val="0"/>
      <w:marTop w:val="0"/>
      <w:marBottom w:val="0"/>
      <w:divBdr>
        <w:top w:val="none" w:sz="0" w:space="0" w:color="auto"/>
        <w:left w:val="none" w:sz="0" w:space="0" w:color="auto"/>
        <w:bottom w:val="none" w:sz="0" w:space="0" w:color="auto"/>
        <w:right w:val="none" w:sz="0" w:space="0" w:color="auto"/>
      </w:divBdr>
    </w:div>
    <w:div w:id="1161431294">
      <w:bodyDiv w:val="1"/>
      <w:marLeft w:val="0"/>
      <w:marRight w:val="0"/>
      <w:marTop w:val="0"/>
      <w:marBottom w:val="0"/>
      <w:divBdr>
        <w:top w:val="none" w:sz="0" w:space="0" w:color="auto"/>
        <w:left w:val="none" w:sz="0" w:space="0" w:color="auto"/>
        <w:bottom w:val="none" w:sz="0" w:space="0" w:color="auto"/>
        <w:right w:val="none" w:sz="0" w:space="0" w:color="auto"/>
      </w:divBdr>
    </w:div>
    <w:div w:id="1162502039">
      <w:bodyDiv w:val="1"/>
      <w:marLeft w:val="0"/>
      <w:marRight w:val="0"/>
      <w:marTop w:val="0"/>
      <w:marBottom w:val="0"/>
      <w:divBdr>
        <w:top w:val="none" w:sz="0" w:space="0" w:color="auto"/>
        <w:left w:val="none" w:sz="0" w:space="0" w:color="auto"/>
        <w:bottom w:val="none" w:sz="0" w:space="0" w:color="auto"/>
        <w:right w:val="none" w:sz="0" w:space="0" w:color="auto"/>
      </w:divBdr>
    </w:div>
    <w:div w:id="1222794296">
      <w:bodyDiv w:val="1"/>
      <w:marLeft w:val="0"/>
      <w:marRight w:val="0"/>
      <w:marTop w:val="0"/>
      <w:marBottom w:val="0"/>
      <w:divBdr>
        <w:top w:val="none" w:sz="0" w:space="0" w:color="auto"/>
        <w:left w:val="none" w:sz="0" w:space="0" w:color="auto"/>
        <w:bottom w:val="none" w:sz="0" w:space="0" w:color="auto"/>
        <w:right w:val="none" w:sz="0" w:space="0" w:color="auto"/>
      </w:divBdr>
    </w:div>
    <w:div w:id="1326131604">
      <w:bodyDiv w:val="1"/>
      <w:marLeft w:val="0"/>
      <w:marRight w:val="0"/>
      <w:marTop w:val="0"/>
      <w:marBottom w:val="0"/>
      <w:divBdr>
        <w:top w:val="none" w:sz="0" w:space="0" w:color="auto"/>
        <w:left w:val="none" w:sz="0" w:space="0" w:color="auto"/>
        <w:bottom w:val="none" w:sz="0" w:space="0" w:color="auto"/>
        <w:right w:val="none" w:sz="0" w:space="0" w:color="auto"/>
      </w:divBdr>
    </w:div>
    <w:div w:id="1328098332">
      <w:bodyDiv w:val="1"/>
      <w:marLeft w:val="0"/>
      <w:marRight w:val="0"/>
      <w:marTop w:val="0"/>
      <w:marBottom w:val="0"/>
      <w:divBdr>
        <w:top w:val="none" w:sz="0" w:space="0" w:color="auto"/>
        <w:left w:val="none" w:sz="0" w:space="0" w:color="auto"/>
        <w:bottom w:val="none" w:sz="0" w:space="0" w:color="auto"/>
        <w:right w:val="none" w:sz="0" w:space="0" w:color="auto"/>
      </w:divBdr>
    </w:div>
    <w:div w:id="1456675871">
      <w:bodyDiv w:val="1"/>
      <w:marLeft w:val="0"/>
      <w:marRight w:val="0"/>
      <w:marTop w:val="0"/>
      <w:marBottom w:val="0"/>
      <w:divBdr>
        <w:top w:val="none" w:sz="0" w:space="0" w:color="auto"/>
        <w:left w:val="none" w:sz="0" w:space="0" w:color="auto"/>
        <w:bottom w:val="none" w:sz="0" w:space="0" w:color="auto"/>
        <w:right w:val="none" w:sz="0" w:space="0" w:color="auto"/>
      </w:divBdr>
    </w:div>
    <w:div w:id="1463380985">
      <w:bodyDiv w:val="1"/>
      <w:marLeft w:val="0"/>
      <w:marRight w:val="0"/>
      <w:marTop w:val="0"/>
      <w:marBottom w:val="0"/>
      <w:divBdr>
        <w:top w:val="none" w:sz="0" w:space="0" w:color="auto"/>
        <w:left w:val="none" w:sz="0" w:space="0" w:color="auto"/>
        <w:bottom w:val="none" w:sz="0" w:space="0" w:color="auto"/>
        <w:right w:val="none" w:sz="0" w:space="0" w:color="auto"/>
      </w:divBdr>
    </w:div>
    <w:div w:id="1517572240">
      <w:bodyDiv w:val="1"/>
      <w:marLeft w:val="0"/>
      <w:marRight w:val="0"/>
      <w:marTop w:val="0"/>
      <w:marBottom w:val="0"/>
      <w:divBdr>
        <w:top w:val="none" w:sz="0" w:space="0" w:color="auto"/>
        <w:left w:val="none" w:sz="0" w:space="0" w:color="auto"/>
        <w:bottom w:val="none" w:sz="0" w:space="0" w:color="auto"/>
        <w:right w:val="none" w:sz="0" w:space="0" w:color="auto"/>
      </w:divBdr>
    </w:div>
    <w:div w:id="1544438310">
      <w:bodyDiv w:val="1"/>
      <w:marLeft w:val="0"/>
      <w:marRight w:val="0"/>
      <w:marTop w:val="0"/>
      <w:marBottom w:val="0"/>
      <w:divBdr>
        <w:top w:val="none" w:sz="0" w:space="0" w:color="auto"/>
        <w:left w:val="none" w:sz="0" w:space="0" w:color="auto"/>
        <w:bottom w:val="none" w:sz="0" w:space="0" w:color="auto"/>
        <w:right w:val="none" w:sz="0" w:space="0" w:color="auto"/>
      </w:divBdr>
    </w:div>
    <w:div w:id="1583638473">
      <w:bodyDiv w:val="1"/>
      <w:marLeft w:val="0"/>
      <w:marRight w:val="0"/>
      <w:marTop w:val="0"/>
      <w:marBottom w:val="0"/>
      <w:divBdr>
        <w:top w:val="none" w:sz="0" w:space="0" w:color="auto"/>
        <w:left w:val="none" w:sz="0" w:space="0" w:color="auto"/>
        <w:bottom w:val="none" w:sz="0" w:space="0" w:color="auto"/>
        <w:right w:val="none" w:sz="0" w:space="0" w:color="auto"/>
      </w:divBdr>
    </w:div>
    <w:div w:id="1602449691">
      <w:bodyDiv w:val="1"/>
      <w:marLeft w:val="0"/>
      <w:marRight w:val="0"/>
      <w:marTop w:val="0"/>
      <w:marBottom w:val="0"/>
      <w:divBdr>
        <w:top w:val="none" w:sz="0" w:space="0" w:color="auto"/>
        <w:left w:val="none" w:sz="0" w:space="0" w:color="auto"/>
        <w:bottom w:val="none" w:sz="0" w:space="0" w:color="auto"/>
        <w:right w:val="none" w:sz="0" w:space="0" w:color="auto"/>
      </w:divBdr>
    </w:div>
    <w:div w:id="1652443924">
      <w:bodyDiv w:val="1"/>
      <w:marLeft w:val="0"/>
      <w:marRight w:val="0"/>
      <w:marTop w:val="0"/>
      <w:marBottom w:val="0"/>
      <w:divBdr>
        <w:top w:val="none" w:sz="0" w:space="0" w:color="auto"/>
        <w:left w:val="none" w:sz="0" w:space="0" w:color="auto"/>
        <w:bottom w:val="none" w:sz="0" w:space="0" w:color="auto"/>
        <w:right w:val="none" w:sz="0" w:space="0" w:color="auto"/>
      </w:divBdr>
    </w:div>
    <w:div w:id="1658919057">
      <w:bodyDiv w:val="1"/>
      <w:marLeft w:val="0"/>
      <w:marRight w:val="0"/>
      <w:marTop w:val="0"/>
      <w:marBottom w:val="0"/>
      <w:divBdr>
        <w:top w:val="none" w:sz="0" w:space="0" w:color="auto"/>
        <w:left w:val="none" w:sz="0" w:space="0" w:color="auto"/>
        <w:bottom w:val="none" w:sz="0" w:space="0" w:color="auto"/>
        <w:right w:val="none" w:sz="0" w:space="0" w:color="auto"/>
      </w:divBdr>
    </w:div>
    <w:div w:id="1722248525">
      <w:bodyDiv w:val="1"/>
      <w:marLeft w:val="0"/>
      <w:marRight w:val="0"/>
      <w:marTop w:val="0"/>
      <w:marBottom w:val="0"/>
      <w:divBdr>
        <w:top w:val="none" w:sz="0" w:space="0" w:color="auto"/>
        <w:left w:val="none" w:sz="0" w:space="0" w:color="auto"/>
        <w:bottom w:val="none" w:sz="0" w:space="0" w:color="auto"/>
        <w:right w:val="none" w:sz="0" w:space="0" w:color="auto"/>
      </w:divBdr>
    </w:div>
    <w:div w:id="1745293538">
      <w:bodyDiv w:val="1"/>
      <w:marLeft w:val="0"/>
      <w:marRight w:val="0"/>
      <w:marTop w:val="0"/>
      <w:marBottom w:val="0"/>
      <w:divBdr>
        <w:top w:val="none" w:sz="0" w:space="0" w:color="auto"/>
        <w:left w:val="none" w:sz="0" w:space="0" w:color="auto"/>
        <w:bottom w:val="none" w:sz="0" w:space="0" w:color="auto"/>
        <w:right w:val="none" w:sz="0" w:space="0" w:color="auto"/>
      </w:divBdr>
    </w:div>
    <w:div w:id="1814327851">
      <w:bodyDiv w:val="1"/>
      <w:marLeft w:val="0"/>
      <w:marRight w:val="0"/>
      <w:marTop w:val="0"/>
      <w:marBottom w:val="0"/>
      <w:divBdr>
        <w:top w:val="none" w:sz="0" w:space="0" w:color="auto"/>
        <w:left w:val="none" w:sz="0" w:space="0" w:color="auto"/>
        <w:bottom w:val="none" w:sz="0" w:space="0" w:color="auto"/>
        <w:right w:val="none" w:sz="0" w:space="0" w:color="auto"/>
      </w:divBdr>
    </w:div>
    <w:div w:id="1822233449">
      <w:bodyDiv w:val="1"/>
      <w:marLeft w:val="0"/>
      <w:marRight w:val="0"/>
      <w:marTop w:val="0"/>
      <w:marBottom w:val="0"/>
      <w:divBdr>
        <w:top w:val="none" w:sz="0" w:space="0" w:color="auto"/>
        <w:left w:val="none" w:sz="0" w:space="0" w:color="auto"/>
        <w:bottom w:val="none" w:sz="0" w:space="0" w:color="auto"/>
        <w:right w:val="none" w:sz="0" w:space="0" w:color="auto"/>
      </w:divBdr>
    </w:div>
    <w:div w:id="1824538619">
      <w:bodyDiv w:val="1"/>
      <w:marLeft w:val="0"/>
      <w:marRight w:val="0"/>
      <w:marTop w:val="0"/>
      <w:marBottom w:val="0"/>
      <w:divBdr>
        <w:top w:val="none" w:sz="0" w:space="0" w:color="auto"/>
        <w:left w:val="none" w:sz="0" w:space="0" w:color="auto"/>
        <w:bottom w:val="none" w:sz="0" w:space="0" w:color="auto"/>
        <w:right w:val="none" w:sz="0" w:space="0" w:color="auto"/>
      </w:divBdr>
    </w:div>
    <w:div w:id="1872568604">
      <w:bodyDiv w:val="1"/>
      <w:marLeft w:val="0"/>
      <w:marRight w:val="0"/>
      <w:marTop w:val="0"/>
      <w:marBottom w:val="0"/>
      <w:divBdr>
        <w:top w:val="none" w:sz="0" w:space="0" w:color="auto"/>
        <w:left w:val="none" w:sz="0" w:space="0" w:color="auto"/>
        <w:bottom w:val="none" w:sz="0" w:space="0" w:color="auto"/>
        <w:right w:val="none" w:sz="0" w:space="0" w:color="auto"/>
      </w:divBdr>
    </w:div>
    <w:div w:id="1889224027">
      <w:bodyDiv w:val="1"/>
      <w:marLeft w:val="0"/>
      <w:marRight w:val="0"/>
      <w:marTop w:val="0"/>
      <w:marBottom w:val="0"/>
      <w:divBdr>
        <w:top w:val="none" w:sz="0" w:space="0" w:color="auto"/>
        <w:left w:val="none" w:sz="0" w:space="0" w:color="auto"/>
        <w:bottom w:val="none" w:sz="0" w:space="0" w:color="auto"/>
        <w:right w:val="none" w:sz="0" w:space="0" w:color="auto"/>
      </w:divBdr>
    </w:div>
    <w:div w:id="1935238532">
      <w:bodyDiv w:val="1"/>
      <w:marLeft w:val="0"/>
      <w:marRight w:val="0"/>
      <w:marTop w:val="0"/>
      <w:marBottom w:val="0"/>
      <w:divBdr>
        <w:top w:val="none" w:sz="0" w:space="0" w:color="auto"/>
        <w:left w:val="none" w:sz="0" w:space="0" w:color="auto"/>
        <w:bottom w:val="none" w:sz="0" w:space="0" w:color="auto"/>
        <w:right w:val="none" w:sz="0" w:space="0" w:color="auto"/>
      </w:divBdr>
    </w:div>
    <w:div w:id="1938057117">
      <w:bodyDiv w:val="1"/>
      <w:marLeft w:val="0"/>
      <w:marRight w:val="0"/>
      <w:marTop w:val="0"/>
      <w:marBottom w:val="0"/>
      <w:divBdr>
        <w:top w:val="none" w:sz="0" w:space="0" w:color="auto"/>
        <w:left w:val="none" w:sz="0" w:space="0" w:color="auto"/>
        <w:bottom w:val="none" w:sz="0" w:space="0" w:color="auto"/>
        <w:right w:val="none" w:sz="0" w:space="0" w:color="auto"/>
      </w:divBdr>
    </w:div>
    <w:div w:id="1946493929">
      <w:bodyDiv w:val="1"/>
      <w:marLeft w:val="0"/>
      <w:marRight w:val="0"/>
      <w:marTop w:val="0"/>
      <w:marBottom w:val="0"/>
      <w:divBdr>
        <w:top w:val="none" w:sz="0" w:space="0" w:color="auto"/>
        <w:left w:val="none" w:sz="0" w:space="0" w:color="auto"/>
        <w:bottom w:val="none" w:sz="0" w:space="0" w:color="auto"/>
        <w:right w:val="none" w:sz="0" w:space="0" w:color="auto"/>
      </w:divBdr>
    </w:div>
    <w:div w:id="2011103283">
      <w:bodyDiv w:val="1"/>
      <w:marLeft w:val="0"/>
      <w:marRight w:val="0"/>
      <w:marTop w:val="0"/>
      <w:marBottom w:val="0"/>
      <w:divBdr>
        <w:top w:val="none" w:sz="0" w:space="0" w:color="auto"/>
        <w:left w:val="none" w:sz="0" w:space="0" w:color="auto"/>
        <w:bottom w:val="none" w:sz="0" w:space="0" w:color="auto"/>
        <w:right w:val="none" w:sz="0" w:space="0" w:color="auto"/>
      </w:divBdr>
    </w:div>
    <w:div w:id="2082672331">
      <w:bodyDiv w:val="1"/>
      <w:marLeft w:val="0"/>
      <w:marRight w:val="0"/>
      <w:marTop w:val="0"/>
      <w:marBottom w:val="0"/>
      <w:divBdr>
        <w:top w:val="none" w:sz="0" w:space="0" w:color="auto"/>
        <w:left w:val="none" w:sz="0" w:space="0" w:color="auto"/>
        <w:bottom w:val="none" w:sz="0" w:space="0" w:color="auto"/>
        <w:right w:val="none" w:sz="0" w:space="0" w:color="auto"/>
      </w:divBdr>
    </w:div>
    <w:div w:id="2110275599">
      <w:bodyDiv w:val="1"/>
      <w:marLeft w:val="0"/>
      <w:marRight w:val="0"/>
      <w:marTop w:val="0"/>
      <w:marBottom w:val="0"/>
      <w:divBdr>
        <w:top w:val="none" w:sz="0" w:space="0" w:color="auto"/>
        <w:left w:val="none" w:sz="0" w:space="0" w:color="auto"/>
        <w:bottom w:val="none" w:sz="0" w:space="0" w:color="auto"/>
        <w:right w:val="none" w:sz="0" w:space="0" w:color="auto"/>
      </w:divBdr>
    </w:div>
    <w:div w:id="2116779542">
      <w:bodyDiv w:val="1"/>
      <w:marLeft w:val="0"/>
      <w:marRight w:val="0"/>
      <w:marTop w:val="0"/>
      <w:marBottom w:val="0"/>
      <w:divBdr>
        <w:top w:val="none" w:sz="0" w:space="0" w:color="auto"/>
        <w:left w:val="none" w:sz="0" w:space="0" w:color="auto"/>
        <w:bottom w:val="none" w:sz="0" w:space="0" w:color="auto"/>
        <w:right w:val="none" w:sz="0" w:space="0" w:color="auto"/>
      </w:divBdr>
    </w:div>
    <w:div w:id="2128036357">
      <w:bodyDiv w:val="1"/>
      <w:marLeft w:val="0"/>
      <w:marRight w:val="0"/>
      <w:marTop w:val="0"/>
      <w:marBottom w:val="0"/>
      <w:divBdr>
        <w:top w:val="none" w:sz="0" w:space="0" w:color="auto"/>
        <w:left w:val="none" w:sz="0" w:space="0" w:color="auto"/>
        <w:bottom w:val="none" w:sz="0" w:space="0" w:color="auto"/>
        <w:right w:val="none" w:sz="0" w:space="0" w:color="auto"/>
      </w:divBdr>
    </w:div>
    <w:div w:id="2141725200">
      <w:bodyDiv w:val="1"/>
      <w:marLeft w:val="0"/>
      <w:marRight w:val="0"/>
      <w:marTop w:val="0"/>
      <w:marBottom w:val="0"/>
      <w:divBdr>
        <w:top w:val="none" w:sz="0" w:space="0" w:color="auto"/>
        <w:left w:val="none" w:sz="0" w:space="0" w:color="auto"/>
        <w:bottom w:val="none" w:sz="0" w:space="0" w:color="auto"/>
        <w:right w:val="none" w:sz="0" w:space="0" w:color="auto"/>
      </w:divBdr>
    </w:div>
    <w:div w:id="21464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3022</Words>
  <Characters>16627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DACAR</Company>
  <LinksUpToDate>false</LinksUpToDate>
  <CharactersWithSpaces>19610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Fulton Dañin</dc:creator>
  <cp:keywords/>
  <dc:description/>
  <cp:lastModifiedBy>Administrador</cp:lastModifiedBy>
  <cp:revision>2</cp:revision>
  <cp:lastPrinted>2007-08-31T06:04:00Z</cp:lastPrinted>
  <dcterms:created xsi:type="dcterms:W3CDTF">2009-11-09T17:09:00Z</dcterms:created>
  <dcterms:modified xsi:type="dcterms:W3CDTF">2009-11-09T17:09:00Z</dcterms:modified>
</cp:coreProperties>
</file>