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C0" w:rsidRDefault="00117EC0" w:rsidP="00117EC0">
      <w:pPr>
        <w:pStyle w:val="NormalVerdana"/>
        <w:spacing w:line="480" w:lineRule="auto"/>
        <w:jc w:val="center"/>
        <w:rPr>
          <w:sz w:val="28"/>
          <w:szCs w:val="28"/>
          <w:lang w:val="es-ES_tradnl"/>
        </w:rPr>
      </w:pPr>
    </w:p>
    <w:p w:rsidR="00117EC0" w:rsidRDefault="00117EC0" w:rsidP="00117EC0">
      <w:pPr>
        <w:pStyle w:val="NormalVerdana"/>
        <w:spacing w:line="480" w:lineRule="auto"/>
        <w:jc w:val="center"/>
        <w:rPr>
          <w:sz w:val="28"/>
          <w:szCs w:val="28"/>
          <w:lang w:val="es-ES_tradnl"/>
        </w:rPr>
      </w:pPr>
    </w:p>
    <w:p w:rsidR="00117EC0" w:rsidRDefault="00117EC0" w:rsidP="00117EC0">
      <w:pPr>
        <w:pStyle w:val="NormalVerdana"/>
        <w:spacing w:line="480" w:lineRule="auto"/>
        <w:jc w:val="center"/>
        <w:rPr>
          <w:sz w:val="28"/>
          <w:szCs w:val="28"/>
          <w:lang w:val="es-ES_tradnl"/>
        </w:rPr>
      </w:pPr>
    </w:p>
    <w:p w:rsidR="00117EC0" w:rsidRDefault="00117EC0" w:rsidP="00117EC0">
      <w:pPr>
        <w:pStyle w:val="NormalVerdana"/>
        <w:spacing w:line="480" w:lineRule="auto"/>
        <w:jc w:val="center"/>
        <w:rPr>
          <w:sz w:val="28"/>
          <w:szCs w:val="28"/>
          <w:lang w:val="es-ES_tradnl"/>
        </w:rPr>
      </w:pPr>
    </w:p>
    <w:p w:rsidR="00117EC0" w:rsidRDefault="00117EC0" w:rsidP="00117EC0">
      <w:pPr>
        <w:pStyle w:val="NormalVerdana"/>
        <w:spacing w:line="480" w:lineRule="auto"/>
        <w:jc w:val="center"/>
        <w:rPr>
          <w:sz w:val="28"/>
          <w:szCs w:val="28"/>
          <w:lang w:val="es-ES_tradnl"/>
        </w:rPr>
      </w:pPr>
    </w:p>
    <w:p w:rsidR="00671424" w:rsidRPr="00396518" w:rsidRDefault="00CC1BB8" w:rsidP="00117EC0">
      <w:pPr>
        <w:pStyle w:val="NormalVerdana"/>
        <w:spacing w:line="480" w:lineRule="auto"/>
        <w:jc w:val="center"/>
        <w:rPr>
          <w:sz w:val="28"/>
          <w:szCs w:val="28"/>
          <w:lang w:val="es-ES_tradnl"/>
        </w:rPr>
      </w:pPr>
      <w:r>
        <w:rPr>
          <w:sz w:val="28"/>
          <w:szCs w:val="28"/>
          <w:lang w:val="es-ES_tradnl"/>
        </w:rPr>
        <w:t>CAPÍ</w:t>
      </w:r>
      <w:r w:rsidR="00671424" w:rsidRPr="00396518">
        <w:rPr>
          <w:sz w:val="28"/>
          <w:szCs w:val="28"/>
          <w:lang w:val="es-ES_tradnl"/>
        </w:rPr>
        <w:t>TULO I</w:t>
      </w:r>
    </w:p>
    <w:p w:rsidR="00671424" w:rsidRPr="00396518" w:rsidRDefault="00671424" w:rsidP="00117EC0">
      <w:pPr>
        <w:pStyle w:val="NormalVerdana"/>
        <w:spacing w:line="480" w:lineRule="auto"/>
        <w:jc w:val="center"/>
        <w:rPr>
          <w:sz w:val="28"/>
          <w:szCs w:val="28"/>
          <w:lang w:val="es-ES_tradnl"/>
        </w:rPr>
      </w:pPr>
      <w:r w:rsidRPr="00396518">
        <w:rPr>
          <w:sz w:val="28"/>
          <w:szCs w:val="28"/>
          <w:lang w:val="es-ES_tradnl"/>
        </w:rPr>
        <w:t>EL SECTOR BANCARIO EN EL ECUADOR</w:t>
      </w:r>
    </w:p>
    <w:p w:rsidR="00671424" w:rsidRPr="004676A7" w:rsidRDefault="00671424" w:rsidP="00117EC0">
      <w:pPr>
        <w:pStyle w:val="NormalVerdana"/>
        <w:spacing w:line="480" w:lineRule="auto"/>
        <w:rPr>
          <w:rFonts w:cs="Arial"/>
        </w:rPr>
      </w:pPr>
    </w:p>
    <w:p w:rsidR="00671424" w:rsidRPr="00BB1432" w:rsidRDefault="00671424" w:rsidP="00117EC0">
      <w:pPr>
        <w:pStyle w:val="NormalVerdana"/>
        <w:tabs>
          <w:tab w:val="clear" w:pos="8640"/>
          <w:tab w:val="left" w:pos="8460"/>
        </w:tabs>
        <w:spacing w:line="480" w:lineRule="auto"/>
        <w:rPr>
          <w:sz w:val="22"/>
          <w:szCs w:val="22"/>
        </w:rPr>
      </w:pPr>
      <w:r w:rsidRPr="00BB1432">
        <w:rPr>
          <w:sz w:val="22"/>
          <w:szCs w:val="22"/>
        </w:rPr>
        <w:tab/>
        <w:t>1.1 ANTECEDENTES HISTÓRICOS DEL SISTEMA FINANCIERO EN EL ECUADOR</w:t>
      </w:r>
    </w:p>
    <w:p w:rsidR="00671424" w:rsidRPr="00BB1432" w:rsidRDefault="00671424" w:rsidP="00117EC0">
      <w:pPr>
        <w:pStyle w:val="NormalVerdana"/>
        <w:spacing w:line="480" w:lineRule="auto"/>
        <w:rPr>
          <w:b w:val="0"/>
          <w:sz w:val="22"/>
          <w:szCs w:val="22"/>
        </w:rPr>
      </w:pPr>
      <w:r w:rsidRPr="00BB1432">
        <w:rPr>
          <w:b w:val="0"/>
          <w:sz w:val="22"/>
          <w:szCs w:val="22"/>
        </w:rPr>
        <w:tab/>
      </w:r>
    </w:p>
    <w:p w:rsidR="00671424" w:rsidRPr="00BB1432" w:rsidRDefault="00671424" w:rsidP="00117EC0">
      <w:pPr>
        <w:pStyle w:val="NormalVerdana"/>
        <w:spacing w:line="480" w:lineRule="auto"/>
        <w:rPr>
          <w:b w:val="0"/>
          <w:sz w:val="22"/>
          <w:szCs w:val="22"/>
        </w:rPr>
      </w:pPr>
      <w:r w:rsidRPr="00BB1432">
        <w:rPr>
          <w:b w:val="0"/>
          <w:sz w:val="22"/>
          <w:szCs w:val="22"/>
        </w:rPr>
        <w:tab/>
      </w:r>
      <w:r w:rsidR="00117EC0" w:rsidRPr="00BB1432">
        <w:rPr>
          <w:b w:val="0"/>
          <w:sz w:val="22"/>
          <w:szCs w:val="22"/>
        </w:rPr>
        <w:t xml:space="preserve">     </w:t>
      </w:r>
      <w:r w:rsidRPr="00BB1432">
        <w:rPr>
          <w:b w:val="0"/>
          <w:sz w:val="22"/>
          <w:szCs w:val="22"/>
        </w:rPr>
        <w:t>La banca ecuatoriana ha ido evolucionando positivamente después de la crisis ba</w:t>
      </w:r>
      <w:r w:rsidR="00117EC0" w:rsidRPr="00BB1432">
        <w:rPr>
          <w:b w:val="0"/>
          <w:sz w:val="22"/>
          <w:szCs w:val="22"/>
        </w:rPr>
        <w:t>ncaria que hizo desaparecer 16 de</w:t>
      </w:r>
      <w:r w:rsidRPr="00BB1432">
        <w:rPr>
          <w:b w:val="0"/>
          <w:sz w:val="22"/>
          <w:szCs w:val="22"/>
        </w:rPr>
        <w:t xml:space="preserve"> 40 bancos en el país, crisis que fue causada por varios factores: liberalización de la ley bancaria, deuda pública excesivamente alta, devaluación constante del sucre con respecto al dólar, inestabilidad política, especulaci</w:t>
      </w:r>
      <w:r w:rsidR="00117EC0" w:rsidRPr="00BB1432">
        <w:rPr>
          <w:b w:val="0"/>
          <w:sz w:val="22"/>
          <w:szCs w:val="22"/>
        </w:rPr>
        <w:t>ón, y defraudación</w:t>
      </w:r>
      <w:r w:rsidRPr="00BB1432">
        <w:rPr>
          <w:b w:val="0"/>
          <w:sz w:val="22"/>
          <w:szCs w:val="22"/>
        </w:rPr>
        <w:t xml:space="preserve">, fuga de capitales, peculado, corrupción, crisis internacionales, una elevada deuda externa e </w:t>
      </w:r>
      <w:r w:rsidRPr="00BB1432">
        <w:rPr>
          <w:b w:val="0"/>
          <w:sz w:val="22"/>
          <w:szCs w:val="22"/>
        </w:rPr>
        <w:lastRenderedPageBreak/>
        <w:t>inseguridad política, todo lo cual llevó al sistema bancario a la peor crisis del siglo.</w:t>
      </w:r>
      <w:r w:rsidRPr="00BB1432">
        <w:rPr>
          <w:rStyle w:val="Refdenotaalpie"/>
          <w:b w:val="0"/>
          <w:sz w:val="22"/>
          <w:szCs w:val="22"/>
        </w:rPr>
        <w:footnoteReference w:id="2"/>
      </w:r>
      <w:r w:rsidRPr="00BB1432">
        <w:rPr>
          <w:b w:val="0"/>
          <w:sz w:val="22"/>
          <w:szCs w:val="22"/>
        </w:rPr>
        <w:t xml:space="preserve">  </w:t>
      </w:r>
    </w:p>
    <w:p w:rsidR="00671424" w:rsidRPr="00BB1432" w:rsidRDefault="00671424" w:rsidP="00117EC0">
      <w:pPr>
        <w:pStyle w:val="NormalVerdana"/>
        <w:spacing w:line="480" w:lineRule="auto"/>
        <w:rPr>
          <w:b w:val="0"/>
          <w:sz w:val="22"/>
          <w:szCs w:val="22"/>
        </w:rPr>
      </w:pPr>
    </w:p>
    <w:p w:rsidR="006D3445" w:rsidRPr="00BB1432" w:rsidRDefault="00671424" w:rsidP="00117EC0">
      <w:pPr>
        <w:pStyle w:val="NormalVerdana"/>
        <w:spacing w:line="480" w:lineRule="auto"/>
        <w:rPr>
          <w:b w:val="0"/>
          <w:sz w:val="22"/>
          <w:szCs w:val="22"/>
        </w:rPr>
      </w:pPr>
      <w:r w:rsidRPr="00BB1432">
        <w:rPr>
          <w:b w:val="0"/>
          <w:sz w:val="22"/>
          <w:szCs w:val="22"/>
        </w:rPr>
        <w:tab/>
      </w:r>
      <w:r w:rsidR="00117EC0" w:rsidRPr="00BB1432">
        <w:rPr>
          <w:b w:val="0"/>
          <w:sz w:val="22"/>
          <w:szCs w:val="22"/>
        </w:rPr>
        <w:t xml:space="preserve">     </w:t>
      </w:r>
      <w:r w:rsidRPr="00BB1432">
        <w:rPr>
          <w:b w:val="0"/>
          <w:sz w:val="22"/>
          <w:szCs w:val="22"/>
        </w:rPr>
        <w:t>Durante los primeros años después de la crisis, las Instituciones Financieras concentraron esfuerzos en reafirmar la confianza de los agentes económicos basados principalmente en políticas de capitalización, un cuidadoso sistema de colocaciones y conformación de una cartera de inversiones temporales con la finalidad de disminuir riesgos y garantizar la liquidez del sistema; aumento de fondos disponibles, inversiones y acumulación de activos fijos revelaron esta política de preferencia por activos líquidos.</w:t>
      </w:r>
    </w:p>
    <w:p w:rsidR="00671424" w:rsidRPr="00BB1432" w:rsidRDefault="00671424" w:rsidP="006D3445">
      <w:pPr>
        <w:pStyle w:val="NormalVerdana"/>
        <w:spacing w:line="480" w:lineRule="auto"/>
        <w:rPr>
          <w:sz w:val="22"/>
          <w:szCs w:val="22"/>
        </w:rPr>
      </w:pPr>
      <w:r w:rsidRPr="00BB1432">
        <w:rPr>
          <w:b w:val="0"/>
          <w:sz w:val="22"/>
          <w:szCs w:val="22"/>
        </w:rPr>
        <w:tab/>
      </w:r>
      <w:r w:rsidR="00117EC0" w:rsidRPr="00BB1432">
        <w:rPr>
          <w:b w:val="0"/>
          <w:sz w:val="22"/>
          <w:szCs w:val="22"/>
        </w:rPr>
        <w:t xml:space="preserve">     </w:t>
      </w:r>
    </w:p>
    <w:p w:rsidR="00671424" w:rsidRPr="00BB1432" w:rsidRDefault="00671424" w:rsidP="00117EC0">
      <w:pPr>
        <w:pStyle w:val="NormalVerdana"/>
        <w:spacing w:line="480" w:lineRule="auto"/>
        <w:rPr>
          <w:bCs/>
          <w:sz w:val="22"/>
          <w:szCs w:val="22"/>
        </w:rPr>
      </w:pPr>
      <w:r w:rsidRPr="00BB1432">
        <w:rPr>
          <w:bCs/>
          <w:sz w:val="22"/>
          <w:szCs w:val="22"/>
        </w:rPr>
        <w:tab/>
        <w:t>1.2  EVOLUCIÓN DEL COMPORTAMIENTO FINANCIERO</w:t>
      </w:r>
      <w:r w:rsidRPr="00BB1432">
        <w:rPr>
          <w:rStyle w:val="Refdenotaalpie"/>
          <w:bCs/>
          <w:sz w:val="22"/>
          <w:szCs w:val="22"/>
        </w:rPr>
        <w:footnoteReference w:id="3"/>
      </w:r>
    </w:p>
    <w:p w:rsidR="00671424" w:rsidRPr="00BB1432" w:rsidRDefault="00671424" w:rsidP="00117EC0">
      <w:pPr>
        <w:pStyle w:val="NormalVerdana"/>
        <w:spacing w:line="480" w:lineRule="auto"/>
        <w:rPr>
          <w:bCs/>
          <w:sz w:val="22"/>
          <w:szCs w:val="22"/>
        </w:rPr>
      </w:pPr>
    </w:p>
    <w:p w:rsidR="00671424" w:rsidRPr="00BB1432" w:rsidRDefault="00671424" w:rsidP="00117EC0">
      <w:pPr>
        <w:pStyle w:val="NormalVerdana"/>
        <w:spacing w:line="480" w:lineRule="auto"/>
        <w:rPr>
          <w:bCs/>
          <w:sz w:val="22"/>
          <w:szCs w:val="22"/>
        </w:rPr>
      </w:pPr>
      <w:r w:rsidRPr="00BB1432">
        <w:rPr>
          <w:bCs/>
          <w:sz w:val="22"/>
          <w:szCs w:val="22"/>
        </w:rPr>
        <w:tab/>
        <w:t>1.2.1 Evolución de Activos</w:t>
      </w: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w:t>
      </w:r>
      <w:r w:rsidRPr="00BB1432">
        <w:rPr>
          <w:b w:val="0"/>
          <w:bCs/>
          <w:sz w:val="22"/>
          <w:szCs w:val="22"/>
        </w:rPr>
        <w:t xml:space="preserve">Los activos tuvieron un incremento importante durante el periodo 2000-2001 llegando a 4,421 millones de dólares. Se aprecio también la tendencia por parte de los bancos a mantener los recursos más líquidos en instituciones del exterior con la finalidad de mantener provisiones de liquidez necesarias. </w:t>
      </w:r>
    </w:p>
    <w:p w:rsidR="00671424" w:rsidRPr="00BB1432" w:rsidRDefault="00671424" w:rsidP="00117EC0">
      <w:pPr>
        <w:pStyle w:val="NormalVerdana"/>
        <w:spacing w:line="480" w:lineRule="auto"/>
        <w:rPr>
          <w:b w:val="0"/>
          <w:bCs/>
          <w:sz w:val="22"/>
          <w:szCs w:val="22"/>
        </w:rPr>
      </w:pPr>
      <w:r w:rsidRPr="00BB1432">
        <w:rPr>
          <w:bCs/>
          <w:sz w:val="22"/>
          <w:szCs w:val="22"/>
        </w:rPr>
        <w:t xml:space="preserve">  </w:t>
      </w:r>
      <w:r w:rsidRPr="00BB1432">
        <w:rPr>
          <w:b w:val="0"/>
          <w:bCs/>
          <w:sz w:val="22"/>
          <w:szCs w:val="22"/>
        </w:rPr>
        <w:tab/>
      </w:r>
      <w:r w:rsidR="00117EC0" w:rsidRPr="00BB1432">
        <w:rPr>
          <w:b w:val="0"/>
          <w:bCs/>
          <w:sz w:val="22"/>
          <w:szCs w:val="22"/>
        </w:rPr>
        <w:t xml:space="preserve">     </w:t>
      </w:r>
      <w:r w:rsidRPr="00BB1432">
        <w:rPr>
          <w:b w:val="0"/>
          <w:bCs/>
          <w:sz w:val="22"/>
          <w:szCs w:val="22"/>
        </w:rPr>
        <w:t xml:space="preserve">Antes de la crisis en 1999, los Bancos mantenían los niveles de liquidez por encima del 90% llegando hasta 160%. En el momento en que se impuso la dolarización, estos bajaron drásticamente, sin embargo los bancos optaron por mantener un colchón de liquidez alrededor del 30 % con el propósito de preservar la confianza de sus clientes y mantener las reservas de efectivo. </w:t>
      </w:r>
    </w:p>
    <w:p w:rsidR="00671424" w:rsidRPr="00BB1432" w:rsidRDefault="00671424" w:rsidP="00117EC0">
      <w:pPr>
        <w:pStyle w:val="NormalVerdana"/>
        <w:spacing w:line="480" w:lineRule="auto"/>
        <w:rPr>
          <w:bCs/>
          <w:sz w:val="22"/>
          <w:szCs w:val="22"/>
        </w:rPr>
      </w:pPr>
      <w:r w:rsidRPr="00BB1432">
        <w:rPr>
          <w:bCs/>
          <w:sz w:val="22"/>
          <w:szCs w:val="22"/>
        </w:rPr>
        <w:t xml:space="preserve">   </w:t>
      </w: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w:t>
      </w:r>
      <w:r w:rsidRPr="00BB1432">
        <w:rPr>
          <w:b w:val="0"/>
          <w:bCs/>
          <w:sz w:val="22"/>
          <w:szCs w:val="22"/>
        </w:rPr>
        <w:t xml:space="preserve">Hasta junio del 2004 los activos del sistema financiero alcanzaron los 7,300 millones (representados por cartera de créditos, fondos disponibles e inversiones). Esta cifra se debe a la reactivación de créditos y al aumento de portafolio de inversiones.  </w:t>
      </w:r>
    </w:p>
    <w:p w:rsidR="00671424" w:rsidRPr="00BB1432" w:rsidRDefault="00671424"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w:t>
      </w:r>
      <w:r w:rsidRPr="00BB1432">
        <w:rPr>
          <w:b w:val="0"/>
          <w:bCs/>
          <w:sz w:val="22"/>
          <w:szCs w:val="22"/>
        </w:rPr>
        <w:t xml:space="preserve">Para diciembre del 2006, la cartera de créditos registró un incrementó de su participación en el activo total, de hecho fue el rubro que registro el mayor crecimiento en términos absolutos, aumentando su saldo bruto en 1,355 millones de dólares (1,327 millones de cartera neta, mas 28 millones de provisiones) cuyo financiamiento provino de nuevas captaciones del público, las mismas que subieron en 1,397 millones de dólares.   </w:t>
      </w:r>
    </w:p>
    <w:p w:rsidR="005455E8" w:rsidRPr="00BB1432" w:rsidRDefault="005455E8" w:rsidP="00117EC0">
      <w:pPr>
        <w:pStyle w:val="NormalVerdana"/>
        <w:spacing w:line="480" w:lineRule="auto"/>
        <w:rPr>
          <w:bCs/>
          <w:sz w:val="22"/>
          <w:szCs w:val="22"/>
        </w:rPr>
      </w:pPr>
    </w:p>
    <w:p w:rsidR="00671424" w:rsidRPr="00BB1432" w:rsidRDefault="00671424" w:rsidP="00117EC0">
      <w:pPr>
        <w:pStyle w:val="NormalVerdana"/>
        <w:spacing w:line="480" w:lineRule="auto"/>
        <w:rPr>
          <w:b w:val="0"/>
          <w:bCs/>
          <w:sz w:val="22"/>
          <w:szCs w:val="22"/>
        </w:rPr>
      </w:pPr>
      <w:r w:rsidRPr="00BB1432">
        <w:rPr>
          <w:bCs/>
          <w:sz w:val="22"/>
          <w:szCs w:val="22"/>
        </w:rPr>
        <w:tab/>
      </w:r>
      <w:r w:rsidR="00117EC0" w:rsidRPr="00BB1432">
        <w:rPr>
          <w:bCs/>
          <w:sz w:val="22"/>
          <w:szCs w:val="22"/>
        </w:rPr>
        <w:t xml:space="preserve">     </w:t>
      </w:r>
      <w:r w:rsidRPr="00BB1432">
        <w:rPr>
          <w:b w:val="0"/>
          <w:bCs/>
          <w:sz w:val="22"/>
          <w:szCs w:val="22"/>
        </w:rPr>
        <w:t xml:space="preserve">En lo que refiere a la cartera de créditos y contingentes, se determinó que la cartera comercial registró la mayor participación dentro de la cartera total con participaciones del 59.04%, con una tasa de morosidad del 2.10%  </w:t>
      </w:r>
    </w:p>
    <w:p w:rsidR="00117EC0" w:rsidRDefault="00117EC0" w:rsidP="00117EC0">
      <w:pPr>
        <w:pStyle w:val="NormalVerdana"/>
        <w:spacing w:line="480" w:lineRule="auto"/>
        <w:jc w:val="center"/>
        <w:rPr>
          <w:sz w:val="22"/>
          <w:szCs w:val="22"/>
        </w:rPr>
      </w:pPr>
    </w:p>
    <w:p w:rsidR="00671424" w:rsidRPr="00BB1432" w:rsidRDefault="00671424" w:rsidP="00117EC0">
      <w:pPr>
        <w:pStyle w:val="NormalVerdana"/>
        <w:spacing w:line="480" w:lineRule="auto"/>
        <w:rPr>
          <w:bCs/>
          <w:sz w:val="22"/>
          <w:szCs w:val="22"/>
        </w:rPr>
      </w:pPr>
      <w:r w:rsidRPr="00BB1432">
        <w:rPr>
          <w:bCs/>
          <w:sz w:val="22"/>
          <w:szCs w:val="22"/>
        </w:rPr>
        <w:tab/>
        <w:t>1.2.2 Evolución de los pasivos</w:t>
      </w:r>
    </w:p>
    <w:p w:rsidR="00671424" w:rsidRPr="00BB1432" w:rsidRDefault="00671424" w:rsidP="00117EC0">
      <w:pPr>
        <w:pStyle w:val="NormalVerdana"/>
        <w:spacing w:line="480" w:lineRule="auto"/>
        <w:rPr>
          <w:b w:val="0"/>
          <w:bCs/>
          <w:sz w:val="22"/>
          <w:szCs w:val="22"/>
        </w:rPr>
      </w:pPr>
      <w:r w:rsidRPr="00BB1432">
        <w:rPr>
          <w:bCs/>
          <w:sz w:val="22"/>
          <w:szCs w:val="22"/>
        </w:rPr>
        <w:tab/>
      </w:r>
      <w:r w:rsidR="00117EC0" w:rsidRPr="00BB1432">
        <w:rPr>
          <w:bCs/>
          <w:sz w:val="22"/>
          <w:szCs w:val="22"/>
        </w:rPr>
        <w:t xml:space="preserve">     </w:t>
      </w:r>
      <w:r w:rsidRPr="00BB1432">
        <w:rPr>
          <w:b w:val="0"/>
          <w:bCs/>
          <w:sz w:val="22"/>
          <w:szCs w:val="22"/>
        </w:rPr>
        <w:t xml:space="preserve">Durante los años 2001 y 2002 las principales fuentes de financiamiento fueron las obligaciones con el </w:t>
      </w:r>
      <w:r w:rsidR="00117EC0" w:rsidRPr="00BB1432">
        <w:rPr>
          <w:b w:val="0"/>
          <w:bCs/>
          <w:sz w:val="22"/>
          <w:szCs w:val="22"/>
        </w:rPr>
        <w:t>público,</w:t>
      </w:r>
      <w:r w:rsidRPr="00BB1432">
        <w:rPr>
          <w:b w:val="0"/>
          <w:bCs/>
          <w:sz w:val="22"/>
          <w:szCs w:val="22"/>
        </w:rPr>
        <w:t xml:space="preserve"> fundamentalmente depósitos a la vista, llegando a totalizar 3,035</w:t>
      </w:r>
      <w:r w:rsidR="00117EC0" w:rsidRPr="00BB1432">
        <w:rPr>
          <w:b w:val="0"/>
          <w:bCs/>
          <w:sz w:val="22"/>
          <w:szCs w:val="22"/>
        </w:rPr>
        <w:t xml:space="preserve"> millones de dólares en el 2002;</w:t>
      </w:r>
      <w:r w:rsidRPr="00BB1432">
        <w:rPr>
          <w:b w:val="0"/>
          <w:bCs/>
          <w:sz w:val="22"/>
          <w:szCs w:val="22"/>
        </w:rPr>
        <w:t xml:space="preserve"> sin embargo</w:t>
      </w:r>
      <w:r w:rsidR="00117EC0" w:rsidRPr="00BB1432">
        <w:rPr>
          <w:b w:val="0"/>
          <w:bCs/>
          <w:sz w:val="22"/>
          <w:szCs w:val="22"/>
        </w:rPr>
        <w:t>,</w:t>
      </w:r>
      <w:r w:rsidRPr="00BB1432">
        <w:rPr>
          <w:b w:val="0"/>
          <w:bCs/>
          <w:sz w:val="22"/>
          <w:szCs w:val="22"/>
        </w:rPr>
        <w:t xml:space="preserve"> la volatilidad de estas captaciones por el corto plazo </w:t>
      </w:r>
      <w:r w:rsidR="00117EC0" w:rsidRPr="00BB1432">
        <w:rPr>
          <w:b w:val="0"/>
          <w:bCs/>
          <w:sz w:val="22"/>
          <w:szCs w:val="22"/>
        </w:rPr>
        <w:t>impide</w:t>
      </w:r>
      <w:r w:rsidRPr="00BB1432">
        <w:rPr>
          <w:b w:val="0"/>
          <w:bCs/>
          <w:sz w:val="22"/>
          <w:szCs w:val="22"/>
        </w:rPr>
        <w:t xml:space="preserve"> que sean utilizadas por los bancos en actividades de mediano y largo plazo. </w:t>
      </w:r>
    </w:p>
    <w:p w:rsidR="005455E8" w:rsidRPr="00BB1432" w:rsidRDefault="005455E8"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sz w:val="22"/>
          <w:szCs w:val="22"/>
        </w:rPr>
      </w:pPr>
      <w:r w:rsidRPr="00BB1432">
        <w:rPr>
          <w:b w:val="0"/>
          <w:sz w:val="22"/>
          <w:szCs w:val="22"/>
        </w:rPr>
        <w:tab/>
      </w:r>
      <w:r w:rsidR="00117EC0" w:rsidRPr="00BB1432">
        <w:rPr>
          <w:b w:val="0"/>
          <w:sz w:val="22"/>
          <w:szCs w:val="22"/>
        </w:rPr>
        <w:t xml:space="preserve">     </w:t>
      </w:r>
      <w:r w:rsidRPr="00BB1432">
        <w:rPr>
          <w:b w:val="0"/>
          <w:sz w:val="22"/>
          <w:szCs w:val="22"/>
        </w:rPr>
        <w:t xml:space="preserve">En diciembre del 2006, los pasivos del sistema bancario creció en el 19.64% anual, equivalente a 1,749 millones de dólares, recursos provenientes principalmente de depósitos a la vista y a plazo.      </w:t>
      </w:r>
    </w:p>
    <w:p w:rsidR="006D3445" w:rsidRPr="00BB1432" w:rsidRDefault="006D3445"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Cs/>
          <w:sz w:val="22"/>
          <w:szCs w:val="22"/>
        </w:rPr>
        <w:tab/>
      </w:r>
      <w:r w:rsidR="00117EC0" w:rsidRPr="00BB1432">
        <w:rPr>
          <w:bCs/>
          <w:sz w:val="22"/>
          <w:szCs w:val="22"/>
        </w:rPr>
        <w:t xml:space="preserve">     </w:t>
      </w:r>
      <w:r w:rsidRPr="00BB1432">
        <w:rPr>
          <w:b w:val="0"/>
          <w:bCs/>
          <w:sz w:val="22"/>
          <w:szCs w:val="22"/>
        </w:rPr>
        <w:t>Las obligaciones con el p</w:t>
      </w:r>
      <w:r w:rsidR="00E138BA" w:rsidRPr="00BB1432">
        <w:rPr>
          <w:b w:val="0"/>
          <w:bCs/>
          <w:sz w:val="22"/>
          <w:szCs w:val="22"/>
        </w:rPr>
        <w:t>ú</w:t>
      </w:r>
      <w:r w:rsidRPr="00BB1432">
        <w:rPr>
          <w:b w:val="0"/>
          <w:bCs/>
          <w:sz w:val="22"/>
          <w:szCs w:val="22"/>
        </w:rPr>
        <w:t>blico representaron las principales cuentas del pasivo en un  85.85% en dic/06 y las obligaciones financieras con una participación del 6.19%.</w:t>
      </w:r>
    </w:p>
    <w:p w:rsidR="00671424" w:rsidRPr="00BB1432" w:rsidRDefault="00671424"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w:t>
      </w:r>
      <w:r w:rsidR="00E138BA" w:rsidRPr="00BB1432">
        <w:rPr>
          <w:b w:val="0"/>
          <w:bCs/>
          <w:sz w:val="22"/>
          <w:szCs w:val="22"/>
        </w:rPr>
        <w:t>Las captaciones con el pú</w:t>
      </w:r>
      <w:r w:rsidRPr="00BB1432">
        <w:rPr>
          <w:b w:val="0"/>
          <w:bCs/>
          <w:sz w:val="22"/>
          <w:szCs w:val="22"/>
        </w:rPr>
        <w:t>blico estuvieron formadas en un 68.35% de depósitos a la vista y 30.45% de depósitos a plazo. Hubo un decremento en la participación de las obligaciones con el público, lo cual tendría su origen en el incremento en la participación de las obligaciones financieras y valores en circulación.</w:t>
      </w:r>
      <w:r w:rsidRPr="00BB1432">
        <w:rPr>
          <w:bCs/>
          <w:sz w:val="22"/>
          <w:szCs w:val="22"/>
        </w:rPr>
        <w:t xml:space="preserve"> </w:t>
      </w:r>
      <w:r w:rsidRPr="00BB1432">
        <w:rPr>
          <w:bCs/>
          <w:sz w:val="22"/>
          <w:szCs w:val="22"/>
        </w:rPr>
        <w:tab/>
      </w:r>
    </w:p>
    <w:p w:rsidR="006D3445" w:rsidRPr="00BB1432" w:rsidRDefault="006D3445" w:rsidP="00117EC0">
      <w:pPr>
        <w:pStyle w:val="NormalVerdana"/>
        <w:spacing w:line="480" w:lineRule="auto"/>
        <w:jc w:val="center"/>
        <w:rPr>
          <w:sz w:val="22"/>
          <w:szCs w:val="22"/>
        </w:rPr>
      </w:pPr>
    </w:p>
    <w:p w:rsidR="00671424" w:rsidRPr="00BB1432" w:rsidRDefault="00671424" w:rsidP="00117EC0">
      <w:pPr>
        <w:pStyle w:val="NormalVerdana"/>
        <w:spacing w:line="480" w:lineRule="auto"/>
        <w:rPr>
          <w:bCs/>
          <w:sz w:val="22"/>
          <w:szCs w:val="22"/>
        </w:rPr>
      </w:pPr>
      <w:r w:rsidRPr="00BB1432">
        <w:rPr>
          <w:bCs/>
          <w:sz w:val="22"/>
          <w:szCs w:val="22"/>
        </w:rPr>
        <w:tab/>
        <w:t>1.2.3 Evolución del Patrimonio</w:t>
      </w:r>
    </w:p>
    <w:p w:rsidR="00671424" w:rsidRPr="00BB1432" w:rsidRDefault="00671424" w:rsidP="00117EC0">
      <w:pPr>
        <w:pStyle w:val="NormalVerdana"/>
        <w:spacing w:line="480" w:lineRule="auto"/>
        <w:rPr>
          <w:b w:val="0"/>
          <w:bCs/>
          <w:sz w:val="22"/>
          <w:szCs w:val="22"/>
        </w:rPr>
      </w:pPr>
      <w:r w:rsidRPr="00BB1432">
        <w:rPr>
          <w:bCs/>
          <w:sz w:val="22"/>
          <w:szCs w:val="22"/>
        </w:rPr>
        <w:tab/>
      </w:r>
      <w:r w:rsidR="00117EC0" w:rsidRPr="00BB1432">
        <w:rPr>
          <w:bCs/>
          <w:sz w:val="22"/>
          <w:szCs w:val="22"/>
        </w:rPr>
        <w:t xml:space="preserve">     </w:t>
      </w:r>
      <w:r w:rsidRPr="00BB1432">
        <w:rPr>
          <w:b w:val="0"/>
          <w:bCs/>
          <w:sz w:val="22"/>
          <w:szCs w:val="22"/>
        </w:rPr>
        <w:t xml:space="preserve">Según la resolución del 9 de Octubre del 2001 de </w:t>
      </w:r>
      <w:smartTag w:uri="urn:schemas-microsoft-com:office:smarttags" w:element="PersonName">
        <w:smartTagPr>
          <w:attr w:name="ProductID" w:val="la Superintendencia"/>
        </w:smartTagPr>
        <w:r w:rsidRPr="00BB1432">
          <w:rPr>
            <w:b w:val="0"/>
            <w:bCs/>
            <w:sz w:val="22"/>
            <w:szCs w:val="22"/>
          </w:rPr>
          <w:t>la Superintendencia</w:t>
        </w:r>
      </w:smartTag>
      <w:r w:rsidRPr="00BB1432">
        <w:rPr>
          <w:b w:val="0"/>
          <w:bCs/>
          <w:sz w:val="22"/>
          <w:szCs w:val="22"/>
        </w:rPr>
        <w:t xml:space="preserve"> de B</w:t>
      </w:r>
      <w:r w:rsidR="006D3445" w:rsidRPr="00BB1432">
        <w:rPr>
          <w:b w:val="0"/>
          <w:bCs/>
          <w:sz w:val="22"/>
          <w:szCs w:val="22"/>
        </w:rPr>
        <w:t xml:space="preserve">ancos, </w:t>
      </w:r>
      <w:smartTag w:uri="urn:schemas-microsoft-com:office:smarttags" w:element="PersonName">
        <w:smartTagPr>
          <w:attr w:name="ProductID" w:val="la Junta Bancaria"/>
        </w:smartTagPr>
        <w:r w:rsidR="006D3445" w:rsidRPr="00BB1432">
          <w:rPr>
            <w:b w:val="0"/>
            <w:bCs/>
            <w:sz w:val="22"/>
            <w:szCs w:val="22"/>
          </w:rPr>
          <w:t>la Junta Bancaria</w:t>
        </w:r>
      </w:smartTag>
      <w:r w:rsidR="006D3445" w:rsidRPr="00BB1432">
        <w:rPr>
          <w:b w:val="0"/>
          <w:bCs/>
          <w:sz w:val="22"/>
          <w:szCs w:val="22"/>
        </w:rPr>
        <w:t xml:space="preserve"> reformó</w:t>
      </w:r>
      <w:r w:rsidRPr="00BB1432">
        <w:rPr>
          <w:b w:val="0"/>
          <w:bCs/>
          <w:sz w:val="22"/>
          <w:szCs w:val="22"/>
        </w:rPr>
        <w:t xml:space="preserve"> el planteamiento de conformación del Patrimonio Técnico constituido, con el objeto de seguir las operaciones prudenciales recomendadas por Basilea.</w:t>
      </w:r>
      <w:r w:rsidRPr="00BB1432">
        <w:rPr>
          <w:rStyle w:val="Refdenotaalpie"/>
          <w:b w:val="0"/>
          <w:bCs/>
          <w:sz w:val="22"/>
          <w:szCs w:val="22"/>
        </w:rPr>
        <w:footnoteReference w:id="4"/>
      </w:r>
      <w:r w:rsidRPr="00BB1432">
        <w:rPr>
          <w:b w:val="0"/>
          <w:bCs/>
          <w:sz w:val="22"/>
          <w:szCs w:val="22"/>
        </w:rPr>
        <w:t xml:space="preserve">  </w:t>
      </w:r>
    </w:p>
    <w:p w:rsidR="00671424" w:rsidRPr="00BB1432" w:rsidRDefault="00671424" w:rsidP="00117EC0">
      <w:pPr>
        <w:pStyle w:val="NormalVerdana"/>
        <w:spacing w:line="480" w:lineRule="auto"/>
        <w:rPr>
          <w:b w:val="0"/>
          <w:bCs/>
          <w:sz w:val="22"/>
          <w:szCs w:val="22"/>
        </w:rPr>
      </w:pPr>
      <w:r w:rsidRPr="00BB1432">
        <w:rPr>
          <w:b w:val="0"/>
          <w:bCs/>
          <w:sz w:val="22"/>
          <w:szCs w:val="22"/>
        </w:rPr>
        <w:tab/>
      </w: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w:t>
      </w:r>
      <w:r w:rsidRPr="00BB1432">
        <w:rPr>
          <w:b w:val="0"/>
          <w:bCs/>
          <w:sz w:val="22"/>
          <w:szCs w:val="22"/>
        </w:rPr>
        <w:t>Para diciembre del año 2002</w:t>
      </w:r>
      <w:r w:rsidR="006D3445" w:rsidRPr="00BB1432">
        <w:rPr>
          <w:b w:val="0"/>
          <w:bCs/>
          <w:sz w:val="22"/>
          <w:szCs w:val="22"/>
        </w:rPr>
        <w:t>,</w:t>
      </w:r>
      <w:r w:rsidRPr="00BB1432">
        <w:rPr>
          <w:b w:val="0"/>
          <w:bCs/>
          <w:sz w:val="22"/>
          <w:szCs w:val="22"/>
        </w:rPr>
        <w:t xml:space="preserve"> el sistema de Bancos mostró que tenía la cobertura patrimonial necesaria con un superávit de 125 millones respecto de los requerimientos del patrimonio técnico. En Junio del 2004 la banca mostró un crecimiento del 12.44% de patrimonio técnico, muy por encima de la norma internacional. </w:t>
      </w:r>
    </w:p>
    <w:p w:rsidR="00671424" w:rsidRPr="00BB1432" w:rsidRDefault="00671424"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w:t>
      </w:r>
      <w:r w:rsidRPr="00BB1432">
        <w:rPr>
          <w:b w:val="0"/>
          <w:bCs/>
          <w:sz w:val="22"/>
          <w:szCs w:val="22"/>
        </w:rPr>
        <w:t xml:space="preserve">En Agosto del 2004, las ganancias de los bancos privados llegaron a 100 millones de dólares, lo cual es una muestra de recuperación para los banqueros luego de la crisis de 1998 y 1999. </w:t>
      </w:r>
    </w:p>
    <w:p w:rsidR="00671424" w:rsidRPr="00BB1432" w:rsidRDefault="00671424"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sz w:val="22"/>
          <w:szCs w:val="22"/>
        </w:rPr>
      </w:pPr>
      <w:r w:rsidRPr="00BB1432">
        <w:rPr>
          <w:b w:val="0"/>
          <w:bCs/>
          <w:sz w:val="22"/>
          <w:szCs w:val="22"/>
        </w:rPr>
        <w:tab/>
      </w:r>
      <w:r w:rsidR="00117EC0" w:rsidRPr="00BB1432">
        <w:rPr>
          <w:b w:val="0"/>
          <w:bCs/>
          <w:sz w:val="22"/>
          <w:szCs w:val="22"/>
        </w:rPr>
        <w:t xml:space="preserve">     </w:t>
      </w:r>
      <w:r w:rsidRPr="00BB1432">
        <w:rPr>
          <w:b w:val="0"/>
          <w:bCs/>
          <w:sz w:val="22"/>
          <w:szCs w:val="22"/>
        </w:rPr>
        <w:t>Para diciembre del 2006 el patrimonio registró un crecimiento de 30.49%, equivalente a 289 millones de dólares, donde e</w:t>
      </w:r>
      <w:r w:rsidRPr="00BB1432">
        <w:rPr>
          <w:b w:val="0"/>
          <w:sz w:val="22"/>
          <w:szCs w:val="22"/>
        </w:rPr>
        <w:t>l capital social y las rese</w:t>
      </w:r>
      <w:r w:rsidR="00E138BA" w:rsidRPr="00BB1432">
        <w:rPr>
          <w:b w:val="0"/>
          <w:sz w:val="22"/>
          <w:szCs w:val="22"/>
        </w:rPr>
        <w:t>rvas representaron los rubros má</w:t>
      </w:r>
      <w:r w:rsidRPr="00BB1432">
        <w:rPr>
          <w:b w:val="0"/>
          <w:sz w:val="22"/>
          <w:szCs w:val="22"/>
        </w:rPr>
        <w:t xml:space="preserve">s importantes dentro del Patrimonio en 56.73% y </w:t>
      </w:r>
      <w:r w:rsidR="00E138BA" w:rsidRPr="00BB1432">
        <w:rPr>
          <w:b w:val="0"/>
          <w:sz w:val="22"/>
          <w:szCs w:val="22"/>
        </w:rPr>
        <w:t>11.98 % en su orden, la cuenta R</w:t>
      </w:r>
      <w:r w:rsidRPr="00BB1432">
        <w:rPr>
          <w:b w:val="0"/>
          <w:sz w:val="22"/>
          <w:szCs w:val="22"/>
        </w:rPr>
        <w:t xml:space="preserve">esultados tuvo participaciones de  21.38% en el 2006. </w:t>
      </w:r>
    </w:p>
    <w:p w:rsidR="005455E8" w:rsidRPr="00BB1432" w:rsidRDefault="005455E8" w:rsidP="00117EC0">
      <w:pPr>
        <w:pStyle w:val="NormalVerdana"/>
        <w:spacing w:line="480" w:lineRule="auto"/>
        <w:rPr>
          <w:b w:val="0"/>
          <w:sz w:val="22"/>
          <w:szCs w:val="22"/>
        </w:rPr>
      </w:pPr>
    </w:p>
    <w:p w:rsidR="00671424" w:rsidRPr="00BB1432" w:rsidRDefault="00671424" w:rsidP="00117EC0">
      <w:pPr>
        <w:pStyle w:val="NormalVerdana"/>
        <w:spacing w:line="480" w:lineRule="auto"/>
        <w:rPr>
          <w:b w:val="0"/>
          <w:bCs/>
          <w:sz w:val="22"/>
          <w:szCs w:val="22"/>
        </w:rPr>
      </w:pPr>
      <w:r w:rsidRPr="00BB1432">
        <w:rPr>
          <w:bCs/>
          <w:sz w:val="22"/>
          <w:szCs w:val="22"/>
        </w:rPr>
        <w:tab/>
      </w:r>
      <w:r w:rsidR="00117EC0" w:rsidRPr="00BB1432">
        <w:rPr>
          <w:bCs/>
          <w:sz w:val="22"/>
          <w:szCs w:val="22"/>
        </w:rPr>
        <w:t xml:space="preserve">     </w:t>
      </w:r>
      <w:r w:rsidRPr="00BB1432">
        <w:rPr>
          <w:b w:val="0"/>
          <w:bCs/>
          <w:sz w:val="22"/>
          <w:szCs w:val="22"/>
        </w:rPr>
        <w:t xml:space="preserve">El incremento en la participación de los Resultados, así como el aumento en el Superávit por Valuaciones, tuvieron su origen en la perdida de participación del capital social y las reservas.     </w:t>
      </w:r>
      <w:r w:rsidRPr="00BB1432">
        <w:rPr>
          <w:b w:val="0"/>
          <w:bCs/>
          <w:sz w:val="22"/>
          <w:szCs w:val="22"/>
        </w:rPr>
        <w:tab/>
      </w:r>
    </w:p>
    <w:p w:rsidR="00671424" w:rsidRPr="00BB1432" w:rsidRDefault="00671424" w:rsidP="00117EC0">
      <w:pPr>
        <w:pStyle w:val="NormalVerdana"/>
        <w:spacing w:line="480" w:lineRule="auto"/>
        <w:rPr>
          <w:bCs/>
          <w:sz w:val="22"/>
          <w:szCs w:val="22"/>
        </w:rPr>
      </w:pPr>
    </w:p>
    <w:p w:rsidR="00671424" w:rsidRPr="00BB1432" w:rsidRDefault="00117EC0" w:rsidP="00117EC0">
      <w:pPr>
        <w:pStyle w:val="NormalVerdana"/>
        <w:spacing w:line="480" w:lineRule="auto"/>
        <w:rPr>
          <w:bCs/>
          <w:sz w:val="22"/>
          <w:szCs w:val="22"/>
        </w:rPr>
      </w:pPr>
      <w:r w:rsidRPr="00BB1432">
        <w:rPr>
          <w:bCs/>
          <w:sz w:val="22"/>
          <w:szCs w:val="22"/>
        </w:rPr>
        <w:tab/>
      </w:r>
      <w:r w:rsidR="00671424" w:rsidRPr="00BB1432">
        <w:rPr>
          <w:bCs/>
          <w:sz w:val="22"/>
          <w:szCs w:val="22"/>
        </w:rPr>
        <w:t>Fuentes y Usos</w:t>
      </w:r>
    </w:p>
    <w:p w:rsidR="00671424" w:rsidRPr="00BB1432" w:rsidRDefault="00671424" w:rsidP="00117EC0">
      <w:pPr>
        <w:pStyle w:val="NormalVerdana"/>
        <w:spacing w:line="480" w:lineRule="auto"/>
        <w:rPr>
          <w:b w:val="0"/>
          <w:bCs/>
          <w:sz w:val="22"/>
          <w:szCs w:val="22"/>
        </w:rPr>
      </w:pPr>
      <w:r w:rsidRPr="00BB1432">
        <w:rPr>
          <w:bCs/>
          <w:sz w:val="22"/>
          <w:szCs w:val="22"/>
        </w:rPr>
        <w:tab/>
      </w:r>
      <w:r w:rsidR="00117EC0" w:rsidRPr="00BB1432">
        <w:rPr>
          <w:bCs/>
          <w:sz w:val="22"/>
          <w:szCs w:val="22"/>
        </w:rPr>
        <w:t xml:space="preserve">     </w:t>
      </w:r>
      <w:r w:rsidRPr="00BB1432">
        <w:rPr>
          <w:b w:val="0"/>
          <w:bCs/>
          <w:sz w:val="22"/>
          <w:szCs w:val="22"/>
        </w:rPr>
        <w:t>Las principales fuentes de recursos del sistema de bancos a Diciembre del 200</w:t>
      </w:r>
      <w:r w:rsidR="00E138BA" w:rsidRPr="00BB1432">
        <w:rPr>
          <w:b w:val="0"/>
          <w:bCs/>
          <w:sz w:val="22"/>
          <w:szCs w:val="22"/>
        </w:rPr>
        <w:t>6, fueron las captaciones del pú</w:t>
      </w:r>
      <w:r w:rsidRPr="00BB1432">
        <w:rPr>
          <w:b w:val="0"/>
          <w:bCs/>
          <w:sz w:val="22"/>
          <w:szCs w:val="22"/>
        </w:rPr>
        <w:t xml:space="preserve">blico que aportaron el 67.87% (1,397 millones de dólares) del total del las fuentes. A su vez dentro del crecimiento de las captaciones se descarta la participación de los depósitos a la vista con el 65.67% y de depósitos a plazo con un participación del 29.77% </w:t>
      </w:r>
    </w:p>
    <w:p w:rsidR="00671424" w:rsidRPr="00BB1432" w:rsidRDefault="00671424" w:rsidP="00117EC0">
      <w:pPr>
        <w:pStyle w:val="NormalVerdana"/>
        <w:spacing w:line="480" w:lineRule="auto"/>
        <w:rPr>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17EC0" w:rsidRPr="00BB1432">
        <w:rPr>
          <w:b w:val="0"/>
          <w:bCs/>
          <w:sz w:val="22"/>
          <w:szCs w:val="22"/>
        </w:rPr>
        <w:t xml:space="preserve">     Los recursos obtenidos</w:t>
      </w:r>
      <w:r w:rsidRPr="00BB1432">
        <w:rPr>
          <w:b w:val="0"/>
          <w:bCs/>
          <w:sz w:val="22"/>
          <w:szCs w:val="22"/>
        </w:rPr>
        <w:t xml:space="preserve"> </w:t>
      </w:r>
      <w:r w:rsidR="00117EC0" w:rsidRPr="00BB1432">
        <w:rPr>
          <w:b w:val="0"/>
          <w:bCs/>
          <w:sz w:val="22"/>
          <w:szCs w:val="22"/>
        </w:rPr>
        <w:t xml:space="preserve">fueron destinados en un 64.45% </w:t>
      </w:r>
      <w:r w:rsidRPr="00BB1432">
        <w:rPr>
          <w:b w:val="0"/>
          <w:bCs/>
          <w:sz w:val="22"/>
          <w:szCs w:val="22"/>
        </w:rPr>
        <w:t>a la cartera de crédito neta (mayor activo productivo) y  26.78% a inversiones (fuente secundaria de liquidez).</w:t>
      </w:r>
    </w:p>
    <w:p w:rsidR="006D3445" w:rsidRPr="00BB1432" w:rsidRDefault="006D3445" w:rsidP="00117EC0">
      <w:pPr>
        <w:pStyle w:val="NormalVerdana"/>
        <w:spacing w:line="480" w:lineRule="auto"/>
        <w:jc w:val="center"/>
        <w:rPr>
          <w:sz w:val="22"/>
          <w:szCs w:val="22"/>
        </w:rPr>
      </w:pPr>
    </w:p>
    <w:p w:rsidR="00671424" w:rsidRPr="00BB1432" w:rsidRDefault="005455E8" w:rsidP="00117EC0">
      <w:pPr>
        <w:pStyle w:val="NormalVerdana"/>
        <w:spacing w:line="480" w:lineRule="auto"/>
        <w:jc w:val="center"/>
        <w:rPr>
          <w:sz w:val="22"/>
          <w:szCs w:val="22"/>
        </w:rPr>
      </w:pPr>
      <w:r w:rsidRPr="00BB1432">
        <w:rPr>
          <w:sz w:val="22"/>
          <w:szCs w:val="22"/>
        </w:rPr>
        <w:t>Cuadro  1.1</w:t>
      </w:r>
    </w:p>
    <w:p w:rsidR="00671424" w:rsidRPr="00BB1432" w:rsidRDefault="00671424" w:rsidP="00117EC0">
      <w:pPr>
        <w:pStyle w:val="NormalVerdana"/>
        <w:spacing w:line="480" w:lineRule="auto"/>
        <w:jc w:val="center"/>
        <w:rPr>
          <w:sz w:val="22"/>
          <w:szCs w:val="22"/>
        </w:rPr>
      </w:pPr>
      <w:r w:rsidRPr="00BB1432">
        <w:rPr>
          <w:sz w:val="22"/>
          <w:szCs w:val="22"/>
        </w:rPr>
        <w:t>Estado de Fuentes y Usos  (en miles de dólares)</w:t>
      </w:r>
    </w:p>
    <w:p w:rsidR="00671424" w:rsidRPr="00E138BA" w:rsidRDefault="00006ACE" w:rsidP="00117EC0">
      <w:pPr>
        <w:pStyle w:val="NormalVerdana"/>
        <w:spacing w:line="480" w:lineRule="auto"/>
        <w:jc w:val="center"/>
        <w:rPr>
          <w:bCs/>
        </w:rPr>
      </w:pPr>
      <w:r>
        <w:rPr>
          <w:noProof/>
        </w:rPr>
        <w:drawing>
          <wp:inline distT="0" distB="0" distL="0" distR="0">
            <wp:extent cx="5257800" cy="1933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57800" cy="1933575"/>
                    </a:xfrm>
                    <a:prstGeom prst="rect">
                      <a:avLst/>
                    </a:prstGeom>
                    <a:noFill/>
                    <a:ln w="9525">
                      <a:noFill/>
                      <a:miter lim="800000"/>
                      <a:headEnd/>
                      <a:tailEnd/>
                    </a:ln>
                  </pic:spPr>
                </pic:pic>
              </a:graphicData>
            </a:graphic>
          </wp:inline>
        </w:drawing>
      </w:r>
    </w:p>
    <w:p w:rsidR="00671424" w:rsidRPr="006A3867" w:rsidRDefault="00671424" w:rsidP="006A3867">
      <w:pPr>
        <w:pStyle w:val="NormalVerdana"/>
        <w:spacing w:line="240" w:lineRule="auto"/>
        <w:ind w:left="539" w:hanging="539"/>
        <w:jc w:val="left"/>
        <w:rPr>
          <w:b w:val="0"/>
          <w:i/>
          <w:sz w:val="18"/>
          <w:szCs w:val="18"/>
        </w:rPr>
      </w:pPr>
      <w:r w:rsidRPr="006A3867">
        <w:rPr>
          <w:i/>
          <w:sz w:val="18"/>
          <w:szCs w:val="18"/>
        </w:rPr>
        <w:t>Fuente:</w:t>
      </w:r>
      <w:r w:rsidRPr="006A3867">
        <w:rPr>
          <w:b w:val="0"/>
          <w:i/>
          <w:sz w:val="18"/>
          <w:szCs w:val="18"/>
        </w:rPr>
        <w:t xml:space="preserve"> Superintendencia de Bancos</w:t>
      </w:r>
    </w:p>
    <w:p w:rsidR="00671424" w:rsidRPr="006A3867" w:rsidRDefault="00671424" w:rsidP="006A3867">
      <w:pPr>
        <w:pStyle w:val="NormalVerdana"/>
        <w:spacing w:line="240" w:lineRule="auto"/>
        <w:ind w:left="539" w:hanging="539"/>
        <w:jc w:val="left"/>
        <w:rPr>
          <w:b w:val="0"/>
          <w:i/>
          <w:sz w:val="18"/>
          <w:szCs w:val="18"/>
        </w:rPr>
      </w:pPr>
      <w:r w:rsidRPr="006A3867">
        <w:rPr>
          <w:i/>
          <w:sz w:val="18"/>
          <w:szCs w:val="18"/>
        </w:rPr>
        <w:t>Elaborado por:</w:t>
      </w:r>
      <w:r w:rsidRPr="006A3867">
        <w:rPr>
          <w:b w:val="0"/>
          <w:i/>
          <w:sz w:val="18"/>
          <w:szCs w:val="18"/>
        </w:rPr>
        <w:t xml:space="preserve"> Los autores</w:t>
      </w:r>
    </w:p>
    <w:p w:rsidR="00265D9E" w:rsidRDefault="00265D9E" w:rsidP="00117EC0">
      <w:pPr>
        <w:pStyle w:val="NormalVerdana"/>
        <w:spacing w:line="480" w:lineRule="auto"/>
        <w:rPr>
          <w:bCs/>
        </w:rPr>
      </w:pPr>
    </w:p>
    <w:p w:rsidR="00117EC0" w:rsidRPr="00BB1432" w:rsidRDefault="00671424" w:rsidP="00117EC0">
      <w:pPr>
        <w:pStyle w:val="NormalVerdana"/>
        <w:spacing w:line="480" w:lineRule="auto"/>
        <w:rPr>
          <w:bCs/>
          <w:sz w:val="22"/>
          <w:szCs w:val="22"/>
        </w:rPr>
      </w:pPr>
      <w:r>
        <w:rPr>
          <w:bCs/>
        </w:rPr>
        <w:tab/>
      </w:r>
    </w:p>
    <w:p w:rsidR="00671424" w:rsidRPr="00BB1432" w:rsidRDefault="00671424" w:rsidP="00117EC0">
      <w:pPr>
        <w:pStyle w:val="NormalVerdana"/>
        <w:spacing w:line="480" w:lineRule="auto"/>
        <w:rPr>
          <w:bCs/>
          <w:sz w:val="22"/>
          <w:szCs w:val="22"/>
        </w:rPr>
      </w:pPr>
      <w:r w:rsidRPr="00BB1432">
        <w:rPr>
          <w:bCs/>
          <w:sz w:val="22"/>
          <w:szCs w:val="22"/>
        </w:rPr>
        <w:t>1.3  ACTIVIDAD BANCARIA EN EL ECUADOR</w:t>
      </w:r>
    </w:p>
    <w:p w:rsidR="00671424" w:rsidRPr="00BB1432" w:rsidRDefault="00671424" w:rsidP="00117EC0">
      <w:pPr>
        <w:pStyle w:val="NormalVerdana"/>
        <w:spacing w:line="480" w:lineRule="auto"/>
        <w:rPr>
          <w:bCs/>
          <w:sz w:val="22"/>
          <w:szCs w:val="22"/>
        </w:rPr>
      </w:pPr>
    </w:p>
    <w:p w:rsidR="00671424" w:rsidRPr="00BB1432" w:rsidRDefault="00671424" w:rsidP="00117EC0">
      <w:pPr>
        <w:pStyle w:val="NormalVerdana"/>
        <w:spacing w:line="480" w:lineRule="auto"/>
        <w:rPr>
          <w:sz w:val="22"/>
          <w:szCs w:val="22"/>
        </w:rPr>
      </w:pPr>
      <w:r w:rsidRPr="00BB1432">
        <w:rPr>
          <w:sz w:val="22"/>
          <w:szCs w:val="22"/>
        </w:rPr>
        <w:tab/>
        <w:t xml:space="preserve">1.3.1  Descripción del Sistema Financiero en el Ecuador </w:t>
      </w:r>
    </w:p>
    <w:p w:rsidR="00671424" w:rsidRPr="00BB1432" w:rsidRDefault="00671424" w:rsidP="00117EC0">
      <w:pPr>
        <w:pStyle w:val="NormalVerdana"/>
        <w:spacing w:line="480" w:lineRule="auto"/>
        <w:rPr>
          <w:b w:val="0"/>
          <w:sz w:val="22"/>
          <w:szCs w:val="22"/>
        </w:rPr>
      </w:pPr>
      <w:r w:rsidRPr="00BB1432">
        <w:rPr>
          <w:sz w:val="22"/>
          <w:szCs w:val="22"/>
        </w:rPr>
        <w:tab/>
      </w:r>
      <w:r w:rsidR="00117EC0" w:rsidRPr="00BB1432">
        <w:rPr>
          <w:sz w:val="22"/>
          <w:szCs w:val="22"/>
        </w:rPr>
        <w:t xml:space="preserve">      </w:t>
      </w:r>
      <w:r w:rsidRPr="00BB1432">
        <w:rPr>
          <w:b w:val="0"/>
          <w:sz w:val="22"/>
          <w:szCs w:val="22"/>
        </w:rPr>
        <w:t>El sistema financiero ecuatoriano lo comprende el Sector Público Financiero y el Sector Financiero Privado. Cada entidad dentro de estos sectores se encuentra supervisada por distintos organismos de control.</w:t>
      </w:r>
    </w:p>
    <w:p w:rsidR="00671424" w:rsidRPr="00BB1432" w:rsidRDefault="00671424" w:rsidP="00117EC0">
      <w:pPr>
        <w:pStyle w:val="NormalVerdana"/>
        <w:spacing w:line="480" w:lineRule="auto"/>
        <w:rPr>
          <w:sz w:val="22"/>
          <w:szCs w:val="22"/>
        </w:rPr>
      </w:pPr>
      <w:r w:rsidRPr="00BB1432">
        <w:rPr>
          <w:b w:val="0"/>
          <w:sz w:val="22"/>
          <w:szCs w:val="22"/>
        </w:rPr>
        <w:tab/>
      </w:r>
      <w:r w:rsidR="00117EC0" w:rsidRPr="00BB1432">
        <w:rPr>
          <w:b w:val="0"/>
          <w:sz w:val="22"/>
          <w:szCs w:val="22"/>
        </w:rPr>
        <w:t xml:space="preserve">     </w:t>
      </w:r>
      <w:r w:rsidRPr="00BB1432">
        <w:rPr>
          <w:b w:val="0"/>
          <w:sz w:val="22"/>
          <w:szCs w:val="22"/>
        </w:rPr>
        <w:t>Son Instituciones del Sector Público Financiero</w:t>
      </w:r>
      <w:r w:rsidRPr="00BB1432">
        <w:rPr>
          <w:rStyle w:val="Refdenotaalpie"/>
          <w:b w:val="0"/>
          <w:sz w:val="22"/>
          <w:szCs w:val="22"/>
        </w:rPr>
        <w:footnoteReference w:id="5"/>
      </w:r>
      <w:r w:rsidRPr="00BB1432">
        <w:rPr>
          <w:sz w:val="22"/>
          <w:szCs w:val="22"/>
        </w:rPr>
        <w:t xml:space="preserve">  </w:t>
      </w:r>
      <w:r w:rsidRPr="00BB1432">
        <w:rPr>
          <w:sz w:val="22"/>
          <w:szCs w:val="22"/>
        </w:rPr>
        <w:tab/>
      </w:r>
      <w:r w:rsidRPr="00BB1432">
        <w:rPr>
          <w:sz w:val="22"/>
          <w:szCs w:val="22"/>
        </w:rPr>
        <w:tab/>
      </w:r>
      <w:r w:rsidRPr="00BB1432">
        <w:rPr>
          <w:sz w:val="22"/>
          <w:szCs w:val="22"/>
        </w:rPr>
        <w:tab/>
      </w:r>
    </w:p>
    <w:p w:rsidR="00671424" w:rsidRPr="00BB1432" w:rsidRDefault="00671424" w:rsidP="00117EC0">
      <w:pPr>
        <w:pStyle w:val="NormalVerdana"/>
        <w:spacing w:line="480" w:lineRule="auto"/>
        <w:rPr>
          <w:sz w:val="22"/>
          <w:szCs w:val="22"/>
        </w:rPr>
      </w:pPr>
    </w:p>
    <w:p w:rsidR="00671424" w:rsidRPr="00BB1432" w:rsidRDefault="00671424" w:rsidP="00117EC0">
      <w:pPr>
        <w:pStyle w:val="NormalVerdana"/>
        <w:spacing w:line="480" w:lineRule="auto"/>
        <w:rPr>
          <w:sz w:val="22"/>
          <w:szCs w:val="22"/>
        </w:rPr>
      </w:pPr>
      <w:r w:rsidRPr="00BB1432">
        <w:rPr>
          <w:sz w:val="22"/>
          <w:szCs w:val="22"/>
        </w:rPr>
        <w:tab/>
        <w:t>BANCO CENTRAL DEL ECUADOR (BCE)</w:t>
      </w:r>
    </w:p>
    <w:p w:rsidR="00671424" w:rsidRPr="00BB1432" w:rsidRDefault="00671424" w:rsidP="00117EC0">
      <w:pPr>
        <w:pStyle w:val="NormalVerdana"/>
        <w:spacing w:line="480" w:lineRule="auto"/>
        <w:rPr>
          <w:sz w:val="22"/>
          <w:szCs w:val="22"/>
        </w:rPr>
      </w:pPr>
      <w:r w:rsidRPr="00BB1432">
        <w:rPr>
          <w:sz w:val="22"/>
          <w:szCs w:val="22"/>
        </w:rPr>
        <w:tab/>
        <w:t>CORPORA</w:t>
      </w:r>
      <w:r w:rsidR="00005BA2" w:rsidRPr="00BB1432">
        <w:rPr>
          <w:sz w:val="22"/>
          <w:szCs w:val="22"/>
        </w:rPr>
        <w:t>CIÓ</w:t>
      </w:r>
      <w:r w:rsidR="00117EC0" w:rsidRPr="00BB1432">
        <w:rPr>
          <w:sz w:val="22"/>
          <w:szCs w:val="22"/>
        </w:rPr>
        <w:t>N FINANCIERA NACIONAL (CFN)</w:t>
      </w:r>
    </w:p>
    <w:p w:rsidR="00117EC0" w:rsidRPr="00BB1432" w:rsidRDefault="00671424" w:rsidP="00117EC0">
      <w:pPr>
        <w:pStyle w:val="NormalVerdana"/>
        <w:spacing w:line="480" w:lineRule="auto"/>
        <w:rPr>
          <w:sz w:val="22"/>
          <w:szCs w:val="22"/>
        </w:rPr>
      </w:pPr>
      <w:r w:rsidRPr="00BB1432">
        <w:rPr>
          <w:sz w:val="22"/>
          <w:szCs w:val="22"/>
        </w:rPr>
        <w:tab/>
        <w:t>BANCO NACIONAL DE FOMENTO (BNF</w:t>
      </w:r>
      <w:r w:rsidR="00117EC0" w:rsidRPr="00BB1432">
        <w:rPr>
          <w:sz w:val="22"/>
          <w:szCs w:val="22"/>
        </w:rPr>
        <w:t>)</w:t>
      </w:r>
    </w:p>
    <w:p w:rsidR="00671424" w:rsidRPr="00BB1432" w:rsidRDefault="00671424" w:rsidP="00117EC0">
      <w:pPr>
        <w:pStyle w:val="NormalVerdana"/>
        <w:spacing w:line="480" w:lineRule="auto"/>
        <w:rPr>
          <w:b w:val="0"/>
          <w:sz w:val="22"/>
          <w:szCs w:val="22"/>
        </w:rPr>
      </w:pPr>
      <w:r w:rsidRPr="00BB1432">
        <w:rPr>
          <w:sz w:val="22"/>
          <w:szCs w:val="22"/>
        </w:rPr>
        <w:tab/>
        <w:t xml:space="preserve">BANCO ECUATORIANO DE </w:t>
      </w:r>
      <w:smartTag w:uri="urn:schemas-microsoft-com:office:smarttags" w:element="PersonName">
        <w:smartTagPr>
          <w:attr w:name="ProductID" w:val="LA VIVIENDA"/>
        </w:smartTagPr>
        <w:r w:rsidRPr="00BB1432">
          <w:rPr>
            <w:sz w:val="22"/>
            <w:szCs w:val="22"/>
          </w:rPr>
          <w:t>LA VIVIENDA</w:t>
        </w:r>
      </w:smartTag>
      <w:r w:rsidR="00117EC0" w:rsidRPr="00BB1432">
        <w:rPr>
          <w:sz w:val="22"/>
          <w:szCs w:val="22"/>
        </w:rPr>
        <w:t xml:space="preserve"> (BEV)</w:t>
      </w:r>
      <w:r w:rsidRPr="00BB1432">
        <w:rPr>
          <w:b w:val="0"/>
          <w:sz w:val="22"/>
          <w:szCs w:val="22"/>
        </w:rPr>
        <w:tab/>
      </w:r>
    </w:p>
    <w:p w:rsidR="00117EC0" w:rsidRPr="00BB1432" w:rsidRDefault="00671424" w:rsidP="00117EC0">
      <w:pPr>
        <w:pStyle w:val="NormalVerdana"/>
        <w:spacing w:line="480" w:lineRule="auto"/>
        <w:rPr>
          <w:b w:val="0"/>
          <w:sz w:val="22"/>
          <w:szCs w:val="22"/>
        </w:rPr>
      </w:pPr>
      <w:r w:rsidRPr="00BB1432">
        <w:rPr>
          <w:b w:val="0"/>
          <w:sz w:val="22"/>
          <w:szCs w:val="22"/>
        </w:rPr>
        <w:tab/>
      </w:r>
    </w:p>
    <w:p w:rsidR="00671424" w:rsidRPr="00BB1432" w:rsidRDefault="00117EC0" w:rsidP="00117EC0">
      <w:pPr>
        <w:pStyle w:val="NormalVerdana"/>
        <w:spacing w:line="480" w:lineRule="auto"/>
        <w:rPr>
          <w:b w:val="0"/>
          <w:sz w:val="22"/>
          <w:szCs w:val="22"/>
        </w:rPr>
      </w:pPr>
      <w:r w:rsidRPr="00BB1432">
        <w:rPr>
          <w:b w:val="0"/>
          <w:sz w:val="22"/>
          <w:szCs w:val="22"/>
        </w:rPr>
        <w:tab/>
        <w:t xml:space="preserve">     </w:t>
      </w:r>
      <w:r w:rsidR="00671424" w:rsidRPr="00BB1432">
        <w:rPr>
          <w:b w:val="0"/>
          <w:sz w:val="22"/>
          <w:szCs w:val="22"/>
        </w:rPr>
        <w:t xml:space="preserve">Según el reglamento a </w:t>
      </w:r>
      <w:smartTag w:uri="urn:schemas-microsoft-com:office:smarttags" w:element="PersonName">
        <w:smartTagPr>
          <w:attr w:name="ProductID" w:val="la Ley General"/>
        </w:smartTagPr>
        <w:r w:rsidR="00671424" w:rsidRPr="00BB1432">
          <w:rPr>
            <w:b w:val="0"/>
            <w:sz w:val="22"/>
            <w:szCs w:val="22"/>
          </w:rPr>
          <w:t>la Ley General</w:t>
        </w:r>
      </w:smartTag>
      <w:r w:rsidR="00671424" w:rsidRPr="00BB1432">
        <w:rPr>
          <w:b w:val="0"/>
          <w:sz w:val="22"/>
          <w:szCs w:val="22"/>
        </w:rPr>
        <w:t xml:space="preserve"> de Instituciones del Sistema Financiero</w:t>
      </w:r>
      <w:r w:rsidR="0041327A" w:rsidRPr="00BB1432">
        <w:rPr>
          <w:b w:val="0"/>
          <w:sz w:val="22"/>
          <w:szCs w:val="22"/>
        </w:rPr>
        <w:t>,</w:t>
      </w:r>
      <w:r w:rsidR="00671424" w:rsidRPr="00BB1432">
        <w:rPr>
          <w:b w:val="0"/>
          <w:sz w:val="22"/>
          <w:szCs w:val="22"/>
        </w:rPr>
        <w:t xml:space="preserve"> son instituciones financieras privadas: </w:t>
      </w:r>
    </w:p>
    <w:p w:rsidR="00671424" w:rsidRPr="00BB1432" w:rsidRDefault="00671424" w:rsidP="00117EC0">
      <w:pPr>
        <w:pStyle w:val="NormalVerdana"/>
        <w:numPr>
          <w:ilvl w:val="0"/>
          <w:numId w:val="1"/>
        </w:numPr>
        <w:spacing w:line="480" w:lineRule="auto"/>
        <w:rPr>
          <w:b w:val="0"/>
          <w:sz w:val="22"/>
          <w:szCs w:val="22"/>
        </w:rPr>
      </w:pPr>
      <w:r w:rsidRPr="00BB1432">
        <w:rPr>
          <w:b w:val="0"/>
          <w:sz w:val="22"/>
          <w:szCs w:val="22"/>
        </w:rPr>
        <w:t>Bancos</w:t>
      </w:r>
    </w:p>
    <w:p w:rsidR="00671424" w:rsidRPr="00BB1432" w:rsidRDefault="00671424" w:rsidP="00117EC0">
      <w:pPr>
        <w:pStyle w:val="NormalVerdana"/>
        <w:numPr>
          <w:ilvl w:val="0"/>
          <w:numId w:val="1"/>
        </w:numPr>
        <w:spacing w:line="480" w:lineRule="auto"/>
        <w:rPr>
          <w:b w:val="0"/>
          <w:sz w:val="22"/>
          <w:szCs w:val="22"/>
        </w:rPr>
      </w:pPr>
      <w:r w:rsidRPr="00BB1432">
        <w:rPr>
          <w:b w:val="0"/>
          <w:sz w:val="22"/>
          <w:szCs w:val="22"/>
        </w:rPr>
        <w:t>Sociedades Financieras</w:t>
      </w:r>
    </w:p>
    <w:p w:rsidR="00671424" w:rsidRPr="00BB1432" w:rsidRDefault="00671424" w:rsidP="00117EC0">
      <w:pPr>
        <w:pStyle w:val="NormalVerdana"/>
        <w:numPr>
          <w:ilvl w:val="0"/>
          <w:numId w:val="1"/>
        </w:numPr>
        <w:spacing w:line="480" w:lineRule="auto"/>
        <w:rPr>
          <w:b w:val="0"/>
          <w:sz w:val="22"/>
          <w:szCs w:val="22"/>
        </w:rPr>
      </w:pPr>
      <w:r w:rsidRPr="00BB1432">
        <w:rPr>
          <w:b w:val="0"/>
          <w:sz w:val="22"/>
          <w:szCs w:val="22"/>
        </w:rPr>
        <w:t xml:space="preserve">Asociaciones Mutualistas de Ahorro y Crédito para </w:t>
      </w:r>
      <w:smartTag w:uri="urn:schemas-microsoft-com:office:smarttags" w:element="PersonName">
        <w:smartTagPr>
          <w:attr w:name="ProductID" w:val="LA VIVIENDA"/>
        </w:smartTagPr>
        <w:r w:rsidRPr="00BB1432">
          <w:rPr>
            <w:b w:val="0"/>
            <w:sz w:val="22"/>
            <w:szCs w:val="22"/>
          </w:rPr>
          <w:t>la Vivienda</w:t>
        </w:r>
      </w:smartTag>
      <w:r w:rsidRPr="00BB1432">
        <w:rPr>
          <w:b w:val="0"/>
          <w:sz w:val="22"/>
          <w:szCs w:val="22"/>
        </w:rPr>
        <w:t>, y</w:t>
      </w:r>
    </w:p>
    <w:p w:rsidR="00671424" w:rsidRDefault="00671424" w:rsidP="00117EC0">
      <w:pPr>
        <w:pStyle w:val="NormalVerdana"/>
        <w:numPr>
          <w:ilvl w:val="0"/>
          <w:numId w:val="1"/>
        </w:numPr>
        <w:spacing w:line="480" w:lineRule="auto"/>
        <w:rPr>
          <w:b w:val="0"/>
          <w:sz w:val="22"/>
          <w:szCs w:val="22"/>
        </w:rPr>
      </w:pPr>
      <w:r w:rsidRPr="00BB1432">
        <w:rPr>
          <w:b w:val="0"/>
          <w:sz w:val="22"/>
          <w:szCs w:val="22"/>
        </w:rPr>
        <w:t xml:space="preserve">Cooperativas de Ahorro y Crédito que realizan intermediación financiera con el público. </w:t>
      </w:r>
    </w:p>
    <w:p w:rsidR="00E42E49" w:rsidRDefault="00E42E49" w:rsidP="00E42E49">
      <w:pPr>
        <w:pStyle w:val="NormalVerdana"/>
        <w:spacing w:line="480" w:lineRule="auto"/>
        <w:rPr>
          <w:b w:val="0"/>
          <w:sz w:val="22"/>
          <w:szCs w:val="22"/>
        </w:rPr>
      </w:pPr>
    </w:p>
    <w:p w:rsidR="00671424" w:rsidRPr="00BB1432" w:rsidRDefault="00671424" w:rsidP="006D3445">
      <w:pPr>
        <w:pStyle w:val="NormalVerdana"/>
        <w:numPr>
          <w:ilvl w:val="2"/>
          <w:numId w:val="12"/>
        </w:numPr>
        <w:spacing w:line="480" w:lineRule="auto"/>
        <w:rPr>
          <w:sz w:val="22"/>
          <w:szCs w:val="22"/>
        </w:rPr>
      </w:pPr>
      <w:r w:rsidRPr="00BB1432">
        <w:rPr>
          <w:sz w:val="22"/>
          <w:szCs w:val="22"/>
        </w:rPr>
        <w:t>Las Entidades Bancarias</w:t>
      </w:r>
    </w:p>
    <w:p w:rsidR="005E6E40" w:rsidRPr="00BB1432" w:rsidRDefault="00671424" w:rsidP="00117EC0">
      <w:pPr>
        <w:pStyle w:val="NormalVerdana"/>
        <w:spacing w:line="480" w:lineRule="auto"/>
        <w:rPr>
          <w:b w:val="0"/>
          <w:sz w:val="22"/>
          <w:szCs w:val="22"/>
        </w:rPr>
      </w:pPr>
      <w:r w:rsidRPr="00BB1432">
        <w:rPr>
          <w:sz w:val="22"/>
          <w:szCs w:val="22"/>
        </w:rPr>
        <w:tab/>
      </w:r>
      <w:r w:rsidR="00117EC0" w:rsidRPr="00BB1432">
        <w:rPr>
          <w:sz w:val="22"/>
          <w:szCs w:val="22"/>
        </w:rPr>
        <w:t xml:space="preserve">     </w:t>
      </w:r>
      <w:r w:rsidRPr="00BB1432">
        <w:rPr>
          <w:b w:val="0"/>
          <w:sz w:val="22"/>
          <w:szCs w:val="22"/>
        </w:rPr>
        <w:t>Los Bancos Comerciales son Instituciones Financieras cuya principal actividad se puede definir de una forma sencilla como “la intermedia</w:t>
      </w:r>
      <w:r w:rsidR="00102ABE" w:rsidRPr="00BB1432">
        <w:rPr>
          <w:b w:val="0"/>
          <w:sz w:val="22"/>
          <w:szCs w:val="22"/>
        </w:rPr>
        <w:t>ción entre prestamistas de corto y mediano</w:t>
      </w:r>
      <w:r w:rsidRPr="00BB1432">
        <w:rPr>
          <w:b w:val="0"/>
          <w:sz w:val="22"/>
          <w:szCs w:val="22"/>
        </w:rPr>
        <w:t xml:space="preserve"> plaz</w:t>
      </w:r>
      <w:r w:rsidR="00A87412">
        <w:rPr>
          <w:b w:val="0"/>
          <w:sz w:val="22"/>
          <w:szCs w:val="22"/>
        </w:rPr>
        <w:t xml:space="preserve">o </w:t>
      </w:r>
      <w:r w:rsidRPr="00BB1432">
        <w:rPr>
          <w:b w:val="0"/>
          <w:sz w:val="22"/>
          <w:szCs w:val="22"/>
        </w:rPr>
        <w:t xml:space="preserve">y prestatarios de largo plazo”. </w:t>
      </w:r>
    </w:p>
    <w:p w:rsidR="00ED54B0" w:rsidRPr="00BB1432" w:rsidRDefault="00ED54B0" w:rsidP="00117EC0">
      <w:pPr>
        <w:pStyle w:val="NormalVerdana"/>
        <w:spacing w:line="480" w:lineRule="auto"/>
        <w:rPr>
          <w:b w:val="0"/>
          <w:sz w:val="22"/>
          <w:szCs w:val="22"/>
        </w:rPr>
      </w:pPr>
    </w:p>
    <w:p w:rsidR="00ED54B0" w:rsidRDefault="00671424" w:rsidP="00ED54B0">
      <w:pPr>
        <w:pStyle w:val="NormalVerdana"/>
        <w:spacing w:line="480" w:lineRule="auto"/>
        <w:rPr>
          <w:sz w:val="22"/>
          <w:szCs w:val="22"/>
        </w:rPr>
      </w:pPr>
      <w:r w:rsidRPr="00BB1432">
        <w:rPr>
          <w:b w:val="0"/>
          <w:sz w:val="22"/>
          <w:szCs w:val="22"/>
        </w:rPr>
        <w:tab/>
      </w:r>
      <w:r w:rsidRPr="00BB1432">
        <w:rPr>
          <w:b w:val="0"/>
          <w:sz w:val="22"/>
          <w:szCs w:val="22"/>
        </w:rPr>
        <w:tab/>
        <w:t xml:space="preserve">Según los reportes estadísticos de </w:t>
      </w:r>
      <w:smartTag w:uri="urn:schemas-microsoft-com:office:smarttags" w:element="PersonName">
        <w:smartTagPr>
          <w:attr w:name="ProductID" w:val="la Superintendencia"/>
        </w:smartTagPr>
        <w:r w:rsidRPr="00BB1432">
          <w:rPr>
            <w:b w:val="0"/>
            <w:sz w:val="22"/>
            <w:szCs w:val="22"/>
          </w:rPr>
          <w:t>la Superintendencia</w:t>
        </w:r>
      </w:smartTag>
      <w:r w:rsidRPr="00BB1432">
        <w:rPr>
          <w:b w:val="0"/>
          <w:sz w:val="22"/>
          <w:szCs w:val="22"/>
        </w:rPr>
        <w:t xml:space="preserve"> de Bancos, los Bancos se clasifican en Bancos Grandes, Medianos y Pequeños. Otro tipo de clasificación, como p</w:t>
      </w:r>
      <w:r w:rsidR="00722B52" w:rsidRPr="00BB1432">
        <w:rPr>
          <w:b w:val="0"/>
          <w:sz w:val="22"/>
          <w:szCs w:val="22"/>
        </w:rPr>
        <w:t>uede apreciarse en el cuadro 1.2</w:t>
      </w:r>
      <w:r w:rsidRPr="00BB1432">
        <w:rPr>
          <w:b w:val="0"/>
          <w:sz w:val="22"/>
          <w:szCs w:val="22"/>
        </w:rPr>
        <w:t xml:space="preserve">, es la clasificación por categorías en el Mercado como Banco Comercial, de Consumo, de Vivienda y de Microempresa. </w:t>
      </w:r>
    </w:p>
    <w:p w:rsidR="00265D9E" w:rsidRPr="00BB1432" w:rsidRDefault="00265D9E" w:rsidP="00ED54B0">
      <w:pPr>
        <w:pStyle w:val="NormalVerdana"/>
        <w:spacing w:line="480" w:lineRule="auto"/>
        <w:rPr>
          <w:sz w:val="22"/>
          <w:szCs w:val="22"/>
        </w:rPr>
      </w:pPr>
    </w:p>
    <w:p w:rsidR="00671424" w:rsidRPr="00BB1432" w:rsidRDefault="005455E8" w:rsidP="005E50F2">
      <w:pPr>
        <w:pStyle w:val="NormalVerdana"/>
        <w:ind w:left="539" w:hanging="539"/>
        <w:jc w:val="center"/>
        <w:rPr>
          <w:sz w:val="22"/>
          <w:szCs w:val="22"/>
        </w:rPr>
      </w:pPr>
      <w:r w:rsidRPr="00BB1432">
        <w:rPr>
          <w:sz w:val="22"/>
          <w:szCs w:val="22"/>
        </w:rPr>
        <w:t>Cuadro  1.2</w:t>
      </w:r>
    </w:p>
    <w:p w:rsidR="00671424" w:rsidRPr="00BB1432" w:rsidRDefault="00671424" w:rsidP="005E50F2">
      <w:pPr>
        <w:pStyle w:val="NormalVerdana"/>
        <w:ind w:left="539" w:hanging="539"/>
        <w:jc w:val="center"/>
        <w:rPr>
          <w:sz w:val="22"/>
          <w:szCs w:val="22"/>
        </w:rPr>
      </w:pPr>
      <w:r w:rsidRPr="00BB1432">
        <w:rPr>
          <w:sz w:val="22"/>
          <w:szCs w:val="22"/>
        </w:rPr>
        <w:t>Clasificación de los Bancos según su categoría</w:t>
      </w:r>
    </w:p>
    <w:p w:rsidR="00671424" w:rsidRPr="00BB1432" w:rsidRDefault="00006ACE" w:rsidP="00117EC0">
      <w:pPr>
        <w:pStyle w:val="NormalVerdana"/>
        <w:spacing w:line="480" w:lineRule="auto"/>
        <w:jc w:val="center"/>
        <w:rPr>
          <w:sz w:val="22"/>
          <w:szCs w:val="22"/>
        </w:rPr>
      </w:pPr>
      <w:r>
        <w:rPr>
          <w:noProof/>
          <w:sz w:val="22"/>
          <w:szCs w:val="22"/>
        </w:rPr>
        <w:drawing>
          <wp:inline distT="0" distB="0" distL="0" distR="0">
            <wp:extent cx="2600325" cy="24574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00325" cy="2457450"/>
                    </a:xfrm>
                    <a:prstGeom prst="rect">
                      <a:avLst/>
                    </a:prstGeom>
                    <a:noFill/>
                    <a:ln w="9525">
                      <a:noFill/>
                      <a:miter lim="800000"/>
                      <a:headEnd/>
                      <a:tailEnd/>
                    </a:ln>
                  </pic:spPr>
                </pic:pic>
              </a:graphicData>
            </a:graphic>
          </wp:inline>
        </w:drawing>
      </w:r>
    </w:p>
    <w:p w:rsidR="00671424" w:rsidRPr="00265D9E" w:rsidRDefault="00671424" w:rsidP="00265D9E">
      <w:pPr>
        <w:pStyle w:val="NormalVerdana"/>
        <w:spacing w:line="240" w:lineRule="auto"/>
        <w:ind w:left="539" w:firstLine="1621"/>
        <w:jc w:val="left"/>
        <w:rPr>
          <w:b w:val="0"/>
          <w:i/>
          <w:sz w:val="18"/>
          <w:szCs w:val="18"/>
        </w:rPr>
      </w:pPr>
      <w:r w:rsidRPr="00265D9E">
        <w:rPr>
          <w:i/>
          <w:sz w:val="18"/>
          <w:szCs w:val="18"/>
        </w:rPr>
        <w:t>Fuente:</w:t>
      </w:r>
      <w:r w:rsidRPr="00265D9E">
        <w:rPr>
          <w:b w:val="0"/>
          <w:i/>
          <w:sz w:val="18"/>
          <w:szCs w:val="18"/>
        </w:rPr>
        <w:t xml:space="preserve"> Superintendencia de Bancos</w:t>
      </w:r>
    </w:p>
    <w:p w:rsidR="00671424" w:rsidRPr="00265D9E" w:rsidRDefault="00671424" w:rsidP="00265D9E">
      <w:pPr>
        <w:pStyle w:val="NormalVerdana"/>
        <w:spacing w:line="240" w:lineRule="auto"/>
        <w:ind w:left="539" w:firstLine="1621"/>
        <w:jc w:val="left"/>
        <w:rPr>
          <w:b w:val="0"/>
          <w:i/>
          <w:sz w:val="18"/>
          <w:szCs w:val="18"/>
        </w:rPr>
      </w:pPr>
      <w:r w:rsidRPr="006A3867">
        <w:rPr>
          <w:i/>
          <w:sz w:val="18"/>
          <w:szCs w:val="18"/>
        </w:rPr>
        <w:t>Elaborado por:</w:t>
      </w:r>
      <w:r w:rsidRPr="00265D9E">
        <w:rPr>
          <w:b w:val="0"/>
          <w:i/>
          <w:sz w:val="18"/>
          <w:szCs w:val="18"/>
        </w:rPr>
        <w:t xml:space="preserve"> Los autores</w:t>
      </w:r>
    </w:p>
    <w:p w:rsidR="00265D9E" w:rsidRDefault="00265D9E" w:rsidP="005E50F2">
      <w:pPr>
        <w:pStyle w:val="NormalVerdana"/>
        <w:ind w:left="539" w:hanging="539"/>
        <w:jc w:val="center"/>
        <w:rPr>
          <w:sz w:val="22"/>
          <w:szCs w:val="22"/>
        </w:rPr>
      </w:pPr>
      <w:r>
        <w:rPr>
          <w:sz w:val="22"/>
          <w:szCs w:val="22"/>
        </w:rPr>
        <w:br/>
      </w:r>
    </w:p>
    <w:p w:rsidR="00265D9E" w:rsidRDefault="00265D9E" w:rsidP="005E50F2">
      <w:pPr>
        <w:pStyle w:val="NormalVerdana"/>
        <w:ind w:left="539" w:hanging="539"/>
        <w:jc w:val="center"/>
        <w:rPr>
          <w:sz w:val="22"/>
          <w:szCs w:val="22"/>
        </w:rPr>
      </w:pPr>
    </w:p>
    <w:p w:rsidR="00265D9E" w:rsidRDefault="00265D9E" w:rsidP="005E50F2">
      <w:pPr>
        <w:pStyle w:val="NormalVerdana"/>
        <w:ind w:left="539" w:hanging="539"/>
        <w:jc w:val="center"/>
        <w:rPr>
          <w:sz w:val="22"/>
          <w:szCs w:val="22"/>
        </w:rPr>
      </w:pPr>
    </w:p>
    <w:p w:rsidR="00265D9E" w:rsidRDefault="00265D9E" w:rsidP="005E50F2">
      <w:pPr>
        <w:pStyle w:val="NormalVerdana"/>
        <w:ind w:left="539" w:hanging="539"/>
        <w:jc w:val="center"/>
        <w:rPr>
          <w:sz w:val="22"/>
          <w:szCs w:val="22"/>
        </w:rPr>
      </w:pPr>
    </w:p>
    <w:p w:rsidR="00265D9E" w:rsidRDefault="00265D9E" w:rsidP="005E50F2">
      <w:pPr>
        <w:pStyle w:val="NormalVerdana"/>
        <w:ind w:left="539" w:hanging="539"/>
        <w:jc w:val="center"/>
        <w:rPr>
          <w:sz w:val="22"/>
          <w:szCs w:val="22"/>
        </w:rPr>
      </w:pPr>
    </w:p>
    <w:p w:rsidR="00265D9E" w:rsidRDefault="00265D9E" w:rsidP="005E50F2">
      <w:pPr>
        <w:pStyle w:val="NormalVerdana"/>
        <w:ind w:left="539" w:hanging="539"/>
        <w:jc w:val="center"/>
        <w:rPr>
          <w:sz w:val="22"/>
          <w:szCs w:val="22"/>
        </w:rPr>
      </w:pPr>
    </w:p>
    <w:p w:rsidR="00265D9E" w:rsidRDefault="00265D9E" w:rsidP="005E50F2">
      <w:pPr>
        <w:pStyle w:val="NormalVerdana"/>
        <w:ind w:left="539" w:hanging="539"/>
        <w:jc w:val="center"/>
        <w:rPr>
          <w:sz w:val="22"/>
          <w:szCs w:val="22"/>
        </w:rPr>
      </w:pPr>
    </w:p>
    <w:p w:rsidR="00265D9E" w:rsidRDefault="00265D9E" w:rsidP="005E50F2">
      <w:pPr>
        <w:pStyle w:val="NormalVerdana"/>
        <w:ind w:left="539" w:hanging="539"/>
        <w:jc w:val="center"/>
        <w:rPr>
          <w:sz w:val="22"/>
          <w:szCs w:val="22"/>
        </w:rPr>
      </w:pPr>
    </w:p>
    <w:p w:rsidR="00722B52" w:rsidRPr="00BB1432" w:rsidRDefault="00722B52" w:rsidP="005E50F2">
      <w:pPr>
        <w:pStyle w:val="NormalVerdana"/>
        <w:ind w:left="539" w:hanging="539"/>
        <w:jc w:val="center"/>
        <w:rPr>
          <w:sz w:val="22"/>
          <w:szCs w:val="22"/>
        </w:rPr>
      </w:pPr>
      <w:r w:rsidRPr="00BB1432">
        <w:rPr>
          <w:sz w:val="22"/>
          <w:szCs w:val="22"/>
        </w:rPr>
        <w:t>Cuadro 1.3</w:t>
      </w:r>
    </w:p>
    <w:p w:rsidR="00722B52" w:rsidRPr="00BB1432" w:rsidRDefault="00722B52" w:rsidP="005E50F2">
      <w:pPr>
        <w:pStyle w:val="NormalVerdana"/>
        <w:ind w:left="539" w:hanging="539"/>
        <w:jc w:val="center"/>
        <w:rPr>
          <w:sz w:val="22"/>
          <w:szCs w:val="22"/>
        </w:rPr>
      </w:pPr>
      <w:r w:rsidRPr="00BB1432">
        <w:rPr>
          <w:sz w:val="22"/>
          <w:szCs w:val="22"/>
        </w:rPr>
        <w:t>Clasificación de los Bancos según su tamaño</w:t>
      </w:r>
    </w:p>
    <w:p w:rsidR="00722B52" w:rsidRPr="00BB1432" w:rsidRDefault="00006ACE" w:rsidP="00117EC0">
      <w:pPr>
        <w:pStyle w:val="NormalVerdana"/>
        <w:spacing w:line="480" w:lineRule="auto"/>
        <w:jc w:val="center"/>
        <w:rPr>
          <w:sz w:val="22"/>
          <w:szCs w:val="22"/>
        </w:rPr>
      </w:pPr>
      <w:r>
        <w:rPr>
          <w:noProof/>
          <w:sz w:val="22"/>
          <w:szCs w:val="22"/>
        </w:rPr>
        <w:drawing>
          <wp:inline distT="0" distB="0" distL="0" distR="0">
            <wp:extent cx="2914650" cy="2324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14650" cy="2324100"/>
                    </a:xfrm>
                    <a:prstGeom prst="rect">
                      <a:avLst/>
                    </a:prstGeom>
                    <a:noFill/>
                    <a:ln w="9525">
                      <a:noFill/>
                      <a:miter lim="800000"/>
                      <a:headEnd/>
                      <a:tailEnd/>
                    </a:ln>
                  </pic:spPr>
                </pic:pic>
              </a:graphicData>
            </a:graphic>
          </wp:inline>
        </w:drawing>
      </w:r>
    </w:p>
    <w:p w:rsidR="00AD2905" w:rsidRPr="00265D9E" w:rsidRDefault="00AD2905" w:rsidP="00265D9E">
      <w:pPr>
        <w:pStyle w:val="NormalVerdana"/>
        <w:spacing w:line="240" w:lineRule="auto"/>
        <w:ind w:left="539" w:firstLine="1261"/>
        <w:jc w:val="left"/>
        <w:rPr>
          <w:b w:val="0"/>
          <w:i/>
          <w:sz w:val="18"/>
          <w:szCs w:val="18"/>
        </w:rPr>
      </w:pPr>
      <w:r w:rsidRPr="00265D9E">
        <w:rPr>
          <w:i/>
          <w:sz w:val="18"/>
          <w:szCs w:val="18"/>
        </w:rPr>
        <w:t>Fuente:</w:t>
      </w:r>
      <w:r w:rsidRPr="00265D9E">
        <w:rPr>
          <w:b w:val="0"/>
          <w:i/>
          <w:sz w:val="18"/>
          <w:szCs w:val="18"/>
        </w:rPr>
        <w:t xml:space="preserve"> Superintendencia de Bancos</w:t>
      </w:r>
    </w:p>
    <w:p w:rsidR="00AD2905" w:rsidRPr="00265D9E" w:rsidRDefault="00AD2905" w:rsidP="00265D9E">
      <w:pPr>
        <w:pStyle w:val="NormalVerdana"/>
        <w:spacing w:line="240" w:lineRule="auto"/>
        <w:ind w:left="539" w:firstLine="1261"/>
        <w:jc w:val="left"/>
        <w:rPr>
          <w:b w:val="0"/>
          <w:i/>
          <w:sz w:val="18"/>
          <w:szCs w:val="18"/>
        </w:rPr>
      </w:pPr>
      <w:r w:rsidRPr="006A3867">
        <w:rPr>
          <w:i/>
          <w:sz w:val="18"/>
          <w:szCs w:val="18"/>
        </w:rPr>
        <w:t>Elaborado por:</w:t>
      </w:r>
      <w:r w:rsidRPr="00265D9E">
        <w:rPr>
          <w:b w:val="0"/>
          <w:i/>
          <w:sz w:val="18"/>
          <w:szCs w:val="18"/>
        </w:rPr>
        <w:t xml:space="preserve"> Los autores</w:t>
      </w:r>
    </w:p>
    <w:p w:rsidR="00B91F72" w:rsidRDefault="00B91F72" w:rsidP="00117EC0">
      <w:pPr>
        <w:pStyle w:val="NormalVerdana"/>
        <w:spacing w:line="480" w:lineRule="auto"/>
        <w:jc w:val="center"/>
        <w:rPr>
          <w:sz w:val="22"/>
          <w:szCs w:val="22"/>
        </w:rPr>
      </w:pPr>
    </w:p>
    <w:p w:rsidR="00671424" w:rsidRPr="00BB1432" w:rsidRDefault="005455E8" w:rsidP="00117EC0">
      <w:pPr>
        <w:pStyle w:val="NormalVerdana"/>
        <w:spacing w:line="480" w:lineRule="auto"/>
        <w:jc w:val="center"/>
        <w:rPr>
          <w:sz w:val="22"/>
          <w:szCs w:val="22"/>
        </w:rPr>
      </w:pPr>
      <w:r w:rsidRPr="00BB1432">
        <w:rPr>
          <w:sz w:val="22"/>
          <w:szCs w:val="22"/>
        </w:rPr>
        <w:t>Cuadro  1.</w:t>
      </w:r>
      <w:r w:rsidR="00722B52" w:rsidRPr="00BB1432">
        <w:rPr>
          <w:sz w:val="22"/>
          <w:szCs w:val="22"/>
        </w:rPr>
        <w:t>4</w:t>
      </w:r>
    </w:p>
    <w:p w:rsidR="00671424" w:rsidRPr="00BB1432" w:rsidRDefault="00671424" w:rsidP="00117EC0">
      <w:pPr>
        <w:pStyle w:val="NormalVerdana"/>
        <w:spacing w:line="480" w:lineRule="auto"/>
        <w:jc w:val="center"/>
        <w:rPr>
          <w:sz w:val="22"/>
          <w:szCs w:val="22"/>
        </w:rPr>
      </w:pPr>
      <w:r w:rsidRPr="00BB1432">
        <w:rPr>
          <w:sz w:val="22"/>
          <w:szCs w:val="22"/>
        </w:rPr>
        <w:t>Clasificación de los Bancos por actividad</w:t>
      </w:r>
    </w:p>
    <w:p w:rsidR="00671424" w:rsidRPr="00BB1432" w:rsidRDefault="00006ACE" w:rsidP="00117EC0">
      <w:pPr>
        <w:pStyle w:val="NormalVerdana"/>
        <w:spacing w:line="480" w:lineRule="auto"/>
        <w:jc w:val="center"/>
        <w:rPr>
          <w:i/>
          <w:sz w:val="22"/>
          <w:szCs w:val="22"/>
        </w:rPr>
      </w:pPr>
      <w:r>
        <w:rPr>
          <w:noProof/>
          <w:sz w:val="22"/>
          <w:szCs w:val="22"/>
        </w:rPr>
        <w:drawing>
          <wp:inline distT="0" distB="0" distL="0" distR="0">
            <wp:extent cx="4095750" cy="9715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95750" cy="971550"/>
                    </a:xfrm>
                    <a:prstGeom prst="rect">
                      <a:avLst/>
                    </a:prstGeom>
                    <a:noFill/>
                    <a:ln w="9525">
                      <a:noFill/>
                      <a:miter lim="800000"/>
                      <a:headEnd/>
                      <a:tailEnd/>
                    </a:ln>
                  </pic:spPr>
                </pic:pic>
              </a:graphicData>
            </a:graphic>
          </wp:inline>
        </w:drawing>
      </w:r>
    </w:p>
    <w:p w:rsidR="00671424" w:rsidRPr="00265D9E" w:rsidRDefault="00671424" w:rsidP="00265D9E">
      <w:pPr>
        <w:pStyle w:val="NormalVerdana"/>
        <w:spacing w:line="240" w:lineRule="auto"/>
        <w:ind w:left="539" w:firstLine="361"/>
        <w:jc w:val="left"/>
        <w:rPr>
          <w:b w:val="0"/>
          <w:i/>
          <w:sz w:val="18"/>
          <w:szCs w:val="18"/>
        </w:rPr>
      </w:pPr>
      <w:r w:rsidRPr="00265D9E">
        <w:rPr>
          <w:i/>
          <w:sz w:val="18"/>
          <w:szCs w:val="18"/>
        </w:rPr>
        <w:t>Fuente:</w:t>
      </w:r>
      <w:r w:rsidRPr="00265D9E">
        <w:rPr>
          <w:b w:val="0"/>
          <w:i/>
          <w:sz w:val="18"/>
          <w:szCs w:val="18"/>
        </w:rPr>
        <w:t xml:space="preserve"> Superintendencia de Bancos</w:t>
      </w:r>
    </w:p>
    <w:p w:rsidR="00671424" w:rsidRPr="00265D9E" w:rsidRDefault="00671424" w:rsidP="00265D9E">
      <w:pPr>
        <w:pStyle w:val="NormalVerdana"/>
        <w:spacing w:line="240" w:lineRule="auto"/>
        <w:ind w:left="539" w:firstLine="361"/>
        <w:jc w:val="left"/>
        <w:rPr>
          <w:b w:val="0"/>
          <w:i/>
          <w:sz w:val="18"/>
          <w:szCs w:val="18"/>
        </w:rPr>
      </w:pPr>
      <w:r w:rsidRPr="006A3867">
        <w:rPr>
          <w:i/>
          <w:sz w:val="18"/>
          <w:szCs w:val="18"/>
        </w:rPr>
        <w:t>Elaborado por:</w:t>
      </w:r>
      <w:r w:rsidRPr="00265D9E">
        <w:rPr>
          <w:b w:val="0"/>
          <w:i/>
          <w:sz w:val="18"/>
          <w:szCs w:val="18"/>
        </w:rPr>
        <w:t xml:space="preserve"> Los autores</w:t>
      </w:r>
    </w:p>
    <w:p w:rsidR="00671424" w:rsidRPr="00BB1432" w:rsidRDefault="00671424" w:rsidP="00117EC0">
      <w:pPr>
        <w:pStyle w:val="NormalVerdana"/>
        <w:spacing w:line="480" w:lineRule="auto"/>
        <w:rPr>
          <w:i/>
          <w:sz w:val="22"/>
          <w:szCs w:val="22"/>
        </w:rPr>
      </w:pPr>
    </w:p>
    <w:p w:rsidR="00671424" w:rsidRPr="00BB1432" w:rsidRDefault="00671424" w:rsidP="00117EC0">
      <w:pPr>
        <w:pStyle w:val="NormalVerdana"/>
        <w:spacing w:line="480" w:lineRule="auto"/>
        <w:rPr>
          <w:b w:val="0"/>
          <w:sz w:val="22"/>
          <w:szCs w:val="22"/>
        </w:rPr>
      </w:pPr>
      <w:r w:rsidRPr="00BB1432">
        <w:rPr>
          <w:sz w:val="22"/>
          <w:szCs w:val="22"/>
        </w:rPr>
        <w:tab/>
      </w:r>
      <w:r w:rsidR="00117EC0" w:rsidRPr="00BB1432">
        <w:rPr>
          <w:sz w:val="22"/>
          <w:szCs w:val="22"/>
        </w:rPr>
        <w:t xml:space="preserve">     </w:t>
      </w:r>
      <w:r w:rsidRPr="00BB1432">
        <w:rPr>
          <w:b w:val="0"/>
          <w:sz w:val="22"/>
          <w:szCs w:val="22"/>
        </w:rPr>
        <w:t xml:space="preserve">Estas Instituciones deben contar con la autorización para poder realizar las operaciones de captación de dinero en depósitos que luego serán colocadas a través de préstamos o colocaciones. </w:t>
      </w:r>
    </w:p>
    <w:p w:rsidR="00671424" w:rsidRPr="00BB1432" w:rsidRDefault="00117EC0" w:rsidP="00117EC0">
      <w:pPr>
        <w:pStyle w:val="NormalVerdana"/>
        <w:spacing w:line="480" w:lineRule="auto"/>
        <w:rPr>
          <w:b w:val="0"/>
          <w:sz w:val="22"/>
          <w:szCs w:val="22"/>
        </w:rPr>
      </w:pPr>
      <w:r w:rsidRPr="00BB1432">
        <w:rPr>
          <w:b w:val="0"/>
          <w:sz w:val="22"/>
          <w:szCs w:val="22"/>
        </w:rPr>
        <w:tab/>
        <w:t xml:space="preserve">     Los</w:t>
      </w:r>
      <w:r w:rsidR="00671424" w:rsidRPr="00BB1432">
        <w:rPr>
          <w:b w:val="0"/>
          <w:sz w:val="22"/>
          <w:szCs w:val="22"/>
        </w:rPr>
        <w:t xml:space="preserve"> Bancos Comerciales son instituciones altamente apalancadas y obtienen sus fondos por medio de 3 fuentes:</w:t>
      </w:r>
    </w:p>
    <w:p w:rsidR="00671424" w:rsidRPr="00BB1432" w:rsidRDefault="00671424" w:rsidP="00117EC0">
      <w:pPr>
        <w:pStyle w:val="NormalVerdana"/>
        <w:spacing w:line="480" w:lineRule="auto"/>
        <w:rPr>
          <w:sz w:val="22"/>
          <w:szCs w:val="22"/>
        </w:rPr>
      </w:pPr>
    </w:p>
    <w:p w:rsidR="00671424" w:rsidRPr="00BB1432" w:rsidRDefault="00FB009F" w:rsidP="00117EC0">
      <w:pPr>
        <w:pStyle w:val="NormalVerdana"/>
        <w:numPr>
          <w:ilvl w:val="0"/>
          <w:numId w:val="2"/>
        </w:numPr>
        <w:spacing w:line="480" w:lineRule="auto"/>
        <w:rPr>
          <w:b w:val="0"/>
          <w:sz w:val="22"/>
          <w:szCs w:val="22"/>
        </w:rPr>
      </w:pPr>
      <w:r w:rsidRPr="00BB1432">
        <w:rPr>
          <w:b w:val="0"/>
          <w:sz w:val="22"/>
          <w:szCs w:val="22"/>
        </w:rPr>
        <w:t xml:space="preserve">Obligaciones con el Público: </w:t>
      </w:r>
      <w:r w:rsidR="00671424" w:rsidRPr="00BB1432">
        <w:rPr>
          <w:b w:val="0"/>
          <w:sz w:val="22"/>
          <w:szCs w:val="22"/>
        </w:rPr>
        <w:t>Depósitos</w:t>
      </w:r>
      <w:r w:rsidRPr="00BB1432">
        <w:rPr>
          <w:b w:val="0"/>
          <w:sz w:val="22"/>
          <w:szCs w:val="22"/>
        </w:rPr>
        <w:t xml:space="preserve"> a la vista.</w:t>
      </w:r>
      <w:r w:rsidR="00671424" w:rsidRPr="00BB1432">
        <w:rPr>
          <w:b w:val="0"/>
          <w:sz w:val="22"/>
          <w:szCs w:val="22"/>
        </w:rPr>
        <w:t xml:space="preserve"> </w:t>
      </w:r>
    </w:p>
    <w:p w:rsidR="00671424" w:rsidRPr="00BB1432" w:rsidRDefault="00FB009F" w:rsidP="00FB009F">
      <w:pPr>
        <w:pStyle w:val="NormalVerdana"/>
        <w:numPr>
          <w:ilvl w:val="0"/>
          <w:numId w:val="2"/>
        </w:numPr>
        <w:tabs>
          <w:tab w:val="clear" w:pos="1262"/>
        </w:tabs>
        <w:spacing w:line="480" w:lineRule="auto"/>
        <w:ind w:left="1080" w:hanging="178"/>
        <w:rPr>
          <w:b w:val="0"/>
          <w:sz w:val="22"/>
          <w:szCs w:val="22"/>
        </w:rPr>
      </w:pPr>
      <w:r w:rsidRPr="00BB1432">
        <w:rPr>
          <w:b w:val="0"/>
          <w:sz w:val="22"/>
          <w:szCs w:val="22"/>
        </w:rPr>
        <w:t>Obligaciones Financieras:</w:t>
      </w:r>
      <w:r w:rsidR="00671424" w:rsidRPr="00BB1432">
        <w:rPr>
          <w:b w:val="0"/>
          <w:sz w:val="22"/>
          <w:szCs w:val="22"/>
        </w:rPr>
        <w:t xml:space="preserve"> </w:t>
      </w:r>
      <w:r w:rsidRPr="00BB1432">
        <w:rPr>
          <w:b w:val="0"/>
          <w:sz w:val="22"/>
          <w:szCs w:val="22"/>
        </w:rPr>
        <w:t>Sobregiros, obligaciones con otras instituciones financieras</w:t>
      </w:r>
      <w:r w:rsidR="00671424" w:rsidRPr="00BB1432">
        <w:rPr>
          <w:b w:val="0"/>
          <w:sz w:val="22"/>
          <w:szCs w:val="22"/>
        </w:rPr>
        <w:t>.</w:t>
      </w:r>
    </w:p>
    <w:p w:rsidR="00671424" w:rsidRDefault="00FB009F" w:rsidP="00117EC0">
      <w:pPr>
        <w:pStyle w:val="NormalVerdana"/>
        <w:numPr>
          <w:ilvl w:val="0"/>
          <w:numId w:val="2"/>
        </w:numPr>
        <w:spacing w:line="480" w:lineRule="auto"/>
        <w:rPr>
          <w:b w:val="0"/>
          <w:sz w:val="22"/>
          <w:szCs w:val="22"/>
        </w:rPr>
      </w:pPr>
      <w:r w:rsidRPr="00BB1432">
        <w:rPr>
          <w:b w:val="0"/>
          <w:sz w:val="22"/>
          <w:szCs w:val="22"/>
        </w:rPr>
        <w:t>Capital común</w:t>
      </w:r>
    </w:p>
    <w:p w:rsidR="00B91F72" w:rsidRDefault="00B91F72" w:rsidP="00B91F72">
      <w:pPr>
        <w:pStyle w:val="NormalVerdana"/>
        <w:spacing w:line="480" w:lineRule="auto"/>
        <w:rPr>
          <w:b w:val="0"/>
          <w:sz w:val="22"/>
          <w:szCs w:val="22"/>
        </w:rPr>
      </w:pPr>
    </w:p>
    <w:p w:rsidR="00671424" w:rsidRPr="00BB1432" w:rsidRDefault="00671424" w:rsidP="00117EC0">
      <w:pPr>
        <w:pStyle w:val="NormalVerdana"/>
        <w:spacing w:line="480" w:lineRule="auto"/>
        <w:rPr>
          <w:sz w:val="22"/>
          <w:szCs w:val="22"/>
        </w:rPr>
      </w:pPr>
      <w:r w:rsidRPr="00BB1432">
        <w:rPr>
          <w:sz w:val="22"/>
          <w:szCs w:val="22"/>
        </w:rPr>
        <w:tab/>
        <w:t>1.3.3  Actividad bancaria en el Ecuador</w:t>
      </w:r>
    </w:p>
    <w:p w:rsidR="00671424" w:rsidRPr="00BB1432" w:rsidRDefault="00671424" w:rsidP="00117EC0">
      <w:pPr>
        <w:pStyle w:val="NormalVerdana"/>
        <w:spacing w:line="480" w:lineRule="auto"/>
        <w:rPr>
          <w:b w:val="0"/>
          <w:sz w:val="22"/>
          <w:szCs w:val="22"/>
        </w:rPr>
      </w:pPr>
      <w:r w:rsidRPr="00BB1432">
        <w:rPr>
          <w:sz w:val="22"/>
          <w:szCs w:val="22"/>
        </w:rPr>
        <w:tab/>
      </w:r>
      <w:r w:rsidR="00176A40" w:rsidRPr="00BB1432">
        <w:rPr>
          <w:sz w:val="22"/>
          <w:szCs w:val="22"/>
        </w:rPr>
        <w:t xml:space="preserve">     </w:t>
      </w:r>
      <w:r w:rsidRPr="00BB1432">
        <w:rPr>
          <w:b w:val="0"/>
          <w:sz w:val="22"/>
          <w:szCs w:val="22"/>
        </w:rPr>
        <w:t xml:space="preserve">Entre los diversos servicios que se ofrecen en el ámbito bancario, se encuentra la siguiente clasificación: </w:t>
      </w:r>
    </w:p>
    <w:p w:rsidR="00671424" w:rsidRPr="00BB1432" w:rsidRDefault="00722B52" w:rsidP="00265D9E">
      <w:pPr>
        <w:pStyle w:val="NormalVerdana"/>
        <w:spacing w:line="480" w:lineRule="auto"/>
        <w:ind w:left="539" w:hanging="539"/>
        <w:jc w:val="center"/>
        <w:rPr>
          <w:sz w:val="22"/>
          <w:szCs w:val="22"/>
        </w:rPr>
      </w:pPr>
      <w:r w:rsidRPr="00BB1432">
        <w:rPr>
          <w:sz w:val="22"/>
          <w:szCs w:val="22"/>
        </w:rPr>
        <w:t>Cuadro 1.5</w:t>
      </w:r>
    </w:p>
    <w:p w:rsidR="00671424" w:rsidRPr="00BB1432" w:rsidRDefault="00671424" w:rsidP="00265D9E">
      <w:pPr>
        <w:pStyle w:val="NormalVerdana"/>
        <w:spacing w:line="480" w:lineRule="auto"/>
        <w:ind w:left="539" w:hanging="539"/>
        <w:jc w:val="center"/>
        <w:rPr>
          <w:sz w:val="22"/>
          <w:szCs w:val="22"/>
        </w:rPr>
      </w:pPr>
      <w:r w:rsidRPr="00BB1432">
        <w:rPr>
          <w:sz w:val="22"/>
          <w:szCs w:val="22"/>
        </w:rPr>
        <w:t>Actividad Bancaria en el Ecuador</w:t>
      </w:r>
    </w:p>
    <w:p w:rsidR="00671424" w:rsidRPr="00BB1432" w:rsidRDefault="00DC58DE" w:rsidP="00117EC0">
      <w:pPr>
        <w:pStyle w:val="NormalVerdana"/>
        <w:spacing w:line="480" w:lineRule="auto"/>
        <w:jc w:val="center"/>
        <w:rPr>
          <w:sz w:val="22"/>
          <w:szCs w:val="22"/>
          <w:highlight w:val="yellow"/>
        </w:rPr>
      </w:pPr>
      <w:r w:rsidRPr="00BB1432">
        <w:rPr>
          <w:noProof/>
          <w:sz w:val="22"/>
          <w:szCs w:val="22"/>
          <w:lang w:val="es-ES_tradnl" w:eastAsia="es-ES_tradnl"/>
        </w:rPr>
      </w:r>
      <w:r w:rsidRPr="00BB1432">
        <w:rPr>
          <w:sz w:val="22"/>
          <w:szCs w:val="22"/>
        </w:rPr>
        <w:pict>
          <v:group id="_x0000_s1036" editas="canvas" style="width:339pt;height:171.4pt;mso-position-horizontal-relative:char;mso-position-vertical-relative:line" coordorigin="-10,-7" coordsize="6780,34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0;top:-7;width:6780;height:3428" o:preferrelative="f">
              <v:fill o:detectmouseclick="t"/>
              <v:path o:extrusionok="t" o:connecttype="none"/>
              <o:lock v:ext="edit" text="t"/>
            </v:shape>
            <v:rect id="_x0000_s1037" style="position:absolute;left:10;top:7;width:6745;height:210" fillcolor="yellow" stroked="f"/>
            <v:rect id="_x0000_s1038" style="position:absolute;left:10;top:213;width:6745;height:3143" stroked="f"/>
            <v:rect id="_x0000_s1039" style="position:absolute;left:480;top:7;width:1263;height:368;mso-wrap-style:none" filled="f" stroked="f">
              <v:textbox style="mso-fit-shape-to-text:t" inset="0,0,0,0">
                <w:txbxContent>
                  <w:p w:rsidR="000B4BF9" w:rsidRDefault="000B4BF9">
                    <w:r>
                      <w:rPr>
                        <w:rFonts w:ascii="Arial" w:hAnsi="Arial" w:cs="Arial"/>
                        <w:b/>
                        <w:bCs/>
                        <w:color w:val="000000"/>
                        <w:sz w:val="16"/>
                        <w:szCs w:val="16"/>
                        <w:lang w:val="en-US"/>
                      </w:rPr>
                      <w:t>TIPO DE BANCA</w:t>
                    </w:r>
                  </w:p>
                </w:txbxContent>
              </v:textbox>
            </v:rect>
            <v:rect id="_x0000_s1040" style="position:absolute;left:4102;top:7;width:872;height:368;mso-wrap-style:none" filled="f" stroked="f">
              <v:textbox style="mso-fit-shape-to-text:t" inset="0,0,0,0">
                <w:txbxContent>
                  <w:p w:rsidR="000B4BF9" w:rsidRDefault="000B4BF9">
                    <w:r>
                      <w:rPr>
                        <w:rFonts w:ascii="Arial" w:hAnsi="Arial" w:cs="Arial"/>
                        <w:b/>
                        <w:bCs/>
                        <w:color w:val="000000"/>
                        <w:sz w:val="16"/>
                        <w:szCs w:val="16"/>
                        <w:lang w:val="en-US"/>
                      </w:rPr>
                      <w:t>ACTIVIDAD</w:t>
                    </w:r>
                  </w:p>
                </w:txbxContent>
              </v:textbox>
            </v:rect>
            <v:rect id="_x0000_s1041" style="position:absolute;left:49;top:411;width:1538;height:368;mso-wrap-style:none" filled="f" stroked="f">
              <v:textbox style="mso-fit-shape-to-text:t" inset="0,0,0,0">
                <w:txbxContent>
                  <w:p w:rsidR="000B4BF9" w:rsidRDefault="000B4BF9">
                    <w:r>
                      <w:rPr>
                        <w:rFonts w:ascii="Arial" w:hAnsi="Arial" w:cs="Arial"/>
                        <w:b/>
                        <w:bCs/>
                        <w:color w:val="000000"/>
                        <w:sz w:val="16"/>
                        <w:szCs w:val="16"/>
                        <w:lang w:val="en-US"/>
                      </w:rPr>
                      <w:t>BANCA INDIVIDUAL</w:t>
                    </w:r>
                  </w:p>
                </w:txbxContent>
              </v:textbox>
            </v:rect>
            <v:rect id="_x0000_s1042" style="position:absolute;left:2589;top:414;width:1939;height:368;mso-wrap-style:none" filled="f" stroked="f">
              <v:textbox style="mso-fit-shape-to-text:t" inset="0,0,0,0">
                <w:txbxContent>
                  <w:p w:rsidR="000B4BF9" w:rsidRDefault="000B4BF9">
                    <w:r>
                      <w:rPr>
                        <w:rFonts w:ascii="Arial" w:hAnsi="Arial" w:cs="Arial"/>
                        <w:color w:val="000000"/>
                        <w:sz w:val="16"/>
                        <w:szCs w:val="16"/>
                        <w:lang w:val="en-US"/>
                      </w:rPr>
                      <w:t>Préstamos a consumidores</w:t>
                    </w:r>
                  </w:p>
                </w:txbxContent>
              </v:textbox>
            </v:rect>
            <v:rect id="_x0000_s1043" style="position:absolute;left:2589;top:609;width:2624;height:368;mso-wrap-style:none" filled="f" stroked="f">
              <v:textbox style="mso-fit-shape-to-text:t" inset="0,0,0,0">
                <w:txbxContent>
                  <w:p w:rsidR="000B4BF9" w:rsidRDefault="000B4BF9">
                    <w:r>
                      <w:rPr>
                        <w:rFonts w:ascii="Arial" w:hAnsi="Arial" w:cs="Arial"/>
                        <w:color w:val="000000"/>
                        <w:sz w:val="16"/>
                        <w:szCs w:val="16"/>
                        <w:lang w:val="en-US"/>
                      </w:rPr>
                      <w:t>Financiamiento de tarjetas de crédito</w:t>
                    </w:r>
                  </w:p>
                </w:txbxContent>
              </v:textbox>
            </v:rect>
            <v:rect id="_x0000_s1044" style="position:absolute;left:2589;top:803;width:1672;height:368;mso-wrap-style:none" filled="f" stroked="f">
              <v:textbox style="mso-fit-shape-to-text:t" inset="0,0,0,0">
                <w:txbxContent>
                  <w:p w:rsidR="000B4BF9" w:rsidRDefault="000B4BF9">
                    <w:r>
                      <w:rPr>
                        <w:rFonts w:ascii="Arial" w:hAnsi="Arial" w:cs="Arial"/>
                        <w:color w:val="000000"/>
                        <w:sz w:val="16"/>
                        <w:szCs w:val="16"/>
                        <w:lang w:val="es-EC"/>
                      </w:rPr>
                      <w:t>Pré</w:t>
                    </w:r>
                    <w:r w:rsidRPr="00DC58DE">
                      <w:rPr>
                        <w:rFonts w:ascii="Arial" w:hAnsi="Arial" w:cs="Arial"/>
                        <w:color w:val="000000"/>
                        <w:sz w:val="16"/>
                        <w:szCs w:val="16"/>
                        <w:lang w:val="es-EC"/>
                      </w:rPr>
                      <w:t>stamos hipotecarios</w:t>
                    </w:r>
                  </w:p>
                </w:txbxContent>
              </v:textbox>
            </v:rect>
            <v:rect id="_x0000_s1045" style="position:absolute;left:2589;top:997;width:1628;height:368;mso-wrap-style:none" filled="f" stroked="f">
              <v:textbox style="mso-fit-shape-to-text:t" inset="0,0,0,0">
                <w:txbxContent>
                  <w:p w:rsidR="000B4BF9" w:rsidRDefault="000B4BF9">
                    <w:r>
                      <w:rPr>
                        <w:rFonts w:ascii="Arial" w:hAnsi="Arial" w:cs="Arial"/>
                        <w:color w:val="000000"/>
                        <w:sz w:val="16"/>
                        <w:szCs w:val="16"/>
                        <w:lang w:val="en-US"/>
                      </w:rPr>
                      <w:t>Préstamos estudiantes</w:t>
                    </w:r>
                  </w:p>
                </w:txbxContent>
              </v:textbox>
            </v:rect>
            <v:rect id="_x0000_s1046" style="position:absolute;left:2589;top:1191;width:2731;height:368;mso-wrap-style:none" filled="f" stroked="f">
              <v:textbox style="mso-fit-shape-to-text:t" inset="0,0,0,0">
                <w:txbxContent>
                  <w:p w:rsidR="000B4BF9" w:rsidRDefault="000B4BF9">
                    <w:r w:rsidRPr="00DC58DE">
                      <w:rPr>
                        <w:rFonts w:ascii="Arial" w:hAnsi="Arial" w:cs="Arial"/>
                        <w:color w:val="000000"/>
                        <w:sz w:val="16"/>
                        <w:szCs w:val="16"/>
                      </w:rPr>
                      <w:t>P</w:t>
                    </w:r>
                    <w:r>
                      <w:rPr>
                        <w:rFonts w:ascii="Arial" w:hAnsi="Arial" w:cs="Arial"/>
                        <w:color w:val="000000"/>
                        <w:sz w:val="16"/>
                        <w:szCs w:val="16"/>
                      </w:rPr>
                      <w:t>r</w:t>
                    </w:r>
                    <w:r w:rsidRPr="00DC58DE">
                      <w:rPr>
                        <w:rFonts w:ascii="Arial" w:hAnsi="Arial" w:cs="Arial"/>
                        <w:color w:val="000000"/>
                        <w:sz w:val="16"/>
                        <w:szCs w:val="16"/>
                      </w:rPr>
                      <w:t>estamos a plazo para el consumidor</w:t>
                    </w:r>
                  </w:p>
                </w:txbxContent>
              </v:textbox>
            </v:rect>
            <v:rect id="_x0000_s1047" style="position:absolute;left:2589;top:1385;width:819;height:368;mso-wrap-style:none" filled="f" stroked="f">
              <v:textbox style="mso-fit-shape-to-text:t" inset="0,0,0,0">
                <w:txbxContent>
                  <w:p w:rsidR="000B4BF9" w:rsidRDefault="000B4BF9">
                    <w:r>
                      <w:rPr>
                        <w:rFonts w:ascii="Arial" w:hAnsi="Arial" w:cs="Arial"/>
                        <w:color w:val="000000"/>
                        <w:sz w:val="16"/>
                        <w:szCs w:val="16"/>
                        <w:lang w:val="en-US"/>
                      </w:rPr>
                      <w:t>Inversiones</w:t>
                    </w:r>
                  </w:p>
                </w:txbxContent>
              </v:textbox>
            </v:rect>
            <v:rect id="_x0000_s1048" style="position:absolute;left:49;top:1781;width:1858;height:552;mso-wrap-style:none" filled="f" stroked="f">
              <v:textbox style="mso-fit-shape-to-text:t" inset="0,0,0,0">
                <w:txbxContent>
                  <w:p w:rsidR="000B4BF9" w:rsidRDefault="000B4BF9">
                    <w:pPr>
                      <w:rPr>
                        <w:rFonts w:ascii="Arial" w:hAnsi="Arial" w:cs="Arial"/>
                        <w:b/>
                        <w:bCs/>
                        <w:color w:val="000000"/>
                        <w:sz w:val="16"/>
                        <w:szCs w:val="16"/>
                        <w:lang w:val="en-US"/>
                      </w:rPr>
                    </w:pPr>
                  </w:p>
                  <w:p w:rsidR="000B4BF9" w:rsidRDefault="000B4BF9">
                    <w:r>
                      <w:rPr>
                        <w:rFonts w:ascii="Arial" w:hAnsi="Arial" w:cs="Arial"/>
                        <w:b/>
                        <w:bCs/>
                        <w:color w:val="000000"/>
                        <w:sz w:val="16"/>
                        <w:szCs w:val="16"/>
                        <w:lang w:val="en-US"/>
                      </w:rPr>
                      <w:t>BANCA INSTITUCIONAL</w:t>
                    </w:r>
                  </w:p>
                </w:txbxContent>
              </v:textbox>
            </v:rect>
            <v:rect id="_x0000_s1050" style="position:absolute;left:2589;top:1979;width:2028;height:368;mso-wrap-style:none" filled="f" stroked="f">
              <v:textbox style="mso-fit-shape-to-text:t" inset="0,0,0,0">
                <w:txbxContent>
                  <w:p w:rsidR="000B4BF9" w:rsidRDefault="000B4BF9">
                    <w:r>
                      <w:rPr>
                        <w:rFonts w:ascii="Arial" w:hAnsi="Arial" w:cs="Arial"/>
                        <w:color w:val="000000"/>
                        <w:sz w:val="16"/>
                        <w:szCs w:val="16"/>
                        <w:lang w:val="en-US"/>
                      </w:rPr>
                      <w:t>Entidades Gubernamentales</w:t>
                    </w:r>
                  </w:p>
                </w:txbxContent>
              </v:textbox>
            </v:rect>
            <v:rect id="_x0000_s1051" style="position:absolute;left:2589;top:2173;width:2437;height:368;mso-wrap-style:none" filled="f" stroked="f">
              <v:textbox style="mso-fit-shape-to-text:t" inset="0,0,0,0">
                <w:txbxContent>
                  <w:p w:rsidR="000B4BF9" w:rsidRDefault="000B4BF9">
                    <w:r>
                      <w:rPr>
                        <w:rFonts w:ascii="Arial" w:hAnsi="Arial" w:cs="Arial"/>
                        <w:color w:val="000000"/>
                        <w:sz w:val="16"/>
                        <w:szCs w:val="16"/>
                        <w:lang w:val="en-US"/>
                      </w:rPr>
                      <w:t>Financiamiento para bienes raices</w:t>
                    </w:r>
                  </w:p>
                </w:txbxContent>
              </v:textbox>
            </v:rect>
            <v:rect id="_x0000_s1052" style="position:absolute;left:2589;top:2367;width:667;height:368;mso-wrap-style:none" filled="f" stroked="f">
              <v:textbox style="mso-fit-shape-to-text:t" inset="0,0,0,0">
                <w:txbxContent>
                  <w:p w:rsidR="000B4BF9" w:rsidRDefault="000B4BF9">
                    <w:r>
                      <w:rPr>
                        <w:rFonts w:ascii="Arial" w:hAnsi="Arial" w:cs="Arial"/>
                        <w:color w:val="000000"/>
                        <w:sz w:val="16"/>
                        <w:szCs w:val="16"/>
                        <w:lang w:val="en-US"/>
                      </w:rPr>
                      <w:t>Factoring</w:t>
                    </w:r>
                  </w:p>
                </w:txbxContent>
              </v:textbox>
            </v:rect>
            <v:rect id="_x0000_s1053" style="position:absolute;left:49;top:2763;width:1298;height:552;mso-wrap-style:none" filled="f" stroked="f">
              <v:textbox style="mso-fit-shape-to-text:t" inset="0,0,0,0">
                <w:txbxContent>
                  <w:p w:rsidR="000B4BF9" w:rsidRDefault="000B4BF9">
                    <w:pPr>
                      <w:rPr>
                        <w:rFonts w:ascii="Arial" w:hAnsi="Arial" w:cs="Arial"/>
                        <w:b/>
                        <w:bCs/>
                        <w:color w:val="000000"/>
                        <w:sz w:val="16"/>
                        <w:szCs w:val="16"/>
                        <w:lang w:val="en-US"/>
                      </w:rPr>
                    </w:pPr>
                  </w:p>
                  <w:p w:rsidR="000B4BF9" w:rsidRDefault="000B4BF9">
                    <w:r>
                      <w:rPr>
                        <w:rFonts w:ascii="Arial" w:hAnsi="Arial" w:cs="Arial"/>
                        <w:b/>
                        <w:bCs/>
                        <w:color w:val="000000"/>
                        <w:sz w:val="16"/>
                        <w:szCs w:val="16"/>
                        <w:lang w:val="en-US"/>
                      </w:rPr>
                      <w:t>BANCA GLOBAL</w:t>
                    </w:r>
                  </w:p>
                </w:txbxContent>
              </v:textbox>
            </v:rect>
            <v:rect id="_x0000_s1054" style="position:absolute;left:2589;top:2766;width:1921;height:368;mso-wrap-style:none" filled="f" stroked="f">
              <v:textbox style="mso-fit-shape-to-text:t" inset="0,0,0,0">
                <w:txbxContent>
                  <w:p w:rsidR="000B4BF9" w:rsidRDefault="000B4BF9">
                    <w:r>
                      <w:rPr>
                        <w:rFonts w:ascii="Arial" w:hAnsi="Arial" w:cs="Arial"/>
                        <w:color w:val="000000"/>
                        <w:sz w:val="16"/>
                        <w:szCs w:val="16"/>
                        <w:lang w:val="en-US"/>
                      </w:rPr>
                      <w:t>Financiamiento corporativo</w:t>
                    </w:r>
                  </w:p>
                </w:txbxContent>
              </v:textbox>
            </v:rect>
            <v:rect id="_x0000_s1055" style="position:absolute;left:2589;top:2960;width:109;height:276;mso-wrap-style:none" filled="f" stroked="f">
              <v:textbox style="mso-fit-shape-to-text:t" inset="0,0,0,0">
                <w:txbxContent>
                  <w:p w:rsidR="000B4BF9" w:rsidRPr="00DC58DE" w:rsidRDefault="000B4BF9" w:rsidP="00DC58DE"/>
                </w:txbxContent>
              </v:textbox>
            </v:rect>
            <v:rect id="_x0000_s1056" style="position:absolute;left:2510;top:3053;width:2777;height:360" filled="f" stroked="f">
              <v:textbox inset="0,0,0,0">
                <w:txbxContent>
                  <w:p w:rsidR="000B4BF9" w:rsidRDefault="000B4BF9">
                    <w:r>
                      <w:rPr>
                        <w:rFonts w:ascii="Arial" w:hAnsi="Arial" w:cs="Arial"/>
                        <w:color w:val="000000"/>
                        <w:sz w:val="16"/>
                        <w:szCs w:val="16"/>
                        <w:lang w:val="en-US"/>
                      </w:rPr>
                      <w:t xml:space="preserve">  Intercambio de productos y servicios </w:t>
                    </w:r>
                  </w:p>
                </w:txbxContent>
              </v:textbox>
            </v:rect>
            <v:line id="_x0000_s1057" style="position:absolute" from="2540,22" to="2541,198" strokeweight="0"/>
            <v:rect id="_x0000_s1058" style="position:absolute;left:2540;top:22;width:20;height:176" fillcolor="black" stroked="f"/>
            <v:line id="_x0000_s1059" style="position:absolute" from="2540,228" to="2541,1762" strokeweight="0"/>
            <v:rect id="_x0000_s1060" style="position:absolute;left:2540;top:228;width:20;height:1534" fillcolor="black" stroked="f"/>
            <v:line id="_x0000_s1061" style="position:absolute" from="2540,1792" to="2541,2744" strokeweight="0"/>
            <v:rect id="_x0000_s1062" style="position:absolute;left:2540;top:1792;width:20;height:952" fillcolor="black" stroked="f"/>
            <v:rect id="_x0000_s1063" style="position:absolute;left:-10;top:-7;width:39;height:3374" fillcolor="black" stroked="f"/>
            <v:line id="_x0000_s1064" style="position:absolute" from="2540,2774" to="2541,3337" strokeweight="0"/>
            <v:rect id="_x0000_s1065" style="position:absolute;left:2540;top:2774;width:20;height:563" fillcolor="black" stroked="f"/>
            <v:rect id="_x0000_s1066" style="position:absolute;left:6731;top:22;width:39;height:3345" fillcolor="black" stroked="f"/>
            <v:rect id="_x0000_s1067" style="position:absolute;left:29;top:-7;width:6741;height:29" fillcolor="black" stroked="f"/>
            <v:rect id="_x0000_s1068" style="position:absolute;left:29;top:198;width:6741;height:30" fillcolor="black" stroked="f"/>
            <v:rect id="_x0000_s1069" style="position:absolute;left:29;top:1762;width:6741;height:30" fillcolor="black" stroked="f"/>
            <v:rect id="_x0000_s1070" style="position:absolute;left:29;top:2744;width:6741;height:30" fillcolor="black" stroked="f"/>
            <v:rect id="_x0000_s1071" style="position:absolute;left:29;top:3337;width:6741;height:30" fillcolor="black" stroked="f"/>
            <w10:anchorlock/>
          </v:group>
        </w:pict>
      </w:r>
    </w:p>
    <w:p w:rsidR="00671424" w:rsidRPr="00265D9E" w:rsidRDefault="00671424" w:rsidP="00265D9E">
      <w:pPr>
        <w:pStyle w:val="NormalVerdana"/>
        <w:spacing w:line="240" w:lineRule="auto"/>
        <w:ind w:left="539" w:firstLine="181"/>
        <w:jc w:val="left"/>
        <w:rPr>
          <w:b w:val="0"/>
          <w:i/>
          <w:sz w:val="18"/>
          <w:szCs w:val="18"/>
        </w:rPr>
      </w:pPr>
      <w:r w:rsidRPr="00265D9E">
        <w:rPr>
          <w:i/>
          <w:sz w:val="18"/>
          <w:szCs w:val="18"/>
        </w:rPr>
        <w:t>Fuente:</w:t>
      </w:r>
      <w:r w:rsidRPr="00265D9E">
        <w:rPr>
          <w:b w:val="0"/>
          <w:i/>
          <w:sz w:val="18"/>
          <w:szCs w:val="18"/>
        </w:rPr>
        <w:t xml:space="preserve"> Superintendencia de Bancos</w:t>
      </w:r>
    </w:p>
    <w:p w:rsidR="00671424" w:rsidRPr="00265D9E" w:rsidRDefault="00671424" w:rsidP="00265D9E">
      <w:pPr>
        <w:pStyle w:val="NormalVerdana"/>
        <w:spacing w:line="240" w:lineRule="auto"/>
        <w:ind w:left="539" w:firstLine="181"/>
        <w:jc w:val="left"/>
        <w:rPr>
          <w:b w:val="0"/>
          <w:i/>
          <w:sz w:val="18"/>
          <w:szCs w:val="18"/>
        </w:rPr>
      </w:pPr>
      <w:r w:rsidRPr="006A3867">
        <w:rPr>
          <w:i/>
          <w:sz w:val="18"/>
          <w:szCs w:val="18"/>
        </w:rPr>
        <w:t>Elaborado por:</w:t>
      </w:r>
      <w:r w:rsidRPr="00265D9E">
        <w:rPr>
          <w:b w:val="0"/>
          <w:i/>
          <w:sz w:val="18"/>
          <w:szCs w:val="18"/>
        </w:rPr>
        <w:t xml:space="preserve"> Los autores</w:t>
      </w:r>
    </w:p>
    <w:p w:rsidR="00671424" w:rsidRPr="00BB1432" w:rsidRDefault="00671424" w:rsidP="00117EC0">
      <w:pPr>
        <w:pStyle w:val="NormalVerdana"/>
        <w:spacing w:line="480" w:lineRule="auto"/>
        <w:rPr>
          <w:bCs/>
          <w:sz w:val="22"/>
          <w:szCs w:val="22"/>
        </w:rPr>
      </w:pPr>
      <w:r w:rsidRPr="00BB1432">
        <w:rPr>
          <w:sz w:val="22"/>
          <w:szCs w:val="22"/>
        </w:rPr>
        <w:tab/>
      </w:r>
      <w:r w:rsidRPr="00BB1432">
        <w:rPr>
          <w:bCs/>
          <w:sz w:val="22"/>
          <w:szCs w:val="22"/>
        </w:rPr>
        <w:t>1.3.</w:t>
      </w:r>
      <w:r w:rsidR="003509AD" w:rsidRPr="00BB1432">
        <w:rPr>
          <w:bCs/>
          <w:sz w:val="22"/>
          <w:szCs w:val="22"/>
        </w:rPr>
        <w:t>4</w:t>
      </w:r>
      <w:r w:rsidRPr="00BB1432">
        <w:rPr>
          <w:bCs/>
          <w:sz w:val="22"/>
          <w:szCs w:val="22"/>
        </w:rPr>
        <w:t xml:space="preserve"> Clasificación de los créditos en el Ecuador </w:t>
      </w:r>
    </w:p>
    <w:p w:rsidR="00B91F72" w:rsidRPr="00BB1432"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Pr="00BB1432">
        <w:rPr>
          <w:b w:val="0"/>
          <w:bCs/>
          <w:sz w:val="22"/>
          <w:szCs w:val="22"/>
        </w:rPr>
        <w:t xml:space="preserve">De acuerdo a </w:t>
      </w:r>
      <w:smartTag w:uri="urn:schemas-microsoft-com:office:smarttags" w:element="PersonName">
        <w:smartTagPr>
          <w:attr w:name="ProductID" w:val="la Superintendencia"/>
        </w:smartTagPr>
        <w:r w:rsidRPr="00BB1432">
          <w:rPr>
            <w:b w:val="0"/>
            <w:bCs/>
            <w:sz w:val="22"/>
            <w:szCs w:val="22"/>
          </w:rPr>
          <w:t>la Superintendencia</w:t>
        </w:r>
      </w:smartTag>
      <w:r w:rsidRPr="00BB1432">
        <w:rPr>
          <w:b w:val="0"/>
          <w:bCs/>
          <w:sz w:val="22"/>
          <w:szCs w:val="22"/>
        </w:rPr>
        <w:t xml:space="preserve"> de Bancos, básicamente existen 4 tipos de créditos destinados a Consumo, Microempresa,  Comercial y Vivienda</w:t>
      </w:r>
      <w:r w:rsidR="00722B52" w:rsidRPr="00BB1432">
        <w:rPr>
          <w:b w:val="0"/>
          <w:bCs/>
          <w:sz w:val="22"/>
          <w:szCs w:val="22"/>
        </w:rPr>
        <w:t>. En el cuadro 1.6</w:t>
      </w:r>
      <w:r w:rsidRPr="00BB1432">
        <w:rPr>
          <w:b w:val="0"/>
          <w:bCs/>
          <w:sz w:val="22"/>
          <w:szCs w:val="22"/>
        </w:rPr>
        <w:t xml:space="preserve"> se describe brevemente cada uno de ellos: </w:t>
      </w:r>
    </w:p>
    <w:p w:rsidR="00671424" w:rsidRPr="00BB1432" w:rsidRDefault="00722B52" w:rsidP="00117EC0">
      <w:pPr>
        <w:pStyle w:val="NormalVerdana"/>
        <w:spacing w:line="480" w:lineRule="auto"/>
        <w:jc w:val="center"/>
        <w:rPr>
          <w:sz w:val="22"/>
          <w:szCs w:val="22"/>
        </w:rPr>
      </w:pPr>
      <w:r w:rsidRPr="00BB1432">
        <w:rPr>
          <w:sz w:val="22"/>
          <w:szCs w:val="22"/>
        </w:rPr>
        <w:t>Cuadro 1.6</w:t>
      </w:r>
    </w:p>
    <w:p w:rsidR="00671424" w:rsidRPr="00BB1432" w:rsidRDefault="00671424" w:rsidP="00117EC0">
      <w:pPr>
        <w:pStyle w:val="NormalVerdana"/>
        <w:spacing w:line="480" w:lineRule="auto"/>
        <w:jc w:val="center"/>
        <w:rPr>
          <w:bCs/>
          <w:sz w:val="22"/>
          <w:szCs w:val="22"/>
          <w:highlight w:val="yellow"/>
        </w:rPr>
      </w:pPr>
      <w:r w:rsidRPr="00BB1432">
        <w:rPr>
          <w:sz w:val="22"/>
          <w:szCs w:val="22"/>
        </w:rPr>
        <w:t>Clasificación de los créditos en  Ecuador</w:t>
      </w:r>
    </w:p>
    <w:p w:rsidR="00671424" w:rsidRPr="00BB1432" w:rsidRDefault="00006ACE" w:rsidP="00117EC0">
      <w:pPr>
        <w:pStyle w:val="NormalVerdana"/>
        <w:spacing w:line="480" w:lineRule="auto"/>
        <w:jc w:val="center"/>
        <w:rPr>
          <w:bCs/>
          <w:sz w:val="22"/>
          <w:szCs w:val="22"/>
          <w:highlight w:val="yellow"/>
        </w:rPr>
      </w:pPr>
      <w:r>
        <w:rPr>
          <w:noProof/>
          <w:sz w:val="22"/>
          <w:szCs w:val="22"/>
        </w:rPr>
        <w:drawing>
          <wp:inline distT="0" distB="0" distL="0" distR="0">
            <wp:extent cx="4648200" cy="19240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648200" cy="1924050"/>
                    </a:xfrm>
                    <a:prstGeom prst="rect">
                      <a:avLst/>
                    </a:prstGeom>
                    <a:noFill/>
                    <a:ln w="9525">
                      <a:noFill/>
                      <a:miter lim="800000"/>
                      <a:headEnd/>
                      <a:tailEnd/>
                    </a:ln>
                  </pic:spPr>
                </pic:pic>
              </a:graphicData>
            </a:graphic>
          </wp:inline>
        </w:drawing>
      </w:r>
    </w:p>
    <w:p w:rsidR="00671424" w:rsidRPr="006A3867" w:rsidRDefault="00671424" w:rsidP="006A3867">
      <w:pPr>
        <w:pStyle w:val="NormalVerdana"/>
        <w:spacing w:line="240" w:lineRule="auto"/>
        <w:ind w:left="539" w:firstLine="1"/>
        <w:jc w:val="left"/>
        <w:rPr>
          <w:b w:val="0"/>
          <w:i/>
          <w:sz w:val="18"/>
          <w:szCs w:val="18"/>
        </w:rPr>
      </w:pPr>
      <w:r w:rsidRPr="006A3867">
        <w:rPr>
          <w:i/>
          <w:sz w:val="18"/>
          <w:szCs w:val="18"/>
        </w:rPr>
        <w:t>Fuente:</w:t>
      </w:r>
      <w:r w:rsidRPr="006A3867">
        <w:rPr>
          <w:b w:val="0"/>
          <w:i/>
          <w:sz w:val="18"/>
          <w:szCs w:val="18"/>
        </w:rPr>
        <w:t xml:space="preserve"> Superintendencia de Bancos</w:t>
      </w:r>
    </w:p>
    <w:p w:rsidR="00671424" w:rsidRPr="006A3867" w:rsidRDefault="00671424" w:rsidP="006A3867">
      <w:pPr>
        <w:pStyle w:val="NormalVerdana"/>
        <w:spacing w:line="240" w:lineRule="auto"/>
        <w:ind w:left="539" w:firstLine="1"/>
        <w:jc w:val="left"/>
        <w:rPr>
          <w:b w:val="0"/>
          <w:i/>
          <w:sz w:val="18"/>
          <w:szCs w:val="18"/>
        </w:rPr>
      </w:pPr>
      <w:r w:rsidRPr="006A3867">
        <w:rPr>
          <w:i/>
          <w:sz w:val="18"/>
          <w:szCs w:val="18"/>
        </w:rPr>
        <w:t>Elaborado por:</w:t>
      </w:r>
      <w:r w:rsidRPr="006A3867">
        <w:rPr>
          <w:b w:val="0"/>
          <w:i/>
          <w:sz w:val="18"/>
          <w:szCs w:val="18"/>
        </w:rPr>
        <w:t xml:space="preserve"> Los autores</w:t>
      </w:r>
    </w:p>
    <w:p w:rsidR="00FF3572" w:rsidRDefault="00FF3572" w:rsidP="00FF3572">
      <w:pPr>
        <w:pStyle w:val="NormalVerdana"/>
        <w:spacing w:line="480" w:lineRule="auto"/>
        <w:rPr>
          <w:b w:val="0"/>
          <w:bCs/>
          <w:sz w:val="22"/>
          <w:szCs w:val="22"/>
        </w:rPr>
      </w:pPr>
    </w:p>
    <w:p w:rsidR="006A3867" w:rsidRDefault="006A3867" w:rsidP="00FF3572">
      <w:pPr>
        <w:pStyle w:val="NormalVerdana"/>
        <w:spacing w:line="480" w:lineRule="auto"/>
        <w:rPr>
          <w:b w:val="0"/>
          <w:bCs/>
          <w:sz w:val="22"/>
          <w:szCs w:val="22"/>
        </w:rPr>
      </w:pPr>
    </w:p>
    <w:p w:rsidR="006A3867" w:rsidRDefault="006A3867" w:rsidP="00FF3572">
      <w:pPr>
        <w:pStyle w:val="NormalVerdana"/>
        <w:spacing w:line="480" w:lineRule="auto"/>
        <w:rPr>
          <w:b w:val="0"/>
          <w:bCs/>
          <w:sz w:val="22"/>
          <w:szCs w:val="22"/>
        </w:rPr>
      </w:pPr>
    </w:p>
    <w:p w:rsidR="006A3867" w:rsidRDefault="006A3867" w:rsidP="00FF3572">
      <w:pPr>
        <w:pStyle w:val="NormalVerdana"/>
        <w:spacing w:line="480" w:lineRule="auto"/>
        <w:rPr>
          <w:b w:val="0"/>
          <w:bCs/>
          <w:sz w:val="22"/>
          <w:szCs w:val="22"/>
        </w:rPr>
      </w:pPr>
    </w:p>
    <w:p w:rsidR="006A3867" w:rsidRDefault="006A3867" w:rsidP="00FF3572">
      <w:pPr>
        <w:pStyle w:val="NormalVerdana"/>
        <w:spacing w:line="480" w:lineRule="auto"/>
        <w:rPr>
          <w:b w:val="0"/>
          <w:bCs/>
          <w:sz w:val="22"/>
          <w:szCs w:val="22"/>
        </w:rPr>
      </w:pPr>
    </w:p>
    <w:p w:rsidR="006A3867" w:rsidRDefault="006A3867" w:rsidP="00FF3572">
      <w:pPr>
        <w:pStyle w:val="NormalVerdana"/>
        <w:spacing w:line="480" w:lineRule="auto"/>
        <w:rPr>
          <w:b w:val="0"/>
          <w:bCs/>
          <w:sz w:val="22"/>
          <w:szCs w:val="22"/>
        </w:rPr>
      </w:pPr>
    </w:p>
    <w:p w:rsidR="006A3867" w:rsidRDefault="006A3867" w:rsidP="00FF3572">
      <w:pPr>
        <w:pStyle w:val="NormalVerdana"/>
        <w:spacing w:line="480" w:lineRule="auto"/>
        <w:rPr>
          <w:b w:val="0"/>
          <w:bCs/>
          <w:sz w:val="22"/>
          <w:szCs w:val="22"/>
        </w:rPr>
      </w:pPr>
    </w:p>
    <w:p w:rsidR="007F0A1F" w:rsidRPr="00BB1432" w:rsidRDefault="007F0A1F" w:rsidP="007F0A1F">
      <w:pPr>
        <w:pStyle w:val="NormalVerdana"/>
        <w:spacing w:line="480" w:lineRule="auto"/>
        <w:jc w:val="center"/>
        <w:rPr>
          <w:sz w:val="22"/>
          <w:szCs w:val="22"/>
        </w:rPr>
      </w:pPr>
      <w:r w:rsidRPr="00BB1432">
        <w:rPr>
          <w:sz w:val="22"/>
          <w:szCs w:val="22"/>
        </w:rPr>
        <w:t>Cuadro 1.7</w:t>
      </w:r>
    </w:p>
    <w:p w:rsidR="008B4698" w:rsidRPr="00BB1432" w:rsidRDefault="008B4698" w:rsidP="008B4698">
      <w:pPr>
        <w:pStyle w:val="NormalVerdana"/>
        <w:spacing w:line="480" w:lineRule="auto"/>
        <w:jc w:val="center"/>
        <w:rPr>
          <w:bCs/>
          <w:sz w:val="22"/>
          <w:szCs w:val="22"/>
          <w:highlight w:val="yellow"/>
        </w:rPr>
      </w:pPr>
      <w:r w:rsidRPr="00BB1432">
        <w:rPr>
          <w:sz w:val="22"/>
          <w:szCs w:val="22"/>
        </w:rPr>
        <w:t>Evolución de los montos por tipo de crédito</w:t>
      </w:r>
    </w:p>
    <w:p w:rsidR="007F0A1F" w:rsidRPr="00BB1432" w:rsidRDefault="008B4698" w:rsidP="007F0A1F">
      <w:pPr>
        <w:pStyle w:val="NormalVerdana"/>
        <w:spacing w:line="480" w:lineRule="auto"/>
        <w:jc w:val="center"/>
        <w:rPr>
          <w:bCs/>
          <w:sz w:val="22"/>
          <w:szCs w:val="22"/>
          <w:highlight w:val="yellow"/>
        </w:rPr>
      </w:pPr>
      <w:r w:rsidRPr="00BB1432">
        <w:rPr>
          <w:sz w:val="22"/>
          <w:szCs w:val="22"/>
        </w:rPr>
        <w:t>(</w:t>
      </w:r>
      <w:r w:rsidR="00413232" w:rsidRPr="00BB1432">
        <w:rPr>
          <w:sz w:val="22"/>
          <w:szCs w:val="22"/>
        </w:rPr>
        <w:t>Dólares</w:t>
      </w:r>
      <w:r w:rsidRPr="00BB1432">
        <w:rPr>
          <w:sz w:val="22"/>
          <w:szCs w:val="22"/>
        </w:rPr>
        <w:t>)</w:t>
      </w:r>
    </w:p>
    <w:p w:rsidR="007F0A1F" w:rsidRPr="00DE076E" w:rsidRDefault="00006ACE" w:rsidP="00FF3572">
      <w:pPr>
        <w:pStyle w:val="NormalVerdana"/>
        <w:spacing w:line="480" w:lineRule="auto"/>
        <w:rPr>
          <w:sz w:val="22"/>
          <w:szCs w:val="22"/>
        </w:rPr>
      </w:pPr>
      <w:r>
        <w:rPr>
          <w:noProof/>
        </w:rPr>
        <w:drawing>
          <wp:inline distT="0" distB="0" distL="0" distR="0">
            <wp:extent cx="5257800" cy="8191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57800" cy="819150"/>
                    </a:xfrm>
                    <a:prstGeom prst="rect">
                      <a:avLst/>
                    </a:prstGeom>
                    <a:noFill/>
                    <a:ln w="9525">
                      <a:noFill/>
                      <a:miter lim="800000"/>
                      <a:headEnd/>
                      <a:tailEnd/>
                    </a:ln>
                  </pic:spPr>
                </pic:pic>
              </a:graphicData>
            </a:graphic>
          </wp:inline>
        </w:drawing>
      </w:r>
    </w:p>
    <w:p w:rsidR="007F0A1F" w:rsidRPr="006A3867" w:rsidRDefault="007F0A1F" w:rsidP="006A3867">
      <w:pPr>
        <w:pStyle w:val="NormalVerdana"/>
        <w:spacing w:line="240" w:lineRule="auto"/>
        <w:ind w:left="539" w:hanging="539"/>
        <w:jc w:val="left"/>
        <w:rPr>
          <w:b w:val="0"/>
          <w:i/>
          <w:sz w:val="18"/>
          <w:szCs w:val="18"/>
        </w:rPr>
      </w:pPr>
      <w:r w:rsidRPr="006A3867">
        <w:rPr>
          <w:i/>
          <w:sz w:val="18"/>
          <w:szCs w:val="18"/>
        </w:rPr>
        <w:t>Fuente:</w:t>
      </w:r>
      <w:r w:rsidRPr="006A3867">
        <w:rPr>
          <w:b w:val="0"/>
          <w:i/>
          <w:sz w:val="18"/>
          <w:szCs w:val="18"/>
        </w:rPr>
        <w:t xml:space="preserve"> Superintendencia de Bancos</w:t>
      </w:r>
    </w:p>
    <w:p w:rsidR="007F0A1F" w:rsidRPr="006A3867" w:rsidRDefault="007F0A1F" w:rsidP="006A3867">
      <w:pPr>
        <w:pStyle w:val="NormalVerdana"/>
        <w:spacing w:line="240" w:lineRule="auto"/>
        <w:ind w:left="539" w:hanging="539"/>
        <w:jc w:val="left"/>
        <w:rPr>
          <w:b w:val="0"/>
          <w:i/>
          <w:sz w:val="18"/>
          <w:szCs w:val="18"/>
        </w:rPr>
      </w:pPr>
      <w:r w:rsidRPr="00A86D73">
        <w:rPr>
          <w:i/>
          <w:sz w:val="18"/>
          <w:szCs w:val="18"/>
        </w:rPr>
        <w:t>Elaborado por:</w:t>
      </w:r>
      <w:r w:rsidRPr="006A3867">
        <w:rPr>
          <w:b w:val="0"/>
          <w:i/>
          <w:sz w:val="18"/>
          <w:szCs w:val="18"/>
        </w:rPr>
        <w:t xml:space="preserve"> Los autores</w:t>
      </w:r>
    </w:p>
    <w:p w:rsidR="007F0A1F" w:rsidRPr="00BB1432" w:rsidRDefault="007F0A1F" w:rsidP="00FF3572">
      <w:pPr>
        <w:pStyle w:val="NormalVerdana"/>
        <w:spacing w:line="480" w:lineRule="auto"/>
        <w:rPr>
          <w:b w:val="0"/>
          <w:bCs/>
          <w:sz w:val="22"/>
          <w:szCs w:val="22"/>
        </w:rPr>
      </w:pPr>
    </w:p>
    <w:p w:rsidR="007F0A1F" w:rsidRPr="00BB1432" w:rsidRDefault="007F0A1F" w:rsidP="00FF3572">
      <w:pPr>
        <w:pStyle w:val="NormalVerdana"/>
        <w:spacing w:line="480" w:lineRule="auto"/>
        <w:rPr>
          <w:b w:val="0"/>
          <w:bCs/>
          <w:sz w:val="22"/>
          <w:szCs w:val="22"/>
        </w:rPr>
      </w:pPr>
    </w:p>
    <w:p w:rsidR="00671424" w:rsidRPr="00BB1432" w:rsidRDefault="00176A40" w:rsidP="00117EC0">
      <w:pPr>
        <w:pStyle w:val="NormalVerdana"/>
        <w:spacing w:line="480" w:lineRule="auto"/>
        <w:rPr>
          <w:bCs/>
          <w:sz w:val="22"/>
          <w:szCs w:val="22"/>
        </w:rPr>
      </w:pPr>
      <w:r w:rsidRPr="00BB1432">
        <w:rPr>
          <w:bCs/>
          <w:sz w:val="22"/>
          <w:szCs w:val="22"/>
        </w:rPr>
        <w:tab/>
      </w:r>
      <w:r w:rsidR="00671424" w:rsidRPr="00BB1432">
        <w:rPr>
          <w:bCs/>
          <w:sz w:val="22"/>
          <w:szCs w:val="22"/>
        </w:rPr>
        <w:t>1.4 ANÁLISIS DEL SECTOR BANCARIO DEL ECUADOR</w:t>
      </w:r>
    </w:p>
    <w:p w:rsidR="00671424" w:rsidRPr="00BB1432" w:rsidRDefault="00671424" w:rsidP="00117EC0">
      <w:pPr>
        <w:pStyle w:val="NormalVerdana"/>
        <w:spacing w:line="480" w:lineRule="auto"/>
        <w:rPr>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006D3445" w:rsidRPr="00BB1432">
        <w:rPr>
          <w:b w:val="0"/>
          <w:bCs/>
          <w:sz w:val="22"/>
          <w:szCs w:val="22"/>
        </w:rPr>
        <w:t>D</w:t>
      </w:r>
      <w:r w:rsidRPr="00BB1432">
        <w:rPr>
          <w:b w:val="0"/>
          <w:bCs/>
          <w:sz w:val="22"/>
          <w:szCs w:val="22"/>
        </w:rPr>
        <w:t xml:space="preserve">urante la presidencia del Arq. Sixto Duran Ballén, existía credibilidad en el sistema financiero, pues se controlaba la inflación y las políticas macroeconómicas de la época parecían ser buenas, pero en el año 1995, varios factores como el conflicto con el Perú, la salida del Vicepresidente de </w:t>
      </w:r>
      <w:smartTag w:uri="urn:schemas-microsoft-com:office:smarttags" w:element="PersonName">
        <w:smartTagPr>
          <w:attr w:name="ProductID" w:val="la Republica"/>
        </w:smartTagPr>
        <w:r w:rsidRPr="00BB1432">
          <w:rPr>
            <w:b w:val="0"/>
            <w:bCs/>
            <w:sz w:val="22"/>
            <w:szCs w:val="22"/>
          </w:rPr>
          <w:t>la Republica</w:t>
        </w:r>
      </w:smartTag>
      <w:r w:rsidRPr="00BB1432">
        <w:rPr>
          <w:b w:val="0"/>
          <w:bCs/>
          <w:sz w:val="22"/>
          <w:szCs w:val="22"/>
        </w:rPr>
        <w:t xml:space="preserve"> de aquella época, y la crisis energética afectaron gravemente la economía, lo que repercutió en el sistema financiero que trajo altos índices de cartera vencidas e  iliquidez, por lo que el Banco Central estuvo obligado a dar prestamos que sirvió como fondo para los bancos; todo esto trajo una reducción en la tasa de crecimiento anual de los depósitos del sistema bancario.  </w:t>
      </w:r>
    </w:p>
    <w:p w:rsidR="00671424"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Pr="00BB1432">
        <w:rPr>
          <w:b w:val="0"/>
          <w:bCs/>
          <w:sz w:val="22"/>
          <w:szCs w:val="22"/>
        </w:rPr>
        <w:t>En el año 1996, el Banco Continental</w:t>
      </w:r>
      <w:r w:rsidR="006D3445" w:rsidRPr="00BB1432">
        <w:rPr>
          <w:b w:val="0"/>
          <w:bCs/>
          <w:sz w:val="22"/>
          <w:szCs w:val="22"/>
        </w:rPr>
        <w:t>, que hasta ese tiempo</w:t>
      </w:r>
      <w:r w:rsidRPr="00BB1432">
        <w:rPr>
          <w:b w:val="0"/>
          <w:bCs/>
          <w:sz w:val="22"/>
          <w:szCs w:val="22"/>
        </w:rPr>
        <w:t xml:space="preserve"> era uno de los bancos más importantes dentro del sistema financiero, comenzaba a tener problemas de elevados índices de cartera ven</w:t>
      </w:r>
      <w:r w:rsidR="006D3445" w:rsidRPr="00BB1432">
        <w:rPr>
          <w:b w:val="0"/>
          <w:bCs/>
          <w:sz w:val="22"/>
          <w:szCs w:val="22"/>
        </w:rPr>
        <w:t>cida e iliquidez, por lo que</w:t>
      </w:r>
      <w:r w:rsidRPr="00BB1432">
        <w:rPr>
          <w:b w:val="0"/>
          <w:bCs/>
          <w:sz w:val="22"/>
          <w:szCs w:val="22"/>
        </w:rPr>
        <w:t xml:space="preserve"> el banco </w:t>
      </w:r>
      <w:r w:rsidR="006D3445" w:rsidRPr="00BB1432">
        <w:rPr>
          <w:b w:val="0"/>
          <w:bCs/>
          <w:sz w:val="22"/>
          <w:szCs w:val="22"/>
        </w:rPr>
        <w:t xml:space="preserve">pasó </w:t>
      </w:r>
      <w:r w:rsidRPr="00BB1432">
        <w:rPr>
          <w:b w:val="0"/>
          <w:bCs/>
          <w:sz w:val="22"/>
          <w:szCs w:val="22"/>
        </w:rPr>
        <w:t xml:space="preserve">a ser administrado por el Banco Central, cubriendo dichos problemas por medio de préstamos. </w:t>
      </w:r>
    </w:p>
    <w:p w:rsidR="00B91F72" w:rsidRPr="00BB1432" w:rsidRDefault="00B91F72"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Pr="00BB1432">
        <w:rPr>
          <w:b w:val="0"/>
          <w:bCs/>
          <w:sz w:val="22"/>
          <w:szCs w:val="22"/>
        </w:rPr>
        <w:t>Para el año 1998, la banca estaba conformada por 35 bancos de consumo, comerciales y extranjeros, los mismos que estaban supervisados por la superintendencia de Bancos.</w:t>
      </w:r>
    </w:p>
    <w:p w:rsidR="0039460B" w:rsidRPr="00BB1432" w:rsidRDefault="0039460B"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Pr="00BB1432">
        <w:rPr>
          <w:b w:val="0"/>
          <w:bCs/>
          <w:sz w:val="22"/>
          <w:szCs w:val="22"/>
        </w:rPr>
        <w:t xml:space="preserve">Desafortunadamente, para ese mismo año el </w:t>
      </w:r>
      <w:r w:rsidR="00005BA2" w:rsidRPr="00BB1432">
        <w:rPr>
          <w:b w:val="0"/>
          <w:bCs/>
          <w:sz w:val="22"/>
          <w:szCs w:val="22"/>
        </w:rPr>
        <w:t>sistema bancario se vio afectado</w:t>
      </w:r>
      <w:r w:rsidRPr="00BB1432">
        <w:rPr>
          <w:b w:val="0"/>
          <w:bCs/>
          <w:sz w:val="22"/>
          <w:szCs w:val="22"/>
        </w:rPr>
        <w:t xml:space="preserve"> por el impacto del Fenómeno de El Niño en el sector productivo y la interrupción de la e</w:t>
      </w:r>
      <w:r w:rsidR="006D3445" w:rsidRPr="00BB1432">
        <w:rPr>
          <w:b w:val="0"/>
          <w:bCs/>
          <w:sz w:val="22"/>
          <w:szCs w:val="22"/>
        </w:rPr>
        <w:t>ntrada de capitales extranjeros;</w:t>
      </w:r>
      <w:r w:rsidRPr="00BB1432">
        <w:rPr>
          <w:b w:val="0"/>
          <w:bCs/>
          <w:sz w:val="22"/>
          <w:szCs w:val="22"/>
        </w:rPr>
        <w:t xml:space="preserve"> esto llevo a un aumento en los niveles de cartera vencida y las autoridades tuvieron que intervenir en muchos de los principales bancos del país, alguno de ellos recibieron créditos por parte del Banco Central mientras que otros se fusionaron para reforzar su posición competitiva en el sistema bancario.    </w:t>
      </w:r>
    </w:p>
    <w:p w:rsidR="00671424" w:rsidRPr="00BB1432" w:rsidRDefault="00671424" w:rsidP="00117EC0">
      <w:pPr>
        <w:pStyle w:val="NormalVerdana"/>
        <w:spacing w:line="480" w:lineRule="auto"/>
        <w:rPr>
          <w:b w:val="0"/>
          <w:bCs/>
          <w:sz w:val="22"/>
          <w:szCs w:val="22"/>
        </w:rPr>
      </w:pP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Pr="00BB1432">
        <w:rPr>
          <w:b w:val="0"/>
          <w:bCs/>
          <w:sz w:val="22"/>
          <w:szCs w:val="22"/>
        </w:rPr>
        <w:t>Todos estos facto</w:t>
      </w:r>
      <w:r w:rsidR="00176A40" w:rsidRPr="00BB1432">
        <w:rPr>
          <w:b w:val="0"/>
          <w:bCs/>
          <w:sz w:val="22"/>
          <w:szCs w:val="22"/>
        </w:rPr>
        <w:t>res ocurridos en ese año provocó</w:t>
      </w:r>
      <w:r w:rsidRPr="00BB1432">
        <w:rPr>
          <w:b w:val="0"/>
          <w:bCs/>
          <w:sz w:val="22"/>
          <w:szCs w:val="22"/>
        </w:rPr>
        <w:t xml:space="preserve"> el aumento de la cartera vencida en 10.4% en relación al año anterior que era de 7.3%, y que según estimaciones del Banco Central, hubiera alcanzado niveles mayores.</w:t>
      </w:r>
    </w:p>
    <w:p w:rsidR="00671424" w:rsidRPr="00BB1432" w:rsidRDefault="00671424"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Pr="00BB1432">
        <w:rPr>
          <w:b w:val="0"/>
          <w:bCs/>
          <w:sz w:val="22"/>
          <w:szCs w:val="22"/>
        </w:rPr>
        <w:t xml:space="preserve">Algunos bancos que tuvieron problemas de liquidez, y que pese a que el Banco Central aprobó los préstamos de liquidez para ayudarlos, no pudieron solucionar dichos problemas por lo que tuvieron que pasar a control de </w:t>
      </w:r>
      <w:smartTag w:uri="urn:schemas-microsoft-com:office:smarttags" w:element="PersonName">
        <w:smartTagPr>
          <w:attr w:name="ProductID" w:val="la AGD"/>
        </w:smartTagPr>
        <w:r w:rsidRPr="00BB1432">
          <w:rPr>
            <w:b w:val="0"/>
            <w:bCs/>
            <w:sz w:val="22"/>
            <w:szCs w:val="22"/>
          </w:rPr>
          <w:t>la AGD</w:t>
        </w:r>
      </w:smartTag>
      <w:r w:rsidRPr="00BB1432">
        <w:rPr>
          <w:b w:val="0"/>
          <w:bCs/>
          <w:sz w:val="22"/>
          <w:szCs w:val="22"/>
        </w:rPr>
        <w:t xml:space="preserve"> (Agencia de Garantías de Depósitos) para saneamiento o liquidación. Tal son los</w:t>
      </w:r>
      <w:r w:rsidR="00005BA2" w:rsidRPr="00BB1432">
        <w:rPr>
          <w:b w:val="0"/>
          <w:bCs/>
          <w:sz w:val="22"/>
          <w:szCs w:val="22"/>
        </w:rPr>
        <w:t xml:space="preserve"> casos de Solbanco, Banco de Pré</w:t>
      </w:r>
      <w:r w:rsidRPr="00BB1432">
        <w:rPr>
          <w:b w:val="0"/>
          <w:bCs/>
          <w:sz w:val="22"/>
          <w:szCs w:val="22"/>
        </w:rPr>
        <w:t xml:space="preserve">stamos (el cual </w:t>
      </w:r>
      <w:smartTag w:uri="urn:schemas-microsoft-com:office:smarttags" w:element="PersonName">
        <w:smartTagPr>
          <w:attr w:name="ProductID" w:val="la Junta Bancaria"/>
        </w:smartTagPr>
        <w:r w:rsidRPr="00BB1432">
          <w:rPr>
            <w:b w:val="0"/>
            <w:bCs/>
            <w:sz w:val="22"/>
            <w:szCs w:val="22"/>
          </w:rPr>
          <w:t>la Junta Bancaria</w:t>
        </w:r>
      </w:smartTag>
      <w:r w:rsidRPr="00BB1432">
        <w:rPr>
          <w:b w:val="0"/>
          <w:bCs/>
          <w:sz w:val="22"/>
          <w:szCs w:val="22"/>
        </w:rPr>
        <w:t xml:space="preserve"> orden</w:t>
      </w:r>
      <w:r w:rsidRPr="00BB1432">
        <w:rPr>
          <w:rFonts w:ascii="Arial" w:hAnsi="Arial" w:cs="Arial"/>
          <w:b w:val="0"/>
          <w:bCs/>
          <w:sz w:val="22"/>
          <w:szCs w:val="22"/>
        </w:rPr>
        <w:t>ó</w:t>
      </w:r>
      <w:r w:rsidRPr="00BB1432">
        <w:rPr>
          <w:b w:val="0"/>
          <w:bCs/>
          <w:sz w:val="22"/>
          <w:szCs w:val="22"/>
        </w:rPr>
        <w:t xml:space="preserve"> liquidarlo por no poder cumplir con sus obligaciones con el </w:t>
      </w:r>
      <w:r w:rsidR="00FD6E5F" w:rsidRPr="00BB1432">
        <w:rPr>
          <w:b w:val="0"/>
          <w:bCs/>
          <w:sz w:val="22"/>
          <w:szCs w:val="22"/>
        </w:rPr>
        <w:t>público) y Filanbanco, que entró</w:t>
      </w:r>
      <w:r w:rsidRPr="00BB1432">
        <w:rPr>
          <w:b w:val="0"/>
          <w:bCs/>
          <w:sz w:val="22"/>
          <w:szCs w:val="22"/>
        </w:rPr>
        <w:t xml:space="preserve"> en reestructuración entregándole un nuevo capital. </w:t>
      </w:r>
    </w:p>
    <w:p w:rsidR="00ED54B0" w:rsidRPr="00BB1432" w:rsidRDefault="00ED54B0" w:rsidP="00117EC0">
      <w:pPr>
        <w:pStyle w:val="NormalVerdana"/>
        <w:spacing w:line="480" w:lineRule="auto"/>
        <w:rPr>
          <w:b w:val="0"/>
          <w:bCs/>
          <w:sz w:val="22"/>
          <w:szCs w:val="22"/>
        </w:rPr>
      </w:pPr>
    </w:p>
    <w:p w:rsidR="00671424" w:rsidRPr="00BB1432" w:rsidRDefault="003509AD" w:rsidP="00117EC0">
      <w:pPr>
        <w:pStyle w:val="NormalVerdana"/>
        <w:spacing w:line="480" w:lineRule="auto"/>
        <w:rPr>
          <w:b w:val="0"/>
          <w:bCs/>
          <w:sz w:val="22"/>
          <w:szCs w:val="22"/>
        </w:rPr>
      </w:pPr>
      <w:r w:rsidRPr="00BB1432">
        <w:rPr>
          <w:b w:val="0"/>
          <w:bCs/>
          <w:sz w:val="22"/>
          <w:szCs w:val="22"/>
        </w:rPr>
        <w:tab/>
      </w:r>
      <w:r w:rsidR="00176A40" w:rsidRPr="00BB1432">
        <w:rPr>
          <w:b w:val="0"/>
          <w:bCs/>
          <w:sz w:val="22"/>
          <w:szCs w:val="22"/>
        </w:rPr>
        <w:t xml:space="preserve">     </w:t>
      </w:r>
      <w:r w:rsidR="00671424" w:rsidRPr="00BB1432">
        <w:rPr>
          <w:b w:val="0"/>
          <w:bCs/>
          <w:sz w:val="22"/>
          <w:szCs w:val="22"/>
        </w:rPr>
        <w:t>Otro banco que entró en proceso de reestructuración fu</w:t>
      </w:r>
      <w:r w:rsidR="00671424" w:rsidRPr="00BB1432">
        <w:rPr>
          <w:rFonts w:ascii="Arial" w:eastAsia="Times New Roman" w:hAnsi="Arial" w:cs="Arial"/>
          <w:b w:val="0"/>
          <w:bCs/>
          <w:sz w:val="22"/>
          <w:szCs w:val="22"/>
          <w:lang w:eastAsia="ja-JP"/>
        </w:rPr>
        <w:t>e</w:t>
      </w:r>
      <w:r w:rsidR="00671424" w:rsidRPr="00BB1432">
        <w:rPr>
          <w:b w:val="0"/>
          <w:bCs/>
          <w:sz w:val="22"/>
          <w:szCs w:val="22"/>
        </w:rPr>
        <w:t xml:space="preserve"> el Banco de Tungurahua, mientras que FINANCORP, FINAGRO y Azuay,  entraron a proceso de saneamiento.</w:t>
      </w:r>
    </w:p>
    <w:p w:rsidR="00671424" w:rsidRPr="00BB1432" w:rsidRDefault="00671424" w:rsidP="00117EC0">
      <w:pPr>
        <w:pStyle w:val="NormalVerdana"/>
        <w:spacing w:line="480" w:lineRule="auto"/>
        <w:rPr>
          <w:b w:val="0"/>
          <w:bCs/>
          <w:sz w:val="22"/>
          <w:szCs w:val="22"/>
        </w:rPr>
      </w:pPr>
    </w:p>
    <w:p w:rsidR="00671424" w:rsidRPr="00BB1432" w:rsidRDefault="00671424" w:rsidP="00117EC0">
      <w:pPr>
        <w:pStyle w:val="NormalVerdana"/>
        <w:spacing w:line="480" w:lineRule="auto"/>
        <w:rPr>
          <w:rFonts w:cs="Arial"/>
          <w:b w:val="0"/>
          <w:sz w:val="22"/>
          <w:szCs w:val="22"/>
        </w:rPr>
      </w:pPr>
      <w:r w:rsidRPr="00BB1432">
        <w:rPr>
          <w:b w:val="0"/>
          <w:bCs/>
          <w:sz w:val="22"/>
          <w:szCs w:val="22"/>
        </w:rPr>
        <w:tab/>
      </w:r>
      <w:r w:rsidR="00176A40" w:rsidRPr="00BB1432">
        <w:rPr>
          <w:rFonts w:cs="Arial"/>
          <w:b w:val="0"/>
          <w:sz w:val="22"/>
          <w:szCs w:val="22"/>
        </w:rPr>
        <w:t xml:space="preserve">     </w:t>
      </w:r>
      <w:r w:rsidRPr="00BB1432">
        <w:rPr>
          <w:rFonts w:cs="Arial"/>
          <w:b w:val="0"/>
          <w:sz w:val="22"/>
          <w:szCs w:val="22"/>
        </w:rPr>
        <w:t xml:space="preserve">Para 1999, el </w:t>
      </w:r>
      <w:r w:rsidR="00176A40" w:rsidRPr="00BB1432">
        <w:rPr>
          <w:rFonts w:cs="Arial"/>
          <w:b w:val="0"/>
          <w:sz w:val="22"/>
          <w:szCs w:val="22"/>
        </w:rPr>
        <w:t xml:space="preserve">sistema de bancos lo integraban </w:t>
      </w:r>
      <w:r w:rsidRPr="00BB1432">
        <w:rPr>
          <w:rFonts w:cs="Arial"/>
          <w:b w:val="0"/>
          <w:sz w:val="22"/>
          <w:szCs w:val="22"/>
        </w:rPr>
        <w:t xml:space="preserve">28 instituciones. Las instituciones que habían salido del mercado por saneamiento u observación fueron: Bancomex, Azuay, de Crédito, del Occidente, FINAGRO, Financorp, Popular, Progreso, Solbanco y Unión. Entre las instituciones que se encontraban operando constaba Filanbanco (el cual se encontraba en saneamiento abierto) administrado por </w:t>
      </w:r>
      <w:smartTag w:uri="urn:schemas-microsoft-com:office:smarttags" w:element="PersonName">
        <w:smartTagPr>
          <w:attr w:name="ProductID" w:val="la AGD"/>
        </w:smartTagPr>
        <w:r w:rsidRPr="00BB1432">
          <w:rPr>
            <w:rFonts w:cs="Arial"/>
            <w:b w:val="0"/>
            <w:sz w:val="22"/>
            <w:szCs w:val="22"/>
          </w:rPr>
          <w:t>la AGD</w:t>
        </w:r>
      </w:smartTag>
      <w:r w:rsidRPr="00BB1432">
        <w:rPr>
          <w:rFonts w:cs="Arial"/>
          <w:b w:val="0"/>
          <w:sz w:val="22"/>
          <w:szCs w:val="22"/>
        </w:rPr>
        <w:t xml:space="preserve"> desde finales de 1998, y el Pacífico, el cual entró en observación.</w:t>
      </w:r>
    </w:p>
    <w:p w:rsidR="00671424" w:rsidRPr="00BB1432" w:rsidRDefault="00671424" w:rsidP="00117EC0">
      <w:pPr>
        <w:pStyle w:val="NormalVerdana"/>
        <w:spacing w:line="480" w:lineRule="auto"/>
        <w:rPr>
          <w:rFonts w:cs="Arial"/>
          <w:b w:val="0"/>
          <w:sz w:val="22"/>
          <w:szCs w:val="22"/>
        </w:rPr>
      </w:pPr>
    </w:p>
    <w:p w:rsidR="00671424" w:rsidRPr="00BB1432" w:rsidRDefault="00671424" w:rsidP="00117EC0">
      <w:pPr>
        <w:pStyle w:val="NormalVerdana"/>
        <w:spacing w:line="480" w:lineRule="auto"/>
        <w:rPr>
          <w:rFonts w:cs="Arial"/>
          <w:b w:val="0"/>
          <w:sz w:val="22"/>
          <w:szCs w:val="22"/>
        </w:rPr>
      </w:pPr>
      <w:r w:rsidRPr="00BB1432">
        <w:rPr>
          <w:rFonts w:cs="Arial"/>
          <w:b w:val="0"/>
          <w:sz w:val="22"/>
          <w:szCs w:val="22"/>
        </w:rPr>
        <w:tab/>
      </w:r>
      <w:r w:rsidR="00176A40" w:rsidRPr="00BB1432">
        <w:rPr>
          <w:rFonts w:cs="Arial"/>
          <w:b w:val="0"/>
          <w:sz w:val="22"/>
          <w:szCs w:val="22"/>
        </w:rPr>
        <w:t xml:space="preserve">     </w:t>
      </w:r>
      <w:r w:rsidRPr="00BB1432">
        <w:rPr>
          <w:rFonts w:cs="Arial"/>
          <w:b w:val="0"/>
          <w:sz w:val="22"/>
          <w:szCs w:val="22"/>
        </w:rPr>
        <w:t xml:space="preserve">La banca operativa por efecto de la salida de 10 bancos a saneamiento, redujo sus activos a 4.139 millones, 54,1% por debajo de los de 1998. Cuyo financiamiento provino de 87,8% de recursos de terceros ($ 3.634 millones), y el 12,2% de recursos propios ($ 505 millones). El activo promedio por banco pasó de 237 millones a 148 millones. Sin embargo, el promedio de activos de los 10 bancos que pasaron a ser administrados por </w:t>
      </w:r>
      <w:smartTag w:uri="urn:schemas-microsoft-com:office:smarttags" w:element="PersonName">
        <w:smartTagPr>
          <w:attr w:name="ProductID" w:val="la AGD"/>
        </w:smartTagPr>
        <w:r w:rsidRPr="00BB1432">
          <w:rPr>
            <w:rFonts w:cs="Arial"/>
            <w:b w:val="0"/>
            <w:sz w:val="22"/>
            <w:szCs w:val="22"/>
          </w:rPr>
          <w:t>la AGD</w:t>
        </w:r>
      </w:smartTag>
      <w:r w:rsidRPr="00BB1432">
        <w:rPr>
          <w:rFonts w:cs="Arial"/>
          <w:b w:val="0"/>
          <w:sz w:val="22"/>
          <w:szCs w:val="22"/>
        </w:rPr>
        <w:t xml:space="preserve"> fue de 488,5 millones de dólares, 3,3 veces más que el promedio de las instituciones operativas en 1999. </w:t>
      </w:r>
    </w:p>
    <w:p w:rsidR="006D3445" w:rsidRPr="00BB1432" w:rsidRDefault="006D3445" w:rsidP="00117EC0">
      <w:pPr>
        <w:pStyle w:val="NormalVerdana"/>
        <w:spacing w:line="480" w:lineRule="auto"/>
        <w:rPr>
          <w:rFonts w:cs="Arial"/>
          <w:b w:val="0"/>
          <w:sz w:val="22"/>
          <w:szCs w:val="22"/>
        </w:rPr>
      </w:pPr>
    </w:p>
    <w:p w:rsidR="00671424" w:rsidRPr="00BB1432" w:rsidRDefault="00671424" w:rsidP="00117EC0">
      <w:pPr>
        <w:pStyle w:val="NormalVerdana"/>
        <w:spacing w:line="480" w:lineRule="auto"/>
        <w:rPr>
          <w:rFonts w:cs="Arial"/>
          <w:b w:val="0"/>
          <w:sz w:val="22"/>
          <w:szCs w:val="22"/>
        </w:rPr>
      </w:pPr>
      <w:r w:rsidRPr="00BB1432">
        <w:rPr>
          <w:rFonts w:cs="Arial"/>
          <w:b w:val="0"/>
          <w:sz w:val="22"/>
          <w:szCs w:val="22"/>
        </w:rPr>
        <w:tab/>
      </w:r>
      <w:r w:rsidR="00176A40" w:rsidRPr="00BB1432">
        <w:rPr>
          <w:rFonts w:cs="Arial"/>
          <w:b w:val="0"/>
          <w:sz w:val="22"/>
          <w:szCs w:val="22"/>
        </w:rPr>
        <w:t xml:space="preserve">     </w:t>
      </w:r>
      <w:r w:rsidRPr="00BB1432">
        <w:rPr>
          <w:rFonts w:cs="Arial"/>
          <w:b w:val="0"/>
          <w:sz w:val="22"/>
          <w:szCs w:val="22"/>
        </w:rPr>
        <w:t xml:space="preserve">Estas cifras mostraban la gravedad de la crisis, pues la banca en poder del Estado llegó a representar más del 50% del total de activos de la banca, sin considerar al Filanbanco, que se encontraba en saneamiento abierto.  </w:t>
      </w:r>
    </w:p>
    <w:p w:rsidR="00413232" w:rsidRPr="00BB1432" w:rsidRDefault="00413232" w:rsidP="00117EC0">
      <w:pPr>
        <w:pStyle w:val="NormalVerdana"/>
        <w:spacing w:line="480" w:lineRule="auto"/>
        <w:rPr>
          <w:rFonts w:cs="Arial"/>
          <w:b w:val="0"/>
          <w:sz w:val="22"/>
          <w:szCs w:val="22"/>
        </w:rPr>
      </w:pPr>
    </w:p>
    <w:p w:rsidR="00671424" w:rsidRPr="00BB1432" w:rsidRDefault="00176A40" w:rsidP="00117EC0">
      <w:pPr>
        <w:pStyle w:val="NormalVerdana"/>
        <w:spacing w:line="480" w:lineRule="auto"/>
        <w:rPr>
          <w:rFonts w:cs="Arial"/>
          <w:b w:val="0"/>
          <w:sz w:val="22"/>
          <w:szCs w:val="22"/>
        </w:rPr>
      </w:pPr>
      <w:r w:rsidRPr="00BB1432">
        <w:rPr>
          <w:rFonts w:cs="Arial"/>
          <w:b w:val="0"/>
          <w:sz w:val="22"/>
          <w:szCs w:val="22"/>
        </w:rPr>
        <w:t xml:space="preserve">     </w:t>
      </w:r>
      <w:r w:rsidR="00671424" w:rsidRPr="00BB1432">
        <w:rPr>
          <w:rFonts w:cs="Arial"/>
          <w:b w:val="0"/>
          <w:sz w:val="22"/>
          <w:szCs w:val="22"/>
        </w:rPr>
        <w:tab/>
      </w:r>
      <w:r w:rsidRPr="00BB1432">
        <w:rPr>
          <w:rFonts w:cs="Arial"/>
          <w:b w:val="0"/>
          <w:sz w:val="22"/>
          <w:szCs w:val="22"/>
        </w:rPr>
        <w:t xml:space="preserve">     </w:t>
      </w:r>
      <w:r w:rsidR="00671424" w:rsidRPr="00BB1432">
        <w:rPr>
          <w:rFonts w:cs="Arial"/>
          <w:b w:val="0"/>
          <w:sz w:val="22"/>
          <w:szCs w:val="22"/>
        </w:rPr>
        <w:t>A partir del año 2002, el sector bancario empezó a estabilizarse, más que todo por los efectos de corto plazo que trajo  consigo la dolarización en la economía formal, el repunte de los depósitos, más a la vista que a largo plazo, el paulatino decrecimiento de las tasas de interés activa, y las mayores facilidades para otorgar créditos al sector productivo y microempresarial del país.</w:t>
      </w:r>
    </w:p>
    <w:p w:rsidR="00671424" w:rsidRPr="00BB1432" w:rsidRDefault="00671424" w:rsidP="00117EC0">
      <w:pPr>
        <w:pStyle w:val="NormalVerdana"/>
        <w:spacing w:line="480" w:lineRule="auto"/>
        <w:rPr>
          <w:rFonts w:cs="Arial"/>
          <w:b w:val="0"/>
          <w:sz w:val="22"/>
          <w:szCs w:val="22"/>
        </w:rPr>
      </w:pPr>
      <w:r w:rsidRPr="00BB1432">
        <w:rPr>
          <w:rFonts w:cs="Arial"/>
          <w:b w:val="0"/>
          <w:sz w:val="22"/>
          <w:szCs w:val="22"/>
        </w:rPr>
        <w:t xml:space="preserve"> </w:t>
      </w:r>
    </w:p>
    <w:p w:rsidR="00671424" w:rsidRPr="00BB1432" w:rsidRDefault="00671424" w:rsidP="00117EC0">
      <w:pPr>
        <w:pStyle w:val="NormalVerdana"/>
        <w:spacing w:line="480" w:lineRule="auto"/>
        <w:rPr>
          <w:rFonts w:cs="Arial"/>
          <w:b w:val="0"/>
          <w:sz w:val="22"/>
          <w:szCs w:val="22"/>
        </w:rPr>
      </w:pPr>
      <w:r w:rsidRPr="00BB1432">
        <w:rPr>
          <w:rFonts w:cs="Arial"/>
          <w:b w:val="0"/>
          <w:sz w:val="22"/>
          <w:szCs w:val="22"/>
        </w:rPr>
        <w:tab/>
      </w:r>
      <w:r w:rsidR="00176A40" w:rsidRPr="00BB1432">
        <w:rPr>
          <w:rFonts w:cs="Arial"/>
          <w:b w:val="0"/>
          <w:sz w:val="22"/>
          <w:szCs w:val="22"/>
        </w:rPr>
        <w:t xml:space="preserve">     </w:t>
      </w:r>
      <w:r w:rsidRPr="00BB1432">
        <w:rPr>
          <w:rFonts w:cs="Arial"/>
          <w:b w:val="0"/>
          <w:sz w:val="22"/>
          <w:szCs w:val="22"/>
        </w:rPr>
        <w:t xml:space="preserve">Finalmente, el número de entidades del sistema financiero privado a septiembre del 2004 fue de 75 (24 bancos, 12 sociedades financieras, 33 cooperativas y 6 mutualistas), en tanto que a septiembre del 2005 llegó a 79 (incluidas las cooperativas Calceta, Biblián y San José, entidades que han sido autorizadas por parte de </w:t>
      </w:r>
      <w:smartTag w:uri="urn:schemas-microsoft-com:office:smarttags" w:element="PersonName">
        <w:smartTagPr>
          <w:attr w:name="ProductID" w:val="la Superintendencia"/>
        </w:smartTagPr>
        <w:r w:rsidRPr="00BB1432">
          <w:rPr>
            <w:rFonts w:cs="Arial"/>
            <w:b w:val="0"/>
            <w:sz w:val="22"/>
            <w:szCs w:val="22"/>
          </w:rPr>
          <w:t>la Superintendencia</w:t>
        </w:r>
      </w:smartTag>
      <w:r w:rsidRPr="00BB1432">
        <w:rPr>
          <w:rFonts w:cs="Arial"/>
          <w:b w:val="0"/>
          <w:sz w:val="22"/>
          <w:szCs w:val="22"/>
        </w:rPr>
        <w:t xml:space="preserve"> de Bancos y Seguros), con la siguiente distribución: 25 bancos (con 159 sucursales y 639 agencias), 11 sociedades financieras (con 15 sucursales y 12 agencias), 38 cooperativas (37 de primer piso y 1 de segundo piso, con un total de 28 sucursales y 138 agencias) y 5 mutualistas (con 1 sucursal y 55 agencias).</w:t>
      </w:r>
    </w:p>
    <w:p w:rsidR="00671424" w:rsidRDefault="00671424" w:rsidP="00117EC0">
      <w:pPr>
        <w:pStyle w:val="NormalVerdana"/>
        <w:spacing w:line="480" w:lineRule="auto"/>
        <w:rPr>
          <w:rFonts w:cs="Arial"/>
          <w:sz w:val="22"/>
          <w:szCs w:val="22"/>
        </w:rPr>
      </w:pPr>
    </w:p>
    <w:p w:rsidR="00B91F72" w:rsidRPr="00BB1432" w:rsidRDefault="00B91F72" w:rsidP="00117EC0">
      <w:pPr>
        <w:pStyle w:val="NormalVerdana"/>
        <w:spacing w:line="480" w:lineRule="auto"/>
        <w:rPr>
          <w:rFonts w:cs="Arial"/>
          <w:sz w:val="22"/>
          <w:szCs w:val="22"/>
        </w:rPr>
      </w:pPr>
    </w:p>
    <w:p w:rsidR="00671424" w:rsidRPr="00BB1432" w:rsidRDefault="00671424" w:rsidP="00117EC0">
      <w:pPr>
        <w:pStyle w:val="NormalVerdana"/>
        <w:spacing w:line="480" w:lineRule="auto"/>
        <w:rPr>
          <w:rFonts w:cs="Arial"/>
          <w:sz w:val="22"/>
          <w:szCs w:val="22"/>
        </w:rPr>
      </w:pPr>
      <w:r w:rsidRPr="00BB1432">
        <w:rPr>
          <w:rFonts w:cs="Arial"/>
          <w:sz w:val="22"/>
          <w:szCs w:val="22"/>
        </w:rPr>
        <w:tab/>
        <w:t>1.4.1  Evolución de las captaciones del Público y Cartera Bruta</w:t>
      </w:r>
    </w:p>
    <w:p w:rsidR="00671424" w:rsidRPr="00BB1432" w:rsidRDefault="00671424" w:rsidP="00117EC0">
      <w:pPr>
        <w:pStyle w:val="NormalVerdana"/>
        <w:spacing w:line="480" w:lineRule="auto"/>
        <w:rPr>
          <w:rFonts w:cs="Arial"/>
          <w:b w:val="0"/>
          <w:sz w:val="22"/>
          <w:szCs w:val="22"/>
        </w:rPr>
      </w:pPr>
      <w:r w:rsidRPr="00BB1432">
        <w:rPr>
          <w:rFonts w:cs="Arial"/>
          <w:sz w:val="22"/>
          <w:szCs w:val="22"/>
        </w:rPr>
        <w:tab/>
      </w:r>
      <w:r w:rsidR="00176A40" w:rsidRPr="00BB1432">
        <w:rPr>
          <w:rFonts w:cs="Arial"/>
          <w:sz w:val="22"/>
          <w:szCs w:val="22"/>
        </w:rPr>
        <w:t xml:space="preserve">     </w:t>
      </w:r>
      <w:r w:rsidRPr="00BB1432">
        <w:rPr>
          <w:rFonts w:cs="Arial"/>
          <w:b w:val="0"/>
          <w:sz w:val="22"/>
          <w:szCs w:val="22"/>
        </w:rPr>
        <w:t>Actualmente la evo</w:t>
      </w:r>
      <w:r w:rsidR="002361BA">
        <w:rPr>
          <w:rFonts w:cs="Arial"/>
          <w:b w:val="0"/>
          <w:sz w:val="22"/>
          <w:szCs w:val="22"/>
        </w:rPr>
        <w:t>lución de las captaciones del pú</w:t>
      </w:r>
      <w:r w:rsidRPr="00BB1432">
        <w:rPr>
          <w:rFonts w:cs="Arial"/>
          <w:b w:val="0"/>
          <w:sz w:val="22"/>
          <w:szCs w:val="22"/>
        </w:rPr>
        <w:t>blico dentro</w:t>
      </w:r>
      <w:r w:rsidR="006D3445" w:rsidRPr="00BB1432">
        <w:rPr>
          <w:rFonts w:cs="Arial"/>
          <w:b w:val="0"/>
          <w:sz w:val="22"/>
          <w:szCs w:val="22"/>
        </w:rPr>
        <w:t xml:space="preserve"> del sistema financiero privado</w:t>
      </w:r>
      <w:r w:rsidRPr="00BB1432">
        <w:rPr>
          <w:rFonts w:cs="Arial"/>
          <w:b w:val="0"/>
          <w:sz w:val="22"/>
          <w:szCs w:val="22"/>
        </w:rPr>
        <w:t xml:space="preserve"> ha tenido un elevado aumento desde el año 2002 (año que la banca comenzó a estabilizarse), para el caso de el Grupo de Bancos, las captaciones hasta abril del 2007, fue de </w:t>
      </w:r>
      <w:smartTag w:uri="urn:schemas-microsoft-com:office:smarttags" w:element="metricconverter">
        <w:smartTagPr>
          <w:attr w:name="ProductID" w:val="9.244.321 miles"/>
        </w:smartTagPr>
        <w:r w:rsidRPr="00BB1432">
          <w:rPr>
            <w:rFonts w:cs="Arial"/>
            <w:b w:val="0"/>
            <w:sz w:val="22"/>
            <w:szCs w:val="22"/>
          </w:rPr>
          <w:t>9.244.321 miles</w:t>
        </w:r>
      </w:smartTag>
      <w:r w:rsidRPr="00BB1432">
        <w:rPr>
          <w:rFonts w:cs="Arial"/>
          <w:b w:val="0"/>
          <w:sz w:val="22"/>
          <w:szCs w:val="22"/>
        </w:rPr>
        <w:t xml:space="preserve"> de dólares, producto de que sus principales actividades estuvieron enfocadas al consumo y al sector comercial, y en menor medida a la vivienda y al </w:t>
      </w:r>
      <w:r w:rsidR="004046B8" w:rsidRPr="00BB1432">
        <w:rPr>
          <w:rFonts w:cs="Arial"/>
          <w:b w:val="0"/>
          <w:sz w:val="22"/>
          <w:szCs w:val="22"/>
        </w:rPr>
        <w:t>micro crédito</w:t>
      </w:r>
      <w:r w:rsidRPr="00BB1432">
        <w:rPr>
          <w:rFonts w:cs="Arial"/>
          <w:b w:val="0"/>
          <w:sz w:val="22"/>
          <w:szCs w:val="22"/>
        </w:rPr>
        <w:t xml:space="preserve">.  </w:t>
      </w:r>
    </w:p>
    <w:p w:rsidR="003509AD" w:rsidRDefault="003509AD" w:rsidP="00117EC0">
      <w:pPr>
        <w:pStyle w:val="NormalVerdana"/>
        <w:spacing w:line="480" w:lineRule="auto"/>
        <w:jc w:val="center"/>
        <w:rPr>
          <w:rFonts w:cs="Arial"/>
          <w:sz w:val="22"/>
          <w:szCs w:val="22"/>
        </w:rPr>
      </w:pPr>
    </w:p>
    <w:p w:rsidR="006A3867" w:rsidRDefault="006A3867" w:rsidP="00117EC0">
      <w:pPr>
        <w:pStyle w:val="NormalVerdana"/>
        <w:spacing w:line="480" w:lineRule="auto"/>
        <w:jc w:val="center"/>
        <w:rPr>
          <w:rFonts w:cs="Arial"/>
          <w:sz w:val="22"/>
          <w:szCs w:val="22"/>
        </w:rPr>
      </w:pPr>
    </w:p>
    <w:p w:rsidR="00671424" w:rsidRPr="00BB1432" w:rsidRDefault="00671424" w:rsidP="00117EC0">
      <w:pPr>
        <w:pStyle w:val="NormalVerdana"/>
        <w:spacing w:line="480" w:lineRule="auto"/>
        <w:jc w:val="center"/>
        <w:rPr>
          <w:rFonts w:cs="Arial"/>
          <w:sz w:val="22"/>
          <w:szCs w:val="22"/>
        </w:rPr>
      </w:pPr>
      <w:r w:rsidRPr="00BB1432">
        <w:rPr>
          <w:rFonts w:cs="Arial"/>
          <w:sz w:val="22"/>
          <w:szCs w:val="22"/>
        </w:rPr>
        <w:t>Gráfico 1.1</w:t>
      </w:r>
    </w:p>
    <w:p w:rsidR="00671424" w:rsidRPr="00BB1432" w:rsidRDefault="00671424" w:rsidP="00117EC0">
      <w:pPr>
        <w:pStyle w:val="NormalVerdana"/>
        <w:spacing w:line="480" w:lineRule="auto"/>
        <w:jc w:val="center"/>
        <w:rPr>
          <w:rFonts w:cs="Arial"/>
          <w:sz w:val="22"/>
          <w:szCs w:val="22"/>
        </w:rPr>
      </w:pPr>
      <w:r w:rsidRPr="00BB1432">
        <w:rPr>
          <w:rFonts w:cs="Arial"/>
          <w:sz w:val="22"/>
          <w:szCs w:val="22"/>
        </w:rPr>
        <w:t>Evo</w:t>
      </w:r>
      <w:r w:rsidR="00A86D73">
        <w:rPr>
          <w:rFonts w:cs="Arial"/>
          <w:sz w:val="22"/>
          <w:szCs w:val="22"/>
        </w:rPr>
        <w:t>lución de las captaciones del Pú</w:t>
      </w:r>
      <w:r w:rsidRPr="00BB1432">
        <w:rPr>
          <w:rFonts w:cs="Arial"/>
          <w:sz w:val="22"/>
          <w:szCs w:val="22"/>
        </w:rPr>
        <w:t>blico</w:t>
      </w:r>
    </w:p>
    <w:p w:rsidR="00671424" w:rsidRPr="00BB1432" w:rsidRDefault="00006ACE" w:rsidP="00117EC0">
      <w:pPr>
        <w:pStyle w:val="NormalVerdana"/>
        <w:spacing w:line="480" w:lineRule="auto"/>
        <w:jc w:val="center"/>
        <w:rPr>
          <w:rFonts w:cs="Arial"/>
          <w:sz w:val="22"/>
          <w:szCs w:val="22"/>
        </w:rPr>
      </w:pPr>
      <w:r>
        <w:rPr>
          <w:noProof/>
          <w:sz w:val="22"/>
          <w:szCs w:val="22"/>
        </w:rPr>
        <w:drawing>
          <wp:inline distT="0" distB="0" distL="0" distR="0">
            <wp:extent cx="5133975" cy="1885950"/>
            <wp:effectExtent l="19050" t="19050" r="28575"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133975" cy="1885950"/>
                    </a:xfrm>
                    <a:prstGeom prst="rect">
                      <a:avLst/>
                    </a:prstGeom>
                    <a:noFill/>
                    <a:ln w="6350" cmpd="sng">
                      <a:solidFill>
                        <a:srgbClr val="000000"/>
                      </a:solidFill>
                      <a:miter lim="800000"/>
                      <a:headEnd/>
                      <a:tailEnd/>
                    </a:ln>
                    <a:effectLst/>
                  </pic:spPr>
                </pic:pic>
              </a:graphicData>
            </a:graphic>
          </wp:inline>
        </w:drawing>
      </w:r>
    </w:p>
    <w:p w:rsidR="00671424" w:rsidRPr="006A3867" w:rsidRDefault="00671424" w:rsidP="006A3867">
      <w:pPr>
        <w:pStyle w:val="NormalVerdana"/>
        <w:spacing w:line="480" w:lineRule="auto"/>
        <w:jc w:val="left"/>
        <w:rPr>
          <w:rFonts w:cs="Arial"/>
          <w:b w:val="0"/>
          <w:i/>
          <w:sz w:val="18"/>
          <w:szCs w:val="18"/>
        </w:rPr>
      </w:pPr>
      <w:r w:rsidRPr="006A3867">
        <w:rPr>
          <w:rFonts w:cs="Arial"/>
          <w:i/>
          <w:sz w:val="18"/>
          <w:szCs w:val="18"/>
        </w:rPr>
        <w:t>Fuente</w:t>
      </w:r>
      <w:r w:rsidR="00176A40" w:rsidRPr="006A3867">
        <w:rPr>
          <w:rFonts w:cs="Arial"/>
          <w:i/>
          <w:sz w:val="18"/>
          <w:szCs w:val="18"/>
        </w:rPr>
        <w:t xml:space="preserve"> y elaboración por</w:t>
      </w:r>
      <w:r w:rsidRPr="006A3867">
        <w:rPr>
          <w:rFonts w:cs="Arial"/>
          <w:i/>
          <w:sz w:val="18"/>
          <w:szCs w:val="18"/>
        </w:rPr>
        <w:t>:</w:t>
      </w:r>
      <w:r w:rsidRPr="006A3867">
        <w:rPr>
          <w:rFonts w:cs="Arial"/>
          <w:b w:val="0"/>
          <w:i/>
          <w:sz w:val="18"/>
          <w:szCs w:val="18"/>
        </w:rPr>
        <w:t xml:space="preserve"> Superintendencia de Bancos</w:t>
      </w:r>
    </w:p>
    <w:p w:rsidR="00671424" w:rsidRPr="00BB1432" w:rsidRDefault="00671424" w:rsidP="00117EC0">
      <w:pPr>
        <w:pStyle w:val="NormalVerdana"/>
        <w:spacing w:line="480" w:lineRule="auto"/>
        <w:rPr>
          <w:rFonts w:cs="Arial"/>
          <w:b w:val="0"/>
          <w:sz w:val="22"/>
          <w:szCs w:val="22"/>
        </w:rPr>
      </w:pPr>
      <w:r w:rsidRPr="00BB1432">
        <w:rPr>
          <w:rFonts w:cs="Arial"/>
          <w:sz w:val="22"/>
          <w:szCs w:val="22"/>
        </w:rPr>
        <w:tab/>
      </w:r>
      <w:r w:rsidR="00176A40" w:rsidRPr="00BB1432">
        <w:rPr>
          <w:rFonts w:cs="Arial"/>
          <w:b w:val="0"/>
          <w:sz w:val="22"/>
          <w:szCs w:val="22"/>
        </w:rPr>
        <w:t xml:space="preserve">     E</w:t>
      </w:r>
      <w:r w:rsidRPr="00BB1432">
        <w:rPr>
          <w:rFonts w:cs="Arial"/>
          <w:b w:val="0"/>
          <w:sz w:val="22"/>
          <w:szCs w:val="22"/>
        </w:rPr>
        <w:t xml:space="preserve">n cuanto a la evolución de la cartera bruta, fue de </w:t>
      </w:r>
      <w:smartTag w:uri="urn:schemas-microsoft-com:office:smarttags" w:element="metricconverter">
        <w:smartTagPr>
          <w:attr w:name="ProductID" w:val="7.085.444 miles"/>
        </w:smartTagPr>
        <w:r w:rsidRPr="00BB1432">
          <w:rPr>
            <w:rFonts w:cs="Arial"/>
            <w:b w:val="0"/>
            <w:sz w:val="22"/>
            <w:szCs w:val="22"/>
          </w:rPr>
          <w:t>7.085.444 miles</w:t>
        </w:r>
      </w:smartTag>
      <w:r w:rsidRPr="00BB1432">
        <w:rPr>
          <w:rFonts w:cs="Arial"/>
          <w:b w:val="0"/>
          <w:sz w:val="22"/>
          <w:szCs w:val="22"/>
        </w:rPr>
        <w:t xml:space="preserve"> de dólares, cifra que según el grafico 1.</w:t>
      </w:r>
      <w:r w:rsidR="00176A40" w:rsidRPr="00BB1432">
        <w:rPr>
          <w:rFonts w:cs="Arial"/>
          <w:b w:val="0"/>
          <w:sz w:val="22"/>
          <w:szCs w:val="22"/>
        </w:rPr>
        <w:t>2</w:t>
      </w:r>
      <w:r w:rsidRPr="00BB1432">
        <w:rPr>
          <w:rFonts w:cs="Arial"/>
          <w:b w:val="0"/>
          <w:sz w:val="22"/>
          <w:szCs w:val="22"/>
        </w:rPr>
        <w:t>, se ha mantenido desde inicios del presente año. Esta evolución se ha fundamentado principalmente en el crédito comercial y de consumos.</w:t>
      </w:r>
    </w:p>
    <w:p w:rsidR="00671424" w:rsidRPr="00BB1432" w:rsidRDefault="00671424" w:rsidP="00117EC0">
      <w:pPr>
        <w:pStyle w:val="NormalVerdana"/>
        <w:spacing w:line="480" w:lineRule="auto"/>
        <w:jc w:val="center"/>
        <w:rPr>
          <w:rFonts w:cs="Arial"/>
          <w:sz w:val="22"/>
          <w:szCs w:val="22"/>
        </w:rPr>
      </w:pPr>
      <w:r w:rsidRPr="00BB1432">
        <w:rPr>
          <w:rFonts w:cs="Arial"/>
          <w:sz w:val="22"/>
          <w:szCs w:val="22"/>
        </w:rPr>
        <w:t>Gráfico 1.2</w:t>
      </w:r>
    </w:p>
    <w:p w:rsidR="00671424" w:rsidRPr="00BB1432" w:rsidRDefault="00671424" w:rsidP="00117EC0">
      <w:pPr>
        <w:pStyle w:val="NormalVerdana"/>
        <w:spacing w:line="480" w:lineRule="auto"/>
        <w:jc w:val="center"/>
        <w:rPr>
          <w:rFonts w:cs="Arial"/>
          <w:sz w:val="22"/>
          <w:szCs w:val="22"/>
        </w:rPr>
      </w:pPr>
      <w:r w:rsidRPr="00BB1432">
        <w:rPr>
          <w:rFonts w:cs="Arial"/>
          <w:sz w:val="22"/>
          <w:szCs w:val="22"/>
        </w:rPr>
        <w:t>Evolución de la cartera bruta</w:t>
      </w:r>
    </w:p>
    <w:p w:rsidR="00671424" w:rsidRPr="00BB1432" w:rsidRDefault="00006ACE" w:rsidP="00117EC0">
      <w:pPr>
        <w:pStyle w:val="NormalVerdana"/>
        <w:spacing w:line="480" w:lineRule="auto"/>
        <w:jc w:val="center"/>
        <w:rPr>
          <w:rFonts w:cs="Arial"/>
          <w:sz w:val="22"/>
          <w:szCs w:val="22"/>
        </w:rPr>
      </w:pPr>
      <w:r>
        <w:rPr>
          <w:noProof/>
          <w:sz w:val="22"/>
          <w:szCs w:val="22"/>
        </w:rPr>
        <w:drawing>
          <wp:inline distT="0" distB="0" distL="0" distR="0">
            <wp:extent cx="4895850" cy="2047875"/>
            <wp:effectExtent l="19050" t="19050" r="19050" b="285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895850" cy="2047875"/>
                    </a:xfrm>
                    <a:prstGeom prst="rect">
                      <a:avLst/>
                    </a:prstGeom>
                    <a:noFill/>
                    <a:ln w="6350" cmpd="sng">
                      <a:solidFill>
                        <a:srgbClr val="000000"/>
                      </a:solidFill>
                      <a:miter lim="800000"/>
                      <a:headEnd/>
                      <a:tailEnd/>
                    </a:ln>
                    <a:effectLst/>
                  </pic:spPr>
                </pic:pic>
              </a:graphicData>
            </a:graphic>
          </wp:inline>
        </w:drawing>
      </w:r>
    </w:p>
    <w:p w:rsidR="00671424" w:rsidRPr="006A3867" w:rsidRDefault="00671424" w:rsidP="006A3867">
      <w:pPr>
        <w:pStyle w:val="NormalVerdana"/>
        <w:spacing w:line="480" w:lineRule="auto"/>
        <w:jc w:val="left"/>
        <w:rPr>
          <w:rFonts w:cs="Arial"/>
          <w:b w:val="0"/>
          <w:i/>
          <w:sz w:val="18"/>
          <w:szCs w:val="18"/>
        </w:rPr>
      </w:pPr>
      <w:r w:rsidRPr="006A3867">
        <w:rPr>
          <w:rFonts w:cs="Arial"/>
          <w:i/>
          <w:sz w:val="18"/>
          <w:szCs w:val="18"/>
        </w:rPr>
        <w:t>Fuente</w:t>
      </w:r>
      <w:r w:rsidR="00176A40" w:rsidRPr="006A3867">
        <w:rPr>
          <w:rFonts w:cs="Arial"/>
          <w:i/>
          <w:sz w:val="18"/>
          <w:szCs w:val="18"/>
        </w:rPr>
        <w:t xml:space="preserve"> y elaboración por</w:t>
      </w:r>
      <w:r w:rsidRPr="006A3867">
        <w:rPr>
          <w:rFonts w:cs="Arial"/>
          <w:i/>
          <w:sz w:val="18"/>
          <w:szCs w:val="18"/>
        </w:rPr>
        <w:t>:</w:t>
      </w:r>
      <w:r w:rsidRPr="006A3867">
        <w:rPr>
          <w:rFonts w:cs="Arial"/>
          <w:b w:val="0"/>
          <w:i/>
          <w:sz w:val="18"/>
          <w:szCs w:val="18"/>
        </w:rPr>
        <w:t xml:space="preserve"> Superintendencia de Bancos</w:t>
      </w:r>
    </w:p>
    <w:p w:rsidR="00671424" w:rsidRPr="00BB1432" w:rsidRDefault="00671424" w:rsidP="00117EC0">
      <w:pPr>
        <w:pStyle w:val="NormalVerdana"/>
        <w:spacing w:line="480" w:lineRule="auto"/>
        <w:rPr>
          <w:bCs/>
          <w:sz w:val="22"/>
          <w:szCs w:val="22"/>
        </w:rPr>
      </w:pPr>
      <w:r w:rsidRPr="00BB1432">
        <w:rPr>
          <w:bCs/>
          <w:sz w:val="22"/>
          <w:szCs w:val="22"/>
        </w:rPr>
        <w:tab/>
        <w:t>1.4.2 Índices Financieros</w:t>
      </w:r>
      <w:r w:rsidRPr="00BB1432">
        <w:rPr>
          <w:rStyle w:val="Refdenotaalpie"/>
          <w:bCs/>
          <w:sz w:val="22"/>
          <w:szCs w:val="22"/>
        </w:rPr>
        <w:footnoteReference w:id="6"/>
      </w:r>
    </w:p>
    <w:p w:rsidR="00671424" w:rsidRPr="00BB1432" w:rsidRDefault="00671424" w:rsidP="00117EC0">
      <w:pPr>
        <w:pStyle w:val="NormalVerdana"/>
        <w:spacing w:line="480" w:lineRule="auto"/>
        <w:rPr>
          <w:bCs/>
          <w:sz w:val="22"/>
          <w:szCs w:val="22"/>
        </w:rPr>
      </w:pPr>
      <w:r w:rsidRPr="00BB1432">
        <w:rPr>
          <w:bCs/>
          <w:sz w:val="22"/>
          <w:szCs w:val="22"/>
        </w:rPr>
        <w:t xml:space="preserve"> </w:t>
      </w:r>
    </w:p>
    <w:p w:rsidR="00671424" w:rsidRPr="00BB1432" w:rsidRDefault="00671424" w:rsidP="00117EC0">
      <w:pPr>
        <w:pStyle w:val="NormalVerdana"/>
        <w:spacing w:line="480" w:lineRule="auto"/>
        <w:rPr>
          <w:bCs/>
          <w:sz w:val="22"/>
          <w:szCs w:val="22"/>
        </w:rPr>
      </w:pPr>
      <w:r w:rsidRPr="00BB1432">
        <w:rPr>
          <w:bCs/>
          <w:sz w:val="22"/>
          <w:szCs w:val="22"/>
        </w:rPr>
        <w:tab/>
        <w:t>1.4.2.1 Suficiencia Patrimonial</w:t>
      </w:r>
    </w:p>
    <w:p w:rsidR="00671424" w:rsidRPr="00BB1432" w:rsidRDefault="00671424" w:rsidP="00117EC0">
      <w:pPr>
        <w:pStyle w:val="NormalVerdana"/>
        <w:spacing w:line="480" w:lineRule="auto"/>
        <w:rPr>
          <w:b w:val="0"/>
          <w:sz w:val="22"/>
          <w:szCs w:val="22"/>
        </w:rPr>
      </w:pPr>
      <w:r w:rsidRPr="00BB1432">
        <w:rPr>
          <w:sz w:val="22"/>
          <w:szCs w:val="22"/>
        </w:rPr>
        <w:tab/>
      </w:r>
      <w:r w:rsidR="00176A40" w:rsidRPr="00BB1432">
        <w:rPr>
          <w:sz w:val="22"/>
          <w:szCs w:val="22"/>
        </w:rPr>
        <w:t xml:space="preserve">     </w:t>
      </w:r>
      <w:r w:rsidRPr="00BB1432">
        <w:rPr>
          <w:b w:val="0"/>
          <w:sz w:val="22"/>
          <w:szCs w:val="22"/>
        </w:rPr>
        <w:t>La relación Patrimonio/Activos inmovilizados, registró un mejor comportamiento hasta Diciembre del 2006 ya que reflejó un índice del 182.51% mayor que el registrado en Diciembre del 2005 que fue de 155.39%. Esta mejora obedeció al incremento propor</w:t>
      </w:r>
      <w:r w:rsidR="0039460B" w:rsidRPr="00BB1432">
        <w:rPr>
          <w:b w:val="0"/>
          <w:sz w:val="22"/>
          <w:szCs w:val="22"/>
        </w:rPr>
        <w:t>cional del patrimonio en 30.49%</w:t>
      </w:r>
      <w:r w:rsidRPr="00BB1432">
        <w:rPr>
          <w:b w:val="0"/>
          <w:sz w:val="22"/>
          <w:szCs w:val="22"/>
        </w:rPr>
        <w:t xml:space="preserve"> con respecto al incremento de los activos inmovilizados que fue del 11.10%.  </w:t>
      </w:r>
    </w:p>
    <w:p w:rsidR="00413232" w:rsidRPr="00BB1432" w:rsidRDefault="00413232" w:rsidP="00117EC0">
      <w:pPr>
        <w:pStyle w:val="NormalVerdana"/>
        <w:spacing w:line="480" w:lineRule="auto"/>
        <w:rPr>
          <w:rFonts w:cs="Arial"/>
          <w:b w:val="0"/>
          <w:sz w:val="22"/>
          <w:szCs w:val="22"/>
        </w:rPr>
      </w:pPr>
    </w:p>
    <w:p w:rsidR="00671424" w:rsidRPr="00BB1432" w:rsidRDefault="006D3445" w:rsidP="00117EC0">
      <w:pPr>
        <w:pStyle w:val="NormalVerdana"/>
        <w:spacing w:line="480" w:lineRule="auto"/>
        <w:rPr>
          <w:rFonts w:cs="Arial"/>
          <w:sz w:val="22"/>
          <w:szCs w:val="22"/>
        </w:rPr>
      </w:pPr>
      <w:r w:rsidRPr="00BB1432">
        <w:rPr>
          <w:rFonts w:cs="Arial"/>
          <w:sz w:val="22"/>
          <w:szCs w:val="22"/>
        </w:rPr>
        <w:t xml:space="preserve">   </w:t>
      </w:r>
      <w:r w:rsidR="00176A40" w:rsidRPr="00BB1432">
        <w:rPr>
          <w:rFonts w:cs="Arial"/>
          <w:sz w:val="22"/>
          <w:szCs w:val="22"/>
        </w:rPr>
        <w:t xml:space="preserve"> </w:t>
      </w:r>
      <w:r w:rsidRPr="00BB1432">
        <w:rPr>
          <w:rFonts w:cs="Arial"/>
          <w:sz w:val="22"/>
          <w:szCs w:val="22"/>
        </w:rPr>
        <w:t>1</w:t>
      </w:r>
      <w:r w:rsidR="00671424" w:rsidRPr="00BB1432">
        <w:rPr>
          <w:rFonts w:cs="Arial"/>
          <w:sz w:val="22"/>
          <w:szCs w:val="22"/>
        </w:rPr>
        <w:t>.4.2.2 Calidad de activos</w:t>
      </w:r>
    </w:p>
    <w:p w:rsidR="00671424" w:rsidRPr="00BB1432" w:rsidRDefault="00671424" w:rsidP="00117EC0">
      <w:pPr>
        <w:pStyle w:val="NormalVerdana"/>
        <w:spacing w:line="480" w:lineRule="auto"/>
        <w:rPr>
          <w:rFonts w:cs="Arial"/>
          <w:b w:val="0"/>
          <w:sz w:val="22"/>
          <w:szCs w:val="22"/>
        </w:rPr>
      </w:pPr>
      <w:r w:rsidRPr="00BB1432">
        <w:rPr>
          <w:rFonts w:cs="Arial"/>
          <w:sz w:val="22"/>
          <w:szCs w:val="22"/>
        </w:rPr>
        <w:tab/>
      </w:r>
      <w:r w:rsidR="00176A40" w:rsidRPr="00BB1432">
        <w:rPr>
          <w:rFonts w:cs="Arial"/>
          <w:sz w:val="22"/>
          <w:szCs w:val="22"/>
        </w:rPr>
        <w:t xml:space="preserve">     </w:t>
      </w:r>
      <w:r w:rsidRPr="00BB1432">
        <w:rPr>
          <w:rFonts w:cs="Arial"/>
          <w:b w:val="0"/>
          <w:sz w:val="22"/>
          <w:szCs w:val="22"/>
        </w:rPr>
        <w:t xml:space="preserve">Hasta diciembre del 2006, hubo un incremento de los activos productivos en relación al total de los Activos. Los activos productivos representaron el 86.99 % de los activos totales. Este incremento tuvo su origen en la mayor tasa de crecimiento de los activos productivos (21.27%), con relación al crecimiento de los activos totales (20.68%), donde tuvo una gran incidencia la cartera de créditos por vencer (1396 millones de dólares de incremento) y las inversiones (551 millones de incremento) estos rubros representaron el 95.60% del total de los activos productivos. </w:t>
      </w:r>
    </w:p>
    <w:p w:rsidR="00176A40" w:rsidRPr="00BB1432" w:rsidRDefault="00671424" w:rsidP="00117EC0">
      <w:pPr>
        <w:pStyle w:val="NormalVerdana"/>
        <w:spacing w:line="480" w:lineRule="auto"/>
        <w:rPr>
          <w:rFonts w:cs="Arial"/>
          <w:sz w:val="22"/>
          <w:szCs w:val="22"/>
        </w:rPr>
      </w:pPr>
      <w:r w:rsidRPr="00BB1432">
        <w:rPr>
          <w:rFonts w:cs="Arial"/>
          <w:sz w:val="22"/>
          <w:szCs w:val="22"/>
        </w:rPr>
        <w:tab/>
      </w:r>
    </w:p>
    <w:p w:rsidR="00671424" w:rsidRPr="00BB1432" w:rsidRDefault="00176A40" w:rsidP="00117EC0">
      <w:pPr>
        <w:pStyle w:val="NormalVerdana"/>
        <w:spacing w:line="480" w:lineRule="auto"/>
        <w:rPr>
          <w:rFonts w:cs="Arial"/>
          <w:sz w:val="22"/>
          <w:szCs w:val="22"/>
        </w:rPr>
      </w:pPr>
      <w:r w:rsidRPr="00BB1432">
        <w:rPr>
          <w:rFonts w:cs="Arial"/>
          <w:sz w:val="22"/>
          <w:szCs w:val="22"/>
        </w:rPr>
        <w:tab/>
      </w:r>
      <w:r w:rsidR="00671424" w:rsidRPr="00BB1432">
        <w:rPr>
          <w:rFonts w:cs="Arial"/>
          <w:sz w:val="22"/>
          <w:szCs w:val="22"/>
        </w:rPr>
        <w:t>1.4.2.3 Índice de morosidad</w:t>
      </w:r>
    </w:p>
    <w:p w:rsidR="00671424" w:rsidRPr="00BB1432" w:rsidRDefault="00671424" w:rsidP="00117EC0">
      <w:pPr>
        <w:pStyle w:val="NormalVerdana"/>
        <w:spacing w:line="480" w:lineRule="auto"/>
        <w:rPr>
          <w:rFonts w:cs="Arial"/>
          <w:b w:val="0"/>
          <w:sz w:val="22"/>
          <w:szCs w:val="22"/>
        </w:rPr>
      </w:pPr>
      <w:r w:rsidRPr="00BB1432">
        <w:rPr>
          <w:rFonts w:cs="Arial"/>
          <w:sz w:val="22"/>
          <w:szCs w:val="22"/>
        </w:rPr>
        <w:tab/>
      </w:r>
      <w:r w:rsidR="00176A40" w:rsidRPr="00BB1432">
        <w:rPr>
          <w:rFonts w:cs="Arial"/>
          <w:sz w:val="22"/>
          <w:szCs w:val="22"/>
        </w:rPr>
        <w:t xml:space="preserve">     </w:t>
      </w:r>
      <w:r w:rsidRPr="00BB1432">
        <w:rPr>
          <w:rFonts w:cs="Arial"/>
          <w:b w:val="0"/>
          <w:sz w:val="22"/>
          <w:szCs w:val="22"/>
        </w:rPr>
        <w:t xml:space="preserve">El índice de morosidad tuvo un comportamiento favorable en relación al periodo anterior (Diciembre/ 05), ya que de un índice de 4.89% bajó al 3.30% en Diciembre del 2006. Esta reducción se debió al incremento de la cartera de créditos bruta en 24.93% (1355 millones de dólares), mientras que la cartera improductiva disminuyo en el 15.59% (41 millones de dólares). </w:t>
      </w:r>
    </w:p>
    <w:p w:rsidR="00671424" w:rsidRPr="00BB1432" w:rsidRDefault="00671424" w:rsidP="00117EC0">
      <w:pPr>
        <w:pStyle w:val="NormalVerdana"/>
        <w:spacing w:line="480" w:lineRule="auto"/>
        <w:rPr>
          <w:rFonts w:cs="Arial"/>
          <w:sz w:val="22"/>
          <w:szCs w:val="22"/>
        </w:rPr>
      </w:pPr>
    </w:p>
    <w:p w:rsidR="00671424" w:rsidRPr="00BB1432" w:rsidRDefault="00671424" w:rsidP="00117EC0">
      <w:pPr>
        <w:pStyle w:val="NormalVerdana"/>
        <w:spacing w:line="480" w:lineRule="auto"/>
        <w:rPr>
          <w:rFonts w:cs="Arial"/>
          <w:sz w:val="22"/>
          <w:szCs w:val="22"/>
        </w:rPr>
      </w:pPr>
      <w:r w:rsidRPr="00BB1432">
        <w:rPr>
          <w:rFonts w:cs="Arial"/>
          <w:sz w:val="22"/>
          <w:szCs w:val="22"/>
        </w:rPr>
        <w:tab/>
        <w:t xml:space="preserve"> 1.4.2.4 Índice de cobertura</w:t>
      </w:r>
    </w:p>
    <w:p w:rsidR="00671424" w:rsidRPr="00BB1432" w:rsidRDefault="00671424" w:rsidP="00117EC0">
      <w:pPr>
        <w:pStyle w:val="NormalVerdana"/>
        <w:spacing w:line="480" w:lineRule="auto"/>
        <w:ind w:left="539" w:hanging="539"/>
        <w:rPr>
          <w:rFonts w:cs="Arial"/>
          <w:b w:val="0"/>
          <w:sz w:val="22"/>
          <w:szCs w:val="22"/>
        </w:rPr>
      </w:pPr>
      <w:r w:rsidRPr="00BB1432">
        <w:rPr>
          <w:rFonts w:cs="Arial"/>
          <w:sz w:val="22"/>
          <w:szCs w:val="22"/>
        </w:rPr>
        <w:tab/>
      </w:r>
      <w:r w:rsidR="00176A40" w:rsidRPr="00BB1432">
        <w:rPr>
          <w:rFonts w:cs="Arial"/>
          <w:sz w:val="22"/>
          <w:szCs w:val="22"/>
        </w:rPr>
        <w:t xml:space="preserve">     </w:t>
      </w:r>
      <w:r w:rsidRPr="00BB1432">
        <w:rPr>
          <w:rFonts w:cs="Arial"/>
          <w:b w:val="0"/>
          <w:sz w:val="22"/>
          <w:szCs w:val="22"/>
        </w:rPr>
        <w:t>También conocido como provisiones en relación a la cartera improductiva reflej</w:t>
      </w:r>
      <w:r w:rsidRPr="00BB1432">
        <w:rPr>
          <w:rFonts w:ascii="Arial Unicode MS" w:eastAsia="Arial Unicode MS" w:hAnsi="Arial Unicode MS" w:cs="Arial Unicode MS"/>
          <w:b w:val="0"/>
          <w:sz w:val="22"/>
          <w:szCs w:val="22"/>
        </w:rPr>
        <w:t>ó</w:t>
      </w:r>
      <w:r w:rsidRPr="00BB1432">
        <w:rPr>
          <w:rFonts w:cs="Arial"/>
          <w:b w:val="0"/>
          <w:sz w:val="22"/>
          <w:szCs w:val="22"/>
        </w:rPr>
        <w:t xml:space="preserve"> un índice del 182.66 % en diciembre del 2006, índice superior al periodo anterior que fue del 143.67%. El incremento se debió al incremento en las provisiones en 7.32% y al decremento de la cartera improductiva (15.59%). </w:t>
      </w:r>
    </w:p>
    <w:p w:rsidR="00671424" w:rsidRPr="00BB1432" w:rsidRDefault="00671424" w:rsidP="00117EC0">
      <w:pPr>
        <w:pStyle w:val="NormalVerdana"/>
        <w:spacing w:line="480" w:lineRule="auto"/>
        <w:rPr>
          <w:rFonts w:cs="Arial"/>
          <w:sz w:val="22"/>
          <w:szCs w:val="22"/>
        </w:rPr>
      </w:pPr>
    </w:p>
    <w:p w:rsidR="00671424" w:rsidRPr="00BB1432" w:rsidRDefault="00671424" w:rsidP="00117EC0">
      <w:pPr>
        <w:pStyle w:val="NormalVerdana"/>
        <w:spacing w:line="480" w:lineRule="auto"/>
        <w:rPr>
          <w:rFonts w:cs="Arial"/>
          <w:sz w:val="22"/>
          <w:szCs w:val="22"/>
        </w:rPr>
      </w:pPr>
      <w:r w:rsidRPr="00BB1432">
        <w:rPr>
          <w:rFonts w:cs="Arial"/>
          <w:sz w:val="22"/>
          <w:szCs w:val="22"/>
        </w:rPr>
        <w:tab/>
        <w:t xml:space="preserve">1.4.3 Manejo </w:t>
      </w:r>
    </w:p>
    <w:p w:rsidR="00671424" w:rsidRPr="00BB1432" w:rsidRDefault="00671424" w:rsidP="00117EC0">
      <w:pPr>
        <w:pStyle w:val="NormalVerdana"/>
        <w:spacing w:line="480" w:lineRule="auto"/>
        <w:rPr>
          <w:rFonts w:cs="Arial"/>
          <w:b w:val="0"/>
          <w:sz w:val="22"/>
          <w:szCs w:val="22"/>
        </w:rPr>
      </w:pPr>
      <w:r w:rsidRPr="00BB1432">
        <w:rPr>
          <w:rFonts w:cs="Arial"/>
          <w:sz w:val="22"/>
          <w:szCs w:val="22"/>
        </w:rPr>
        <w:tab/>
      </w:r>
      <w:r w:rsidR="00176A40" w:rsidRPr="00BB1432">
        <w:rPr>
          <w:rFonts w:cs="Arial"/>
          <w:sz w:val="22"/>
          <w:szCs w:val="22"/>
        </w:rPr>
        <w:t xml:space="preserve">     </w:t>
      </w:r>
      <w:r w:rsidRPr="00BB1432">
        <w:rPr>
          <w:rFonts w:cs="Arial"/>
          <w:b w:val="0"/>
          <w:sz w:val="22"/>
          <w:szCs w:val="22"/>
        </w:rPr>
        <w:t>A diciembr</w:t>
      </w:r>
      <w:r w:rsidR="00A536D6" w:rsidRPr="00BB1432">
        <w:rPr>
          <w:rFonts w:cs="Arial"/>
          <w:b w:val="0"/>
          <w:sz w:val="22"/>
          <w:szCs w:val="22"/>
        </w:rPr>
        <w:t>e del 2006, este sistema reflejó</w:t>
      </w:r>
      <w:r w:rsidRPr="00BB1432">
        <w:rPr>
          <w:rFonts w:cs="Arial"/>
          <w:b w:val="0"/>
          <w:sz w:val="22"/>
          <w:szCs w:val="22"/>
        </w:rPr>
        <w:t xml:space="preserve"> una mejor eficiencia pues el índice Gastos Operacionales/ Total Activo, fue del 6.72% cifra inferior al 7.14%  reflejado en diciembre del 2005. La mejora en la eficiencia se debió a la participación de los gastos operacionales en el total de Ingresos (47.86% en dic/05 y 44.23% en dic/06); así como en la menor tasa de crecimiento de los mismos (16.35%) en comparación al crecimiento de los activos en un 20.68%. </w:t>
      </w:r>
    </w:p>
    <w:p w:rsidR="00671424" w:rsidRPr="00BB1432" w:rsidRDefault="00671424" w:rsidP="00117EC0">
      <w:pPr>
        <w:pStyle w:val="NormalVerdana"/>
        <w:spacing w:line="480" w:lineRule="auto"/>
        <w:rPr>
          <w:rFonts w:cs="Arial"/>
          <w:sz w:val="22"/>
          <w:szCs w:val="22"/>
        </w:rPr>
      </w:pPr>
    </w:p>
    <w:p w:rsidR="00671424" w:rsidRPr="00BB1432" w:rsidRDefault="00671424" w:rsidP="00117EC0">
      <w:pPr>
        <w:pStyle w:val="NormalVerdana"/>
        <w:spacing w:line="480" w:lineRule="auto"/>
        <w:rPr>
          <w:rFonts w:cs="Arial"/>
          <w:sz w:val="22"/>
          <w:szCs w:val="22"/>
        </w:rPr>
      </w:pPr>
      <w:r w:rsidRPr="00BB1432">
        <w:rPr>
          <w:rFonts w:cs="Arial"/>
          <w:sz w:val="22"/>
          <w:szCs w:val="22"/>
        </w:rPr>
        <w:tab/>
        <w:t>1.4.4 Rentabilidad</w:t>
      </w:r>
    </w:p>
    <w:p w:rsidR="00671424" w:rsidRPr="00BB1432" w:rsidRDefault="00671424" w:rsidP="00117EC0">
      <w:pPr>
        <w:pStyle w:val="NormalVerdana"/>
        <w:spacing w:line="480" w:lineRule="auto"/>
        <w:rPr>
          <w:rFonts w:cs="Arial"/>
          <w:b w:val="0"/>
          <w:sz w:val="22"/>
          <w:szCs w:val="22"/>
        </w:rPr>
      </w:pPr>
      <w:r w:rsidRPr="00BB1432">
        <w:rPr>
          <w:rFonts w:cs="Arial"/>
          <w:sz w:val="22"/>
          <w:szCs w:val="22"/>
        </w:rPr>
        <w:tab/>
      </w:r>
      <w:r w:rsidR="00176A40" w:rsidRPr="00BB1432">
        <w:rPr>
          <w:rFonts w:cs="Arial"/>
          <w:sz w:val="22"/>
          <w:szCs w:val="22"/>
        </w:rPr>
        <w:t xml:space="preserve">     </w:t>
      </w:r>
      <w:r w:rsidRPr="00BB1432">
        <w:rPr>
          <w:rFonts w:cs="Arial"/>
          <w:b w:val="0"/>
          <w:sz w:val="22"/>
          <w:szCs w:val="22"/>
        </w:rPr>
        <w:t>La mejor rentabilidad reflejada en dic/06 con relación a dic/05 (19.76% y 1.80%) se debió a la mayor tasa de crecimiento de los ingresos 23.12 % (304 millones de dólares) frente al crecimiento de los gastos que fueron del 19.32 % (223 millones); en conclusión, hubo una mejora en la eficiencia en términos generales.</w:t>
      </w:r>
    </w:p>
    <w:p w:rsidR="00671424" w:rsidRPr="00BB1432" w:rsidRDefault="00671424" w:rsidP="00117EC0">
      <w:pPr>
        <w:pStyle w:val="NormalVerdana"/>
        <w:spacing w:line="480" w:lineRule="auto"/>
        <w:rPr>
          <w:rFonts w:cs="Arial"/>
          <w:sz w:val="22"/>
          <w:szCs w:val="22"/>
        </w:rPr>
      </w:pPr>
      <w:r w:rsidRPr="00BB1432">
        <w:rPr>
          <w:rFonts w:cs="Arial"/>
          <w:sz w:val="22"/>
          <w:szCs w:val="22"/>
        </w:rPr>
        <w:t xml:space="preserve">            </w:t>
      </w:r>
    </w:p>
    <w:p w:rsidR="00671424" w:rsidRPr="00BB1432" w:rsidRDefault="00671424" w:rsidP="00117EC0">
      <w:pPr>
        <w:pStyle w:val="NormalVerdana"/>
        <w:spacing w:line="480" w:lineRule="auto"/>
        <w:rPr>
          <w:rFonts w:cs="Arial"/>
          <w:sz w:val="22"/>
          <w:szCs w:val="22"/>
        </w:rPr>
      </w:pPr>
      <w:r w:rsidRPr="00BB1432">
        <w:rPr>
          <w:rFonts w:cs="Arial"/>
          <w:sz w:val="22"/>
          <w:szCs w:val="22"/>
        </w:rPr>
        <w:tab/>
        <w:t>1.4.5  Liquidez</w:t>
      </w:r>
    </w:p>
    <w:p w:rsidR="00671424" w:rsidRPr="00BB1432" w:rsidRDefault="00671424" w:rsidP="00117EC0">
      <w:pPr>
        <w:pStyle w:val="NormalVerdana"/>
        <w:spacing w:line="480" w:lineRule="auto"/>
        <w:rPr>
          <w:rFonts w:cs="Arial"/>
          <w:b w:val="0"/>
          <w:sz w:val="22"/>
          <w:szCs w:val="22"/>
        </w:rPr>
      </w:pPr>
      <w:r w:rsidRPr="00BB1432">
        <w:rPr>
          <w:rFonts w:cs="Arial"/>
          <w:b w:val="0"/>
          <w:sz w:val="22"/>
          <w:szCs w:val="22"/>
        </w:rPr>
        <w:tab/>
      </w:r>
      <w:r w:rsidR="00176A40" w:rsidRPr="00BB1432">
        <w:rPr>
          <w:rFonts w:cs="Arial"/>
          <w:b w:val="0"/>
          <w:sz w:val="22"/>
          <w:szCs w:val="22"/>
        </w:rPr>
        <w:t xml:space="preserve">     </w:t>
      </w:r>
      <w:r w:rsidRPr="00BB1432">
        <w:rPr>
          <w:rFonts w:cs="Arial"/>
          <w:b w:val="0"/>
          <w:sz w:val="22"/>
          <w:szCs w:val="22"/>
        </w:rPr>
        <w:t xml:space="preserve">La disponibilidad de recursos para responder a las deudas de corto </w:t>
      </w:r>
      <w:r w:rsidR="00A536D6" w:rsidRPr="00BB1432">
        <w:rPr>
          <w:rFonts w:cs="Arial"/>
          <w:b w:val="0"/>
          <w:sz w:val="22"/>
          <w:szCs w:val="22"/>
        </w:rPr>
        <w:t>plazo de hasta 90 días disminuyó</w:t>
      </w:r>
      <w:r w:rsidRPr="00BB1432">
        <w:rPr>
          <w:rFonts w:cs="Arial"/>
          <w:b w:val="0"/>
          <w:sz w:val="22"/>
          <w:szCs w:val="22"/>
        </w:rPr>
        <w:t xml:space="preserve"> en diciembre del 2006 en 26.96%, debido al decrecimiento de los fondos disponibles (8 millones de dólares, equivalentes a una variación  del 0.37%), con relación a la variación de los depósitos de hasta 90 días (depósitos a la vista y operaciones de reporto) que aumentaron en 895 millones de dólares (16.65%).</w:t>
      </w:r>
    </w:p>
    <w:p w:rsidR="00310FC7" w:rsidRDefault="00310FC7" w:rsidP="00117EC0">
      <w:pPr>
        <w:pStyle w:val="NormalVerdana"/>
        <w:spacing w:line="480" w:lineRule="auto"/>
        <w:rPr>
          <w:rFonts w:cs="Arial"/>
          <w:sz w:val="22"/>
          <w:szCs w:val="22"/>
        </w:rPr>
      </w:pPr>
    </w:p>
    <w:p w:rsidR="006A3867" w:rsidRDefault="006A3867" w:rsidP="00117EC0">
      <w:pPr>
        <w:pStyle w:val="NormalVerdana"/>
        <w:spacing w:line="480" w:lineRule="auto"/>
        <w:rPr>
          <w:rFonts w:cs="Arial"/>
          <w:sz w:val="22"/>
          <w:szCs w:val="22"/>
        </w:rPr>
      </w:pPr>
    </w:p>
    <w:p w:rsidR="006A3867" w:rsidRDefault="006A3867" w:rsidP="00117EC0">
      <w:pPr>
        <w:pStyle w:val="NormalVerdana"/>
        <w:spacing w:line="480" w:lineRule="auto"/>
        <w:rPr>
          <w:rFonts w:cs="Arial"/>
          <w:sz w:val="22"/>
          <w:szCs w:val="22"/>
        </w:rPr>
      </w:pPr>
    </w:p>
    <w:p w:rsidR="006A3867" w:rsidRPr="00BB1432" w:rsidRDefault="006A3867" w:rsidP="00117EC0">
      <w:pPr>
        <w:pStyle w:val="NormalVerdana"/>
        <w:spacing w:line="480" w:lineRule="auto"/>
        <w:rPr>
          <w:rFonts w:cs="Arial"/>
          <w:sz w:val="22"/>
          <w:szCs w:val="22"/>
        </w:rPr>
      </w:pPr>
    </w:p>
    <w:p w:rsidR="00310FC7" w:rsidRPr="00BB1432" w:rsidRDefault="00310FC7" w:rsidP="00117EC0">
      <w:pPr>
        <w:pStyle w:val="NormalVerdana"/>
        <w:spacing w:line="480" w:lineRule="auto"/>
        <w:rPr>
          <w:rFonts w:cs="Arial"/>
          <w:sz w:val="22"/>
          <w:szCs w:val="22"/>
        </w:rPr>
      </w:pPr>
      <w:r w:rsidRPr="00BB1432">
        <w:rPr>
          <w:rFonts w:cs="Arial"/>
          <w:sz w:val="22"/>
          <w:szCs w:val="22"/>
        </w:rPr>
        <w:t>1.5 COMISIONES BANCARIAS EN EL ECUADOR</w:t>
      </w:r>
    </w:p>
    <w:p w:rsidR="00B91F72" w:rsidRDefault="0041327A"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La rentabilidad de una institución financiera (IFI) proviene de dos fuentes principales: la transformación de riesgos y el cobro por servicios. Dado que, usualmente, al menos $9 de cada $10 de los que dispone una IFI -para prestar o invertir- no le pertenecen a ella sino a los depositantes, el principal trabajo de estas entidades consiste en transformar los depósitos en créditos o inversiones; esto es, transformar los riesgos para el depositante en riesgos para </w:t>
      </w:r>
      <w:smartTag w:uri="urn:schemas-microsoft-com:office:smarttags" w:element="PersonName">
        <w:smartTagPr>
          <w:attr w:name="ProductID" w:val="la IFI. El"/>
        </w:smartTagPr>
        <w:r w:rsidRPr="00BB1432">
          <w:rPr>
            <w:rFonts w:ascii="Verdana" w:hAnsi="Verdana"/>
            <w:sz w:val="22"/>
            <w:szCs w:val="22"/>
          </w:rPr>
          <w:t>la IFI. El</w:t>
        </w:r>
      </w:smartTag>
      <w:r w:rsidRPr="00BB1432">
        <w:rPr>
          <w:rFonts w:ascii="Verdana" w:hAnsi="Verdana"/>
          <w:sz w:val="22"/>
          <w:szCs w:val="22"/>
        </w:rPr>
        <w:t xml:space="preserve"> costo de esta transformación, más un margen de utilidad, es el que debe ser pagado por quienes obtienen créditos, y debería ser cubierto por la diferencia existente entre la tasa que </w:t>
      </w:r>
      <w:smartTag w:uri="urn:schemas-microsoft-com:office:smarttags" w:element="PersonName">
        <w:smartTagPr>
          <w:attr w:name="ProductID" w:val="la IFI"/>
        </w:smartTagPr>
        <w:r w:rsidRPr="00BB1432">
          <w:rPr>
            <w:rFonts w:ascii="Verdana" w:hAnsi="Verdana"/>
            <w:sz w:val="22"/>
            <w:szCs w:val="22"/>
          </w:rPr>
          <w:t>la IFI</w:t>
        </w:r>
      </w:smartTag>
      <w:r w:rsidRPr="00BB1432">
        <w:rPr>
          <w:rFonts w:ascii="Verdana" w:hAnsi="Verdana"/>
          <w:sz w:val="22"/>
          <w:szCs w:val="22"/>
        </w:rPr>
        <w:t xml:space="preserve"> paga al depositante con la tasa que la misma IFI cobra por sus créditos.</w:t>
      </w:r>
    </w:p>
    <w:p w:rsidR="00804DE3" w:rsidRPr="00BB1432" w:rsidRDefault="0041327A"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Por otra parte están las comisiones, que son las tarifas que ponen las IFI por el uso de ciertos servicios prestados y que, regularmente, funcionan como peajes, puesto que se cobran únicamente a los clientes que hacen uso de dichos servicios, cada vez que los utilizan.</w:t>
      </w:r>
    </w:p>
    <w:p w:rsidR="006E4D3B" w:rsidRPr="00BB1432" w:rsidRDefault="0041327A"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w:t>
      </w:r>
      <w:r w:rsidR="006E4D3B" w:rsidRPr="00BB1432">
        <w:rPr>
          <w:rFonts w:ascii="Verdana" w:hAnsi="Verdana"/>
          <w:sz w:val="22"/>
          <w:szCs w:val="22"/>
        </w:rPr>
        <w:t>Estas comisiones bancarias se han convertido en una fuente i</w:t>
      </w:r>
      <w:r w:rsidR="00722B52" w:rsidRPr="00BB1432">
        <w:rPr>
          <w:rFonts w:ascii="Verdana" w:hAnsi="Verdana"/>
          <w:sz w:val="22"/>
          <w:szCs w:val="22"/>
        </w:rPr>
        <w:t xml:space="preserve">mportante de beneficios para los bancos </w:t>
      </w:r>
      <w:r w:rsidR="006E4D3B" w:rsidRPr="00BB1432">
        <w:rPr>
          <w:rFonts w:ascii="Verdana" w:hAnsi="Verdana"/>
          <w:sz w:val="22"/>
          <w:szCs w:val="22"/>
        </w:rPr>
        <w:t>y, en general, todas las entidades suelen cobrar por los mismos conceptos. Además, las variaciones en el importe de las comisiones ent</w:t>
      </w:r>
      <w:r w:rsidR="00722B52" w:rsidRPr="00BB1432">
        <w:rPr>
          <w:rFonts w:ascii="Verdana" w:hAnsi="Verdana"/>
          <w:sz w:val="22"/>
          <w:szCs w:val="22"/>
        </w:rPr>
        <w:t xml:space="preserve">re los distintos bancos </w:t>
      </w:r>
      <w:r w:rsidR="006E4D3B" w:rsidRPr="00BB1432">
        <w:rPr>
          <w:rFonts w:ascii="Verdana" w:hAnsi="Verdana"/>
          <w:sz w:val="22"/>
          <w:szCs w:val="22"/>
        </w:rPr>
        <w:t xml:space="preserve">suelen ser mínimas por razones de competitividad. </w:t>
      </w:r>
    </w:p>
    <w:p w:rsidR="006E4D3B" w:rsidRPr="00BB1432" w:rsidRDefault="006E4D3B"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Pero, ¿por qué las entidades financieras cobran tantas comisiones? Según los expertos en la materia, la razón principal radica en que cada vez es menor la diferencia entre lo que el banco como depositario del dinero retribuye a sus clientes y lo que recibe por los préstamos que realiza. No obstante, una de las causas fundamentales de la disminución del margen de beneficios es la bajada de los tipos de interés. </w:t>
      </w:r>
    </w:p>
    <w:p w:rsidR="006E4D3B" w:rsidRPr="00BB1432" w:rsidRDefault="006E4D3B"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Habitualmente, los consumidores consideran excesivos los importes de las comisiones. En cualquier caso, el cobro de comisiones en el país estaba liberalizado, de modo que cada entidad podría aplicar los gastos que consideraba oportunos aunque, eso sí, las comisiones máximas aplicables debían estar registradas en </w:t>
      </w:r>
      <w:smartTag w:uri="urn:schemas-microsoft-com:office:smarttags" w:element="PersonName">
        <w:smartTagPr>
          <w:attr w:name="ProductID" w:val="la Superintendencia"/>
        </w:smartTagPr>
        <w:r w:rsidRPr="00BB1432">
          <w:rPr>
            <w:rFonts w:ascii="Verdana" w:hAnsi="Verdana"/>
            <w:sz w:val="22"/>
            <w:szCs w:val="22"/>
          </w:rPr>
          <w:t>la Superintendencia</w:t>
        </w:r>
      </w:smartTag>
      <w:r w:rsidRPr="00BB1432">
        <w:rPr>
          <w:rFonts w:ascii="Verdana" w:hAnsi="Verdana"/>
          <w:sz w:val="22"/>
          <w:szCs w:val="22"/>
        </w:rPr>
        <w:t xml:space="preserve"> de Bancos. </w:t>
      </w:r>
    </w:p>
    <w:p w:rsidR="0041327A" w:rsidRPr="00BB1432" w:rsidRDefault="0041327A"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En mayo del 2007, el actual Gobierno propuso cambios en el artículo 201 de </w:t>
      </w:r>
      <w:smartTag w:uri="urn:schemas-microsoft-com:office:smarttags" w:element="PersonName">
        <w:smartTagPr>
          <w:attr w:name="ProductID" w:val="la Ley"/>
        </w:smartTagPr>
        <w:r w:rsidRPr="00BB1432">
          <w:rPr>
            <w:rFonts w:ascii="Verdana" w:hAnsi="Verdana"/>
            <w:sz w:val="22"/>
            <w:szCs w:val="22"/>
          </w:rPr>
          <w:t>la Ley</w:t>
        </w:r>
      </w:smartTag>
      <w:r w:rsidRPr="00BB1432">
        <w:rPr>
          <w:rFonts w:ascii="Verdana" w:hAnsi="Verdana"/>
          <w:sz w:val="22"/>
          <w:szCs w:val="22"/>
        </w:rPr>
        <w:t xml:space="preserve"> de Instituciones Financieras, que indicaba que “las remuneraciones (comisiones) por servicios activos o pasivos o de cualquier otra naturaleza que presten las instituciones financieras serán libremente fijadas por las partes intervinientes”. </w:t>
      </w:r>
    </w:p>
    <w:p w:rsidR="006E4D3B" w:rsidRPr="00BB1432" w:rsidRDefault="00062F8E"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w:t>
      </w:r>
      <w:r w:rsidR="006E4D3B" w:rsidRPr="00BB1432">
        <w:rPr>
          <w:rFonts w:ascii="Verdana" w:hAnsi="Verdana"/>
          <w:sz w:val="22"/>
          <w:szCs w:val="22"/>
        </w:rPr>
        <w:t xml:space="preserve">Además, los clientes deben saber que las entidades de crédito están sujetas a una serie de principios para llevar a cabo el establecimiento de comisiones. Uno de los requisitos que se exigen es que el cobro obedezca a la realización de servicios efectivamente prestados. Por tanto, las entidades financieras no pueden percibirlas por servicios no solicitados por el consumidor. </w:t>
      </w:r>
    </w:p>
    <w:p w:rsidR="006E4D3B" w:rsidRPr="00BB1432" w:rsidRDefault="006E4D3B"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Asimismo, las tarifas deben recogerse en un folleto redactado de forma clara y comprensible, incluyendo en el mismo las condiciones de valoración de las operaciones que se liquidan en las cuentas corrientes. </w:t>
      </w:r>
    </w:p>
    <w:p w:rsidR="006E4D3B" w:rsidRPr="00BB1432" w:rsidRDefault="006E4D3B"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Por otra parte, el usuario debe estar informado de las distintas tarifas puesto que así lo recogen las normas de protección del consumidor. El cliente debe conocer la existencia de un libro oficial de tarifas en el que la entidad establece todos los conceptos por los que puede cobrar cierta cantidad o porcentaje. Por consiguiente, las entidades han de publicar en un tablón de anuncios el folleto de tarifas de comisiones bancarias y normas de valoración y facilitar al cliente un extracto del mismo si lo solicita. </w:t>
      </w:r>
    </w:p>
    <w:p w:rsidR="00F71614" w:rsidRPr="00BB1432" w:rsidRDefault="006E4D3B"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Si las entidades ofrecen la realización de operaciones bancarias mediante Internet deben también publicar esta información en su página Web. Así y todo, </w:t>
      </w:r>
      <w:smartTag w:uri="urn:schemas-microsoft-com:office:smarttags" w:element="PersonName">
        <w:smartTagPr>
          <w:attr w:name="ProductID" w:val="la Superintendencia"/>
        </w:smartTagPr>
        <w:r w:rsidRPr="00BB1432">
          <w:rPr>
            <w:rFonts w:ascii="Verdana" w:hAnsi="Verdana"/>
            <w:sz w:val="22"/>
            <w:szCs w:val="22"/>
          </w:rPr>
          <w:t>la Superintendencia</w:t>
        </w:r>
      </w:smartTag>
      <w:r w:rsidRPr="00BB1432">
        <w:rPr>
          <w:rFonts w:ascii="Verdana" w:hAnsi="Verdana"/>
          <w:sz w:val="22"/>
          <w:szCs w:val="22"/>
        </w:rPr>
        <w:t xml:space="preserve"> de Bancos y el Banco Central del Ecuador exponen en sus páginas de Internet los folletos de tarifas de todas las entidades. </w:t>
      </w:r>
    </w:p>
    <w:p w:rsidR="006E4D3B" w:rsidRPr="00BB1432" w:rsidRDefault="006E4D3B" w:rsidP="006E4D3B">
      <w:pPr>
        <w:spacing w:before="100" w:beforeAutospacing="1" w:after="100" w:afterAutospacing="1" w:line="480" w:lineRule="auto"/>
        <w:jc w:val="both"/>
        <w:rPr>
          <w:rFonts w:ascii="Verdana" w:hAnsi="Verdana"/>
          <w:sz w:val="22"/>
          <w:szCs w:val="22"/>
        </w:rPr>
      </w:pPr>
      <w:r w:rsidRPr="00BB1432">
        <w:rPr>
          <w:rFonts w:ascii="Verdana" w:hAnsi="Verdana"/>
          <w:sz w:val="22"/>
          <w:szCs w:val="22"/>
        </w:rPr>
        <w:t xml:space="preserve">     Por último, gracias a la publicación de las comisiones, los bancos no pueden cobrar por actividades no contempladas en el libro oficial de tarifas ni hacerlo por importes superiores a los previament</w:t>
      </w:r>
      <w:r w:rsidR="000E524F" w:rsidRPr="00BB1432">
        <w:rPr>
          <w:rFonts w:ascii="Verdana" w:hAnsi="Verdana"/>
          <w:sz w:val="22"/>
          <w:szCs w:val="22"/>
        </w:rPr>
        <w:t xml:space="preserve">e notificados a </w:t>
      </w:r>
      <w:smartTag w:uri="urn:schemas-microsoft-com:office:smarttags" w:element="PersonName">
        <w:smartTagPr>
          <w:attr w:name="ProductID" w:val="la Superintendencia"/>
        </w:smartTagPr>
        <w:r w:rsidR="000E524F" w:rsidRPr="00BB1432">
          <w:rPr>
            <w:rFonts w:ascii="Verdana" w:hAnsi="Verdana"/>
            <w:sz w:val="22"/>
            <w:szCs w:val="22"/>
          </w:rPr>
          <w:t>la Superintendencia</w:t>
        </w:r>
      </w:smartTag>
      <w:r w:rsidR="000E524F" w:rsidRPr="00BB1432">
        <w:rPr>
          <w:rFonts w:ascii="Verdana" w:hAnsi="Verdana"/>
          <w:sz w:val="22"/>
          <w:szCs w:val="22"/>
        </w:rPr>
        <w:t xml:space="preserve"> de Bancos</w:t>
      </w:r>
      <w:r w:rsidRPr="00BB1432">
        <w:rPr>
          <w:rFonts w:ascii="Verdana" w:hAnsi="Verdana"/>
          <w:sz w:val="22"/>
          <w:szCs w:val="22"/>
        </w:rPr>
        <w:t xml:space="preserve">. En cualquier caso, las entidades deben cumplir un requisito primordial que consiste en que las comisiones no pueden ser abusivas. No tienen potestad para cobrar comisiones cuyo importe sea proporcional al nominal de la operación. </w:t>
      </w:r>
    </w:p>
    <w:p w:rsidR="006E4D3B" w:rsidRPr="006E4D3B" w:rsidRDefault="006E4D3B" w:rsidP="006E4D3B">
      <w:pPr>
        <w:spacing w:before="100" w:beforeAutospacing="1" w:after="100" w:afterAutospacing="1" w:line="480" w:lineRule="auto"/>
        <w:jc w:val="both"/>
        <w:rPr>
          <w:rFonts w:ascii="Verdana" w:hAnsi="Verdana"/>
        </w:rPr>
      </w:pPr>
    </w:p>
    <w:p w:rsidR="00671424" w:rsidRPr="006E4D3B" w:rsidRDefault="00671424" w:rsidP="006E4D3B">
      <w:pPr>
        <w:pStyle w:val="NormalVerdana"/>
        <w:spacing w:line="480" w:lineRule="auto"/>
        <w:rPr>
          <w:rFonts w:cs="Arial"/>
        </w:rPr>
      </w:pPr>
      <w:r w:rsidRPr="006E4D3B">
        <w:rPr>
          <w:rFonts w:cs="Arial"/>
        </w:rPr>
        <w:tab/>
      </w:r>
    </w:p>
    <w:p w:rsidR="00671424" w:rsidRPr="004676A7" w:rsidRDefault="00671424" w:rsidP="00117EC0">
      <w:pPr>
        <w:pStyle w:val="NormalVerdana"/>
        <w:spacing w:line="480" w:lineRule="auto"/>
      </w:pPr>
    </w:p>
    <w:p w:rsidR="002C5871" w:rsidRDefault="002C5871" w:rsidP="00117EC0">
      <w:pPr>
        <w:spacing w:line="480" w:lineRule="auto"/>
        <w:rPr>
          <w:lang w:val="es-ES"/>
        </w:rPr>
      </w:pPr>
    </w:p>
    <w:p w:rsidR="00F71614" w:rsidRDefault="00F71614" w:rsidP="00117EC0">
      <w:pPr>
        <w:spacing w:line="480" w:lineRule="auto"/>
        <w:rPr>
          <w:lang w:val="es-ES"/>
        </w:rPr>
      </w:pPr>
    </w:p>
    <w:p w:rsidR="00413232" w:rsidRDefault="00413232" w:rsidP="006B3F28">
      <w:pPr>
        <w:spacing w:line="480" w:lineRule="auto"/>
        <w:jc w:val="center"/>
        <w:rPr>
          <w:rFonts w:ascii="Verdana" w:hAnsi="Verdana"/>
          <w:b/>
          <w:sz w:val="28"/>
          <w:szCs w:val="28"/>
        </w:rPr>
      </w:pPr>
    </w:p>
    <w:p w:rsidR="00413232" w:rsidRDefault="00413232" w:rsidP="006B3F28">
      <w:pPr>
        <w:spacing w:line="480" w:lineRule="auto"/>
        <w:jc w:val="center"/>
        <w:rPr>
          <w:rFonts w:ascii="Verdana" w:hAnsi="Verdana"/>
          <w:b/>
          <w:sz w:val="28"/>
          <w:szCs w:val="28"/>
        </w:rPr>
      </w:pPr>
    </w:p>
    <w:p w:rsidR="00413232" w:rsidRDefault="00413232" w:rsidP="006B3F28">
      <w:pPr>
        <w:spacing w:line="480" w:lineRule="auto"/>
        <w:jc w:val="center"/>
        <w:rPr>
          <w:rFonts w:ascii="Verdana" w:hAnsi="Verdana"/>
          <w:b/>
          <w:sz w:val="28"/>
          <w:szCs w:val="28"/>
        </w:rPr>
      </w:pPr>
    </w:p>
    <w:p w:rsidR="00413232" w:rsidRDefault="00413232" w:rsidP="006B3F28">
      <w:pPr>
        <w:spacing w:line="480" w:lineRule="auto"/>
        <w:jc w:val="center"/>
        <w:rPr>
          <w:rFonts w:ascii="Verdana" w:hAnsi="Verdana"/>
          <w:b/>
          <w:sz w:val="28"/>
          <w:szCs w:val="28"/>
        </w:rPr>
      </w:pPr>
    </w:p>
    <w:p w:rsidR="00B91F72" w:rsidRDefault="00B91F72" w:rsidP="006B3F28">
      <w:pPr>
        <w:spacing w:line="480" w:lineRule="auto"/>
        <w:jc w:val="center"/>
        <w:rPr>
          <w:rFonts w:ascii="Verdana" w:hAnsi="Verdana"/>
          <w:b/>
          <w:sz w:val="28"/>
          <w:szCs w:val="28"/>
        </w:rPr>
      </w:pPr>
    </w:p>
    <w:p w:rsidR="00B91F72" w:rsidRDefault="00B91F72"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6A3867" w:rsidRDefault="006A3867" w:rsidP="006B3F28">
      <w:pPr>
        <w:spacing w:line="480" w:lineRule="auto"/>
        <w:jc w:val="center"/>
        <w:rPr>
          <w:rFonts w:ascii="Verdana" w:hAnsi="Verdana"/>
          <w:b/>
          <w:sz w:val="28"/>
          <w:szCs w:val="28"/>
        </w:rPr>
      </w:pPr>
    </w:p>
    <w:p w:rsidR="00B91F72" w:rsidRDefault="00B91F72" w:rsidP="006B3F28">
      <w:pPr>
        <w:spacing w:line="480" w:lineRule="auto"/>
        <w:jc w:val="center"/>
        <w:rPr>
          <w:rFonts w:ascii="Verdana" w:hAnsi="Verdana"/>
          <w:b/>
          <w:sz w:val="28"/>
          <w:szCs w:val="28"/>
        </w:rPr>
      </w:pPr>
    </w:p>
    <w:p w:rsidR="00B91F72" w:rsidRDefault="00B91F72" w:rsidP="006B3F28">
      <w:pPr>
        <w:spacing w:line="480" w:lineRule="auto"/>
        <w:jc w:val="center"/>
        <w:rPr>
          <w:rFonts w:ascii="Verdana" w:hAnsi="Verdana"/>
          <w:b/>
          <w:sz w:val="28"/>
          <w:szCs w:val="28"/>
        </w:rPr>
      </w:pPr>
    </w:p>
    <w:p w:rsidR="00B91F72" w:rsidRDefault="00B91F72" w:rsidP="006B3F28">
      <w:pPr>
        <w:spacing w:line="480" w:lineRule="auto"/>
        <w:jc w:val="center"/>
        <w:rPr>
          <w:rFonts w:ascii="Verdana" w:hAnsi="Verdana"/>
          <w:b/>
          <w:sz w:val="28"/>
          <w:szCs w:val="28"/>
        </w:rPr>
      </w:pPr>
    </w:p>
    <w:p w:rsidR="00413232" w:rsidRDefault="00413232" w:rsidP="006B3F28">
      <w:pPr>
        <w:spacing w:line="480" w:lineRule="auto"/>
        <w:jc w:val="center"/>
        <w:rPr>
          <w:rFonts w:ascii="Verdana" w:hAnsi="Verdana"/>
          <w:b/>
          <w:sz w:val="28"/>
          <w:szCs w:val="28"/>
        </w:rPr>
      </w:pPr>
    </w:p>
    <w:p w:rsidR="006B3F28" w:rsidRPr="00FC15DE" w:rsidRDefault="006B3F28" w:rsidP="006B3F28">
      <w:pPr>
        <w:spacing w:line="480" w:lineRule="auto"/>
        <w:jc w:val="center"/>
        <w:rPr>
          <w:rFonts w:ascii="Verdana" w:hAnsi="Verdana"/>
          <w:b/>
          <w:sz w:val="28"/>
          <w:szCs w:val="28"/>
        </w:rPr>
      </w:pPr>
      <w:r w:rsidRPr="00FC15DE">
        <w:rPr>
          <w:rFonts w:ascii="Verdana" w:hAnsi="Verdana"/>
          <w:b/>
          <w:sz w:val="28"/>
          <w:szCs w:val="28"/>
        </w:rPr>
        <w:t>CAP</w:t>
      </w:r>
      <w:r>
        <w:rPr>
          <w:rFonts w:ascii="Verdana" w:hAnsi="Verdana"/>
          <w:b/>
          <w:sz w:val="28"/>
          <w:szCs w:val="28"/>
        </w:rPr>
        <w:t>Í</w:t>
      </w:r>
      <w:r w:rsidRPr="00FC15DE">
        <w:rPr>
          <w:rFonts w:ascii="Verdana" w:hAnsi="Verdana"/>
          <w:b/>
          <w:sz w:val="28"/>
          <w:szCs w:val="28"/>
        </w:rPr>
        <w:t>TULO II</w:t>
      </w:r>
    </w:p>
    <w:p w:rsidR="006B3F28" w:rsidRPr="00FC15DE" w:rsidRDefault="006B3F28" w:rsidP="006B3F28">
      <w:pPr>
        <w:spacing w:line="480" w:lineRule="auto"/>
        <w:jc w:val="center"/>
        <w:rPr>
          <w:rFonts w:ascii="Verdana" w:hAnsi="Verdana"/>
          <w:b/>
          <w:sz w:val="28"/>
          <w:szCs w:val="28"/>
        </w:rPr>
      </w:pPr>
      <w:r>
        <w:rPr>
          <w:rFonts w:ascii="Verdana" w:hAnsi="Verdana"/>
          <w:b/>
          <w:sz w:val="28"/>
          <w:szCs w:val="28"/>
        </w:rPr>
        <w:t>ANÁ</w:t>
      </w:r>
      <w:r w:rsidRPr="00FC15DE">
        <w:rPr>
          <w:rFonts w:ascii="Verdana" w:hAnsi="Verdana"/>
          <w:b/>
          <w:sz w:val="28"/>
          <w:szCs w:val="28"/>
        </w:rPr>
        <w:t>LISIS  DEL  UNIBANCO</w:t>
      </w:r>
    </w:p>
    <w:p w:rsidR="006B3F28" w:rsidRPr="00FC15DE" w:rsidRDefault="006B3F28" w:rsidP="006B3F28">
      <w:pPr>
        <w:spacing w:line="480" w:lineRule="auto"/>
        <w:jc w:val="both"/>
        <w:rPr>
          <w:rFonts w:ascii="Verdana" w:hAnsi="Verdana" w:cs="Arial"/>
        </w:rPr>
      </w:pPr>
    </w:p>
    <w:p w:rsidR="006B3F28" w:rsidRPr="00BB1432" w:rsidRDefault="006B3F28" w:rsidP="006B3F28">
      <w:pPr>
        <w:numPr>
          <w:ilvl w:val="1"/>
          <w:numId w:val="7"/>
        </w:numPr>
        <w:spacing w:line="480" w:lineRule="auto"/>
        <w:jc w:val="both"/>
        <w:rPr>
          <w:rFonts w:ascii="Verdana" w:hAnsi="Verdana"/>
          <w:b/>
          <w:sz w:val="22"/>
          <w:szCs w:val="22"/>
        </w:rPr>
      </w:pPr>
      <w:r w:rsidRPr="00BB1432">
        <w:rPr>
          <w:rFonts w:ascii="Verdana" w:hAnsi="Verdana"/>
          <w:b/>
          <w:sz w:val="22"/>
          <w:szCs w:val="22"/>
        </w:rPr>
        <w:t>A</w:t>
      </w:r>
      <w:r w:rsidR="00FD5C1E" w:rsidRPr="00BB1432">
        <w:rPr>
          <w:rFonts w:ascii="Verdana" w:hAnsi="Verdana"/>
          <w:b/>
          <w:sz w:val="22"/>
          <w:szCs w:val="22"/>
        </w:rPr>
        <w:t>NTECEDENTES</w:t>
      </w:r>
      <w:r w:rsidRPr="00BB1432">
        <w:rPr>
          <w:rStyle w:val="Refdenotaalpie"/>
          <w:rFonts w:ascii="Verdana" w:hAnsi="Verdana"/>
          <w:b/>
          <w:sz w:val="22"/>
          <w:szCs w:val="22"/>
        </w:rPr>
        <w:footnoteReference w:id="7"/>
      </w:r>
    </w:p>
    <w:p w:rsidR="006B3F28" w:rsidRPr="00BB1432" w:rsidRDefault="006B3F28" w:rsidP="006B3F28">
      <w:pPr>
        <w:spacing w:line="480" w:lineRule="auto"/>
        <w:jc w:val="both"/>
        <w:rPr>
          <w:rFonts w:ascii="Verdana" w:hAnsi="Verdana"/>
          <w:b/>
          <w:sz w:val="22"/>
          <w:szCs w:val="22"/>
        </w:rPr>
      </w:pPr>
    </w:p>
    <w:p w:rsidR="006B3F28" w:rsidRPr="00BB1432" w:rsidRDefault="006B3F28" w:rsidP="006B3F28">
      <w:pPr>
        <w:spacing w:line="480" w:lineRule="auto"/>
        <w:jc w:val="both"/>
        <w:rPr>
          <w:rFonts w:ascii="Verdana" w:hAnsi="Verdana"/>
          <w:b/>
          <w:sz w:val="22"/>
          <w:szCs w:val="22"/>
        </w:rPr>
      </w:pPr>
      <w:r w:rsidRPr="00BB1432">
        <w:rPr>
          <w:rFonts w:ascii="Verdana" w:hAnsi="Verdana"/>
          <w:b/>
          <w:sz w:val="22"/>
          <w:szCs w:val="22"/>
        </w:rPr>
        <w:t xml:space="preserve">     </w:t>
      </w:r>
      <w:r w:rsidRPr="00BB1432">
        <w:rPr>
          <w:rFonts w:ascii="Verdana" w:hAnsi="Verdana"/>
          <w:sz w:val="22"/>
          <w:szCs w:val="22"/>
        </w:rPr>
        <w:t>En 1963 se funda el Banco de Cooperativas del Ecuador, institución administrada po</w:t>
      </w:r>
      <w:r w:rsidR="00ED2093" w:rsidRPr="00BB1432">
        <w:rPr>
          <w:rFonts w:ascii="Verdana" w:hAnsi="Verdana"/>
          <w:sz w:val="22"/>
          <w:szCs w:val="22"/>
        </w:rPr>
        <w:t>r el sector cooperativo hasta 1</w:t>
      </w:r>
      <w:r w:rsidRPr="00BB1432">
        <w:rPr>
          <w:rFonts w:ascii="Verdana" w:hAnsi="Verdana"/>
          <w:sz w:val="22"/>
          <w:szCs w:val="22"/>
        </w:rPr>
        <w:t xml:space="preserve">993. </w:t>
      </w:r>
    </w:p>
    <w:p w:rsidR="006B3F28" w:rsidRPr="00BB1432" w:rsidRDefault="006B3F28" w:rsidP="006B3F28">
      <w:pPr>
        <w:spacing w:line="480" w:lineRule="auto"/>
        <w:jc w:val="both"/>
        <w:rPr>
          <w:rFonts w:ascii="Verdana" w:hAnsi="Verdana"/>
          <w:sz w:val="22"/>
          <w:szCs w:val="22"/>
        </w:rPr>
      </w:pPr>
    </w:p>
    <w:p w:rsidR="006B3F28" w:rsidRPr="00BB1432" w:rsidRDefault="006B3F28" w:rsidP="006B3F28">
      <w:pPr>
        <w:spacing w:line="480" w:lineRule="auto"/>
        <w:jc w:val="both"/>
        <w:rPr>
          <w:rFonts w:ascii="Verdana" w:hAnsi="Verdana"/>
          <w:sz w:val="22"/>
          <w:szCs w:val="22"/>
        </w:rPr>
      </w:pPr>
      <w:r w:rsidRPr="00BB1432">
        <w:rPr>
          <w:rFonts w:ascii="Verdana" w:hAnsi="Verdana"/>
          <w:sz w:val="22"/>
          <w:szCs w:val="22"/>
        </w:rPr>
        <w:t xml:space="preserve">     En 1995, bajo una nueva administración se cambia la razón social a la de Banco Universal S.A. UniBanco </w:t>
      </w:r>
    </w:p>
    <w:p w:rsidR="00B8634F" w:rsidRPr="00BB1432" w:rsidRDefault="00B8634F" w:rsidP="00B8634F">
      <w:pPr>
        <w:rPr>
          <w:rFonts w:ascii="Verdana" w:hAnsi="Verdana"/>
          <w:sz w:val="22"/>
          <w:szCs w:val="22"/>
        </w:rPr>
      </w:pPr>
    </w:p>
    <w:p w:rsidR="00B8634F" w:rsidRPr="00BB1432" w:rsidRDefault="00B8634F" w:rsidP="00B8634F">
      <w:pPr>
        <w:rPr>
          <w:rFonts w:ascii="Verdana" w:hAnsi="Verdana"/>
          <w:sz w:val="22"/>
          <w:szCs w:val="22"/>
        </w:rPr>
      </w:pPr>
    </w:p>
    <w:p w:rsidR="006B3F28" w:rsidRPr="00BB1432" w:rsidRDefault="006B3F28" w:rsidP="006B3F28">
      <w:pPr>
        <w:spacing w:line="480" w:lineRule="auto"/>
        <w:jc w:val="both"/>
        <w:rPr>
          <w:rFonts w:ascii="Verdana" w:hAnsi="Verdana"/>
          <w:sz w:val="22"/>
          <w:szCs w:val="22"/>
        </w:rPr>
      </w:pPr>
      <w:r w:rsidRPr="00BB1432">
        <w:rPr>
          <w:rFonts w:ascii="Verdana" w:hAnsi="Verdana"/>
          <w:sz w:val="22"/>
          <w:szCs w:val="22"/>
        </w:rPr>
        <w:t xml:space="preserve">     A partir de 1996 UniBanco se especializa en la atención de crédito para personas naturales de la clase media trabajadora del país.</w:t>
      </w:r>
    </w:p>
    <w:p w:rsidR="006B3F28" w:rsidRPr="00BB1432" w:rsidRDefault="006B3F28" w:rsidP="006B3F28">
      <w:pPr>
        <w:spacing w:line="480" w:lineRule="auto"/>
        <w:jc w:val="both"/>
        <w:rPr>
          <w:rFonts w:ascii="Verdana" w:hAnsi="Verdana"/>
          <w:sz w:val="22"/>
          <w:szCs w:val="22"/>
        </w:rPr>
      </w:pPr>
    </w:p>
    <w:p w:rsidR="006B3F28" w:rsidRPr="00BB1432" w:rsidRDefault="006B3F28" w:rsidP="006B3F28">
      <w:pPr>
        <w:spacing w:line="480" w:lineRule="auto"/>
        <w:jc w:val="both"/>
        <w:rPr>
          <w:rFonts w:ascii="Verdana" w:hAnsi="Verdana"/>
          <w:sz w:val="22"/>
          <w:szCs w:val="22"/>
        </w:rPr>
      </w:pPr>
      <w:r w:rsidRPr="00BB1432">
        <w:rPr>
          <w:rFonts w:ascii="Verdana" w:hAnsi="Verdana"/>
          <w:sz w:val="22"/>
          <w:szCs w:val="22"/>
        </w:rPr>
        <w:t xml:space="preserve">     El firme posicionamiento de UniBanco en el mercado de créditos de consumo ha permitido ofrecer a sus clientes depositantes, servicios financieros caracterizados por su seguridad, solidez institucional, profesionalismo y tasas de interés muy competitivas, manteniendo el objetivo principal de establecer relaciones de largo plazo con sus inversionistas. </w:t>
      </w:r>
    </w:p>
    <w:p w:rsidR="006B3F28" w:rsidRPr="00BB1432" w:rsidRDefault="006B3F28" w:rsidP="006B3F28">
      <w:pPr>
        <w:spacing w:line="480" w:lineRule="auto"/>
        <w:jc w:val="both"/>
        <w:rPr>
          <w:rFonts w:ascii="Verdana" w:hAnsi="Verdana"/>
          <w:sz w:val="22"/>
          <w:szCs w:val="22"/>
        </w:rPr>
      </w:pPr>
    </w:p>
    <w:p w:rsidR="00F52FFD" w:rsidRPr="00BB1432" w:rsidRDefault="00F52FFD" w:rsidP="00F52FFD">
      <w:pPr>
        <w:spacing w:line="480" w:lineRule="auto"/>
        <w:jc w:val="both"/>
        <w:rPr>
          <w:rFonts w:ascii="Verdana" w:hAnsi="Verdana"/>
          <w:sz w:val="22"/>
          <w:szCs w:val="22"/>
        </w:rPr>
      </w:pPr>
      <w:r w:rsidRPr="00BB1432">
        <w:rPr>
          <w:rFonts w:ascii="Verdana" w:hAnsi="Verdana"/>
          <w:sz w:val="22"/>
          <w:szCs w:val="22"/>
        </w:rPr>
        <w:t xml:space="preserve">     UniBanco ha sido durante los últimos años un actor importante de la reactivación económica del país a través de la generación del consumo interno de bienes y servicios. Y sobre todo contribuyendo a mejorar la calidad de vida de cientos de miles de ecuatorianos.</w:t>
      </w:r>
    </w:p>
    <w:p w:rsidR="00B8634F" w:rsidRPr="00BB1432" w:rsidRDefault="00B8634F" w:rsidP="00F52FFD">
      <w:pPr>
        <w:spacing w:line="480" w:lineRule="auto"/>
        <w:jc w:val="both"/>
        <w:rPr>
          <w:rFonts w:ascii="Verdana" w:hAnsi="Verdana"/>
          <w:sz w:val="22"/>
          <w:szCs w:val="22"/>
        </w:rPr>
      </w:pPr>
    </w:p>
    <w:p w:rsidR="00F52FFD" w:rsidRPr="00BB1432" w:rsidRDefault="003A2BD5" w:rsidP="003A2BD5">
      <w:pPr>
        <w:spacing w:line="480" w:lineRule="auto"/>
        <w:jc w:val="center"/>
        <w:rPr>
          <w:rFonts w:ascii="Verdana" w:hAnsi="Verdana"/>
          <w:b/>
          <w:sz w:val="22"/>
          <w:szCs w:val="22"/>
        </w:rPr>
      </w:pPr>
      <w:r w:rsidRPr="00BB1432">
        <w:rPr>
          <w:rFonts w:ascii="Verdana" w:hAnsi="Verdana"/>
          <w:b/>
          <w:sz w:val="22"/>
          <w:szCs w:val="22"/>
        </w:rPr>
        <w:t>Cuadro 2.1</w:t>
      </w:r>
    </w:p>
    <w:p w:rsidR="003A2BD5" w:rsidRPr="00BB1432" w:rsidRDefault="003A2BD5" w:rsidP="003A2BD5">
      <w:pPr>
        <w:spacing w:line="480" w:lineRule="auto"/>
        <w:jc w:val="center"/>
        <w:rPr>
          <w:rFonts w:ascii="Verdana" w:hAnsi="Verdana"/>
          <w:b/>
          <w:sz w:val="22"/>
          <w:szCs w:val="22"/>
        </w:rPr>
      </w:pPr>
      <w:r w:rsidRPr="00BB1432">
        <w:rPr>
          <w:rFonts w:ascii="Verdana" w:hAnsi="Verdana"/>
          <w:b/>
          <w:sz w:val="22"/>
          <w:szCs w:val="22"/>
        </w:rPr>
        <w:t xml:space="preserve">Total de Créditos </w:t>
      </w:r>
      <w:r w:rsidR="00EE1BC1" w:rsidRPr="00BB1432">
        <w:rPr>
          <w:rFonts w:ascii="Verdana" w:hAnsi="Verdana"/>
          <w:b/>
          <w:sz w:val="22"/>
          <w:szCs w:val="22"/>
        </w:rPr>
        <w:t xml:space="preserve">Netos </w:t>
      </w:r>
      <w:r w:rsidRPr="00BB1432">
        <w:rPr>
          <w:rFonts w:ascii="Verdana" w:hAnsi="Verdana"/>
          <w:b/>
          <w:sz w:val="22"/>
          <w:szCs w:val="22"/>
        </w:rPr>
        <w:t>Entregados por Unibanco S.A.</w:t>
      </w:r>
    </w:p>
    <w:tbl>
      <w:tblPr>
        <w:tblStyle w:val="Tablaconcuadrcula"/>
        <w:tblW w:w="0" w:type="auto"/>
        <w:tblInd w:w="126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1E0"/>
      </w:tblPr>
      <w:tblGrid>
        <w:gridCol w:w="2951"/>
        <w:gridCol w:w="2952"/>
      </w:tblGrid>
      <w:tr w:rsidR="00F52FFD" w:rsidRPr="00BB1432">
        <w:trPr>
          <w:trHeight w:val="353"/>
        </w:trPr>
        <w:tc>
          <w:tcPr>
            <w:tcW w:w="2951" w:type="dxa"/>
            <w:tcBorders>
              <w:top w:val="single" w:sz="12" w:space="0" w:color="auto"/>
              <w:bottom w:val="single" w:sz="12" w:space="0" w:color="auto"/>
            </w:tcBorders>
            <w:shd w:val="clear" w:color="auto" w:fill="FFFF00"/>
          </w:tcPr>
          <w:p w:rsidR="00F52FFD" w:rsidRPr="00BB1432" w:rsidRDefault="00F52FFD" w:rsidP="003573B5">
            <w:pPr>
              <w:jc w:val="center"/>
              <w:rPr>
                <w:rFonts w:ascii="Verdana" w:hAnsi="Verdana"/>
                <w:sz w:val="22"/>
                <w:szCs w:val="22"/>
              </w:rPr>
            </w:pPr>
            <w:r w:rsidRPr="00BB1432">
              <w:rPr>
                <w:rFonts w:ascii="Verdana" w:hAnsi="Verdana"/>
                <w:sz w:val="22"/>
                <w:szCs w:val="22"/>
              </w:rPr>
              <w:t>AÑO</w:t>
            </w:r>
          </w:p>
        </w:tc>
        <w:tc>
          <w:tcPr>
            <w:tcW w:w="2952" w:type="dxa"/>
            <w:tcBorders>
              <w:top w:val="single" w:sz="12" w:space="0" w:color="auto"/>
              <w:bottom w:val="single" w:sz="12" w:space="0" w:color="auto"/>
            </w:tcBorders>
            <w:shd w:val="clear" w:color="auto" w:fill="FFFF00"/>
          </w:tcPr>
          <w:p w:rsidR="00F52FFD" w:rsidRPr="00BB1432" w:rsidRDefault="00F52FFD" w:rsidP="003573B5">
            <w:pPr>
              <w:jc w:val="center"/>
              <w:rPr>
                <w:rFonts w:ascii="Verdana" w:hAnsi="Verdana"/>
                <w:sz w:val="22"/>
                <w:szCs w:val="22"/>
              </w:rPr>
            </w:pPr>
            <w:r w:rsidRPr="00BB1432">
              <w:rPr>
                <w:rFonts w:ascii="Verdana" w:hAnsi="Verdana"/>
                <w:sz w:val="22"/>
                <w:szCs w:val="22"/>
              </w:rPr>
              <w:t>DOLARES</w:t>
            </w:r>
          </w:p>
        </w:tc>
      </w:tr>
      <w:tr w:rsidR="00F52FFD" w:rsidRPr="00BB1432">
        <w:trPr>
          <w:trHeight w:val="353"/>
        </w:trPr>
        <w:tc>
          <w:tcPr>
            <w:tcW w:w="2951" w:type="dxa"/>
            <w:tcBorders>
              <w:top w:val="single" w:sz="12" w:space="0" w:color="auto"/>
            </w:tcBorders>
          </w:tcPr>
          <w:p w:rsidR="00F52FFD" w:rsidRPr="00BB1432" w:rsidRDefault="00F52FFD" w:rsidP="003573B5">
            <w:pPr>
              <w:jc w:val="center"/>
              <w:rPr>
                <w:rFonts w:ascii="Verdana" w:hAnsi="Verdana"/>
                <w:sz w:val="22"/>
                <w:szCs w:val="22"/>
              </w:rPr>
            </w:pPr>
            <w:r w:rsidRPr="00BB1432">
              <w:rPr>
                <w:rFonts w:ascii="Verdana" w:hAnsi="Verdana"/>
                <w:sz w:val="22"/>
                <w:szCs w:val="22"/>
              </w:rPr>
              <w:t>DIC. 2002</w:t>
            </w:r>
          </w:p>
        </w:tc>
        <w:tc>
          <w:tcPr>
            <w:tcW w:w="2952" w:type="dxa"/>
            <w:tcBorders>
              <w:top w:val="single" w:sz="12" w:space="0" w:color="auto"/>
            </w:tcBorders>
          </w:tcPr>
          <w:p w:rsidR="00F52FFD" w:rsidRPr="00BB1432" w:rsidRDefault="00F52FFD" w:rsidP="003573B5">
            <w:pPr>
              <w:jc w:val="right"/>
              <w:rPr>
                <w:rFonts w:ascii="Verdana" w:hAnsi="Verdana"/>
                <w:sz w:val="22"/>
                <w:szCs w:val="22"/>
              </w:rPr>
            </w:pPr>
            <w:r w:rsidRPr="00BB1432">
              <w:rPr>
                <w:rFonts w:ascii="Verdana" w:hAnsi="Verdana"/>
                <w:sz w:val="22"/>
                <w:szCs w:val="22"/>
              </w:rPr>
              <w:t>64.136.042,29</w:t>
            </w:r>
          </w:p>
        </w:tc>
      </w:tr>
      <w:tr w:rsidR="00F52FFD" w:rsidRPr="00BB1432">
        <w:trPr>
          <w:trHeight w:val="379"/>
        </w:trPr>
        <w:tc>
          <w:tcPr>
            <w:tcW w:w="2951" w:type="dxa"/>
          </w:tcPr>
          <w:p w:rsidR="00F52FFD" w:rsidRPr="00BB1432" w:rsidRDefault="00F52FFD" w:rsidP="003573B5">
            <w:pPr>
              <w:jc w:val="center"/>
              <w:rPr>
                <w:rFonts w:ascii="Verdana" w:hAnsi="Verdana"/>
                <w:sz w:val="22"/>
                <w:szCs w:val="22"/>
              </w:rPr>
            </w:pPr>
            <w:r w:rsidRPr="00BB1432">
              <w:rPr>
                <w:rFonts w:ascii="Verdana" w:hAnsi="Verdana"/>
                <w:sz w:val="22"/>
                <w:szCs w:val="22"/>
              </w:rPr>
              <w:t>DIC. 2003</w:t>
            </w:r>
          </w:p>
        </w:tc>
        <w:tc>
          <w:tcPr>
            <w:tcW w:w="2952" w:type="dxa"/>
          </w:tcPr>
          <w:p w:rsidR="00F52FFD" w:rsidRPr="00BB1432" w:rsidRDefault="00F52FFD" w:rsidP="003573B5">
            <w:pPr>
              <w:jc w:val="right"/>
              <w:rPr>
                <w:rFonts w:ascii="Verdana" w:hAnsi="Verdana"/>
                <w:sz w:val="22"/>
                <w:szCs w:val="22"/>
              </w:rPr>
            </w:pPr>
            <w:r w:rsidRPr="00BB1432">
              <w:rPr>
                <w:rFonts w:ascii="Verdana" w:hAnsi="Verdana"/>
                <w:sz w:val="22"/>
                <w:szCs w:val="22"/>
              </w:rPr>
              <w:t>75.477.855,61</w:t>
            </w:r>
          </w:p>
        </w:tc>
      </w:tr>
      <w:tr w:rsidR="00F52FFD" w:rsidRPr="00BB1432">
        <w:trPr>
          <w:trHeight w:val="353"/>
        </w:trPr>
        <w:tc>
          <w:tcPr>
            <w:tcW w:w="2951" w:type="dxa"/>
          </w:tcPr>
          <w:p w:rsidR="00F52FFD" w:rsidRPr="00BB1432" w:rsidRDefault="00F52FFD" w:rsidP="003573B5">
            <w:pPr>
              <w:jc w:val="center"/>
              <w:rPr>
                <w:rFonts w:ascii="Verdana" w:hAnsi="Verdana"/>
                <w:sz w:val="22"/>
                <w:szCs w:val="22"/>
              </w:rPr>
            </w:pPr>
            <w:r w:rsidRPr="00BB1432">
              <w:rPr>
                <w:rFonts w:ascii="Verdana" w:hAnsi="Verdana"/>
                <w:sz w:val="22"/>
                <w:szCs w:val="22"/>
              </w:rPr>
              <w:t>DIC. 2004</w:t>
            </w:r>
          </w:p>
        </w:tc>
        <w:tc>
          <w:tcPr>
            <w:tcW w:w="2952" w:type="dxa"/>
          </w:tcPr>
          <w:p w:rsidR="00F52FFD" w:rsidRPr="00BB1432" w:rsidRDefault="00F52FFD" w:rsidP="003573B5">
            <w:pPr>
              <w:jc w:val="right"/>
              <w:rPr>
                <w:rFonts w:ascii="Verdana" w:hAnsi="Verdana"/>
                <w:sz w:val="22"/>
                <w:szCs w:val="22"/>
              </w:rPr>
            </w:pPr>
            <w:r w:rsidRPr="00BB1432">
              <w:rPr>
                <w:rFonts w:ascii="Verdana" w:hAnsi="Verdana"/>
                <w:sz w:val="22"/>
                <w:szCs w:val="22"/>
              </w:rPr>
              <w:t>106.857.271,97</w:t>
            </w:r>
          </w:p>
        </w:tc>
      </w:tr>
      <w:tr w:rsidR="00F52FFD" w:rsidRPr="00BB1432">
        <w:trPr>
          <w:trHeight w:val="353"/>
        </w:trPr>
        <w:tc>
          <w:tcPr>
            <w:tcW w:w="2951" w:type="dxa"/>
          </w:tcPr>
          <w:p w:rsidR="00F52FFD" w:rsidRPr="00BB1432" w:rsidRDefault="00F52FFD" w:rsidP="003573B5">
            <w:pPr>
              <w:jc w:val="center"/>
              <w:rPr>
                <w:rFonts w:ascii="Verdana" w:hAnsi="Verdana"/>
                <w:sz w:val="22"/>
                <w:szCs w:val="22"/>
              </w:rPr>
            </w:pPr>
            <w:r w:rsidRPr="00BB1432">
              <w:rPr>
                <w:rFonts w:ascii="Verdana" w:hAnsi="Verdana"/>
                <w:sz w:val="22"/>
                <w:szCs w:val="22"/>
              </w:rPr>
              <w:t>DIC. 2005</w:t>
            </w:r>
          </w:p>
        </w:tc>
        <w:tc>
          <w:tcPr>
            <w:tcW w:w="2952" w:type="dxa"/>
          </w:tcPr>
          <w:p w:rsidR="00F52FFD" w:rsidRPr="00BB1432" w:rsidRDefault="00F52FFD" w:rsidP="003573B5">
            <w:pPr>
              <w:jc w:val="right"/>
              <w:rPr>
                <w:rFonts w:ascii="Verdana" w:hAnsi="Verdana"/>
                <w:sz w:val="22"/>
                <w:szCs w:val="22"/>
              </w:rPr>
            </w:pPr>
            <w:r w:rsidRPr="00BB1432">
              <w:rPr>
                <w:rFonts w:ascii="Verdana" w:hAnsi="Verdana"/>
                <w:sz w:val="22"/>
                <w:szCs w:val="22"/>
              </w:rPr>
              <w:t>163.337.999,00</w:t>
            </w:r>
          </w:p>
        </w:tc>
      </w:tr>
      <w:tr w:rsidR="00F52FFD" w:rsidRPr="00BB1432">
        <w:trPr>
          <w:trHeight w:val="353"/>
        </w:trPr>
        <w:tc>
          <w:tcPr>
            <w:tcW w:w="2951" w:type="dxa"/>
          </w:tcPr>
          <w:p w:rsidR="00F52FFD" w:rsidRPr="00BB1432" w:rsidRDefault="00F52FFD" w:rsidP="003573B5">
            <w:pPr>
              <w:jc w:val="center"/>
              <w:rPr>
                <w:rFonts w:ascii="Verdana" w:hAnsi="Verdana"/>
                <w:sz w:val="22"/>
                <w:szCs w:val="22"/>
              </w:rPr>
            </w:pPr>
            <w:r w:rsidRPr="00BB1432">
              <w:rPr>
                <w:rFonts w:ascii="Verdana" w:hAnsi="Verdana"/>
                <w:sz w:val="22"/>
                <w:szCs w:val="22"/>
              </w:rPr>
              <w:t>DIC. 2006</w:t>
            </w:r>
          </w:p>
        </w:tc>
        <w:tc>
          <w:tcPr>
            <w:tcW w:w="2952" w:type="dxa"/>
          </w:tcPr>
          <w:p w:rsidR="00F52FFD" w:rsidRPr="00BB1432" w:rsidRDefault="00F52FFD" w:rsidP="003573B5">
            <w:pPr>
              <w:jc w:val="right"/>
              <w:rPr>
                <w:rFonts w:ascii="Verdana" w:hAnsi="Verdana"/>
                <w:sz w:val="22"/>
                <w:szCs w:val="22"/>
              </w:rPr>
            </w:pPr>
            <w:r w:rsidRPr="00BB1432">
              <w:rPr>
                <w:rFonts w:ascii="Verdana" w:hAnsi="Verdana"/>
                <w:sz w:val="22"/>
                <w:szCs w:val="22"/>
              </w:rPr>
              <w:t>182.845.701,57</w:t>
            </w:r>
          </w:p>
        </w:tc>
      </w:tr>
    </w:tbl>
    <w:p w:rsidR="001835AA" w:rsidRDefault="001835AA" w:rsidP="00A86D73">
      <w:pPr>
        <w:spacing w:before="120"/>
        <w:ind w:left="539" w:firstLine="541"/>
        <w:rPr>
          <w:rFonts w:ascii="Verdana" w:hAnsi="Verdana" w:cs="Arial"/>
          <w:b/>
          <w:i/>
          <w:sz w:val="18"/>
          <w:szCs w:val="18"/>
        </w:rPr>
      </w:pPr>
    </w:p>
    <w:p w:rsidR="003A2BD5" w:rsidRPr="00A86D73" w:rsidRDefault="003A2BD5" w:rsidP="00A86D73">
      <w:pPr>
        <w:spacing w:before="120"/>
        <w:ind w:left="539" w:firstLine="541"/>
        <w:rPr>
          <w:rFonts w:ascii="Verdana" w:hAnsi="Verdana" w:cs="Arial"/>
          <w:i/>
          <w:sz w:val="18"/>
          <w:szCs w:val="18"/>
        </w:rPr>
      </w:pPr>
      <w:r w:rsidRPr="00A86D73">
        <w:rPr>
          <w:rFonts w:ascii="Verdana" w:hAnsi="Verdana" w:cs="Arial"/>
          <w:b/>
          <w:i/>
          <w:sz w:val="18"/>
          <w:szCs w:val="18"/>
        </w:rPr>
        <w:t>Fuente:</w:t>
      </w:r>
      <w:r w:rsidRPr="00A86D73">
        <w:rPr>
          <w:rFonts w:ascii="Verdana" w:hAnsi="Verdana" w:cs="Arial"/>
          <w:i/>
          <w:sz w:val="18"/>
          <w:szCs w:val="18"/>
        </w:rPr>
        <w:t xml:space="preserve"> Página Web UnibancoS.A.</w:t>
      </w:r>
    </w:p>
    <w:p w:rsidR="003A2BD5" w:rsidRPr="00A86D73" w:rsidRDefault="003A2BD5" w:rsidP="00A86D73">
      <w:pPr>
        <w:spacing w:before="120"/>
        <w:ind w:left="539" w:firstLine="541"/>
        <w:rPr>
          <w:rFonts w:ascii="Verdana" w:hAnsi="Verdana" w:cs="Arial"/>
          <w:i/>
          <w:sz w:val="18"/>
          <w:szCs w:val="18"/>
        </w:rPr>
      </w:pPr>
      <w:r w:rsidRPr="00A86D73">
        <w:rPr>
          <w:rFonts w:ascii="Verdana" w:hAnsi="Verdana" w:cs="Arial"/>
          <w:b/>
          <w:i/>
          <w:sz w:val="18"/>
          <w:szCs w:val="18"/>
        </w:rPr>
        <w:t>Elaborado por</w:t>
      </w:r>
      <w:r w:rsidR="00A86D73">
        <w:rPr>
          <w:rFonts w:ascii="Verdana" w:hAnsi="Verdana" w:cs="Arial"/>
          <w:b/>
          <w:i/>
          <w:sz w:val="18"/>
          <w:szCs w:val="18"/>
        </w:rPr>
        <w:t>:</w:t>
      </w:r>
      <w:r w:rsidRPr="00A86D73">
        <w:rPr>
          <w:rFonts w:ascii="Verdana" w:hAnsi="Verdana" w:cs="Arial"/>
          <w:b/>
          <w:i/>
          <w:sz w:val="18"/>
          <w:szCs w:val="18"/>
        </w:rPr>
        <w:t xml:space="preserve"> </w:t>
      </w:r>
      <w:r w:rsidRPr="00A86D73">
        <w:rPr>
          <w:rFonts w:ascii="Verdana" w:hAnsi="Verdana" w:cs="Arial"/>
          <w:i/>
          <w:sz w:val="18"/>
          <w:szCs w:val="18"/>
        </w:rPr>
        <w:t>los Autores</w:t>
      </w:r>
    </w:p>
    <w:p w:rsidR="00B8634F" w:rsidRDefault="00B8634F" w:rsidP="003A2BD5">
      <w:pPr>
        <w:spacing w:before="120"/>
        <w:ind w:left="539" w:firstLine="170"/>
        <w:jc w:val="center"/>
        <w:rPr>
          <w:rFonts w:ascii="Verdana" w:hAnsi="Verdana" w:cs="Arial"/>
          <w:i/>
          <w:sz w:val="20"/>
          <w:szCs w:val="20"/>
        </w:rPr>
      </w:pPr>
    </w:p>
    <w:p w:rsidR="001835AA" w:rsidRDefault="001835AA" w:rsidP="003A2BD5">
      <w:pPr>
        <w:spacing w:before="120"/>
        <w:ind w:left="539" w:firstLine="170"/>
        <w:jc w:val="center"/>
        <w:rPr>
          <w:rFonts w:ascii="Verdana" w:hAnsi="Verdana" w:cs="Arial"/>
          <w:i/>
          <w:sz w:val="20"/>
          <w:szCs w:val="20"/>
        </w:rPr>
      </w:pPr>
    </w:p>
    <w:p w:rsidR="00B8634F" w:rsidRPr="00BB1432" w:rsidRDefault="00B8634F" w:rsidP="003A2BD5">
      <w:pPr>
        <w:spacing w:before="120"/>
        <w:ind w:left="539" w:firstLine="170"/>
        <w:jc w:val="center"/>
        <w:rPr>
          <w:rFonts w:ascii="Verdana" w:hAnsi="Verdana" w:cs="Arial"/>
          <w:i/>
          <w:sz w:val="22"/>
          <w:szCs w:val="22"/>
        </w:rPr>
      </w:pPr>
    </w:p>
    <w:p w:rsidR="00B8634F" w:rsidRPr="00BB1432" w:rsidRDefault="00B8634F" w:rsidP="003A2BD5">
      <w:pPr>
        <w:spacing w:before="120"/>
        <w:ind w:left="539" w:firstLine="170"/>
        <w:jc w:val="center"/>
        <w:rPr>
          <w:rFonts w:ascii="Verdana" w:hAnsi="Verdana" w:cs="Arial"/>
          <w:i/>
          <w:sz w:val="22"/>
          <w:szCs w:val="22"/>
        </w:rPr>
      </w:pPr>
    </w:p>
    <w:p w:rsidR="007C21B7" w:rsidRPr="00BB1432" w:rsidRDefault="006B3F28" w:rsidP="007C21B7">
      <w:pPr>
        <w:numPr>
          <w:ilvl w:val="2"/>
          <w:numId w:val="7"/>
        </w:numPr>
        <w:spacing w:before="120" w:line="480" w:lineRule="auto"/>
        <w:jc w:val="both"/>
        <w:rPr>
          <w:rFonts w:ascii="Verdana" w:hAnsi="Verdana"/>
          <w:b/>
          <w:sz w:val="22"/>
          <w:szCs w:val="22"/>
        </w:rPr>
      </w:pPr>
      <w:r w:rsidRPr="00BB1432">
        <w:rPr>
          <w:rFonts w:ascii="Verdana" w:hAnsi="Verdana"/>
          <w:b/>
          <w:sz w:val="22"/>
          <w:szCs w:val="22"/>
        </w:rPr>
        <w:t>Unibanco como Institución Financiera</w:t>
      </w:r>
    </w:p>
    <w:p w:rsidR="007C21B7" w:rsidRPr="00BB1432" w:rsidRDefault="007C21B7" w:rsidP="007C21B7">
      <w:pPr>
        <w:spacing w:before="120" w:line="480" w:lineRule="auto"/>
        <w:jc w:val="both"/>
        <w:rPr>
          <w:rFonts w:ascii="Verdana" w:hAnsi="Verdana"/>
          <w:b/>
          <w:sz w:val="22"/>
          <w:szCs w:val="22"/>
        </w:rPr>
      </w:pPr>
      <w:r w:rsidRPr="00BB1432">
        <w:rPr>
          <w:rFonts w:ascii="Verdana" w:hAnsi="Verdana"/>
          <w:b/>
          <w:sz w:val="22"/>
          <w:szCs w:val="22"/>
        </w:rPr>
        <w:t xml:space="preserve">     </w:t>
      </w:r>
      <w:r w:rsidR="006B3F28" w:rsidRPr="00BB1432">
        <w:rPr>
          <w:rFonts w:ascii="Verdana" w:hAnsi="Verdana"/>
          <w:sz w:val="22"/>
          <w:szCs w:val="22"/>
        </w:rPr>
        <w:t xml:space="preserve">Banco Universal S.A. Unibanco nace con la misión de contribuir a mejorar la calidad de vida de las personas, a través de la atención oportuna y segura de sus necesidades financieras, en las áreas de crédito, ahorro e inversión. </w:t>
      </w:r>
    </w:p>
    <w:p w:rsidR="007C21B7" w:rsidRPr="00BB1432" w:rsidRDefault="007C21B7" w:rsidP="007C21B7">
      <w:pPr>
        <w:spacing w:before="120" w:line="480" w:lineRule="auto"/>
        <w:jc w:val="both"/>
        <w:rPr>
          <w:rFonts w:ascii="Verdana" w:hAnsi="Verdana"/>
          <w:b/>
          <w:sz w:val="22"/>
          <w:szCs w:val="22"/>
        </w:rPr>
      </w:pPr>
    </w:p>
    <w:p w:rsidR="00F70E60" w:rsidRPr="00BB1432" w:rsidRDefault="007C21B7" w:rsidP="00F70E60">
      <w:pPr>
        <w:spacing w:before="120" w:line="480" w:lineRule="auto"/>
        <w:jc w:val="both"/>
        <w:rPr>
          <w:rFonts w:ascii="Verdana" w:hAnsi="Verdana"/>
          <w:b/>
          <w:sz w:val="22"/>
          <w:szCs w:val="22"/>
        </w:rPr>
      </w:pPr>
      <w:r w:rsidRPr="00BB1432">
        <w:rPr>
          <w:rFonts w:ascii="Verdana" w:hAnsi="Verdana"/>
          <w:b/>
          <w:sz w:val="22"/>
          <w:szCs w:val="22"/>
        </w:rPr>
        <w:t xml:space="preserve">     </w:t>
      </w:r>
      <w:smartTag w:uri="urn:schemas-microsoft-com:office:smarttags" w:element="PersonName">
        <w:smartTagPr>
          <w:attr w:name="ProductID" w:val="La Instituci￳n"/>
        </w:smartTagPr>
        <w:r w:rsidR="006B3F28" w:rsidRPr="00BB1432">
          <w:rPr>
            <w:rFonts w:ascii="Verdana" w:hAnsi="Verdana"/>
            <w:sz w:val="22"/>
            <w:szCs w:val="22"/>
          </w:rPr>
          <w:t>La Institución</w:t>
        </w:r>
      </w:smartTag>
      <w:r w:rsidR="006B3F28" w:rsidRPr="00BB1432">
        <w:rPr>
          <w:rFonts w:ascii="Verdana" w:hAnsi="Verdana"/>
          <w:sz w:val="22"/>
          <w:szCs w:val="22"/>
        </w:rPr>
        <w:t xml:space="preserve"> conciente de la enorme responsabilidad que conlleva el cuidado en el manejo de dinero de sus depositantes, ha establecido políticas de comunicación transparentes hacia sus clientes; siguiendo, desde sus inicios, una línea conservadora y prudente en el manejo financiero de sus productos, buscando mantener los niveles de desempeño y administración de riesgo, garantizando la seguridad de los clientes, depositantes e inversionistas. </w:t>
      </w:r>
    </w:p>
    <w:p w:rsidR="00F70E60" w:rsidRPr="00BB1432" w:rsidRDefault="00F70E60" w:rsidP="00F70E60">
      <w:pPr>
        <w:spacing w:before="120" w:line="480" w:lineRule="auto"/>
        <w:jc w:val="both"/>
        <w:rPr>
          <w:rFonts w:ascii="Verdana" w:hAnsi="Verdana"/>
          <w:b/>
          <w:sz w:val="22"/>
          <w:szCs w:val="22"/>
        </w:rPr>
      </w:pPr>
      <w:r w:rsidRPr="00BB1432">
        <w:rPr>
          <w:rFonts w:ascii="Verdana" w:hAnsi="Verdana"/>
          <w:b/>
          <w:sz w:val="22"/>
          <w:szCs w:val="22"/>
        </w:rPr>
        <w:t xml:space="preserve">  </w:t>
      </w:r>
    </w:p>
    <w:p w:rsidR="006B3F28" w:rsidRPr="00BB1432" w:rsidRDefault="00F70E60" w:rsidP="00F70E60">
      <w:pPr>
        <w:spacing w:before="120" w:line="480" w:lineRule="auto"/>
        <w:jc w:val="both"/>
        <w:rPr>
          <w:rFonts w:ascii="Verdana" w:hAnsi="Verdana"/>
          <w:b/>
          <w:sz w:val="22"/>
          <w:szCs w:val="22"/>
        </w:rPr>
      </w:pPr>
      <w:r w:rsidRPr="00BB1432">
        <w:rPr>
          <w:rFonts w:ascii="Verdana" w:hAnsi="Verdana"/>
          <w:b/>
          <w:sz w:val="22"/>
          <w:szCs w:val="22"/>
        </w:rPr>
        <w:t xml:space="preserve">     </w:t>
      </w:r>
      <w:r w:rsidR="006B3F28" w:rsidRPr="00BB1432">
        <w:rPr>
          <w:rFonts w:ascii="Verdana" w:hAnsi="Verdana"/>
          <w:sz w:val="22"/>
          <w:szCs w:val="22"/>
        </w:rPr>
        <w:t>Este desempeño eficiente ha llevado a que en la actualidad, el banco sea uno de los más sólidos del sistema financiero nacional.</w:t>
      </w:r>
    </w:p>
    <w:p w:rsidR="00B8634F" w:rsidRDefault="006B3F28" w:rsidP="006B3F28">
      <w:pPr>
        <w:spacing w:before="120" w:line="480" w:lineRule="auto"/>
        <w:ind w:firstLine="539"/>
        <w:jc w:val="both"/>
        <w:rPr>
          <w:rFonts w:ascii="Verdana" w:hAnsi="Verdana"/>
          <w:sz w:val="22"/>
          <w:szCs w:val="22"/>
        </w:rPr>
      </w:pPr>
      <w:r w:rsidRPr="00BB1432">
        <w:rPr>
          <w:rFonts w:ascii="Verdana" w:hAnsi="Verdana"/>
          <w:sz w:val="22"/>
          <w:szCs w:val="22"/>
        </w:rPr>
        <w:t xml:space="preserve">  </w:t>
      </w:r>
    </w:p>
    <w:p w:rsidR="00A86D73" w:rsidRPr="00BB1432" w:rsidRDefault="00A86D73" w:rsidP="006B3F28">
      <w:pPr>
        <w:spacing w:before="120" w:line="480" w:lineRule="auto"/>
        <w:ind w:firstLine="539"/>
        <w:jc w:val="both"/>
        <w:rPr>
          <w:rFonts w:ascii="Verdana" w:hAnsi="Verdana"/>
          <w:sz w:val="22"/>
          <w:szCs w:val="22"/>
        </w:rPr>
      </w:pPr>
    </w:p>
    <w:p w:rsidR="006B3F28" w:rsidRPr="00BB1432" w:rsidRDefault="006B3F28" w:rsidP="00F70E60">
      <w:pPr>
        <w:spacing w:before="120" w:line="480" w:lineRule="auto"/>
        <w:jc w:val="both"/>
        <w:rPr>
          <w:rFonts w:ascii="Verdana" w:hAnsi="Verdana"/>
          <w:b/>
          <w:sz w:val="22"/>
          <w:szCs w:val="22"/>
        </w:rPr>
      </w:pPr>
      <w:r w:rsidRPr="00BB1432">
        <w:rPr>
          <w:rFonts w:ascii="Verdana" w:hAnsi="Verdana"/>
          <w:b/>
          <w:sz w:val="22"/>
          <w:szCs w:val="22"/>
        </w:rPr>
        <w:t>2.1.2 Unibanco como Banco de Consumo</w:t>
      </w:r>
    </w:p>
    <w:p w:rsidR="006B3F28" w:rsidRDefault="00F70E60" w:rsidP="006B3F28">
      <w:pPr>
        <w:spacing w:before="120" w:line="480" w:lineRule="auto"/>
        <w:jc w:val="both"/>
        <w:rPr>
          <w:rFonts w:ascii="Verdana" w:hAnsi="Verdana"/>
          <w:sz w:val="22"/>
          <w:szCs w:val="22"/>
        </w:rPr>
      </w:pPr>
      <w:r w:rsidRPr="00BB1432">
        <w:rPr>
          <w:rFonts w:ascii="Verdana" w:hAnsi="Verdana"/>
          <w:sz w:val="22"/>
          <w:szCs w:val="22"/>
        </w:rPr>
        <w:t xml:space="preserve">     </w:t>
      </w:r>
      <w:r w:rsidR="006B3F28" w:rsidRPr="00BB1432">
        <w:rPr>
          <w:rFonts w:ascii="Verdana" w:hAnsi="Verdana"/>
          <w:sz w:val="22"/>
          <w:szCs w:val="22"/>
        </w:rPr>
        <w:t>Unibanco es considerado como el Banco Líder de Consumo en el Ecuador, el mismo que desde 1996 cuenta con 400.000 clientes vigentes de crédito, 53 oficinas, 700 cadenas comerciales, 6800 establecimientos afiliados y un crédito promedio de 290 dólares por cliente.</w:t>
      </w:r>
    </w:p>
    <w:p w:rsidR="00A86D73" w:rsidRPr="00BB1432" w:rsidRDefault="00A86D73" w:rsidP="006B3F28">
      <w:pPr>
        <w:spacing w:before="120" w:line="480" w:lineRule="auto"/>
        <w:jc w:val="both"/>
        <w:rPr>
          <w:rFonts w:ascii="Verdana" w:hAnsi="Verdana"/>
          <w:sz w:val="22"/>
          <w:szCs w:val="22"/>
        </w:rPr>
      </w:pPr>
    </w:p>
    <w:p w:rsidR="006B3F28" w:rsidRPr="00BB1432" w:rsidRDefault="006B3F28" w:rsidP="006B3F28">
      <w:pPr>
        <w:spacing w:before="120" w:line="480" w:lineRule="auto"/>
        <w:jc w:val="both"/>
        <w:rPr>
          <w:rFonts w:ascii="Verdana" w:hAnsi="Verdana"/>
          <w:sz w:val="22"/>
          <w:szCs w:val="22"/>
        </w:rPr>
      </w:pPr>
      <w:r w:rsidRPr="00BB1432">
        <w:rPr>
          <w:rFonts w:ascii="Verdana" w:hAnsi="Verdana"/>
          <w:sz w:val="22"/>
          <w:szCs w:val="22"/>
        </w:rPr>
        <w:tab/>
        <w:t xml:space="preserve">Gracias al gran número de clientes vigentes con los que cuenta </w:t>
      </w:r>
      <w:smartTag w:uri="urn:schemas-microsoft-com:office:smarttags" w:element="PersonName">
        <w:smartTagPr>
          <w:attr w:name="ProductID" w:val="La Instituci￳n"/>
        </w:smartTagPr>
        <w:r w:rsidRPr="00BB1432">
          <w:rPr>
            <w:rFonts w:ascii="Verdana" w:hAnsi="Verdana"/>
            <w:sz w:val="22"/>
            <w:szCs w:val="22"/>
          </w:rPr>
          <w:t>la Institución</w:t>
        </w:r>
      </w:smartTag>
      <w:r w:rsidRPr="00BB1432">
        <w:rPr>
          <w:rFonts w:ascii="Verdana" w:hAnsi="Verdana"/>
          <w:sz w:val="22"/>
          <w:szCs w:val="22"/>
        </w:rPr>
        <w:t>, se aseguran las colocaciones de crédito, lo que permite diversificar potencialmente su cartera.</w:t>
      </w:r>
    </w:p>
    <w:p w:rsidR="006B3F28" w:rsidRPr="00BB1432" w:rsidRDefault="006B3F28" w:rsidP="006B3F28">
      <w:pPr>
        <w:spacing w:before="120" w:line="480" w:lineRule="auto"/>
        <w:jc w:val="both"/>
        <w:rPr>
          <w:rFonts w:ascii="Verdana" w:hAnsi="Verdana"/>
          <w:sz w:val="22"/>
          <w:szCs w:val="22"/>
        </w:rPr>
      </w:pPr>
    </w:p>
    <w:p w:rsidR="00B8634F" w:rsidRPr="00BB1432" w:rsidRDefault="00F70E60" w:rsidP="006B3F28">
      <w:pPr>
        <w:spacing w:before="120" w:line="480" w:lineRule="auto"/>
        <w:jc w:val="both"/>
        <w:rPr>
          <w:rFonts w:ascii="Verdana" w:hAnsi="Verdana"/>
          <w:sz w:val="22"/>
          <w:szCs w:val="22"/>
        </w:rPr>
      </w:pPr>
      <w:r w:rsidRPr="00BB1432">
        <w:rPr>
          <w:rFonts w:ascii="Verdana" w:hAnsi="Verdana"/>
          <w:sz w:val="22"/>
          <w:szCs w:val="22"/>
        </w:rPr>
        <w:t xml:space="preserve">     </w:t>
      </w:r>
      <w:r w:rsidR="006B3F28" w:rsidRPr="00BB1432">
        <w:rPr>
          <w:rFonts w:ascii="Verdana" w:hAnsi="Verdana"/>
          <w:sz w:val="22"/>
          <w:szCs w:val="22"/>
        </w:rPr>
        <w:t xml:space="preserve">La calificadora Bank Watch Ratings ha otorgado la calificación AA, calificación que ha ubicado a Unibanco como una de las Instituciones más sólidas dentro del Sistema Financiero Nacional.      </w:t>
      </w:r>
    </w:p>
    <w:p w:rsidR="00B8634F" w:rsidRPr="00BB1432" w:rsidRDefault="00B8634F" w:rsidP="006B3F28">
      <w:pPr>
        <w:spacing w:before="120" w:line="480" w:lineRule="auto"/>
        <w:jc w:val="both"/>
        <w:rPr>
          <w:rFonts w:ascii="Verdana" w:hAnsi="Verdana"/>
          <w:sz w:val="22"/>
          <w:szCs w:val="22"/>
        </w:rPr>
      </w:pPr>
    </w:p>
    <w:p w:rsidR="00B8634F" w:rsidRPr="00BB1432" w:rsidRDefault="00B8634F" w:rsidP="006B3F28">
      <w:pPr>
        <w:spacing w:before="120" w:line="480" w:lineRule="auto"/>
        <w:jc w:val="both"/>
        <w:rPr>
          <w:rFonts w:ascii="Verdana" w:hAnsi="Verdana"/>
          <w:b/>
          <w:sz w:val="22"/>
          <w:szCs w:val="22"/>
        </w:rPr>
      </w:pPr>
    </w:p>
    <w:p w:rsidR="006B3F28" w:rsidRPr="00BB1432" w:rsidRDefault="006B3F28" w:rsidP="006B3F28">
      <w:pPr>
        <w:spacing w:before="120" w:line="480" w:lineRule="auto"/>
        <w:jc w:val="both"/>
        <w:rPr>
          <w:rFonts w:ascii="Verdana" w:hAnsi="Verdana"/>
          <w:b/>
          <w:sz w:val="22"/>
          <w:szCs w:val="22"/>
        </w:rPr>
      </w:pPr>
      <w:r w:rsidRPr="00BB1432">
        <w:rPr>
          <w:rFonts w:ascii="Verdana" w:hAnsi="Verdana"/>
          <w:b/>
          <w:sz w:val="22"/>
          <w:szCs w:val="22"/>
        </w:rPr>
        <w:t xml:space="preserve">2.2 </w:t>
      </w:r>
      <w:r w:rsidR="00C75FD6" w:rsidRPr="00BB1432">
        <w:rPr>
          <w:rFonts w:ascii="Verdana" w:hAnsi="Verdana"/>
          <w:b/>
          <w:sz w:val="22"/>
          <w:szCs w:val="22"/>
        </w:rPr>
        <w:t>DESCRIPCIÓN DEL UNIBANCO: ANÁLISIS SITUACIONAL</w:t>
      </w:r>
    </w:p>
    <w:p w:rsidR="006B3F28" w:rsidRPr="00BB1432" w:rsidRDefault="006B3F28" w:rsidP="006B3F28">
      <w:pPr>
        <w:spacing w:before="120" w:line="480" w:lineRule="auto"/>
        <w:ind w:left="540"/>
        <w:jc w:val="both"/>
        <w:rPr>
          <w:rFonts w:ascii="Verdana" w:hAnsi="Verdana" w:cs="Arial"/>
          <w:sz w:val="22"/>
          <w:szCs w:val="22"/>
        </w:rPr>
      </w:pPr>
    </w:p>
    <w:p w:rsidR="006B3F28" w:rsidRPr="00BB1432" w:rsidRDefault="006B3F28" w:rsidP="006B3F28">
      <w:pPr>
        <w:spacing w:before="120" w:line="480" w:lineRule="auto"/>
        <w:ind w:left="540" w:firstLine="168"/>
        <w:jc w:val="both"/>
        <w:rPr>
          <w:rFonts w:ascii="Verdana" w:hAnsi="Verdana"/>
          <w:b/>
          <w:sz w:val="22"/>
          <w:szCs w:val="22"/>
        </w:rPr>
      </w:pPr>
      <w:r w:rsidRPr="00BB1432">
        <w:rPr>
          <w:rFonts w:ascii="Verdana" w:hAnsi="Verdana"/>
          <w:b/>
          <w:sz w:val="22"/>
          <w:szCs w:val="22"/>
        </w:rPr>
        <w:t>2.2.1 División del sistema financiero</w:t>
      </w:r>
    </w:p>
    <w:p w:rsidR="00F70E60" w:rsidRPr="00BB1432" w:rsidRDefault="006B3F28" w:rsidP="00F70E60">
      <w:pPr>
        <w:spacing w:before="120" w:line="480" w:lineRule="auto"/>
        <w:ind w:firstLine="539"/>
        <w:jc w:val="both"/>
        <w:rPr>
          <w:rFonts w:ascii="Verdana" w:hAnsi="Verdana" w:cs="Arial"/>
          <w:sz w:val="22"/>
          <w:szCs w:val="22"/>
        </w:rPr>
      </w:pPr>
      <w:r w:rsidRPr="00BB1432">
        <w:rPr>
          <w:rFonts w:ascii="Verdana" w:hAnsi="Verdana" w:cs="Arial"/>
          <w:sz w:val="22"/>
          <w:szCs w:val="22"/>
        </w:rPr>
        <w:t>Como se señaló en el cap</w:t>
      </w:r>
      <w:r w:rsidR="00A536D6" w:rsidRPr="00BB1432">
        <w:rPr>
          <w:rFonts w:ascii="Verdana" w:hAnsi="Verdana" w:cs="Arial"/>
          <w:sz w:val="22"/>
          <w:szCs w:val="22"/>
        </w:rPr>
        <w:t>í</w:t>
      </w:r>
      <w:r w:rsidRPr="00BB1432">
        <w:rPr>
          <w:rFonts w:ascii="Verdana" w:hAnsi="Verdana" w:cs="Arial"/>
          <w:sz w:val="22"/>
          <w:szCs w:val="22"/>
        </w:rPr>
        <w:t>tulo 1, los bancos en Ecuador se clasifican en 3 grupos: Grandes, Medianos y Pequeños, los mismos que a su vez, pueden ser bancos de Consumo, Comerciales y de Vivienda.</w:t>
      </w:r>
    </w:p>
    <w:p w:rsidR="00F70E60" w:rsidRDefault="00F70E60" w:rsidP="00F70E60">
      <w:pPr>
        <w:spacing w:before="120" w:line="480" w:lineRule="auto"/>
        <w:ind w:firstLine="539"/>
        <w:jc w:val="both"/>
        <w:rPr>
          <w:rFonts w:ascii="Verdana" w:hAnsi="Verdana" w:cs="Arial"/>
          <w:sz w:val="22"/>
          <w:szCs w:val="22"/>
        </w:rPr>
      </w:pPr>
    </w:p>
    <w:p w:rsidR="00D41289" w:rsidRDefault="00D41289" w:rsidP="00F70E60">
      <w:pPr>
        <w:spacing w:before="120" w:line="480" w:lineRule="auto"/>
        <w:ind w:firstLine="539"/>
        <w:jc w:val="both"/>
        <w:rPr>
          <w:rFonts w:ascii="Verdana" w:hAnsi="Verdana" w:cs="Arial"/>
          <w:sz w:val="22"/>
          <w:szCs w:val="22"/>
        </w:rPr>
      </w:pPr>
    </w:p>
    <w:p w:rsidR="00D41289" w:rsidRPr="00BB1432" w:rsidRDefault="00D41289" w:rsidP="00F70E60">
      <w:pPr>
        <w:spacing w:before="120" w:line="480" w:lineRule="auto"/>
        <w:ind w:firstLine="539"/>
        <w:jc w:val="both"/>
        <w:rPr>
          <w:rFonts w:ascii="Verdana" w:hAnsi="Verdana" w:cs="Arial"/>
          <w:sz w:val="22"/>
          <w:szCs w:val="22"/>
        </w:rPr>
      </w:pPr>
    </w:p>
    <w:p w:rsidR="006B3F28" w:rsidRPr="00BB1432" w:rsidRDefault="006B3F28" w:rsidP="006B3F28">
      <w:pPr>
        <w:spacing w:before="120" w:line="480" w:lineRule="auto"/>
        <w:ind w:firstLine="708"/>
        <w:jc w:val="both"/>
        <w:rPr>
          <w:rFonts w:ascii="Verdana" w:hAnsi="Verdana" w:cs="Arial"/>
          <w:b/>
          <w:sz w:val="22"/>
          <w:szCs w:val="22"/>
        </w:rPr>
      </w:pPr>
      <w:r w:rsidRPr="00BB1432">
        <w:rPr>
          <w:rFonts w:ascii="Verdana" w:hAnsi="Verdana" w:cs="Arial"/>
          <w:b/>
          <w:sz w:val="22"/>
          <w:szCs w:val="22"/>
        </w:rPr>
        <w:t>2.2.2 Participación del mercado</w:t>
      </w:r>
    </w:p>
    <w:p w:rsidR="006B3F28" w:rsidRPr="00BB1432" w:rsidRDefault="006B3F28" w:rsidP="006B3F28">
      <w:pPr>
        <w:spacing w:before="120" w:line="480" w:lineRule="auto"/>
        <w:ind w:firstLine="708"/>
        <w:jc w:val="both"/>
        <w:rPr>
          <w:rFonts w:ascii="Verdana" w:hAnsi="Verdana" w:cs="Arial"/>
          <w:sz w:val="22"/>
          <w:szCs w:val="22"/>
        </w:rPr>
      </w:pPr>
      <w:r w:rsidRPr="00BB1432">
        <w:rPr>
          <w:rFonts w:ascii="Verdana" w:hAnsi="Verdana" w:cs="Arial"/>
          <w:sz w:val="22"/>
          <w:szCs w:val="22"/>
        </w:rPr>
        <w:t>Unibanco ocupa el puesto 17 en depósitos a la vista (ahorro) y el número 7 en pólizas de acumulación. Y ocupa además, el puesto 10  por su cartera de créditos.</w:t>
      </w:r>
    </w:p>
    <w:p w:rsidR="006B3F28" w:rsidRPr="00BB1432" w:rsidRDefault="006B3F28" w:rsidP="006B3F28">
      <w:pPr>
        <w:spacing w:before="120" w:line="480" w:lineRule="auto"/>
        <w:ind w:firstLine="540"/>
        <w:jc w:val="both"/>
        <w:rPr>
          <w:rFonts w:ascii="Verdana" w:hAnsi="Verdana" w:cs="Arial"/>
          <w:sz w:val="22"/>
          <w:szCs w:val="22"/>
        </w:rPr>
      </w:pPr>
    </w:p>
    <w:p w:rsidR="006B3F28" w:rsidRPr="00BB1432" w:rsidRDefault="006B3F28" w:rsidP="006B3F28">
      <w:pPr>
        <w:spacing w:before="120" w:line="480" w:lineRule="auto"/>
        <w:ind w:firstLine="708"/>
        <w:jc w:val="both"/>
        <w:rPr>
          <w:rFonts w:ascii="Verdana" w:hAnsi="Verdana" w:cs="Arial"/>
          <w:b/>
          <w:sz w:val="22"/>
          <w:szCs w:val="22"/>
        </w:rPr>
      </w:pPr>
      <w:r w:rsidRPr="00BB1432">
        <w:rPr>
          <w:rFonts w:ascii="Verdana" w:hAnsi="Verdana" w:cs="Arial"/>
          <w:b/>
          <w:sz w:val="22"/>
          <w:szCs w:val="22"/>
        </w:rPr>
        <w:t xml:space="preserve">2.2.2.1 Titularización de Cartera </w:t>
      </w:r>
    </w:p>
    <w:p w:rsidR="006B3F28" w:rsidRPr="00BB1432" w:rsidRDefault="006B3F28" w:rsidP="006B3F28">
      <w:pPr>
        <w:spacing w:before="120" w:line="480" w:lineRule="auto"/>
        <w:ind w:firstLine="708"/>
        <w:jc w:val="both"/>
        <w:rPr>
          <w:rFonts w:ascii="Verdana" w:hAnsi="Verdana" w:cs="Arial"/>
          <w:sz w:val="22"/>
          <w:szCs w:val="22"/>
        </w:rPr>
      </w:pPr>
      <w:r w:rsidRPr="00BB1432">
        <w:rPr>
          <w:rFonts w:ascii="Verdana" w:hAnsi="Verdana"/>
          <w:sz w:val="22"/>
          <w:szCs w:val="22"/>
        </w:rPr>
        <w:t>Unibanco,  con el objeto de tener una mayor  participación en el mercado de valores y contar con nuevas alternati</w:t>
      </w:r>
      <w:r w:rsidR="009D0E77" w:rsidRPr="00BB1432">
        <w:rPr>
          <w:rFonts w:ascii="Verdana" w:hAnsi="Verdana"/>
          <w:sz w:val="22"/>
          <w:szCs w:val="22"/>
        </w:rPr>
        <w:t xml:space="preserve">vas de financiamiento, </w:t>
      </w:r>
      <w:r w:rsidRPr="00BB1432">
        <w:rPr>
          <w:rFonts w:ascii="Verdana" w:hAnsi="Verdana"/>
          <w:sz w:val="22"/>
          <w:szCs w:val="22"/>
        </w:rPr>
        <w:t>ha realizado dos titularizaciones de Cartera de Consumo, las mismas que fueron exitosamente colocadas en su totalidad.</w:t>
      </w:r>
    </w:p>
    <w:p w:rsidR="00305C6A" w:rsidRPr="00BB1432" w:rsidRDefault="00305C6A" w:rsidP="006B3F28">
      <w:pPr>
        <w:spacing w:before="120" w:line="480" w:lineRule="auto"/>
        <w:ind w:firstLine="708"/>
        <w:jc w:val="both"/>
        <w:rPr>
          <w:rFonts w:ascii="Verdana" w:hAnsi="Verdana" w:cs="Arial"/>
          <w:sz w:val="22"/>
          <w:szCs w:val="22"/>
        </w:rPr>
      </w:pPr>
    </w:p>
    <w:p w:rsidR="006B3F28" w:rsidRPr="00BB1432" w:rsidRDefault="006B3F28" w:rsidP="006B3F28">
      <w:pPr>
        <w:spacing w:before="120" w:line="480" w:lineRule="auto"/>
        <w:jc w:val="center"/>
        <w:rPr>
          <w:rFonts w:ascii="Verdana" w:hAnsi="Verdana" w:cs="Arial"/>
          <w:b/>
          <w:sz w:val="22"/>
          <w:szCs w:val="22"/>
        </w:rPr>
      </w:pPr>
      <w:r w:rsidRPr="00BB1432">
        <w:rPr>
          <w:rFonts w:ascii="Verdana" w:hAnsi="Verdana" w:cs="Arial"/>
          <w:b/>
          <w:sz w:val="22"/>
          <w:szCs w:val="22"/>
        </w:rPr>
        <w:t>Cuadro 2.2</w:t>
      </w:r>
    </w:p>
    <w:p w:rsidR="006B3F28" w:rsidRPr="00BB1432" w:rsidRDefault="006B3F28" w:rsidP="006B3F28">
      <w:pPr>
        <w:spacing w:before="120" w:line="480" w:lineRule="auto"/>
        <w:jc w:val="center"/>
        <w:rPr>
          <w:rFonts w:ascii="Verdana" w:hAnsi="Verdana" w:cs="Arial"/>
          <w:b/>
          <w:sz w:val="22"/>
          <w:szCs w:val="22"/>
        </w:rPr>
      </w:pPr>
      <w:r w:rsidRPr="00BB1432">
        <w:rPr>
          <w:rFonts w:ascii="Verdana" w:hAnsi="Verdana" w:cs="Arial"/>
          <w:b/>
          <w:sz w:val="22"/>
          <w:szCs w:val="22"/>
        </w:rPr>
        <w:t>Titularización de Cartera del Unibanco</w:t>
      </w:r>
    </w:p>
    <w:p w:rsidR="006B3F28" w:rsidRPr="00BB1432" w:rsidRDefault="00006ACE" w:rsidP="006B3F28">
      <w:pPr>
        <w:spacing w:before="120" w:line="480" w:lineRule="auto"/>
        <w:ind w:left="540" w:hanging="540"/>
        <w:jc w:val="both"/>
        <w:rPr>
          <w:rFonts w:ascii="Verdana" w:hAnsi="Verdana" w:cs="Arial"/>
          <w:b/>
          <w:sz w:val="22"/>
          <w:szCs w:val="22"/>
        </w:rPr>
      </w:pPr>
      <w:r>
        <w:rPr>
          <w:rFonts w:ascii="Verdana" w:hAnsi="Verdana" w:cs="Arial"/>
          <w:b/>
          <w:noProof/>
          <w:sz w:val="22"/>
          <w:szCs w:val="22"/>
          <w:lang w:val="es-ES" w:eastAsia="es-ES"/>
        </w:rPr>
        <w:drawing>
          <wp:inline distT="0" distB="0" distL="0" distR="0">
            <wp:extent cx="5400675" cy="2181225"/>
            <wp:effectExtent l="19050" t="19050" r="28575"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400675" cy="2181225"/>
                    </a:xfrm>
                    <a:prstGeom prst="rect">
                      <a:avLst/>
                    </a:prstGeom>
                    <a:noFill/>
                    <a:ln w="6350" cmpd="sng">
                      <a:solidFill>
                        <a:srgbClr val="000000"/>
                      </a:solidFill>
                      <a:miter lim="800000"/>
                      <a:headEnd/>
                      <a:tailEnd/>
                    </a:ln>
                    <a:effectLst/>
                  </pic:spPr>
                </pic:pic>
              </a:graphicData>
            </a:graphic>
          </wp:inline>
        </w:drawing>
      </w:r>
    </w:p>
    <w:p w:rsidR="006B3F28" w:rsidRPr="00A86D73" w:rsidRDefault="006B3F28" w:rsidP="00A86D73">
      <w:pPr>
        <w:spacing w:before="120"/>
        <w:rPr>
          <w:rFonts w:ascii="Verdana" w:hAnsi="Verdana" w:cs="Arial"/>
          <w:i/>
          <w:sz w:val="18"/>
          <w:szCs w:val="18"/>
        </w:rPr>
      </w:pPr>
      <w:r w:rsidRPr="00A86D73">
        <w:rPr>
          <w:rFonts w:ascii="Verdana" w:hAnsi="Verdana" w:cs="Arial"/>
          <w:b/>
          <w:i/>
          <w:sz w:val="18"/>
          <w:szCs w:val="18"/>
        </w:rPr>
        <w:t>Fuente:</w:t>
      </w:r>
      <w:r w:rsidRPr="00A86D73">
        <w:rPr>
          <w:rFonts w:ascii="Verdana" w:hAnsi="Verdana" w:cs="Arial"/>
          <w:i/>
          <w:sz w:val="18"/>
          <w:szCs w:val="18"/>
        </w:rPr>
        <w:t xml:space="preserve"> Página Web de Unibanco</w:t>
      </w:r>
    </w:p>
    <w:p w:rsidR="00B8634F" w:rsidRDefault="00B8634F" w:rsidP="006B3F28">
      <w:pPr>
        <w:spacing w:before="120" w:line="480" w:lineRule="auto"/>
        <w:ind w:left="540" w:firstLine="168"/>
        <w:jc w:val="both"/>
        <w:rPr>
          <w:rFonts w:ascii="Verdana" w:hAnsi="Verdana" w:cs="Arial"/>
          <w:b/>
          <w:sz w:val="22"/>
          <w:szCs w:val="22"/>
        </w:rPr>
      </w:pPr>
    </w:p>
    <w:p w:rsidR="006B3F28" w:rsidRPr="00BB1432" w:rsidRDefault="009D0E77" w:rsidP="006B3F28">
      <w:pPr>
        <w:spacing w:before="120" w:line="480" w:lineRule="auto"/>
        <w:ind w:left="540" w:firstLine="168"/>
        <w:jc w:val="both"/>
        <w:rPr>
          <w:rFonts w:ascii="Verdana" w:hAnsi="Verdana" w:cs="Arial"/>
          <w:b/>
          <w:sz w:val="22"/>
          <w:szCs w:val="22"/>
        </w:rPr>
      </w:pPr>
      <w:r w:rsidRPr="00BB1432">
        <w:rPr>
          <w:rFonts w:ascii="Verdana" w:hAnsi="Verdana" w:cs="Arial"/>
          <w:b/>
          <w:sz w:val="22"/>
          <w:szCs w:val="22"/>
        </w:rPr>
        <w:t>2.2.3 Indicadores Financieros</w:t>
      </w:r>
    </w:p>
    <w:p w:rsidR="009D0E77" w:rsidRDefault="009D0E77" w:rsidP="00A86D73">
      <w:pPr>
        <w:spacing w:before="120" w:line="480" w:lineRule="auto"/>
        <w:ind w:firstLine="708"/>
        <w:jc w:val="both"/>
        <w:rPr>
          <w:rFonts w:ascii="Verdana" w:hAnsi="Verdana" w:cs="Arial"/>
          <w:sz w:val="22"/>
          <w:szCs w:val="22"/>
        </w:rPr>
      </w:pPr>
      <w:r w:rsidRPr="00BB1432">
        <w:rPr>
          <w:rFonts w:ascii="Verdana" w:hAnsi="Verdana" w:cs="Arial"/>
          <w:sz w:val="22"/>
          <w:szCs w:val="22"/>
        </w:rPr>
        <w:t xml:space="preserve">Los Indicadores Financieros que presenta el boletín financiero son calculados para todas las instituciones financieras sujetas al control de </w:t>
      </w:r>
      <w:smartTag w:uri="urn:schemas-microsoft-com:office:smarttags" w:element="PersonName">
        <w:smartTagPr>
          <w:attr w:name="ProductID" w:val="la Superintendencia"/>
        </w:smartTagPr>
        <w:r w:rsidRPr="00BB1432">
          <w:rPr>
            <w:rFonts w:ascii="Verdana" w:hAnsi="Verdana" w:cs="Arial"/>
            <w:sz w:val="22"/>
            <w:szCs w:val="22"/>
          </w:rPr>
          <w:t>la Superintendencia</w:t>
        </w:r>
      </w:smartTag>
      <w:r w:rsidRPr="00BB1432">
        <w:rPr>
          <w:rFonts w:ascii="Verdana" w:hAnsi="Verdana" w:cs="Arial"/>
          <w:sz w:val="22"/>
          <w:szCs w:val="22"/>
        </w:rPr>
        <w:t xml:space="preserve"> de Bancos del Ecuador, y permite observar la estructura y calidad de activos, la rentabilidad, la eficiencia financiera y administrativa, la liquidez, los costos y rendimientos, la capitalización y apalancamiento de las entidades del sector. A través de estos indicadores se pueda evaluar la solvencia, la cobertura sobre el riesgo crediticio y la eficiencia de la gestión de las instituciones bancarias. </w:t>
      </w: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A86D73" w:rsidRDefault="00A86D73" w:rsidP="006B3F28">
      <w:pPr>
        <w:spacing w:before="120" w:line="480" w:lineRule="auto"/>
        <w:ind w:left="540" w:firstLine="168"/>
        <w:jc w:val="both"/>
        <w:rPr>
          <w:rFonts w:ascii="Verdana" w:hAnsi="Verdana" w:cs="Arial"/>
          <w:sz w:val="22"/>
          <w:szCs w:val="22"/>
        </w:rPr>
      </w:pPr>
    </w:p>
    <w:p w:rsidR="00A86D73" w:rsidRDefault="00A86D73"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Default="00D41289" w:rsidP="006B3F28">
      <w:pPr>
        <w:spacing w:before="120" w:line="480" w:lineRule="auto"/>
        <w:ind w:left="540" w:firstLine="168"/>
        <w:jc w:val="both"/>
        <w:rPr>
          <w:rFonts w:ascii="Verdana" w:hAnsi="Verdana" w:cs="Arial"/>
          <w:sz w:val="22"/>
          <w:szCs w:val="22"/>
        </w:rPr>
      </w:pPr>
    </w:p>
    <w:p w:rsidR="00D41289" w:rsidRPr="00BB1432" w:rsidRDefault="00D41289" w:rsidP="006B3F28">
      <w:pPr>
        <w:spacing w:before="120" w:line="480" w:lineRule="auto"/>
        <w:ind w:left="540" w:firstLine="168"/>
        <w:jc w:val="both"/>
        <w:rPr>
          <w:rFonts w:ascii="Verdana" w:hAnsi="Verdana" w:cs="Arial"/>
          <w:sz w:val="22"/>
          <w:szCs w:val="22"/>
        </w:rPr>
      </w:pPr>
    </w:p>
    <w:p w:rsidR="009D0E77" w:rsidRPr="00BB1432" w:rsidRDefault="009D0E77" w:rsidP="009D0E77">
      <w:pPr>
        <w:spacing w:before="120" w:line="480" w:lineRule="auto"/>
        <w:ind w:left="540" w:firstLine="168"/>
        <w:jc w:val="center"/>
        <w:rPr>
          <w:rFonts w:ascii="Verdana" w:hAnsi="Verdana" w:cs="Arial"/>
          <w:b/>
          <w:sz w:val="22"/>
          <w:szCs w:val="22"/>
        </w:rPr>
      </w:pPr>
      <w:r w:rsidRPr="00BB1432">
        <w:rPr>
          <w:rFonts w:ascii="Verdana" w:hAnsi="Verdana" w:cs="Arial"/>
          <w:b/>
          <w:sz w:val="22"/>
          <w:szCs w:val="22"/>
        </w:rPr>
        <w:t>Cuadro 2.3</w:t>
      </w:r>
    </w:p>
    <w:p w:rsidR="009D0E77" w:rsidRPr="00BB1432" w:rsidRDefault="009D0E77" w:rsidP="009D0E77">
      <w:pPr>
        <w:spacing w:before="120" w:line="480" w:lineRule="auto"/>
        <w:ind w:left="540" w:firstLine="168"/>
        <w:jc w:val="center"/>
        <w:rPr>
          <w:rFonts w:ascii="Verdana" w:hAnsi="Verdana" w:cs="Arial"/>
          <w:b/>
          <w:sz w:val="22"/>
          <w:szCs w:val="22"/>
        </w:rPr>
      </w:pPr>
      <w:r w:rsidRPr="00BB1432">
        <w:rPr>
          <w:rFonts w:ascii="Verdana" w:hAnsi="Verdana" w:cs="Arial"/>
          <w:b/>
          <w:sz w:val="22"/>
          <w:szCs w:val="22"/>
        </w:rPr>
        <w:t>Indicadores Financieros (a Dic. 2006)</w:t>
      </w:r>
    </w:p>
    <w:p w:rsidR="006B3F28" w:rsidRPr="006D7035" w:rsidRDefault="00006ACE" w:rsidP="009D0E77">
      <w:pPr>
        <w:spacing w:before="120" w:line="480" w:lineRule="auto"/>
        <w:jc w:val="center"/>
        <w:rPr>
          <w:sz w:val="22"/>
          <w:szCs w:val="22"/>
        </w:rPr>
      </w:pPr>
      <w:r>
        <w:rPr>
          <w:noProof/>
          <w:lang w:val="es-ES" w:eastAsia="es-ES"/>
        </w:rPr>
        <w:drawing>
          <wp:inline distT="0" distB="0" distL="0" distR="0">
            <wp:extent cx="5372100" cy="638175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5372100" cy="6381750"/>
                    </a:xfrm>
                    <a:prstGeom prst="rect">
                      <a:avLst/>
                    </a:prstGeom>
                    <a:noFill/>
                    <a:ln w="9525">
                      <a:noFill/>
                      <a:miter lim="800000"/>
                      <a:headEnd/>
                      <a:tailEnd/>
                    </a:ln>
                  </pic:spPr>
                </pic:pic>
              </a:graphicData>
            </a:graphic>
          </wp:inline>
        </w:drawing>
      </w:r>
    </w:p>
    <w:p w:rsidR="009D0E77" w:rsidRPr="00A86D73" w:rsidRDefault="009D0E77" w:rsidP="00A86D73">
      <w:pPr>
        <w:spacing w:before="120"/>
        <w:ind w:left="539" w:hanging="539"/>
        <w:rPr>
          <w:rFonts w:ascii="Verdana" w:hAnsi="Verdana" w:cs="Arial"/>
          <w:i/>
          <w:sz w:val="18"/>
          <w:szCs w:val="18"/>
        </w:rPr>
      </w:pPr>
      <w:r w:rsidRPr="00A86D73">
        <w:rPr>
          <w:rFonts w:ascii="Verdana" w:hAnsi="Verdana" w:cs="Arial"/>
          <w:b/>
          <w:i/>
          <w:sz w:val="18"/>
          <w:szCs w:val="18"/>
        </w:rPr>
        <w:t>Fuente:</w:t>
      </w:r>
      <w:r w:rsidRPr="00A86D73">
        <w:rPr>
          <w:rFonts w:ascii="Verdana" w:hAnsi="Verdana" w:cs="Arial"/>
          <w:i/>
          <w:sz w:val="18"/>
          <w:szCs w:val="18"/>
        </w:rPr>
        <w:t xml:space="preserve"> Página Web Super de Bancos</w:t>
      </w:r>
    </w:p>
    <w:p w:rsidR="009D0E77" w:rsidRPr="00A86D73" w:rsidRDefault="009D0E77" w:rsidP="00A86D73">
      <w:pPr>
        <w:spacing w:before="120"/>
        <w:ind w:left="539" w:hanging="539"/>
        <w:rPr>
          <w:rFonts w:ascii="Verdana" w:hAnsi="Verdana" w:cs="Arial"/>
          <w:i/>
          <w:sz w:val="18"/>
          <w:szCs w:val="18"/>
        </w:rPr>
      </w:pPr>
      <w:r w:rsidRPr="00A86D73">
        <w:rPr>
          <w:rFonts w:ascii="Verdana" w:hAnsi="Verdana" w:cs="Arial"/>
          <w:b/>
          <w:i/>
          <w:sz w:val="18"/>
          <w:szCs w:val="18"/>
        </w:rPr>
        <w:t>Elaborado por</w:t>
      </w:r>
      <w:r w:rsidR="00A86D73">
        <w:rPr>
          <w:rFonts w:ascii="Verdana" w:hAnsi="Verdana" w:cs="Arial"/>
          <w:b/>
          <w:i/>
          <w:sz w:val="18"/>
          <w:szCs w:val="18"/>
        </w:rPr>
        <w:t>:</w:t>
      </w:r>
      <w:r w:rsidRPr="00A86D73">
        <w:rPr>
          <w:rFonts w:ascii="Verdana" w:hAnsi="Verdana" w:cs="Arial"/>
          <w:b/>
          <w:i/>
          <w:sz w:val="18"/>
          <w:szCs w:val="18"/>
        </w:rPr>
        <w:t xml:space="preserve"> </w:t>
      </w:r>
      <w:r w:rsidR="00FD3661">
        <w:rPr>
          <w:rFonts w:ascii="Verdana" w:hAnsi="Verdana" w:cs="Arial"/>
          <w:i/>
          <w:sz w:val="18"/>
          <w:szCs w:val="18"/>
        </w:rPr>
        <w:t>L</w:t>
      </w:r>
      <w:r w:rsidRPr="00A86D73">
        <w:rPr>
          <w:rFonts w:ascii="Verdana" w:hAnsi="Verdana" w:cs="Arial"/>
          <w:i/>
          <w:sz w:val="18"/>
          <w:szCs w:val="18"/>
        </w:rPr>
        <w:t>os Autores</w:t>
      </w:r>
    </w:p>
    <w:p w:rsidR="00A86D73" w:rsidRDefault="00A86D73" w:rsidP="006B3F28">
      <w:pPr>
        <w:spacing w:before="120" w:line="480" w:lineRule="auto"/>
        <w:ind w:left="540" w:firstLine="168"/>
        <w:jc w:val="both"/>
        <w:rPr>
          <w:rFonts w:ascii="Verdana" w:hAnsi="Verdana" w:cs="Arial"/>
          <w:b/>
          <w:sz w:val="22"/>
          <w:szCs w:val="22"/>
        </w:rPr>
      </w:pPr>
    </w:p>
    <w:p w:rsidR="006B3F28" w:rsidRPr="00BB1432" w:rsidRDefault="006B3F28" w:rsidP="006B3F28">
      <w:pPr>
        <w:spacing w:before="120" w:line="480" w:lineRule="auto"/>
        <w:ind w:left="540" w:firstLine="168"/>
        <w:jc w:val="both"/>
        <w:rPr>
          <w:rFonts w:ascii="Verdana" w:hAnsi="Verdana" w:cs="Arial"/>
          <w:b/>
          <w:sz w:val="22"/>
          <w:szCs w:val="22"/>
        </w:rPr>
      </w:pPr>
      <w:r w:rsidRPr="00BB1432">
        <w:rPr>
          <w:rFonts w:ascii="Verdana" w:hAnsi="Verdana" w:cs="Arial"/>
          <w:b/>
          <w:sz w:val="22"/>
          <w:szCs w:val="22"/>
        </w:rPr>
        <w:t xml:space="preserve">2.2.3.1 Índices de Rentabilidad </w:t>
      </w:r>
    </w:p>
    <w:p w:rsidR="00900CE4" w:rsidRPr="00BB1432" w:rsidRDefault="006B3F28" w:rsidP="006B3F28">
      <w:pPr>
        <w:spacing w:before="120" w:line="480" w:lineRule="auto"/>
        <w:ind w:firstLine="708"/>
        <w:jc w:val="both"/>
        <w:rPr>
          <w:rFonts w:ascii="Verdana" w:hAnsi="Verdana" w:cs="Arial"/>
          <w:sz w:val="22"/>
          <w:szCs w:val="22"/>
        </w:rPr>
      </w:pPr>
      <w:r w:rsidRPr="00BB1432">
        <w:rPr>
          <w:rFonts w:ascii="Verdana" w:hAnsi="Verdana" w:cs="Arial"/>
          <w:sz w:val="22"/>
          <w:szCs w:val="22"/>
        </w:rPr>
        <w:t>A partir del año 1996, Unibanco inicia sus operaciones de crédito para las personas de la clase media trabajadora en el Ecuador, para analizar la situación</w:t>
      </w:r>
      <w:r w:rsidR="00352132">
        <w:rPr>
          <w:rFonts w:ascii="Verdana" w:hAnsi="Verdana" w:cs="Arial"/>
          <w:sz w:val="22"/>
          <w:szCs w:val="22"/>
        </w:rPr>
        <w:t xml:space="preserve"> financiera se tomará</w:t>
      </w:r>
      <w:r w:rsidRPr="00BB1432">
        <w:rPr>
          <w:rFonts w:ascii="Verdana" w:hAnsi="Verdana" w:cs="Arial"/>
          <w:sz w:val="22"/>
          <w:szCs w:val="22"/>
        </w:rPr>
        <w:t xml:space="preserve">n los índices de rentabilidad sobre activo y patrimonio luego de la implementación de la dolarización y crisis de los bancos en 1999. Estos indicadores nos permitirán observar la rentabilidad y eficiencia financiera y administrativa de </w:t>
      </w:r>
      <w:smartTag w:uri="urn:schemas-microsoft-com:office:smarttags" w:element="PersonName">
        <w:smartTagPr>
          <w:attr w:name="ProductID" w:val="la Instituci￳n. Seg￺n"/>
        </w:smartTagPr>
        <w:r w:rsidRPr="00BB1432">
          <w:rPr>
            <w:rFonts w:ascii="Verdana" w:hAnsi="Verdana" w:cs="Arial"/>
            <w:sz w:val="22"/>
            <w:szCs w:val="22"/>
          </w:rPr>
          <w:t>la Institución. Según</w:t>
        </w:r>
      </w:smartTag>
      <w:r w:rsidRPr="00BB1432">
        <w:rPr>
          <w:rFonts w:ascii="Verdana" w:hAnsi="Verdana" w:cs="Arial"/>
          <w:sz w:val="22"/>
          <w:szCs w:val="22"/>
        </w:rPr>
        <w:t xml:space="preserve"> los informes obtenidos de la página Web de Unibanco, se consideran los índices a partir de diciembre del 2005.</w:t>
      </w:r>
    </w:p>
    <w:p w:rsidR="006B3F28" w:rsidRPr="00BB1432" w:rsidRDefault="006B3F28" w:rsidP="006B3F28">
      <w:pPr>
        <w:spacing w:before="120" w:line="480" w:lineRule="auto"/>
        <w:ind w:firstLine="708"/>
        <w:jc w:val="both"/>
        <w:rPr>
          <w:rFonts w:ascii="Verdana" w:hAnsi="Verdana" w:cs="Arial"/>
          <w:sz w:val="22"/>
          <w:szCs w:val="22"/>
        </w:rPr>
      </w:pPr>
      <w:r w:rsidRPr="00BB1432">
        <w:rPr>
          <w:rFonts w:ascii="Verdana" w:hAnsi="Verdana" w:cs="Arial"/>
          <w:sz w:val="22"/>
          <w:szCs w:val="22"/>
        </w:rPr>
        <w:t xml:space="preserve">  </w:t>
      </w:r>
    </w:p>
    <w:p w:rsidR="006B3F28" w:rsidRPr="00BB1432" w:rsidRDefault="00142AD4" w:rsidP="006B3F28">
      <w:pPr>
        <w:spacing w:before="120" w:line="480" w:lineRule="auto"/>
        <w:ind w:left="539"/>
        <w:jc w:val="center"/>
        <w:rPr>
          <w:rFonts w:ascii="Verdana" w:hAnsi="Verdana" w:cs="Arial"/>
          <w:b/>
          <w:sz w:val="22"/>
          <w:szCs w:val="22"/>
        </w:rPr>
      </w:pPr>
      <w:r>
        <w:rPr>
          <w:rFonts w:ascii="Verdana" w:hAnsi="Verdana" w:cs="Arial"/>
          <w:b/>
          <w:sz w:val="22"/>
          <w:szCs w:val="22"/>
        </w:rPr>
        <w:t>Cuadro2.4</w:t>
      </w:r>
      <w:r w:rsidR="006B3F28" w:rsidRPr="00BB1432">
        <w:rPr>
          <w:rFonts w:ascii="Verdana" w:hAnsi="Verdana" w:cs="Arial"/>
          <w:b/>
          <w:sz w:val="22"/>
          <w:szCs w:val="22"/>
        </w:rPr>
        <w:t xml:space="preserve"> </w:t>
      </w:r>
    </w:p>
    <w:p w:rsidR="006B3F28" w:rsidRPr="00BB1432" w:rsidRDefault="006B3F28" w:rsidP="006B3F28">
      <w:pPr>
        <w:spacing w:before="120" w:line="480" w:lineRule="auto"/>
        <w:ind w:left="539"/>
        <w:jc w:val="center"/>
        <w:rPr>
          <w:rFonts w:ascii="Verdana" w:hAnsi="Verdana" w:cs="Arial"/>
          <w:b/>
          <w:sz w:val="22"/>
          <w:szCs w:val="22"/>
        </w:rPr>
      </w:pPr>
      <w:r w:rsidRPr="00BB1432">
        <w:rPr>
          <w:rFonts w:ascii="Verdana" w:hAnsi="Verdana" w:cs="Arial"/>
          <w:b/>
          <w:sz w:val="22"/>
          <w:szCs w:val="22"/>
        </w:rPr>
        <w:t>Índices de Rentabilidad</w:t>
      </w:r>
    </w:p>
    <w:p w:rsidR="006B3F28" w:rsidRPr="00BB1432" w:rsidRDefault="00006ACE" w:rsidP="00F70E60">
      <w:pPr>
        <w:spacing w:before="120" w:line="480" w:lineRule="auto"/>
        <w:jc w:val="center"/>
        <w:rPr>
          <w:rFonts w:ascii="Verdana" w:hAnsi="Verdana" w:cs="Arial"/>
          <w:sz w:val="22"/>
          <w:szCs w:val="22"/>
        </w:rPr>
      </w:pPr>
      <w:r>
        <w:rPr>
          <w:noProof/>
          <w:sz w:val="22"/>
          <w:szCs w:val="22"/>
          <w:lang w:val="es-ES" w:eastAsia="es-ES"/>
        </w:rPr>
        <w:drawing>
          <wp:inline distT="0" distB="0" distL="0" distR="0">
            <wp:extent cx="4819650" cy="8477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819650" cy="847725"/>
                    </a:xfrm>
                    <a:prstGeom prst="rect">
                      <a:avLst/>
                    </a:prstGeom>
                    <a:noFill/>
                    <a:ln w="9525">
                      <a:noFill/>
                      <a:miter lim="800000"/>
                      <a:headEnd/>
                      <a:tailEnd/>
                    </a:ln>
                  </pic:spPr>
                </pic:pic>
              </a:graphicData>
            </a:graphic>
          </wp:inline>
        </w:drawing>
      </w:r>
    </w:p>
    <w:p w:rsidR="006B3F28" w:rsidRPr="00A86D73" w:rsidRDefault="006B3F28" w:rsidP="00A86D73">
      <w:pPr>
        <w:ind w:firstLine="360"/>
        <w:rPr>
          <w:rFonts w:ascii="Verdana" w:hAnsi="Verdana"/>
          <w:i/>
          <w:sz w:val="18"/>
          <w:szCs w:val="18"/>
        </w:rPr>
      </w:pPr>
      <w:r w:rsidRPr="00A86D73">
        <w:rPr>
          <w:rFonts w:ascii="Verdana" w:hAnsi="Verdana"/>
          <w:b/>
          <w:i/>
          <w:sz w:val="18"/>
          <w:szCs w:val="18"/>
        </w:rPr>
        <w:t>Fuente:</w:t>
      </w:r>
      <w:r w:rsidRPr="00A86D73">
        <w:rPr>
          <w:rFonts w:ascii="Verdana" w:hAnsi="Verdana"/>
          <w:i/>
          <w:sz w:val="18"/>
          <w:szCs w:val="18"/>
        </w:rPr>
        <w:t xml:space="preserve"> Superintendencia de Bancos</w:t>
      </w:r>
    </w:p>
    <w:p w:rsidR="006B3F28" w:rsidRPr="00A86D73" w:rsidRDefault="006B3F28" w:rsidP="00A86D73">
      <w:pPr>
        <w:ind w:firstLine="360"/>
        <w:rPr>
          <w:rFonts w:ascii="Verdana" w:hAnsi="Verdana"/>
          <w:i/>
          <w:sz w:val="18"/>
          <w:szCs w:val="18"/>
        </w:rPr>
      </w:pPr>
      <w:r w:rsidRPr="00A86D73">
        <w:rPr>
          <w:rFonts w:ascii="Verdana" w:hAnsi="Verdana"/>
          <w:b/>
          <w:i/>
          <w:sz w:val="18"/>
          <w:szCs w:val="18"/>
        </w:rPr>
        <w:t>Elaborado por:</w:t>
      </w:r>
      <w:r w:rsidRPr="00A86D73">
        <w:rPr>
          <w:rFonts w:ascii="Verdana" w:hAnsi="Verdana"/>
          <w:i/>
          <w:sz w:val="18"/>
          <w:szCs w:val="18"/>
        </w:rPr>
        <w:t xml:space="preserve"> Los autores</w:t>
      </w:r>
    </w:p>
    <w:p w:rsidR="006B3F28" w:rsidRPr="00BB1432" w:rsidRDefault="006B3F28" w:rsidP="006B3F28">
      <w:pPr>
        <w:spacing w:before="120" w:line="480" w:lineRule="auto"/>
        <w:ind w:left="539"/>
        <w:jc w:val="center"/>
        <w:rPr>
          <w:rFonts w:ascii="Verdana" w:hAnsi="Verdana" w:cs="Arial"/>
          <w:i/>
          <w:sz w:val="22"/>
          <w:szCs w:val="22"/>
        </w:rPr>
      </w:pPr>
    </w:p>
    <w:p w:rsidR="006B3F28" w:rsidRPr="00BB1432" w:rsidRDefault="006B3F28" w:rsidP="006B3F28">
      <w:pPr>
        <w:spacing w:before="120" w:line="480" w:lineRule="auto"/>
        <w:ind w:firstLine="708"/>
        <w:jc w:val="both"/>
        <w:rPr>
          <w:rFonts w:ascii="Verdana" w:hAnsi="Verdana"/>
          <w:sz w:val="22"/>
          <w:szCs w:val="22"/>
        </w:rPr>
      </w:pPr>
      <w:r w:rsidRPr="00BB1432">
        <w:rPr>
          <w:rFonts w:ascii="Verdana" w:hAnsi="Verdana" w:cs="Arial"/>
          <w:sz w:val="22"/>
          <w:szCs w:val="22"/>
        </w:rPr>
        <w:t xml:space="preserve">El índice ROE mide el resultado del ejercicio sobre el Patrimonio Promedio, esto nos indica el nivel de retorno generado </w:t>
      </w:r>
      <w:r w:rsidR="00A536D6" w:rsidRPr="00BB1432">
        <w:rPr>
          <w:rFonts w:ascii="Verdana" w:hAnsi="Verdana" w:cs="Arial"/>
          <w:sz w:val="22"/>
          <w:szCs w:val="22"/>
        </w:rPr>
        <w:t>por el patrimonio, mientras más a</w:t>
      </w:r>
      <w:r w:rsidRPr="00BB1432">
        <w:rPr>
          <w:rFonts w:ascii="Verdana" w:hAnsi="Verdana" w:cs="Arial"/>
          <w:sz w:val="22"/>
          <w:szCs w:val="22"/>
        </w:rPr>
        <w:t xml:space="preserve">lta  es la relación, es mejor para los accionistas del banco. Como puede apreciarse el porcentaje mayor se da en junio del 2006 que es de 102.76 % para los siguientes trimestres septiembre y diciembre del mismo año son menores, aunque ha ido aumentando levemente. Comparando las cifras de </w:t>
      </w:r>
      <w:r w:rsidR="00102ABE" w:rsidRPr="00BB1432">
        <w:rPr>
          <w:rFonts w:ascii="Verdana" w:hAnsi="Verdana" w:cs="Arial"/>
          <w:sz w:val="22"/>
          <w:szCs w:val="22"/>
        </w:rPr>
        <w:t xml:space="preserve">cierre en </w:t>
      </w:r>
      <w:r w:rsidRPr="00BB1432">
        <w:rPr>
          <w:rFonts w:ascii="Verdana" w:hAnsi="Verdana" w:cs="Arial"/>
          <w:sz w:val="22"/>
          <w:szCs w:val="22"/>
        </w:rPr>
        <w:t xml:space="preserve">los meses de diciembre del 2005 y 2006 se tiene que el ROE aumentó considerablemente, gracias al aumento de las utilidades </w:t>
      </w:r>
      <w:r w:rsidR="00055AB3" w:rsidRPr="00BB1432">
        <w:rPr>
          <w:rFonts w:ascii="Verdana" w:hAnsi="Verdana" w:cs="Arial"/>
          <w:sz w:val="22"/>
          <w:szCs w:val="22"/>
        </w:rPr>
        <w:t xml:space="preserve">reconocidas </w:t>
      </w:r>
      <w:r w:rsidRPr="00BB1432">
        <w:rPr>
          <w:rFonts w:ascii="Verdana" w:hAnsi="Verdana" w:cs="Arial"/>
          <w:sz w:val="22"/>
          <w:szCs w:val="22"/>
        </w:rPr>
        <w:t>al final de cada año:</w:t>
      </w:r>
      <w:r w:rsidRPr="00BB1432">
        <w:rPr>
          <w:rFonts w:ascii="Verdana" w:hAnsi="Verdana" w:cs="Arial"/>
          <w:b/>
          <w:sz w:val="22"/>
          <w:szCs w:val="22"/>
        </w:rPr>
        <w:t xml:space="preserve"> </w:t>
      </w:r>
      <w:r w:rsidR="00102ABE" w:rsidRPr="00BB1432">
        <w:rPr>
          <w:rFonts w:ascii="Verdana" w:hAnsi="Verdana"/>
          <w:sz w:val="22"/>
          <w:szCs w:val="22"/>
        </w:rPr>
        <w:t>9’</w:t>
      </w:r>
      <w:r w:rsidRPr="00BB1432">
        <w:rPr>
          <w:rFonts w:ascii="Verdana" w:hAnsi="Verdana"/>
          <w:sz w:val="22"/>
          <w:szCs w:val="22"/>
        </w:rPr>
        <w:t xml:space="preserve">457.658 de dólares en el </w:t>
      </w:r>
      <w:smartTag w:uri="urn:schemas-microsoft-com:office:smarttags" w:element="metricconverter">
        <w:smartTagPr>
          <w:attr w:name="ProductID" w:val="2005 a"/>
        </w:smartTagPr>
        <w:r w:rsidRPr="00BB1432">
          <w:rPr>
            <w:rFonts w:ascii="Verdana" w:hAnsi="Verdana"/>
            <w:sz w:val="22"/>
            <w:szCs w:val="22"/>
          </w:rPr>
          <w:t>2005 a</w:t>
        </w:r>
      </w:smartTag>
      <w:r w:rsidR="00102ABE" w:rsidRPr="00BB1432">
        <w:rPr>
          <w:rFonts w:ascii="Verdana" w:hAnsi="Verdana"/>
          <w:sz w:val="22"/>
          <w:szCs w:val="22"/>
        </w:rPr>
        <w:t xml:space="preserve"> 20’</w:t>
      </w:r>
      <w:r w:rsidRPr="00BB1432">
        <w:rPr>
          <w:rFonts w:ascii="Verdana" w:hAnsi="Verdana"/>
          <w:sz w:val="22"/>
          <w:szCs w:val="22"/>
        </w:rPr>
        <w:t>514.834 para el 2006, lo cual resulta positivo para los accionistas.</w:t>
      </w:r>
      <w:r w:rsidR="00F97720" w:rsidRPr="00BB1432">
        <w:rPr>
          <w:rFonts w:ascii="Verdana" w:hAnsi="Verdana"/>
          <w:sz w:val="22"/>
          <w:szCs w:val="22"/>
          <w:shd w:val="clear" w:color="auto" w:fill="FFFF00"/>
        </w:rPr>
        <w:t xml:space="preserve"> </w:t>
      </w:r>
    </w:p>
    <w:p w:rsidR="006B3F28" w:rsidRPr="00BB1432" w:rsidRDefault="006B3F28" w:rsidP="006B3F28">
      <w:pPr>
        <w:spacing w:before="120" w:line="480" w:lineRule="auto"/>
        <w:ind w:firstLine="539"/>
        <w:jc w:val="both"/>
        <w:rPr>
          <w:rFonts w:ascii="Verdana" w:hAnsi="Verdana"/>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sz w:val="22"/>
          <w:szCs w:val="22"/>
        </w:rPr>
        <w:tab/>
        <w:t xml:space="preserve">Por otro lado el índice ROA mide </w:t>
      </w:r>
      <w:r w:rsidRPr="00BB1432">
        <w:rPr>
          <w:rFonts w:ascii="Verdana" w:hAnsi="Verdana" w:cs="Arial"/>
          <w:sz w:val="22"/>
          <w:szCs w:val="22"/>
        </w:rPr>
        <w:t xml:space="preserve">la relación del resultado del ejercicio sobre el total activo promedio para medir el nivel de pérdida o utilidad generado por el activo. Al igual que el índice ROE, para el mes de diciembre del 2005 el ROA era de 4.93 % y en el 2006 fue de 7.15 %, el mayor índice igualmente se registra en el mes de junio del 2006 que fue del 10.53 %. </w:t>
      </w:r>
    </w:p>
    <w:p w:rsidR="006B3F28" w:rsidRPr="00BB1432" w:rsidRDefault="006B3F28" w:rsidP="006B3F28">
      <w:pPr>
        <w:spacing w:before="120" w:line="480" w:lineRule="auto"/>
        <w:ind w:firstLine="539"/>
        <w:jc w:val="both"/>
        <w:rPr>
          <w:rFonts w:ascii="Verdana" w:hAnsi="Verdana" w:cs="Arial"/>
          <w:b/>
          <w:sz w:val="22"/>
          <w:szCs w:val="22"/>
        </w:rPr>
      </w:pPr>
    </w:p>
    <w:p w:rsidR="006B3F28" w:rsidRPr="00BB1432" w:rsidRDefault="006B3F28" w:rsidP="006B3F28">
      <w:pPr>
        <w:spacing w:before="120" w:line="480" w:lineRule="auto"/>
        <w:ind w:firstLine="708"/>
        <w:jc w:val="both"/>
        <w:rPr>
          <w:rFonts w:ascii="Verdana" w:hAnsi="Verdana" w:cs="Arial"/>
          <w:sz w:val="22"/>
          <w:szCs w:val="22"/>
        </w:rPr>
      </w:pPr>
      <w:r w:rsidRPr="00BB1432">
        <w:rPr>
          <w:rFonts w:ascii="Verdana" w:hAnsi="Verdana" w:cs="Arial"/>
          <w:sz w:val="22"/>
          <w:szCs w:val="22"/>
        </w:rPr>
        <w:t xml:space="preserve">En conclusión se puede decir, entonces que el banco mantiene buenos índices de rentabilidad financiera. </w:t>
      </w:r>
    </w:p>
    <w:p w:rsidR="006B3F28" w:rsidRPr="00BB1432" w:rsidRDefault="006B3F28" w:rsidP="006B3F28">
      <w:pPr>
        <w:spacing w:before="120" w:line="480" w:lineRule="auto"/>
        <w:ind w:left="540"/>
        <w:jc w:val="both"/>
        <w:rPr>
          <w:rFonts w:ascii="Verdana" w:hAnsi="Verdana" w:cs="Arial"/>
          <w:b/>
          <w:sz w:val="22"/>
          <w:szCs w:val="22"/>
        </w:rPr>
      </w:pPr>
    </w:p>
    <w:p w:rsidR="006B3F28" w:rsidRPr="00BB1432" w:rsidRDefault="006B3F28" w:rsidP="006B3F28">
      <w:pPr>
        <w:spacing w:before="120" w:line="480" w:lineRule="auto"/>
        <w:ind w:left="540" w:firstLine="168"/>
        <w:jc w:val="both"/>
        <w:rPr>
          <w:rFonts w:ascii="Verdana" w:hAnsi="Verdana" w:cs="Arial"/>
          <w:b/>
          <w:sz w:val="22"/>
          <w:szCs w:val="22"/>
        </w:rPr>
      </w:pPr>
      <w:r w:rsidRPr="00BB1432">
        <w:rPr>
          <w:rFonts w:ascii="Verdana" w:hAnsi="Verdana" w:cs="Arial"/>
          <w:b/>
          <w:sz w:val="22"/>
          <w:szCs w:val="22"/>
        </w:rPr>
        <w:t>2.2.3.2 Indicadores de eficiencia administrativa</w:t>
      </w:r>
    </w:p>
    <w:p w:rsidR="006B3F28" w:rsidRPr="00BB1432" w:rsidRDefault="006B3F28" w:rsidP="006B3F28">
      <w:pPr>
        <w:spacing w:before="120" w:line="480" w:lineRule="auto"/>
        <w:ind w:firstLine="708"/>
        <w:jc w:val="both"/>
        <w:rPr>
          <w:rFonts w:ascii="Verdana" w:hAnsi="Verdana" w:cs="Arial"/>
          <w:sz w:val="22"/>
          <w:szCs w:val="22"/>
        </w:rPr>
      </w:pPr>
      <w:r w:rsidRPr="00BB1432">
        <w:rPr>
          <w:rFonts w:ascii="Verdana" w:hAnsi="Verdana" w:cs="Arial"/>
          <w:sz w:val="22"/>
          <w:szCs w:val="22"/>
        </w:rPr>
        <w:t xml:space="preserve">En el </w:t>
      </w:r>
      <w:r w:rsidR="00312975" w:rsidRPr="00BB1432">
        <w:rPr>
          <w:rFonts w:ascii="Verdana" w:hAnsi="Verdana" w:cs="Arial"/>
          <w:sz w:val="22"/>
          <w:szCs w:val="22"/>
        </w:rPr>
        <w:t xml:space="preserve">siguiente </w:t>
      </w:r>
      <w:r w:rsidRPr="00BB1432">
        <w:rPr>
          <w:rFonts w:ascii="Verdana" w:hAnsi="Verdana" w:cs="Arial"/>
          <w:sz w:val="22"/>
          <w:szCs w:val="22"/>
        </w:rPr>
        <w:t>cuadro se encuentran los índices de eficiencia administrativa que reflejan la proporción de los componentes operativos del costo, en relación a los recursos de intermediación y a los activos. Al igual que en el punto anterior se consideran los índices registrados desde el mes de diciembre del 2005  a diciembre del 2006.</w:t>
      </w:r>
    </w:p>
    <w:p w:rsidR="006B3F28" w:rsidRPr="00BB1432" w:rsidRDefault="00142AD4" w:rsidP="006B3F28">
      <w:pPr>
        <w:spacing w:before="120" w:line="480" w:lineRule="auto"/>
        <w:jc w:val="center"/>
        <w:rPr>
          <w:rFonts w:ascii="Verdana" w:hAnsi="Verdana" w:cs="Arial"/>
          <w:b/>
          <w:sz w:val="22"/>
          <w:szCs w:val="22"/>
        </w:rPr>
      </w:pPr>
      <w:r>
        <w:rPr>
          <w:rFonts w:ascii="Verdana" w:hAnsi="Verdana" w:cs="Arial"/>
          <w:b/>
          <w:sz w:val="22"/>
          <w:szCs w:val="22"/>
        </w:rPr>
        <w:t>Cuadro 2.5</w:t>
      </w:r>
      <w:r w:rsidR="006B3F28" w:rsidRPr="00BB1432">
        <w:rPr>
          <w:rFonts w:ascii="Verdana" w:hAnsi="Verdana" w:cs="Arial"/>
          <w:b/>
          <w:sz w:val="22"/>
          <w:szCs w:val="22"/>
        </w:rPr>
        <w:t xml:space="preserve"> </w:t>
      </w:r>
    </w:p>
    <w:p w:rsidR="006B3F28" w:rsidRPr="00BB1432" w:rsidRDefault="006B3F28" w:rsidP="006B3F28">
      <w:pPr>
        <w:spacing w:before="120" w:line="480" w:lineRule="auto"/>
        <w:jc w:val="center"/>
        <w:rPr>
          <w:rFonts w:ascii="Verdana" w:hAnsi="Verdana" w:cs="Arial"/>
          <w:b/>
          <w:sz w:val="22"/>
          <w:szCs w:val="22"/>
        </w:rPr>
      </w:pPr>
      <w:r w:rsidRPr="00BB1432">
        <w:rPr>
          <w:rFonts w:ascii="Verdana" w:hAnsi="Verdana" w:cs="Arial"/>
          <w:b/>
          <w:sz w:val="22"/>
          <w:szCs w:val="22"/>
        </w:rPr>
        <w:t>Índices de eficiencia administrativa</w:t>
      </w:r>
    </w:p>
    <w:p w:rsidR="006B3F28" w:rsidRPr="00BB1432" w:rsidRDefault="00006ACE" w:rsidP="006B3F28">
      <w:pPr>
        <w:spacing w:before="120" w:line="480" w:lineRule="auto"/>
        <w:jc w:val="center"/>
        <w:rPr>
          <w:sz w:val="22"/>
          <w:szCs w:val="22"/>
        </w:rPr>
      </w:pPr>
      <w:r>
        <w:rPr>
          <w:noProof/>
          <w:sz w:val="22"/>
          <w:szCs w:val="22"/>
          <w:lang w:val="es-ES" w:eastAsia="es-ES"/>
        </w:rPr>
        <w:drawing>
          <wp:inline distT="0" distB="0" distL="0" distR="0">
            <wp:extent cx="5257800" cy="10763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257800" cy="1076325"/>
                    </a:xfrm>
                    <a:prstGeom prst="rect">
                      <a:avLst/>
                    </a:prstGeom>
                    <a:noFill/>
                    <a:ln w="9525">
                      <a:noFill/>
                      <a:miter lim="800000"/>
                      <a:headEnd/>
                      <a:tailEnd/>
                    </a:ln>
                  </pic:spPr>
                </pic:pic>
              </a:graphicData>
            </a:graphic>
          </wp:inline>
        </w:drawing>
      </w:r>
    </w:p>
    <w:p w:rsidR="006B3F28" w:rsidRPr="00A86D73" w:rsidRDefault="006B3F28" w:rsidP="00A86D73">
      <w:pPr>
        <w:rPr>
          <w:rFonts w:ascii="Verdana" w:hAnsi="Verdana"/>
          <w:i/>
          <w:sz w:val="18"/>
          <w:szCs w:val="18"/>
        </w:rPr>
      </w:pPr>
      <w:r w:rsidRPr="00A86D73">
        <w:rPr>
          <w:rFonts w:ascii="Verdana" w:hAnsi="Verdana"/>
          <w:b/>
          <w:i/>
          <w:sz w:val="18"/>
          <w:szCs w:val="18"/>
        </w:rPr>
        <w:t>Fuente:</w:t>
      </w:r>
      <w:r w:rsidRPr="00A86D73">
        <w:rPr>
          <w:rFonts w:ascii="Verdana" w:hAnsi="Verdana"/>
          <w:i/>
          <w:sz w:val="18"/>
          <w:szCs w:val="18"/>
        </w:rPr>
        <w:t xml:space="preserve"> Superintendencia de Bancos</w:t>
      </w:r>
    </w:p>
    <w:p w:rsidR="006B3F28" w:rsidRPr="00A86D73" w:rsidRDefault="006B3F28" w:rsidP="00A86D73">
      <w:pPr>
        <w:rPr>
          <w:b/>
          <w:sz w:val="18"/>
          <w:szCs w:val="18"/>
        </w:rPr>
      </w:pPr>
      <w:r w:rsidRPr="00A86D73">
        <w:rPr>
          <w:rFonts w:ascii="Verdana" w:hAnsi="Verdana"/>
          <w:b/>
          <w:i/>
          <w:sz w:val="18"/>
          <w:szCs w:val="18"/>
        </w:rPr>
        <w:t>Elaborado por:</w:t>
      </w:r>
      <w:r w:rsidRPr="00A86D73">
        <w:rPr>
          <w:rFonts w:ascii="Verdana" w:hAnsi="Verdana"/>
          <w:i/>
          <w:sz w:val="18"/>
          <w:szCs w:val="18"/>
        </w:rPr>
        <w:t xml:space="preserve"> Los autores</w:t>
      </w:r>
    </w:p>
    <w:p w:rsidR="006B3F28" w:rsidRPr="00BB1432" w:rsidRDefault="006B3F28" w:rsidP="006B3F28">
      <w:pPr>
        <w:spacing w:line="480" w:lineRule="auto"/>
        <w:jc w:val="both"/>
        <w:rPr>
          <w:rFonts w:ascii="Arial" w:hAnsi="Arial" w:cs="Arial"/>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t xml:space="preserve">Comparando los índices entre diciembre del 2005 y del 2006  se pude ver que ha habido una disminución de los 3 índices.  </w:t>
      </w:r>
    </w:p>
    <w:p w:rsidR="006B3F28" w:rsidRPr="00BB1432" w:rsidRDefault="006B3F28" w:rsidP="006B3F28">
      <w:pPr>
        <w:spacing w:line="480" w:lineRule="auto"/>
        <w:jc w:val="both"/>
        <w:rPr>
          <w:rFonts w:ascii="Verdana" w:hAnsi="Verdana" w:cs="Arial"/>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t>En cuanto al primero esta disminución se debe a una disminución de los gastos y un aumento del margen financiero debido a la fuerte competencia que impera en los mercados de crédito y consumo.</w:t>
      </w:r>
    </w:p>
    <w:p w:rsidR="006B3F28" w:rsidRPr="00BB1432" w:rsidRDefault="006B3F28" w:rsidP="006B3F28">
      <w:pPr>
        <w:spacing w:line="480" w:lineRule="auto"/>
        <w:jc w:val="both"/>
        <w:rPr>
          <w:rFonts w:ascii="Verdana" w:hAnsi="Verdana" w:cs="Arial"/>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t>La leve disminución de los otros 2 índices, se debe a que el gasto para el personal ha disminuido, por lo que el costo en el manejo de activos y del personal implícito en las colocaciones de crédito también disminuye.</w:t>
      </w:r>
    </w:p>
    <w:p w:rsidR="00F70E60"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r>
    </w:p>
    <w:p w:rsidR="006B3F28" w:rsidRPr="00BB1432" w:rsidRDefault="00F70E60" w:rsidP="006B3F28">
      <w:pPr>
        <w:spacing w:line="480" w:lineRule="auto"/>
        <w:jc w:val="both"/>
        <w:rPr>
          <w:rFonts w:ascii="Verdana" w:hAnsi="Verdana" w:cs="Arial"/>
          <w:sz w:val="22"/>
          <w:szCs w:val="22"/>
        </w:rPr>
      </w:pPr>
      <w:r w:rsidRPr="00BB1432">
        <w:rPr>
          <w:rFonts w:ascii="Verdana" w:hAnsi="Verdana" w:cs="Arial"/>
          <w:sz w:val="22"/>
          <w:szCs w:val="22"/>
        </w:rPr>
        <w:tab/>
      </w:r>
      <w:r w:rsidR="006B3F28" w:rsidRPr="00BB1432">
        <w:rPr>
          <w:rFonts w:ascii="Verdana" w:hAnsi="Verdana" w:cs="Arial"/>
          <w:sz w:val="22"/>
          <w:szCs w:val="22"/>
        </w:rPr>
        <w:t>Cabe recalcar, que dicha disminución para los dos últimos índices, indica que para el año 2006, se ha logrado una mejora en la eficiencia administrativa, por lo tanto se contempla la posibilidad de mantenerla en los objetivos a mediano plazo del banco.</w:t>
      </w:r>
    </w:p>
    <w:p w:rsidR="006B3F28" w:rsidRPr="00BB1432" w:rsidRDefault="006B3F28" w:rsidP="006B3F28">
      <w:pPr>
        <w:spacing w:before="120" w:line="480" w:lineRule="auto"/>
        <w:ind w:firstLine="708"/>
        <w:jc w:val="both"/>
        <w:rPr>
          <w:rFonts w:ascii="Verdana" w:hAnsi="Verdana" w:cs="Arial"/>
          <w:b/>
          <w:sz w:val="22"/>
          <w:szCs w:val="22"/>
        </w:rPr>
      </w:pPr>
      <w:r w:rsidRPr="00BB1432">
        <w:rPr>
          <w:rFonts w:ascii="Verdana" w:hAnsi="Verdana" w:cs="Arial"/>
          <w:b/>
          <w:sz w:val="22"/>
          <w:szCs w:val="22"/>
        </w:rPr>
        <w:t>2.2.3.3 Calidad de Activos</w:t>
      </w:r>
    </w:p>
    <w:p w:rsidR="00D41289" w:rsidRDefault="00D41289" w:rsidP="00A4634C">
      <w:pPr>
        <w:spacing w:before="120"/>
        <w:jc w:val="center"/>
        <w:rPr>
          <w:rFonts w:ascii="Verdana" w:hAnsi="Verdana" w:cs="Arial"/>
          <w:b/>
          <w:sz w:val="22"/>
          <w:szCs w:val="22"/>
        </w:rPr>
      </w:pPr>
    </w:p>
    <w:p w:rsidR="006B3F28" w:rsidRPr="00BB1432" w:rsidRDefault="00142AD4" w:rsidP="00A4634C">
      <w:pPr>
        <w:spacing w:before="120"/>
        <w:jc w:val="center"/>
        <w:rPr>
          <w:rFonts w:ascii="Verdana" w:hAnsi="Verdana" w:cs="Arial"/>
          <w:b/>
          <w:sz w:val="22"/>
          <w:szCs w:val="22"/>
        </w:rPr>
      </w:pPr>
      <w:r>
        <w:rPr>
          <w:rFonts w:ascii="Verdana" w:hAnsi="Verdana" w:cs="Arial"/>
          <w:b/>
          <w:sz w:val="22"/>
          <w:szCs w:val="22"/>
        </w:rPr>
        <w:t>Cuadro 2.6</w:t>
      </w:r>
    </w:p>
    <w:p w:rsidR="006B3F28" w:rsidRPr="00BB1432" w:rsidRDefault="006B3F28" w:rsidP="00A4634C">
      <w:pPr>
        <w:spacing w:before="120"/>
        <w:jc w:val="center"/>
        <w:rPr>
          <w:rFonts w:ascii="Verdana" w:hAnsi="Verdana" w:cs="Arial"/>
          <w:b/>
          <w:sz w:val="22"/>
          <w:szCs w:val="22"/>
        </w:rPr>
      </w:pPr>
      <w:r w:rsidRPr="00BB1432">
        <w:rPr>
          <w:rFonts w:ascii="Verdana" w:hAnsi="Verdana" w:cs="Arial"/>
          <w:b/>
          <w:sz w:val="22"/>
          <w:szCs w:val="22"/>
        </w:rPr>
        <w:t>Calidad de activos</w:t>
      </w:r>
    </w:p>
    <w:p w:rsidR="006B3F28" w:rsidRPr="00BB1432" w:rsidRDefault="00006ACE" w:rsidP="006B3F28">
      <w:pPr>
        <w:spacing w:before="120" w:line="480" w:lineRule="auto"/>
        <w:jc w:val="center"/>
        <w:rPr>
          <w:rFonts w:ascii="Verdana" w:hAnsi="Verdana" w:cs="Arial"/>
          <w:b/>
          <w:sz w:val="22"/>
          <w:szCs w:val="22"/>
        </w:rPr>
      </w:pPr>
      <w:r>
        <w:rPr>
          <w:noProof/>
          <w:sz w:val="22"/>
          <w:szCs w:val="22"/>
          <w:lang w:val="es-ES" w:eastAsia="es-ES"/>
        </w:rPr>
        <w:drawing>
          <wp:inline distT="0" distB="0" distL="0" distR="0">
            <wp:extent cx="4295775" cy="51435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295775" cy="514350"/>
                    </a:xfrm>
                    <a:prstGeom prst="rect">
                      <a:avLst/>
                    </a:prstGeom>
                    <a:noFill/>
                    <a:ln w="9525">
                      <a:noFill/>
                      <a:miter lim="800000"/>
                      <a:headEnd/>
                      <a:tailEnd/>
                    </a:ln>
                  </pic:spPr>
                </pic:pic>
              </a:graphicData>
            </a:graphic>
          </wp:inline>
        </w:drawing>
      </w:r>
    </w:p>
    <w:p w:rsidR="006B3F28" w:rsidRPr="00A86D73" w:rsidRDefault="006B3F28" w:rsidP="00A86D73">
      <w:pPr>
        <w:ind w:firstLine="720"/>
        <w:rPr>
          <w:rFonts w:ascii="Verdana" w:hAnsi="Verdana"/>
          <w:i/>
          <w:sz w:val="18"/>
          <w:szCs w:val="18"/>
        </w:rPr>
      </w:pPr>
      <w:r w:rsidRPr="00A86D73">
        <w:rPr>
          <w:rFonts w:ascii="Verdana" w:hAnsi="Verdana"/>
          <w:b/>
          <w:i/>
          <w:sz w:val="18"/>
          <w:szCs w:val="18"/>
        </w:rPr>
        <w:t>Fuente:</w:t>
      </w:r>
      <w:r w:rsidRPr="00A86D73">
        <w:rPr>
          <w:rFonts w:ascii="Verdana" w:hAnsi="Verdana"/>
          <w:i/>
          <w:sz w:val="18"/>
          <w:szCs w:val="18"/>
        </w:rPr>
        <w:t xml:space="preserve"> Superintendencia de Bancos</w:t>
      </w:r>
    </w:p>
    <w:p w:rsidR="006B3F28" w:rsidRPr="00A86D73" w:rsidRDefault="006B3F28" w:rsidP="00A86D73">
      <w:pPr>
        <w:ind w:firstLine="720"/>
        <w:rPr>
          <w:rFonts w:ascii="Verdana" w:hAnsi="Verdana"/>
          <w:i/>
          <w:sz w:val="18"/>
          <w:szCs w:val="18"/>
        </w:rPr>
      </w:pPr>
      <w:r w:rsidRPr="00A86D73">
        <w:rPr>
          <w:rFonts w:ascii="Verdana" w:hAnsi="Verdana"/>
          <w:b/>
          <w:i/>
          <w:sz w:val="18"/>
          <w:szCs w:val="18"/>
        </w:rPr>
        <w:t>Elaborado por:</w:t>
      </w:r>
      <w:r w:rsidRPr="00A86D73">
        <w:rPr>
          <w:rFonts w:ascii="Verdana" w:hAnsi="Verdana"/>
          <w:i/>
          <w:sz w:val="18"/>
          <w:szCs w:val="18"/>
        </w:rPr>
        <w:t xml:space="preserve"> Los autores</w:t>
      </w:r>
    </w:p>
    <w:p w:rsidR="006B3F28" w:rsidRPr="00BB1432" w:rsidRDefault="006B3F28" w:rsidP="006B3F28">
      <w:pPr>
        <w:spacing w:before="120" w:line="480" w:lineRule="auto"/>
        <w:ind w:left="540"/>
        <w:jc w:val="both"/>
        <w:rPr>
          <w:rFonts w:ascii="Verdana" w:hAnsi="Verdana" w:cs="Arial"/>
          <w:i/>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t>La proporción de activos que generan r</w:t>
      </w:r>
      <w:r w:rsidR="0098408B">
        <w:rPr>
          <w:rFonts w:ascii="Verdana" w:hAnsi="Verdana" w:cs="Arial"/>
          <w:sz w:val="22"/>
          <w:szCs w:val="22"/>
        </w:rPr>
        <w:t>endimiento para el banco aumentó</w:t>
      </w:r>
      <w:r w:rsidRPr="00BB1432">
        <w:rPr>
          <w:rFonts w:ascii="Verdana" w:hAnsi="Verdana" w:cs="Arial"/>
          <w:sz w:val="22"/>
          <w:szCs w:val="22"/>
        </w:rPr>
        <w:t xml:space="preserve"> levemente en el año 2006, al pasar de 85.92 % a 86.50 %, esto representa que es un buen indicador dentro de la cartera mayoritaria del Banco. </w:t>
      </w:r>
    </w:p>
    <w:p w:rsidR="006B3F28" w:rsidRPr="00BB1432" w:rsidRDefault="006B3F28" w:rsidP="006B3F28">
      <w:pPr>
        <w:spacing w:before="120" w:line="480" w:lineRule="auto"/>
        <w:ind w:left="540"/>
        <w:jc w:val="both"/>
        <w:rPr>
          <w:rFonts w:ascii="Verdana" w:hAnsi="Verdana" w:cs="Arial"/>
          <w:b/>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t xml:space="preserve">En cuanto al segundo índice, existe un aumento notable de poco más de 7 puntos porcentuales, esto </w:t>
      </w:r>
      <w:r w:rsidR="001A330B" w:rsidRPr="00BB1432">
        <w:rPr>
          <w:rFonts w:ascii="Verdana" w:hAnsi="Verdana" w:cs="Arial"/>
          <w:sz w:val="22"/>
          <w:szCs w:val="22"/>
        </w:rPr>
        <w:t>podría ser por un aumento de las colocaciones en proporción a los recursos captados</w:t>
      </w:r>
      <w:r w:rsidRPr="00BB1432">
        <w:rPr>
          <w:rFonts w:ascii="Verdana" w:hAnsi="Verdana" w:cs="Arial"/>
          <w:sz w:val="22"/>
          <w:szCs w:val="22"/>
        </w:rPr>
        <w:t>.</w:t>
      </w:r>
    </w:p>
    <w:p w:rsidR="006B3F28" w:rsidRDefault="006B3F28" w:rsidP="006B3F28">
      <w:pPr>
        <w:spacing w:line="480" w:lineRule="auto"/>
        <w:jc w:val="both"/>
        <w:rPr>
          <w:rFonts w:ascii="Verdana" w:hAnsi="Verdana" w:cs="Arial"/>
          <w:sz w:val="22"/>
          <w:szCs w:val="22"/>
        </w:rPr>
      </w:pPr>
      <w:r w:rsidRPr="00BB1432">
        <w:rPr>
          <w:rFonts w:ascii="Verdana" w:hAnsi="Verdana" w:cs="Arial"/>
          <w:sz w:val="22"/>
          <w:szCs w:val="22"/>
        </w:rPr>
        <w:tab/>
      </w:r>
    </w:p>
    <w:p w:rsidR="00D41289" w:rsidRPr="00BB1432" w:rsidRDefault="00D41289" w:rsidP="006B3F28">
      <w:pPr>
        <w:spacing w:line="480" w:lineRule="auto"/>
        <w:jc w:val="both"/>
        <w:rPr>
          <w:rFonts w:ascii="Verdana" w:hAnsi="Verdana" w:cs="Arial"/>
          <w:sz w:val="22"/>
          <w:szCs w:val="22"/>
        </w:rPr>
      </w:pPr>
    </w:p>
    <w:p w:rsidR="006B3F28" w:rsidRPr="00BB1432" w:rsidRDefault="006B3F28" w:rsidP="006B3F28">
      <w:pPr>
        <w:spacing w:before="120" w:line="480" w:lineRule="auto"/>
        <w:ind w:left="540" w:firstLine="168"/>
        <w:jc w:val="both"/>
        <w:rPr>
          <w:rFonts w:ascii="Verdana" w:hAnsi="Verdana" w:cs="Arial"/>
          <w:b/>
          <w:sz w:val="22"/>
          <w:szCs w:val="22"/>
        </w:rPr>
      </w:pPr>
      <w:r w:rsidRPr="00BB1432">
        <w:rPr>
          <w:rFonts w:ascii="Verdana" w:hAnsi="Verdana" w:cs="Arial"/>
          <w:b/>
          <w:sz w:val="22"/>
          <w:szCs w:val="22"/>
        </w:rPr>
        <w:t>2.2.3.4  Morosidad</w:t>
      </w:r>
    </w:p>
    <w:p w:rsidR="00F70E60" w:rsidRDefault="008333A5" w:rsidP="008333A5">
      <w:pPr>
        <w:spacing w:before="120" w:line="480" w:lineRule="auto"/>
        <w:ind w:firstLine="540"/>
        <w:jc w:val="both"/>
        <w:rPr>
          <w:rFonts w:ascii="Verdana" w:hAnsi="Verdana" w:cs="Arial"/>
          <w:b/>
          <w:sz w:val="22"/>
          <w:szCs w:val="22"/>
        </w:rPr>
      </w:pPr>
      <w:r w:rsidRPr="00BB1432">
        <w:rPr>
          <w:rFonts w:ascii="Verdana" w:hAnsi="Verdana" w:cs="Arial"/>
          <w:sz w:val="22"/>
          <w:szCs w:val="22"/>
        </w:rPr>
        <w:t xml:space="preserve">En cuanto a la morosidad de la cartera de consumo, este subió de 10.30 % a 11.64 % en el 2006, con esto se puede establecer que, la proporción de la cartera que se encuentra en mora ha subido levemente, por lo que </w:t>
      </w:r>
      <w:smartTag w:uri="urn:schemas-microsoft-com:office:smarttags" w:element="PersonName">
        <w:smartTagPr>
          <w:attr w:name="ProductID" w:val="La Instituci￳n"/>
        </w:smartTagPr>
        <w:r w:rsidRPr="00BB1432">
          <w:rPr>
            <w:rFonts w:ascii="Verdana" w:hAnsi="Verdana" w:cs="Arial"/>
            <w:sz w:val="22"/>
            <w:szCs w:val="22"/>
          </w:rPr>
          <w:t>la Institución</w:t>
        </w:r>
      </w:smartTag>
      <w:r w:rsidRPr="00BB1432">
        <w:rPr>
          <w:rFonts w:ascii="Verdana" w:hAnsi="Verdana" w:cs="Arial"/>
          <w:sz w:val="22"/>
          <w:szCs w:val="22"/>
        </w:rPr>
        <w:t xml:space="preserve"> debe ser un poco más eficaz en la recuperación de los créditos.</w:t>
      </w:r>
    </w:p>
    <w:p w:rsidR="006B3F28" w:rsidRPr="00BB1432" w:rsidRDefault="00142AD4" w:rsidP="006B3F28">
      <w:pPr>
        <w:spacing w:before="120" w:line="480" w:lineRule="auto"/>
        <w:jc w:val="center"/>
        <w:rPr>
          <w:rFonts w:ascii="Verdana" w:hAnsi="Verdana" w:cs="Arial"/>
          <w:b/>
          <w:sz w:val="22"/>
          <w:szCs w:val="22"/>
        </w:rPr>
      </w:pPr>
      <w:r>
        <w:rPr>
          <w:rFonts w:ascii="Verdana" w:hAnsi="Verdana" w:cs="Arial"/>
          <w:b/>
          <w:sz w:val="22"/>
          <w:szCs w:val="22"/>
        </w:rPr>
        <w:t>Cuadro 2.7</w:t>
      </w:r>
      <w:r w:rsidR="006B3F28" w:rsidRPr="00BB1432">
        <w:rPr>
          <w:rFonts w:ascii="Verdana" w:hAnsi="Verdana" w:cs="Arial"/>
          <w:b/>
          <w:sz w:val="22"/>
          <w:szCs w:val="22"/>
        </w:rPr>
        <w:t xml:space="preserve"> </w:t>
      </w:r>
    </w:p>
    <w:p w:rsidR="006B3F28" w:rsidRPr="00BB1432" w:rsidRDefault="006B3F28" w:rsidP="006B3F28">
      <w:pPr>
        <w:spacing w:before="120" w:line="480" w:lineRule="auto"/>
        <w:jc w:val="center"/>
        <w:rPr>
          <w:rFonts w:ascii="Verdana" w:hAnsi="Verdana" w:cs="Arial"/>
          <w:b/>
          <w:sz w:val="22"/>
          <w:szCs w:val="22"/>
        </w:rPr>
      </w:pPr>
      <w:r w:rsidRPr="00BB1432">
        <w:rPr>
          <w:rFonts w:ascii="Verdana" w:hAnsi="Verdana" w:cs="Arial"/>
          <w:b/>
          <w:sz w:val="22"/>
          <w:szCs w:val="22"/>
        </w:rPr>
        <w:t>Índices de Morosidad</w:t>
      </w:r>
    </w:p>
    <w:p w:rsidR="006B3F28" w:rsidRPr="00BB1432" w:rsidRDefault="00006ACE" w:rsidP="006B3F28">
      <w:pPr>
        <w:spacing w:before="120" w:line="480" w:lineRule="auto"/>
        <w:jc w:val="center"/>
        <w:rPr>
          <w:rFonts w:ascii="Verdana" w:hAnsi="Verdana" w:cs="Arial"/>
          <w:b/>
          <w:sz w:val="22"/>
          <w:szCs w:val="22"/>
        </w:rPr>
      </w:pPr>
      <w:r>
        <w:rPr>
          <w:noProof/>
          <w:sz w:val="22"/>
          <w:szCs w:val="22"/>
          <w:lang w:val="es-ES" w:eastAsia="es-ES"/>
        </w:rPr>
        <w:drawing>
          <wp:inline distT="0" distB="0" distL="0" distR="0">
            <wp:extent cx="4991100" cy="9906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4991100" cy="990600"/>
                    </a:xfrm>
                    <a:prstGeom prst="rect">
                      <a:avLst/>
                    </a:prstGeom>
                    <a:noFill/>
                    <a:ln w="9525">
                      <a:noFill/>
                      <a:miter lim="800000"/>
                      <a:headEnd/>
                      <a:tailEnd/>
                    </a:ln>
                  </pic:spPr>
                </pic:pic>
              </a:graphicData>
            </a:graphic>
          </wp:inline>
        </w:drawing>
      </w:r>
    </w:p>
    <w:p w:rsidR="006B3F28" w:rsidRPr="008333A5" w:rsidRDefault="006B3F28" w:rsidP="008333A5">
      <w:pPr>
        <w:ind w:firstLine="180"/>
        <w:rPr>
          <w:rFonts w:ascii="Verdana" w:hAnsi="Verdana"/>
          <w:i/>
          <w:sz w:val="18"/>
          <w:szCs w:val="18"/>
        </w:rPr>
      </w:pPr>
      <w:r w:rsidRPr="008333A5">
        <w:rPr>
          <w:rFonts w:ascii="Verdana" w:hAnsi="Verdana"/>
          <w:b/>
          <w:i/>
          <w:sz w:val="18"/>
          <w:szCs w:val="18"/>
        </w:rPr>
        <w:t>Fuente:</w:t>
      </w:r>
      <w:r w:rsidRPr="008333A5">
        <w:rPr>
          <w:rFonts w:ascii="Verdana" w:hAnsi="Verdana"/>
          <w:i/>
          <w:sz w:val="18"/>
          <w:szCs w:val="18"/>
        </w:rPr>
        <w:t xml:space="preserve"> Superintendencia de Bancos</w:t>
      </w:r>
    </w:p>
    <w:p w:rsidR="006B3F28" w:rsidRPr="008333A5" w:rsidRDefault="006B3F28" w:rsidP="008333A5">
      <w:pPr>
        <w:ind w:firstLine="180"/>
        <w:rPr>
          <w:rFonts w:ascii="Verdana" w:hAnsi="Verdana"/>
          <w:i/>
          <w:sz w:val="18"/>
          <w:szCs w:val="18"/>
        </w:rPr>
      </w:pPr>
      <w:r w:rsidRPr="008333A5">
        <w:rPr>
          <w:rFonts w:ascii="Verdana" w:hAnsi="Verdana"/>
          <w:b/>
          <w:i/>
          <w:sz w:val="18"/>
          <w:szCs w:val="18"/>
        </w:rPr>
        <w:t>Elaborado por:</w:t>
      </w:r>
      <w:r w:rsidRPr="008333A5">
        <w:rPr>
          <w:rFonts w:ascii="Verdana" w:hAnsi="Verdana"/>
          <w:i/>
          <w:sz w:val="18"/>
          <w:szCs w:val="18"/>
        </w:rPr>
        <w:t xml:space="preserve"> Los autores</w:t>
      </w:r>
    </w:p>
    <w:p w:rsidR="006B3F28" w:rsidRPr="00BB1432" w:rsidRDefault="006B3F28" w:rsidP="006B3F28">
      <w:pPr>
        <w:spacing w:line="480" w:lineRule="auto"/>
        <w:jc w:val="both"/>
        <w:rPr>
          <w:rFonts w:ascii="Verdana" w:hAnsi="Verdana" w:cs="Arial"/>
          <w:sz w:val="22"/>
          <w:szCs w:val="22"/>
        </w:rPr>
      </w:pPr>
      <w:r w:rsidRPr="00BB1432">
        <w:rPr>
          <w:rFonts w:ascii="Arial" w:hAnsi="Arial" w:cs="Arial"/>
          <w:sz w:val="22"/>
          <w:szCs w:val="22"/>
        </w:rPr>
        <w:tab/>
      </w:r>
      <w:r w:rsidRPr="00BB1432">
        <w:rPr>
          <w:rFonts w:ascii="Verdana" w:hAnsi="Verdana" w:cs="Arial"/>
          <w:sz w:val="22"/>
          <w:szCs w:val="22"/>
        </w:rPr>
        <w:t xml:space="preserve"> </w:t>
      </w:r>
    </w:p>
    <w:p w:rsidR="006B3F28" w:rsidRPr="00BB1432" w:rsidRDefault="006B3F28" w:rsidP="006B3F28">
      <w:pPr>
        <w:spacing w:line="480" w:lineRule="auto"/>
        <w:jc w:val="both"/>
        <w:rPr>
          <w:rFonts w:ascii="Verdana" w:hAnsi="Verdana" w:cs="Arial"/>
          <w:sz w:val="22"/>
          <w:szCs w:val="22"/>
        </w:rPr>
      </w:pPr>
    </w:p>
    <w:p w:rsidR="006B3F28" w:rsidRPr="00BB1432" w:rsidRDefault="006B3F28" w:rsidP="006B3F28">
      <w:pPr>
        <w:spacing w:line="480" w:lineRule="auto"/>
        <w:jc w:val="both"/>
        <w:rPr>
          <w:rFonts w:ascii="Verdana" w:hAnsi="Verdana" w:cs="Arial"/>
          <w:sz w:val="22"/>
          <w:szCs w:val="22"/>
        </w:rPr>
      </w:pPr>
      <w:r w:rsidRPr="00BB1432">
        <w:rPr>
          <w:rFonts w:ascii="Verdana" w:hAnsi="Verdana" w:cs="Arial"/>
          <w:sz w:val="22"/>
          <w:szCs w:val="22"/>
        </w:rPr>
        <w:tab/>
        <w:t xml:space="preserve">En conclusión, el banco mantiene altas utilidades, un aceptable retorno para sus accionistas, y un aceptable manejo en sus gastos operativos, con una marcada eficiencia en sus gastos de personal. </w:t>
      </w:r>
    </w:p>
    <w:p w:rsidR="00D41289" w:rsidRDefault="00D41289" w:rsidP="006B3F28">
      <w:pPr>
        <w:spacing w:line="480" w:lineRule="auto"/>
        <w:jc w:val="both"/>
        <w:rPr>
          <w:rFonts w:ascii="Verdana" w:hAnsi="Verdana" w:cs="Arial"/>
          <w:sz w:val="22"/>
          <w:szCs w:val="22"/>
        </w:rPr>
      </w:pPr>
    </w:p>
    <w:p w:rsidR="00D41289" w:rsidRPr="00BB1432" w:rsidRDefault="00D41289" w:rsidP="006B3F28">
      <w:pPr>
        <w:spacing w:line="480" w:lineRule="auto"/>
        <w:jc w:val="both"/>
        <w:rPr>
          <w:rFonts w:ascii="Verdana" w:hAnsi="Verdana" w:cs="Arial"/>
          <w:sz w:val="22"/>
          <w:szCs w:val="22"/>
        </w:rPr>
      </w:pPr>
    </w:p>
    <w:p w:rsidR="006B3F28" w:rsidRPr="00BB1432" w:rsidRDefault="00FA3FA5" w:rsidP="00F70E60">
      <w:pPr>
        <w:spacing w:before="120" w:line="480" w:lineRule="auto"/>
        <w:jc w:val="both"/>
        <w:rPr>
          <w:rFonts w:ascii="Verdana" w:hAnsi="Verdana" w:cs="Arial"/>
          <w:b/>
          <w:sz w:val="22"/>
          <w:szCs w:val="22"/>
        </w:rPr>
      </w:pPr>
      <w:r w:rsidRPr="00BB1432">
        <w:rPr>
          <w:rFonts w:ascii="Verdana" w:hAnsi="Verdana" w:cs="Arial"/>
          <w:b/>
          <w:sz w:val="22"/>
          <w:szCs w:val="22"/>
        </w:rPr>
        <w:t>2.2.4</w:t>
      </w:r>
      <w:r w:rsidR="006B3F28" w:rsidRPr="00BB1432">
        <w:rPr>
          <w:rFonts w:ascii="Verdana" w:hAnsi="Verdana" w:cs="Arial"/>
          <w:b/>
          <w:sz w:val="22"/>
          <w:szCs w:val="22"/>
        </w:rPr>
        <w:t xml:space="preserve"> Productos Financieros</w:t>
      </w:r>
    </w:p>
    <w:p w:rsidR="006B3F28" w:rsidRPr="00BB1432" w:rsidRDefault="006B3F28" w:rsidP="006B3F28">
      <w:pPr>
        <w:spacing w:before="120" w:line="480" w:lineRule="auto"/>
        <w:ind w:left="540"/>
        <w:jc w:val="both"/>
        <w:rPr>
          <w:rFonts w:ascii="Verdana" w:hAnsi="Verdana" w:cs="Arial"/>
          <w:sz w:val="22"/>
          <w:szCs w:val="22"/>
        </w:rPr>
      </w:pPr>
    </w:p>
    <w:p w:rsidR="006B3F28" w:rsidRPr="00BB1432" w:rsidRDefault="00167A06" w:rsidP="006B3F28">
      <w:pPr>
        <w:spacing w:before="120" w:line="480" w:lineRule="auto"/>
        <w:ind w:left="540" w:firstLine="168"/>
        <w:jc w:val="both"/>
        <w:rPr>
          <w:rFonts w:ascii="Verdana" w:hAnsi="Verdana" w:cs="Arial"/>
          <w:b/>
          <w:sz w:val="22"/>
          <w:szCs w:val="22"/>
        </w:rPr>
      </w:pPr>
      <w:r w:rsidRPr="00BB1432">
        <w:rPr>
          <w:rFonts w:ascii="Verdana" w:hAnsi="Verdana" w:cs="Arial"/>
          <w:b/>
          <w:sz w:val="22"/>
          <w:szCs w:val="22"/>
        </w:rPr>
        <w:t>2.2.4</w:t>
      </w:r>
      <w:r w:rsidR="006B3F28" w:rsidRPr="00BB1432">
        <w:rPr>
          <w:rFonts w:ascii="Verdana" w:hAnsi="Verdana" w:cs="Arial"/>
          <w:b/>
          <w:sz w:val="22"/>
          <w:szCs w:val="22"/>
        </w:rPr>
        <w:t>.1  Créditos</w:t>
      </w:r>
    </w:p>
    <w:p w:rsidR="006B3F28" w:rsidRPr="00BB1432" w:rsidRDefault="006B3F28" w:rsidP="006B3F28">
      <w:pPr>
        <w:spacing w:before="120" w:line="480" w:lineRule="auto"/>
        <w:jc w:val="both"/>
        <w:rPr>
          <w:rFonts w:ascii="Verdana" w:hAnsi="Verdana" w:cs="Arial"/>
          <w:sz w:val="22"/>
          <w:szCs w:val="22"/>
        </w:rPr>
      </w:pPr>
      <w:r w:rsidRPr="00BB1432">
        <w:rPr>
          <w:rFonts w:ascii="Verdana" w:hAnsi="Verdana" w:cs="Arial"/>
          <w:b/>
          <w:sz w:val="22"/>
          <w:szCs w:val="22"/>
        </w:rPr>
        <w:t>a. Unicredito</w:t>
      </w:r>
      <w:r w:rsidRPr="00BB1432">
        <w:rPr>
          <w:rFonts w:ascii="Verdana" w:hAnsi="Verdana"/>
          <w:sz w:val="22"/>
          <w:szCs w:val="22"/>
        </w:rPr>
        <w:t>.</w:t>
      </w:r>
    </w:p>
    <w:p w:rsidR="006B3F28" w:rsidRPr="00BB1432" w:rsidRDefault="006B3F28" w:rsidP="00167A06">
      <w:pPr>
        <w:spacing w:before="120" w:line="480" w:lineRule="auto"/>
        <w:ind w:firstLine="708"/>
        <w:jc w:val="both"/>
        <w:rPr>
          <w:rFonts w:ascii="Verdana" w:hAnsi="Verdana"/>
          <w:sz w:val="22"/>
          <w:szCs w:val="22"/>
        </w:rPr>
      </w:pPr>
      <w:r w:rsidRPr="00BB1432">
        <w:rPr>
          <w:rFonts w:ascii="Verdana" w:hAnsi="Verdana"/>
          <w:sz w:val="22"/>
          <w:szCs w:val="22"/>
        </w:rPr>
        <w:t>Es un crédito de consumo que otorga montos desde 100 usd. hasta 2500 usd. y que se paga</w:t>
      </w:r>
      <w:r w:rsidR="00167A06" w:rsidRPr="00BB1432">
        <w:rPr>
          <w:rFonts w:ascii="Verdana" w:hAnsi="Verdana"/>
          <w:sz w:val="22"/>
          <w:szCs w:val="22"/>
        </w:rPr>
        <w:t xml:space="preserve"> en plazos de </w:t>
      </w:r>
      <w:smartTag w:uri="urn:schemas-microsoft-com:office:smarttags" w:element="metricconverter">
        <w:smartTagPr>
          <w:attr w:name="ProductID" w:val="6 a"/>
        </w:smartTagPr>
        <w:r w:rsidR="00167A06" w:rsidRPr="00BB1432">
          <w:rPr>
            <w:rFonts w:ascii="Verdana" w:hAnsi="Verdana"/>
            <w:sz w:val="22"/>
            <w:szCs w:val="22"/>
          </w:rPr>
          <w:t>6 a</w:t>
        </w:r>
      </w:smartTag>
      <w:r w:rsidR="00167A06" w:rsidRPr="00BB1432">
        <w:rPr>
          <w:rFonts w:ascii="Verdana" w:hAnsi="Verdana"/>
          <w:sz w:val="22"/>
          <w:szCs w:val="22"/>
        </w:rPr>
        <w:t xml:space="preserve"> 24 meses, con c</w:t>
      </w:r>
      <w:r w:rsidRPr="00BB1432">
        <w:rPr>
          <w:rFonts w:ascii="Verdana" w:hAnsi="Verdana"/>
          <w:sz w:val="22"/>
          <w:szCs w:val="22"/>
        </w:rPr>
        <w:t>uotas fijas no reajustables</w:t>
      </w:r>
    </w:p>
    <w:p w:rsidR="006B3F28" w:rsidRPr="00BB1432" w:rsidRDefault="006B3F28" w:rsidP="006B3F28">
      <w:pPr>
        <w:spacing w:before="120" w:line="480" w:lineRule="auto"/>
        <w:ind w:left="539" w:hanging="539"/>
        <w:jc w:val="both"/>
        <w:rPr>
          <w:rFonts w:ascii="Verdana" w:hAnsi="Verdana" w:cs="Arial"/>
          <w:sz w:val="22"/>
          <w:szCs w:val="22"/>
        </w:rPr>
      </w:pPr>
      <w:r w:rsidRPr="00BB1432">
        <w:rPr>
          <w:rFonts w:ascii="Verdana" w:hAnsi="Verdana" w:cs="Arial"/>
          <w:b/>
          <w:sz w:val="22"/>
          <w:szCs w:val="22"/>
        </w:rPr>
        <w:t>b. CuotaFacil</w:t>
      </w:r>
      <w:r w:rsidRPr="00BB1432">
        <w:rPr>
          <w:rFonts w:ascii="Verdana" w:hAnsi="Verdana" w:cs="Arial"/>
          <w:sz w:val="22"/>
          <w:szCs w:val="22"/>
        </w:rPr>
        <w:t>: Tarjeta de crédito con un cupo asignado</w:t>
      </w:r>
    </w:p>
    <w:p w:rsidR="006B3F28" w:rsidRDefault="006B3F28" w:rsidP="006B3F28">
      <w:pPr>
        <w:spacing w:before="120" w:line="480" w:lineRule="auto"/>
        <w:jc w:val="both"/>
        <w:rPr>
          <w:rFonts w:ascii="Verdana" w:hAnsi="Verdana" w:cs="Arial"/>
          <w:sz w:val="22"/>
          <w:szCs w:val="22"/>
        </w:rPr>
      </w:pPr>
      <w:r w:rsidRPr="00BB1432">
        <w:rPr>
          <w:rFonts w:ascii="Verdana" w:hAnsi="Verdana" w:cs="Arial"/>
          <w:b/>
          <w:sz w:val="22"/>
          <w:szCs w:val="22"/>
        </w:rPr>
        <w:t>c. Casas Comerciales</w:t>
      </w:r>
      <w:r w:rsidRPr="00BB1432">
        <w:rPr>
          <w:rFonts w:ascii="Verdana" w:hAnsi="Verdana" w:cs="Arial"/>
          <w:sz w:val="22"/>
          <w:szCs w:val="22"/>
        </w:rPr>
        <w:t xml:space="preserve">: A través de una alianza estratégica, Unibanco financia la compra de sus clientes. </w:t>
      </w:r>
    </w:p>
    <w:p w:rsidR="00D41289" w:rsidRPr="00BB1432" w:rsidRDefault="00D41289" w:rsidP="006B3F28">
      <w:pPr>
        <w:spacing w:before="120" w:line="480" w:lineRule="auto"/>
        <w:jc w:val="both"/>
        <w:rPr>
          <w:rFonts w:ascii="Verdana" w:hAnsi="Verdana" w:cs="Arial"/>
          <w:sz w:val="22"/>
          <w:szCs w:val="22"/>
        </w:rPr>
      </w:pPr>
    </w:p>
    <w:p w:rsidR="006B3F28" w:rsidRPr="00BB1432" w:rsidRDefault="006B3F28" w:rsidP="00167A06">
      <w:pPr>
        <w:numPr>
          <w:ilvl w:val="3"/>
          <w:numId w:val="13"/>
        </w:numPr>
        <w:spacing w:before="120" w:line="480" w:lineRule="auto"/>
        <w:jc w:val="both"/>
        <w:rPr>
          <w:rFonts w:ascii="Verdana" w:hAnsi="Verdana" w:cs="Arial"/>
          <w:b/>
          <w:sz w:val="22"/>
          <w:szCs w:val="22"/>
        </w:rPr>
      </w:pPr>
      <w:r w:rsidRPr="00BB1432">
        <w:rPr>
          <w:rFonts w:ascii="Verdana" w:hAnsi="Verdana" w:cs="Arial"/>
          <w:b/>
          <w:sz w:val="22"/>
          <w:szCs w:val="22"/>
        </w:rPr>
        <w:t xml:space="preserve">Depósitos e Inversiones </w:t>
      </w:r>
    </w:p>
    <w:p w:rsidR="006B3F28" w:rsidRPr="00BB1432" w:rsidRDefault="006B3F28" w:rsidP="006B3F28">
      <w:pPr>
        <w:spacing w:before="120" w:line="480" w:lineRule="auto"/>
        <w:jc w:val="both"/>
        <w:rPr>
          <w:rFonts w:ascii="Verdana" w:hAnsi="Verdana" w:cs="Arial"/>
          <w:sz w:val="22"/>
          <w:szCs w:val="22"/>
        </w:rPr>
      </w:pPr>
      <w:r w:rsidRPr="00BB1432">
        <w:rPr>
          <w:rFonts w:ascii="Verdana" w:hAnsi="Verdana" w:cs="Arial"/>
          <w:b/>
          <w:sz w:val="22"/>
          <w:szCs w:val="22"/>
        </w:rPr>
        <w:t>a.</w:t>
      </w:r>
      <w:r w:rsidRPr="00BB1432">
        <w:rPr>
          <w:rFonts w:ascii="Verdana" w:hAnsi="Verdana" w:cs="Arial"/>
          <w:b/>
          <w:sz w:val="22"/>
          <w:szCs w:val="22"/>
        </w:rPr>
        <w:tab/>
        <w:t>Unicuenta:</w:t>
      </w:r>
      <w:r w:rsidRPr="00BB1432">
        <w:rPr>
          <w:rFonts w:ascii="Verdana" w:hAnsi="Verdana" w:cs="Arial"/>
          <w:sz w:val="22"/>
          <w:szCs w:val="22"/>
        </w:rPr>
        <w:t xml:space="preserve"> </w:t>
      </w:r>
    </w:p>
    <w:p w:rsidR="006B3F28" w:rsidRPr="00BB1432" w:rsidRDefault="006B3F28" w:rsidP="006B3F28">
      <w:pPr>
        <w:spacing w:before="120" w:line="480" w:lineRule="auto"/>
        <w:ind w:left="542" w:firstLine="166"/>
        <w:jc w:val="both"/>
        <w:rPr>
          <w:rFonts w:ascii="Verdana" w:hAnsi="Verdana" w:cs="Arial"/>
          <w:sz w:val="22"/>
          <w:szCs w:val="22"/>
        </w:rPr>
      </w:pPr>
      <w:r w:rsidRPr="00BB1432">
        <w:rPr>
          <w:rFonts w:ascii="Verdana" w:hAnsi="Verdana" w:cs="Arial"/>
          <w:sz w:val="22"/>
          <w:szCs w:val="22"/>
        </w:rPr>
        <w:t>Cuenta corriente y libreta de ahorros</w:t>
      </w:r>
    </w:p>
    <w:p w:rsidR="006B3F28" w:rsidRPr="00BB1432" w:rsidRDefault="006B3F28" w:rsidP="006B3F28">
      <w:pPr>
        <w:spacing w:before="120" w:line="480" w:lineRule="auto"/>
        <w:jc w:val="both"/>
        <w:rPr>
          <w:rFonts w:ascii="Verdana" w:hAnsi="Verdana" w:cs="Arial"/>
          <w:b/>
          <w:sz w:val="22"/>
          <w:szCs w:val="22"/>
        </w:rPr>
      </w:pPr>
      <w:r w:rsidRPr="00BB1432">
        <w:rPr>
          <w:rFonts w:ascii="Verdana" w:hAnsi="Verdana" w:cs="Arial"/>
          <w:b/>
          <w:sz w:val="22"/>
          <w:szCs w:val="22"/>
        </w:rPr>
        <w:t>b.</w:t>
      </w:r>
      <w:r w:rsidRPr="00BB1432">
        <w:rPr>
          <w:rFonts w:ascii="Verdana" w:hAnsi="Verdana" w:cs="Arial"/>
          <w:b/>
          <w:sz w:val="22"/>
          <w:szCs w:val="22"/>
        </w:rPr>
        <w:tab/>
        <w:t>Rentahorro</w:t>
      </w:r>
    </w:p>
    <w:p w:rsidR="006B3F28" w:rsidRPr="00BB1432" w:rsidRDefault="00167A06" w:rsidP="006B3F28">
      <w:pPr>
        <w:spacing w:before="120" w:line="480" w:lineRule="auto"/>
        <w:ind w:left="542" w:firstLine="166"/>
        <w:jc w:val="both"/>
        <w:rPr>
          <w:rFonts w:ascii="Verdana" w:hAnsi="Verdana" w:cs="Arial"/>
          <w:sz w:val="22"/>
          <w:szCs w:val="22"/>
        </w:rPr>
      </w:pPr>
      <w:r w:rsidRPr="00BB1432">
        <w:rPr>
          <w:rFonts w:ascii="Verdana" w:hAnsi="Verdana" w:cs="Arial"/>
          <w:sz w:val="22"/>
          <w:szCs w:val="22"/>
        </w:rPr>
        <w:t>Ideal para planificar</w:t>
      </w:r>
      <w:r w:rsidR="006B3F28" w:rsidRPr="00BB1432">
        <w:rPr>
          <w:rFonts w:ascii="Verdana" w:hAnsi="Verdana" w:cs="Arial"/>
          <w:sz w:val="22"/>
          <w:szCs w:val="22"/>
        </w:rPr>
        <w:t xml:space="preserve"> ahorro</w:t>
      </w:r>
      <w:r w:rsidRPr="00BB1432">
        <w:rPr>
          <w:rFonts w:ascii="Verdana" w:hAnsi="Verdana" w:cs="Arial"/>
          <w:sz w:val="22"/>
          <w:szCs w:val="22"/>
        </w:rPr>
        <w:t>s</w:t>
      </w:r>
      <w:r w:rsidR="006B3F28" w:rsidRPr="00BB1432">
        <w:rPr>
          <w:rFonts w:ascii="Verdana" w:hAnsi="Verdana" w:cs="Arial"/>
          <w:sz w:val="22"/>
          <w:szCs w:val="22"/>
        </w:rPr>
        <w:t xml:space="preserve"> a largo plazo</w:t>
      </w:r>
    </w:p>
    <w:p w:rsidR="006B3F28" w:rsidRPr="00BB1432" w:rsidRDefault="006B3F28" w:rsidP="006B3F28">
      <w:pPr>
        <w:spacing w:before="120" w:line="480" w:lineRule="auto"/>
        <w:jc w:val="both"/>
        <w:rPr>
          <w:rFonts w:ascii="Verdana" w:hAnsi="Verdana" w:cs="Arial"/>
          <w:sz w:val="22"/>
          <w:szCs w:val="22"/>
        </w:rPr>
      </w:pPr>
      <w:r w:rsidRPr="00BB1432">
        <w:rPr>
          <w:rFonts w:ascii="Verdana" w:hAnsi="Verdana" w:cs="Arial"/>
          <w:b/>
          <w:sz w:val="22"/>
          <w:szCs w:val="22"/>
        </w:rPr>
        <w:t xml:space="preserve">c. </w:t>
      </w:r>
      <w:r w:rsidRPr="00BB1432">
        <w:rPr>
          <w:rFonts w:ascii="Verdana" w:hAnsi="Verdana" w:cs="Arial"/>
          <w:b/>
          <w:sz w:val="22"/>
          <w:szCs w:val="22"/>
        </w:rPr>
        <w:tab/>
        <w:t>Cuenta Premio</w:t>
      </w:r>
      <w:r w:rsidRPr="00BB1432">
        <w:rPr>
          <w:rFonts w:ascii="Verdana" w:hAnsi="Verdana" w:cs="Arial"/>
          <w:sz w:val="22"/>
          <w:szCs w:val="22"/>
        </w:rPr>
        <w:t xml:space="preserve"> </w:t>
      </w:r>
    </w:p>
    <w:p w:rsidR="006B3F28" w:rsidRPr="00BB1432" w:rsidRDefault="006B3F28" w:rsidP="006B3F28">
      <w:pPr>
        <w:spacing w:before="120" w:line="480" w:lineRule="auto"/>
        <w:ind w:left="542"/>
        <w:jc w:val="both"/>
        <w:rPr>
          <w:rFonts w:ascii="Verdana" w:hAnsi="Verdana" w:cs="Arial"/>
          <w:sz w:val="22"/>
          <w:szCs w:val="22"/>
        </w:rPr>
      </w:pPr>
      <w:r w:rsidRPr="00BB1432">
        <w:rPr>
          <w:rFonts w:ascii="Verdana" w:hAnsi="Verdana"/>
          <w:sz w:val="22"/>
          <w:szCs w:val="22"/>
        </w:rPr>
        <w:t>Una mane</w:t>
      </w:r>
      <w:r w:rsidR="00167A06" w:rsidRPr="00BB1432">
        <w:rPr>
          <w:rFonts w:ascii="Verdana" w:hAnsi="Verdana"/>
          <w:sz w:val="22"/>
          <w:szCs w:val="22"/>
        </w:rPr>
        <w:t>ra ágil y rentable de manejar</w:t>
      </w:r>
      <w:r w:rsidRPr="00BB1432">
        <w:rPr>
          <w:rFonts w:ascii="Verdana" w:hAnsi="Verdana"/>
          <w:sz w:val="22"/>
          <w:szCs w:val="22"/>
        </w:rPr>
        <w:t xml:space="preserve"> liquidez ganando intereses todos los meses. </w:t>
      </w:r>
    </w:p>
    <w:p w:rsidR="006B3F28" w:rsidRPr="00BB1432" w:rsidRDefault="006B3F28" w:rsidP="006B3F28">
      <w:pPr>
        <w:spacing w:before="120" w:line="480" w:lineRule="auto"/>
        <w:jc w:val="both"/>
        <w:rPr>
          <w:rFonts w:ascii="Verdana" w:hAnsi="Verdana" w:cs="Arial"/>
          <w:sz w:val="22"/>
          <w:szCs w:val="22"/>
        </w:rPr>
      </w:pPr>
      <w:r w:rsidRPr="00BB1432">
        <w:rPr>
          <w:rFonts w:ascii="Verdana" w:hAnsi="Verdana" w:cs="Arial"/>
          <w:b/>
          <w:sz w:val="22"/>
          <w:szCs w:val="22"/>
        </w:rPr>
        <w:t xml:space="preserve">d. </w:t>
      </w:r>
      <w:r w:rsidRPr="00BB1432">
        <w:rPr>
          <w:rFonts w:ascii="Verdana" w:hAnsi="Verdana" w:cs="Arial"/>
          <w:b/>
          <w:sz w:val="22"/>
          <w:szCs w:val="22"/>
        </w:rPr>
        <w:tab/>
        <w:t>Inversiones:</w:t>
      </w:r>
      <w:r w:rsidRPr="00BB1432">
        <w:rPr>
          <w:rFonts w:ascii="Verdana" w:hAnsi="Verdana" w:cs="Arial"/>
          <w:sz w:val="22"/>
          <w:szCs w:val="22"/>
        </w:rPr>
        <w:t xml:space="preserve"> La mejor combinación de seguridad, rentabilidad y servicio.</w:t>
      </w:r>
    </w:p>
    <w:p w:rsidR="006B3F28" w:rsidRPr="00BB1432" w:rsidRDefault="006B3F28" w:rsidP="006B3F28">
      <w:pPr>
        <w:spacing w:before="120" w:line="480" w:lineRule="auto"/>
        <w:ind w:left="542"/>
        <w:jc w:val="both"/>
        <w:rPr>
          <w:rFonts w:ascii="Verdana" w:hAnsi="Verdana" w:cs="Arial"/>
          <w:sz w:val="22"/>
          <w:szCs w:val="22"/>
        </w:rPr>
      </w:pPr>
    </w:p>
    <w:p w:rsidR="006B3F28" w:rsidRPr="00BB1432" w:rsidRDefault="006B3F28" w:rsidP="00167A06">
      <w:pPr>
        <w:numPr>
          <w:ilvl w:val="3"/>
          <w:numId w:val="13"/>
        </w:numPr>
        <w:spacing w:before="120" w:line="480" w:lineRule="auto"/>
        <w:jc w:val="both"/>
        <w:rPr>
          <w:rFonts w:ascii="Verdana" w:hAnsi="Verdana" w:cs="Arial"/>
          <w:b/>
          <w:sz w:val="22"/>
          <w:szCs w:val="22"/>
        </w:rPr>
      </w:pPr>
      <w:r w:rsidRPr="00BB1432">
        <w:rPr>
          <w:rFonts w:ascii="Verdana" w:hAnsi="Verdana" w:cs="Arial"/>
          <w:b/>
          <w:sz w:val="22"/>
          <w:szCs w:val="22"/>
        </w:rPr>
        <w:t>Seguros</w:t>
      </w:r>
    </w:p>
    <w:p w:rsidR="006B3F28" w:rsidRDefault="00167A06" w:rsidP="006B3F28">
      <w:pPr>
        <w:spacing w:before="120" w:line="480" w:lineRule="auto"/>
        <w:ind w:firstLine="708"/>
        <w:jc w:val="both"/>
        <w:rPr>
          <w:rFonts w:ascii="Verdana" w:hAnsi="Verdana" w:cs="Arial"/>
          <w:sz w:val="22"/>
          <w:szCs w:val="22"/>
        </w:rPr>
      </w:pPr>
      <w:r w:rsidRPr="00BB1432">
        <w:rPr>
          <w:rFonts w:ascii="Verdana" w:hAnsi="Verdana" w:cs="Arial"/>
          <w:sz w:val="22"/>
          <w:szCs w:val="22"/>
        </w:rPr>
        <w:t>P</w:t>
      </w:r>
      <w:r w:rsidR="006B3F28" w:rsidRPr="00BB1432">
        <w:rPr>
          <w:rFonts w:ascii="Verdana" w:hAnsi="Verdana" w:cs="Arial"/>
          <w:sz w:val="22"/>
          <w:szCs w:val="22"/>
        </w:rPr>
        <w:t>lanes de Vida y Accidentes de ACE, una de las empresas de seguros más serias y solventes del m</w:t>
      </w:r>
      <w:r w:rsidRPr="00BB1432">
        <w:rPr>
          <w:rFonts w:ascii="Verdana" w:hAnsi="Verdana" w:cs="Arial"/>
          <w:sz w:val="22"/>
          <w:szCs w:val="22"/>
        </w:rPr>
        <w:t>undo</w:t>
      </w:r>
      <w:r w:rsidR="008333A5">
        <w:rPr>
          <w:rFonts w:ascii="Verdana" w:hAnsi="Verdana" w:cs="Arial"/>
          <w:sz w:val="22"/>
          <w:szCs w:val="22"/>
        </w:rPr>
        <w:t>.</w:t>
      </w:r>
    </w:p>
    <w:p w:rsidR="008333A5" w:rsidRPr="00BB1432" w:rsidRDefault="008333A5" w:rsidP="006B3F28">
      <w:pPr>
        <w:spacing w:before="120" w:line="480" w:lineRule="auto"/>
        <w:ind w:firstLine="708"/>
        <w:jc w:val="both"/>
        <w:rPr>
          <w:rFonts w:ascii="Verdana" w:hAnsi="Verdana" w:cs="Arial"/>
          <w:sz w:val="22"/>
          <w:szCs w:val="22"/>
        </w:rPr>
      </w:pPr>
    </w:p>
    <w:p w:rsidR="006B3F28" w:rsidRPr="00BB1432" w:rsidRDefault="006B3F28" w:rsidP="008333A5">
      <w:pPr>
        <w:numPr>
          <w:ilvl w:val="2"/>
          <w:numId w:val="13"/>
        </w:numPr>
        <w:tabs>
          <w:tab w:val="clear" w:pos="1560"/>
          <w:tab w:val="num" w:pos="-6300"/>
        </w:tabs>
        <w:spacing w:before="120" w:line="480" w:lineRule="auto"/>
        <w:ind w:left="1080"/>
        <w:jc w:val="both"/>
        <w:rPr>
          <w:rFonts w:ascii="Verdana" w:hAnsi="Verdana" w:cs="Arial"/>
          <w:b/>
          <w:sz w:val="22"/>
          <w:szCs w:val="22"/>
        </w:rPr>
      </w:pPr>
      <w:r w:rsidRPr="00BB1432">
        <w:rPr>
          <w:rFonts w:ascii="Verdana" w:hAnsi="Verdana" w:cs="Arial"/>
          <w:b/>
          <w:sz w:val="22"/>
          <w:szCs w:val="22"/>
        </w:rPr>
        <w:t>Servicios bancarios</w:t>
      </w:r>
    </w:p>
    <w:p w:rsidR="006B3F28" w:rsidRPr="00BB1432"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Cuentas Corrientes y de Ahorros</w:t>
      </w:r>
    </w:p>
    <w:p w:rsidR="006B3F28" w:rsidRPr="00BB1432"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Intereses promedio a pagar por montos</w:t>
      </w:r>
    </w:p>
    <w:p w:rsidR="006B3F28" w:rsidRPr="00BB1432"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Giros y Transferencias</w:t>
      </w:r>
    </w:p>
    <w:p w:rsidR="006B3F28" w:rsidRPr="00BB1432"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Operaciones Contingentes</w:t>
      </w:r>
    </w:p>
    <w:p w:rsidR="006B3F28" w:rsidRPr="00BB1432"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Líneas de Crédito</w:t>
      </w:r>
    </w:p>
    <w:p w:rsidR="006B3F28" w:rsidRPr="00BB1432"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Línea de crédito Cuota-Fácil</w:t>
      </w:r>
    </w:p>
    <w:p w:rsidR="006B3F28" w:rsidRDefault="006B3F28" w:rsidP="006B3F28">
      <w:pPr>
        <w:numPr>
          <w:ilvl w:val="0"/>
          <w:numId w:val="5"/>
        </w:numPr>
        <w:tabs>
          <w:tab w:val="clear" w:pos="1260"/>
        </w:tabs>
        <w:spacing w:before="120" w:line="480" w:lineRule="auto"/>
        <w:ind w:left="1080"/>
        <w:jc w:val="both"/>
        <w:rPr>
          <w:rFonts w:ascii="Verdana" w:hAnsi="Verdana" w:cs="Arial"/>
          <w:sz w:val="22"/>
          <w:szCs w:val="22"/>
        </w:rPr>
      </w:pPr>
      <w:r w:rsidRPr="00BB1432">
        <w:rPr>
          <w:rFonts w:ascii="Verdana" w:hAnsi="Verdana" w:cs="Arial"/>
          <w:sz w:val="22"/>
          <w:szCs w:val="22"/>
        </w:rPr>
        <w:t>Casas Comerciales</w:t>
      </w:r>
    </w:p>
    <w:p w:rsidR="00D41289" w:rsidRDefault="00D41289" w:rsidP="00D41289">
      <w:pPr>
        <w:spacing w:before="120" w:line="480" w:lineRule="auto"/>
        <w:jc w:val="both"/>
        <w:rPr>
          <w:rFonts w:ascii="Verdana" w:hAnsi="Verdana" w:cs="Arial"/>
          <w:sz w:val="22"/>
          <w:szCs w:val="22"/>
        </w:rPr>
      </w:pPr>
    </w:p>
    <w:p w:rsidR="006B3F28" w:rsidRPr="00BB1432" w:rsidRDefault="00142AD4" w:rsidP="006B3F28">
      <w:pPr>
        <w:spacing w:before="120" w:line="480" w:lineRule="auto"/>
        <w:jc w:val="center"/>
        <w:rPr>
          <w:rFonts w:ascii="Verdana" w:hAnsi="Verdana" w:cs="Arial"/>
          <w:b/>
          <w:sz w:val="22"/>
          <w:szCs w:val="22"/>
        </w:rPr>
      </w:pPr>
      <w:r>
        <w:rPr>
          <w:rFonts w:ascii="Verdana" w:hAnsi="Verdana" w:cs="Arial"/>
          <w:b/>
          <w:sz w:val="22"/>
          <w:szCs w:val="22"/>
        </w:rPr>
        <w:t>Cuadro 2.8</w:t>
      </w:r>
      <w:r w:rsidR="006B3F28" w:rsidRPr="00BB1432">
        <w:rPr>
          <w:rFonts w:ascii="Verdana" w:hAnsi="Verdana" w:cs="Arial"/>
          <w:b/>
          <w:sz w:val="22"/>
          <w:szCs w:val="22"/>
        </w:rPr>
        <w:t xml:space="preserve"> </w:t>
      </w:r>
    </w:p>
    <w:p w:rsidR="006B3F28" w:rsidRPr="00BB1432" w:rsidRDefault="006B3F28" w:rsidP="006B3F28">
      <w:pPr>
        <w:spacing w:before="120" w:line="480" w:lineRule="auto"/>
        <w:jc w:val="center"/>
        <w:rPr>
          <w:rFonts w:ascii="Verdana" w:hAnsi="Verdana" w:cs="Arial"/>
          <w:sz w:val="22"/>
          <w:szCs w:val="22"/>
        </w:rPr>
      </w:pPr>
      <w:r w:rsidRPr="00BB1432">
        <w:rPr>
          <w:rFonts w:ascii="Verdana" w:hAnsi="Verdana" w:cs="Arial"/>
          <w:b/>
          <w:sz w:val="22"/>
          <w:szCs w:val="22"/>
        </w:rPr>
        <w:t>Tarifa por Servicios Bancarios</w:t>
      </w:r>
    </w:p>
    <w:p w:rsidR="006B3F28" w:rsidRPr="00BB1432" w:rsidRDefault="00006ACE" w:rsidP="006B3F28">
      <w:pPr>
        <w:spacing w:before="120" w:line="480" w:lineRule="auto"/>
        <w:jc w:val="both"/>
        <w:rPr>
          <w:rFonts w:ascii="Verdana" w:hAnsi="Verdana" w:cs="Arial"/>
          <w:sz w:val="22"/>
          <w:szCs w:val="22"/>
        </w:rPr>
      </w:pPr>
      <w:r>
        <w:rPr>
          <w:rFonts w:ascii="Verdana" w:hAnsi="Verdana" w:cs="Arial"/>
          <w:noProof/>
          <w:sz w:val="22"/>
          <w:szCs w:val="22"/>
          <w:lang w:val="es-ES" w:eastAsia="es-ES"/>
        </w:rPr>
        <w:drawing>
          <wp:inline distT="0" distB="0" distL="0" distR="0">
            <wp:extent cx="5400675" cy="3552825"/>
            <wp:effectExtent l="19050" t="19050" r="28575" b="285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5400675" cy="3552825"/>
                    </a:xfrm>
                    <a:prstGeom prst="rect">
                      <a:avLst/>
                    </a:prstGeom>
                    <a:noFill/>
                    <a:ln w="6350" cmpd="sng">
                      <a:solidFill>
                        <a:srgbClr val="000000"/>
                      </a:solidFill>
                      <a:miter lim="800000"/>
                      <a:headEnd/>
                      <a:tailEnd/>
                    </a:ln>
                    <a:effectLst/>
                  </pic:spPr>
                </pic:pic>
              </a:graphicData>
            </a:graphic>
          </wp:inline>
        </w:drawing>
      </w:r>
    </w:p>
    <w:p w:rsidR="006B3F28" w:rsidRPr="008333A5" w:rsidRDefault="006B3F28" w:rsidP="008333A5">
      <w:pPr>
        <w:spacing w:before="120" w:line="480" w:lineRule="auto"/>
        <w:rPr>
          <w:rFonts w:ascii="Verdana" w:hAnsi="Verdana" w:cs="Arial"/>
          <w:i/>
          <w:sz w:val="18"/>
          <w:szCs w:val="18"/>
        </w:rPr>
      </w:pPr>
      <w:r w:rsidRPr="008333A5">
        <w:rPr>
          <w:rFonts w:ascii="Verdana" w:hAnsi="Verdana" w:cs="Arial"/>
          <w:b/>
          <w:i/>
          <w:sz w:val="18"/>
          <w:szCs w:val="18"/>
        </w:rPr>
        <w:t>Fuente:</w:t>
      </w:r>
      <w:r w:rsidRPr="008333A5">
        <w:rPr>
          <w:rFonts w:ascii="Verdana" w:hAnsi="Verdana" w:cs="Arial"/>
          <w:i/>
          <w:sz w:val="18"/>
          <w:szCs w:val="18"/>
        </w:rPr>
        <w:t xml:space="preserve"> Página Web de Unibanco</w:t>
      </w:r>
    </w:p>
    <w:p w:rsidR="00413232" w:rsidRPr="00BB1432" w:rsidRDefault="00413232" w:rsidP="006B3F28">
      <w:pPr>
        <w:spacing w:before="120" w:line="480" w:lineRule="auto"/>
        <w:ind w:left="540" w:hanging="540"/>
        <w:jc w:val="both"/>
        <w:rPr>
          <w:rFonts w:ascii="Verdana" w:hAnsi="Verdana" w:cs="Arial"/>
          <w:b/>
          <w:sz w:val="22"/>
          <w:szCs w:val="22"/>
        </w:rPr>
      </w:pPr>
    </w:p>
    <w:p w:rsidR="006B3F28" w:rsidRPr="00BB1432" w:rsidRDefault="006B3F28" w:rsidP="006B3F28">
      <w:pPr>
        <w:spacing w:before="120" w:line="480" w:lineRule="auto"/>
        <w:ind w:left="540" w:hanging="540"/>
        <w:jc w:val="both"/>
        <w:rPr>
          <w:rFonts w:ascii="Verdana" w:hAnsi="Verdana" w:cs="Arial"/>
          <w:b/>
          <w:sz w:val="22"/>
          <w:szCs w:val="22"/>
        </w:rPr>
      </w:pPr>
      <w:r w:rsidRPr="00BB1432">
        <w:rPr>
          <w:rFonts w:ascii="Verdana" w:hAnsi="Verdana" w:cs="Arial"/>
          <w:b/>
          <w:sz w:val="22"/>
          <w:szCs w:val="22"/>
        </w:rPr>
        <w:t>2.3 Impacto Bancario de la compra de acciones del Solidario</w:t>
      </w:r>
    </w:p>
    <w:p w:rsidR="006B3F28" w:rsidRPr="00BB1432" w:rsidRDefault="006B3F28" w:rsidP="006B3F28">
      <w:pPr>
        <w:spacing w:line="480" w:lineRule="auto"/>
        <w:rPr>
          <w:rFonts w:ascii="Verdana" w:hAnsi="Verdana" w:cs="Arial"/>
          <w:sz w:val="22"/>
          <w:szCs w:val="22"/>
        </w:rPr>
      </w:pPr>
    </w:p>
    <w:p w:rsidR="006B3F28" w:rsidRPr="00BB1432" w:rsidRDefault="009514B5" w:rsidP="006B3F28">
      <w:pPr>
        <w:spacing w:line="480" w:lineRule="auto"/>
        <w:jc w:val="both"/>
        <w:rPr>
          <w:rFonts w:ascii="Verdana" w:hAnsi="Verdana" w:cs="Arial"/>
          <w:sz w:val="22"/>
          <w:szCs w:val="22"/>
        </w:rPr>
      </w:pPr>
      <w:r w:rsidRPr="00BB1432">
        <w:rPr>
          <w:rFonts w:ascii="Verdana" w:hAnsi="Verdana" w:cs="Arial"/>
          <w:sz w:val="22"/>
          <w:szCs w:val="22"/>
        </w:rPr>
        <w:t xml:space="preserve">     </w:t>
      </w:r>
      <w:r w:rsidR="006B3F28" w:rsidRPr="00BB1432">
        <w:rPr>
          <w:rFonts w:ascii="Verdana" w:hAnsi="Verdana" w:cs="Arial"/>
          <w:sz w:val="22"/>
          <w:szCs w:val="22"/>
        </w:rPr>
        <w:t>En el mes de Septiembre del año 2006, Unibanco compra  acciones del Banco Solidario, convirtiéndolo en el sexto banco del sistema por su capital, y en la entidad de microfinanzas más grande de Sudamérica.</w:t>
      </w:r>
      <w:r w:rsidR="006B3F28" w:rsidRPr="00BB1432">
        <w:rPr>
          <w:rStyle w:val="Refdenotaalpie"/>
          <w:rFonts w:ascii="Verdana" w:hAnsi="Verdana" w:cs="Arial"/>
          <w:sz w:val="22"/>
          <w:szCs w:val="22"/>
        </w:rPr>
        <w:footnoteReference w:id="8"/>
      </w:r>
      <w:r w:rsidR="006B3F28" w:rsidRPr="00BB1432">
        <w:rPr>
          <w:rFonts w:ascii="Verdana" w:hAnsi="Verdana" w:cs="Arial"/>
          <w:sz w:val="22"/>
          <w:szCs w:val="22"/>
        </w:rPr>
        <w:t xml:space="preserve"> </w:t>
      </w:r>
    </w:p>
    <w:p w:rsidR="006B3F28" w:rsidRPr="00BB1432" w:rsidRDefault="006B3F28" w:rsidP="006B3F28">
      <w:pPr>
        <w:spacing w:line="480" w:lineRule="auto"/>
        <w:jc w:val="both"/>
        <w:rPr>
          <w:rFonts w:ascii="Verdana" w:hAnsi="Verdana" w:cs="Arial"/>
          <w:sz w:val="22"/>
          <w:szCs w:val="22"/>
        </w:rPr>
      </w:pPr>
    </w:p>
    <w:p w:rsidR="006B3F28" w:rsidRPr="00BB1432" w:rsidRDefault="009514B5" w:rsidP="006B3F28">
      <w:pPr>
        <w:spacing w:line="480" w:lineRule="auto"/>
        <w:jc w:val="both"/>
        <w:rPr>
          <w:rFonts w:ascii="Verdana" w:hAnsi="Verdana" w:cs="Arial"/>
          <w:sz w:val="22"/>
          <w:szCs w:val="22"/>
        </w:rPr>
      </w:pPr>
      <w:r w:rsidRPr="00BB1432">
        <w:rPr>
          <w:rFonts w:ascii="Verdana" w:hAnsi="Verdana" w:cs="Arial"/>
          <w:sz w:val="22"/>
          <w:szCs w:val="22"/>
        </w:rPr>
        <w:t xml:space="preserve">     </w:t>
      </w:r>
      <w:r w:rsidR="006B3F28" w:rsidRPr="00BB1432">
        <w:rPr>
          <w:rFonts w:ascii="Verdana" w:hAnsi="Verdana" w:cs="Arial"/>
          <w:sz w:val="22"/>
          <w:szCs w:val="22"/>
        </w:rPr>
        <w:t xml:space="preserve">El </w:t>
      </w:r>
      <w:r w:rsidRPr="00BB1432">
        <w:rPr>
          <w:rFonts w:ascii="Verdana" w:hAnsi="Verdana" w:cs="Arial"/>
          <w:sz w:val="22"/>
          <w:szCs w:val="22"/>
        </w:rPr>
        <w:t xml:space="preserve">entonces </w:t>
      </w:r>
      <w:r w:rsidR="006B3F28" w:rsidRPr="00BB1432">
        <w:rPr>
          <w:rFonts w:ascii="Verdana" w:hAnsi="Verdana" w:cs="Arial"/>
          <w:sz w:val="22"/>
          <w:szCs w:val="22"/>
        </w:rPr>
        <w:t xml:space="preserve">Presidente del Banco Solidario, Santiago Rivadeneira, confirmo que la entidad realizó un incremento de capital por 12 millones de dólares, lo que le permitió al Unibanco adquirir el 33% de dichas acciones.  </w:t>
      </w:r>
    </w:p>
    <w:p w:rsidR="006B3F28" w:rsidRPr="00BB1432" w:rsidRDefault="006B3F28" w:rsidP="006B3F28">
      <w:pPr>
        <w:spacing w:line="480" w:lineRule="auto"/>
        <w:jc w:val="both"/>
        <w:rPr>
          <w:rFonts w:ascii="Verdana" w:hAnsi="Verdana"/>
          <w:sz w:val="22"/>
          <w:szCs w:val="22"/>
        </w:rPr>
      </w:pPr>
      <w:r w:rsidRPr="00BB1432">
        <w:rPr>
          <w:rFonts w:ascii="Verdana" w:hAnsi="Verdana"/>
          <w:sz w:val="22"/>
          <w:szCs w:val="22"/>
        </w:rPr>
        <w:tab/>
      </w:r>
      <w:r w:rsidRPr="00BB1432">
        <w:rPr>
          <w:rFonts w:ascii="Verdana" w:hAnsi="Verdana"/>
          <w:sz w:val="22"/>
          <w:szCs w:val="22"/>
        </w:rPr>
        <w:br/>
      </w:r>
      <w:r w:rsidR="009514B5" w:rsidRPr="00BB1432">
        <w:rPr>
          <w:rFonts w:ascii="Verdana" w:hAnsi="Verdana"/>
          <w:sz w:val="22"/>
          <w:szCs w:val="22"/>
        </w:rPr>
        <w:t xml:space="preserve">     </w:t>
      </w:r>
      <w:r w:rsidRPr="00BB1432">
        <w:rPr>
          <w:rFonts w:ascii="Verdana" w:hAnsi="Verdana"/>
          <w:sz w:val="22"/>
          <w:szCs w:val="22"/>
        </w:rPr>
        <w:t xml:space="preserve">Al unir las fortalezas de cada uno para lograr una mayor eficiencia de gestión, ambos bancos se benefician, por un lado el Unibanco financia su consumo, mientras que el Solidario financia sus negocios y expectativas de micro créditos para vivienda; y lo más importante a través de esta operación benefician enormemente a sus clientes.  Por ello, la misión del Solidario se mantiene y es un aporte al concepto de rentabilidad social. </w:t>
      </w:r>
    </w:p>
    <w:p w:rsidR="006B3F28" w:rsidRPr="00BB1432" w:rsidRDefault="006B3F28" w:rsidP="006B3F28">
      <w:pPr>
        <w:spacing w:line="480" w:lineRule="auto"/>
        <w:jc w:val="both"/>
        <w:rPr>
          <w:rFonts w:ascii="Verdana" w:hAnsi="Verdana"/>
          <w:sz w:val="22"/>
          <w:szCs w:val="22"/>
        </w:rPr>
      </w:pPr>
      <w:r w:rsidRPr="00BB1432">
        <w:rPr>
          <w:rFonts w:ascii="Verdana" w:hAnsi="Verdana"/>
          <w:sz w:val="22"/>
          <w:szCs w:val="22"/>
        </w:rPr>
        <w:tab/>
      </w:r>
      <w:r w:rsidRPr="00BB1432">
        <w:rPr>
          <w:rFonts w:ascii="Verdana" w:hAnsi="Verdana"/>
          <w:sz w:val="22"/>
          <w:szCs w:val="22"/>
        </w:rPr>
        <w:br/>
      </w:r>
      <w:r w:rsidR="009514B5" w:rsidRPr="00BB1432">
        <w:rPr>
          <w:rFonts w:ascii="Verdana" w:hAnsi="Verdana"/>
          <w:sz w:val="22"/>
          <w:szCs w:val="22"/>
        </w:rPr>
        <w:t xml:space="preserve">     </w:t>
      </w:r>
    </w:p>
    <w:p w:rsidR="00413232" w:rsidRPr="00BB1432" w:rsidRDefault="00413232" w:rsidP="00FA4985">
      <w:pPr>
        <w:spacing w:line="480" w:lineRule="auto"/>
        <w:jc w:val="center"/>
        <w:rPr>
          <w:rFonts w:ascii="Verdana" w:hAnsi="Verdana"/>
          <w:b/>
          <w:sz w:val="22"/>
          <w:szCs w:val="22"/>
        </w:rPr>
      </w:pPr>
    </w:p>
    <w:p w:rsidR="00413232" w:rsidRDefault="00413232" w:rsidP="00FA4985">
      <w:pPr>
        <w:spacing w:line="480" w:lineRule="auto"/>
        <w:jc w:val="center"/>
        <w:rPr>
          <w:rFonts w:ascii="Verdana" w:hAnsi="Verdana"/>
          <w:b/>
          <w:sz w:val="28"/>
          <w:szCs w:val="28"/>
        </w:rPr>
      </w:pPr>
    </w:p>
    <w:p w:rsidR="00BB1432" w:rsidRDefault="00BB1432" w:rsidP="00FA4985">
      <w:pPr>
        <w:spacing w:line="480" w:lineRule="auto"/>
        <w:jc w:val="center"/>
        <w:rPr>
          <w:rFonts w:ascii="Verdana" w:hAnsi="Verdana"/>
          <w:b/>
          <w:sz w:val="28"/>
          <w:szCs w:val="28"/>
        </w:rPr>
      </w:pPr>
    </w:p>
    <w:p w:rsidR="00BB1432" w:rsidRDefault="00BB1432" w:rsidP="00FA4985">
      <w:pPr>
        <w:spacing w:line="480" w:lineRule="auto"/>
        <w:jc w:val="center"/>
        <w:rPr>
          <w:rFonts w:ascii="Verdana" w:hAnsi="Verdana"/>
          <w:b/>
          <w:sz w:val="28"/>
          <w:szCs w:val="28"/>
        </w:rPr>
      </w:pPr>
    </w:p>
    <w:p w:rsidR="00BB1432" w:rsidRDefault="00BB1432" w:rsidP="00FA4985">
      <w:pPr>
        <w:spacing w:line="480" w:lineRule="auto"/>
        <w:jc w:val="center"/>
        <w:rPr>
          <w:rFonts w:ascii="Verdana" w:hAnsi="Verdana"/>
          <w:b/>
          <w:sz w:val="28"/>
          <w:szCs w:val="28"/>
        </w:rPr>
      </w:pPr>
    </w:p>
    <w:p w:rsidR="00BB1432" w:rsidRDefault="00BB1432" w:rsidP="00FA4985">
      <w:pPr>
        <w:spacing w:line="480" w:lineRule="auto"/>
        <w:jc w:val="center"/>
        <w:rPr>
          <w:rFonts w:ascii="Verdana" w:hAnsi="Verdana"/>
          <w:b/>
          <w:sz w:val="28"/>
          <w:szCs w:val="28"/>
        </w:rPr>
      </w:pPr>
    </w:p>
    <w:p w:rsidR="00BB1432" w:rsidRDefault="00BB1432" w:rsidP="00FA4985">
      <w:pPr>
        <w:spacing w:line="480" w:lineRule="auto"/>
        <w:jc w:val="center"/>
        <w:rPr>
          <w:rFonts w:ascii="Verdana" w:hAnsi="Verdana"/>
          <w:b/>
          <w:sz w:val="28"/>
          <w:szCs w:val="28"/>
        </w:rPr>
      </w:pPr>
    </w:p>
    <w:p w:rsidR="00BB1432" w:rsidRDefault="00BB1432" w:rsidP="00FA4985">
      <w:pPr>
        <w:spacing w:line="480" w:lineRule="auto"/>
        <w:jc w:val="center"/>
        <w:rPr>
          <w:rFonts w:ascii="Verdana" w:hAnsi="Verdana"/>
          <w:b/>
          <w:sz w:val="28"/>
          <w:szCs w:val="28"/>
        </w:rPr>
      </w:pPr>
    </w:p>
    <w:p w:rsidR="00413232" w:rsidRDefault="00413232" w:rsidP="00FA4985">
      <w:pPr>
        <w:spacing w:line="480" w:lineRule="auto"/>
        <w:jc w:val="center"/>
        <w:rPr>
          <w:rFonts w:ascii="Verdana" w:hAnsi="Verdana"/>
          <w:b/>
          <w:sz w:val="28"/>
          <w:szCs w:val="28"/>
        </w:rPr>
      </w:pPr>
    </w:p>
    <w:p w:rsidR="00413232" w:rsidRDefault="00413232" w:rsidP="00FA4985">
      <w:pPr>
        <w:spacing w:line="480" w:lineRule="auto"/>
        <w:jc w:val="center"/>
        <w:rPr>
          <w:rFonts w:ascii="Verdana" w:hAnsi="Verdana"/>
          <w:b/>
          <w:sz w:val="28"/>
          <w:szCs w:val="28"/>
        </w:rPr>
      </w:pPr>
    </w:p>
    <w:p w:rsidR="00FA4985" w:rsidRPr="00EF7F19" w:rsidRDefault="00FA4985" w:rsidP="00FA4985">
      <w:pPr>
        <w:spacing w:line="480" w:lineRule="auto"/>
        <w:jc w:val="center"/>
        <w:rPr>
          <w:rFonts w:ascii="Verdana" w:hAnsi="Verdana"/>
          <w:b/>
          <w:sz w:val="28"/>
          <w:szCs w:val="28"/>
        </w:rPr>
      </w:pPr>
      <w:r>
        <w:rPr>
          <w:rFonts w:ascii="Verdana" w:hAnsi="Verdana"/>
          <w:b/>
          <w:sz w:val="28"/>
          <w:szCs w:val="28"/>
        </w:rPr>
        <w:t>CAPÍ</w:t>
      </w:r>
      <w:r w:rsidRPr="00EF7F19">
        <w:rPr>
          <w:rFonts w:ascii="Verdana" w:hAnsi="Verdana"/>
          <w:b/>
          <w:sz w:val="28"/>
          <w:szCs w:val="28"/>
        </w:rPr>
        <w:t>TULO III</w:t>
      </w:r>
    </w:p>
    <w:p w:rsidR="00FA4985" w:rsidRDefault="00FA4985" w:rsidP="00FA4985">
      <w:pPr>
        <w:spacing w:line="480" w:lineRule="auto"/>
        <w:jc w:val="center"/>
        <w:rPr>
          <w:rFonts w:ascii="Verdana" w:hAnsi="Verdana"/>
          <w:b/>
          <w:sz w:val="28"/>
          <w:szCs w:val="28"/>
        </w:rPr>
      </w:pPr>
      <w:r>
        <w:rPr>
          <w:rFonts w:ascii="Verdana" w:hAnsi="Verdana"/>
          <w:b/>
          <w:sz w:val="28"/>
          <w:szCs w:val="28"/>
        </w:rPr>
        <w:t>METODOLOGÍA PARA PROYECCIÓN DEL BALANCE GENERAL</w:t>
      </w:r>
    </w:p>
    <w:p w:rsidR="00FA4985" w:rsidRPr="00BB1432" w:rsidRDefault="00FA4985" w:rsidP="00FA4985">
      <w:pPr>
        <w:spacing w:line="480" w:lineRule="auto"/>
        <w:jc w:val="center"/>
        <w:rPr>
          <w:rFonts w:ascii="Verdana" w:hAnsi="Verdana"/>
          <w:sz w:val="22"/>
          <w:szCs w:val="22"/>
        </w:rPr>
      </w:pPr>
    </w:p>
    <w:p w:rsidR="00FA4985" w:rsidRPr="00BB1432" w:rsidRDefault="00FA4985" w:rsidP="00FA4985">
      <w:pPr>
        <w:spacing w:line="480" w:lineRule="auto"/>
        <w:jc w:val="both"/>
        <w:rPr>
          <w:rFonts w:ascii="Verdana" w:hAnsi="Verdana"/>
          <w:b/>
          <w:sz w:val="22"/>
          <w:szCs w:val="22"/>
        </w:rPr>
      </w:pPr>
      <w:r w:rsidRPr="00BB1432">
        <w:rPr>
          <w:rFonts w:ascii="Verdana" w:hAnsi="Verdana"/>
          <w:b/>
          <w:sz w:val="22"/>
          <w:szCs w:val="22"/>
        </w:rPr>
        <w:t>3.1 DESCRIPCIÓN DEL MÉTODO DE PROYECCIÓN DE ESTADOS FINANCIEROS</w:t>
      </w:r>
    </w:p>
    <w:p w:rsidR="00FA4985" w:rsidRPr="00BB1432" w:rsidRDefault="00FA4985" w:rsidP="00FA4985">
      <w:pPr>
        <w:spacing w:line="480" w:lineRule="auto"/>
        <w:jc w:val="both"/>
        <w:rPr>
          <w:rFonts w:ascii="Verdana" w:hAnsi="Verdana"/>
          <w:b/>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Proyectar es hacer una estimación del valor futuro de las cuentas que son objeto de análisis, basándose en el comportamiento histórico de los mismos y en el criterio del analista.</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Un óptimo modelo de proyección financiera debe reunir las siguientes características con el objetivo de realizar un análisis de valoración que permita determinar el flujo de efectivo disponible para los accionistas, lo cual necesita de la proyección de las cuentas correspondientes al Estado de Pérdidas y Ganancias. Además de proyectar el flujo de efectivo, es indispensable un Balance General y un Estado de Resultados Proyectado para fechas futuras determinadas, las cuales incluyen previsiones de todas las cuentas de activos y pasivos.</w:t>
      </w:r>
    </w:p>
    <w:p w:rsidR="00FA4985" w:rsidRDefault="00FA4985" w:rsidP="00FA4985">
      <w:pPr>
        <w:spacing w:line="480" w:lineRule="auto"/>
        <w:jc w:val="both"/>
        <w:rPr>
          <w:rFonts w:ascii="Verdana" w:hAnsi="Verdana"/>
          <w:sz w:val="22"/>
          <w:szCs w:val="22"/>
        </w:rPr>
      </w:pPr>
    </w:p>
    <w:p w:rsidR="00D41289" w:rsidRPr="00BB1432" w:rsidRDefault="00D41289"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b/>
          <w:sz w:val="22"/>
          <w:szCs w:val="22"/>
        </w:rPr>
        <w:t>3.1.1 Modelo de proyección de los Estados Financieros y Modelo de Proyección para el Unibanco</w:t>
      </w:r>
    </w:p>
    <w:p w:rsidR="00FA4985" w:rsidRPr="00BB1432" w:rsidRDefault="00FA4985" w:rsidP="00FA4985">
      <w:pPr>
        <w:spacing w:line="480" w:lineRule="auto"/>
        <w:jc w:val="both"/>
        <w:rPr>
          <w:rFonts w:ascii="Verdana" w:hAnsi="Verdana"/>
          <w:b/>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Dada la variedad de instituciones financieras que existen, ya sea por su actividad o por su tamaño, es complicado determinar un modelo base para cualquier entidad financiera. En el presente, los departamentos financieros de los Bancos basan sus proyecciones en tendencias históricas de crecimiento y decisiones futuras por parte de </w:t>
      </w:r>
      <w:smartTag w:uri="urn:schemas-microsoft-com:office:smarttags" w:element="PersonName">
        <w:smartTagPr>
          <w:attr w:name="ProductID" w:val="la Administraci￳n Central."/>
        </w:smartTagPr>
        <w:r w:rsidRPr="00BB1432">
          <w:rPr>
            <w:rFonts w:ascii="Verdana" w:hAnsi="Verdana"/>
            <w:sz w:val="22"/>
            <w:szCs w:val="22"/>
          </w:rPr>
          <w:t>la Administración Central.</w:t>
        </w:r>
      </w:smartTag>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Un buen modelo de proyección financiera debe reunir las siguientes características: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numPr>
          <w:ilvl w:val="0"/>
          <w:numId w:val="8"/>
        </w:numPr>
        <w:spacing w:line="480" w:lineRule="auto"/>
        <w:jc w:val="both"/>
        <w:rPr>
          <w:rFonts w:ascii="Verdana" w:hAnsi="Verdana"/>
          <w:sz w:val="22"/>
          <w:szCs w:val="22"/>
        </w:rPr>
      </w:pPr>
      <w:r w:rsidRPr="00BB1432">
        <w:rPr>
          <w:rFonts w:ascii="Verdana" w:hAnsi="Verdana"/>
          <w:sz w:val="22"/>
          <w:szCs w:val="22"/>
        </w:rPr>
        <w:t>El modelo debe ser flexible, o sea, que pueda ser adaptado y expandido según la variedad de las circunstancias.</w:t>
      </w:r>
    </w:p>
    <w:p w:rsidR="00FA4985" w:rsidRPr="00BB1432" w:rsidRDefault="00FA4985" w:rsidP="00FA4985">
      <w:pPr>
        <w:numPr>
          <w:ilvl w:val="0"/>
          <w:numId w:val="8"/>
        </w:numPr>
        <w:spacing w:line="480" w:lineRule="auto"/>
        <w:jc w:val="both"/>
        <w:rPr>
          <w:rFonts w:ascii="Verdana" w:hAnsi="Verdana"/>
          <w:sz w:val="22"/>
          <w:szCs w:val="22"/>
        </w:rPr>
      </w:pPr>
      <w:r w:rsidRPr="00BB1432">
        <w:rPr>
          <w:rFonts w:ascii="Verdana" w:hAnsi="Verdana"/>
          <w:sz w:val="22"/>
          <w:szCs w:val="22"/>
        </w:rPr>
        <w:t>Los datos que utilice y los resultados que arroje el modelo deben ser comprensibles.</w:t>
      </w:r>
    </w:p>
    <w:p w:rsidR="00FA4985" w:rsidRPr="00BB1432" w:rsidRDefault="00FA4985" w:rsidP="00FA4985">
      <w:pPr>
        <w:numPr>
          <w:ilvl w:val="0"/>
          <w:numId w:val="8"/>
        </w:numPr>
        <w:spacing w:line="480" w:lineRule="auto"/>
        <w:jc w:val="both"/>
        <w:rPr>
          <w:rFonts w:ascii="Verdana" w:hAnsi="Verdana"/>
          <w:sz w:val="22"/>
          <w:szCs w:val="22"/>
        </w:rPr>
      </w:pPr>
      <w:r w:rsidRPr="00BB1432">
        <w:rPr>
          <w:rFonts w:ascii="Verdana" w:hAnsi="Verdana"/>
          <w:sz w:val="22"/>
          <w:szCs w:val="22"/>
        </w:rPr>
        <w:t>El modelo debe ser sencillo de aplicar sin la necesidad de extensas formulaciones o difícil manejo de los datos.</w:t>
      </w:r>
    </w:p>
    <w:p w:rsidR="00FA4985" w:rsidRPr="00BB1432" w:rsidRDefault="00FA4985" w:rsidP="00FA4985">
      <w:pPr>
        <w:numPr>
          <w:ilvl w:val="0"/>
          <w:numId w:val="8"/>
        </w:numPr>
        <w:spacing w:line="480" w:lineRule="auto"/>
        <w:jc w:val="both"/>
        <w:rPr>
          <w:rFonts w:ascii="Verdana" w:hAnsi="Verdana"/>
          <w:sz w:val="22"/>
          <w:szCs w:val="22"/>
        </w:rPr>
      </w:pPr>
      <w:r w:rsidRPr="00BB1432">
        <w:rPr>
          <w:rFonts w:ascii="Verdana" w:hAnsi="Verdana"/>
          <w:sz w:val="22"/>
          <w:szCs w:val="22"/>
        </w:rPr>
        <w:t>Los supuestos y los resultados del modelo deben ser creíbles</w:t>
      </w:r>
    </w:p>
    <w:p w:rsidR="00FA4985" w:rsidRPr="00BB1432" w:rsidRDefault="00FA4985" w:rsidP="00FA4985">
      <w:pPr>
        <w:numPr>
          <w:ilvl w:val="0"/>
          <w:numId w:val="8"/>
        </w:numPr>
        <w:spacing w:line="480" w:lineRule="auto"/>
        <w:jc w:val="both"/>
        <w:rPr>
          <w:rFonts w:ascii="Verdana" w:hAnsi="Verdana"/>
          <w:sz w:val="22"/>
          <w:szCs w:val="22"/>
        </w:rPr>
      </w:pPr>
      <w:r w:rsidRPr="00BB1432">
        <w:rPr>
          <w:rFonts w:ascii="Verdana" w:hAnsi="Verdana"/>
          <w:sz w:val="22"/>
          <w:szCs w:val="22"/>
        </w:rPr>
        <w:t>Debe ofrecer un método práctico y técnico.</w:t>
      </w:r>
    </w:p>
    <w:p w:rsidR="00FA4985" w:rsidRPr="00BB1432" w:rsidRDefault="00FA4985" w:rsidP="00FA4985">
      <w:pPr>
        <w:numPr>
          <w:ilvl w:val="0"/>
          <w:numId w:val="8"/>
        </w:numPr>
        <w:spacing w:line="480" w:lineRule="auto"/>
        <w:jc w:val="both"/>
        <w:rPr>
          <w:rFonts w:ascii="Verdana" w:hAnsi="Verdana"/>
          <w:sz w:val="22"/>
          <w:szCs w:val="22"/>
        </w:rPr>
      </w:pPr>
      <w:r w:rsidRPr="00BB1432">
        <w:rPr>
          <w:rFonts w:ascii="Verdana" w:hAnsi="Verdana"/>
          <w:sz w:val="22"/>
          <w:szCs w:val="22"/>
        </w:rPr>
        <w:t>Debe tomar en cuenta factores como inversiones, financiamiento, política de dividendos y decisiones futuras que puedan afectar la proyección.</w:t>
      </w:r>
    </w:p>
    <w:p w:rsidR="00FA4985" w:rsidRDefault="00FA4985" w:rsidP="00FA4985">
      <w:pPr>
        <w:spacing w:line="480" w:lineRule="auto"/>
        <w:jc w:val="both"/>
        <w:rPr>
          <w:rFonts w:ascii="Verdana" w:hAnsi="Verdana"/>
          <w:sz w:val="22"/>
          <w:szCs w:val="22"/>
        </w:rPr>
      </w:pPr>
    </w:p>
    <w:p w:rsidR="00D41289" w:rsidRPr="00BB1432" w:rsidRDefault="00D41289"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b/>
          <w:sz w:val="22"/>
          <w:szCs w:val="22"/>
        </w:rPr>
        <w:t>3.1.2 Estudio de las cuentas relevantes y ratios para el modelo de proyección</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Los Estados Financieros brindan información sobre la situación financiera de una organización en un punto en el tiempo, así como de sus operaciones a lo largo de un periodo anterior. Sin embargo, el valor real de los Estados Financieros subyace en el hecho de que pueden utilizarse para ayudar a predecir la situación financiera de una empresa en el futuro y calcular las utilidades y los dividendos esperados.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Se conoce como ratio al índice que relaciona entre si dos elementos de información financiera al dividir una cantidad entre otra, con la cual obtenemos una comparación que resulta más útil que las cantidades nominales.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r w:rsidRPr="00BB1432">
        <w:rPr>
          <w:rFonts w:ascii="Verdana" w:hAnsi="Verdana"/>
          <w:sz w:val="22"/>
          <w:szCs w:val="22"/>
        </w:rPr>
        <w:t xml:space="preserve">     De esta manera se puede utilizar la información histórica de los Estados Financieros para obtener ratios que relacionen las cuentas más importantes seleccionadas de acuerdo a la estructura de la entidad y a la actividad que desempeña. Si estos ratios se mantienen estables a través del tiempo, se pueden usar para proyectar las cuentas que componen el Balance General y el Estado de Pérdidas y Ganancias.</w:t>
      </w:r>
    </w:p>
    <w:p w:rsidR="00FA4985" w:rsidRDefault="00FA4985" w:rsidP="00FA4985">
      <w:pPr>
        <w:spacing w:line="480" w:lineRule="auto"/>
        <w:jc w:val="both"/>
        <w:rPr>
          <w:rFonts w:ascii="Verdana" w:hAnsi="Verdana"/>
          <w:sz w:val="22"/>
          <w:szCs w:val="22"/>
        </w:rPr>
      </w:pPr>
    </w:p>
    <w:p w:rsidR="00D41289" w:rsidRPr="00BB1432" w:rsidRDefault="00D41289"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3.1.2.1 Cuentas de Balance usadas en la proyección</w:t>
      </w:r>
    </w:p>
    <w:p w:rsidR="00844286" w:rsidRPr="00BB1432" w:rsidRDefault="00844286" w:rsidP="00FA4985">
      <w:pPr>
        <w:spacing w:line="480" w:lineRule="auto"/>
        <w:ind w:firstLine="708"/>
        <w:jc w:val="both"/>
        <w:rPr>
          <w:rFonts w:ascii="Verdana" w:hAnsi="Verdana"/>
          <w:sz w:val="22"/>
          <w:szCs w:val="22"/>
        </w:rPr>
      </w:pP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En el cuadro 3.1 se encuentran las cuentas a utilizar en los ratios para realizar la proyección del Balance General</w:t>
      </w:r>
      <w:r w:rsidR="008333A5">
        <w:rPr>
          <w:rFonts w:ascii="Verdana" w:hAnsi="Verdana"/>
          <w:sz w:val="22"/>
          <w:szCs w:val="22"/>
        </w:rPr>
        <w:t>.</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3.1</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Cuentas para el Balance General</w:t>
      </w:r>
    </w:p>
    <w:tbl>
      <w:tblPr>
        <w:tblStyle w:val="Tablaconcuadrcula"/>
        <w:tblW w:w="8414" w:type="dxa"/>
        <w:tblLook w:val="01E0"/>
      </w:tblPr>
      <w:tblGrid>
        <w:gridCol w:w="4319"/>
        <w:gridCol w:w="4095"/>
      </w:tblGrid>
      <w:tr w:rsidR="00FA4985" w:rsidRPr="00BB1432">
        <w:trPr>
          <w:trHeight w:val="312"/>
        </w:trPr>
        <w:tc>
          <w:tcPr>
            <w:tcW w:w="4319" w:type="dxa"/>
          </w:tcPr>
          <w:p w:rsidR="00FA4985" w:rsidRPr="00BB1432" w:rsidRDefault="00FA4985" w:rsidP="00FA4985">
            <w:pPr>
              <w:spacing w:line="360" w:lineRule="auto"/>
              <w:jc w:val="center"/>
              <w:rPr>
                <w:rFonts w:ascii="Verdana" w:hAnsi="Verdana"/>
                <w:b/>
                <w:sz w:val="22"/>
                <w:szCs w:val="22"/>
              </w:rPr>
            </w:pPr>
            <w:r w:rsidRPr="00BB1432">
              <w:rPr>
                <w:rFonts w:ascii="Verdana" w:hAnsi="Verdana"/>
                <w:b/>
                <w:sz w:val="22"/>
                <w:szCs w:val="22"/>
              </w:rPr>
              <w:t>Rubros del Activo</w:t>
            </w:r>
          </w:p>
        </w:tc>
        <w:tc>
          <w:tcPr>
            <w:tcW w:w="4095" w:type="dxa"/>
          </w:tcPr>
          <w:p w:rsidR="00FA4985" w:rsidRPr="00BB1432" w:rsidRDefault="00FA4985" w:rsidP="00FA4985">
            <w:pPr>
              <w:spacing w:line="360" w:lineRule="auto"/>
              <w:jc w:val="center"/>
              <w:rPr>
                <w:rFonts w:ascii="Verdana" w:hAnsi="Verdana"/>
                <w:b/>
                <w:sz w:val="22"/>
                <w:szCs w:val="22"/>
              </w:rPr>
            </w:pPr>
            <w:r w:rsidRPr="00BB1432">
              <w:rPr>
                <w:rFonts w:ascii="Verdana" w:hAnsi="Verdana"/>
                <w:b/>
                <w:sz w:val="22"/>
                <w:szCs w:val="22"/>
              </w:rPr>
              <w:t>Rubros del Pasivo</w:t>
            </w:r>
          </w:p>
        </w:tc>
      </w:tr>
      <w:tr w:rsidR="00FA4985" w:rsidRPr="00BB1432">
        <w:trPr>
          <w:trHeight w:val="1314"/>
        </w:trPr>
        <w:tc>
          <w:tcPr>
            <w:tcW w:w="4319" w:type="dxa"/>
            <w:vMerge w:val="restart"/>
          </w:tcPr>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Fondos Disponibles</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Inversiones</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Cartera de crédito</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 xml:space="preserve">   Cartera Vencida</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 xml:space="preserve">   C.C. Comercial por vencer</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 xml:space="preserve">   C.C. de Consumo por vencer</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 xml:space="preserve">   C.C. de Vivienda por vencer</w:t>
            </w:r>
          </w:p>
          <w:p w:rsidR="00FA4985" w:rsidRPr="00BB1432" w:rsidRDefault="00FA4985" w:rsidP="00FA4985">
            <w:pPr>
              <w:spacing w:line="360" w:lineRule="auto"/>
              <w:jc w:val="both"/>
              <w:rPr>
                <w:rFonts w:ascii="Verdana" w:hAnsi="Verdana"/>
                <w:sz w:val="22"/>
                <w:szCs w:val="22"/>
                <w:lang w:val="pt-BR"/>
              </w:rPr>
            </w:pPr>
            <w:r w:rsidRPr="00BB1432">
              <w:rPr>
                <w:rFonts w:ascii="Verdana" w:hAnsi="Verdana"/>
                <w:sz w:val="22"/>
                <w:szCs w:val="22"/>
              </w:rPr>
              <w:t xml:space="preserve">   </w:t>
            </w:r>
            <w:r w:rsidRPr="00BB1432">
              <w:rPr>
                <w:rFonts w:ascii="Verdana" w:hAnsi="Verdana"/>
                <w:sz w:val="22"/>
                <w:szCs w:val="22"/>
                <w:lang w:val="pt-BR"/>
              </w:rPr>
              <w:t>C.C. de Microempresa por vencer</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Provisión para créditos incobrables</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Activo Fijo (propiedades y equipos)</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Otros Activos</w:t>
            </w:r>
          </w:p>
        </w:tc>
        <w:tc>
          <w:tcPr>
            <w:tcW w:w="4095" w:type="dxa"/>
          </w:tcPr>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Obligaciones con el público</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Otras obligaciones</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Otros pasivos</w:t>
            </w:r>
          </w:p>
          <w:p w:rsidR="00FA4985" w:rsidRPr="00BB1432" w:rsidRDefault="00FA4985" w:rsidP="00FA4985">
            <w:pPr>
              <w:spacing w:line="360" w:lineRule="auto"/>
              <w:jc w:val="both"/>
              <w:rPr>
                <w:rFonts w:ascii="Verdana" w:hAnsi="Verdana"/>
                <w:sz w:val="22"/>
                <w:szCs w:val="22"/>
              </w:rPr>
            </w:pPr>
          </w:p>
        </w:tc>
      </w:tr>
      <w:tr w:rsidR="00FA4985" w:rsidRPr="00BB1432">
        <w:trPr>
          <w:trHeight w:val="118"/>
        </w:trPr>
        <w:tc>
          <w:tcPr>
            <w:tcW w:w="4319" w:type="dxa"/>
            <w:vMerge/>
          </w:tcPr>
          <w:p w:rsidR="00FA4985" w:rsidRPr="00BB1432" w:rsidRDefault="00FA4985" w:rsidP="00FA4985">
            <w:pPr>
              <w:spacing w:line="360" w:lineRule="auto"/>
              <w:jc w:val="center"/>
              <w:rPr>
                <w:rFonts w:ascii="Verdana" w:hAnsi="Verdana"/>
                <w:sz w:val="22"/>
                <w:szCs w:val="22"/>
              </w:rPr>
            </w:pPr>
          </w:p>
        </w:tc>
        <w:tc>
          <w:tcPr>
            <w:tcW w:w="4095" w:type="dxa"/>
          </w:tcPr>
          <w:p w:rsidR="00FA4985" w:rsidRPr="00BB1432" w:rsidRDefault="00FA4985" w:rsidP="00FA4985">
            <w:pPr>
              <w:spacing w:line="360" w:lineRule="auto"/>
              <w:jc w:val="both"/>
              <w:rPr>
                <w:rFonts w:ascii="Verdana" w:hAnsi="Verdana"/>
                <w:b/>
                <w:sz w:val="22"/>
                <w:szCs w:val="22"/>
              </w:rPr>
            </w:pPr>
            <w:r w:rsidRPr="00BB1432">
              <w:rPr>
                <w:rFonts w:ascii="Verdana" w:hAnsi="Verdana"/>
                <w:b/>
                <w:sz w:val="22"/>
                <w:szCs w:val="22"/>
              </w:rPr>
              <w:t>PATRIMONIO</w:t>
            </w:r>
          </w:p>
          <w:p w:rsidR="00FA4985" w:rsidRPr="00BB1432" w:rsidRDefault="00FA4985" w:rsidP="00FA4985">
            <w:pPr>
              <w:spacing w:line="360" w:lineRule="auto"/>
              <w:jc w:val="both"/>
              <w:rPr>
                <w:rFonts w:ascii="Verdana" w:hAnsi="Verdana"/>
                <w:sz w:val="22"/>
                <w:szCs w:val="22"/>
              </w:rPr>
            </w:pPr>
            <w:r w:rsidRPr="00BB1432">
              <w:rPr>
                <w:rFonts w:ascii="Verdana" w:hAnsi="Verdana"/>
                <w:sz w:val="22"/>
                <w:szCs w:val="22"/>
              </w:rPr>
              <w:t>Patrimonio Total</w:t>
            </w:r>
          </w:p>
        </w:tc>
      </w:tr>
    </w:tbl>
    <w:p w:rsidR="00FA4985" w:rsidRPr="008333A5" w:rsidRDefault="00FA4985" w:rsidP="008333A5">
      <w:pPr>
        <w:spacing w:line="480" w:lineRule="auto"/>
        <w:rPr>
          <w:rFonts w:ascii="Verdana" w:hAnsi="Verdana"/>
          <w:i/>
          <w:sz w:val="18"/>
          <w:szCs w:val="18"/>
        </w:rPr>
      </w:pPr>
      <w:r w:rsidRPr="008333A5">
        <w:rPr>
          <w:rFonts w:ascii="Verdana" w:hAnsi="Verdana"/>
          <w:b/>
          <w:i/>
          <w:sz w:val="18"/>
          <w:szCs w:val="18"/>
        </w:rPr>
        <w:t>Elaborado por</w:t>
      </w:r>
      <w:r w:rsidR="008333A5">
        <w:rPr>
          <w:rFonts w:ascii="Verdana" w:hAnsi="Verdana"/>
          <w:b/>
          <w:i/>
          <w:sz w:val="18"/>
          <w:szCs w:val="18"/>
        </w:rPr>
        <w:t>:</w:t>
      </w:r>
      <w:r w:rsidRPr="008333A5">
        <w:rPr>
          <w:rFonts w:ascii="Verdana" w:hAnsi="Verdana"/>
          <w:b/>
          <w:i/>
          <w:sz w:val="18"/>
          <w:szCs w:val="18"/>
        </w:rPr>
        <w:t xml:space="preserve"> </w:t>
      </w:r>
      <w:r w:rsidR="008333A5">
        <w:rPr>
          <w:rFonts w:ascii="Verdana" w:hAnsi="Verdana"/>
          <w:i/>
          <w:sz w:val="18"/>
          <w:szCs w:val="18"/>
        </w:rPr>
        <w:t>L</w:t>
      </w:r>
      <w:r w:rsidRPr="008333A5">
        <w:rPr>
          <w:rFonts w:ascii="Verdana" w:hAnsi="Verdana"/>
          <w:i/>
          <w:sz w:val="18"/>
          <w:szCs w:val="18"/>
        </w:rPr>
        <w:t>os Autores</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Se seleccionó las cuentas o grupos de cuentas mostradas en el cuadro anterior por ser las que mayor relevancia e importancia tienen para una institución financiera, debido a que en ellas se centra la principal actividad de la misma.</w:t>
      </w:r>
    </w:p>
    <w:p w:rsidR="00FA4985" w:rsidRDefault="00FA4985" w:rsidP="00FA4985">
      <w:pPr>
        <w:spacing w:line="480" w:lineRule="auto"/>
        <w:jc w:val="both"/>
        <w:rPr>
          <w:rFonts w:ascii="Verdana" w:hAnsi="Verdana"/>
          <w:sz w:val="22"/>
          <w:szCs w:val="22"/>
        </w:rPr>
      </w:pPr>
    </w:p>
    <w:p w:rsidR="00D41289" w:rsidRPr="00BB1432" w:rsidRDefault="00D41289"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3.1.2.2 Criterios para la aceptación de ratios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Existen gran variedad de combinaciones posibles para establecer los ratios de un modelo de predicción, estos pueden ser similares entre empresas de iguales características pero no garantizan su efectividad cuando se trata de instituciones de distinto tamaño o actividad, es por eso que para garantizar la efectividad de un ratio este debe tener las siguientes características.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numPr>
          <w:ilvl w:val="0"/>
          <w:numId w:val="9"/>
        </w:numPr>
        <w:spacing w:line="480" w:lineRule="auto"/>
        <w:jc w:val="both"/>
        <w:rPr>
          <w:rFonts w:ascii="Verdana" w:hAnsi="Verdana"/>
          <w:sz w:val="22"/>
          <w:szCs w:val="22"/>
        </w:rPr>
      </w:pPr>
      <w:r w:rsidRPr="00BB1432">
        <w:rPr>
          <w:rFonts w:ascii="Verdana" w:hAnsi="Verdana"/>
          <w:sz w:val="22"/>
          <w:szCs w:val="22"/>
        </w:rPr>
        <w:t>Debe ser estable a través del tiempo.</w:t>
      </w:r>
    </w:p>
    <w:p w:rsidR="00FA4985" w:rsidRPr="00BB1432" w:rsidRDefault="00FA4985" w:rsidP="00FA4985">
      <w:pPr>
        <w:numPr>
          <w:ilvl w:val="0"/>
          <w:numId w:val="9"/>
        </w:numPr>
        <w:spacing w:line="480" w:lineRule="auto"/>
        <w:jc w:val="both"/>
        <w:rPr>
          <w:rFonts w:ascii="Verdana" w:hAnsi="Verdana"/>
          <w:sz w:val="22"/>
          <w:szCs w:val="22"/>
        </w:rPr>
      </w:pPr>
      <w:r w:rsidRPr="00BB1432">
        <w:rPr>
          <w:rFonts w:ascii="Verdana" w:hAnsi="Verdana"/>
          <w:sz w:val="22"/>
          <w:szCs w:val="22"/>
        </w:rPr>
        <w:t>Debe tener un significado que explique el comportamiento de sus variables.</w:t>
      </w:r>
    </w:p>
    <w:p w:rsidR="00FA4985" w:rsidRDefault="00FA4985" w:rsidP="00FA4985">
      <w:pPr>
        <w:spacing w:line="480" w:lineRule="auto"/>
        <w:jc w:val="both"/>
        <w:rPr>
          <w:rFonts w:ascii="Verdana" w:hAnsi="Verdana"/>
          <w:sz w:val="22"/>
          <w:szCs w:val="22"/>
        </w:rPr>
      </w:pPr>
    </w:p>
    <w:p w:rsidR="00384CD3" w:rsidRPr="00BB1432" w:rsidRDefault="00384CD3"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3.1.2.3 Ratios para la proyección de cuentas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Para usar los ratios necesarios para la proyección se utilizará la siguiente fórmula:</w:t>
      </w:r>
    </w:p>
    <w:p w:rsidR="00FA4985" w:rsidRPr="00BB1432" w:rsidRDefault="00FA4985" w:rsidP="00FA4985">
      <w:pPr>
        <w:spacing w:line="480" w:lineRule="auto"/>
        <w:jc w:val="center"/>
        <w:rPr>
          <w:rFonts w:ascii="Verdana" w:hAnsi="Verdana"/>
          <w:sz w:val="22"/>
          <w:szCs w:val="22"/>
        </w:rPr>
      </w:pPr>
      <w:r w:rsidRPr="00BB1432">
        <w:rPr>
          <w:rFonts w:ascii="Verdana" w:hAnsi="Verdana"/>
          <w:sz w:val="22"/>
          <w:szCs w:val="22"/>
        </w:rPr>
        <w:t>Cuenta A</w:t>
      </w:r>
      <w:r w:rsidRPr="00BB1432">
        <w:rPr>
          <w:rFonts w:ascii="Verdana" w:hAnsi="Verdana"/>
          <w:sz w:val="22"/>
          <w:szCs w:val="22"/>
          <w:vertAlign w:val="subscript"/>
        </w:rPr>
        <w:t>T+n</w:t>
      </w:r>
      <w:r w:rsidRPr="00BB1432">
        <w:rPr>
          <w:rFonts w:ascii="Verdana" w:hAnsi="Verdana"/>
          <w:sz w:val="22"/>
          <w:szCs w:val="22"/>
        </w:rPr>
        <w:t xml:space="preserve"> = Ratio (Cuenta A</w:t>
      </w:r>
      <w:r w:rsidRPr="00BB1432">
        <w:rPr>
          <w:rFonts w:ascii="Verdana" w:hAnsi="Verdana"/>
          <w:sz w:val="22"/>
          <w:szCs w:val="22"/>
          <w:vertAlign w:val="subscript"/>
        </w:rPr>
        <w:t>t</w:t>
      </w:r>
      <w:r w:rsidRPr="00BB1432">
        <w:rPr>
          <w:rFonts w:ascii="Verdana" w:hAnsi="Verdana"/>
          <w:sz w:val="22"/>
          <w:szCs w:val="22"/>
        </w:rPr>
        <w:t>, Cuenta B</w:t>
      </w:r>
      <w:r w:rsidRPr="00BB1432">
        <w:rPr>
          <w:rFonts w:ascii="Verdana" w:hAnsi="Verdana"/>
          <w:sz w:val="22"/>
          <w:szCs w:val="22"/>
          <w:vertAlign w:val="subscript"/>
        </w:rPr>
        <w:t>t</w:t>
      </w:r>
      <w:r w:rsidRPr="00BB1432">
        <w:rPr>
          <w:rFonts w:ascii="Verdana" w:hAnsi="Verdana"/>
          <w:sz w:val="22"/>
          <w:szCs w:val="22"/>
        </w:rPr>
        <w:t>) * Cuenta B</w:t>
      </w:r>
      <w:r w:rsidRPr="00BB1432">
        <w:rPr>
          <w:rFonts w:ascii="Verdana" w:hAnsi="Verdana"/>
          <w:sz w:val="22"/>
          <w:szCs w:val="22"/>
          <w:vertAlign w:val="subscript"/>
        </w:rPr>
        <w:t>T+n</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Donde:</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i/>
          <w:sz w:val="22"/>
          <w:szCs w:val="22"/>
        </w:rPr>
        <w:t>Cuenta AT+n</w:t>
      </w:r>
      <w:r w:rsidRPr="00BB1432">
        <w:rPr>
          <w:rFonts w:ascii="Verdana" w:hAnsi="Verdana"/>
          <w:sz w:val="22"/>
          <w:szCs w:val="22"/>
        </w:rPr>
        <w:tab/>
        <w:t>es la cuenta a proyectar en n períodos posteriores</w:t>
      </w:r>
    </w:p>
    <w:p w:rsidR="00FA4985" w:rsidRPr="00BB1432" w:rsidRDefault="00FA4985" w:rsidP="00FA4985">
      <w:pPr>
        <w:spacing w:line="480" w:lineRule="auto"/>
        <w:jc w:val="both"/>
        <w:rPr>
          <w:rFonts w:ascii="Verdana" w:hAnsi="Verdana"/>
          <w:sz w:val="22"/>
          <w:szCs w:val="22"/>
        </w:rPr>
      </w:pPr>
      <w:r w:rsidRPr="00BB1432">
        <w:rPr>
          <w:rFonts w:ascii="Verdana" w:hAnsi="Verdana"/>
          <w:i/>
          <w:sz w:val="22"/>
          <w:szCs w:val="22"/>
        </w:rPr>
        <w:t>Ratio (CuentaAt, CuentaBt)</w:t>
      </w:r>
      <w:r w:rsidRPr="00BB1432">
        <w:rPr>
          <w:rFonts w:ascii="Verdana" w:hAnsi="Verdana"/>
          <w:sz w:val="22"/>
          <w:szCs w:val="22"/>
        </w:rPr>
        <w:t xml:space="preserve"> = </w:t>
      </w:r>
    </w:p>
    <w:p w:rsidR="00FA4985" w:rsidRPr="00BB1432" w:rsidRDefault="00FA4985" w:rsidP="00FA4985">
      <w:pPr>
        <w:spacing w:line="480" w:lineRule="auto"/>
        <w:jc w:val="center"/>
        <w:rPr>
          <w:rFonts w:ascii="Verdana" w:hAnsi="Verdana"/>
          <w:sz w:val="22"/>
          <w:szCs w:val="22"/>
        </w:rPr>
      </w:pPr>
      <w:r w:rsidRPr="00BB1432">
        <w:rPr>
          <w:rFonts w:ascii="Verdana" w:hAnsi="Verdana"/>
          <w:position w:val="-30"/>
          <w:sz w:val="22"/>
          <w:szCs w:val="22"/>
        </w:rPr>
        <w:object w:dxaOrig="1540" w:dyaOrig="700">
          <v:shape id="_x0000_i1026" type="#_x0000_t75" style="width:114pt;height:51.75pt" o:ole="">
            <v:imagedata r:id="rId22" o:title=""/>
          </v:shape>
          <o:OLEObject Type="Embed" ProgID="Equation.3" ShapeID="_x0000_i1026" DrawAspect="Content" ObjectID="_1319357751" r:id="rId23"/>
        </w:object>
      </w:r>
    </w:p>
    <w:p w:rsidR="008333A5" w:rsidRDefault="008333A5"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Es el promedio de la relación histórica trimestral entre la cuenta A y la cuenta B.</w:t>
      </w:r>
    </w:p>
    <w:p w:rsidR="00136794" w:rsidRPr="00BB1432" w:rsidRDefault="00136794"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i/>
          <w:sz w:val="22"/>
          <w:szCs w:val="22"/>
        </w:rPr>
        <w:t>T</w:t>
      </w:r>
      <w:r w:rsidRPr="00BB1432">
        <w:rPr>
          <w:rFonts w:ascii="Verdana" w:hAnsi="Verdana"/>
          <w:sz w:val="22"/>
          <w:szCs w:val="22"/>
        </w:rPr>
        <w:tab/>
      </w:r>
      <w:r w:rsidRPr="00BB1432">
        <w:rPr>
          <w:rFonts w:ascii="Verdana" w:hAnsi="Verdana"/>
          <w:sz w:val="22"/>
          <w:szCs w:val="22"/>
        </w:rPr>
        <w:tab/>
        <w:t>Es el último periodo conocido</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i/>
          <w:sz w:val="22"/>
          <w:szCs w:val="22"/>
        </w:rPr>
        <w:t>Cuenta Bt</w:t>
      </w:r>
      <w:r w:rsidRPr="00BB1432">
        <w:rPr>
          <w:rFonts w:ascii="Verdana" w:hAnsi="Verdana"/>
          <w:sz w:val="22"/>
          <w:szCs w:val="22"/>
        </w:rPr>
        <w:tab/>
        <w:t xml:space="preserve">Es la proyección de la cuenta B en “n” periodos </w:t>
      </w:r>
      <w:r w:rsidR="00136794" w:rsidRPr="00BB1432">
        <w:rPr>
          <w:rFonts w:ascii="Verdana" w:hAnsi="Verdana"/>
          <w:sz w:val="22"/>
          <w:szCs w:val="22"/>
        </w:rPr>
        <w:tab/>
      </w:r>
      <w:r w:rsidR="00136794" w:rsidRPr="00BB1432">
        <w:rPr>
          <w:rFonts w:ascii="Verdana" w:hAnsi="Verdana"/>
          <w:sz w:val="22"/>
          <w:szCs w:val="22"/>
        </w:rPr>
        <w:tab/>
      </w:r>
      <w:r w:rsidR="00136794" w:rsidRPr="00BB1432">
        <w:rPr>
          <w:rFonts w:ascii="Verdana" w:hAnsi="Verdana"/>
          <w:sz w:val="22"/>
          <w:szCs w:val="22"/>
        </w:rPr>
        <w:tab/>
      </w:r>
      <w:r w:rsidRPr="00BB1432">
        <w:rPr>
          <w:rFonts w:ascii="Verdana" w:hAnsi="Verdana"/>
          <w:sz w:val="22"/>
          <w:szCs w:val="22"/>
        </w:rPr>
        <w:t>posteriores, mediante el uso de otro ratio.</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Basados en lo explicado anteriormente, se escogieron los siguientes ratios para el Unibanco. El grupo Cartera de Créditos y sus componentes: Cartera de Crédito de consumo, comercial y otras carteras (Microempresa y Vivienda), son exógenos, se calcula en forma estadística y son el input (entrada) del modelo.</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both"/>
        <w:rPr>
          <w:rFonts w:ascii="Verdana" w:hAnsi="Verdana"/>
          <w:b/>
          <w:sz w:val="22"/>
          <w:szCs w:val="22"/>
        </w:rPr>
      </w:pPr>
      <w:r w:rsidRPr="00BB1432">
        <w:rPr>
          <w:rFonts w:ascii="Verdana" w:hAnsi="Verdana"/>
          <w:b/>
          <w:sz w:val="22"/>
          <w:szCs w:val="22"/>
        </w:rPr>
        <w:t>3.2 PROYECCION Y ANÁLISIS DE LOS RATIOS DEL BALANCE GENERAL</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Para la proyección de las cuentas del Balance y del Estado de Pérdidas y Ganancias se trabajará con los datos históricos trimestrales de diciembre del </w:t>
      </w:r>
      <w:smartTag w:uri="urn:schemas-microsoft-com:office:smarttags" w:element="metricconverter">
        <w:smartTagPr>
          <w:attr w:name="ProductID" w:val="2002 a"/>
        </w:smartTagPr>
        <w:r w:rsidRPr="00BB1432">
          <w:rPr>
            <w:rFonts w:ascii="Verdana" w:hAnsi="Verdana"/>
            <w:sz w:val="22"/>
            <w:szCs w:val="22"/>
          </w:rPr>
          <w:t>2002 a</w:t>
        </w:r>
      </w:smartTag>
      <w:r w:rsidRPr="00BB1432">
        <w:rPr>
          <w:rFonts w:ascii="Verdana" w:hAnsi="Verdana"/>
          <w:sz w:val="22"/>
          <w:szCs w:val="22"/>
        </w:rPr>
        <w:t xml:space="preserve"> diciembre del 2006.</w:t>
      </w:r>
    </w:p>
    <w:p w:rsidR="00FA4985" w:rsidRPr="00BB1432" w:rsidRDefault="00FA4985" w:rsidP="00FA4985">
      <w:pPr>
        <w:spacing w:line="480" w:lineRule="auto"/>
        <w:jc w:val="both"/>
        <w:rPr>
          <w:rFonts w:ascii="Verdana" w:hAnsi="Verdana"/>
          <w:sz w:val="22"/>
          <w:szCs w:val="22"/>
        </w:rPr>
      </w:pPr>
    </w:p>
    <w:p w:rsidR="00384CD3" w:rsidRPr="00BB1432" w:rsidRDefault="00384CD3"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3.2.1 Ratios de Proyección para las cuentas de activo</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Como se indicó en capítulos anteriores para realizar las proyecciones de las cuentas, los ratios deben ser estables en el tiempo.</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Además, se utilizará la cuenta Cartera de Créditos como input del modelo debido a que los créditos otorgados son los verdaderos impulsores del negocio del sector bancario.</w:t>
      </w:r>
    </w:p>
    <w:p w:rsidR="00FA4985" w:rsidRPr="00BB1432" w:rsidRDefault="00FA4985" w:rsidP="00FA4985">
      <w:pPr>
        <w:spacing w:line="480" w:lineRule="auto"/>
        <w:jc w:val="both"/>
        <w:rPr>
          <w:rFonts w:ascii="Verdana" w:hAnsi="Verdana"/>
          <w:sz w:val="22"/>
          <w:szCs w:val="22"/>
        </w:rPr>
      </w:pP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Para la proyección de esta cuenta se realizó un análisis estadístico en base a su comportamiento histórico. El gráfico 3.1 muestra el comportamiento de la cartera de créditos brutas desde diciembre del </w:t>
      </w:r>
      <w:smartTag w:uri="urn:schemas-microsoft-com:office:smarttags" w:element="metricconverter">
        <w:smartTagPr>
          <w:attr w:name="ProductID" w:val="2002 a"/>
        </w:smartTagPr>
        <w:r w:rsidRPr="00BB1432">
          <w:rPr>
            <w:rFonts w:ascii="Verdana" w:hAnsi="Verdana"/>
            <w:sz w:val="22"/>
            <w:szCs w:val="22"/>
          </w:rPr>
          <w:t>2002 a</w:t>
        </w:r>
      </w:smartTag>
      <w:r w:rsidRPr="00BB1432">
        <w:rPr>
          <w:rFonts w:ascii="Verdana" w:hAnsi="Verdana"/>
          <w:sz w:val="22"/>
          <w:szCs w:val="22"/>
        </w:rPr>
        <w:t xml:space="preserve"> diciembre del 2006.</w:t>
      </w:r>
    </w:p>
    <w:p w:rsidR="008333A5" w:rsidRDefault="008333A5" w:rsidP="00FA4985">
      <w:pPr>
        <w:spacing w:line="480" w:lineRule="auto"/>
        <w:ind w:firstLine="708"/>
        <w:jc w:val="both"/>
        <w:rPr>
          <w:rFonts w:ascii="Verdana" w:hAnsi="Verdana"/>
          <w:sz w:val="22"/>
          <w:szCs w:val="22"/>
        </w:rPr>
      </w:pPr>
    </w:p>
    <w:p w:rsidR="008333A5" w:rsidRDefault="008333A5" w:rsidP="00FA4985">
      <w:pPr>
        <w:spacing w:line="480" w:lineRule="auto"/>
        <w:ind w:firstLine="708"/>
        <w:jc w:val="both"/>
        <w:rPr>
          <w:rFonts w:ascii="Verdana" w:hAnsi="Verdana"/>
          <w:sz w:val="22"/>
          <w:szCs w:val="22"/>
        </w:rPr>
      </w:pPr>
    </w:p>
    <w:p w:rsidR="008333A5" w:rsidRPr="00BB1432" w:rsidRDefault="008333A5" w:rsidP="00FA4985">
      <w:pPr>
        <w:spacing w:line="480" w:lineRule="auto"/>
        <w:ind w:firstLine="708"/>
        <w:jc w:val="both"/>
        <w:rPr>
          <w:rFonts w:ascii="Verdana" w:hAnsi="Verdana"/>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3.1</w:t>
      </w:r>
    </w:p>
    <w:p w:rsidR="00FA4985" w:rsidRPr="00BB1432" w:rsidRDefault="00006ACE" w:rsidP="00FA4985">
      <w:pPr>
        <w:spacing w:line="480" w:lineRule="auto"/>
        <w:jc w:val="center"/>
        <w:rPr>
          <w:sz w:val="22"/>
          <w:szCs w:val="22"/>
        </w:rPr>
      </w:pPr>
      <w:r>
        <w:rPr>
          <w:noProof/>
          <w:sz w:val="22"/>
          <w:szCs w:val="22"/>
          <w:lang w:val="es-ES" w:eastAsia="es-ES"/>
        </w:rPr>
        <w:drawing>
          <wp:inline distT="0" distB="0" distL="0" distR="0">
            <wp:extent cx="5257800" cy="27717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257800" cy="2771775"/>
                    </a:xfrm>
                    <a:prstGeom prst="rect">
                      <a:avLst/>
                    </a:prstGeom>
                    <a:noFill/>
                    <a:ln w="9525">
                      <a:noFill/>
                      <a:miter lim="800000"/>
                      <a:headEnd/>
                      <a:tailEnd/>
                    </a:ln>
                  </pic:spPr>
                </pic:pic>
              </a:graphicData>
            </a:graphic>
          </wp:inline>
        </w:drawing>
      </w:r>
    </w:p>
    <w:p w:rsidR="00FA4985" w:rsidRPr="008333A5" w:rsidRDefault="00FA4985" w:rsidP="008333A5">
      <w:pPr>
        <w:spacing w:line="480" w:lineRule="auto"/>
        <w:rPr>
          <w:rFonts w:ascii="Verdana" w:hAnsi="Verdana"/>
          <w:i/>
          <w:sz w:val="18"/>
          <w:szCs w:val="18"/>
        </w:rPr>
      </w:pPr>
      <w:r w:rsidRPr="008333A5">
        <w:rPr>
          <w:rFonts w:ascii="Verdana" w:hAnsi="Verdana"/>
          <w:b/>
          <w:i/>
          <w:sz w:val="18"/>
          <w:szCs w:val="18"/>
        </w:rPr>
        <w:t>Elaborado por</w:t>
      </w:r>
      <w:r w:rsidR="008333A5">
        <w:rPr>
          <w:rFonts w:ascii="Verdana" w:hAnsi="Verdana"/>
          <w:b/>
          <w:i/>
          <w:sz w:val="18"/>
          <w:szCs w:val="18"/>
        </w:rPr>
        <w:t>:</w:t>
      </w:r>
      <w:r w:rsidRPr="008333A5">
        <w:rPr>
          <w:rFonts w:ascii="Verdana" w:hAnsi="Verdana"/>
          <w:i/>
          <w:sz w:val="18"/>
          <w:szCs w:val="18"/>
        </w:rPr>
        <w:t xml:space="preserve"> </w:t>
      </w:r>
      <w:r w:rsidR="008333A5">
        <w:rPr>
          <w:rFonts w:ascii="Verdana" w:hAnsi="Verdana"/>
          <w:i/>
          <w:sz w:val="18"/>
          <w:szCs w:val="18"/>
        </w:rPr>
        <w:t>L</w:t>
      </w:r>
      <w:r w:rsidRPr="008333A5">
        <w:rPr>
          <w:rFonts w:ascii="Verdana" w:hAnsi="Verdana"/>
          <w:i/>
          <w:sz w:val="18"/>
          <w:szCs w:val="18"/>
        </w:rPr>
        <w:t>os Autores</w:t>
      </w:r>
    </w:p>
    <w:p w:rsidR="008333A5" w:rsidRDefault="008333A5"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Para realizar el pronóstico de la cartera de créditos se consideraron todos los datos desde diciembre del 2002 hasta diciembre del 2006.</w:t>
      </w:r>
    </w:p>
    <w:p w:rsidR="00FA4985" w:rsidRPr="00BB1432" w:rsidRDefault="00FA4985" w:rsidP="00FA4985">
      <w:pPr>
        <w:spacing w:line="480" w:lineRule="auto"/>
        <w:jc w:val="both"/>
        <w:rPr>
          <w:rFonts w:ascii="Verdana" w:hAnsi="Verdana"/>
          <w:sz w:val="22"/>
          <w:szCs w:val="22"/>
        </w:rPr>
      </w:pPr>
    </w:p>
    <w:p w:rsidR="007F0593"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En el Anexo 1 se presenta la serie histórica </w:t>
      </w:r>
      <w:r w:rsidR="007F0593" w:rsidRPr="00BB1432">
        <w:rPr>
          <w:rFonts w:ascii="Verdana" w:hAnsi="Verdana"/>
          <w:sz w:val="22"/>
          <w:szCs w:val="22"/>
        </w:rPr>
        <w:t xml:space="preserve">temporal </w:t>
      </w:r>
      <w:r w:rsidRPr="00BB1432">
        <w:rPr>
          <w:rFonts w:ascii="Verdana" w:hAnsi="Verdana"/>
          <w:sz w:val="22"/>
          <w:szCs w:val="22"/>
        </w:rPr>
        <w:t>y la serie del modelo estimado</w:t>
      </w:r>
      <w:r w:rsidR="00C30F68" w:rsidRPr="00BB1432">
        <w:rPr>
          <w:rFonts w:ascii="Verdana" w:hAnsi="Verdana"/>
          <w:sz w:val="22"/>
          <w:szCs w:val="22"/>
        </w:rPr>
        <w:t>, usando el PIB real como factor de proyección de esta cuenta hasta el año 2011.</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 </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Al comparar el valor pronosticado a Diciembre del 2006 con el valor real de cartera de crédito</w:t>
      </w:r>
      <w:r w:rsidR="007F0593" w:rsidRPr="00BB1432">
        <w:rPr>
          <w:rFonts w:ascii="Verdana" w:hAnsi="Verdana"/>
          <w:sz w:val="22"/>
          <w:szCs w:val="22"/>
        </w:rPr>
        <w:t xml:space="preserve">s, se obtuvo un </w:t>
      </w:r>
      <w:r w:rsidR="00C30F68" w:rsidRPr="00BB1432">
        <w:rPr>
          <w:rFonts w:ascii="Verdana" w:hAnsi="Verdana"/>
          <w:sz w:val="22"/>
          <w:szCs w:val="22"/>
        </w:rPr>
        <w:t>error del -1</w:t>
      </w:r>
      <w:r w:rsidR="00A70893" w:rsidRPr="00BB1432">
        <w:rPr>
          <w:rFonts w:ascii="Verdana" w:hAnsi="Verdana"/>
          <w:sz w:val="22"/>
          <w:szCs w:val="22"/>
        </w:rPr>
        <w:t>0</w:t>
      </w:r>
      <w:r w:rsidR="00C30F68" w:rsidRPr="00BB1432">
        <w:rPr>
          <w:rFonts w:ascii="Verdana" w:hAnsi="Verdana"/>
          <w:sz w:val="22"/>
          <w:szCs w:val="22"/>
        </w:rPr>
        <w:t>.</w:t>
      </w:r>
      <w:r w:rsidR="00A70893" w:rsidRPr="00BB1432">
        <w:rPr>
          <w:rFonts w:ascii="Verdana" w:hAnsi="Verdana"/>
          <w:sz w:val="22"/>
          <w:szCs w:val="22"/>
        </w:rPr>
        <w:t>59</w:t>
      </w:r>
      <w:r w:rsidRPr="00BB1432">
        <w:rPr>
          <w:rFonts w:ascii="Verdana" w:hAnsi="Verdana"/>
          <w:sz w:val="22"/>
          <w:szCs w:val="22"/>
        </w:rPr>
        <w:t>% en la proyección, el cual no es muy alto y comprueba la efectividad del pronóstico, tal como lo demuestra el siguiente cuadro:</w:t>
      </w:r>
    </w:p>
    <w:p w:rsidR="009330F5" w:rsidRPr="00BB1432" w:rsidRDefault="009330F5" w:rsidP="00FA4985">
      <w:pPr>
        <w:spacing w:line="480" w:lineRule="auto"/>
        <w:jc w:val="center"/>
        <w:rPr>
          <w:rFonts w:ascii="Verdana" w:hAnsi="Verdana"/>
          <w:b/>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3.2</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Cartera de Créditos Bruta</w:t>
      </w:r>
    </w:p>
    <w:tbl>
      <w:tblPr>
        <w:tblStyle w:val="Tablaconcuadrcula"/>
        <w:tblW w:w="0" w:type="auto"/>
        <w:jc w:val="center"/>
        <w:tblInd w:w="12" w:type="dxa"/>
        <w:tblLook w:val="01E0"/>
      </w:tblPr>
      <w:tblGrid>
        <w:gridCol w:w="2578"/>
        <w:gridCol w:w="2471"/>
      </w:tblGrid>
      <w:tr w:rsidR="00E414C8" w:rsidRPr="00BB1432">
        <w:trPr>
          <w:jc w:val="center"/>
        </w:trPr>
        <w:tc>
          <w:tcPr>
            <w:tcW w:w="2578" w:type="dxa"/>
            <w:shd w:val="clear" w:color="auto" w:fill="FFFF00"/>
          </w:tcPr>
          <w:p w:rsidR="00E414C8" w:rsidRPr="00BB1432" w:rsidRDefault="00E414C8" w:rsidP="00FA4985">
            <w:pPr>
              <w:spacing w:line="480" w:lineRule="auto"/>
              <w:jc w:val="center"/>
              <w:rPr>
                <w:rFonts w:ascii="Verdana" w:hAnsi="Verdana"/>
                <w:b/>
                <w:sz w:val="22"/>
                <w:szCs w:val="22"/>
              </w:rPr>
            </w:pPr>
            <w:r w:rsidRPr="00BB1432">
              <w:rPr>
                <w:rFonts w:ascii="Verdana" w:hAnsi="Verdana"/>
                <w:b/>
                <w:sz w:val="22"/>
                <w:szCs w:val="22"/>
              </w:rPr>
              <w:t>REAL</w:t>
            </w:r>
          </w:p>
        </w:tc>
        <w:tc>
          <w:tcPr>
            <w:tcW w:w="2471" w:type="dxa"/>
          </w:tcPr>
          <w:p w:rsidR="00E414C8" w:rsidRPr="00BB1432" w:rsidRDefault="00474CFC" w:rsidP="00FA4985">
            <w:pPr>
              <w:spacing w:line="480" w:lineRule="auto"/>
              <w:jc w:val="center"/>
              <w:rPr>
                <w:rFonts w:ascii="Verdana" w:hAnsi="Verdana"/>
                <w:sz w:val="22"/>
                <w:szCs w:val="22"/>
              </w:rPr>
            </w:pPr>
            <w:r w:rsidRPr="00BB1432">
              <w:rPr>
                <w:rFonts w:ascii="Verdana" w:hAnsi="Verdana"/>
                <w:sz w:val="22"/>
                <w:szCs w:val="22"/>
              </w:rPr>
              <w:t xml:space="preserve">US$ </w:t>
            </w:r>
            <w:r w:rsidR="00E414C8" w:rsidRPr="00BB1432">
              <w:rPr>
                <w:rFonts w:ascii="Verdana" w:hAnsi="Verdana"/>
                <w:sz w:val="22"/>
                <w:szCs w:val="22"/>
              </w:rPr>
              <w:t>196’650,754</w:t>
            </w:r>
          </w:p>
        </w:tc>
      </w:tr>
      <w:tr w:rsidR="00E414C8" w:rsidRPr="00BB1432">
        <w:trPr>
          <w:jc w:val="center"/>
        </w:trPr>
        <w:tc>
          <w:tcPr>
            <w:tcW w:w="2578" w:type="dxa"/>
            <w:shd w:val="clear" w:color="auto" w:fill="FFFF00"/>
          </w:tcPr>
          <w:p w:rsidR="00E414C8" w:rsidRPr="00BB1432" w:rsidRDefault="00E414C8" w:rsidP="00FA4985">
            <w:pPr>
              <w:spacing w:line="480" w:lineRule="auto"/>
              <w:jc w:val="center"/>
              <w:rPr>
                <w:rFonts w:ascii="Verdana" w:hAnsi="Verdana"/>
                <w:b/>
                <w:sz w:val="22"/>
                <w:szCs w:val="22"/>
              </w:rPr>
            </w:pPr>
            <w:r w:rsidRPr="00BB1432">
              <w:rPr>
                <w:rFonts w:ascii="Verdana" w:hAnsi="Verdana"/>
                <w:b/>
                <w:sz w:val="22"/>
                <w:szCs w:val="22"/>
              </w:rPr>
              <w:t>PRONOSTICADO</w:t>
            </w:r>
          </w:p>
        </w:tc>
        <w:tc>
          <w:tcPr>
            <w:tcW w:w="2471" w:type="dxa"/>
          </w:tcPr>
          <w:p w:rsidR="00E414C8" w:rsidRPr="00BB1432" w:rsidRDefault="00474CFC" w:rsidP="00FA4985">
            <w:pPr>
              <w:spacing w:line="480" w:lineRule="auto"/>
              <w:jc w:val="center"/>
              <w:rPr>
                <w:rFonts w:ascii="Verdana" w:hAnsi="Verdana"/>
                <w:sz w:val="22"/>
                <w:szCs w:val="22"/>
              </w:rPr>
            </w:pPr>
            <w:r w:rsidRPr="00BB1432">
              <w:rPr>
                <w:rFonts w:ascii="Verdana" w:hAnsi="Verdana"/>
                <w:sz w:val="22"/>
                <w:szCs w:val="22"/>
              </w:rPr>
              <w:t xml:space="preserve">US$ </w:t>
            </w:r>
            <w:r w:rsidR="00C30F68" w:rsidRPr="00BB1432">
              <w:rPr>
                <w:rFonts w:ascii="Verdana" w:hAnsi="Verdana"/>
                <w:sz w:val="22"/>
                <w:szCs w:val="22"/>
              </w:rPr>
              <w:t>1</w:t>
            </w:r>
            <w:r w:rsidR="00A70893" w:rsidRPr="00BB1432">
              <w:rPr>
                <w:rFonts w:ascii="Verdana" w:hAnsi="Verdana"/>
                <w:sz w:val="22"/>
                <w:szCs w:val="22"/>
              </w:rPr>
              <w:t>75</w:t>
            </w:r>
            <w:r w:rsidR="00C30F68" w:rsidRPr="00BB1432">
              <w:rPr>
                <w:rFonts w:ascii="Verdana" w:hAnsi="Verdana"/>
                <w:sz w:val="22"/>
                <w:szCs w:val="22"/>
              </w:rPr>
              <w:t>’</w:t>
            </w:r>
            <w:r w:rsidR="00A70893" w:rsidRPr="00BB1432">
              <w:rPr>
                <w:rFonts w:ascii="Verdana" w:hAnsi="Verdana"/>
                <w:sz w:val="22"/>
                <w:szCs w:val="22"/>
              </w:rPr>
              <w:t>822</w:t>
            </w:r>
            <w:r w:rsidR="00C30F68" w:rsidRPr="00BB1432">
              <w:rPr>
                <w:rFonts w:ascii="Verdana" w:hAnsi="Verdana"/>
                <w:sz w:val="22"/>
                <w:szCs w:val="22"/>
              </w:rPr>
              <w:t>,</w:t>
            </w:r>
            <w:r w:rsidR="00A70893" w:rsidRPr="00BB1432">
              <w:rPr>
                <w:rFonts w:ascii="Verdana" w:hAnsi="Verdana"/>
                <w:sz w:val="22"/>
                <w:szCs w:val="22"/>
              </w:rPr>
              <w:t>29</w:t>
            </w:r>
            <w:r w:rsidR="00C30F68" w:rsidRPr="00BB1432">
              <w:rPr>
                <w:rFonts w:ascii="Verdana" w:hAnsi="Verdana"/>
                <w:sz w:val="22"/>
                <w:szCs w:val="22"/>
              </w:rPr>
              <w:t>7</w:t>
            </w:r>
          </w:p>
        </w:tc>
      </w:tr>
      <w:tr w:rsidR="00E414C8" w:rsidRPr="00BB1432">
        <w:trPr>
          <w:jc w:val="center"/>
        </w:trPr>
        <w:tc>
          <w:tcPr>
            <w:tcW w:w="2578" w:type="dxa"/>
            <w:shd w:val="clear" w:color="auto" w:fill="FFFF00"/>
          </w:tcPr>
          <w:p w:rsidR="00E414C8" w:rsidRPr="00BB1432" w:rsidRDefault="00474CFC" w:rsidP="00FA4985">
            <w:pPr>
              <w:spacing w:line="480" w:lineRule="auto"/>
              <w:jc w:val="center"/>
              <w:rPr>
                <w:rFonts w:ascii="Verdana" w:hAnsi="Verdana"/>
                <w:b/>
                <w:sz w:val="22"/>
                <w:szCs w:val="22"/>
              </w:rPr>
            </w:pPr>
            <w:r w:rsidRPr="00BB1432">
              <w:rPr>
                <w:rFonts w:ascii="Verdana" w:hAnsi="Verdana"/>
                <w:b/>
                <w:sz w:val="22"/>
                <w:szCs w:val="22"/>
              </w:rPr>
              <w:t>VAR</w:t>
            </w:r>
            <w:r w:rsidR="001C7655" w:rsidRPr="00BB1432">
              <w:rPr>
                <w:rFonts w:ascii="Verdana" w:hAnsi="Verdana"/>
                <w:b/>
                <w:sz w:val="22"/>
                <w:szCs w:val="22"/>
              </w:rPr>
              <w:t>IACIÓN</w:t>
            </w:r>
            <w:r w:rsidRPr="00BB1432">
              <w:rPr>
                <w:rFonts w:ascii="Verdana" w:hAnsi="Verdana"/>
                <w:b/>
                <w:sz w:val="22"/>
                <w:szCs w:val="22"/>
              </w:rPr>
              <w:t xml:space="preserve"> </w:t>
            </w:r>
            <w:r w:rsidR="001C7655" w:rsidRPr="00BB1432">
              <w:rPr>
                <w:rFonts w:ascii="Verdana" w:hAnsi="Verdana"/>
                <w:b/>
                <w:sz w:val="22"/>
                <w:szCs w:val="22"/>
              </w:rPr>
              <w:t>(</w:t>
            </w:r>
            <w:r w:rsidRPr="00BB1432">
              <w:rPr>
                <w:rFonts w:ascii="Verdana" w:hAnsi="Verdana"/>
                <w:b/>
                <w:sz w:val="22"/>
                <w:szCs w:val="22"/>
              </w:rPr>
              <w:t>%</w:t>
            </w:r>
            <w:r w:rsidR="001C7655" w:rsidRPr="00BB1432">
              <w:rPr>
                <w:rFonts w:ascii="Verdana" w:hAnsi="Verdana"/>
                <w:b/>
                <w:sz w:val="22"/>
                <w:szCs w:val="22"/>
              </w:rPr>
              <w:t>)</w:t>
            </w:r>
          </w:p>
        </w:tc>
        <w:tc>
          <w:tcPr>
            <w:tcW w:w="2471" w:type="dxa"/>
          </w:tcPr>
          <w:p w:rsidR="00E414C8" w:rsidRPr="00BB1432" w:rsidRDefault="00C30F68" w:rsidP="00FA4985">
            <w:pPr>
              <w:spacing w:line="480" w:lineRule="auto"/>
              <w:jc w:val="center"/>
              <w:rPr>
                <w:rFonts w:ascii="Verdana" w:hAnsi="Verdana"/>
                <w:sz w:val="22"/>
                <w:szCs w:val="22"/>
              </w:rPr>
            </w:pPr>
            <w:r w:rsidRPr="00BB1432">
              <w:rPr>
                <w:rFonts w:ascii="Verdana" w:hAnsi="Verdana"/>
                <w:sz w:val="22"/>
                <w:szCs w:val="22"/>
              </w:rPr>
              <w:t>-1</w:t>
            </w:r>
            <w:r w:rsidR="00A70893" w:rsidRPr="00BB1432">
              <w:rPr>
                <w:rFonts w:ascii="Verdana" w:hAnsi="Verdana"/>
                <w:sz w:val="22"/>
                <w:szCs w:val="22"/>
              </w:rPr>
              <w:t>0</w:t>
            </w:r>
            <w:r w:rsidRPr="00BB1432">
              <w:rPr>
                <w:rFonts w:ascii="Verdana" w:hAnsi="Verdana"/>
                <w:sz w:val="22"/>
                <w:szCs w:val="22"/>
              </w:rPr>
              <w:t>.</w:t>
            </w:r>
            <w:r w:rsidR="00A70893" w:rsidRPr="00BB1432">
              <w:rPr>
                <w:rFonts w:ascii="Verdana" w:hAnsi="Verdana"/>
                <w:sz w:val="22"/>
                <w:szCs w:val="22"/>
              </w:rPr>
              <w:t>59</w:t>
            </w:r>
            <w:r w:rsidR="00E414C8" w:rsidRPr="00BB1432">
              <w:rPr>
                <w:rFonts w:ascii="Verdana" w:hAnsi="Verdana"/>
                <w:sz w:val="22"/>
                <w:szCs w:val="22"/>
              </w:rPr>
              <w:t>%</w:t>
            </w:r>
          </w:p>
        </w:tc>
      </w:tr>
    </w:tbl>
    <w:p w:rsidR="00134258" w:rsidRDefault="00134258" w:rsidP="002337D7">
      <w:pPr>
        <w:spacing w:line="480" w:lineRule="auto"/>
        <w:ind w:firstLine="1620"/>
        <w:rPr>
          <w:rFonts w:ascii="Verdana" w:hAnsi="Verdana"/>
          <w:b/>
          <w:i/>
          <w:sz w:val="18"/>
          <w:szCs w:val="18"/>
        </w:rPr>
      </w:pPr>
    </w:p>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A4985" w:rsidRPr="00BB1432" w:rsidRDefault="00FA4985"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Una vez obtenida la proyección de </w:t>
      </w:r>
      <w:smartTag w:uri="urn:schemas-microsoft-com:office:smarttags" w:element="PersonName">
        <w:smartTagPr>
          <w:attr w:name="ProductID" w:val="la Cartera"/>
        </w:smartTagPr>
        <w:r w:rsidRPr="00BB1432">
          <w:rPr>
            <w:rFonts w:ascii="Verdana" w:hAnsi="Verdana"/>
            <w:sz w:val="22"/>
            <w:szCs w:val="22"/>
          </w:rPr>
          <w:t>la Cartera</w:t>
        </w:r>
      </w:smartTag>
      <w:r w:rsidRPr="00BB1432">
        <w:rPr>
          <w:rFonts w:ascii="Verdana" w:hAnsi="Verdana"/>
          <w:sz w:val="22"/>
          <w:szCs w:val="22"/>
        </w:rPr>
        <w:t xml:space="preserve"> de Créditos, se puede realizar las proyecciones de las demás cuentas establecidas en el modelo.</w:t>
      </w:r>
    </w:p>
    <w:p w:rsidR="00FA4985" w:rsidRPr="00BB1432" w:rsidRDefault="00FA4985" w:rsidP="00FA4985">
      <w:pPr>
        <w:spacing w:line="480" w:lineRule="auto"/>
        <w:ind w:firstLine="708"/>
        <w:jc w:val="both"/>
        <w:rPr>
          <w:rFonts w:ascii="Verdana" w:hAnsi="Verdana"/>
          <w:sz w:val="22"/>
          <w:szCs w:val="22"/>
        </w:rPr>
      </w:pPr>
    </w:p>
    <w:p w:rsidR="00FA4985" w:rsidRPr="00BB1432" w:rsidRDefault="00FA4985" w:rsidP="00FA4985">
      <w:pPr>
        <w:spacing w:line="480" w:lineRule="auto"/>
        <w:jc w:val="both"/>
        <w:rPr>
          <w:rFonts w:ascii="Verdana" w:hAnsi="Verdana"/>
          <w:b/>
          <w:sz w:val="22"/>
          <w:szCs w:val="22"/>
          <w:lang w:val="es-ES"/>
        </w:rPr>
      </w:pPr>
    </w:p>
    <w:p w:rsidR="00FA4985" w:rsidRPr="00BB1432" w:rsidRDefault="00FA4985" w:rsidP="00FA4985">
      <w:pPr>
        <w:spacing w:line="480" w:lineRule="auto"/>
        <w:ind w:firstLine="708"/>
        <w:jc w:val="both"/>
        <w:rPr>
          <w:rFonts w:ascii="Verdana" w:hAnsi="Verdana"/>
          <w:b/>
          <w:sz w:val="22"/>
          <w:szCs w:val="22"/>
          <w:lang w:val="fr-FR"/>
        </w:rPr>
      </w:pPr>
      <w:r w:rsidRPr="00BB1432">
        <w:rPr>
          <w:rFonts w:ascii="Verdana" w:hAnsi="Verdana"/>
          <w:b/>
          <w:sz w:val="22"/>
          <w:szCs w:val="22"/>
          <w:lang w:val="fr-FR"/>
        </w:rPr>
        <w:t>FONDOS DISPONIBLES</w:t>
      </w:r>
    </w:p>
    <w:p w:rsidR="00FA4985" w:rsidRPr="00BB1432" w:rsidRDefault="00FA4985" w:rsidP="00FA4985">
      <w:pPr>
        <w:spacing w:line="480" w:lineRule="auto"/>
        <w:ind w:firstLine="708"/>
        <w:jc w:val="both"/>
        <w:rPr>
          <w:rFonts w:ascii="Verdana" w:hAnsi="Verdana"/>
          <w:sz w:val="22"/>
          <w:szCs w:val="22"/>
          <w:lang w:val="fr-FR"/>
        </w:rPr>
      </w:pPr>
      <w:r w:rsidRPr="00BB1432">
        <w:rPr>
          <w:rFonts w:ascii="Verdana" w:hAnsi="Verdana"/>
          <w:sz w:val="22"/>
          <w:szCs w:val="22"/>
          <w:lang w:val="fr-FR"/>
        </w:rPr>
        <w:t>FD</w:t>
      </w:r>
      <w:r w:rsidRPr="00BB1432">
        <w:rPr>
          <w:rFonts w:ascii="Verdana" w:hAnsi="Verdana"/>
          <w:sz w:val="22"/>
          <w:szCs w:val="22"/>
          <w:vertAlign w:val="subscript"/>
          <w:lang w:val="fr-FR"/>
        </w:rPr>
        <w:t>T+1</w:t>
      </w:r>
      <w:r w:rsidRPr="00BB1432">
        <w:rPr>
          <w:rFonts w:ascii="Verdana" w:hAnsi="Verdana"/>
          <w:sz w:val="22"/>
          <w:szCs w:val="22"/>
          <w:lang w:val="fr-FR"/>
        </w:rPr>
        <w:t xml:space="preserve"> = Ratio (FD </w:t>
      </w:r>
      <w:r w:rsidRPr="00BB1432">
        <w:rPr>
          <w:rFonts w:ascii="Verdana" w:hAnsi="Verdana"/>
          <w:sz w:val="22"/>
          <w:szCs w:val="22"/>
          <w:vertAlign w:val="subscript"/>
          <w:lang w:val="fr-FR"/>
        </w:rPr>
        <w:t>t</w:t>
      </w:r>
      <w:r w:rsidRPr="00BB1432">
        <w:rPr>
          <w:rFonts w:ascii="Verdana" w:hAnsi="Verdana"/>
          <w:sz w:val="22"/>
          <w:szCs w:val="22"/>
          <w:lang w:val="fr-FR"/>
        </w:rPr>
        <w:t xml:space="preserve">, OP </w:t>
      </w:r>
      <w:r w:rsidRPr="00BB1432">
        <w:rPr>
          <w:rFonts w:ascii="Verdana" w:hAnsi="Verdana"/>
          <w:sz w:val="22"/>
          <w:szCs w:val="22"/>
          <w:vertAlign w:val="subscript"/>
          <w:lang w:val="fr-FR"/>
        </w:rPr>
        <w:t>t-1</w:t>
      </w:r>
      <w:r w:rsidRPr="00BB1432">
        <w:rPr>
          <w:rFonts w:ascii="Verdana" w:hAnsi="Verdana"/>
          <w:sz w:val="22"/>
          <w:szCs w:val="22"/>
          <w:lang w:val="fr-FR"/>
        </w:rPr>
        <w:t>) * OP</w:t>
      </w:r>
      <w:r w:rsidRPr="00BB1432">
        <w:rPr>
          <w:rFonts w:ascii="Verdana" w:hAnsi="Verdana"/>
          <w:sz w:val="22"/>
          <w:szCs w:val="22"/>
          <w:vertAlign w:val="subscript"/>
          <w:lang w:val="fr-FR"/>
        </w:rPr>
        <w:t>T-1</w:t>
      </w:r>
    </w:p>
    <w:p w:rsidR="00FA4985" w:rsidRPr="00BB1432" w:rsidRDefault="00FA4985" w:rsidP="00FA4985">
      <w:pPr>
        <w:spacing w:line="480" w:lineRule="auto"/>
        <w:jc w:val="both"/>
        <w:rPr>
          <w:rFonts w:ascii="Verdana" w:hAnsi="Verdana"/>
          <w:sz w:val="22"/>
          <w:szCs w:val="22"/>
          <w:lang w:val="fr-FR"/>
        </w:rPr>
      </w:pPr>
    </w:p>
    <w:p w:rsidR="00FA4985" w:rsidRPr="00BB1432" w:rsidRDefault="00FA4985" w:rsidP="00FA4985">
      <w:pPr>
        <w:spacing w:line="480" w:lineRule="auto"/>
        <w:ind w:firstLine="708"/>
        <w:jc w:val="both"/>
        <w:rPr>
          <w:rFonts w:ascii="Verdana" w:hAnsi="Verdana"/>
          <w:sz w:val="22"/>
          <w:szCs w:val="22"/>
          <w:lang w:val="es-ES"/>
        </w:rPr>
      </w:pPr>
      <w:r w:rsidRPr="00BB1432">
        <w:rPr>
          <w:rFonts w:ascii="Verdana" w:hAnsi="Verdana"/>
          <w:sz w:val="22"/>
          <w:szCs w:val="22"/>
          <w:lang w:val="es-ES"/>
        </w:rPr>
        <w:t>Donde:</w:t>
      </w:r>
    </w:p>
    <w:p w:rsidR="00FA4985" w:rsidRPr="00BB1432" w:rsidRDefault="00FA4985" w:rsidP="00FA4985">
      <w:pPr>
        <w:spacing w:line="480" w:lineRule="auto"/>
        <w:jc w:val="both"/>
        <w:rPr>
          <w:rFonts w:ascii="Verdana" w:hAnsi="Verdana"/>
          <w:sz w:val="22"/>
          <w:szCs w:val="22"/>
          <w:lang w:val="es-ES"/>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FD</w:t>
      </w:r>
      <w:r w:rsidRPr="00BB1432">
        <w:rPr>
          <w:rFonts w:ascii="Verdana" w:hAnsi="Verdana"/>
          <w:sz w:val="22"/>
          <w:szCs w:val="22"/>
        </w:rPr>
        <w:tab/>
        <w:t>Fondos Disponibles</w:t>
      </w: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OP</w:t>
      </w:r>
      <w:r w:rsidRPr="00BB1432">
        <w:rPr>
          <w:rFonts w:ascii="Verdana" w:hAnsi="Verdana"/>
          <w:sz w:val="22"/>
          <w:szCs w:val="22"/>
        </w:rPr>
        <w:tab/>
        <w:t>Obligaciones con el público</w:t>
      </w:r>
    </w:p>
    <w:p w:rsidR="00384CD3" w:rsidRPr="00BB1432"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Este ratio representa la disponibilidad de efectivo que posee la entidad para hacer frente a los retiros demandados por los clientes en sus cuentas. Este ratio actúa bajo el supuesto de que el Banco aumenta sus reservas de efectivo cuando se evidencia un aumento en la cantidad de captaciones en periodos anteriores con el objetivo de tener recursos disponibles. Este ratio es un indicador de liquidez.</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Como se muestra en el gráfico 3.2, el ratio Fondos Disponibles / Obligaciones con el Público demuestra un comportamiento relativamente estable durante los primeros periodos de análisis (2003 – 2004), debido sobre</w:t>
      </w:r>
      <w:r w:rsidR="00A536D6" w:rsidRPr="00BB1432">
        <w:rPr>
          <w:rFonts w:ascii="Verdana" w:hAnsi="Verdana"/>
          <w:sz w:val="22"/>
          <w:szCs w:val="22"/>
        </w:rPr>
        <w:t xml:space="preserve"> </w:t>
      </w:r>
      <w:r w:rsidRPr="00BB1432">
        <w:rPr>
          <w:rFonts w:ascii="Verdana" w:hAnsi="Verdana"/>
          <w:sz w:val="22"/>
          <w:szCs w:val="22"/>
        </w:rPr>
        <w:t>todo a incrementos en la cuenta de fondos.</w:t>
      </w:r>
    </w:p>
    <w:p w:rsidR="009330F5" w:rsidRPr="00BB1432" w:rsidRDefault="009330F5" w:rsidP="00FA4985">
      <w:pPr>
        <w:spacing w:line="480" w:lineRule="auto"/>
        <w:jc w:val="center"/>
        <w:rPr>
          <w:rFonts w:ascii="Verdana" w:hAnsi="Verdana"/>
          <w:b/>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3.2</w:t>
      </w:r>
    </w:p>
    <w:p w:rsidR="00FA4985" w:rsidRPr="00BB1432" w:rsidRDefault="00006ACE" w:rsidP="00FA4985">
      <w:pPr>
        <w:spacing w:line="480" w:lineRule="auto"/>
        <w:jc w:val="center"/>
        <w:rPr>
          <w:rFonts w:ascii="Verdana" w:hAnsi="Verdana"/>
          <w:sz w:val="22"/>
          <w:szCs w:val="22"/>
        </w:rPr>
      </w:pPr>
      <w:r>
        <w:rPr>
          <w:noProof/>
          <w:sz w:val="22"/>
          <w:szCs w:val="22"/>
          <w:lang w:val="es-ES" w:eastAsia="es-ES"/>
        </w:rPr>
        <w:drawing>
          <wp:inline distT="0" distB="0" distL="0" distR="0">
            <wp:extent cx="5476875" cy="27336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476875" cy="2733675"/>
                    </a:xfrm>
                    <a:prstGeom prst="rect">
                      <a:avLst/>
                    </a:prstGeom>
                    <a:noFill/>
                    <a:ln w="9525">
                      <a:noFill/>
                      <a:miter lim="800000"/>
                      <a:headEnd/>
                      <a:tailEnd/>
                    </a:ln>
                  </pic:spPr>
                </pic:pic>
              </a:graphicData>
            </a:graphic>
          </wp:inline>
        </w:drawing>
      </w:r>
    </w:p>
    <w:p w:rsidR="008333A5" w:rsidRPr="008333A5" w:rsidRDefault="008333A5" w:rsidP="008333A5">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9330F5" w:rsidRPr="00BB1432" w:rsidRDefault="009330F5"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Durante los periodos analizados, el ratio presenta un máximo de 0.38 y un mínimo de 0.17, generando así una mediana de 0.26, un promedio de 0.27, con una desviación estándar relativa del 6%, y un coeficiente de correlación de 0.92, lo cual habla de la alta relación entre las dos variables.</w:t>
      </w:r>
    </w:p>
    <w:p w:rsidR="009F0E15" w:rsidRPr="00BB1432" w:rsidRDefault="009F0E15" w:rsidP="00FA4985">
      <w:pPr>
        <w:spacing w:line="480" w:lineRule="auto"/>
        <w:jc w:val="both"/>
        <w:rPr>
          <w:rFonts w:ascii="Verdana" w:hAnsi="Verdana"/>
          <w:sz w:val="22"/>
          <w:szCs w:val="22"/>
        </w:rPr>
      </w:pPr>
      <w:r w:rsidRPr="00BB1432">
        <w:rPr>
          <w:rFonts w:ascii="Verdana" w:hAnsi="Verdana"/>
          <w:sz w:val="22"/>
          <w:szCs w:val="22"/>
        </w:rPr>
        <w:tab/>
        <w:t>El menor ratio del sistema lo posee el Banco Solidario con un valor de 0.1661, siendo el ratio promedio de los bancos medianos de 19%</w:t>
      </w:r>
    </w:p>
    <w:p w:rsidR="009F0E15" w:rsidRPr="00BB1432" w:rsidRDefault="009F0E15"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La siguiente tabla muestra el margen de error obtenido para esta cuenta para el trimestre de diciembre del 2006, usando la mediana como factor de proyección.</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3.3</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Fondos Disponibles</w:t>
      </w:r>
    </w:p>
    <w:tbl>
      <w:tblPr>
        <w:tblStyle w:val="Tablaconcuadrcula"/>
        <w:tblW w:w="0" w:type="auto"/>
        <w:jc w:val="center"/>
        <w:tblLook w:val="01E0"/>
      </w:tblPr>
      <w:tblGrid>
        <w:gridCol w:w="2648"/>
        <w:gridCol w:w="2370"/>
      </w:tblGrid>
      <w:tr w:rsidR="00474CFC" w:rsidRPr="00BB1432">
        <w:trPr>
          <w:trHeight w:val="556"/>
          <w:jc w:val="center"/>
        </w:trPr>
        <w:tc>
          <w:tcPr>
            <w:tcW w:w="2648" w:type="dxa"/>
            <w:shd w:val="clear" w:color="auto" w:fill="FFFF00"/>
          </w:tcPr>
          <w:p w:rsidR="00474CFC" w:rsidRPr="00BB1432" w:rsidRDefault="00474CFC" w:rsidP="00474CFC">
            <w:pPr>
              <w:spacing w:line="480" w:lineRule="auto"/>
              <w:jc w:val="center"/>
              <w:rPr>
                <w:rFonts w:ascii="Verdana" w:hAnsi="Verdana"/>
                <w:b/>
                <w:sz w:val="22"/>
                <w:szCs w:val="22"/>
              </w:rPr>
            </w:pPr>
            <w:r w:rsidRPr="00BB1432">
              <w:rPr>
                <w:rFonts w:ascii="Verdana" w:hAnsi="Verdana"/>
                <w:b/>
                <w:sz w:val="22"/>
                <w:szCs w:val="22"/>
              </w:rPr>
              <w:t>REAL</w:t>
            </w:r>
          </w:p>
        </w:tc>
        <w:tc>
          <w:tcPr>
            <w:tcW w:w="2370" w:type="dxa"/>
          </w:tcPr>
          <w:p w:rsidR="00474CFC" w:rsidRPr="00BB1432" w:rsidRDefault="00474CFC" w:rsidP="00474CFC">
            <w:pPr>
              <w:spacing w:line="480" w:lineRule="auto"/>
              <w:jc w:val="center"/>
              <w:rPr>
                <w:rFonts w:ascii="Verdana" w:hAnsi="Verdana"/>
                <w:sz w:val="22"/>
                <w:szCs w:val="22"/>
              </w:rPr>
            </w:pPr>
            <w:r w:rsidRPr="00BB1432">
              <w:rPr>
                <w:rFonts w:ascii="Verdana" w:hAnsi="Verdana"/>
                <w:sz w:val="22"/>
                <w:szCs w:val="22"/>
              </w:rPr>
              <w:t>US$ 58’007,907</w:t>
            </w:r>
          </w:p>
        </w:tc>
      </w:tr>
      <w:tr w:rsidR="00474CFC" w:rsidRPr="00BB1432">
        <w:trPr>
          <w:trHeight w:val="535"/>
          <w:jc w:val="center"/>
        </w:trPr>
        <w:tc>
          <w:tcPr>
            <w:tcW w:w="2648" w:type="dxa"/>
            <w:shd w:val="clear" w:color="auto" w:fill="FFFF00"/>
          </w:tcPr>
          <w:p w:rsidR="00474CFC" w:rsidRPr="00BB1432" w:rsidRDefault="00474CFC" w:rsidP="00474CFC">
            <w:pPr>
              <w:spacing w:line="480" w:lineRule="auto"/>
              <w:jc w:val="center"/>
              <w:rPr>
                <w:rFonts w:ascii="Verdana" w:hAnsi="Verdana"/>
                <w:b/>
                <w:sz w:val="22"/>
                <w:szCs w:val="22"/>
              </w:rPr>
            </w:pPr>
            <w:r w:rsidRPr="00BB1432">
              <w:rPr>
                <w:rFonts w:ascii="Verdana" w:hAnsi="Verdana"/>
                <w:b/>
                <w:sz w:val="22"/>
                <w:szCs w:val="22"/>
              </w:rPr>
              <w:t>PRONOSTICADO</w:t>
            </w:r>
          </w:p>
        </w:tc>
        <w:tc>
          <w:tcPr>
            <w:tcW w:w="2370" w:type="dxa"/>
          </w:tcPr>
          <w:p w:rsidR="00474CFC" w:rsidRPr="00BB1432" w:rsidRDefault="00474CFC" w:rsidP="00474CFC">
            <w:pPr>
              <w:spacing w:line="480" w:lineRule="auto"/>
              <w:jc w:val="center"/>
              <w:rPr>
                <w:rFonts w:ascii="Verdana" w:hAnsi="Verdana"/>
                <w:sz w:val="22"/>
                <w:szCs w:val="22"/>
              </w:rPr>
            </w:pPr>
            <w:r w:rsidRPr="00BB1432">
              <w:rPr>
                <w:rFonts w:ascii="Verdana" w:hAnsi="Verdana"/>
                <w:sz w:val="22"/>
                <w:szCs w:val="22"/>
              </w:rPr>
              <w:t xml:space="preserve">US$ </w:t>
            </w:r>
            <w:r w:rsidR="00A571E6" w:rsidRPr="00BB1432">
              <w:rPr>
                <w:rFonts w:ascii="Verdana" w:hAnsi="Verdana"/>
                <w:sz w:val="22"/>
                <w:szCs w:val="22"/>
              </w:rPr>
              <w:t>59</w:t>
            </w:r>
            <w:r w:rsidRPr="00BB1432">
              <w:rPr>
                <w:rFonts w:ascii="Verdana" w:hAnsi="Verdana"/>
                <w:sz w:val="22"/>
                <w:szCs w:val="22"/>
              </w:rPr>
              <w:t>’</w:t>
            </w:r>
            <w:r w:rsidR="00A571E6" w:rsidRPr="00BB1432">
              <w:rPr>
                <w:rFonts w:ascii="Verdana" w:hAnsi="Verdana"/>
                <w:sz w:val="22"/>
                <w:szCs w:val="22"/>
              </w:rPr>
              <w:t>258</w:t>
            </w:r>
            <w:r w:rsidRPr="00BB1432">
              <w:rPr>
                <w:rFonts w:ascii="Verdana" w:hAnsi="Verdana"/>
                <w:sz w:val="22"/>
                <w:szCs w:val="22"/>
              </w:rPr>
              <w:t>,</w:t>
            </w:r>
            <w:r w:rsidR="00A571E6" w:rsidRPr="00BB1432">
              <w:rPr>
                <w:rFonts w:ascii="Verdana" w:hAnsi="Verdana"/>
                <w:sz w:val="22"/>
                <w:szCs w:val="22"/>
              </w:rPr>
              <w:t>469</w:t>
            </w:r>
          </w:p>
        </w:tc>
      </w:tr>
      <w:tr w:rsidR="00474CFC" w:rsidRPr="00BB1432">
        <w:trPr>
          <w:trHeight w:val="556"/>
          <w:jc w:val="center"/>
        </w:trPr>
        <w:tc>
          <w:tcPr>
            <w:tcW w:w="2648" w:type="dxa"/>
            <w:shd w:val="clear" w:color="auto" w:fill="FFFF00"/>
          </w:tcPr>
          <w:p w:rsidR="00474CFC" w:rsidRPr="00BB1432" w:rsidRDefault="001C7655" w:rsidP="00474CFC">
            <w:pPr>
              <w:spacing w:line="480" w:lineRule="auto"/>
              <w:jc w:val="center"/>
              <w:rPr>
                <w:rFonts w:ascii="Verdana" w:hAnsi="Verdana"/>
                <w:b/>
                <w:sz w:val="22"/>
                <w:szCs w:val="22"/>
              </w:rPr>
            </w:pPr>
            <w:r w:rsidRPr="00BB1432">
              <w:rPr>
                <w:rFonts w:ascii="Verdana" w:hAnsi="Verdana"/>
                <w:b/>
                <w:sz w:val="22"/>
                <w:szCs w:val="22"/>
              </w:rPr>
              <w:t>VARIACIÓN (%)</w:t>
            </w:r>
          </w:p>
        </w:tc>
        <w:tc>
          <w:tcPr>
            <w:tcW w:w="2370" w:type="dxa"/>
          </w:tcPr>
          <w:p w:rsidR="00474CFC" w:rsidRPr="00BB1432" w:rsidRDefault="00A571E6" w:rsidP="00474CFC">
            <w:pPr>
              <w:spacing w:line="480" w:lineRule="auto"/>
              <w:jc w:val="center"/>
              <w:rPr>
                <w:rFonts w:ascii="Verdana" w:hAnsi="Verdana"/>
                <w:sz w:val="22"/>
                <w:szCs w:val="22"/>
              </w:rPr>
            </w:pPr>
            <w:r w:rsidRPr="00BB1432">
              <w:rPr>
                <w:rFonts w:ascii="Verdana" w:hAnsi="Verdana"/>
                <w:sz w:val="22"/>
                <w:szCs w:val="22"/>
              </w:rPr>
              <w:t>2</w:t>
            </w:r>
            <w:r w:rsidR="00474CFC" w:rsidRPr="00BB1432">
              <w:rPr>
                <w:rFonts w:ascii="Verdana" w:hAnsi="Verdana"/>
                <w:sz w:val="22"/>
                <w:szCs w:val="22"/>
              </w:rPr>
              <w:t>.</w:t>
            </w:r>
            <w:r w:rsidRPr="00BB1432">
              <w:rPr>
                <w:rFonts w:ascii="Verdana" w:hAnsi="Verdana"/>
                <w:sz w:val="22"/>
                <w:szCs w:val="22"/>
              </w:rPr>
              <w:t>16</w:t>
            </w:r>
            <w:r w:rsidR="00474CFC" w:rsidRPr="00BB1432">
              <w:rPr>
                <w:rFonts w:ascii="Verdana" w:hAnsi="Verdana"/>
                <w:sz w:val="22"/>
                <w:szCs w:val="22"/>
              </w:rPr>
              <w:t>%</w:t>
            </w:r>
          </w:p>
        </w:tc>
      </w:tr>
    </w:tbl>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91752B" w:rsidRPr="00BB1432" w:rsidRDefault="0091752B"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Como podemos observar, el error de proyección es pequeño por lo que el ratio es casi estable. </w:t>
      </w:r>
    </w:p>
    <w:p w:rsidR="00FA4985" w:rsidRDefault="00FA4985" w:rsidP="00FA4985">
      <w:pPr>
        <w:spacing w:line="480" w:lineRule="auto"/>
        <w:ind w:firstLine="708"/>
        <w:jc w:val="both"/>
        <w:rPr>
          <w:rFonts w:ascii="Verdana" w:hAnsi="Verdana"/>
          <w:b/>
          <w:sz w:val="22"/>
          <w:szCs w:val="22"/>
          <w:lang w:val="es-ES"/>
        </w:rPr>
      </w:pPr>
    </w:p>
    <w:p w:rsidR="00384CD3" w:rsidRPr="00BB1432" w:rsidRDefault="00384CD3" w:rsidP="00FA4985">
      <w:pPr>
        <w:spacing w:line="480" w:lineRule="auto"/>
        <w:ind w:firstLine="708"/>
        <w:jc w:val="both"/>
        <w:rPr>
          <w:rFonts w:ascii="Verdana" w:hAnsi="Verdana"/>
          <w:b/>
          <w:sz w:val="22"/>
          <w:szCs w:val="22"/>
          <w:lang w:val="es-ES"/>
        </w:rPr>
      </w:pPr>
    </w:p>
    <w:p w:rsidR="00FA4985" w:rsidRPr="00BB1432" w:rsidRDefault="00FA4985" w:rsidP="00FA4985">
      <w:pPr>
        <w:spacing w:line="480" w:lineRule="auto"/>
        <w:ind w:firstLine="708"/>
        <w:jc w:val="both"/>
        <w:rPr>
          <w:rFonts w:ascii="Verdana" w:hAnsi="Verdana"/>
          <w:b/>
          <w:sz w:val="22"/>
          <w:szCs w:val="22"/>
          <w:lang w:val="es-ES"/>
        </w:rPr>
      </w:pPr>
      <w:r w:rsidRPr="00BB1432">
        <w:rPr>
          <w:rFonts w:ascii="Verdana" w:hAnsi="Verdana"/>
          <w:b/>
          <w:sz w:val="22"/>
          <w:szCs w:val="22"/>
          <w:lang w:val="es-ES"/>
        </w:rPr>
        <w:t>INVERSIONES</w:t>
      </w:r>
    </w:p>
    <w:p w:rsidR="00FA4985" w:rsidRPr="00BB1432" w:rsidRDefault="00FA4985" w:rsidP="00FA4985">
      <w:pPr>
        <w:spacing w:line="480" w:lineRule="auto"/>
        <w:ind w:firstLine="708"/>
        <w:jc w:val="both"/>
        <w:rPr>
          <w:rFonts w:ascii="Verdana" w:hAnsi="Verdana"/>
          <w:sz w:val="22"/>
          <w:szCs w:val="22"/>
          <w:lang w:val="en-US"/>
        </w:rPr>
      </w:pPr>
      <w:r w:rsidRPr="00BB1432">
        <w:rPr>
          <w:rFonts w:ascii="Verdana" w:hAnsi="Verdana"/>
          <w:sz w:val="22"/>
          <w:szCs w:val="22"/>
          <w:lang w:val="es-ES"/>
        </w:rPr>
        <w:t>I</w:t>
      </w:r>
      <w:r w:rsidRPr="00BB1432">
        <w:rPr>
          <w:rFonts w:ascii="Verdana" w:hAnsi="Verdana"/>
          <w:sz w:val="22"/>
          <w:szCs w:val="22"/>
          <w:vertAlign w:val="subscript"/>
          <w:lang w:val="es-ES"/>
        </w:rPr>
        <w:t>T+1</w:t>
      </w:r>
      <w:r w:rsidRPr="00BB1432">
        <w:rPr>
          <w:rFonts w:ascii="Verdana" w:hAnsi="Verdana"/>
          <w:sz w:val="22"/>
          <w:szCs w:val="22"/>
          <w:lang w:val="es-ES"/>
        </w:rPr>
        <w:t xml:space="preserve"> = Ratio (I</w:t>
      </w:r>
      <w:r w:rsidRPr="00BB1432">
        <w:rPr>
          <w:rFonts w:ascii="Verdana" w:hAnsi="Verdana"/>
          <w:sz w:val="22"/>
          <w:szCs w:val="22"/>
          <w:vertAlign w:val="subscript"/>
          <w:lang w:val="es-ES"/>
        </w:rPr>
        <w:t>T</w:t>
      </w:r>
      <w:r w:rsidRPr="00BB1432">
        <w:rPr>
          <w:rFonts w:ascii="Verdana" w:hAnsi="Verdana"/>
          <w:sz w:val="22"/>
          <w:szCs w:val="22"/>
          <w:lang w:val="en-US"/>
        </w:rPr>
        <w:t xml:space="preserve">, OP </w:t>
      </w:r>
      <w:r w:rsidRPr="00BB1432">
        <w:rPr>
          <w:rFonts w:ascii="Verdana" w:hAnsi="Verdana"/>
          <w:sz w:val="22"/>
          <w:szCs w:val="22"/>
          <w:vertAlign w:val="subscript"/>
          <w:lang w:val="en-US"/>
        </w:rPr>
        <w:t>t-1</w:t>
      </w:r>
      <w:r w:rsidRPr="00BB1432">
        <w:rPr>
          <w:rFonts w:ascii="Verdana" w:hAnsi="Verdana"/>
          <w:sz w:val="22"/>
          <w:szCs w:val="22"/>
          <w:lang w:val="en-US"/>
        </w:rPr>
        <w:t>) * OP</w:t>
      </w:r>
      <w:r w:rsidRPr="00BB1432">
        <w:rPr>
          <w:rFonts w:ascii="Verdana" w:hAnsi="Verdana"/>
          <w:sz w:val="22"/>
          <w:szCs w:val="22"/>
          <w:vertAlign w:val="subscript"/>
          <w:lang w:val="en-US"/>
        </w:rPr>
        <w:t>T-1</w:t>
      </w:r>
    </w:p>
    <w:p w:rsidR="00FA4985" w:rsidRPr="00BB1432" w:rsidRDefault="00FA4985" w:rsidP="00FA4985">
      <w:pPr>
        <w:spacing w:line="480" w:lineRule="auto"/>
        <w:jc w:val="both"/>
        <w:rPr>
          <w:rFonts w:ascii="Verdana" w:hAnsi="Verdana"/>
          <w:sz w:val="22"/>
          <w:szCs w:val="22"/>
          <w:lang w:val="en-US"/>
        </w:rPr>
      </w:pPr>
    </w:p>
    <w:p w:rsidR="00FA4985" w:rsidRPr="00BB1432" w:rsidRDefault="00FA4985" w:rsidP="00FA4985">
      <w:pPr>
        <w:spacing w:line="480" w:lineRule="auto"/>
        <w:ind w:firstLine="708"/>
        <w:jc w:val="both"/>
        <w:rPr>
          <w:rFonts w:ascii="Verdana" w:hAnsi="Verdana"/>
          <w:sz w:val="22"/>
          <w:szCs w:val="22"/>
          <w:lang w:val="en-US"/>
        </w:rPr>
      </w:pPr>
      <w:r w:rsidRPr="00BB1432">
        <w:rPr>
          <w:rFonts w:ascii="Verdana" w:hAnsi="Verdana"/>
          <w:sz w:val="22"/>
          <w:szCs w:val="22"/>
        </w:rPr>
        <w:t>Donde</w:t>
      </w:r>
      <w:r w:rsidRPr="00BB1432">
        <w:rPr>
          <w:rFonts w:ascii="Verdana" w:hAnsi="Verdana"/>
          <w:sz w:val="22"/>
          <w:szCs w:val="22"/>
          <w:lang w:val="en-US"/>
        </w:rPr>
        <w:t>:</w:t>
      </w:r>
    </w:p>
    <w:p w:rsidR="00FA4985" w:rsidRPr="00BB1432" w:rsidRDefault="00FA4985" w:rsidP="00FA4985">
      <w:pPr>
        <w:spacing w:line="480" w:lineRule="auto"/>
        <w:jc w:val="both"/>
        <w:rPr>
          <w:rFonts w:ascii="Verdana" w:hAnsi="Verdana"/>
          <w:sz w:val="22"/>
          <w:szCs w:val="22"/>
          <w:lang w:val="en-US"/>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I</w:t>
      </w:r>
      <w:r w:rsidRPr="00BB1432">
        <w:rPr>
          <w:rFonts w:ascii="Verdana" w:hAnsi="Verdana"/>
          <w:sz w:val="22"/>
          <w:szCs w:val="22"/>
        </w:rPr>
        <w:tab/>
        <w:t>Inversiones</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OP </w:t>
      </w:r>
      <w:r w:rsidRPr="00BB1432">
        <w:rPr>
          <w:rFonts w:ascii="Verdana" w:hAnsi="Verdana"/>
          <w:sz w:val="22"/>
          <w:szCs w:val="22"/>
        </w:rPr>
        <w:tab/>
        <w:t>Obligaciones con el Público</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Muestra la relación entre los niveles de dinero que el Banco mantiene en papeles de inversión como reservas de liquidez en relación con los niveles de depósitos mantenidos en el trimestre anterior.</w:t>
      </w:r>
    </w:p>
    <w:p w:rsidR="007C3886" w:rsidRPr="00BB1432" w:rsidRDefault="007C3886"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Para realizar el cálculo del presente ratio, se tomó el valor de la relación histórica que existió entre Septiembre del 2003 y Septiembre del 2006, antes de que el Banco adquiriera, inicialmente, el 33% de las acciones del Banco Solidario durante los meses de Septiembre y Octubre del 2006.</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Como se muestra en el gráfico 3.3, el ratio Inversiones / Obligaciones con el público demuestra un comportamiento relativamente estable durante los periodos observados, exceptuando el periodo de Septiembre del 2003 y Diciembre del 2006.</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Los ratios presentan un máximo de 0.06 y un mínimo de 0.01, generando así una mediana de 0.01 y un promedio de 0.01 cuya desviación estándar es 0.012. Además, el coeficiente de correlación entre las dos variables es del 58.49%.</w:t>
      </w:r>
    </w:p>
    <w:p w:rsidR="009F0E15" w:rsidRPr="00BB1432" w:rsidRDefault="009F0E15" w:rsidP="00FA4985">
      <w:pPr>
        <w:spacing w:line="480" w:lineRule="auto"/>
        <w:ind w:firstLine="708"/>
        <w:jc w:val="both"/>
        <w:rPr>
          <w:rFonts w:ascii="Verdana" w:hAnsi="Verdana"/>
          <w:sz w:val="22"/>
          <w:szCs w:val="22"/>
        </w:rPr>
      </w:pPr>
    </w:p>
    <w:p w:rsidR="00384CD3" w:rsidRPr="00BB1432" w:rsidRDefault="009F0E15" w:rsidP="002337D7">
      <w:pPr>
        <w:spacing w:line="480" w:lineRule="auto"/>
        <w:ind w:firstLine="708"/>
        <w:jc w:val="both"/>
        <w:rPr>
          <w:rFonts w:ascii="Verdana" w:hAnsi="Verdana"/>
          <w:sz w:val="22"/>
          <w:szCs w:val="22"/>
        </w:rPr>
      </w:pPr>
      <w:r w:rsidRPr="00BB1432">
        <w:rPr>
          <w:rFonts w:ascii="Verdana" w:hAnsi="Verdana"/>
          <w:sz w:val="22"/>
          <w:szCs w:val="22"/>
        </w:rPr>
        <w:t>El Unibanco posee el menor ratio dentro del sistema, siendo el promedio del mismo de 0.3468</w:t>
      </w:r>
      <w:r w:rsidR="00413232" w:rsidRPr="00BB1432">
        <w:rPr>
          <w:rFonts w:ascii="Verdana" w:hAnsi="Verdana"/>
          <w:sz w:val="22"/>
          <w:szCs w:val="22"/>
        </w:rPr>
        <w:t xml:space="preserve">, lo cual demuestra que el Unibanco, pese a la compra del 33% de las acciones del Solidario, no ha hecho mayores inversiones como si lo han hecho los otros bancos del sistema. </w:t>
      </w:r>
      <w:r w:rsidRPr="00BB1432">
        <w:rPr>
          <w:rFonts w:ascii="Verdana" w:hAnsi="Verdana"/>
          <w:sz w:val="22"/>
          <w:szCs w:val="22"/>
        </w:rPr>
        <w:t xml:space="preserve"> </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3.3</w:t>
      </w:r>
    </w:p>
    <w:p w:rsidR="00FA4985" w:rsidRPr="00BB1432" w:rsidRDefault="00006ACE" w:rsidP="00FA4985">
      <w:pPr>
        <w:spacing w:line="480" w:lineRule="auto"/>
        <w:jc w:val="center"/>
        <w:rPr>
          <w:rFonts w:ascii="Verdana" w:hAnsi="Verdana"/>
          <w:sz w:val="22"/>
          <w:szCs w:val="22"/>
        </w:rPr>
      </w:pPr>
      <w:r>
        <w:rPr>
          <w:noProof/>
          <w:sz w:val="22"/>
          <w:szCs w:val="22"/>
          <w:lang w:val="es-ES" w:eastAsia="es-ES"/>
        </w:rPr>
        <w:drawing>
          <wp:inline distT="0" distB="0" distL="0" distR="0">
            <wp:extent cx="5391150" cy="30194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391150" cy="3019425"/>
                    </a:xfrm>
                    <a:prstGeom prst="rect">
                      <a:avLst/>
                    </a:prstGeom>
                    <a:noFill/>
                    <a:ln w="9525">
                      <a:noFill/>
                      <a:miter lim="800000"/>
                      <a:headEnd/>
                      <a:tailEnd/>
                    </a:ln>
                  </pic:spPr>
                </pic:pic>
              </a:graphicData>
            </a:graphic>
          </wp:inline>
        </w:drawing>
      </w:r>
    </w:p>
    <w:p w:rsidR="008333A5" w:rsidRPr="008333A5" w:rsidRDefault="008333A5" w:rsidP="008333A5">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A4985" w:rsidRPr="00BB1432" w:rsidRDefault="00FA4985" w:rsidP="00FA4985">
      <w:pPr>
        <w:spacing w:line="480" w:lineRule="auto"/>
        <w:jc w:val="both"/>
        <w:rPr>
          <w:rFonts w:ascii="Verdana" w:hAnsi="Verdana"/>
          <w:sz w:val="22"/>
          <w:szCs w:val="22"/>
        </w:rPr>
      </w:pP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La siguiente tabla muestra el margen de error obtenido para esta cuenta durante el mes de diciembre del 2006. Para la proyección, se uso el promedio de los ratios</w:t>
      </w:r>
      <w:r w:rsidR="008D464E" w:rsidRPr="00BB1432">
        <w:rPr>
          <w:rFonts w:ascii="Verdana" w:hAnsi="Verdana"/>
          <w:sz w:val="22"/>
          <w:szCs w:val="22"/>
        </w:rPr>
        <w:t xml:space="preserve"> exceptuando los dos casos expuestos</w:t>
      </w:r>
      <w:r w:rsidRPr="00BB1432">
        <w:rPr>
          <w:rFonts w:ascii="Verdana" w:hAnsi="Verdana"/>
          <w:sz w:val="22"/>
          <w:szCs w:val="22"/>
        </w:rPr>
        <w:t>.</w:t>
      </w:r>
    </w:p>
    <w:p w:rsidR="00384CD3" w:rsidRPr="00BB1432"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3.4</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Inversiones</w:t>
      </w:r>
    </w:p>
    <w:tbl>
      <w:tblPr>
        <w:tblStyle w:val="Tablaconcuadrcula"/>
        <w:tblW w:w="0" w:type="auto"/>
        <w:tblInd w:w="1548" w:type="dxa"/>
        <w:tblLook w:val="01E0"/>
      </w:tblPr>
      <w:tblGrid>
        <w:gridCol w:w="2895"/>
        <w:gridCol w:w="2731"/>
      </w:tblGrid>
      <w:tr w:rsidR="00CE0BC5" w:rsidRPr="00BB1432">
        <w:trPr>
          <w:trHeight w:val="533"/>
        </w:trPr>
        <w:tc>
          <w:tcPr>
            <w:tcW w:w="2895" w:type="dxa"/>
            <w:shd w:val="clear" w:color="auto" w:fill="FFFF00"/>
          </w:tcPr>
          <w:p w:rsidR="00CE0BC5" w:rsidRPr="00BB1432" w:rsidRDefault="00CE0BC5" w:rsidP="00FA4985">
            <w:pPr>
              <w:spacing w:line="480" w:lineRule="auto"/>
              <w:jc w:val="center"/>
              <w:rPr>
                <w:rFonts w:ascii="Verdana" w:hAnsi="Verdana"/>
                <w:b/>
                <w:sz w:val="22"/>
                <w:szCs w:val="22"/>
              </w:rPr>
            </w:pPr>
            <w:r w:rsidRPr="00BB1432">
              <w:rPr>
                <w:rFonts w:ascii="Verdana" w:hAnsi="Verdana"/>
                <w:b/>
                <w:sz w:val="22"/>
                <w:szCs w:val="22"/>
              </w:rPr>
              <w:t>REAL</w:t>
            </w:r>
          </w:p>
        </w:tc>
        <w:tc>
          <w:tcPr>
            <w:tcW w:w="2731" w:type="dxa"/>
          </w:tcPr>
          <w:p w:rsidR="00CE0BC5" w:rsidRPr="00BB1432" w:rsidRDefault="00CE0BC5" w:rsidP="00FA4985">
            <w:pPr>
              <w:spacing w:line="480" w:lineRule="auto"/>
              <w:jc w:val="center"/>
              <w:rPr>
                <w:rFonts w:ascii="Verdana" w:hAnsi="Verdana"/>
                <w:sz w:val="22"/>
                <w:szCs w:val="22"/>
              </w:rPr>
            </w:pPr>
            <w:r w:rsidRPr="00BB1432">
              <w:rPr>
                <w:rFonts w:ascii="Verdana" w:hAnsi="Verdana"/>
                <w:sz w:val="22"/>
                <w:szCs w:val="22"/>
              </w:rPr>
              <w:t>US$ 12’305,842</w:t>
            </w:r>
          </w:p>
        </w:tc>
      </w:tr>
      <w:tr w:rsidR="00CE0BC5" w:rsidRPr="00BB1432">
        <w:trPr>
          <w:trHeight w:val="520"/>
        </w:trPr>
        <w:tc>
          <w:tcPr>
            <w:tcW w:w="2895" w:type="dxa"/>
            <w:shd w:val="clear" w:color="auto" w:fill="FFFF00"/>
          </w:tcPr>
          <w:p w:rsidR="00CE0BC5" w:rsidRPr="00BB1432" w:rsidRDefault="00CE0BC5" w:rsidP="00FA4985">
            <w:pPr>
              <w:spacing w:line="480" w:lineRule="auto"/>
              <w:jc w:val="center"/>
              <w:rPr>
                <w:rFonts w:ascii="Verdana" w:hAnsi="Verdana"/>
                <w:b/>
                <w:sz w:val="22"/>
                <w:szCs w:val="22"/>
              </w:rPr>
            </w:pPr>
            <w:r w:rsidRPr="00BB1432">
              <w:rPr>
                <w:rFonts w:ascii="Verdana" w:hAnsi="Verdana"/>
                <w:b/>
                <w:sz w:val="22"/>
                <w:szCs w:val="22"/>
              </w:rPr>
              <w:t>PRONOSTICADO</w:t>
            </w:r>
          </w:p>
        </w:tc>
        <w:tc>
          <w:tcPr>
            <w:tcW w:w="2731" w:type="dxa"/>
          </w:tcPr>
          <w:p w:rsidR="00CE0BC5" w:rsidRPr="00BB1432" w:rsidRDefault="00CE0BC5" w:rsidP="00FA4985">
            <w:pPr>
              <w:spacing w:line="480" w:lineRule="auto"/>
              <w:jc w:val="center"/>
              <w:rPr>
                <w:rFonts w:ascii="Verdana" w:hAnsi="Verdana"/>
                <w:sz w:val="22"/>
                <w:szCs w:val="22"/>
              </w:rPr>
            </w:pPr>
            <w:r w:rsidRPr="00BB1432">
              <w:rPr>
                <w:rFonts w:ascii="Verdana" w:hAnsi="Verdana"/>
                <w:sz w:val="22"/>
                <w:szCs w:val="22"/>
              </w:rPr>
              <w:t>US$ 12’</w:t>
            </w:r>
            <w:r w:rsidR="0065532E" w:rsidRPr="00BB1432">
              <w:rPr>
                <w:rFonts w:ascii="Verdana" w:hAnsi="Verdana"/>
                <w:sz w:val="22"/>
                <w:szCs w:val="22"/>
              </w:rPr>
              <w:t>424</w:t>
            </w:r>
            <w:r w:rsidRPr="00BB1432">
              <w:rPr>
                <w:rFonts w:ascii="Verdana" w:hAnsi="Verdana"/>
                <w:sz w:val="22"/>
                <w:szCs w:val="22"/>
              </w:rPr>
              <w:t>,</w:t>
            </w:r>
            <w:r w:rsidR="0065532E" w:rsidRPr="00BB1432">
              <w:rPr>
                <w:rFonts w:ascii="Verdana" w:hAnsi="Verdana"/>
                <w:sz w:val="22"/>
                <w:szCs w:val="22"/>
              </w:rPr>
              <w:t>829</w:t>
            </w:r>
          </w:p>
        </w:tc>
      </w:tr>
      <w:tr w:rsidR="00CE0BC5" w:rsidRPr="00BB1432">
        <w:trPr>
          <w:trHeight w:val="547"/>
        </w:trPr>
        <w:tc>
          <w:tcPr>
            <w:tcW w:w="2895" w:type="dxa"/>
            <w:shd w:val="clear" w:color="auto" w:fill="FFFF00"/>
          </w:tcPr>
          <w:p w:rsidR="00CE0BC5" w:rsidRPr="00BB1432" w:rsidRDefault="00052EA2" w:rsidP="00FA4985">
            <w:pPr>
              <w:spacing w:line="480" w:lineRule="auto"/>
              <w:jc w:val="center"/>
              <w:rPr>
                <w:rFonts w:ascii="Verdana" w:hAnsi="Verdana"/>
                <w:b/>
                <w:sz w:val="22"/>
                <w:szCs w:val="22"/>
              </w:rPr>
            </w:pPr>
            <w:r w:rsidRPr="00BB1432">
              <w:rPr>
                <w:rFonts w:ascii="Verdana" w:hAnsi="Verdana"/>
                <w:b/>
                <w:sz w:val="22"/>
                <w:szCs w:val="22"/>
              </w:rPr>
              <w:t>VARIACIÓN (%)</w:t>
            </w:r>
          </w:p>
        </w:tc>
        <w:tc>
          <w:tcPr>
            <w:tcW w:w="2731" w:type="dxa"/>
          </w:tcPr>
          <w:p w:rsidR="00CE0BC5" w:rsidRPr="00BB1432" w:rsidRDefault="0065532E" w:rsidP="00FA4985">
            <w:pPr>
              <w:spacing w:line="480" w:lineRule="auto"/>
              <w:jc w:val="center"/>
              <w:rPr>
                <w:rFonts w:ascii="Verdana" w:hAnsi="Verdana"/>
                <w:sz w:val="22"/>
                <w:szCs w:val="22"/>
              </w:rPr>
            </w:pPr>
            <w:r w:rsidRPr="00BB1432">
              <w:rPr>
                <w:rFonts w:ascii="Verdana" w:hAnsi="Verdana"/>
                <w:sz w:val="22"/>
                <w:szCs w:val="22"/>
              </w:rPr>
              <w:t>0</w:t>
            </w:r>
            <w:r w:rsidR="00CE0BC5" w:rsidRPr="00BB1432">
              <w:rPr>
                <w:rFonts w:ascii="Verdana" w:hAnsi="Verdana"/>
                <w:sz w:val="22"/>
                <w:szCs w:val="22"/>
              </w:rPr>
              <w:t>.</w:t>
            </w:r>
            <w:r w:rsidRPr="00BB1432">
              <w:rPr>
                <w:rFonts w:ascii="Verdana" w:hAnsi="Verdana"/>
                <w:sz w:val="22"/>
                <w:szCs w:val="22"/>
              </w:rPr>
              <w:t>97</w:t>
            </w:r>
            <w:r w:rsidR="00CE0BC5" w:rsidRPr="00BB1432">
              <w:rPr>
                <w:rFonts w:ascii="Verdana" w:hAnsi="Verdana"/>
                <w:sz w:val="22"/>
                <w:szCs w:val="22"/>
              </w:rPr>
              <w:t>%</w:t>
            </w:r>
          </w:p>
        </w:tc>
      </w:tr>
    </w:tbl>
    <w:p w:rsidR="00134258" w:rsidRDefault="00134258" w:rsidP="002337D7">
      <w:pPr>
        <w:spacing w:line="480" w:lineRule="auto"/>
        <w:ind w:firstLine="1440"/>
        <w:rPr>
          <w:rFonts w:ascii="Verdana" w:hAnsi="Verdana"/>
          <w:b/>
          <w:i/>
          <w:sz w:val="18"/>
          <w:szCs w:val="18"/>
        </w:rPr>
      </w:pPr>
    </w:p>
    <w:p w:rsidR="008333A5" w:rsidRPr="008333A5" w:rsidRDefault="008333A5" w:rsidP="002337D7">
      <w:pPr>
        <w:spacing w:line="480" w:lineRule="auto"/>
        <w:ind w:firstLine="144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9F0E15" w:rsidRPr="00BB1432" w:rsidRDefault="009F0E15"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Podemos observar que el Margen d</w:t>
      </w:r>
      <w:r w:rsidR="002D0B85" w:rsidRPr="00BB1432">
        <w:rPr>
          <w:rFonts w:ascii="Verdana" w:hAnsi="Verdana"/>
          <w:sz w:val="22"/>
          <w:szCs w:val="22"/>
        </w:rPr>
        <w:t>e error de la proyección es bajo</w:t>
      </w:r>
      <w:r w:rsidRPr="00BB1432">
        <w:rPr>
          <w:rFonts w:ascii="Verdana" w:hAnsi="Verdana"/>
          <w:sz w:val="22"/>
          <w:szCs w:val="22"/>
        </w:rPr>
        <w:t xml:space="preserve">, </w:t>
      </w:r>
      <w:r w:rsidR="0083327E" w:rsidRPr="00BB1432">
        <w:rPr>
          <w:rFonts w:ascii="Verdana" w:hAnsi="Verdana"/>
          <w:sz w:val="22"/>
          <w:szCs w:val="22"/>
        </w:rPr>
        <w:t>debido a que no se han tomado en cuenta los datos atípicos de las inversiones</w:t>
      </w:r>
      <w:r w:rsidR="004732BE" w:rsidRPr="00BB1432">
        <w:rPr>
          <w:rFonts w:ascii="Verdana" w:hAnsi="Verdana"/>
          <w:sz w:val="22"/>
          <w:szCs w:val="22"/>
        </w:rPr>
        <w:t xml:space="preserve"> observados en Septiembre del 2003 y Diciembre del 2006 por las razones ya expuestas en párrafos anteriores.</w:t>
      </w:r>
    </w:p>
    <w:p w:rsidR="00FA4985" w:rsidRPr="00BB1432" w:rsidRDefault="00FA4985" w:rsidP="00FA4985">
      <w:pPr>
        <w:spacing w:line="480" w:lineRule="auto"/>
        <w:jc w:val="both"/>
        <w:rPr>
          <w:rFonts w:ascii="Verdana" w:hAnsi="Verdana"/>
          <w:sz w:val="22"/>
          <w:szCs w:val="22"/>
        </w:rPr>
      </w:pPr>
    </w:p>
    <w:p w:rsidR="00B8634F" w:rsidRPr="00BB1432" w:rsidRDefault="00B8634F"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CARTERA VENCIDA</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CV</w:t>
      </w:r>
      <w:r w:rsidRPr="00BB1432">
        <w:rPr>
          <w:rFonts w:ascii="Verdana" w:hAnsi="Verdana"/>
          <w:sz w:val="22"/>
          <w:szCs w:val="22"/>
          <w:vertAlign w:val="subscript"/>
        </w:rPr>
        <w:t>T+1</w:t>
      </w:r>
      <w:r w:rsidRPr="00BB1432">
        <w:rPr>
          <w:rFonts w:ascii="Verdana" w:hAnsi="Verdana"/>
          <w:sz w:val="22"/>
          <w:szCs w:val="22"/>
        </w:rPr>
        <w:t xml:space="preserve"> = Ratio (CV</w:t>
      </w:r>
      <w:r w:rsidRPr="00BB1432">
        <w:rPr>
          <w:rFonts w:ascii="Verdana" w:hAnsi="Verdana"/>
          <w:sz w:val="22"/>
          <w:szCs w:val="22"/>
          <w:vertAlign w:val="subscript"/>
        </w:rPr>
        <w:t>t</w:t>
      </w:r>
      <w:r w:rsidRPr="00BB1432">
        <w:rPr>
          <w:rFonts w:ascii="Verdana" w:hAnsi="Verdana"/>
          <w:sz w:val="22"/>
          <w:szCs w:val="22"/>
        </w:rPr>
        <w:t>, C</w:t>
      </w:r>
      <w:r w:rsidRPr="00BB1432">
        <w:rPr>
          <w:rFonts w:ascii="Verdana" w:hAnsi="Verdana"/>
          <w:sz w:val="22"/>
          <w:szCs w:val="22"/>
          <w:vertAlign w:val="subscript"/>
        </w:rPr>
        <w:t>t</w:t>
      </w:r>
      <w:r w:rsidRPr="00BB1432">
        <w:rPr>
          <w:rFonts w:ascii="Verdana" w:hAnsi="Verdana"/>
          <w:sz w:val="22"/>
          <w:szCs w:val="22"/>
        </w:rPr>
        <w:t>) * C</w:t>
      </w:r>
      <w:r w:rsidRPr="00BB1432">
        <w:rPr>
          <w:rFonts w:ascii="Verdana" w:hAnsi="Verdana"/>
          <w:sz w:val="22"/>
          <w:szCs w:val="22"/>
          <w:vertAlign w:val="subscript"/>
        </w:rPr>
        <w:t>T+1</w:t>
      </w:r>
    </w:p>
    <w:p w:rsidR="00FA4985" w:rsidRPr="00BB1432" w:rsidRDefault="00FA4985" w:rsidP="00FA4985">
      <w:pPr>
        <w:spacing w:line="480" w:lineRule="auto"/>
        <w:jc w:val="both"/>
        <w:rPr>
          <w:rFonts w:ascii="Verdana" w:hAnsi="Verdana"/>
          <w:sz w:val="22"/>
          <w:szCs w:val="22"/>
        </w:rPr>
      </w:pPr>
    </w:p>
    <w:p w:rsidR="009330F5" w:rsidRPr="00BB1432" w:rsidRDefault="00FA4985" w:rsidP="00384CD3">
      <w:pPr>
        <w:spacing w:line="480" w:lineRule="auto"/>
        <w:ind w:firstLine="708"/>
        <w:jc w:val="both"/>
        <w:rPr>
          <w:rFonts w:ascii="Verdana" w:hAnsi="Verdana"/>
          <w:b/>
          <w:sz w:val="22"/>
          <w:szCs w:val="22"/>
        </w:rPr>
      </w:pPr>
      <w:r w:rsidRPr="00BB1432">
        <w:rPr>
          <w:rFonts w:ascii="Verdana" w:hAnsi="Verdana"/>
          <w:sz w:val="22"/>
          <w:szCs w:val="22"/>
        </w:rPr>
        <w:t xml:space="preserve">Representa el nivel de Cartera Vencida (CV) que posee la institución frente al total de </w:t>
      </w:r>
      <w:smartTag w:uri="urn:schemas-microsoft-com:office:smarttags" w:element="PersonName">
        <w:smartTagPr>
          <w:attr w:name="ProductID" w:val="la Cartera"/>
        </w:smartTagPr>
        <w:r w:rsidRPr="00BB1432">
          <w:rPr>
            <w:rFonts w:ascii="Verdana" w:hAnsi="Verdana"/>
            <w:sz w:val="22"/>
            <w:szCs w:val="22"/>
          </w:rPr>
          <w:t>la Cartera</w:t>
        </w:r>
      </w:smartTag>
      <w:r w:rsidRPr="00BB1432">
        <w:rPr>
          <w:rFonts w:ascii="Verdana" w:hAnsi="Verdana"/>
          <w:sz w:val="22"/>
          <w:szCs w:val="22"/>
        </w:rPr>
        <w:t xml:space="preserve"> de Crédito o Colocaciones Brutas (C) otorgados en sus distintas categorías, es decir, que porcentaje de créditos otorgados se encuentran en mora.</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3.4</w:t>
      </w:r>
    </w:p>
    <w:p w:rsidR="00FA4985" w:rsidRPr="00BB1432" w:rsidRDefault="00006ACE" w:rsidP="00FA4985">
      <w:pPr>
        <w:spacing w:line="480" w:lineRule="auto"/>
        <w:jc w:val="center"/>
        <w:rPr>
          <w:sz w:val="22"/>
          <w:szCs w:val="22"/>
        </w:rPr>
      </w:pPr>
      <w:r>
        <w:rPr>
          <w:noProof/>
          <w:sz w:val="22"/>
          <w:szCs w:val="22"/>
          <w:lang w:val="es-ES" w:eastAsia="es-ES"/>
        </w:rPr>
        <w:drawing>
          <wp:inline distT="0" distB="0" distL="0" distR="0">
            <wp:extent cx="5248275" cy="2800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248275" cy="2800350"/>
                    </a:xfrm>
                    <a:prstGeom prst="rect">
                      <a:avLst/>
                    </a:prstGeom>
                    <a:noFill/>
                    <a:ln w="9525">
                      <a:noFill/>
                      <a:miter lim="800000"/>
                      <a:headEnd/>
                      <a:tailEnd/>
                    </a:ln>
                  </pic:spPr>
                </pic:pic>
              </a:graphicData>
            </a:graphic>
          </wp:inline>
        </w:drawing>
      </w:r>
    </w:p>
    <w:p w:rsidR="008333A5" w:rsidRPr="008333A5" w:rsidRDefault="008333A5" w:rsidP="008333A5">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Durante los periodos observados, el ratio Cartera Vencida / Cartera de Créditos presenta un máximo de 0.1958 y un mínimo de 0.0945, generando así una mediana de 0.1310 y un promedio de 0.1</w:t>
      </w:r>
      <w:r w:rsidR="0065532E" w:rsidRPr="00BB1432">
        <w:rPr>
          <w:rFonts w:ascii="Verdana" w:hAnsi="Verdana"/>
          <w:sz w:val="22"/>
          <w:szCs w:val="22"/>
        </w:rPr>
        <w:t>390</w:t>
      </w:r>
      <w:r w:rsidRPr="00BB1432">
        <w:rPr>
          <w:rFonts w:ascii="Verdana" w:hAnsi="Verdana"/>
          <w:sz w:val="22"/>
          <w:szCs w:val="22"/>
        </w:rPr>
        <w:t>, con u</w:t>
      </w:r>
      <w:r w:rsidR="0065532E" w:rsidRPr="00BB1432">
        <w:rPr>
          <w:rFonts w:ascii="Verdana" w:hAnsi="Verdana"/>
          <w:sz w:val="22"/>
          <w:szCs w:val="22"/>
        </w:rPr>
        <w:t>na desviación estándar de 0.0271</w:t>
      </w:r>
      <w:r w:rsidRPr="00BB1432">
        <w:rPr>
          <w:rFonts w:ascii="Verdana" w:hAnsi="Verdana"/>
          <w:sz w:val="22"/>
          <w:szCs w:val="22"/>
        </w:rPr>
        <w:t xml:space="preserve">, existiendo un coeficiente de correlación del </w:t>
      </w:r>
      <w:r w:rsidR="0065532E" w:rsidRPr="00BB1432">
        <w:rPr>
          <w:rFonts w:ascii="Verdana" w:hAnsi="Verdana"/>
          <w:sz w:val="22"/>
          <w:szCs w:val="22"/>
        </w:rPr>
        <w:t>90</w:t>
      </w:r>
      <w:r w:rsidRPr="00BB1432">
        <w:rPr>
          <w:rFonts w:ascii="Verdana" w:hAnsi="Verdana"/>
          <w:sz w:val="22"/>
          <w:szCs w:val="22"/>
        </w:rPr>
        <w:t>.</w:t>
      </w:r>
      <w:r w:rsidR="0065532E" w:rsidRPr="00BB1432">
        <w:rPr>
          <w:rFonts w:ascii="Verdana" w:hAnsi="Verdana"/>
          <w:sz w:val="22"/>
          <w:szCs w:val="22"/>
        </w:rPr>
        <w:t>35</w:t>
      </w:r>
      <w:r w:rsidRPr="00BB1432">
        <w:rPr>
          <w:rFonts w:ascii="Verdana" w:hAnsi="Verdana"/>
          <w:sz w:val="22"/>
          <w:szCs w:val="22"/>
        </w:rPr>
        <w:t>% entre las dos variables analizadas.</w:t>
      </w:r>
    </w:p>
    <w:p w:rsidR="00FA4985" w:rsidRPr="00BB1432" w:rsidRDefault="00FA4985" w:rsidP="00FA4985">
      <w:pPr>
        <w:spacing w:line="480" w:lineRule="auto"/>
        <w:jc w:val="both"/>
        <w:rPr>
          <w:rFonts w:ascii="Verdana" w:hAnsi="Verdana"/>
          <w:sz w:val="22"/>
          <w:szCs w:val="22"/>
        </w:rPr>
      </w:pPr>
    </w:p>
    <w:p w:rsidR="009F0E15" w:rsidRDefault="009F0E15" w:rsidP="00FA4985">
      <w:pPr>
        <w:spacing w:line="480" w:lineRule="auto"/>
        <w:ind w:firstLine="708"/>
        <w:jc w:val="both"/>
        <w:rPr>
          <w:rFonts w:ascii="Verdana" w:hAnsi="Verdana"/>
          <w:sz w:val="22"/>
          <w:szCs w:val="22"/>
        </w:rPr>
      </w:pPr>
      <w:r w:rsidRPr="00BB1432">
        <w:rPr>
          <w:rFonts w:ascii="Verdana" w:hAnsi="Verdana"/>
          <w:sz w:val="22"/>
          <w:szCs w:val="22"/>
        </w:rPr>
        <w:t>El menor ratio dentro de los bancos parecidos al Unibanco, lo tiene el Banco MM Jaramillo Arteaga</w:t>
      </w:r>
      <w:r w:rsidR="00B72FD6" w:rsidRPr="00BB1432">
        <w:rPr>
          <w:rFonts w:ascii="Verdana" w:hAnsi="Verdana"/>
          <w:sz w:val="22"/>
          <w:szCs w:val="22"/>
        </w:rPr>
        <w:t xml:space="preserve"> con 0.0242, siendo el ratio </w:t>
      </w:r>
      <w:r w:rsidRPr="00BB1432">
        <w:rPr>
          <w:rFonts w:ascii="Verdana" w:hAnsi="Verdana"/>
          <w:sz w:val="22"/>
          <w:szCs w:val="22"/>
        </w:rPr>
        <w:t>del</w:t>
      </w:r>
      <w:r w:rsidR="009B7DD0" w:rsidRPr="00BB1432">
        <w:rPr>
          <w:rFonts w:ascii="Verdana" w:hAnsi="Verdana"/>
          <w:sz w:val="22"/>
          <w:szCs w:val="22"/>
        </w:rPr>
        <w:t xml:space="preserve"> sistema (bancos medianos) de 1</w:t>
      </w:r>
      <w:r w:rsidRPr="00BB1432">
        <w:rPr>
          <w:rFonts w:ascii="Verdana" w:hAnsi="Verdana"/>
          <w:sz w:val="22"/>
          <w:szCs w:val="22"/>
        </w:rPr>
        <w:t>.</w:t>
      </w:r>
      <w:r w:rsidR="009B7DD0" w:rsidRPr="00BB1432">
        <w:rPr>
          <w:rFonts w:ascii="Verdana" w:hAnsi="Verdana"/>
          <w:sz w:val="22"/>
          <w:szCs w:val="22"/>
        </w:rPr>
        <w:t>65</w:t>
      </w:r>
      <w:r w:rsidRPr="00BB1432">
        <w:rPr>
          <w:rFonts w:ascii="Verdana" w:hAnsi="Verdana"/>
          <w:sz w:val="22"/>
          <w:szCs w:val="22"/>
        </w:rPr>
        <w:t>%.</w:t>
      </w:r>
    </w:p>
    <w:p w:rsidR="00B634CB" w:rsidRPr="00BB1432" w:rsidRDefault="00B634CB"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La siguiente Tabla, muestra el margen de error obtenido para esta cuenta para el mes de diciembre del 2006. Se utilizó como ratio la mediana obtenida durante el análisis.</w:t>
      </w:r>
    </w:p>
    <w:p w:rsidR="009F0E15" w:rsidRPr="00BB1432" w:rsidRDefault="009F0E15" w:rsidP="00FA4985">
      <w:pPr>
        <w:spacing w:line="480" w:lineRule="auto"/>
        <w:jc w:val="center"/>
        <w:rPr>
          <w:rFonts w:ascii="Verdana" w:hAnsi="Verdana"/>
          <w:b/>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3.5</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Cartera Vencida</w:t>
      </w:r>
    </w:p>
    <w:tbl>
      <w:tblPr>
        <w:tblStyle w:val="Tablaconcuadrcula"/>
        <w:tblW w:w="0" w:type="auto"/>
        <w:jc w:val="center"/>
        <w:tblLook w:val="01E0"/>
      </w:tblPr>
      <w:tblGrid>
        <w:gridCol w:w="2622"/>
        <w:gridCol w:w="2735"/>
      </w:tblGrid>
      <w:tr w:rsidR="005F730F" w:rsidRPr="00BB1432">
        <w:trPr>
          <w:trHeight w:val="571"/>
          <w:jc w:val="center"/>
        </w:trPr>
        <w:tc>
          <w:tcPr>
            <w:tcW w:w="2622" w:type="dxa"/>
            <w:shd w:val="clear" w:color="auto" w:fill="FFFF00"/>
          </w:tcPr>
          <w:p w:rsidR="005F730F" w:rsidRPr="00BB1432" w:rsidRDefault="005F730F" w:rsidP="00FA4985">
            <w:pPr>
              <w:spacing w:line="480" w:lineRule="auto"/>
              <w:jc w:val="center"/>
              <w:rPr>
                <w:rFonts w:ascii="Verdana" w:hAnsi="Verdana"/>
                <w:b/>
                <w:sz w:val="22"/>
                <w:szCs w:val="22"/>
              </w:rPr>
            </w:pPr>
            <w:r w:rsidRPr="00BB1432">
              <w:rPr>
                <w:rFonts w:ascii="Verdana" w:hAnsi="Verdana"/>
                <w:b/>
                <w:sz w:val="22"/>
                <w:szCs w:val="22"/>
              </w:rPr>
              <w:t>REAL</w:t>
            </w:r>
          </w:p>
        </w:tc>
        <w:tc>
          <w:tcPr>
            <w:tcW w:w="2735" w:type="dxa"/>
          </w:tcPr>
          <w:p w:rsidR="005F730F" w:rsidRPr="00BB1432" w:rsidRDefault="000518A4" w:rsidP="00FA4985">
            <w:pPr>
              <w:spacing w:line="480" w:lineRule="auto"/>
              <w:jc w:val="center"/>
              <w:rPr>
                <w:rFonts w:ascii="Verdana" w:hAnsi="Verdana"/>
                <w:sz w:val="22"/>
                <w:szCs w:val="22"/>
              </w:rPr>
            </w:pPr>
            <w:r w:rsidRPr="00BB1432">
              <w:rPr>
                <w:rFonts w:ascii="Verdana" w:hAnsi="Verdana"/>
                <w:sz w:val="22"/>
                <w:szCs w:val="22"/>
              </w:rPr>
              <w:t>US$ 25’306,146</w:t>
            </w:r>
          </w:p>
        </w:tc>
      </w:tr>
      <w:tr w:rsidR="005F730F" w:rsidRPr="00BB1432">
        <w:trPr>
          <w:trHeight w:val="556"/>
          <w:jc w:val="center"/>
        </w:trPr>
        <w:tc>
          <w:tcPr>
            <w:tcW w:w="2622" w:type="dxa"/>
            <w:shd w:val="clear" w:color="auto" w:fill="FFFF00"/>
          </w:tcPr>
          <w:p w:rsidR="005F730F" w:rsidRPr="00BB1432" w:rsidRDefault="005F730F" w:rsidP="00FA4985">
            <w:pPr>
              <w:spacing w:line="480" w:lineRule="auto"/>
              <w:jc w:val="center"/>
              <w:rPr>
                <w:rFonts w:ascii="Verdana" w:hAnsi="Verdana"/>
                <w:b/>
                <w:sz w:val="22"/>
                <w:szCs w:val="22"/>
              </w:rPr>
            </w:pPr>
            <w:r w:rsidRPr="00BB1432">
              <w:rPr>
                <w:rFonts w:ascii="Verdana" w:hAnsi="Verdana"/>
                <w:b/>
                <w:sz w:val="22"/>
                <w:szCs w:val="22"/>
              </w:rPr>
              <w:t>PROYECTADO</w:t>
            </w:r>
          </w:p>
        </w:tc>
        <w:tc>
          <w:tcPr>
            <w:tcW w:w="2735" w:type="dxa"/>
          </w:tcPr>
          <w:p w:rsidR="005F730F" w:rsidRPr="00BB1432" w:rsidRDefault="000518A4" w:rsidP="00FA4985">
            <w:pPr>
              <w:spacing w:line="480" w:lineRule="auto"/>
              <w:jc w:val="center"/>
              <w:rPr>
                <w:rFonts w:ascii="Verdana" w:hAnsi="Verdana"/>
                <w:sz w:val="22"/>
                <w:szCs w:val="22"/>
              </w:rPr>
            </w:pPr>
            <w:r w:rsidRPr="00BB1432">
              <w:rPr>
                <w:rFonts w:ascii="Verdana" w:hAnsi="Verdana"/>
                <w:sz w:val="22"/>
                <w:szCs w:val="22"/>
              </w:rPr>
              <w:t>US$ 25’756,882</w:t>
            </w:r>
          </w:p>
        </w:tc>
      </w:tr>
      <w:tr w:rsidR="005F730F" w:rsidRPr="00BB1432">
        <w:trPr>
          <w:trHeight w:val="571"/>
          <w:jc w:val="center"/>
        </w:trPr>
        <w:tc>
          <w:tcPr>
            <w:tcW w:w="2622" w:type="dxa"/>
            <w:shd w:val="clear" w:color="auto" w:fill="FFFF00"/>
          </w:tcPr>
          <w:p w:rsidR="005F730F" w:rsidRPr="00BB1432" w:rsidRDefault="00052EA2" w:rsidP="00FA4985">
            <w:pPr>
              <w:spacing w:line="480" w:lineRule="auto"/>
              <w:jc w:val="center"/>
              <w:rPr>
                <w:rFonts w:ascii="Verdana" w:hAnsi="Verdana"/>
                <w:b/>
                <w:sz w:val="22"/>
                <w:szCs w:val="22"/>
              </w:rPr>
            </w:pPr>
            <w:r w:rsidRPr="00BB1432">
              <w:rPr>
                <w:rFonts w:ascii="Verdana" w:hAnsi="Verdana"/>
                <w:b/>
                <w:sz w:val="22"/>
                <w:szCs w:val="22"/>
              </w:rPr>
              <w:t>VARIACIÓN (%)</w:t>
            </w:r>
          </w:p>
        </w:tc>
        <w:tc>
          <w:tcPr>
            <w:tcW w:w="2735" w:type="dxa"/>
          </w:tcPr>
          <w:p w:rsidR="005F730F" w:rsidRPr="00BB1432" w:rsidRDefault="000518A4" w:rsidP="00FA4985">
            <w:pPr>
              <w:spacing w:line="480" w:lineRule="auto"/>
              <w:jc w:val="center"/>
              <w:rPr>
                <w:rFonts w:ascii="Verdana" w:hAnsi="Verdana"/>
                <w:sz w:val="22"/>
                <w:szCs w:val="22"/>
              </w:rPr>
            </w:pPr>
            <w:r w:rsidRPr="00BB1432">
              <w:rPr>
                <w:rFonts w:ascii="Verdana" w:hAnsi="Verdana"/>
                <w:sz w:val="22"/>
                <w:szCs w:val="22"/>
              </w:rPr>
              <w:t>1.78%</w:t>
            </w:r>
          </w:p>
        </w:tc>
      </w:tr>
    </w:tbl>
    <w:p w:rsidR="00134258" w:rsidRDefault="00134258" w:rsidP="002337D7">
      <w:pPr>
        <w:spacing w:line="480" w:lineRule="auto"/>
        <w:ind w:firstLine="1440"/>
        <w:rPr>
          <w:rFonts w:ascii="Verdana" w:hAnsi="Verdana"/>
          <w:b/>
          <w:i/>
          <w:sz w:val="18"/>
          <w:szCs w:val="18"/>
        </w:rPr>
      </w:pPr>
    </w:p>
    <w:p w:rsidR="008333A5" w:rsidRPr="008333A5" w:rsidRDefault="008333A5" w:rsidP="002337D7">
      <w:pPr>
        <w:spacing w:line="480" w:lineRule="auto"/>
        <w:ind w:firstLine="144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Como podemos observar, el error de proyección en la relación Cartera Vencida / Cartera de Créditos es mínimo al usar como ratio la mediana obtenida durante los periodos analizados.</w:t>
      </w:r>
      <w:r w:rsidR="003A3C8F" w:rsidRPr="00BB1432">
        <w:rPr>
          <w:rFonts w:ascii="Verdana" w:hAnsi="Verdana"/>
          <w:sz w:val="22"/>
          <w:szCs w:val="22"/>
        </w:rPr>
        <w:t xml:space="preserve"> En necesario decir que los meses de diciembre normalmente reflejan un índice de cartera vencida inferior ya que los bancos hacen esfuerzos para mejorar sus indicadores de cierre.</w:t>
      </w:r>
    </w:p>
    <w:p w:rsidR="00FA4985" w:rsidRPr="00BB1432" w:rsidRDefault="00FA4985" w:rsidP="00FA4985">
      <w:pPr>
        <w:spacing w:line="480" w:lineRule="auto"/>
        <w:jc w:val="both"/>
        <w:rPr>
          <w:rFonts w:ascii="Verdana" w:hAnsi="Verdana"/>
          <w:sz w:val="22"/>
          <w:szCs w:val="22"/>
        </w:rPr>
      </w:pPr>
    </w:p>
    <w:p w:rsidR="009B7DD0" w:rsidRPr="00BB1432" w:rsidRDefault="009B7DD0"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PROVISIÓN PARA CRÉDITOS INCOBRABLES</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PCI</w:t>
      </w:r>
      <w:r w:rsidRPr="00BB1432">
        <w:rPr>
          <w:rFonts w:ascii="Verdana" w:hAnsi="Verdana"/>
          <w:sz w:val="22"/>
          <w:szCs w:val="22"/>
          <w:vertAlign w:val="subscript"/>
        </w:rPr>
        <w:t>T+1</w:t>
      </w:r>
      <w:r w:rsidRPr="00BB1432">
        <w:rPr>
          <w:rFonts w:ascii="Verdana" w:hAnsi="Verdana"/>
          <w:sz w:val="22"/>
          <w:szCs w:val="22"/>
        </w:rPr>
        <w:t xml:space="preserve"> = Ratio (PCI</w:t>
      </w:r>
      <w:r w:rsidRPr="00BB1432">
        <w:rPr>
          <w:rFonts w:ascii="Verdana" w:hAnsi="Verdana"/>
          <w:sz w:val="22"/>
          <w:szCs w:val="22"/>
          <w:vertAlign w:val="subscript"/>
        </w:rPr>
        <w:t>t</w:t>
      </w:r>
      <w:r w:rsidRPr="00BB1432">
        <w:rPr>
          <w:rFonts w:ascii="Verdana" w:hAnsi="Verdana"/>
          <w:sz w:val="22"/>
          <w:szCs w:val="22"/>
        </w:rPr>
        <w:t>, CV</w:t>
      </w:r>
      <w:r w:rsidRPr="00BB1432">
        <w:rPr>
          <w:rFonts w:ascii="Verdana" w:hAnsi="Verdana"/>
          <w:sz w:val="22"/>
          <w:szCs w:val="22"/>
          <w:vertAlign w:val="subscript"/>
        </w:rPr>
        <w:t>t</w:t>
      </w:r>
      <w:r w:rsidRPr="00BB1432">
        <w:rPr>
          <w:rFonts w:ascii="Verdana" w:hAnsi="Verdana"/>
          <w:sz w:val="22"/>
          <w:szCs w:val="22"/>
        </w:rPr>
        <w:t>) * CV</w:t>
      </w:r>
      <w:r w:rsidRPr="00BB1432">
        <w:rPr>
          <w:rFonts w:ascii="Verdana" w:hAnsi="Verdana"/>
          <w:sz w:val="22"/>
          <w:szCs w:val="22"/>
          <w:vertAlign w:val="subscript"/>
        </w:rPr>
        <w:t>T+1</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Donde:</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PCI</w:t>
      </w:r>
      <w:r w:rsidRPr="00BB1432">
        <w:rPr>
          <w:rFonts w:ascii="Verdana" w:hAnsi="Verdana"/>
          <w:sz w:val="22"/>
          <w:szCs w:val="22"/>
        </w:rPr>
        <w:tab/>
        <w:t>Provisión para créditos incobrables</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CV</w:t>
      </w:r>
      <w:r w:rsidRPr="00BB1432">
        <w:rPr>
          <w:rFonts w:ascii="Verdana" w:hAnsi="Verdana"/>
          <w:sz w:val="22"/>
          <w:szCs w:val="22"/>
        </w:rPr>
        <w:tab/>
        <w:t>Cartera Vencida</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Este ratio indica el nivel de previsión promedio que realiza la institución en su cartera de créditos frente al total de la cartera vencida.</w:t>
      </w:r>
    </w:p>
    <w:p w:rsidR="002E300B" w:rsidRPr="00BB1432" w:rsidRDefault="002E300B"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Durante los períodos observados, el ratio Previsión para Créditos Incobrables / Cartera Vencida, presentó un máximo de 0.756 y un mínimo de 0.310, generando así una mediana de 0.454, y un promedio de 0.479, con una desviación estándar de 0.125, siendo el coeficiente de correlación del 89%.</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A continuación, se presenta el gráfico de este ratio el cual muestra un comportamiento relativamente estable durante los primeros trimestres, posteriormente se incrementa en el último trimestre del 2004, desde donde empieza a incrementarse progresivamente, principalmente </w:t>
      </w:r>
      <w:r w:rsidR="0083327E" w:rsidRPr="00BB1432">
        <w:rPr>
          <w:rFonts w:ascii="Verdana" w:hAnsi="Verdana"/>
          <w:sz w:val="22"/>
          <w:szCs w:val="22"/>
        </w:rPr>
        <w:t xml:space="preserve">debido </w:t>
      </w:r>
      <w:r w:rsidRPr="00BB1432">
        <w:rPr>
          <w:rFonts w:ascii="Verdana" w:hAnsi="Verdana"/>
          <w:sz w:val="22"/>
          <w:szCs w:val="22"/>
        </w:rPr>
        <w:t xml:space="preserve">al aumento de </w:t>
      </w:r>
      <w:smartTag w:uri="urn:schemas-microsoft-com:office:smarttags" w:element="PersonName">
        <w:smartTagPr>
          <w:attr w:name="ProductID" w:val="la Cartera Vencida."/>
        </w:smartTagPr>
        <w:r w:rsidRPr="00BB1432">
          <w:rPr>
            <w:rFonts w:ascii="Verdana" w:hAnsi="Verdana"/>
            <w:sz w:val="22"/>
            <w:szCs w:val="22"/>
          </w:rPr>
          <w:t>la Cartera Vencida.</w:t>
        </w:r>
      </w:smartTag>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3.5</w:t>
      </w:r>
    </w:p>
    <w:p w:rsidR="00FA4985" w:rsidRPr="00BB1432" w:rsidRDefault="00006ACE" w:rsidP="00FA4985">
      <w:pPr>
        <w:spacing w:line="480" w:lineRule="auto"/>
        <w:jc w:val="center"/>
        <w:rPr>
          <w:rFonts w:ascii="Verdana" w:hAnsi="Verdana"/>
          <w:sz w:val="22"/>
          <w:szCs w:val="22"/>
        </w:rPr>
      </w:pPr>
      <w:r>
        <w:rPr>
          <w:noProof/>
          <w:sz w:val="22"/>
          <w:szCs w:val="22"/>
          <w:lang w:val="es-ES" w:eastAsia="es-ES"/>
        </w:rPr>
        <w:drawing>
          <wp:inline distT="0" distB="0" distL="0" distR="0">
            <wp:extent cx="5191125" cy="26384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191125" cy="2638425"/>
                    </a:xfrm>
                    <a:prstGeom prst="rect">
                      <a:avLst/>
                    </a:prstGeom>
                    <a:noFill/>
                    <a:ln w="9525">
                      <a:noFill/>
                      <a:miter lim="800000"/>
                      <a:headEnd/>
                      <a:tailEnd/>
                    </a:ln>
                  </pic:spPr>
                </pic:pic>
              </a:graphicData>
            </a:graphic>
          </wp:inline>
        </w:drawing>
      </w:r>
    </w:p>
    <w:p w:rsidR="008333A5" w:rsidRPr="008333A5" w:rsidRDefault="008333A5" w:rsidP="008333A5">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2E300B" w:rsidRPr="00BB1432" w:rsidRDefault="002E300B" w:rsidP="00FA4985">
      <w:pPr>
        <w:spacing w:line="480" w:lineRule="auto"/>
        <w:ind w:firstLine="708"/>
        <w:jc w:val="both"/>
        <w:rPr>
          <w:rFonts w:ascii="Verdana" w:hAnsi="Verdana"/>
          <w:sz w:val="22"/>
          <w:szCs w:val="22"/>
        </w:rPr>
      </w:pPr>
    </w:p>
    <w:p w:rsidR="00384CD3" w:rsidRDefault="0083327E" w:rsidP="00F97720">
      <w:pPr>
        <w:spacing w:line="480" w:lineRule="auto"/>
        <w:ind w:firstLine="708"/>
        <w:jc w:val="both"/>
        <w:rPr>
          <w:rFonts w:ascii="Verdana" w:hAnsi="Verdana"/>
          <w:sz w:val="22"/>
          <w:szCs w:val="22"/>
        </w:rPr>
      </w:pPr>
      <w:r w:rsidRPr="00BB1432">
        <w:rPr>
          <w:rFonts w:ascii="Verdana" w:hAnsi="Verdana"/>
          <w:sz w:val="22"/>
          <w:szCs w:val="22"/>
        </w:rPr>
        <w:t>Con el</w:t>
      </w:r>
      <w:r w:rsidR="00FA4985" w:rsidRPr="00BB1432">
        <w:rPr>
          <w:rFonts w:ascii="Verdana" w:hAnsi="Verdana"/>
          <w:sz w:val="22"/>
          <w:szCs w:val="22"/>
        </w:rPr>
        <w:t xml:space="preserve"> ratio</w:t>
      </w:r>
      <w:r w:rsidRPr="00BB1432">
        <w:rPr>
          <w:rFonts w:ascii="Verdana" w:hAnsi="Verdana"/>
          <w:sz w:val="22"/>
          <w:szCs w:val="22"/>
        </w:rPr>
        <w:t xml:space="preserve"> obtenido en el último período analizado</w:t>
      </w:r>
      <w:r w:rsidR="00FA4985" w:rsidRPr="00BB1432">
        <w:rPr>
          <w:rFonts w:ascii="Verdana" w:hAnsi="Verdana"/>
          <w:sz w:val="22"/>
          <w:szCs w:val="22"/>
        </w:rPr>
        <w:t>, se obtuvo el siguiente margen de error para la cuenta a proyectar correspondiente al periodo de diciembre del 2006.</w:t>
      </w:r>
    </w:p>
    <w:p w:rsidR="00F97720" w:rsidRPr="00BB1432" w:rsidRDefault="00FA4985" w:rsidP="00F97720">
      <w:pPr>
        <w:spacing w:line="480" w:lineRule="auto"/>
        <w:ind w:firstLine="708"/>
        <w:jc w:val="both"/>
        <w:rPr>
          <w:rFonts w:ascii="Verdana" w:hAnsi="Verdana"/>
          <w:sz w:val="22"/>
          <w:szCs w:val="22"/>
        </w:rPr>
      </w:pPr>
      <w:r w:rsidRPr="00BB1432">
        <w:rPr>
          <w:rFonts w:ascii="Verdana" w:hAnsi="Verdana"/>
          <w:sz w:val="22"/>
          <w:szCs w:val="22"/>
        </w:rPr>
        <w:t xml:space="preserve"> </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3.6</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Provisión para créditos incobrables</w:t>
      </w:r>
    </w:p>
    <w:tbl>
      <w:tblPr>
        <w:tblStyle w:val="Tablaconcuadrcula"/>
        <w:tblW w:w="0" w:type="auto"/>
        <w:jc w:val="center"/>
        <w:tblInd w:w="-64" w:type="dxa"/>
        <w:tblLook w:val="01E0"/>
      </w:tblPr>
      <w:tblGrid>
        <w:gridCol w:w="2654"/>
        <w:gridCol w:w="2318"/>
      </w:tblGrid>
      <w:tr w:rsidR="002E300B" w:rsidRPr="00BB1432">
        <w:trPr>
          <w:jc w:val="center"/>
        </w:trPr>
        <w:tc>
          <w:tcPr>
            <w:tcW w:w="2654" w:type="dxa"/>
            <w:shd w:val="clear" w:color="auto" w:fill="FFFF00"/>
          </w:tcPr>
          <w:p w:rsidR="002E300B" w:rsidRPr="00BB1432" w:rsidRDefault="002E300B" w:rsidP="00FA4985">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2E300B" w:rsidRPr="00BB1432" w:rsidRDefault="002E300B" w:rsidP="00FA4985">
            <w:pPr>
              <w:spacing w:line="480" w:lineRule="auto"/>
              <w:jc w:val="center"/>
              <w:rPr>
                <w:rFonts w:ascii="Verdana" w:hAnsi="Verdana"/>
                <w:sz w:val="22"/>
                <w:szCs w:val="22"/>
              </w:rPr>
            </w:pPr>
            <w:r w:rsidRPr="00BB1432">
              <w:rPr>
                <w:rFonts w:ascii="Verdana" w:hAnsi="Verdana"/>
                <w:sz w:val="22"/>
                <w:szCs w:val="22"/>
              </w:rPr>
              <w:t>US$ 13’805,052</w:t>
            </w:r>
          </w:p>
        </w:tc>
      </w:tr>
      <w:tr w:rsidR="002E300B" w:rsidRPr="00BB1432">
        <w:trPr>
          <w:jc w:val="center"/>
        </w:trPr>
        <w:tc>
          <w:tcPr>
            <w:tcW w:w="2654" w:type="dxa"/>
            <w:shd w:val="clear" w:color="auto" w:fill="FFFF00"/>
          </w:tcPr>
          <w:p w:rsidR="002E300B" w:rsidRPr="00BB1432" w:rsidRDefault="002E300B" w:rsidP="00FA4985">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2E300B" w:rsidRPr="00BB1432" w:rsidRDefault="002E300B" w:rsidP="00FA4985">
            <w:pPr>
              <w:spacing w:line="480" w:lineRule="auto"/>
              <w:jc w:val="center"/>
              <w:rPr>
                <w:rFonts w:ascii="Verdana" w:hAnsi="Verdana"/>
                <w:sz w:val="22"/>
                <w:szCs w:val="22"/>
              </w:rPr>
            </w:pPr>
            <w:r w:rsidRPr="00BB1432">
              <w:rPr>
                <w:rFonts w:ascii="Verdana" w:hAnsi="Verdana"/>
                <w:sz w:val="22"/>
                <w:szCs w:val="22"/>
              </w:rPr>
              <w:t>US$ 12’343,520</w:t>
            </w:r>
          </w:p>
        </w:tc>
      </w:tr>
      <w:tr w:rsidR="002E300B" w:rsidRPr="00BB1432">
        <w:trPr>
          <w:jc w:val="center"/>
        </w:trPr>
        <w:tc>
          <w:tcPr>
            <w:tcW w:w="2654" w:type="dxa"/>
            <w:shd w:val="clear" w:color="auto" w:fill="FFFF00"/>
          </w:tcPr>
          <w:p w:rsidR="002E300B" w:rsidRPr="00BB1432" w:rsidRDefault="00052EA2" w:rsidP="00FA4985">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2E300B" w:rsidRPr="00BB1432" w:rsidRDefault="002E300B" w:rsidP="00FA4985">
            <w:pPr>
              <w:spacing w:line="480" w:lineRule="auto"/>
              <w:jc w:val="center"/>
              <w:rPr>
                <w:rFonts w:ascii="Verdana" w:hAnsi="Verdana"/>
                <w:sz w:val="22"/>
                <w:szCs w:val="22"/>
              </w:rPr>
            </w:pPr>
            <w:r w:rsidRPr="00BB1432">
              <w:rPr>
                <w:rFonts w:ascii="Verdana" w:hAnsi="Verdana"/>
                <w:sz w:val="22"/>
                <w:szCs w:val="22"/>
              </w:rPr>
              <w:t>-10.59%</w:t>
            </w:r>
          </w:p>
        </w:tc>
      </w:tr>
    </w:tbl>
    <w:p w:rsidR="00134258" w:rsidRDefault="00134258" w:rsidP="002337D7">
      <w:pPr>
        <w:spacing w:line="480" w:lineRule="auto"/>
        <w:ind w:firstLine="1620"/>
        <w:rPr>
          <w:rFonts w:ascii="Verdana" w:hAnsi="Verdana"/>
          <w:b/>
          <w:i/>
          <w:sz w:val="18"/>
          <w:szCs w:val="18"/>
        </w:rPr>
      </w:pPr>
    </w:p>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97720" w:rsidRPr="00BB1432" w:rsidRDefault="00FA4985" w:rsidP="00F97720">
      <w:pPr>
        <w:spacing w:line="480" w:lineRule="auto"/>
        <w:ind w:firstLine="708"/>
        <w:jc w:val="both"/>
        <w:rPr>
          <w:rFonts w:ascii="Verdana" w:hAnsi="Verdana"/>
          <w:sz w:val="22"/>
          <w:szCs w:val="22"/>
        </w:rPr>
      </w:pPr>
      <w:r w:rsidRPr="00BB1432">
        <w:rPr>
          <w:rFonts w:ascii="Verdana" w:hAnsi="Verdana"/>
          <w:sz w:val="22"/>
          <w:szCs w:val="22"/>
        </w:rPr>
        <w:t xml:space="preserve">El margen de error obtenido en la proyección del mes de diciembre del 2006 presenta un error mediano debido principalmente a </w:t>
      </w:r>
      <w:smartTag w:uri="urn:schemas-microsoft-com:office:smarttags" w:element="PersonName">
        <w:smartTagPr>
          <w:attr w:name="ProductID" w:val="la Cartera Vencida"/>
        </w:smartTagPr>
        <w:r w:rsidRPr="00BB1432">
          <w:rPr>
            <w:rFonts w:ascii="Verdana" w:hAnsi="Verdana"/>
            <w:sz w:val="22"/>
            <w:szCs w:val="22"/>
          </w:rPr>
          <w:t>la Cartera Vencida</w:t>
        </w:r>
      </w:smartTag>
      <w:r w:rsidRPr="00BB1432">
        <w:rPr>
          <w:rFonts w:ascii="Verdana" w:hAnsi="Verdana"/>
          <w:sz w:val="22"/>
          <w:szCs w:val="22"/>
        </w:rPr>
        <w:t>, por lo tanto, hasta Marzo del 2007, el ratio se hace mayor por las políticas emprendidas para reducir el nivel de cartera vencida, sobretodo las adquiridas al Banco Solidario.</w:t>
      </w:r>
      <w:r w:rsidR="00F97720" w:rsidRPr="00BB1432">
        <w:rPr>
          <w:rFonts w:ascii="Verdana" w:hAnsi="Verdana"/>
          <w:sz w:val="22"/>
          <w:szCs w:val="22"/>
        </w:rPr>
        <w:t xml:space="preserve"> </w:t>
      </w:r>
    </w:p>
    <w:p w:rsidR="00FA4985" w:rsidRPr="00BB1432" w:rsidRDefault="00FA4985" w:rsidP="00FA4985">
      <w:pPr>
        <w:spacing w:line="480" w:lineRule="auto"/>
        <w:ind w:firstLine="708"/>
        <w:jc w:val="both"/>
        <w:rPr>
          <w:rFonts w:ascii="Verdana" w:hAnsi="Verdana"/>
          <w:sz w:val="22"/>
          <w:szCs w:val="22"/>
        </w:rPr>
      </w:pPr>
    </w:p>
    <w:p w:rsidR="00F1677E" w:rsidRPr="00BB1432" w:rsidRDefault="00F1677E" w:rsidP="00FA4985">
      <w:pPr>
        <w:spacing w:line="480" w:lineRule="auto"/>
        <w:ind w:firstLine="708"/>
        <w:jc w:val="both"/>
        <w:rPr>
          <w:rFonts w:ascii="Verdana" w:hAnsi="Verdana"/>
          <w:sz w:val="22"/>
          <w:szCs w:val="22"/>
        </w:rPr>
      </w:pPr>
      <w:r w:rsidRPr="00BB1432">
        <w:rPr>
          <w:rFonts w:ascii="Verdana" w:hAnsi="Verdana"/>
          <w:sz w:val="22"/>
          <w:szCs w:val="22"/>
        </w:rPr>
        <w:t xml:space="preserve">El Unibanco posee el menor ratio dentro del sistema de bancos medianos y parecidos a él; el </w:t>
      </w:r>
      <w:r w:rsidR="00FA1084" w:rsidRPr="00BB1432">
        <w:rPr>
          <w:rFonts w:ascii="Verdana" w:hAnsi="Verdana"/>
          <w:sz w:val="22"/>
          <w:szCs w:val="22"/>
        </w:rPr>
        <w:t>total</w:t>
      </w:r>
      <w:r w:rsidRPr="00BB1432">
        <w:rPr>
          <w:rFonts w:ascii="Verdana" w:hAnsi="Verdana"/>
          <w:sz w:val="22"/>
          <w:szCs w:val="22"/>
        </w:rPr>
        <w:t xml:space="preserve"> del sistema </w:t>
      </w:r>
      <w:r w:rsidR="00FA1084" w:rsidRPr="00BB1432">
        <w:rPr>
          <w:rFonts w:ascii="Verdana" w:hAnsi="Verdana"/>
          <w:sz w:val="22"/>
          <w:szCs w:val="22"/>
        </w:rPr>
        <w:t>posee un  ratio</w:t>
      </w:r>
      <w:r w:rsidRPr="00BB1432">
        <w:rPr>
          <w:rFonts w:ascii="Verdana" w:hAnsi="Verdana"/>
          <w:sz w:val="22"/>
          <w:szCs w:val="22"/>
        </w:rPr>
        <w:t xml:space="preserve"> de </w:t>
      </w:r>
      <w:r w:rsidR="009B7DD0" w:rsidRPr="00BB1432">
        <w:rPr>
          <w:rFonts w:ascii="Verdana" w:hAnsi="Verdana"/>
          <w:sz w:val="22"/>
          <w:szCs w:val="22"/>
        </w:rPr>
        <w:t>256</w:t>
      </w:r>
      <w:r w:rsidRPr="00BB1432">
        <w:rPr>
          <w:rFonts w:ascii="Verdana" w:hAnsi="Verdana"/>
          <w:sz w:val="22"/>
          <w:szCs w:val="22"/>
        </w:rPr>
        <w:t>.</w:t>
      </w:r>
      <w:r w:rsidR="009B7DD0" w:rsidRPr="00BB1432">
        <w:rPr>
          <w:rFonts w:ascii="Verdana" w:hAnsi="Verdana"/>
          <w:sz w:val="22"/>
          <w:szCs w:val="22"/>
        </w:rPr>
        <w:t>10</w:t>
      </w:r>
      <w:r w:rsidRPr="00BB1432">
        <w:rPr>
          <w:rFonts w:ascii="Verdana" w:hAnsi="Verdana"/>
          <w:sz w:val="22"/>
          <w:szCs w:val="22"/>
        </w:rPr>
        <w:t>%.</w:t>
      </w:r>
    </w:p>
    <w:p w:rsidR="00FA4985" w:rsidRPr="00BB1432" w:rsidRDefault="00FA4985" w:rsidP="00FA4985">
      <w:pPr>
        <w:spacing w:line="480" w:lineRule="auto"/>
        <w:jc w:val="both"/>
        <w:rPr>
          <w:rFonts w:ascii="Verdana" w:hAnsi="Verdana"/>
          <w:sz w:val="22"/>
          <w:szCs w:val="22"/>
        </w:rPr>
      </w:pPr>
    </w:p>
    <w:p w:rsidR="00FA1084" w:rsidRPr="00BB1432" w:rsidRDefault="00FA1084"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PROPIEDADES Y EQUIPO (ACTIVO FIJO)</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AF</w:t>
      </w:r>
      <w:r w:rsidRPr="00BB1432">
        <w:rPr>
          <w:rFonts w:ascii="Verdana" w:hAnsi="Verdana"/>
          <w:sz w:val="22"/>
          <w:szCs w:val="22"/>
          <w:vertAlign w:val="subscript"/>
        </w:rPr>
        <w:t>T+1</w:t>
      </w:r>
      <w:r w:rsidRPr="00BB1432">
        <w:rPr>
          <w:rFonts w:ascii="Verdana" w:hAnsi="Verdana"/>
          <w:sz w:val="22"/>
          <w:szCs w:val="22"/>
        </w:rPr>
        <w:t xml:space="preserve"> = TAF * AF</w:t>
      </w:r>
      <w:r w:rsidRPr="00BB1432">
        <w:rPr>
          <w:rFonts w:ascii="Verdana" w:hAnsi="Verdana"/>
          <w:sz w:val="22"/>
          <w:szCs w:val="22"/>
          <w:vertAlign w:val="subscript"/>
        </w:rPr>
        <w:t>T</w:t>
      </w:r>
    </w:p>
    <w:p w:rsidR="00FA4985" w:rsidRPr="00BB1432" w:rsidRDefault="00FA4985" w:rsidP="00FA4985">
      <w:pPr>
        <w:spacing w:line="480" w:lineRule="auto"/>
        <w:jc w:val="both"/>
        <w:rPr>
          <w:rFonts w:ascii="Verdana" w:hAnsi="Verdana"/>
          <w:sz w:val="22"/>
          <w:szCs w:val="22"/>
        </w:rPr>
      </w:pPr>
    </w:p>
    <w:p w:rsidR="00F97720" w:rsidRPr="00BB1432" w:rsidRDefault="00FA4985" w:rsidP="00F97720">
      <w:pPr>
        <w:spacing w:line="480" w:lineRule="auto"/>
        <w:ind w:firstLine="708"/>
        <w:jc w:val="both"/>
        <w:rPr>
          <w:rFonts w:ascii="Verdana" w:hAnsi="Verdana"/>
          <w:sz w:val="22"/>
          <w:szCs w:val="22"/>
        </w:rPr>
      </w:pPr>
      <w:r w:rsidRPr="00BB1432">
        <w:rPr>
          <w:rFonts w:ascii="Verdana" w:hAnsi="Verdana"/>
          <w:sz w:val="22"/>
          <w:szCs w:val="22"/>
        </w:rPr>
        <w:t xml:space="preserve">Los Activos Fijos (AF), se los pronosticará de </w:t>
      </w:r>
      <w:r w:rsidR="0083327E" w:rsidRPr="00BB1432">
        <w:rPr>
          <w:rFonts w:ascii="Verdana" w:hAnsi="Verdana"/>
          <w:sz w:val="22"/>
          <w:szCs w:val="22"/>
        </w:rPr>
        <w:t>acuerdo a su valor real, o sea como un valor constante.</w:t>
      </w:r>
      <w:r w:rsidR="00F97720" w:rsidRPr="00BB1432">
        <w:rPr>
          <w:rFonts w:ascii="Verdana" w:hAnsi="Verdana"/>
          <w:sz w:val="22"/>
          <w:szCs w:val="22"/>
          <w:highlight w:val="yellow"/>
        </w:rPr>
        <w:t xml:space="preserve"> </w:t>
      </w:r>
    </w:p>
    <w:p w:rsidR="00FA4985" w:rsidRPr="00BB1432" w:rsidRDefault="00FA4985" w:rsidP="00FA4985">
      <w:pPr>
        <w:spacing w:line="480" w:lineRule="auto"/>
        <w:jc w:val="both"/>
        <w:rPr>
          <w:rFonts w:ascii="Verdana" w:hAnsi="Verdana"/>
          <w:sz w:val="22"/>
          <w:szCs w:val="22"/>
        </w:rPr>
      </w:pP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Esto se hace así debido a la estabilidad del ratio como se ve en el Gráfico 3.6, donde la única inestabilidad ocurre durante el período de Diciembre del 2004, cuando el Unibanco abrió nuevas sucursales a lo largo del país, como parte de su política de crecimiento.</w:t>
      </w:r>
    </w:p>
    <w:p w:rsidR="00384CD3" w:rsidRDefault="00384CD3" w:rsidP="00FA4985">
      <w:pPr>
        <w:spacing w:line="480" w:lineRule="auto"/>
        <w:ind w:firstLine="708"/>
        <w:jc w:val="both"/>
        <w:rPr>
          <w:rFonts w:ascii="Verdana" w:hAnsi="Verdana"/>
          <w:sz w:val="22"/>
          <w:szCs w:val="22"/>
        </w:rPr>
      </w:pPr>
    </w:p>
    <w:p w:rsidR="00384CD3" w:rsidRDefault="00384CD3" w:rsidP="00FA4985">
      <w:pPr>
        <w:spacing w:line="480" w:lineRule="auto"/>
        <w:ind w:firstLine="708"/>
        <w:jc w:val="both"/>
        <w:rPr>
          <w:rFonts w:ascii="Verdana" w:hAnsi="Verdana"/>
          <w:sz w:val="22"/>
          <w:szCs w:val="22"/>
        </w:rPr>
      </w:pPr>
    </w:p>
    <w:p w:rsidR="002337D7" w:rsidRDefault="002337D7" w:rsidP="00FA4985">
      <w:pPr>
        <w:spacing w:line="480" w:lineRule="auto"/>
        <w:ind w:firstLine="708"/>
        <w:jc w:val="both"/>
        <w:rPr>
          <w:rFonts w:ascii="Verdana" w:hAnsi="Verdana"/>
          <w:sz w:val="22"/>
          <w:szCs w:val="22"/>
        </w:rPr>
      </w:pPr>
    </w:p>
    <w:p w:rsidR="00FA4985" w:rsidRPr="00BB1432" w:rsidRDefault="0020556A" w:rsidP="00FA4985">
      <w:pPr>
        <w:spacing w:line="480" w:lineRule="auto"/>
        <w:jc w:val="center"/>
        <w:rPr>
          <w:rFonts w:ascii="Verdana" w:hAnsi="Verdana"/>
          <w:b/>
          <w:sz w:val="22"/>
          <w:szCs w:val="22"/>
        </w:rPr>
      </w:pPr>
      <w:r w:rsidRPr="00BB1432">
        <w:rPr>
          <w:rFonts w:ascii="Verdana" w:hAnsi="Verdana"/>
          <w:b/>
          <w:sz w:val="22"/>
          <w:szCs w:val="22"/>
        </w:rPr>
        <w:t>Grá</w:t>
      </w:r>
      <w:r w:rsidR="00FA4985" w:rsidRPr="00BB1432">
        <w:rPr>
          <w:rFonts w:ascii="Verdana" w:hAnsi="Verdana"/>
          <w:b/>
          <w:sz w:val="22"/>
          <w:szCs w:val="22"/>
        </w:rPr>
        <w:t>fico 3.6</w:t>
      </w:r>
    </w:p>
    <w:p w:rsidR="008333A5" w:rsidRPr="008333A5" w:rsidRDefault="00006ACE" w:rsidP="008333A5">
      <w:pPr>
        <w:spacing w:line="480" w:lineRule="auto"/>
        <w:rPr>
          <w:rFonts w:ascii="Verdana" w:hAnsi="Verdana"/>
          <w:i/>
          <w:sz w:val="18"/>
          <w:szCs w:val="18"/>
        </w:rPr>
      </w:pPr>
      <w:r>
        <w:rPr>
          <w:noProof/>
          <w:sz w:val="22"/>
          <w:szCs w:val="22"/>
          <w:lang w:val="es-ES" w:eastAsia="es-ES"/>
        </w:rPr>
        <w:drawing>
          <wp:inline distT="0" distB="0" distL="0" distR="0">
            <wp:extent cx="5381625" cy="30003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381625" cy="3000375"/>
                    </a:xfrm>
                    <a:prstGeom prst="rect">
                      <a:avLst/>
                    </a:prstGeom>
                    <a:noFill/>
                    <a:ln w="9525">
                      <a:noFill/>
                      <a:miter lim="800000"/>
                      <a:headEnd/>
                      <a:tailEnd/>
                    </a:ln>
                  </pic:spPr>
                </pic:pic>
              </a:graphicData>
            </a:graphic>
          </wp:inline>
        </w:drawing>
      </w:r>
      <w:r w:rsidR="008333A5" w:rsidRPr="008333A5">
        <w:rPr>
          <w:rFonts w:ascii="Verdana" w:hAnsi="Verdana"/>
          <w:b/>
          <w:i/>
          <w:sz w:val="18"/>
          <w:szCs w:val="18"/>
        </w:rPr>
        <w:t xml:space="preserve"> Elaborado por</w:t>
      </w:r>
      <w:r w:rsidR="008333A5">
        <w:rPr>
          <w:rFonts w:ascii="Verdana" w:hAnsi="Verdana"/>
          <w:b/>
          <w:i/>
          <w:sz w:val="18"/>
          <w:szCs w:val="18"/>
        </w:rPr>
        <w:t>:</w:t>
      </w:r>
      <w:r w:rsidR="008333A5" w:rsidRPr="008333A5">
        <w:rPr>
          <w:rFonts w:ascii="Verdana" w:hAnsi="Verdana"/>
          <w:b/>
          <w:i/>
          <w:sz w:val="18"/>
          <w:szCs w:val="18"/>
        </w:rPr>
        <w:t xml:space="preserve"> </w:t>
      </w:r>
      <w:r w:rsidR="008333A5">
        <w:rPr>
          <w:rFonts w:ascii="Verdana" w:hAnsi="Verdana"/>
          <w:i/>
          <w:sz w:val="18"/>
          <w:szCs w:val="18"/>
        </w:rPr>
        <w:t>L</w:t>
      </w:r>
      <w:r w:rsidR="008333A5" w:rsidRPr="008333A5">
        <w:rPr>
          <w:rFonts w:ascii="Verdana" w:hAnsi="Verdana"/>
          <w:i/>
          <w:sz w:val="18"/>
          <w:szCs w:val="18"/>
        </w:rPr>
        <w:t>os Autores</w:t>
      </w:r>
    </w:p>
    <w:p w:rsidR="009330F5" w:rsidRPr="00BB1432" w:rsidRDefault="009330F5" w:rsidP="008333A5">
      <w:pPr>
        <w:spacing w:line="480" w:lineRule="auto"/>
        <w:jc w:val="center"/>
        <w:rPr>
          <w:rFonts w:ascii="Verdana" w:hAnsi="Verdana"/>
          <w:b/>
          <w:sz w:val="22"/>
          <w:szCs w:val="22"/>
        </w:rPr>
      </w:pPr>
    </w:p>
    <w:p w:rsidR="00FA1084" w:rsidRPr="00BB1432" w:rsidRDefault="00FA1084" w:rsidP="00FA4985">
      <w:pPr>
        <w:spacing w:line="480" w:lineRule="auto"/>
        <w:ind w:firstLine="708"/>
        <w:jc w:val="both"/>
        <w:rPr>
          <w:rFonts w:ascii="Verdana" w:hAnsi="Verdana"/>
          <w:b/>
          <w:sz w:val="22"/>
          <w:szCs w:val="22"/>
        </w:rPr>
      </w:pPr>
    </w:p>
    <w:p w:rsidR="00FA4985" w:rsidRPr="00BB1432" w:rsidRDefault="00AC20D1" w:rsidP="00FA4985">
      <w:pPr>
        <w:spacing w:line="480" w:lineRule="auto"/>
        <w:ind w:firstLine="708"/>
        <w:jc w:val="both"/>
        <w:rPr>
          <w:rFonts w:ascii="Verdana" w:hAnsi="Verdana"/>
          <w:b/>
          <w:sz w:val="22"/>
          <w:szCs w:val="22"/>
        </w:rPr>
      </w:pPr>
      <w:r w:rsidRPr="00BB1432">
        <w:rPr>
          <w:rFonts w:ascii="Verdana" w:hAnsi="Verdana"/>
          <w:b/>
          <w:sz w:val="22"/>
          <w:szCs w:val="22"/>
        </w:rPr>
        <w:t>O</w:t>
      </w:r>
      <w:r w:rsidR="00FA4985" w:rsidRPr="00BB1432">
        <w:rPr>
          <w:rFonts w:ascii="Verdana" w:hAnsi="Verdana"/>
          <w:b/>
          <w:sz w:val="22"/>
          <w:szCs w:val="22"/>
        </w:rPr>
        <w:t>TROS ACTIVOS</w:t>
      </w:r>
    </w:p>
    <w:p w:rsidR="00FA4985" w:rsidRPr="00BB1432" w:rsidRDefault="00FA4985" w:rsidP="00FA4985">
      <w:pPr>
        <w:spacing w:line="480" w:lineRule="auto"/>
        <w:ind w:firstLine="708"/>
        <w:jc w:val="both"/>
        <w:rPr>
          <w:rFonts w:ascii="Verdana" w:hAnsi="Verdana"/>
          <w:sz w:val="22"/>
          <w:szCs w:val="22"/>
          <w:lang w:val="en-US"/>
        </w:rPr>
      </w:pPr>
      <w:r w:rsidRPr="00BB1432">
        <w:rPr>
          <w:rFonts w:ascii="Verdana" w:hAnsi="Verdana"/>
          <w:sz w:val="22"/>
          <w:szCs w:val="22"/>
          <w:lang w:val="en-US"/>
        </w:rPr>
        <w:t>OA</w:t>
      </w:r>
      <w:r w:rsidRPr="00BB1432">
        <w:rPr>
          <w:rFonts w:ascii="Verdana" w:hAnsi="Verdana"/>
          <w:sz w:val="22"/>
          <w:szCs w:val="22"/>
          <w:vertAlign w:val="subscript"/>
          <w:lang w:val="en-US"/>
        </w:rPr>
        <w:t>T+1</w:t>
      </w:r>
      <w:r w:rsidRPr="00BB1432">
        <w:rPr>
          <w:rFonts w:ascii="Verdana" w:hAnsi="Verdana"/>
          <w:sz w:val="22"/>
          <w:szCs w:val="22"/>
          <w:lang w:val="en-US"/>
        </w:rPr>
        <w:t xml:space="preserve"> = D</w:t>
      </w:r>
      <w:r w:rsidRPr="00BB1432">
        <w:rPr>
          <w:rFonts w:ascii="Verdana" w:hAnsi="Verdana"/>
          <w:sz w:val="22"/>
          <w:szCs w:val="22"/>
          <w:vertAlign w:val="subscript"/>
          <w:lang w:val="en-US"/>
        </w:rPr>
        <w:t>T+1</w:t>
      </w:r>
      <w:r w:rsidRPr="00BB1432">
        <w:rPr>
          <w:rFonts w:ascii="Verdana" w:hAnsi="Verdana"/>
          <w:sz w:val="22"/>
          <w:szCs w:val="22"/>
          <w:lang w:val="en-US"/>
        </w:rPr>
        <w:t xml:space="preserve"> + CC</w:t>
      </w:r>
      <w:r w:rsidRPr="00BB1432">
        <w:rPr>
          <w:rFonts w:ascii="Verdana" w:hAnsi="Verdana"/>
          <w:sz w:val="22"/>
          <w:szCs w:val="22"/>
          <w:vertAlign w:val="subscript"/>
          <w:lang w:val="en-US"/>
        </w:rPr>
        <w:t>T+1</w:t>
      </w:r>
      <w:r w:rsidRPr="00BB1432">
        <w:rPr>
          <w:rFonts w:ascii="Verdana" w:hAnsi="Verdana"/>
          <w:sz w:val="22"/>
          <w:szCs w:val="22"/>
          <w:lang w:val="en-US"/>
        </w:rPr>
        <w:t xml:space="preserve"> + BR</w:t>
      </w:r>
      <w:r w:rsidRPr="00BB1432">
        <w:rPr>
          <w:rFonts w:ascii="Verdana" w:hAnsi="Verdana"/>
          <w:sz w:val="22"/>
          <w:szCs w:val="22"/>
          <w:vertAlign w:val="subscript"/>
          <w:lang w:val="en-US"/>
        </w:rPr>
        <w:t>T+1</w:t>
      </w:r>
      <w:r w:rsidRPr="00BB1432">
        <w:rPr>
          <w:rFonts w:ascii="Verdana" w:hAnsi="Verdana"/>
          <w:sz w:val="22"/>
          <w:szCs w:val="22"/>
          <w:lang w:val="en-US"/>
        </w:rPr>
        <w:t xml:space="preserve"> + OA</w:t>
      </w:r>
      <w:r w:rsidRPr="00BB1432">
        <w:rPr>
          <w:rFonts w:ascii="Verdana" w:hAnsi="Verdana"/>
          <w:sz w:val="22"/>
          <w:szCs w:val="22"/>
          <w:vertAlign w:val="subscript"/>
          <w:lang w:val="en-US"/>
        </w:rPr>
        <w:t>T+1</w:t>
      </w:r>
      <w:r w:rsidRPr="00BB1432">
        <w:rPr>
          <w:rFonts w:ascii="Verdana" w:hAnsi="Verdana"/>
          <w:sz w:val="22"/>
          <w:szCs w:val="22"/>
          <w:lang w:val="en-US"/>
        </w:rPr>
        <w:t xml:space="preserve"> </w:t>
      </w:r>
    </w:p>
    <w:p w:rsidR="00FA4985" w:rsidRPr="00BB1432" w:rsidRDefault="00FA4985" w:rsidP="00FA4985">
      <w:pPr>
        <w:spacing w:line="480" w:lineRule="auto"/>
        <w:jc w:val="both"/>
        <w:rPr>
          <w:rFonts w:ascii="Verdana" w:hAnsi="Verdana"/>
          <w:sz w:val="22"/>
          <w:szCs w:val="22"/>
          <w:lang w:val="en-US"/>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La cuenta Otros Activos se ha tomado como cuenta de ajuste por cuanto no presenta una relación estable y significativa con el funcionamiento de la entidad y se lo calcula como la suma de las cuentas 15, 16, 17 y 19, o sea</w:t>
      </w:r>
      <w:r w:rsidR="00AC20D1" w:rsidRPr="00BB1432">
        <w:rPr>
          <w:rFonts w:ascii="Verdana" w:hAnsi="Verdana"/>
          <w:sz w:val="22"/>
          <w:szCs w:val="22"/>
        </w:rPr>
        <w:t xml:space="preserve">, como la suma de Deudores por </w:t>
      </w:r>
      <w:r w:rsidRPr="00BB1432">
        <w:rPr>
          <w:rFonts w:ascii="Verdana" w:hAnsi="Verdana"/>
          <w:sz w:val="22"/>
          <w:szCs w:val="22"/>
        </w:rPr>
        <w:t xml:space="preserve">Aceptaciones (que es cero para el banco), Cuentas por cobrar, Bienes realizables (que también es de cero para la entidad) y la cuenta propiamente de Otros Activos, según el Registro de Cuentas de </w:t>
      </w:r>
      <w:smartTag w:uri="urn:schemas-microsoft-com:office:smarttags" w:element="PersonName">
        <w:smartTagPr>
          <w:attr w:name="ProductID" w:val="la Superintendencia"/>
        </w:smartTagPr>
        <w:r w:rsidRPr="00BB1432">
          <w:rPr>
            <w:rFonts w:ascii="Verdana" w:hAnsi="Verdana"/>
            <w:sz w:val="22"/>
            <w:szCs w:val="22"/>
          </w:rPr>
          <w:t>la Superintendencia</w:t>
        </w:r>
      </w:smartTag>
      <w:r w:rsidRPr="00BB1432">
        <w:rPr>
          <w:rFonts w:ascii="Verdana" w:hAnsi="Verdana"/>
          <w:sz w:val="22"/>
          <w:szCs w:val="22"/>
        </w:rPr>
        <w:t xml:space="preserve"> de Bancos del Ecuador.</w:t>
      </w:r>
    </w:p>
    <w:p w:rsidR="00FA4985" w:rsidRPr="00BB1432" w:rsidRDefault="00FA4985" w:rsidP="00AC20D1">
      <w:pPr>
        <w:spacing w:line="480" w:lineRule="auto"/>
        <w:jc w:val="both"/>
        <w:rPr>
          <w:rFonts w:ascii="Verdana" w:hAnsi="Verdana"/>
          <w:b/>
          <w:sz w:val="22"/>
          <w:szCs w:val="22"/>
        </w:rPr>
      </w:pPr>
      <w:r w:rsidRPr="00BB1432">
        <w:rPr>
          <w:rFonts w:ascii="Verdana" w:hAnsi="Verdana"/>
          <w:b/>
          <w:sz w:val="22"/>
          <w:szCs w:val="22"/>
        </w:rPr>
        <w:t>3.2.2 Ratios de proyección para las cuentas del Pasivo</w:t>
      </w:r>
    </w:p>
    <w:p w:rsidR="00FA4985" w:rsidRPr="00BB1432" w:rsidRDefault="00FA4985" w:rsidP="00FA4985">
      <w:pPr>
        <w:spacing w:line="480" w:lineRule="auto"/>
        <w:jc w:val="both"/>
        <w:rPr>
          <w:rFonts w:ascii="Verdana" w:hAnsi="Verdana"/>
          <w:sz w:val="22"/>
          <w:szCs w:val="22"/>
        </w:rPr>
      </w:pPr>
    </w:p>
    <w:p w:rsidR="00FA4985" w:rsidRPr="00BB1432" w:rsidRDefault="00FA4985" w:rsidP="00AC20D1">
      <w:pPr>
        <w:spacing w:line="480" w:lineRule="auto"/>
        <w:jc w:val="both"/>
        <w:rPr>
          <w:rFonts w:ascii="Verdana" w:hAnsi="Verdana"/>
          <w:b/>
          <w:sz w:val="22"/>
          <w:szCs w:val="22"/>
        </w:rPr>
      </w:pPr>
      <w:r w:rsidRPr="00BB1432">
        <w:rPr>
          <w:rFonts w:ascii="Verdana" w:hAnsi="Verdana"/>
          <w:b/>
          <w:sz w:val="22"/>
          <w:szCs w:val="22"/>
        </w:rPr>
        <w:t>OBLIGACIONES CON EL PÚBLICO</w:t>
      </w:r>
    </w:p>
    <w:p w:rsidR="00AC20D1" w:rsidRPr="00BB1432" w:rsidRDefault="00FA4985" w:rsidP="00AC20D1">
      <w:pPr>
        <w:spacing w:line="480" w:lineRule="auto"/>
        <w:jc w:val="both"/>
        <w:rPr>
          <w:rFonts w:ascii="Verdana" w:hAnsi="Verdana"/>
          <w:sz w:val="22"/>
          <w:szCs w:val="22"/>
          <w:lang w:val="en-US"/>
        </w:rPr>
      </w:pPr>
      <w:r w:rsidRPr="00BB1432">
        <w:rPr>
          <w:rFonts w:ascii="Verdana" w:hAnsi="Verdana"/>
          <w:sz w:val="22"/>
          <w:szCs w:val="22"/>
          <w:lang w:val="en-US"/>
        </w:rPr>
        <w:t>OP</w:t>
      </w:r>
      <w:r w:rsidRPr="00BB1432">
        <w:rPr>
          <w:rFonts w:ascii="Verdana" w:hAnsi="Verdana"/>
          <w:sz w:val="22"/>
          <w:szCs w:val="22"/>
          <w:vertAlign w:val="subscript"/>
          <w:lang w:val="en-US"/>
        </w:rPr>
        <w:t>T+1</w:t>
      </w:r>
      <w:r w:rsidRPr="00BB1432">
        <w:rPr>
          <w:rFonts w:ascii="Verdana" w:hAnsi="Verdana"/>
          <w:sz w:val="22"/>
          <w:szCs w:val="22"/>
          <w:lang w:val="en-US"/>
        </w:rPr>
        <w:t xml:space="preserve"> = Ratio (OP</w:t>
      </w:r>
      <w:r w:rsidRPr="00BB1432">
        <w:rPr>
          <w:rFonts w:ascii="Verdana" w:hAnsi="Verdana"/>
          <w:sz w:val="22"/>
          <w:szCs w:val="22"/>
          <w:vertAlign w:val="subscript"/>
          <w:lang w:val="en-US"/>
        </w:rPr>
        <w:t>t</w:t>
      </w:r>
      <w:r w:rsidRPr="00BB1432">
        <w:rPr>
          <w:rFonts w:ascii="Verdana" w:hAnsi="Verdana"/>
          <w:sz w:val="22"/>
          <w:szCs w:val="22"/>
          <w:lang w:val="en-US"/>
        </w:rPr>
        <w:t>, C</w:t>
      </w:r>
      <w:r w:rsidRPr="00BB1432">
        <w:rPr>
          <w:rFonts w:ascii="Verdana" w:hAnsi="Verdana"/>
          <w:sz w:val="22"/>
          <w:szCs w:val="22"/>
          <w:vertAlign w:val="subscript"/>
          <w:lang w:val="en-US"/>
        </w:rPr>
        <w:t>t</w:t>
      </w:r>
      <w:r w:rsidRPr="00BB1432">
        <w:rPr>
          <w:rFonts w:ascii="Verdana" w:hAnsi="Verdana"/>
          <w:sz w:val="22"/>
          <w:szCs w:val="22"/>
          <w:lang w:val="en-US"/>
        </w:rPr>
        <w:t>) * C</w:t>
      </w:r>
      <w:r w:rsidRPr="00BB1432">
        <w:rPr>
          <w:rFonts w:ascii="Verdana" w:hAnsi="Verdana"/>
          <w:sz w:val="22"/>
          <w:szCs w:val="22"/>
          <w:vertAlign w:val="subscript"/>
          <w:lang w:val="en-US"/>
        </w:rPr>
        <w:t>T+1</w:t>
      </w:r>
    </w:p>
    <w:p w:rsidR="00AC20D1" w:rsidRPr="00BB1432" w:rsidRDefault="00AC20D1" w:rsidP="00AC20D1">
      <w:pPr>
        <w:spacing w:line="480" w:lineRule="auto"/>
        <w:jc w:val="both"/>
        <w:rPr>
          <w:rFonts w:ascii="Verdana" w:hAnsi="Verdana"/>
          <w:sz w:val="22"/>
          <w:szCs w:val="22"/>
          <w:lang w:val="en-US"/>
        </w:rPr>
      </w:pPr>
    </w:p>
    <w:p w:rsidR="00AC20D1" w:rsidRPr="00BB1432" w:rsidRDefault="00AC20D1" w:rsidP="00AC20D1">
      <w:pPr>
        <w:spacing w:line="480" w:lineRule="auto"/>
        <w:jc w:val="both"/>
        <w:rPr>
          <w:rFonts w:ascii="Verdana" w:hAnsi="Verdana"/>
          <w:sz w:val="22"/>
          <w:szCs w:val="22"/>
        </w:rPr>
      </w:pPr>
      <w:r w:rsidRPr="00BB1432">
        <w:rPr>
          <w:rFonts w:ascii="Verdana" w:hAnsi="Verdana"/>
          <w:sz w:val="22"/>
          <w:szCs w:val="22"/>
          <w:lang w:val="es-ES"/>
        </w:rPr>
        <w:t xml:space="preserve">     </w:t>
      </w:r>
      <w:r w:rsidR="00FA4985" w:rsidRPr="00BB1432">
        <w:rPr>
          <w:rFonts w:ascii="Verdana" w:hAnsi="Verdana"/>
          <w:sz w:val="22"/>
          <w:szCs w:val="22"/>
        </w:rPr>
        <w:t xml:space="preserve">Muestra la relación que existe entre las obligaciones con el público (OP) y </w:t>
      </w:r>
      <w:smartTag w:uri="urn:schemas-microsoft-com:office:smarttags" w:element="PersonName">
        <w:smartTagPr>
          <w:attr w:name="ProductID" w:val="la Cartera"/>
        </w:smartTagPr>
        <w:r w:rsidR="00FA4985" w:rsidRPr="00BB1432">
          <w:rPr>
            <w:rFonts w:ascii="Verdana" w:hAnsi="Verdana"/>
            <w:sz w:val="22"/>
            <w:szCs w:val="22"/>
          </w:rPr>
          <w:t>la Cartera</w:t>
        </w:r>
      </w:smartTag>
      <w:r w:rsidR="00FA4985" w:rsidRPr="00BB1432">
        <w:rPr>
          <w:rFonts w:ascii="Verdana" w:hAnsi="Verdana"/>
          <w:sz w:val="22"/>
          <w:szCs w:val="22"/>
        </w:rPr>
        <w:t xml:space="preserve"> de Créditos (C), o sea, el porcentaje de dinero que el Banco da en prestamos a sus clientes de los recursos que recibe de los depósitos del público.</w:t>
      </w:r>
    </w:p>
    <w:p w:rsidR="009330F5" w:rsidRPr="00BB1432" w:rsidRDefault="009330F5" w:rsidP="00AC20D1">
      <w:pPr>
        <w:spacing w:line="480" w:lineRule="auto"/>
        <w:jc w:val="both"/>
        <w:rPr>
          <w:rFonts w:ascii="Verdana" w:hAnsi="Verdana"/>
          <w:sz w:val="22"/>
          <w:szCs w:val="22"/>
        </w:rPr>
      </w:pPr>
    </w:p>
    <w:p w:rsidR="00AC20D1" w:rsidRPr="00BB1432" w:rsidRDefault="00AC20D1" w:rsidP="00AC20D1">
      <w:pPr>
        <w:spacing w:line="480" w:lineRule="auto"/>
        <w:jc w:val="both"/>
        <w:rPr>
          <w:rFonts w:ascii="Verdana" w:hAnsi="Verdana"/>
          <w:sz w:val="22"/>
          <w:szCs w:val="22"/>
        </w:rPr>
      </w:pPr>
      <w:r w:rsidRPr="00BB1432">
        <w:rPr>
          <w:rFonts w:ascii="Verdana" w:hAnsi="Verdana"/>
          <w:sz w:val="22"/>
          <w:szCs w:val="22"/>
        </w:rPr>
        <w:t xml:space="preserve">     </w:t>
      </w:r>
      <w:r w:rsidR="00FA4985" w:rsidRPr="00BB1432">
        <w:rPr>
          <w:rFonts w:ascii="Verdana" w:hAnsi="Verdana"/>
          <w:sz w:val="22"/>
          <w:szCs w:val="22"/>
        </w:rPr>
        <w:t>Durante los períodos observados, el ratio Obligaciones con el Público / Cartera de Créditos presenta un máximo de 1.</w:t>
      </w:r>
      <w:r w:rsidR="002B170A" w:rsidRPr="00BB1432">
        <w:rPr>
          <w:rFonts w:ascii="Verdana" w:hAnsi="Verdana"/>
          <w:sz w:val="22"/>
          <w:szCs w:val="22"/>
        </w:rPr>
        <w:t>43</w:t>
      </w:r>
      <w:r w:rsidR="00FA4985" w:rsidRPr="00BB1432">
        <w:rPr>
          <w:rFonts w:ascii="Verdana" w:hAnsi="Verdana"/>
          <w:sz w:val="22"/>
          <w:szCs w:val="22"/>
        </w:rPr>
        <w:t xml:space="preserve"> y un mínimo de 0.93, generando así una mediana de 1.1</w:t>
      </w:r>
      <w:r w:rsidR="002B170A" w:rsidRPr="00BB1432">
        <w:rPr>
          <w:rFonts w:ascii="Verdana" w:hAnsi="Verdana"/>
          <w:sz w:val="22"/>
          <w:szCs w:val="22"/>
        </w:rPr>
        <w:t>5 y un promedio de 1.16</w:t>
      </w:r>
      <w:r w:rsidR="00FA4985" w:rsidRPr="00BB1432">
        <w:rPr>
          <w:rFonts w:ascii="Verdana" w:hAnsi="Verdana"/>
          <w:sz w:val="22"/>
          <w:szCs w:val="22"/>
        </w:rPr>
        <w:t>, con</w:t>
      </w:r>
      <w:r w:rsidR="002B170A" w:rsidRPr="00BB1432">
        <w:rPr>
          <w:rFonts w:ascii="Verdana" w:hAnsi="Verdana"/>
          <w:sz w:val="22"/>
          <w:szCs w:val="22"/>
        </w:rPr>
        <w:t xml:space="preserve"> una desviación estándar de 0.13</w:t>
      </w:r>
      <w:r w:rsidR="00FA4985" w:rsidRPr="00BB1432">
        <w:rPr>
          <w:rFonts w:ascii="Verdana" w:hAnsi="Verdana"/>
          <w:sz w:val="22"/>
          <w:szCs w:val="22"/>
        </w:rPr>
        <w:t>, siendo el coeficiente de correlació</w:t>
      </w:r>
      <w:r w:rsidR="002B170A" w:rsidRPr="00BB1432">
        <w:rPr>
          <w:rFonts w:ascii="Verdana" w:hAnsi="Verdana"/>
          <w:sz w:val="22"/>
          <w:szCs w:val="22"/>
        </w:rPr>
        <w:t>n entre las dos variables del 96.7</w:t>
      </w:r>
      <w:r w:rsidR="00FA4985" w:rsidRPr="00BB1432">
        <w:rPr>
          <w:rFonts w:ascii="Verdana" w:hAnsi="Verdana"/>
          <w:sz w:val="22"/>
          <w:szCs w:val="22"/>
        </w:rPr>
        <w:t>%.</w:t>
      </w:r>
    </w:p>
    <w:p w:rsidR="00AC20D1" w:rsidRPr="00BB1432" w:rsidRDefault="00AC20D1" w:rsidP="00AC20D1">
      <w:pPr>
        <w:spacing w:line="480" w:lineRule="auto"/>
        <w:jc w:val="both"/>
        <w:rPr>
          <w:rFonts w:ascii="Verdana" w:hAnsi="Verdana"/>
          <w:sz w:val="22"/>
          <w:szCs w:val="22"/>
        </w:rPr>
      </w:pPr>
    </w:p>
    <w:p w:rsidR="00FA4985" w:rsidRPr="00BB1432" w:rsidRDefault="00AC20D1" w:rsidP="00AC20D1">
      <w:pPr>
        <w:spacing w:line="480" w:lineRule="auto"/>
        <w:jc w:val="both"/>
        <w:rPr>
          <w:rFonts w:ascii="Verdana" w:hAnsi="Verdana"/>
          <w:sz w:val="22"/>
          <w:szCs w:val="22"/>
        </w:rPr>
      </w:pPr>
      <w:r w:rsidRPr="00BB1432">
        <w:rPr>
          <w:rFonts w:ascii="Verdana" w:hAnsi="Verdana"/>
          <w:sz w:val="22"/>
          <w:szCs w:val="22"/>
        </w:rPr>
        <w:t xml:space="preserve">     </w:t>
      </w:r>
      <w:r w:rsidR="00FA4985" w:rsidRPr="00BB1432">
        <w:rPr>
          <w:rFonts w:ascii="Verdana" w:hAnsi="Verdana"/>
          <w:sz w:val="22"/>
          <w:szCs w:val="22"/>
        </w:rPr>
        <w:t>Como se observa en el Gráfico 3.7, el ratio muestra una tendencia decreciente desde diciembre del 2002 hasta junio del 2005; a partir de ese periodo, el ra</w:t>
      </w:r>
      <w:r w:rsidR="002B170A" w:rsidRPr="00BB1432">
        <w:rPr>
          <w:rFonts w:ascii="Verdana" w:hAnsi="Verdana"/>
          <w:sz w:val="22"/>
          <w:szCs w:val="22"/>
        </w:rPr>
        <w:t>tio cambia hacia una tendencia c</w:t>
      </w:r>
      <w:r w:rsidR="00FA4985" w:rsidRPr="00BB1432">
        <w:rPr>
          <w:rFonts w:ascii="Verdana" w:hAnsi="Verdana"/>
          <w:sz w:val="22"/>
          <w:szCs w:val="22"/>
        </w:rPr>
        <w:t>reciente</w:t>
      </w:r>
      <w:r w:rsidR="002B170A" w:rsidRPr="00BB1432">
        <w:rPr>
          <w:rFonts w:ascii="Verdana" w:hAnsi="Verdana"/>
          <w:sz w:val="22"/>
          <w:szCs w:val="22"/>
        </w:rPr>
        <w:t xml:space="preserve"> hasta diciembre del 2005 y</w:t>
      </w:r>
      <w:r w:rsidR="00FA4985" w:rsidRPr="00BB1432">
        <w:rPr>
          <w:rFonts w:ascii="Verdana" w:hAnsi="Verdana"/>
          <w:sz w:val="22"/>
          <w:szCs w:val="22"/>
        </w:rPr>
        <w:t xml:space="preserve"> durante el año 2006 se volvió a estabilizar.</w:t>
      </w:r>
    </w:p>
    <w:p w:rsidR="009330F5" w:rsidRDefault="009330F5" w:rsidP="00FA4985">
      <w:pPr>
        <w:spacing w:line="480" w:lineRule="auto"/>
        <w:jc w:val="center"/>
        <w:rPr>
          <w:rFonts w:ascii="Verdana" w:hAnsi="Verdana"/>
          <w:b/>
          <w:sz w:val="22"/>
          <w:szCs w:val="22"/>
        </w:rPr>
      </w:pPr>
    </w:p>
    <w:p w:rsidR="00384CD3" w:rsidRDefault="00384CD3" w:rsidP="00FA4985">
      <w:pPr>
        <w:spacing w:line="480" w:lineRule="auto"/>
        <w:jc w:val="center"/>
        <w:rPr>
          <w:rFonts w:ascii="Verdana" w:hAnsi="Verdana"/>
          <w:b/>
          <w:sz w:val="22"/>
          <w:szCs w:val="22"/>
        </w:rPr>
      </w:pPr>
    </w:p>
    <w:p w:rsidR="00384CD3" w:rsidRDefault="00384CD3" w:rsidP="00FA4985">
      <w:pPr>
        <w:spacing w:line="480" w:lineRule="auto"/>
        <w:jc w:val="center"/>
        <w:rPr>
          <w:rFonts w:ascii="Verdana" w:hAnsi="Verdana"/>
          <w:b/>
          <w:sz w:val="22"/>
          <w:szCs w:val="22"/>
        </w:rPr>
      </w:pPr>
    </w:p>
    <w:p w:rsidR="00384CD3" w:rsidRPr="00BB1432" w:rsidRDefault="00384CD3" w:rsidP="00FA4985">
      <w:pPr>
        <w:spacing w:line="480" w:lineRule="auto"/>
        <w:jc w:val="center"/>
        <w:rPr>
          <w:rFonts w:ascii="Verdana" w:hAnsi="Verdana"/>
          <w:b/>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3.7</w:t>
      </w:r>
    </w:p>
    <w:p w:rsidR="00FA4985" w:rsidRPr="00BB1432" w:rsidRDefault="00006ACE" w:rsidP="00FA4985">
      <w:pPr>
        <w:spacing w:line="480" w:lineRule="auto"/>
        <w:jc w:val="center"/>
        <w:rPr>
          <w:sz w:val="22"/>
          <w:szCs w:val="22"/>
        </w:rPr>
      </w:pPr>
      <w:r>
        <w:rPr>
          <w:noProof/>
          <w:sz w:val="22"/>
          <w:szCs w:val="22"/>
          <w:lang w:val="es-ES" w:eastAsia="es-ES"/>
        </w:rPr>
        <w:drawing>
          <wp:inline distT="0" distB="0" distL="0" distR="0">
            <wp:extent cx="5353050" cy="29146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353050" cy="2914650"/>
                    </a:xfrm>
                    <a:prstGeom prst="rect">
                      <a:avLst/>
                    </a:prstGeom>
                    <a:noFill/>
                    <a:ln w="9525">
                      <a:noFill/>
                      <a:miter lim="800000"/>
                      <a:headEnd/>
                      <a:tailEnd/>
                    </a:ln>
                  </pic:spPr>
                </pic:pic>
              </a:graphicData>
            </a:graphic>
          </wp:inline>
        </w:drawing>
      </w:r>
    </w:p>
    <w:p w:rsidR="008333A5" w:rsidRPr="008333A5" w:rsidRDefault="008333A5" w:rsidP="008333A5">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20556A" w:rsidRPr="00BB1432" w:rsidRDefault="00AC20D1" w:rsidP="00AC20D1">
      <w:pPr>
        <w:spacing w:line="480" w:lineRule="auto"/>
        <w:jc w:val="both"/>
        <w:rPr>
          <w:rFonts w:ascii="Verdana" w:hAnsi="Verdana"/>
          <w:sz w:val="22"/>
          <w:szCs w:val="22"/>
        </w:rPr>
      </w:pPr>
      <w:r w:rsidRPr="00BB1432">
        <w:rPr>
          <w:rFonts w:ascii="Verdana" w:hAnsi="Verdana"/>
          <w:sz w:val="22"/>
          <w:szCs w:val="22"/>
        </w:rPr>
        <w:t xml:space="preserve"> </w:t>
      </w:r>
    </w:p>
    <w:p w:rsidR="00FA4985" w:rsidRPr="00BB1432" w:rsidRDefault="00AC20D1" w:rsidP="00AC20D1">
      <w:pPr>
        <w:spacing w:line="480" w:lineRule="auto"/>
        <w:jc w:val="both"/>
        <w:rPr>
          <w:rFonts w:ascii="Verdana" w:hAnsi="Verdana"/>
          <w:i/>
          <w:sz w:val="22"/>
          <w:szCs w:val="22"/>
        </w:rPr>
      </w:pPr>
      <w:r w:rsidRPr="00BB1432">
        <w:rPr>
          <w:rFonts w:ascii="Verdana" w:hAnsi="Verdana"/>
          <w:sz w:val="22"/>
          <w:szCs w:val="22"/>
        </w:rPr>
        <w:t xml:space="preserve">    </w:t>
      </w:r>
      <w:r w:rsidR="00FA4985" w:rsidRPr="00BB1432">
        <w:rPr>
          <w:rFonts w:ascii="Verdana" w:hAnsi="Verdana"/>
          <w:sz w:val="22"/>
          <w:szCs w:val="22"/>
        </w:rPr>
        <w:t>La siguiente Tabla muestra el margen de error obtenido por esta cuenta para diciembre del 2006, utilizando la mediana de los ratios como factor de proyección.</w:t>
      </w:r>
    </w:p>
    <w:p w:rsidR="00FA1084" w:rsidRPr="00BB1432" w:rsidRDefault="00FA1084" w:rsidP="00FA4985">
      <w:pPr>
        <w:spacing w:line="480" w:lineRule="auto"/>
        <w:jc w:val="both"/>
        <w:rPr>
          <w:rFonts w:ascii="Verdana" w:hAnsi="Verdana"/>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3.7</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Obligaciones con el Público</w:t>
      </w:r>
    </w:p>
    <w:tbl>
      <w:tblPr>
        <w:tblStyle w:val="Tablaconcuadrcula"/>
        <w:tblW w:w="0" w:type="auto"/>
        <w:jc w:val="center"/>
        <w:tblInd w:w="12" w:type="dxa"/>
        <w:tblLook w:val="01E0"/>
      </w:tblPr>
      <w:tblGrid>
        <w:gridCol w:w="2578"/>
        <w:gridCol w:w="2471"/>
      </w:tblGrid>
      <w:tr w:rsidR="00233386" w:rsidRPr="00BB1432">
        <w:trPr>
          <w:jc w:val="center"/>
        </w:trPr>
        <w:tc>
          <w:tcPr>
            <w:tcW w:w="2578" w:type="dxa"/>
            <w:shd w:val="clear" w:color="auto" w:fill="FFFF00"/>
          </w:tcPr>
          <w:p w:rsidR="00233386" w:rsidRPr="00BB1432" w:rsidRDefault="00C129FC" w:rsidP="00FA4985">
            <w:pPr>
              <w:spacing w:line="480" w:lineRule="auto"/>
              <w:jc w:val="center"/>
              <w:rPr>
                <w:rFonts w:ascii="Verdana" w:hAnsi="Verdana"/>
                <w:b/>
                <w:sz w:val="22"/>
                <w:szCs w:val="22"/>
              </w:rPr>
            </w:pPr>
            <w:r w:rsidRPr="00BB1432">
              <w:rPr>
                <w:rFonts w:ascii="Verdana" w:hAnsi="Verdana"/>
                <w:b/>
                <w:sz w:val="22"/>
                <w:szCs w:val="22"/>
              </w:rPr>
              <w:t>REAL</w:t>
            </w:r>
          </w:p>
        </w:tc>
        <w:tc>
          <w:tcPr>
            <w:tcW w:w="2471" w:type="dxa"/>
          </w:tcPr>
          <w:p w:rsidR="00233386" w:rsidRPr="00BB1432" w:rsidRDefault="00C129FC" w:rsidP="00FA4985">
            <w:pPr>
              <w:spacing w:line="480" w:lineRule="auto"/>
              <w:jc w:val="center"/>
              <w:rPr>
                <w:rFonts w:ascii="Verdana" w:hAnsi="Verdana"/>
                <w:sz w:val="22"/>
                <w:szCs w:val="22"/>
              </w:rPr>
            </w:pPr>
            <w:r w:rsidRPr="00BB1432">
              <w:rPr>
                <w:rFonts w:ascii="Verdana" w:hAnsi="Verdana"/>
                <w:sz w:val="22"/>
                <w:szCs w:val="22"/>
              </w:rPr>
              <w:t>US$ 223’210,913</w:t>
            </w:r>
          </w:p>
        </w:tc>
      </w:tr>
      <w:tr w:rsidR="00233386" w:rsidRPr="00BB1432">
        <w:trPr>
          <w:jc w:val="center"/>
        </w:trPr>
        <w:tc>
          <w:tcPr>
            <w:tcW w:w="2578" w:type="dxa"/>
            <w:shd w:val="clear" w:color="auto" w:fill="FFFF00"/>
          </w:tcPr>
          <w:p w:rsidR="00233386" w:rsidRPr="00BB1432" w:rsidRDefault="00C129FC" w:rsidP="00FA4985">
            <w:pPr>
              <w:spacing w:line="480" w:lineRule="auto"/>
              <w:jc w:val="center"/>
              <w:rPr>
                <w:rFonts w:ascii="Verdana" w:hAnsi="Verdana"/>
                <w:b/>
                <w:sz w:val="22"/>
                <w:szCs w:val="22"/>
              </w:rPr>
            </w:pPr>
            <w:r w:rsidRPr="00BB1432">
              <w:rPr>
                <w:rFonts w:ascii="Verdana" w:hAnsi="Verdana"/>
                <w:b/>
                <w:sz w:val="22"/>
                <w:szCs w:val="22"/>
              </w:rPr>
              <w:t>PRO</w:t>
            </w:r>
            <w:r w:rsidR="00053FF4" w:rsidRPr="00BB1432">
              <w:rPr>
                <w:rFonts w:ascii="Verdana" w:hAnsi="Verdana"/>
                <w:b/>
                <w:sz w:val="22"/>
                <w:szCs w:val="22"/>
              </w:rPr>
              <w:t>NOSTICADO</w:t>
            </w:r>
          </w:p>
        </w:tc>
        <w:tc>
          <w:tcPr>
            <w:tcW w:w="2471" w:type="dxa"/>
          </w:tcPr>
          <w:p w:rsidR="00233386" w:rsidRPr="00BB1432" w:rsidRDefault="00C129FC" w:rsidP="00FA4985">
            <w:pPr>
              <w:spacing w:line="480" w:lineRule="auto"/>
              <w:jc w:val="center"/>
              <w:rPr>
                <w:rFonts w:ascii="Verdana" w:hAnsi="Verdana"/>
                <w:sz w:val="22"/>
                <w:szCs w:val="22"/>
              </w:rPr>
            </w:pPr>
            <w:r w:rsidRPr="00BB1432">
              <w:rPr>
                <w:rFonts w:ascii="Verdana" w:hAnsi="Verdana"/>
                <w:sz w:val="22"/>
                <w:szCs w:val="22"/>
              </w:rPr>
              <w:t>US$ 22</w:t>
            </w:r>
            <w:r w:rsidR="002B170A" w:rsidRPr="00BB1432">
              <w:rPr>
                <w:rFonts w:ascii="Verdana" w:hAnsi="Verdana"/>
                <w:sz w:val="22"/>
                <w:szCs w:val="22"/>
              </w:rPr>
              <w:t>5</w:t>
            </w:r>
            <w:r w:rsidRPr="00BB1432">
              <w:rPr>
                <w:rFonts w:ascii="Verdana" w:hAnsi="Verdana"/>
                <w:sz w:val="22"/>
                <w:szCs w:val="22"/>
              </w:rPr>
              <w:t>’</w:t>
            </w:r>
            <w:r w:rsidR="002B170A" w:rsidRPr="00BB1432">
              <w:rPr>
                <w:rFonts w:ascii="Verdana" w:hAnsi="Verdana"/>
                <w:sz w:val="22"/>
                <w:szCs w:val="22"/>
              </w:rPr>
              <w:t>369</w:t>
            </w:r>
            <w:r w:rsidRPr="00BB1432">
              <w:rPr>
                <w:rFonts w:ascii="Verdana" w:hAnsi="Verdana"/>
                <w:sz w:val="22"/>
                <w:szCs w:val="22"/>
              </w:rPr>
              <w:t>,</w:t>
            </w:r>
            <w:r w:rsidR="002B170A" w:rsidRPr="00BB1432">
              <w:rPr>
                <w:rFonts w:ascii="Verdana" w:hAnsi="Verdana"/>
                <w:sz w:val="22"/>
                <w:szCs w:val="22"/>
              </w:rPr>
              <w:t>158</w:t>
            </w:r>
          </w:p>
        </w:tc>
      </w:tr>
      <w:tr w:rsidR="00233386" w:rsidRPr="00BB1432">
        <w:trPr>
          <w:jc w:val="center"/>
        </w:trPr>
        <w:tc>
          <w:tcPr>
            <w:tcW w:w="2578" w:type="dxa"/>
            <w:shd w:val="clear" w:color="auto" w:fill="FFFF00"/>
          </w:tcPr>
          <w:p w:rsidR="00233386" w:rsidRPr="00BB1432" w:rsidRDefault="00052EA2" w:rsidP="00FA4985">
            <w:pPr>
              <w:spacing w:line="480" w:lineRule="auto"/>
              <w:jc w:val="center"/>
              <w:rPr>
                <w:rFonts w:ascii="Verdana" w:hAnsi="Verdana"/>
                <w:b/>
                <w:sz w:val="22"/>
                <w:szCs w:val="22"/>
              </w:rPr>
            </w:pPr>
            <w:r w:rsidRPr="00BB1432">
              <w:rPr>
                <w:rFonts w:ascii="Verdana" w:hAnsi="Verdana"/>
                <w:b/>
                <w:sz w:val="22"/>
                <w:szCs w:val="22"/>
              </w:rPr>
              <w:t>VARIACIÓN (%)</w:t>
            </w:r>
          </w:p>
        </w:tc>
        <w:tc>
          <w:tcPr>
            <w:tcW w:w="2471" w:type="dxa"/>
          </w:tcPr>
          <w:p w:rsidR="00233386" w:rsidRPr="00BB1432" w:rsidRDefault="002B170A" w:rsidP="00FA4985">
            <w:pPr>
              <w:spacing w:line="480" w:lineRule="auto"/>
              <w:jc w:val="center"/>
              <w:rPr>
                <w:rFonts w:ascii="Verdana" w:hAnsi="Verdana"/>
                <w:sz w:val="22"/>
                <w:szCs w:val="22"/>
              </w:rPr>
            </w:pPr>
            <w:r w:rsidRPr="00BB1432">
              <w:rPr>
                <w:rFonts w:ascii="Verdana" w:hAnsi="Verdana"/>
                <w:sz w:val="22"/>
                <w:szCs w:val="22"/>
              </w:rPr>
              <w:t>0.97</w:t>
            </w:r>
            <w:r w:rsidR="00C129FC" w:rsidRPr="00BB1432">
              <w:rPr>
                <w:rFonts w:ascii="Verdana" w:hAnsi="Verdana"/>
                <w:sz w:val="22"/>
                <w:szCs w:val="22"/>
              </w:rPr>
              <w:t>%</w:t>
            </w:r>
          </w:p>
        </w:tc>
      </w:tr>
    </w:tbl>
    <w:p w:rsidR="00134258" w:rsidRDefault="00134258" w:rsidP="002337D7">
      <w:pPr>
        <w:spacing w:line="480" w:lineRule="auto"/>
        <w:ind w:firstLine="1620"/>
        <w:rPr>
          <w:rFonts w:ascii="Verdana" w:hAnsi="Verdana"/>
          <w:b/>
          <w:i/>
          <w:sz w:val="18"/>
          <w:szCs w:val="18"/>
        </w:rPr>
      </w:pPr>
    </w:p>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A4985" w:rsidRPr="00BB1432" w:rsidRDefault="00FA4985" w:rsidP="00FA4985">
      <w:pPr>
        <w:spacing w:line="480" w:lineRule="auto"/>
        <w:jc w:val="center"/>
        <w:rPr>
          <w:rFonts w:ascii="Verdana" w:hAnsi="Verdana"/>
          <w:b/>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Como se apreció en el Gráfico 3.7, este ratio ha demostrado una tendencia estable en los últimos trimestres por lo que el margen de error en la proyección es pequeño.</w:t>
      </w:r>
    </w:p>
    <w:p w:rsidR="00F1677E" w:rsidRPr="00BB1432" w:rsidRDefault="00F1677E" w:rsidP="00FA4985">
      <w:pPr>
        <w:spacing w:line="480" w:lineRule="auto"/>
        <w:ind w:firstLine="708"/>
        <w:jc w:val="both"/>
        <w:rPr>
          <w:rFonts w:ascii="Verdana" w:hAnsi="Verdana"/>
          <w:sz w:val="22"/>
          <w:szCs w:val="22"/>
        </w:rPr>
      </w:pPr>
    </w:p>
    <w:p w:rsidR="00F1677E" w:rsidRPr="00BB1432" w:rsidRDefault="00F1677E" w:rsidP="00FA4985">
      <w:pPr>
        <w:spacing w:line="480" w:lineRule="auto"/>
        <w:ind w:firstLine="708"/>
        <w:jc w:val="both"/>
        <w:rPr>
          <w:rFonts w:ascii="Verdana" w:hAnsi="Verdana"/>
          <w:sz w:val="22"/>
          <w:szCs w:val="22"/>
        </w:rPr>
      </w:pPr>
      <w:r w:rsidRPr="00BB1432">
        <w:rPr>
          <w:rFonts w:ascii="Verdana" w:hAnsi="Verdana"/>
          <w:sz w:val="22"/>
          <w:szCs w:val="22"/>
        </w:rPr>
        <w:t>Dentro del sistema de bancos medianos, el Banco Solidario posee un menor ratio con 0.9621, mientra</w:t>
      </w:r>
      <w:r w:rsidR="009B7DD0" w:rsidRPr="00BB1432">
        <w:rPr>
          <w:rFonts w:ascii="Verdana" w:hAnsi="Verdana"/>
          <w:sz w:val="22"/>
          <w:szCs w:val="22"/>
        </w:rPr>
        <w:t>s que</w:t>
      </w:r>
      <w:r w:rsidR="00FA1084" w:rsidRPr="00BB1432">
        <w:rPr>
          <w:rFonts w:ascii="Verdana" w:hAnsi="Verdana"/>
          <w:sz w:val="22"/>
          <w:szCs w:val="22"/>
        </w:rPr>
        <w:t xml:space="preserve"> el</w:t>
      </w:r>
      <w:r w:rsidR="009B7DD0" w:rsidRPr="00BB1432">
        <w:rPr>
          <w:rFonts w:ascii="Verdana" w:hAnsi="Verdana"/>
          <w:sz w:val="22"/>
          <w:szCs w:val="22"/>
        </w:rPr>
        <w:t xml:space="preserve"> del sistema en si es de 140</w:t>
      </w:r>
      <w:r w:rsidRPr="00BB1432">
        <w:rPr>
          <w:rFonts w:ascii="Verdana" w:hAnsi="Verdana"/>
          <w:sz w:val="22"/>
          <w:szCs w:val="22"/>
        </w:rPr>
        <w:t>.</w:t>
      </w:r>
      <w:r w:rsidR="009B7DD0" w:rsidRPr="00BB1432">
        <w:rPr>
          <w:rFonts w:ascii="Verdana" w:hAnsi="Verdana"/>
          <w:sz w:val="22"/>
          <w:szCs w:val="22"/>
        </w:rPr>
        <w:t>83</w:t>
      </w:r>
      <w:r w:rsidRPr="00BB1432">
        <w:rPr>
          <w:rFonts w:ascii="Verdana" w:hAnsi="Verdana"/>
          <w:sz w:val="22"/>
          <w:szCs w:val="22"/>
        </w:rPr>
        <w:t>%, superior al ratio calculado para el Unibanco (Ver Anexo 2).</w:t>
      </w:r>
    </w:p>
    <w:p w:rsidR="00FA4985" w:rsidRPr="00BB1432" w:rsidRDefault="00FA4985" w:rsidP="00FA4985">
      <w:pPr>
        <w:spacing w:line="480" w:lineRule="auto"/>
        <w:jc w:val="both"/>
        <w:rPr>
          <w:rFonts w:ascii="Verdana" w:hAnsi="Verdana"/>
          <w:sz w:val="22"/>
          <w:szCs w:val="22"/>
        </w:rPr>
      </w:pPr>
    </w:p>
    <w:p w:rsidR="009330F5" w:rsidRPr="00BB1432" w:rsidRDefault="009330F5" w:rsidP="00FA4985">
      <w:pPr>
        <w:spacing w:line="480" w:lineRule="auto"/>
        <w:ind w:firstLine="708"/>
        <w:jc w:val="both"/>
        <w:rPr>
          <w:rFonts w:ascii="Verdana" w:hAnsi="Verdana"/>
          <w:b/>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OTROS PASIVOS</w:t>
      </w: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OO</w:t>
      </w:r>
      <w:r w:rsidRPr="00BB1432">
        <w:rPr>
          <w:rFonts w:ascii="Verdana" w:hAnsi="Verdana"/>
          <w:sz w:val="22"/>
          <w:szCs w:val="22"/>
          <w:vertAlign w:val="subscript"/>
        </w:rPr>
        <w:t>T+1</w:t>
      </w:r>
      <w:r w:rsidRPr="00BB1432">
        <w:rPr>
          <w:rFonts w:ascii="Verdana" w:hAnsi="Verdana"/>
          <w:sz w:val="22"/>
          <w:szCs w:val="22"/>
        </w:rPr>
        <w:t xml:space="preserve"> = Ratio (OO</w:t>
      </w:r>
      <w:r w:rsidRPr="00BB1432">
        <w:rPr>
          <w:rFonts w:ascii="Verdana" w:hAnsi="Verdana"/>
          <w:sz w:val="22"/>
          <w:szCs w:val="22"/>
          <w:vertAlign w:val="subscript"/>
        </w:rPr>
        <w:t>t</w:t>
      </w:r>
      <w:r w:rsidRPr="00BB1432">
        <w:rPr>
          <w:rFonts w:ascii="Verdana" w:hAnsi="Verdana"/>
          <w:sz w:val="22"/>
          <w:szCs w:val="22"/>
        </w:rPr>
        <w:t>, CB</w:t>
      </w:r>
      <w:r w:rsidRPr="00BB1432">
        <w:rPr>
          <w:rFonts w:ascii="Verdana" w:hAnsi="Verdana"/>
          <w:sz w:val="22"/>
          <w:szCs w:val="22"/>
          <w:vertAlign w:val="subscript"/>
        </w:rPr>
        <w:t>t</w:t>
      </w:r>
      <w:r w:rsidRPr="00BB1432">
        <w:rPr>
          <w:rFonts w:ascii="Verdana" w:hAnsi="Verdana"/>
          <w:sz w:val="22"/>
          <w:szCs w:val="22"/>
        </w:rPr>
        <w:t xml:space="preserve"> + INV</w:t>
      </w:r>
      <w:r w:rsidRPr="00BB1432">
        <w:rPr>
          <w:rFonts w:ascii="Verdana" w:hAnsi="Verdana"/>
          <w:sz w:val="22"/>
          <w:szCs w:val="22"/>
          <w:vertAlign w:val="subscript"/>
        </w:rPr>
        <w:t>t</w:t>
      </w:r>
      <w:r w:rsidRPr="00BB1432">
        <w:rPr>
          <w:rFonts w:ascii="Verdana" w:hAnsi="Verdana"/>
          <w:sz w:val="22"/>
          <w:szCs w:val="22"/>
        </w:rPr>
        <w:t>) * (CB</w:t>
      </w:r>
      <w:r w:rsidRPr="00BB1432">
        <w:rPr>
          <w:rFonts w:ascii="Verdana" w:hAnsi="Verdana"/>
          <w:sz w:val="22"/>
          <w:szCs w:val="22"/>
          <w:vertAlign w:val="subscript"/>
        </w:rPr>
        <w:t>T+1</w:t>
      </w:r>
      <w:r w:rsidRPr="00BB1432">
        <w:rPr>
          <w:rFonts w:ascii="Verdana" w:hAnsi="Verdana"/>
          <w:sz w:val="22"/>
          <w:szCs w:val="22"/>
        </w:rPr>
        <w:t xml:space="preserve"> + INV</w:t>
      </w:r>
      <w:r w:rsidRPr="00BB1432">
        <w:rPr>
          <w:rFonts w:ascii="Verdana" w:hAnsi="Verdana"/>
          <w:sz w:val="22"/>
          <w:szCs w:val="22"/>
          <w:vertAlign w:val="subscript"/>
        </w:rPr>
        <w:t>T+1</w:t>
      </w:r>
      <w:r w:rsidRPr="00BB1432">
        <w:rPr>
          <w:rFonts w:ascii="Verdana" w:hAnsi="Verdana"/>
          <w:sz w:val="22"/>
          <w:szCs w:val="22"/>
        </w:rPr>
        <w:t>)</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También conocida como Otras Obligaciones, se puede interpretar como la diferencia entre el Pasivo Total y las Obligaciones con el Público, siendo su ratio de proyección la suma entre Colocaciones Brutas e Inversiones del periodo en análisis. </w:t>
      </w:r>
      <w:r w:rsidR="00AC20D1" w:rsidRPr="00BB1432">
        <w:rPr>
          <w:rFonts w:ascii="Verdana" w:hAnsi="Verdana"/>
          <w:sz w:val="22"/>
          <w:szCs w:val="22"/>
        </w:rPr>
        <w:t xml:space="preserve">   </w:t>
      </w:r>
      <w:r w:rsidRPr="00BB1432">
        <w:rPr>
          <w:rFonts w:ascii="Verdana" w:hAnsi="Verdana"/>
          <w:sz w:val="22"/>
          <w:szCs w:val="22"/>
        </w:rPr>
        <w:t>Representa todas las obligaciones que el Banco contrae con terceras personas y que por lo general, permiten la concesión de préstamos a largo plazo.</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Durante los periodos observados, el ratio Otras Obligaciones / Cartera Bruta e Inversiones presenta un máximo de 0.1710 y un mínimo de 0.0774, generando así una mediana de 0.116, y un promedio de 0.11</w:t>
      </w:r>
      <w:r w:rsidR="00CE13E0" w:rsidRPr="00BB1432">
        <w:rPr>
          <w:rFonts w:ascii="Verdana" w:hAnsi="Verdana"/>
          <w:sz w:val="22"/>
          <w:szCs w:val="22"/>
        </w:rPr>
        <w:t>7</w:t>
      </w:r>
      <w:r w:rsidRPr="00BB1432">
        <w:rPr>
          <w:rFonts w:ascii="Verdana" w:hAnsi="Verdana"/>
          <w:sz w:val="22"/>
          <w:szCs w:val="22"/>
        </w:rPr>
        <w:t xml:space="preserve">, con </w:t>
      </w:r>
      <w:r w:rsidR="00CE13E0" w:rsidRPr="00BB1432">
        <w:rPr>
          <w:rFonts w:ascii="Verdana" w:hAnsi="Verdana"/>
          <w:sz w:val="22"/>
          <w:szCs w:val="22"/>
        </w:rPr>
        <w:t>una desviación estándar de 0.028</w:t>
      </w:r>
      <w:r w:rsidRPr="00BB1432">
        <w:rPr>
          <w:rFonts w:ascii="Verdana" w:hAnsi="Verdana"/>
          <w:sz w:val="22"/>
          <w:szCs w:val="22"/>
        </w:rPr>
        <w:t>, siendo el coeficiente de correlación entre</w:t>
      </w:r>
      <w:r w:rsidR="00CE13E0" w:rsidRPr="00BB1432">
        <w:rPr>
          <w:rFonts w:ascii="Verdana" w:hAnsi="Verdana"/>
          <w:sz w:val="22"/>
          <w:szCs w:val="22"/>
        </w:rPr>
        <w:t xml:space="preserve"> las variables analizadas del 72</w:t>
      </w:r>
      <w:r w:rsidRPr="00BB1432">
        <w:rPr>
          <w:rFonts w:ascii="Verdana" w:hAnsi="Verdana"/>
          <w:sz w:val="22"/>
          <w:szCs w:val="22"/>
        </w:rPr>
        <w:t>%.</w:t>
      </w:r>
    </w:p>
    <w:p w:rsidR="00FA4985" w:rsidRPr="00BB1432" w:rsidRDefault="00D27C60" w:rsidP="00FA4985">
      <w:pPr>
        <w:spacing w:line="480" w:lineRule="auto"/>
        <w:jc w:val="center"/>
        <w:rPr>
          <w:rFonts w:ascii="Verdana" w:hAnsi="Verdana"/>
          <w:b/>
          <w:sz w:val="22"/>
          <w:szCs w:val="22"/>
        </w:rPr>
      </w:pPr>
      <w:r w:rsidRPr="00BB1432">
        <w:rPr>
          <w:rFonts w:ascii="Verdana" w:hAnsi="Verdana"/>
          <w:b/>
          <w:sz w:val="22"/>
          <w:szCs w:val="22"/>
        </w:rPr>
        <w:t>G</w:t>
      </w:r>
      <w:r w:rsidR="00FA4985" w:rsidRPr="00BB1432">
        <w:rPr>
          <w:rFonts w:ascii="Verdana" w:hAnsi="Verdana"/>
          <w:b/>
          <w:sz w:val="22"/>
          <w:szCs w:val="22"/>
        </w:rPr>
        <w:t>ráfico 3.8</w:t>
      </w:r>
    </w:p>
    <w:p w:rsidR="00FA4985" w:rsidRPr="00BB1432" w:rsidRDefault="00006ACE" w:rsidP="00FA4985">
      <w:pPr>
        <w:spacing w:line="480" w:lineRule="auto"/>
        <w:jc w:val="center"/>
        <w:rPr>
          <w:sz w:val="22"/>
          <w:szCs w:val="22"/>
        </w:rPr>
      </w:pPr>
      <w:r>
        <w:rPr>
          <w:noProof/>
          <w:sz w:val="22"/>
          <w:szCs w:val="22"/>
          <w:lang w:val="es-ES" w:eastAsia="es-ES"/>
        </w:rPr>
        <w:drawing>
          <wp:inline distT="0" distB="0" distL="0" distR="0">
            <wp:extent cx="5305425" cy="29051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5305425" cy="2905125"/>
                    </a:xfrm>
                    <a:prstGeom prst="rect">
                      <a:avLst/>
                    </a:prstGeom>
                    <a:noFill/>
                    <a:ln w="9525">
                      <a:noFill/>
                      <a:miter lim="800000"/>
                      <a:headEnd/>
                      <a:tailEnd/>
                    </a:ln>
                  </pic:spPr>
                </pic:pic>
              </a:graphicData>
            </a:graphic>
          </wp:inline>
        </w:drawing>
      </w:r>
    </w:p>
    <w:p w:rsidR="008333A5" w:rsidRPr="008333A5" w:rsidRDefault="008333A5" w:rsidP="008333A5">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384CD3"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Para la proyección del periodo de diciembre del 2006, se utilizó como ratio el valor de la mediana señalado anteriormente, obteniéndose los siguientes resultados señalados a continuación:</w:t>
      </w:r>
    </w:p>
    <w:p w:rsidR="00FA4985" w:rsidRPr="00BB1432" w:rsidRDefault="00FA4985" w:rsidP="00FA4985">
      <w:pPr>
        <w:spacing w:line="480" w:lineRule="auto"/>
        <w:jc w:val="both"/>
        <w:rPr>
          <w:rFonts w:ascii="Verdana" w:hAnsi="Verdana"/>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3.8</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Otros Pasivos</w:t>
      </w:r>
    </w:p>
    <w:tbl>
      <w:tblPr>
        <w:tblStyle w:val="Tablaconcuadrcula"/>
        <w:tblW w:w="0" w:type="auto"/>
        <w:jc w:val="center"/>
        <w:tblInd w:w="-64" w:type="dxa"/>
        <w:tblLook w:val="01E0"/>
      </w:tblPr>
      <w:tblGrid>
        <w:gridCol w:w="2654"/>
        <w:gridCol w:w="2318"/>
      </w:tblGrid>
      <w:tr w:rsidR="00053FF4" w:rsidRPr="00BB1432">
        <w:trPr>
          <w:jc w:val="center"/>
        </w:trPr>
        <w:tc>
          <w:tcPr>
            <w:tcW w:w="2654" w:type="dxa"/>
            <w:shd w:val="clear" w:color="auto" w:fill="FFFF00"/>
          </w:tcPr>
          <w:p w:rsidR="00053FF4" w:rsidRPr="00BB1432" w:rsidRDefault="00053FF4" w:rsidP="00FA4985">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053FF4" w:rsidRPr="00BB1432" w:rsidRDefault="00053FF4" w:rsidP="00FA4985">
            <w:pPr>
              <w:spacing w:line="480" w:lineRule="auto"/>
              <w:jc w:val="center"/>
              <w:rPr>
                <w:rFonts w:ascii="Verdana" w:hAnsi="Verdana"/>
                <w:sz w:val="22"/>
                <w:szCs w:val="22"/>
              </w:rPr>
            </w:pPr>
            <w:r w:rsidRPr="00BB1432">
              <w:rPr>
                <w:rFonts w:ascii="Verdana" w:hAnsi="Verdana"/>
                <w:sz w:val="22"/>
                <w:szCs w:val="22"/>
              </w:rPr>
              <w:t>US$ 19’267,453</w:t>
            </w:r>
          </w:p>
        </w:tc>
      </w:tr>
      <w:tr w:rsidR="00053FF4" w:rsidRPr="00BB1432">
        <w:trPr>
          <w:jc w:val="center"/>
        </w:trPr>
        <w:tc>
          <w:tcPr>
            <w:tcW w:w="2654" w:type="dxa"/>
            <w:shd w:val="clear" w:color="auto" w:fill="FFFF00"/>
          </w:tcPr>
          <w:p w:rsidR="00053FF4" w:rsidRPr="00BB1432" w:rsidRDefault="00053FF4" w:rsidP="00FA4985">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053FF4" w:rsidRPr="00BB1432" w:rsidRDefault="00053FF4" w:rsidP="00FA4985">
            <w:pPr>
              <w:spacing w:line="480" w:lineRule="auto"/>
              <w:jc w:val="center"/>
              <w:rPr>
                <w:rFonts w:ascii="Verdana" w:hAnsi="Verdana"/>
                <w:sz w:val="22"/>
                <w:szCs w:val="22"/>
              </w:rPr>
            </w:pPr>
            <w:r w:rsidRPr="00BB1432">
              <w:rPr>
                <w:rFonts w:ascii="Verdana" w:hAnsi="Verdana"/>
                <w:sz w:val="22"/>
                <w:szCs w:val="22"/>
              </w:rPr>
              <w:t>US$ 19’893,665</w:t>
            </w:r>
          </w:p>
        </w:tc>
      </w:tr>
      <w:tr w:rsidR="00053FF4" w:rsidRPr="00BB1432">
        <w:trPr>
          <w:jc w:val="center"/>
        </w:trPr>
        <w:tc>
          <w:tcPr>
            <w:tcW w:w="2654" w:type="dxa"/>
            <w:shd w:val="clear" w:color="auto" w:fill="FFFF00"/>
          </w:tcPr>
          <w:p w:rsidR="00053FF4" w:rsidRPr="00BB1432" w:rsidRDefault="00052EA2" w:rsidP="00FA4985">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053FF4" w:rsidRPr="00BB1432" w:rsidRDefault="00053FF4" w:rsidP="00FA4985">
            <w:pPr>
              <w:spacing w:line="480" w:lineRule="auto"/>
              <w:jc w:val="center"/>
              <w:rPr>
                <w:rFonts w:ascii="Verdana" w:hAnsi="Verdana"/>
                <w:sz w:val="22"/>
                <w:szCs w:val="22"/>
              </w:rPr>
            </w:pPr>
            <w:r w:rsidRPr="00BB1432">
              <w:rPr>
                <w:rFonts w:ascii="Verdana" w:hAnsi="Verdana"/>
                <w:sz w:val="22"/>
                <w:szCs w:val="22"/>
              </w:rPr>
              <w:t>3.25%</w:t>
            </w:r>
          </w:p>
        </w:tc>
      </w:tr>
    </w:tbl>
    <w:p w:rsidR="00134258" w:rsidRDefault="00134258" w:rsidP="002337D7">
      <w:pPr>
        <w:spacing w:line="480" w:lineRule="auto"/>
        <w:ind w:firstLine="1620"/>
        <w:rPr>
          <w:rFonts w:ascii="Verdana" w:hAnsi="Verdana"/>
          <w:b/>
          <w:i/>
          <w:sz w:val="18"/>
          <w:szCs w:val="18"/>
        </w:rPr>
      </w:pPr>
    </w:p>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8F7D54" w:rsidRPr="00BB1432" w:rsidRDefault="008F7D54"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Pese a lo cíclico en el comportamiento del ratio, el margen de error de la proyección para el último trimestre del año 2006 fue mínimo.</w:t>
      </w:r>
    </w:p>
    <w:p w:rsidR="008F7D54" w:rsidRPr="00BB1432" w:rsidRDefault="008F7D54" w:rsidP="00FA4985">
      <w:pPr>
        <w:spacing w:line="480" w:lineRule="auto"/>
        <w:ind w:firstLine="708"/>
        <w:jc w:val="both"/>
        <w:rPr>
          <w:rFonts w:ascii="Verdana" w:hAnsi="Verdana"/>
          <w:sz w:val="22"/>
          <w:szCs w:val="22"/>
        </w:rPr>
      </w:pPr>
    </w:p>
    <w:p w:rsidR="008F7D54" w:rsidRPr="00BB1432" w:rsidRDefault="00C81EE6" w:rsidP="00FA4985">
      <w:pPr>
        <w:spacing w:line="480" w:lineRule="auto"/>
        <w:ind w:firstLine="708"/>
        <w:jc w:val="both"/>
        <w:rPr>
          <w:rFonts w:ascii="Verdana" w:hAnsi="Verdana"/>
          <w:sz w:val="22"/>
          <w:szCs w:val="22"/>
        </w:rPr>
      </w:pPr>
      <w:r w:rsidRPr="00BB1432">
        <w:rPr>
          <w:rFonts w:ascii="Verdana" w:hAnsi="Verdana"/>
          <w:sz w:val="22"/>
          <w:szCs w:val="22"/>
        </w:rPr>
        <w:t>Sin embargo, el Unibanco</w:t>
      </w:r>
      <w:r w:rsidR="008F7D54" w:rsidRPr="00BB1432">
        <w:rPr>
          <w:rFonts w:ascii="Verdana" w:hAnsi="Verdana"/>
          <w:sz w:val="22"/>
          <w:szCs w:val="22"/>
        </w:rPr>
        <w:t xml:space="preserve"> posee el mayor ratio dentro del sistema de bancos medianos con operaciones parecidas a las de la entidad</w:t>
      </w:r>
      <w:r w:rsidRPr="00BB1432">
        <w:rPr>
          <w:rFonts w:ascii="Verdana" w:hAnsi="Verdana"/>
          <w:sz w:val="22"/>
          <w:szCs w:val="22"/>
        </w:rPr>
        <w:t>, siendo el ratio promedio de 5.29%.</w:t>
      </w:r>
      <w:r w:rsidR="008F7D54" w:rsidRPr="00BB1432">
        <w:rPr>
          <w:rFonts w:ascii="Verdana" w:hAnsi="Verdana"/>
          <w:sz w:val="22"/>
          <w:szCs w:val="22"/>
        </w:rPr>
        <w:t xml:space="preserve"> </w:t>
      </w:r>
    </w:p>
    <w:p w:rsidR="00FA4985" w:rsidRPr="00BB1432" w:rsidRDefault="00FA4985" w:rsidP="00FA4985">
      <w:pPr>
        <w:spacing w:line="480" w:lineRule="auto"/>
        <w:jc w:val="both"/>
        <w:rPr>
          <w:rFonts w:ascii="Verdana" w:hAnsi="Verdana"/>
          <w:sz w:val="22"/>
          <w:szCs w:val="22"/>
        </w:rPr>
      </w:pPr>
    </w:p>
    <w:p w:rsidR="00FA1084" w:rsidRPr="00BB1432" w:rsidRDefault="00FA1084" w:rsidP="00FA4985">
      <w:pPr>
        <w:spacing w:line="480" w:lineRule="auto"/>
        <w:jc w:val="both"/>
        <w:rPr>
          <w:rFonts w:ascii="Verdana" w:hAnsi="Verdana"/>
          <w:sz w:val="22"/>
          <w:szCs w:val="22"/>
        </w:rPr>
      </w:pPr>
    </w:p>
    <w:p w:rsidR="00FA4985" w:rsidRPr="00BB1432" w:rsidRDefault="00FA4985" w:rsidP="00FA4985">
      <w:pPr>
        <w:spacing w:line="480" w:lineRule="auto"/>
        <w:ind w:firstLine="708"/>
        <w:jc w:val="both"/>
        <w:rPr>
          <w:rFonts w:ascii="Verdana" w:hAnsi="Verdana"/>
          <w:b/>
          <w:sz w:val="22"/>
          <w:szCs w:val="22"/>
        </w:rPr>
      </w:pPr>
      <w:r w:rsidRPr="00BB1432">
        <w:rPr>
          <w:rFonts w:ascii="Verdana" w:hAnsi="Verdana"/>
          <w:b/>
          <w:sz w:val="22"/>
          <w:szCs w:val="22"/>
        </w:rPr>
        <w:t>PATRIMONIO TOTAL</w:t>
      </w:r>
    </w:p>
    <w:p w:rsidR="00FA4985" w:rsidRPr="00BB1432" w:rsidRDefault="00FA4985" w:rsidP="00FA4985">
      <w:pPr>
        <w:spacing w:line="480" w:lineRule="auto"/>
        <w:ind w:firstLine="708"/>
        <w:jc w:val="both"/>
        <w:rPr>
          <w:rFonts w:ascii="Verdana" w:hAnsi="Verdana"/>
          <w:sz w:val="22"/>
          <w:szCs w:val="22"/>
          <w:vertAlign w:val="subscript"/>
        </w:rPr>
      </w:pPr>
      <w:r w:rsidRPr="00BB1432">
        <w:rPr>
          <w:rFonts w:ascii="Verdana" w:hAnsi="Verdana"/>
          <w:sz w:val="22"/>
          <w:szCs w:val="22"/>
        </w:rPr>
        <w:t>Pat</w:t>
      </w:r>
      <w:r w:rsidRPr="00BB1432">
        <w:rPr>
          <w:rFonts w:ascii="Verdana" w:hAnsi="Verdana"/>
          <w:sz w:val="22"/>
          <w:szCs w:val="22"/>
          <w:vertAlign w:val="subscript"/>
        </w:rPr>
        <w:t>T+1</w:t>
      </w:r>
      <w:r w:rsidRPr="00BB1432">
        <w:rPr>
          <w:rFonts w:ascii="Verdana" w:hAnsi="Verdana"/>
          <w:sz w:val="22"/>
          <w:szCs w:val="22"/>
        </w:rPr>
        <w:t xml:space="preserve"> = Ratio (Pat</w:t>
      </w:r>
      <w:r w:rsidRPr="00BB1432">
        <w:rPr>
          <w:rFonts w:ascii="Verdana" w:hAnsi="Verdana"/>
          <w:sz w:val="22"/>
          <w:szCs w:val="22"/>
          <w:vertAlign w:val="subscript"/>
        </w:rPr>
        <w:t>t</w:t>
      </w:r>
      <w:r w:rsidRPr="00BB1432">
        <w:rPr>
          <w:rFonts w:ascii="Verdana" w:hAnsi="Verdana"/>
          <w:sz w:val="22"/>
          <w:szCs w:val="22"/>
        </w:rPr>
        <w:t>, C</w:t>
      </w:r>
      <w:r w:rsidRPr="00BB1432">
        <w:rPr>
          <w:rFonts w:ascii="Verdana" w:hAnsi="Verdana"/>
          <w:sz w:val="22"/>
          <w:szCs w:val="22"/>
          <w:vertAlign w:val="subscript"/>
        </w:rPr>
        <w:t>t</w:t>
      </w:r>
      <w:r w:rsidRPr="00BB1432">
        <w:rPr>
          <w:rFonts w:ascii="Verdana" w:hAnsi="Verdana"/>
          <w:sz w:val="22"/>
          <w:szCs w:val="22"/>
        </w:rPr>
        <w:t>) * C</w:t>
      </w:r>
      <w:r w:rsidRPr="00BB1432">
        <w:rPr>
          <w:rFonts w:ascii="Verdana" w:hAnsi="Verdana"/>
          <w:sz w:val="22"/>
          <w:szCs w:val="22"/>
          <w:vertAlign w:val="subscript"/>
        </w:rPr>
        <w:t>T+1</w:t>
      </w:r>
    </w:p>
    <w:p w:rsidR="00384CD3"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 xml:space="preserve">Muestra la relación del Patrimonio (Pat) con la cartera de créditos (C). Es la relación que guarda el dinero perteneciente a los accionistas con el valor que el Banco concede en créditos a sus clientes; es de esperarse que cuando exista un mayor crecimiento patrimonial, la entidad esté en capacidad de incrementar las colocaciones que hace en el mercado.  </w:t>
      </w:r>
    </w:p>
    <w:p w:rsidR="00FA4985" w:rsidRPr="00BB1432" w:rsidRDefault="00FA4985" w:rsidP="00FA4985">
      <w:pPr>
        <w:spacing w:line="480" w:lineRule="auto"/>
        <w:jc w:val="both"/>
        <w:rPr>
          <w:rFonts w:ascii="Verdana" w:hAnsi="Verdana"/>
          <w:sz w:val="22"/>
          <w:szCs w:val="22"/>
        </w:rPr>
      </w:pP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Durante los periodos observados, el ratio Patrimonio / Colocaciones Brutas presenta un máximo de 0.2269 y un mínimo de 0.1033, generando así una mediana de 0.139, y un promedio de 0.14</w:t>
      </w:r>
      <w:r w:rsidR="00CE13E0" w:rsidRPr="00BB1432">
        <w:rPr>
          <w:rFonts w:ascii="Verdana" w:hAnsi="Verdana"/>
          <w:sz w:val="22"/>
          <w:szCs w:val="22"/>
        </w:rPr>
        <w:t>3</w:t>
      </w:r>
      <w:r w:rsidRPr="00BB1432">
        <w:rPr>
          <w:rFonts w:ascii="Verdana" w:hAnsi="Verdana"/>
          <w:sz w:val="22"/>
          <w:szCs w:val="22"/>
        </w:rPr>
        <w:t>, con una desviación estándar de 0.04, siendo el coeficiente de correlación entre</w:t>
      </w:r>
      <w:r w:rsidR="00CE13E0" w:rsidRPr="00BB1432">
        <w:rPr>
          <w:rFonts w:ascii="Verdana" w:hAnsi="Verdana"/>
          <w:sz w:val="22"/>
          <w:szCs w:val="22"/>
        </w:rPr>
        <w:t xml:space="preserve"> las variables analizadas del 88</w:t>
      </w:r>
      <w:r w:rsidRPr="00BB1432">
        <w:rPr>
          <w:rFonts w:ascii="Verdana" w:hAnsi="Verdana"/>
          <w:sz w:val="22"/>
          <w:szCs w:val="22"/>
        </w:rPr>
        <w:t>%.</w:t>
      </w:r>
    </w:p>
    <w:p w:rsidR="00384CD3" w:rsidRPr="00BB1432"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Gráfico 3.9</w:t>
      </w:r>
    </w:p>
    <w:p w:rsidR="00FA4985" w:rsidRPr="00BB1432" w:rsidRDefault="00006ACE" w:rsidP="00FA4985">
      <w:pPr>
        <w:spacing w:line="480" w:lineRule="auto"/>
        <w:jc w:val="center"/>
        <w:rPr>
          <w:sz w:val="22"/>
          <w:szCs w:val="22"/>
        </w:rPr>
      </w:pPr>
      <w:r>
        <w:rPr>
          <w:noProof/>
          <w:sz w:val="22"/>
          <w:szCs w:val="22"/>
          <w:lang w:val="es-ES" w:eastAsia="es-ES"/>
        </w:rPr>
        <w:drawing>
          <wp:inline distT="0" distB="0" distL="0" distR="0">
            <wp:extent cx="4905375" cy="28384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4905375" cy="2838450"/>
                    </a:xfrm>
                    <a:prstGeom prst="rect">
                      <a:avLst/>
                    </a:prstGeom>
                    <a:noFill/>
                    <a:ln w="9525">
                      <a:noFill/>
                      <a:miter lim="800000"/>
                      <a:headEnd/>
                      <a:tailEnd/>
                    </a:ln>
                  </pic:spPr>
                </pic:pic>
              </a:graphicData>
            </a:graphic>
          </wp:inline>
        </w:drawing>
      </w:r>
    </w:p>
    <w:p w:rsidR="008333A5" w:rsidRPr="008333A5" w:rsidRDefault="008333A5" w:rsidP="002337D7">
      <w:pPr>
        <w:spacing w:line="480" w:lineRule="auto"/>
        <w:ind w:firstLine="36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384CD3"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ind w:firstLine="708"/>
        <w:jc w:val="both"/>
        <w:rPr>
          <w:rFonts w:ascii="Verdana" w:hAnsi="Verdana"/>
          <w:sz w:val="22"/>
          <w:szCs w:val="22"/>
        </w:rPr>
      </w:pPr>
      <w:r w:rsidRPr="00BB1432">
        <w:rPr>
          <w:rFonts w:ascii="Verdana" w:hAnsi="Verdana"/>
          <w:sz w:val="22"/>
          <w:szCs w:val="22"/>
        </w:rPr>
        <w:t>Cabe señalar que los máximos picos alcanzados en el gráfico ocurren al final de cada año analizado (diciembre), mostrando cierta estacionalidad en esa etapa del año. Esto se debe a que en diciembre se reconocen las utilidades y no en los otros trimestres del año.</w:t>
      </w:r>
    </w:p>
    <w:p w:rsidR="00FA4985" w:rsidRPr="00BB1432" w:rsidRDefault="00FA4985" w:rsidP="00FA4985">
      <w:pPr>
        <w:spacing w:line="480" w:lineRule="auto"/>
        <w:jc w:val="both"/>
        <w:rPr>
          <w:rFonts w:ascii="Verdana" w:hAnsi="Verdana"/>
          <w:sz w:val="22"/>
          <w:szCs w:val="22"/>
        </w:rPr>
      </w:pPr>
    </w:p>
    <w:p w:rsidR="00FA4985" w:rsidRDefault="00FA4985" w:rsidP="00FA4985">
      <w:pPr>
        <w:spacing w:line="480" w:lineRule="auto"/>
        <w:ind w:firstLine="708"/>
        <w:jc w:val="both"/>
        <w:rPr>
          <w:rFonts w:ascii="Verdana" w:hAnsi="Verdana"/>
          <w:sz w:val="22"/>
          <w:szCs w:val="22"/>
        </w:rPr>
      </w:pPr>
      <w:r w:rsidRPr="00BB1432">
        <w:rPr>
          <w:rFonts w:ascii="Verdana" w:hAnsi="Verdana"/>
          <w:sz w:val="22"/>
          <w:szCs w:val="22"/>
        </w:rPr>
        <w:t>Para la proyección del periodo de diciembre del 2006, se utilizó como ratio el promedio de los últimos trimestres de cada año analizado, obteniéndose los siguientes resultados señalados a continuación:</w:t>
      </w:r>
    </w:p>
    <w:p w:rsidR="00384CD3" w:rsidRDefault="00384CD3" w:rsidP="00FA4985">
      <w:pPr>
        <w:spacing w:line="480" w:lineRule="auto"/>
        <w:ind w:firstLine="708"/>
        <w:jc w:val="both"/>
        <w:rPr>
          <w:rFonts w:ascii="Verdana" w:hAnsi="Verdana"/>
          <w:sz w:val="22"/>
          <w:szCs w:val="22"/>
        </w:rPr>
      </w:pPr>
    </w:p>
    <w:p w:rsidR="00384CD3" w:rsidRDefault="00384CD3" w:rsidP="00FA4985">
      <w:pPr>
        <w:spacing w:line="480" w:lineRule="auto"/>
        <w:ind w:firstLine="708"/>
        <w:jc w:val="both"/>
        <w:rPr>
          <w:rFonts w:ascii="Verdana" w:hAnsi="Verdana"/>
          <w:sz w:val="22"/>
          <w:szCs w:val="22"/>
        </w:rPr>
      </w:pPr>
    </w:p>
    <w:p w:rsidR="00384CD3" w:rsidRDefault="00384CD3" w:rsidP="00FA4985">
      <w:pPr>
        <w:spacing w:line="480" w:lineRule="auto"/>
        <w:ind w:firstLine="708"/>
        <w:jc w:val="both"/>
        <w:rPr>
          <w:rFonts w:ascii="Verdana" w:hAnsi="Verdana"/>
          <w:sz w:val="22"/>
          <w:szCs w:val="22"/>
        </w:rPr>
      </w:pPr>
    </w:p>
    <w:p w:rsidR="00384CD3" w:rsidRPr="00BB1432" w:rsidRDefault="00384CD3" w:rsidP="00FA4985">
      <w:pPr>
        <w:spacing w:line="480" w:lineRule="auto"/>
        <w:ind w:firstLine="708"/>
        <w:jc w:val="both"/>
        <w:rPr>
          <w:rFonts w:ascii="Verdana" w:hAnsi="Verdana"/>
          <w:sz w:val="22"/>
          <w:szCs w:val="22"/>
        </w:rPr>
      </w:pP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Cuadro 3.9</w:t>
      </w:r>
    </w:p>
    <w:p w:rsidR="00FA4985" w:rsidRPr="00BB1432" w:rsidRDefault="00FA4985" w:rsidP="00FA4985">
      <w:pPr>
        <w:spacing w:line="480" w:lineRule="auto"/>
        <w:jc w:val="center"/>
        <w:rPr>
          <w:rFonts w:ascii="Verdana" w:hAnsi="Verdana"/>
          <w:b/>
          <w:sz w:val="22"/>
          <w:szCs w:val="22"/>
        </w:rPr>
      </w:pPr>
      <w:r w:rsidRPr="00BB1432">
        <w:rPr>
          <w:rFonts w:ascii="Verdana" w:hAnsi="Verdana"/>
          <w:b/>
          <w:sz w:val="22"/>
          <w:szCs w:val="22"/>
        </w:rPr>
        <w:t>Patrimonio</w:t>
      </w:r>
    </w:p>
    <w:tbl>
      <w:tblPr>
        <w:tblStyle w:val="Tablaconcuadrcula"/>
        <w:tblW w:w="0" w:type="auto"/>
        <w:jc w:val="center"/>
        <w:tblInd w:w="-64" w:type="dxa"/>
        <w:tblLook w:val="01E0"/>
      </w:tblPr>
      <w:tblGrid>
        <w:gridCol w:w="2654"/>
        <w:gridCol w:w="2318"/>
      </w:tblGrid>
      <w:tr w:rsidR="00053FF4" w:rsidRPr="00BB1432">
        <w:trPr>
          <w:jc w:val="center"/>
        </w:trPr>
        <w:tc>
          <w:tcPr>
            <w:tcW w:w="2654" w:type="dxa"/>
            <w:shd w:val="clear" w:color="auto" w:fill="FFFF00"/>
          </w:tcPr>
          <w:p w:rsidR="00053FF4" w:rsidRPr="00BB1432" w:rsidRDefault="00053FF4" w:rsidP="00053FF4">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053FF4" w:rsidRPr="00BB1432" w:rsidRDefault="00053FF4" w:rsidP="00053FF4">
            <w:pPr>
              <w:spacing w:line="480" w:lineRule="auto"/>
              <w:jc w:val="center"/>
              <w:rPr>
                <w:rFonts w:ascii="Verdana" w:hAnsi="Verdana"/>
                <w:sz w:val="22"/>
                <w:szCs w:val="22"/>
              </w:rPr>
            </w:pPr>
            <w:r w:rsidRPr="00BB1432">
              <w:rPr>
                <w:rFonts w:ascii="Verdana" w:hAnsi="Verdana"/>
                <w:sz w:val="22"/>
                <w:szCs w:val="22"/>
              </w:rPr>
              <w:t>US$ 44’621,082</w:t>
            </w:r>
          </w:p>
        </w:tc>
      </w:tr>
      <w:tr w:rsidR="00053FF4" w:rsidRPr="00BB1432">
        <w:trPr>
          <w:jc w:val="center"/>
        </w:trPr>
        <w:tc>
          <w:tcPr>
            <w:tcW w:w="2654" w:type="dxa"/>
            <w:shd w:val="clear" w:color="auto" w:fill="FFFF00"/>
          </w:tcPr>
          <w:p w:rsidR="00053FF4" w:rsidRPr="00BB1432" w:rsidRDefault="00053FF4" w:rsidP="00053FF4">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053FF4" w:rsidRPr="00BB1432" w:rsidRDefault="00053FF4" w:rsidP="00053FF4">
            <w:pPr>
              <w:spacing w:line="480" w:lineRule="auto"/>
              <w:jc w:val="center"/>
              <w:rPr>
                <w:rFonts w:ascii="Verdana" w:hAnsi="Verdana"/>
                <w:sz w:val="22"/>
                <w:szCs w:val="22"/>
              </w:rPr>
            </w:pPr>
            <w:r w:rsidRPr="00BB1432">
              <w:rPr>
                <w:rFonts w:ascii="Verdana" w:hAnsi="Verdana"/>
                <w:sz w:val="22"/>
                <w:szCs w:val="22"/>
              </w:rPr>
              <w:t>US$ 3</w:t>
            </w:r>
            <w:r w:rsidR="004A2662" w:rsidRPr="00BB1432">
              <w:rPr>
                <w:rFonts w:ascii="Verdana" w:hAnsi="Verdana"/>
                <w:sz w:val="22"/>
                <w:szCs w:val="22"/>
              </w:rPr>
              <w:t>6</w:t>
            </w:r>
            <w:r w:rsidRPr="00BB1432">
              <w:rPr>
                <w:rFonts w:ascii="Verdana" w:hAnsi="Verdana"/>
                <w:sz w:val="22"/>
                <w:szCs w:val="22"/>
              </w:rPr>
              <w:t>’</w:t>
            </w:r>
            <w:r w:rsidR="004A2662" w:rsidRPr="00BB1432">
              <w:rPr>
                <w:rFonts w:ascii="Verdana" w:hAnsi="Verdana"/>
                <w:sz w:val="22"/>
                <w:szCs w:val="22"/>
              </w:rPr>
              <w:t>830</w:t>
            </w:r>
            <w:r w:rsidRPr="00BB1432">
              <w:rPr>
                <w:rFonts w:ascii="Verdana" w:hAnsi="Verdana"/>
                <w:sz w:val="22"/>
                <w:szCs w:val="22"/>
              </w:rPr>
              <w:t>,</w:t>
            </w:r>
            <w:r w:rsidR="004A2662" w:rsidRPr="00BB1432">
              <w:rPr>
                <w:rFonts w:ascii="Verdana" w:hAnsi="Verdana"/>
                <w:sz w:val="22"/>
                <w:szCs w:val="22"/>
              </w:rPr>
              <w:t>744</w:t>
            </w:r>
          </w:p>
        </w:tc>
      </w:tr>
      <w:tr w:rsidR="00053FF4" w:rsidRPr="00BB1432">
        <w:trPr>
          <w:jc w:val="center"/>
        </w:trPr>
        <w:tc>
          <w:tcPr>
            <w:tcW w:w="2654" w:type="dxa"/>
            <w:shd w:val="clear" w:color="auto" w:fill="FFFF00"/>
          </w:tcPr>
          <w:p w:rsidR="00053FF4" w:rsidRPr="00BB1432" w:rsidRDefault="00052EA2" w:rsidP="00053FF4">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053FF4" w:rsidRPr="00BB1432" w:rsidRDefault="00053FF4" w:rsidP="00053FF4">
            <w:pPr>
              <w:spacing w:line="480" w:lineRule="auto"/>
              <w:jc w:val="center"/>
              <w:rPr>
                <w:rFonts w:ascii="Verdana" w:hAnsi="Verdana"/>
                <w:sz w:val="22"/>
                <w:szCs w:val="22"/>
              </w:rPr>
            </w:pPr>
            <w:r w:rsidRPr="00BB1432">
              <w:rPr>
                <w:rFonts w:ascii="Verdana" w:hAnsi="Verdana"/>
                <w:sz w:val="22"/>
                <w:szCs w:val="22"/>
              </w:rPr>
              <w:t>-1</w:t>
            </w:r>
            <w:r w:rsidR="004A2662" w:rsidRPr="00BB1432">
              <w:rPr>
                <w:rFonts w:ascii="Verdana" w:hAnsi="Verdana"/>
                <w:sz w:val="22"/>
                <w:szCs w:val="22"/>
              </w:rPr>
              <w:t>7</w:t>
            </w:r>
            <w:r w:rsidRPr="00BB1432">
              <w:rPr>
                <w:rFonts w:ascii="Verdana" w:hAnsi="Verdana"/>
                <w:sz w:val="22"/>
                <w:szCs w:val="22"/>
              </w:rPr>
              <w:t>.</w:t>
            </w:r>
            <w:r w:rsidR="004A2662" w:rsidRPr="00BB1432">
              <w:rPr>
                <w:rFonts w:ascii="Verdana" w:hAnsi="Verdana"/>
                <w:sz w:val="22"/>
                <w:szCs w:val="22"/>
              </w:rPr>
              <w:t>46</w:t>
            </w:r>
            <w:r w:rsidRPr="00BB1432">
              <w:rPr>
                <w:rFonts w:ascii="Verdana" w:hAnsi="Verdana"/>
                <w:sz w:val="22"/>
                <w:szCs w:val="22"/>
              </w:rPr>
              <w:t>%</w:t>
            </w:r>
          </w:p>
        </w:tc>
      </w:tr>
    </w:tbl>
    <w:p w:rsidR="00134258" w:rsidRDefault="00134258" w:rsidP="002337D7">
      <w:pPr>
        <w:spacing w:line="480" w:lineRule="auto"/>
        <w:ind w:firstLine="1620"/>
        <w:rPr>
          <w:rFonts w:ascii="Verdana" w:hAnsi="Verdana"/>
          <w:b/>
          <w:i/>
          <w:sz w:val="18"/>
          <w:szCs w:val="18"/>
        </w:rPr>
      </w:pPr>
    </w:p>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053FF4" w:rsidRPr="00BB1432" w:rsidRDefault="00053FF4" w:rsidP="00FA4985">
      <w:pPr>
        <w:spacing w:line="480" w:lineRule="auto"/>
        <w:ind w:firstLine="708"/>
        <w:jc w:val="both"/>
        <w:rPr>
          <w:rFonts w:ascii="Verdana" w:hAnsi="Verdana"/>
          <w:sz w:val="22"/>
          <w:szCs w:val="22"/>
        </w:rPr>
      </w:pPr>
    </w:p>
    <w:p w:rsidR="00FA4985" w:rsidRPr="00BB1432" w:rsidRDefault="00FA4985" w:rsidP="00C81EE6">
      <w:pPr>
        <w:spacing w:line="480" w:lineRule="auto"/>
        <w:ind w:firstLine="708"/>
        <w:jc w:val="both"/>
        <w:rPr>
          <w:rFonts w:ascii="Verdana" w:hAnsi="Verdana"/>
          <w:sz w:val="22"/>
          <w:szCs w:val="22"/>
        </w:rPr>
      </w:pPr>
      <w:r w:rsidRPr="00BB1432">
        <w:rPr>
          <w:rFonts w:ascii="Verdana" w:hAnsi="Verdana"/>
          <w:sz w:val="22"/>
          <w:szCs w:val="22"/>
        </w:rPr>
        <w:t>Cabe señalar que al usar un promedio de los meses de diciembre de los años analizados, se logró alcanzar un ratio que permitió demostrar la estacionalidad del Patrimonio en esas fechas, obteniéndose un margen de error negativo.</w:t>
      </w:r>
      <w:r w:rsidR="00C81EE6" w:rsidRPr="00BB1432">
        <w:rPr>
          <w:rFonts w:ascii="Verdana" w:hAnsi="Verdana"/>
          <w:sz w:val="22"/>
          <w:szCs w:val="22"/>
        </w:rPr>
        <w:t xml:space="preserve"> Cabe indicar también que el Unibanco posee el mayor ratio dentro del sistema, cuyo promedio es de 13.24%</w:t>
      </w:r>
    </w:p>
    <w:p w:rsidR="0078606C" w:rsidRPr="00C81EE6" w:rsidRDefault="0078606C" w:rsidP="00FA4985">
      <w:pPr>
        <w:spacing w:line="480" w:lineRule="auto"/>
        <w:rPr>
          <w:rFonts w:ascii="Verdana" w:hAnsi="Verdana"/>
        </w:rPr>
      </w:pPr>
    </w:p>
    <w:p w:rsidR="0078606C" w:rsidRPr="00C81EE6" w:rsidRDefault="0078606C" w:rsidP="00FA4985">
      <w:pPr>
        <w:spacing w:line="480" w:lineRule="auto"/>
        <w:rPr>
          <w:rFonts w:ascii="Verdana" w:hAnsi="Verdana"/>
        </w:rPr>
      </w:pPr>
    </w:p>
    <w:p w:rsidR="0078606C" w:rsidRDefault="0078606C"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FA1084" w:rsidRDefault="00FA1084" w:rsidP="0078606C">
      <w:pPr>
        <w:spacing w:line="480" w:lineRule="auto"/>
        <w:jc w:val="center"/>
        <w:rPr>
          <w:rFonts w:ascii="Verdana" w:hAnsi="Verdana"/>
          <w:b/>
          <w:sz w:val="28"/>
          <w:szCs w:val="28"/>
        </w:rPr>
      </w:pPr>
    </w:p>
    <w:p w:rsidR="00384CD3" w:rsidRDefault="00384CD3" w:rsidP="0078606C">
      <w:pPr>
        <w:spacing w:line="480" w:lineRule="auto"/>
        <w:jc w:val="center"/>
        <w:rPr>
          <w:rFonts w:ascii="Verdana" w:hAnsi="Verdana"/>
          <w:b/>
          <w:sz w:val="28"/>
          <w:szCs w:val="28"/>
        </w:rPr>
      </w:pPr>
    </w:p>
    <w:p w:rsidR="00FA1084" w:rsidRDefault="00FA1084" w:rsidP="0078606C">
      <w:pPr>
        <w:spacing w:line="480" w:lineRule="auto"/>
        <w:jc w:val="center"/>
        <w:rPr>
          <w:rFonts w:ascii="Verdana" w:hAnsi="Verdana"/>
          <w:b/>
          <w:sz w:val="28"/>
          <w:szCs w:val="28"/>
        </w:rPr>
      </w:pPr>
    </w:p>
    <w:p w:rsidR="002337D7" w:rsidRDefault="002337D7"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9330F5" w:rsidRDefault="009330F5" w:rsidP="0078606C">
      <w:pPr>
        <w:spacing w:line="480" w:lineRule="auto"/>
        <w:jc w:val="center"/>
        <w:rPr>
          <w:rFonts w:ascii="Verdana" w:hAnsi="Verdana"/>
          <w:b/>
          <w:sz w:val="28"/>
          <w:szCs w:val="28"/>
        </w:rPr>
      </w:pPr>
    </w:p>
    <w:p w:rsidR="0078606C" w:rsidRPr="0078606C" w:rsidRDefault="0078606C" w:rsidP="0078606C">
      <w:pPr>
        <w:spacing w:line="480" w:lineRule="auto"/>
        <w:jc w:val="center"/>
        <w:rPr>
          <w:rFonts w:ascii="Verdana" w:hAnsi="Verdana"/>
          <w:b/>
          <w:sz w:val="28"/>
          <w:szCs w:val="28"/>
        </w:rPr>
      </w:pPr>
      <w:r w:rsidRPr="0078606C">
        <w:rPr>
          <w:rFonts w:ascii="Verdana" w:hAnsi="Verdana"/>
          <w:b/>
          <w:sz w:val="28"/>
          <w:szCs w:val="28"/>
        </w:rPr>
        <w:t>CAPÍTULO IV</w:t>
      </w:r>
    </w:p>
    <w:p w:rsidR="0078606C" w:rsidRPr="0078606C" w:rsidRDefault="0078606C" w:rsidP="0078606C">
      <w:pPr>
        <w:spacing w:line="480" w:lineRule="auto"/>
        <w:jc w:val="center"/>
        <w:rPr>
          <w:rFonts w:ascii="Verdana" w:hAnsi="Verdana"/>
          <w:b/>
          <w:sz w:val="28"/>
          <w:szCs w:val="28"/>
        </w:rPr>
      </w:pPr>
      <w:r w:rsidRPr="0078606C">
        <w:rPr>
          <w:rFonts w:ascii="Verdana" w:hAnsi="Verdana"/>
          <w:b/>
          <w:sz w:val="28"/>
          <w:szCs w:val="28"/>
        </w:rPr>
        <w:t xml:space="preserve">CÁLCULO DE </w:t>
      </w:r>
      <w:smartTag w:uri="urn:schemas-microsoft-com:office:smarttags" w:element="PersonName">
        <w:smartTagPr>
          <w:attr w:name="ProductID" w:val="LA PROYECCIￓN DEL"/>
        </w:smartTagPr>
        <w:r w:rsidRPr="0078606C">
          <w:rPr>
            <w:rFonts w:ascii="Verdana" w:hAnsi="Verdana"/>
            <w:b/>
            <w:sz w:val="28"/>
            <w:szCs w:val="28"/>
          </w:rPr>
          <w:t>LA PROYECCIÓN DEL</w:t>
        </w:r>
      </w:smartTag>
      <w:r w:rsidRPr="0078606C">
        <w:rPr>
          <w:rFonts w:ascii="Verdana" w:hAnsi="Verdana"/>
          <w:b/>
          <w:sz w:val="28"/>
          <w:szCs w:val="28"/>
        </w:rPr>
        <w:t xml:space="preserve"> ESTADO DE RESULTADOS Y VALORACIÓN PARA EL UNIBANCO</w:t>
      </w:r>
    </w:p>
    <w:p w:rsidR="0078606C" w:rsidRPr="00D44443" w:rsidRDefault="0078606C" w:rsidP="0078606C">
      <w:pPr>
        <w:spacing w:line="480" w:lineRule="auto"/>
        <w:jc w:val="both"/>
        <w:rPr>
          <w:rFonts w:ascii="Verdana" w:hAnsi="Verdana"/>
        </w:rPr>
      </w:pPr>
    </w:p>
    <w:p w:rsidR="0078606C" w:rsidRPr="00BB1432" w:rsidRDefault="0078606C" w:rsidP="0078606C">
      <w:pPr>
        <w:spacing w:line="480" w:lineRule="auto"/>
        <w:jc w:val="both"/>
        <w:rPr>
          <w:rFonts w:ascii="Verdana" w:hAnsi="Verdana"/>
          <w:b/>
          <w:sz w:val="22"/>
          <w:szCs w:val="22"/>
        </w:rPr>
      </w:pPr>
      <w:r w:rsidRPr="00BB1432">
        <w:rPr>
          <w:rFonts w:ascii="Verdana" w:hAnsi="Verdana"/>
          <w:b/>
          <w:sz w:val="22"/>
          <w:szCs w:val="22"/>
        </w:rPr>
        <w:t>4.1 CUENTAS DEL ESTADO DE PÉRDIDAS Y GANANCIAS</w:t>
      </w:r>
    </w:p>
    <w:p w:rsidR="0078606C" w:rsidRPr="00BB1432" w:rsidRDefault="0078606C" w:rsidP="0078606C">
      <w:pPr>
        <w:spacing w:line="480" w:lineRule="auto"/>
        <w:jc w:val="both"/>
        <w:rPr>
          <w:rFonts w:ascii="Verdana" w:hAnsi="Verdana"/>
          <w:b/>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 xml:space="preserve">Las cuentas que forman parte del Estado de Pérdidas y Ganancias emitido por las instituciones financieras y publicadas por </w:t>
      </w:r>
      <w:smartTag w:uri="urn:schemas-microsoft-com:office:smarttags" w:element="PersonName">
        <w:smartTagPr>
          <w:attr w:name="ProductID" w:val="la Superintendencia"/>
        </w:smartTagPr>
        <w:r w:rsidRPr="00BB1432">
          <w:rPr>
            <w:rFonts w:ascii="Verdana" w:hAnsi="Verdana"/>
            <w:sz w:val="22"/>
            <w:szCs w:val="22"/>
          </w:rPr>
          <w:t>la Superintendencia</w:t>
        </w:r>
      </w:smartTag>
      <w:r w:rsidRPr="00BB1432">
        <w:rPr>
          <w:rFonts w:ascii="Verdana" w:hAnsi="Verdana"/>
          <w:sz w:val="22"/>
          <w:szCs w:val="22"/>
        </w:rPr>
        <w:t xml:space="preserve"> de Bancos del Ecuador, se muestran en el siguiente recuadro:</w:t>
      </w:r>
    </w:p>
    <w:p w:rsidR="009330F5" w:rsidRDefault="009330F5" w:rsidP="0078606C">
      <w:pPr>
        <w:spacing w:line="480" w:lineRule="auto"/>
        <w:jc w:val="center"/>
        <w:rPr>
          <w:rFonts w:ascii="Verdana" w:hAnsi="Verdana"/>
          <w:b/>
          <w:sz w:val="22"/>
          <w:szCs w:val="22"/>
        </w:rPr>
      </w:pPr>
    </w:p>
    <w:p w:rsidR="00384CD3" w:rsidRPr="00BB1432" w:rsidRDefault="00384CD3" w:rsidP="0078606C">
      <w:pPr>
        <w:spacing w:line="480" w:lineRule="auto"/>
        <w:jc w:val="center"/>
        <w:rPr>
          <w:rFonts w:ascii="Verdana" w:hAnsi="Verdana"/>
          <w:b/>
          <w:sz w:val="22"/>
          <w:szCs w:val="22"/>
        </w:rPr>
      </w:pPr>
    </w:p>
    <w:p w:rsidR="009330F5" w:rsidRPr="00BB1432" w:rsidRDefault="009330F5" w:rsidP="0078606C">
      <w:pPr>
        <w:spacing w:line="480" w:lineRule="auto"/>
        <w:jc w:val="center"/>
        <w:rPr>
          <w:rFonts w:ascii="Verdana" w:hAnsi="Verdana"/>
          <w:b/>
          <w:sz w:val="22"/>
          <w:szCs w:val="22"/>
        </w:rPr>
      </w:pPr>
    </w:p>
    <w:p w:rsidR="009330F5" w:rsidRPr="00BB1432" w:rsidRDefault="009330F5" w:rsidP="0078606C">
      <w:pPr>
        <w:spacing w:line="480" w:lineRule="auto"/>
        <w:jc w:val="center"/>
        <w:rPr>
          <w:rFonts w:ascii="Verdana" w:hAnsi="Verdana"/>
          <w:b/>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4.1</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Estado de Pérdidas y Ganancias</w:t>
      </w:r>
    </w:p>
    <w:tbl>
      <w:tblPr>
        <w:tblStyle w:val="Tablaconcuadrcula"/>
        <w:tblW w:w="0" w:type="auto"/>
        <w:jc w:val="center"/>
        <w:tblLook w:val="01E0"/>
      </w:tblPr>
      <w:tblGrid>
        <w:gridCol w:w="5003"/>
      </w:tblGrid>
      <w:tr w:rsidR="0078606C" w:rsidRPr="00BB1432">
        <w:trPr>
          <w:jc w:val="center"/>
        </w:trPr>
        <w:tc>
          <w:tcPr>
            <w:tcW w:w="5003" w:type="dxa"/>
          </w:tcPr>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Intereses y Descuentos Ganados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Intereses Causados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Margen Neto de Interés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Comisiones Ganadas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Ingresos por servicios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Comisiones Causadas</w:t>
            </w:r>
          </w:p>
        </w:tc>
      </w:tr>
      <w:tr w:rsidR="0078606C" w:rsidRPr="00BB1432">
        <w:trPr>
          <w:jc w:val="center"/>
        </w:trPr>
        <w:tc>
          <w:tcPr>
            <w:tcW w:w="5003" w:type="dxa"/>
          </w:tcPr>
          <w:p w:rsidR="0078606C" w:rsidRPr="00BB1432" w:rsidRDefault="0078606C" w:rsidP="0078606C">
            <w:pPr>
              <w:spacing w:line="360" w:lineRule="auto"/>
              <w:jc w:val="both"/>
              <w:rPr>
                <w:rFonts w:ascii="Verdana" w:hAnsi="Verdana"/>
                <w:b/>
                <w:sz w:val="22"/>
                <w:szCs w:val="22"/>
              </w:rPr>
            </w:pPr>
            <w:r w:rsidRPr="00BB1432">
              <w:rPr>
                <w:rFonts w:ascii="Verdana" w:hAnsi="Verdana"/>
                <w:b/>
                <w:sz w:val="22"/>
                <w:szCs w:val="22"/>
              </w:rPr>
              <w:t>= Utilidades Financieras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Pérdidas Financieras</w:t>
            </w:r>
          </w:p>
        </w:tc>
      </w:tr>
      <w:tr w:rsidR="0078606C" w:rsidRPr="00BB1432">
        <w:trPr>
          <w:jc w:val="center"/>
        </w:trPr>
        <w:tc>
          <w:tcPr>
            <w:tcW w:w="5003" w:type="dxa"/>
          </w:tcPr>
          <w:p w:rsidR="0078606C" w:rsidRPr="00BB1432" w:rsidRDefault="0078606C" w:rsidP="0078606C">
            <w:pPr>
              <w:spacing w:line="360" w:lineRule="auto"/>
              <w:jc w:val="both"/>
              <w:rPr>
                <w:rFonts w:ascii="Verdana" w:hAnsi="Verdana"/>
                <w:b/>
                <w:sz w:val="22"/>
                <w:szCs w:val="22"/>
              </w:rPr>
            </w:pPr>
            <w:r w:rsidRPr="00BB1432">
              <w:rPr>
                <w:rFonts w:ascii="Verdana" w:hAnsi="Verdana"/>
                <w:b/>
                <w:sz w:val="22"/>
                <w:szCs w:val="22"/>
              </w:rPr>
              <w:t>= Margen Bruto Financiero</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Gasto de Provisiones</w:t>
            </w:r>
          </w:p>
        </w:tc>
      </w:tr>
      <w:tr w:rsidR="0078606C" w:rsidRPr="00BB1432">
        <w:trPr>
          <w:jc w:val="center"/>
        </w:trPr>
        <w:tc>
          <w:tcPr>
            <w:tcW w:w="5003" w:type="dxa"/>
          </w:tcPr>
          <w:p w:rsidR="0078606C" w:rsidRPr="00BB1432" w:rsidRDefault="0078606C" w:rsidP="0078606C">
            <w:pPr>
              <w:spacing w:line="360" w:lineRule="auto"/>
              <w:jc w:val="both"/>
              <w:rPr>
                <w:rFonts w:ascii="Verdana" w:hAnsi="Verdana"/>
                <w:b/>
                <w:sz w:val="22"/>
                <w:szCs w:val="22"/>
              </w:rPr>
            </w:pPr>
            <w:r w:rsidRPr="00BB1432">
              <w:rPr>
                <w:rFonts w:ascii="Verdana" w:hAnsi="Verdana"/>
                <w:b/>
                <w:sz w:val="22"/>
                <w:szCs w:val="22"/>
              </w:rPr>
              <w:t>= Margen Neto Financiero</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Gastos de Operación</w:t>
            </w:r>
          </w:p>
          <w:p w:rsidR="0078606C" w:rsidRPr="00BB1432" w:rsidRDefault="0078606C" w:rsidP="0078606C">
            <w:pPr>
              <w:spacing w:line="360" w:lineRule="auto"/>
              <w:jc w:val="both"/>
              <w:rPr>
                <w:rFonts w:ascii="Verdana" w:hAnsi="Verdana"/>
                <w:b/>
                <w:sz w:val="22"/>
                <w:szCs w:val="22"/>
              </w:rPr>
            </w:pPr>
            <w:r w:rsidRPr="00BB1432">
              <w:rPr>
                <w:rFonts w:ascii="Verdana" w:hAnsi="Verdana"/>
                <w:b/>
                <w:sz w:val="22"/>
                <w:szCs w:val="22"/>
              </w:rPr>
              <w:t>= Margen de Intermediación</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Otros Ingresos Operacionales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Otras pérdidas Operacionales</w:t>
            </w:r>
          </w:p>
        </w:tc>
      </w:tr>
      <w:tr w:rsidR="0078606C" w:rsidRPr="00BB1432">
        <w:trPr>
          <w:jc w:val="center"/>
        </w:trPr>
        <w:tc>
          <w:tcPr>
            <w:tcW w:w="5003" w:type="dxa"/>
          </w:tcPr>
          <w:p w:rsidR="0078606C" w:rsidRPr="00BB1432" w:rsidRDefault="0078606C" w:rsidP="0078606C">
            <w:pPr>
              <w:spacing w:line="360" w:lineRule="auto"/>
              <w:jc w:val="both"/>
              <w:rPr>
                <w:rFonts w:ascii="Verdana" w:hAnsi="Verdana"/>
                <w:b/>
                <w:sz w:val="22"/>
                <w:szCs w:val="22"/>
              </w:rPr>
            </w:pPr>
            <w:r w:rsidRPr="00BB1432">
              <w:rPr>
                <w:rFonts w:ascii="Verdana" w:hAnsi="Verdana"/>
                <w:b/>
                <w:sz w:val="22"/>
                <w:szCs w:val="22"/>
              </w:rPr>
              <w:t>= Margen Operacional</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Otros Ingresos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Otros Gastos y Pérdidas</w:t>
            </w:r>
          </w:p>
          <w:p w:rsidR="0078606C" w:rsidRPr="00BB1432" w:rsidRDefault="0078606C" w:rsidP="0078606C">
            <w:pPr>
              <w:spacing w:line="360" w:lineRule="auto"/>
              <w:jc w:val="both"/>
              <w:rPr>
                <w:rFonts w:ascii="Verdana" w:hAnsi="Verdana"/>
                <w:b/>
                <w:sz w:val="22"/>
                <w:szCs w:val="22"/>
              </w:rPr>
            </w:pPr>
            <w:r w:rsidRPr="00BB1432">
              <w:rPr>
                <w:rFonts w:ascii="Verdana" w:hAnsi="Verdana"/>
                <w:b/>
                <w:sz w:val="22"/>
                <w:szCs w:val="22"/>
              </w:rPr>
              <w:t>= Ganancia o Pérdida del Ejercicio</w:t>
            </w:r>
          </w:p>
        </w:tc>
      </w:tr>
    </w:tbl>
    <w:p w:rsidR="0078606C" w:rsidRPr="002337D7" w:rsidRDefault="0078606C" w:rsidP="002337D7">
      <w:pPr>
        <w:ind w:firstLine="1620"/>
        <w:rPr>
          <w:rFonts w:ascii="Verdana" w:hAnsi="Verdana"/>
          <w:i/>
          <w:sz w:val="18"/>
          <w:szCs w:val="18"/>
        </w:rPr>
      </w:pPr>
      <w:r w:rsidRPr="002337D7">
        <w:rPr>
          <w:rFonts w:ascii="Verdana" w:hAnsi="Verdana"/>
          <w:b/>
          <w:i/>
          <w:sz w:val="18"/>
          <w:szCs w:val="18"/>
        </w:rPr>
        <w:t>Fuente:</w:t>
      </w:r>
      <w:r w:rsidRPr="002337D7">
        <w:rPr>
          <w:rFonts w:ascii="Verdana" w:hAnsi="Verdana"/>
          <w:i/>
          <w:sz w:val="18"/>
          <w:szCs w:val="18"/>
        </w:rPr>
        <w:t xml:space="preserve"> Superintendencia de Bancos</w:t>
      </w:r>
    </w:p>
    <w:p w:rsidR="008333A5" w:rsidRPr="008333A5" w:rsidRDefault="008333A5" w:rsidP="002337D7">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De las mismas con el objetivo de hacer un análisis más eficiente y facilitar los cálculos al momento de realizar la proyección, se ordenó el Estado de Pérdidas y Ganancias tal como se observa a continuación:</w:t>
      </w:r>
    </w:p>
    <w:p w:rsidR="00FA1084" w:rsidRDefault="00FA1084" w:rsidP="0078606C">
      <w:pPr>
        <w:spacing w:line="480" w:lineRule="auto"/>
        <w:ind w:firstLine="708"/>
        <w:jc w:val="both"/>
        <w:rPr>
          <w:rFonts w:ascii="Verdana" w:hAnsi="Verdana"/>
          <w:sz w:val="22"/>
          <w:szCs w:val="22"/>
        </w:rPr>
      </w:pPr>
    </w:p>
    <w:p w:rsidR="00384CD3" w:rsidRPr="00BB1432" w:rsidRDefault="00384CD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4.2</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Estado de Resultados</w:t>
      </w:r>
    </w:p>
    <w:tbl>
      <w:tblPr>
        <w:tblStyle w:val="Tablaconcuadrcula"/>
        <w:tblW w:w="0" w:type="auto"/>
        <w:tblLook w:val="01E0"/>
      </w:tblPr>
      <w:tblGrid>
        <w:gridCol w:w="8493"/>
      </w:tblGrid>
      <w:tr w:rsidR="0078606C" w:rsidRPr="00BB1432">
        <w:tc>
          <w:tcPr>
            <w:tcW w:w="8493" w:type="dxa"/>
          </w:tcPr>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Margen Neto de Interés</w:t>
            </w:r>
          </w:p>
          <w:p w:rsidR="0078606C" w:rsidRDefault="0078606C" w:rsidP="0078606C">
            <w:pPr>
              <w:spacing w:line="360" w:lineRule="auto"/>
              <w:jc w:val="both"/>
              <w:rPr>
                <w:rFonts w:ascii="Verdana" w:hAnsi="Verdana"/>
                <w:sz w:val="22"/>
                <w:szCs w:val="22"/>
              </w:rPr>
            </w:pPr>
            <w:r w:rsidRPr="00BB1432">
              <w:rPr>
                <w:rFonts w:ascii="Verdana" w:hAnsi="Verdana"/>
                <w:sz w:val="22"/>
                <w:szCs w:val="22"/>
              </w:rPr>
              <w:t>+ Comisiones Netas</w:t>
            </w:r>
          </w:p>
          <w:p w:rsidR="007307CD" w:rsidRPr="00BB1432" w:rsidRDefault="007307CD" w:rsidP="0078606C">
            <w:pPr>
              <w:spacing w:line="360" w:lineRule="auto"/>
              <w:jc w:val="both"/>
              <w:rPr>
                <w:rFonts w:ascii="Verdana" w:hAnsi="Verdana"/>
                <w:sz w:val="22"/>
                <w:szCs w:val="22"/>
              </w:rPr>
            </w:pPr>
            <w:r>
              <w:rPr>
                <w:rFonts w:ascii="Verdana" w:hAnsi="Verdana"/>
                <w:sz w:val="22"/>
                <w:szCs w:val="22"/>
              </w:rPr>
              <w:t>+ Ingresos por Servicios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Utilidades Netas Financieras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Gasto por Provisiones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Gasto de Operación</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Otras utilidades operacionales Netas</w:t>
            </w:r>
          </w:p>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Otras utilidades no operacionales Netas</w:t>
            </w:r>
          </w:p>
        </w:tc>
      </w:tr>
      <w:tr w:rsidR="0078606C" w:rsidRPr="00BB1432">
        <w:tc>
          <w:tcPr>
            <w:tcW w:w="8493" w:type="dxa"/>
          </w:tcPr>
          <w:p w:rsidR="0078606C" w:rsidRPr="00BB1432" w:rsidRDefault="0078606C" w:rsidP="0078606C">
            <w:pPr>
              <w:spacing w:line="360" w:lineRule="auto"/>
              <w:jc w:val="both"/>
              <w:rPr>
                <w:rFonts w:ascii="Verdana" w:hAnsi="Verdana"/>
                <w:sz w:val="22"/>
                <w:szCs w:val="22"/>
              </w:rPr>
            </w:pPr>
            <w:r w:rsidRPr="00BB1432">
              <w:rPr>
                <w:rFonts w:ascii="Verdana" w:hAnsi="Verdana"/>
                <w:sz w:val="22"/>
                <w:szCs w:val="22"/>
              </w:rPr>
              <w:t>= Ganancia o Pérdida del Ejercicio</w:t>
            </w:r>
          </w:p>
        </w:tc>
      </w:tr>
    </w:tbl>
    <w:p w:rsidR="0078606C" w:rsidRPr="002337D7" w:rsidRDefault="0078606C" w:rsidP="002337D7">
      <w:pPr>
        <w:rPr>
          <w:rFonts w:ascii="Verdana" w:hAnsi="Verdana"/>
          <w:i/>
          <w:sz w:val="18"/>
          <w:szCs w:val="18"/>
        </w:rPr>
      </w:pPr>
      <w:r w:rsidRPr="002337D7">
        <w:rPr>
          <w:rFonts w:ascii="Verdana" w:hAnsi="Verdana"/>
          <w:b/>
          <w:i/>
          <w:sz w:val="18"/>
          <w:szCs w:val="18"/>
        </w:rPr>
        <w:t>Fuente:</w:t>
      </w:r>
      <w:r w:rsidRPr="002337D7">
        <w:rPr>
          <w:rFonts w:ascii="Verdana" w:hAnsi="Verdana"/>
          <w:i/>
          <w:sz w:val="18"/>
          <w:szCs w:val="18"/>
        </w:rPr>
        <w:t xml:space="preserve"> Superintendencia de Bancos</w:t>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Donde:</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both"/>
        <w:rPr>
          <w:rFonts w:ascii="Verdana" w:hAnsi="Verdana"/>
          <w:sz w:val="22"/>
          <w:szCs w:val="22"/>
        </w:rPr>
      </w:pPr>
      <w:r w:rsidRPr="00BB1432">
        <w:rPr>
          <w:rFonts w:ascii="Verdana" w:hAnsi="Verdana"/>
          <w:b/>
          <w:sz w:val="22"/>
          <w:szCs w:val="22"/>
        </w:rPr>
        <w:t>Margen de Interés Neto</w:t>
      </w:r>
      <w:r w:rsidRPr="00BB1432">
        <w:rPr>
          <w:rFonts w:ascii="Verdana" w:hAnsi="Verdana"/>
          <w:sz w:val="22"/>
          <w:szCs w:val="22"/>
        </w:rPr>
        <w:t xml:space="preserve"> = Intereses Ganados – Intereses Causados</w:t>
      </w:r>
    </w:p>
    <w:p w:rsidR="0078606C" w:rsidRPr="00BB1432" w:rsidRDefault="0078606C" w:rsidP="0078606C">
      <w:pPr>
        <w:spacing w:line="480" w:lineRule="auto"/>
        <w:jc w:val="both"/>
        <w:rPr>
          <w:rFonts w:ascii="Verdana" w:hAnsi="Verdana"/>
          <w:sz w:val="22"/>
          <w:szCs w:val="22"/>
        </w:rPr>
      </w:pPr>
      <w:r w:rsidRPr="00BB1432">
        <w:rPr>
          <w:rFonts w:ascii="Verdana" w:hAnsi="Verdana"/>
          <w:b/>
          <w:sz w:val="22"/>
          <w:szCs w:val="22"/>
        </w:rPr>
        <w:t>Comisiones Netas</w:t>
      </w:r>
      <w:r w:rsidRPr="00BB1432">
        <w:rPr>
          <w:rFonts w:ascii="Verdana" w:hAnsi="Verdana"/>
          <w:sz w:val="22"/>
          <w:szCs w:val="22"/>
        </w:rPr>
        <w:t xml:space="preserve"> = Comisiones Ganadas – Comisiones Causadas </w:t>
      </w:r>
    </w:p>
    <w:p w:rsidR="0078606C" w:rsidRPr="00BB1432" w:rsidRDefault="0078606C" w:rsidP="0078606C">
      <w:pPr>
        <w:spacing w:line="480" w:lineRule="auto"/>
        <w:jc w:val="both"/>
        <w:rPr>
          <w:rFonts w:ascii="Verdana" w:hAnsi="Verdana"/>
          <w:sz w:val="22"/>
          <w:szCs w:val="22"/>
        </w:rPr>
      </w:pPr>
      <w:r w:rsidRPr="00BB1432">
        <w:rPr>
          <w:rFonts w:ascii="Verdana" w:hAnsi="Verdana"/>
          <w:b/>
          <w:sz w:val="22"/>
          <w:szCs w:val="22"/>
        </w:rPr>
        <w:t>Utilidades Netas Financieras</w:t>
      </w:r>
      <w:r w:rsidRPr="00BB1432">
        <w:rPr>
          <w:rFonts w:ascii="Verdana" w:hAnsi="Verdana"/>
          <w:sz w:val="22"/>
          <w:szCs w:val="22"/>
        </w:rPr>
        <w:t xml:space="preserve"> = Utilidades Financieras – Pérdidas Financieras</w:t>
      </w:r>
    </w:p>
    <w:p w:rsidR="0078606C" w:rsidRPr="00BB1432" w:rsidRDefault="0078606C" w:rsidP="0078606C">
      <w:pPr>
        <w:spacing w:line="480" w:lineRule="auto"/>
        <w:jc w:val="both"/>
        <w:rPr>
          <w:rFonts w:ascii="Verdana" w:hAnsi="Verdana"/>
          <w:sz w:val="22"/>
          <w:szCs w:val="22"/>
        </w:rPr>
      </w:pPr>
      <w:r w:rsidRPr="00BB1432">
        <w:rPr>
          <w:rFonts w:ascii="Verdana" w:hAnsi="Verdana"/>
          <w:b/>
          <w:sz w:val="22"/>
          <w:szCs w:val="22"/>
        </w:rPr>
        <w:t>Otras Utilidades Operacionales netas</w:t>
      </w:r>
      <w:r w:rsidRPr="00BB1432">
        <w:rPr>
          <w:rFonts w:ascii="Verdana" w:hAnsi="Verdana"/>
          <w:sz w:val="22"/>
          <w:szCs w:val="22"/>
        </w:rPr>
        <w:t xml:space="preserve"> = Otros Ingresos Operacionales – Otros Gastos Operacionales</w:t>
      </w:r>
    </w:p>
    <w:p w:rsidR="0078606C" w:rsidRPr="00BB1432" w:rsidRDefault="0078606C" w:rsidP="0078606C">
      <w:pPr>
        <w:spacing w:line="480" w:lineRule="auto"/>
        <w:jc w:val="both"/>
        <w:rPr>
          <w:rFonts w:ascii="Verdana" w:hAnsi="Verdana"/>
          <w:sz w:val="22"/>
          <w:szCs w:val="22"/>
        </w:rPr>
      </w:pPr>
      <w:r w:rsidRPr="00BB1432">
        <w:rPr>
          <w:rFonts w:ascii="Verdana" w:hAnsi="Verdana"/>
          <w:b/>
          <w:sz w:val="22"/>
          <w:szCs w:val="22"/>
        </w:rPr>
        <w:t>Otras utilidades No Operacionales netas</w:t>
      </w:r>
      <w:r w:rsidRPr="00BB1432">
        <w:rPr>
          <w:rFonts w:ascii="Verdana" w:hAnsi="Verdana"/>
          <w:sz w:val="22"/>
          <w:szCs w:val="22"/>
        </w:rPr>
        <w:t xml:space="preserve"> = Otros Ingresos No operacionales – Otros Gastos No Operacionales</w:t>
      </w:r>
    </w:p>
    <w:p w:rsidR="0078606C" w:rsidRDefault="0078606C" w:rsidP="0078606C">
      <w:pPr>
        <w:spacing w:line="480" w:lineRule="auto"/>
        <w:jc w:val="both"/>
        <w:rPr>
          <w:b/>
          <w:sz w:val="22"/>
          <w:szCs w:val="22"/>
        </w:rPr>
      </w:pPr>
    </w:p>
    <w:p w:rsidR="00384CD3" w:rsidRPr="00BB1432" w:rsidRDefault="00384CD3" w:rsidP="0078606C">
      <w:pPr>
        <w:spacing w:line="480" w:lineRule="auto"/>
        <w:jc w:val="both"/>
        <w:rPr>
          <w:b/>
          <w:sz w:val="22"/>
          <w:szCs w:val="22"/>
        </w:rPr>
      </w:pPr>
    </w:p>
    <w:p w:rsidR="0078606C" w:rsidRPr="00BB1432" w:rsidRDefault="0078606C" w:rsidP="0078606C">
      <w:pPr>
        <w:spacing w:line="480" w:lineRule="auto"/>
        <w:jc w:val="both"/>
        <w:rPr>
          <w:b/>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4.1.1 Ratios de proyección para las cuentas del Estado de Pérdidas y Ganancias</w:t>
      </w:r>
    </w:p>
    <w:p w:rsidR="0078606C" w:rsidRPr="00BB1432" w:rsidRDefault="0078606C" w:rsidP="0078606C">
      <w:pPr>
        <w:spacing w:line="480" w:lineRule="auto"/>
        <w:jc w:val="both"/>
        <w:rPr>
          <w:rFonts w:ascii="Verdana" w:hAnsi="Verdana"/>
          <w:b/>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Margen neto de interés</w:t>
      </w:r>
    </w:p>
    <w:p w:rsidR="0078606C" w:rsidRPr="00AC070D" w:rsidRDefault="0078606C" w:rsidP="0078606C">
      <w:pPr>
        <w:spacing w:line="480" w:lineRule="auto"/>
        <w:ind w:firstLine="708"/>
        <w:jc w:val="both"/>
        <w:rPr>
          <w:rFonts w:ascii="Verdana" w:hAnsi="Verdana"/>
          <w:sz w:val="22"/>
          <w:szCs w:val="22"/>
          <w:lang w:val="en-US"/>
        </w:rPr>
      </w:pPr>
      <w:r w:rsidRPr="007307CD">
        <w:rPr>
          <w:rFonts w:ascii="Verdana" w:hAnsi="Verdana"/>
          <w:sz w:val="22"/>
          <w:szCs w:val="22"/>
          <w:lang w:val="en-US"/>
        </w:rPr>
        <w:t>MNI</w:t>
      </w:r>
      <w:r w:rsidRPr="007307CD">
        <w:rPr>
          <w:rFonts w:ascii="Verdana" w:hAnsi="Verdana"/>
          <w:sz w:val="22"/>
          <w:szCs w:val="22"/>
          <w:vertAlign w:val="subscript"/>
          <w:lang w:val="en-US"/>
        </w:rPr>
        <w:t>T+1</w:t>
      </w:r>
      <w:r w:rsidRPr="007307CD">
        <w:rPr>
          <w:rFonts w:ascii="Verdana" w:hAnsi="Verdana"/>
          <w:sz w:val="22"/>
          <w:szCs w:val="22"/>
          <w:lang w:val="en-US"/>
        </w:rPr>
        <w:t xml:space="preserve"> = Ratio (MNI</w:t>
      </w:r>
      <w:r w:rsidRPr="007307CD">
        <w:rPr>
          <w:rFonts w:ascii="Verdana" w:hAnsi="Verdana"/>
          <w:sz w:val="22"/>
          <w:szCs w:val="22"/>
          <w:vertAlign w:val="subscript"/>
          <w:lang w:val="en-US"/>
        </w:rPr>
        <w:t>t</w:t>
      </w:r>
      <w:r w:rsidRPr="007307CD">
        <w:rPr>
          <w:rFonts w:ascii="Verdana" w:hAnsi="Verdana"/>
          <w:sz w:val="22"/>
          <w:szCs w:val="22"/>
          <w:lang w:val="en-US"/>
        </w:rPr>
        <w:t>, C</w:t>
      </w:r>
      <w:r w:rsidRPr="007307CD">
        <w:rPr>
          <w:rFonts w:ascii="Verdana" w:hAnsi="Verdana"/>
          <w:sz w:val="22"/>
          <w:szCs w:val="22"/>
          <w:vertAlign w:val="subscript"/>
          <w:lang w:val="en-US"/>
        </w:rPr>
        <w:t>t</w:t>
      </w:r>
      <w:r w:rsidR="00AC070D">
        <w:rPr>
          <w:rFonts w:ascii="Verdana" w:hAnsi="Verdana"/>
          <w:sz w:val="22"/>
          <w:szCs w:val="22"/>
          <w:lang w:val="en-US"/>
        </w:rPr>
        <w:t xml:space="preserve"> + INV</w:t>
      </w:r>
      <w:r w:rsidR="007307CD" w:rsidRPr="007307CD">
        <w:rPr>
          <w:rFonts w:ascii="Verdana" w:hAnsi="Verdana"/>
          <w:sz w:val="22"/>
          <w:szCs w:val="22"/>
          <w:vertAlign w:val="subscript"/>
          <w:lang w:val="en-US"/>
        </w:rPr>
        <w:t>t</w:t>
      </w:r>
      <w:r w:rsidR="007307CD" w:rsidRPr="007307CD">
        <w:rPr>
          <w:rFonts w:ascii="Verdana" w:hAnsi="Verdana"/>
          <w:sz w:val="22"/>
          <w:szCs w:val="22"/>
          <w:lang w:val="en-US"/>
        </w:rPr>
        <w:t>)</w:t>
      </w:r>
      <w:r w:rsidRPr="007307CD">
        <w:rPr>
          <w:rFonts w:ascii="Verdana" w:hAnsi="Verdana"/>
          <w:sz w:val="22"/>
          <w:szCs w:val="22"/>
          <w:lang w:val="en-US"/>
        </w:rPr>
        <w:t xml:space="preserve"> * (C</w:t>
      </w:r>
      <w:r w:rsidRPr="007307CD">
        <w:rPr>
          <w:rFonts w:ascii="Verdana" w:hAnsi="Verdana"/>
          <w:sz w:val="22"/>
          <w:szCs w:val="22"/>
          <w:vertAlign w:val="subscript"/>
          <w:lang w:val="en-US"/>
        </w:rPr>
        <w:t>T+1</w:t>
      </w:r>
      <w:r w:rsidR="00AC070D">
        <w:rPr>
          <w:rFonts w:ascii="Verdana" w:hAnsi="Verdana"/>
          <w:sz w:val="22"/>
          <w:szCs w:val="22"/>
          <w:lang w:val="en-US"/>
        </w:rPr>
        <w:t xml:space="preserve"> + INV</w:t>
      </w:r>
      <w:r w:rsidR="00AC070D">
        <w:rPr>
          <w:rFonts w:ascii="Verdana" w:hAnsi="Verdana"/>
          <w:sz w:val="22"/>
          <w:szCs w:val="22"/>
          <w:vertAlign w:val="subscript"/>
          <w:lang w:val="en-US"/>
        </w:rPr>
        <w:t>T+1</w:t>
      </w:r>
      <w:r w:rsidR="00AC070D">
        <w:rPr>
          <w:rFonts w:ascii="Verdana" w:hAnsi="Verdana"/>
          <w:sz w:val="22"/>
          <w:szCs w:val="22"/>
          <w:lang w:val="en-US"/>
        </w:rPr>
        <w:t>)</w:t>
      </w:r>
    </w:p>
    <w:p w:rsidR="0078606C" w:rsidRPr="007307CD" w:rsidRDefault="0078606C" w:rsidP="0078606C">
      <w:pPr>
        <w:spacing w:line="480" w:lineRule="auto"/>
        <w:jc w:val="both"/>
        <w:rPr>
          <w:rFonts w:ascii="Verdana" w:hAnsi="Verdana"/>
          <w:sz w:val="22"/>
          <w:szCs w:val="22"/>
          <w:lang w:val="en-US"/>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ratio anualizado del Margen Neto de Interés / Cartera de Créditos presenta un comportamiento estable,</w:t>
      </w:r>
      <w:r w:rsidR="00A536D6" w:rsidRPr="00BB1432">
        <w:rPr>
          <w:rFonts w:ascii="Verdana" w:hAnsi="Verdana"/>
          <w:sz w:val="22"/>
          <w:szCs w:val="22"/>
        </w:rPr>
        <w:t xml:space="preserve"> con una tendencia a la baja, má</w:t>
      </w:r>
      <w:r w:rsidRPr="00BB1432">
        <w:rPr>
          <w:rFonts w:ascii="Verdana" w:hAnsi="Verdana"/>
          <w:sz w:val="22"/>
          <w:szCs w:val="22"/>
        </w:rPr>
        <w:t>s notoria a partir de Marzo del 2004, habiendo un lev</w:t>
      </w:r>
      <w:r w:rsidR="004C22D9" w:rsidRPr="00BB1432">
        <w:rPr>
          <w:rFonts w:ascii="Verdana" w:hAnsi="Verdana"/>
          <w:sz w:val="22"/>
          <w:szCs w:val="22"/>
        </w:rPr>
        <w:t>e ascenso del ratio en Marzo</w:t>
      </w:r>
      <w:r w:rsidRPr="00BB1432">
        <w:rPr>
          <w:rFonts w:ascii="Verdana" w:hAnsi="Verdana"/>
          <w:sz w:val="22"/>
          <w:szCs w:val="22"/>
        </w:rPr>
        <w:t xml:space="preserve"> del 2005</w:t>
      </w:r>
      <w:r w:rsidR="004C22D9" w:rsidRPr="00BB1432">
        <w:rPr>
          <w:rFonts w:ascii="Verdana" w:hAnsi="Verdana"/>
          <w:sz w:val="22"/>
          <w:szCs w:val="22"/>
        </w:rPr>
        <w:t xml:space="preserve"> y en los periodos siguientes con comportamiento estable</w:t>
      </w:r>
      <w:r w:rsidRPr="00BB1432">
        <w:rPr>
          <w:rFonts w:ascii="Verdana" w:hAnsi="Verdana"/>
          <w:sz w:val="22"/>
          <w:szCs w:val="22"/>
        </w:rPr>
        <w:t>, debido principalmente al comportamiento del Margen Neto de Interés.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4.1</w:t>
      </w:r>
    </w:p>
    <w:p w:rsidR="0078606C" w:rsidRPr="00BB1432" w:rsidRDefault="00006ACE" w:rsidP="0078606C">
      <w:pPr>
        <w:spacing w:line="480" w:lineRule="auto"/>
        <w:jc w:val="center"/>
        <w:rPr>
          <w:sz w:val="22"/>
          <w:szCs w:val="22"/>
        </w:rPr>
      </w:pPr>
      <w:r>
        <w:rPr>
          <w:noProof/>
          <w:sz w:val="22"/>
          <w:szCs w:val="22"/>
          <w:lang w:val="es-ES" w:eastAsia="es-ES"/>
        </w:rPr>
        <w:drawing>
          <wp:inline distT="0" distB="0" distL="0" distR="0">
            <wp:extent cx="5257800" cy="28765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5257800" cy="2876550"/>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Durante los periodos analizados, el ra</w:t>
      </w:r>
      <w:r w:rsidR="00B71F03" w:rsidRPr="00BB1432">
        <w:rPr>
          <w:rFonts w:ascii="Verdana" w:hAnsi="Verdana"/>
          <w:sz w:val="22"/>
          <w:szCs w:val="22"/>
        </w:rPr>
        <w:t>tio presenta un máximo de 0.12</w:t>
      </w:r>
      <w:r w:rsidRPr="00BB1432">
        <w:rPr>
          <w:rFonts w:ascii="Verdana" w:hAnsi="Verdana"/>
          <w:sz w:val="22"/>
          <w:szCs w:val="22"/>
        </w:rPr>
        <w:t xml:space="preserve"> y un mínimo de 0</w:t>
      </w:r>
      <w:r w:rsidR="00B71F03" w:rsidRPr="00BB1432">
        <w:rPr>
          <w:rFonts w:ascii="Verdana" w:hAnsi="Verdana"/>
          <w:sz w:val="22"/>
          <w:szCs w:val="22"/>
        </w:rPr>
        <w:t>.03</w:t>
      </w:r>
      <w:r w:rsidRPr="00BB1432">
        <w:rPr>
          <w:rFonts w:ascii="Verdana" w:hAnsi="Verdana"/>
          <w:sz w:val="22"/>
          <w:szCs w:val="22"/>
        </w:rPr>
        <w:t>, gen</w:t>
      </w:r>
      <w:r w:rsidR="00B71F03" w:rsidRPr="00BB1432">
        <w:rPr>
          <w:rFonts w:ascii="Verdana" w:hAnsi="Verdana"/>
          <w:sz w:val="22"/>
          <w:szCs w:val="22"/>
        </w:rPr>
        <w:t>erando así una mediana de 0.0</w:t>
      </w:r>
      <w:r w:rsidR="004C22D9" w:rsidRPr="00BB1432">
        <w:rPr>
          <w:rFonts w:ascii="Verdana" w:hAnsi="Verdana"/>
          <w:sz w:val="22"/>
          <w:szCs w:val="22"/>
        </w:rPr>
        <w:t>58</w:t>
      </w:r>
      <w:r w:rsidR="00B71F03" w:rsidRPr="00BB1432">
        <w:rPr>
          <w:rFonts w:ascii="Verdana" w:hAnsi="Verdana"/>
          <w:sz w:val="22"/>
          <w:szCs w:val="22"/>
        </w:rPr>
        <w:t xml:space="preserve"> y un promedio de 0.064</w:t>
      </w:r>
      <w:r w:rsidRPr="00BB1432">
        <w:rPr>
          <w:rFonts w:ascii="Verdana" w:hAnsi="Verdana"/>
          <w:sz w:val="22"/>
          <w:szCs w:val="22"/>
        </w:rPr>
        <w:t>, con una desviación estándar de 0.02</w:t>
      </w:r>
      <w:r w:rsidR="004C22D9" w:rsidRPr="00BB1432">
        <w:rPr>
          <w:rFonts w:ascii="Verdana" w:hAnsi="Verdana"/>
          <w:sz w:val="22"/>
          <w:szCs w:val="22"/>
        </w:rPr>
        <w:t>6</w:t>
      </w:r>
      <w:r w:rsidRPr="00BB1432">
        <w:rPr>
          <w:rFonts w:ascii="Verdana" w:hAnsi="Verdana"/>
          <w:sz w:val="22"/>
          <w:szCs w:val="22"/>
        </w:rPr>
        <w:t>. El coefic</w:t>
      </w:r>
      <w:r w:rsidR="00CC0202" w:rsidRPr="00BB1432">
        <w:rPr>
          <w:rFonts w:ascii="Verdana" w:hAnsi="Verdana"/>
          <w:sz w:val="22"/>
          <w:szCs w:val="22"/>
        </w:rPr>
        <w:t>iente de correlación entre las</w:t>
      </w:r>
      <w:r w:rsidRPr="00BB1432">
        <w:rPr>
          <w:rFonts w:ascii="Verdana" w:hAnsi="Verdana"/>
          <w:sz w:val="22"/>
          <w:szCs w:val="22"/>
        </w:rPr>
        <w:t xml:space="preserve"> varia</w:t>
      </w:r>
      <w:r w:rsidR="004C22D9" w:rsidRPr="00BB1432">
        <w:rPr>
          <w:rFonts w:ascii="Verdana" w:hAnsi="Verdana"/>
          <w:sz w:val="22"/>
          <w:szCs w:val="22"/>
        </w:rPr>
        <w:t>bles analizadas es apenas del 36</w:t>
      </w:r>
      <w:r w:rsidRPr="00BB1432">
        <w:rPr>
          <w:rFonts w:ascii="Verdana" w:hAnsi="Verdana"/>
          <w:sz w:val="22"/>
          <w:szCs w:val="22"/>
        </w:rPr>
        <w:t>%.</w:t>
      </w:r>
    </w:p>
    <w:p w:rsidR="009330F5" w:rsidRPr="00BB1432" w:rsidRDefault="009330F5"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siguiente cuadro, muestra el margen de error obten</w:t>
      </w:r>
      <w:r w:rsidR="00A558B2" w:rsidRPr="00BB1432">
        <w:rPr>
          <w:rFonts w:ascii="Verdana" w:hAnsi="Verdana"/>
          <w:sz w:val="22"/>
          <w:szCs w:val="22"/>
        </w:rPr>
        <w:t>ido para esta cuenta (real</w:t>
      </w:r>
      <w:r w:rsidRPr="00BB1432">
        <w:rPr>
          <w:rFonts w:ascii="Verdana" w:hAnsi="Verdana"/>
          <w:sz w:val="22"/>
          <w:szCs w:val="22"/>
        </w:rPr>
        <w:t>), para el último trimestre del 2006, considerando la me</w:t>
      </w:r>
      <w:r w:rsidR="00F523AD" w:rsidRPr="00BB1432">
        <w:rPr>
          <w:rFonts w:ascii="Verdana" w:hAnsi="Verdana"/>
          <w:sz w:val="22"/>
          <w:szCs w:val="22"/>
        </w:rPr>
        <w:t xml:space="preserve">diana del ratio, que fue de </w:t>
      </w:r>
      <w:r w:rsidR="00910837">
        <w:rPr>
          <w:rFonts w:ascii="Verdana" w:hAnsi="Verdana"/>
          <w:sz w:val="22"/>
          <w:szCs w:val="22"/>
        </w:rPr>
        <w:t>5</w:t>
      </w:r>
      <w:r w:rsidR="00F523AD" w:rsidRPr="00BB1432">
        <w:rPr>
          <w:rFonts w:ascii="Verdana" w:hAnsi="Verdana"/>
          <w:sz w:val="22"/>
          <w:szCs w:val="22"/>
        </w:rPr>
        <w:t>.</w:t>
      </w:r>
      <w:r w:rsidR="00910837">
        <w:rPr>
          <w:rFonts w:ascii="Verdana" w:hAnsi="Verdana"/>
          <w:sz w:val="22"/>
          <w:szCs w:val="22"/>
        </w:rPr>
        <w:t>86</w:t>
      </w:r>
      <w:r w:rsidRPr="00BB1432">
        <w:rPr>
          <w:rFonts w:ascii="Verdana" w:hAnsi="Verdana"/>
          <w:sz w:val="22"/>
          <w:szCs w:val="22"/>
        </w:rPr>
        <w:t>%, m</w:t>
      </w:r>
      <w:r w:rsidR="00910837">
        <w:rPr>
          <w:rFonts w:ascii="Verdana" w:hAnsi="Verdana"/>
          <w:sz w:val="22"/>
          <w:szCs w:val="22"/>
        </w:rPr>
        <w:t>ayor</w:t>
      </w:r>
      <w:r w:rsidRPr="00BB1432">
        <w:rPr>
          <w:rFonts w:ascii="Verdana" w:hAnsi="Verdana"/>
          <w:sz w:val="22"/>
          <w:szCs w:val="22"/>
        </w:rPr>
        <w:t xml:space="preserve"> que el ratio no anualizado de la cuenta.</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4.3</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Margen Neto de Interés</w:t>
      </w:r>
    </w:p>
    <w:tbl>
      <w:tblPr>
        <w:tblStyle w:val="Tablaconcuadrcula"/>
        <w:tblW w:w="0" w:type="auto"/>
        <w:tblInd w:w="1548" w:type="dxa"/>
        <w:tblLook w:val="01E0"/>
      </w:tblPr>
      <w:tblGrid>
        <w:gridCol w:w="2651"/>
        <w:gridCol w:w="2580"/>
      </w:tblGrid>
      <w:tr w:rsidR="00053FF4" w:rsidRPr="00BB1432">
        <w:trPr>
          <w:trHeight w:val="571"/>
        </w:trPr>
        <w:tc>
          <w:tcPr>
            <w:tcW w:w="2651" w:type="dxa"/>
            <w:shd w:val="clear" w:color="auto" w:fill="FFFF00"/>
          </w:tcPr>
          <w:p w:rsidR="00053FF4" w:rsidRPr="00BB1432" w:rsidRDefault="00053FF4" w:rsidP="0078606C">
            <w:pPr>
              <w:spacing w:line="480" w:lineRule="auto"/>
              <w:jc w:val="center"/>
              <w:rPr>
                <w:rFonts w:ascii="Verdana" w:hAnsi="Verdana"/>
                <w:b/>
                <w:sz w:val="22"/>
                <w:szCs w:val="22"/>
              </w:rPr>
            </w:pPr>
            <w:r w:rsidRPr="00BB1432">
              <w:rPr>
                <w:rFonts w:ascii="Verdana" w:hAnsi="Verdana"/>
                <w:b/>
                <w:sz w:val="22"/>
                <w:szCs w:val="22"/>
              </w:rPr>
              <w:t>REAL</w:t>
            </w:r>
          </w:p>
        </w:tc>
        <w:tc>
          <w:tcPr>
            <w:tcW w:w="2580" w:type="dxa"/>
          </w:tcPr>
          <w:p w:rsidR="00053FF4" w:rsidRPr="00BB1432" w:rsidRDefault="00053FF4" w:rsidP="0078606C">
            <w:pPr>
              <w:spacing w:line="480" w:lineRule="auto"/>
              <w:jc w:val="center"/>
              <w:rPr>
                <w:rFonts w:ascii="Verdana" w:hAnsi="Verdana"/>
                <w:sz w:val="22"/>
                <w:szCs w:val="22"/>
              </w:rPr>
            </w:pPr>
            <w:r w:rsidRPr="00BB1432">
              <w:rPr>
                <w:rFonts w:ascii="Verdana" w:hAnsi="Verdana"/>
                <w:sz w:val="22"/>
                <w:szCs w:val="22"/>
              </w:rPr>
              <w:t>US$ 7’023,868</w:t>
            </w:r>
          </w:p>
        </w:tc>
      </w:tr>
      <w:tr w:rsidR="00053FF4" w:rsidRPr="00BB1432">
        <w:trPr>
          <w:trHeight w:val="556"/>
        </w:trPr>
        <w:tc>
          <w:tcPr>
            <w:tcW w:w="2651" w:type="dxa"/>
            <w:shd w:val="clear" w:color="auto" w:fill="FFFF00"/>
          </w:tcPr>
          <w:p w:rsidR="00053FF4" w:rsidRPr="00BB1432" w:rsidRDefault="00053FF4"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2580" w:type="dxa"/>
          </w:tcPr>
          <w:p w:rsidR="00053FF4" w:rsidRPr="00BB1432" w:rsidRDefault="00053FF4" w:rsidP="0078606C">
            <w:pPr>
              <w:spacing w:line="480" w:lineRule="auto"/>
              <w:jc w:val="center"/>
              <w:rPr>
                <w:rFonts w:ascii="Verdana" w:hAnsi="Verdana"/>
                <w:sz w:val="22"/>
                <w:szCs w:val="22"/>
              </w:rPr>
            </w:pPr>
            <w:r w:rsidRPr="00BB1432">
              <w:rPr>
                <w:rFonts w:ascii="Verdana" w:hAnsi="Verdana"/>
                <w:sz w:val="22"/>
                <w:szCs w:val="22"/>
              </w:rPr>
              <w:t xml:space="preserve">US$ </w:t>
            </w:r>
            <w:r w:rsidR="00910837">
              <w:rPr>
                <w:rFonts w:ascii="Verdana" w:hAnsi="Verdana"/>
                <w:sz w:val="22"/>
                <w:szCs w:val="22"/>
              </w:rPr>
              <w:t>12</w:t>
            </w:r>
            <w:r w:rsidRPr="00BB1432">
              <w:rPr>
                <w:rFonts w:ascii="Verdana" w:hAnsi="Verdana"/>
                <w:sz w:val="22"/>
                <w:szCs w:val="22"/>
              </w:rPr>
              <w:t>’</w:t>
            </w:r>
            <w:r w:rsidR="00910837">
              <w:rPr>
                <w:rFonts w:ascii="Verdana" w:hAnsi="Verdana"/>
                <w:sz w:val="22"/>
                <w:szCs w:val="22"/>
              </w:rPr>
              <w:t>282</w:t>
            </w:r>
            <w:r w:rsidRPr="00BB1432">
              <w:rPr>
                <w:rFonts w:ascii="Verdana" w:hAnsi="Verdana"/>
                <w:sz w:val="22"/>
                <w:szCs w:val="22"/>
              </w:rPr>
              <w:t>,</w:t>
            </w:r>
            <w:r w:rsidR="00910837">
              <w:rPr>
                <w:rFonts w:ascii="Verdana" w:hAnsi="Verdana"/>
                <w:sz w:val="22"/>
                <w:szCs w:val="22"/>
              </w:rPr>
              <w:t>792</w:t>
            </w:r>
          </w:p>
        </w:tc>
      </w:tr>
      <w:tr w:rsidR="00053FF4" w:rsidRPr="00BB1432">
        <w:trPr>
          <w:trHeight w:val="571"/>
        </w:trPr>
        <w:tc>
          <w:tcPr>
            <w:tcW w:w="2651" w:type="dxa"/>
            <w:shd w:val="clear" w:color="auto" w:fill="FFFF00"/>
          </w:tcPr>
          <w:p w:rsidR="00053FF4"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2580" w:type="dxa"/>
          </w:tcPr>
          <w:p w:rsidR="00053FF4" w:rsidRPr="00BB1432" w:rsidRDefault="00910837" w:rsidP="0078606C">
            <w:pPr>
              <w:spacing w:line="480" w:lineRule="auto"/>
              <w:jc w:val="center"/>
              <w:rPr>
                <w:rFonts w:ascii="Verdana" w:hAnsi="Verdana"/>
                <w:sz w:val="22"/>
                <w:szCs w:val="22"/>
              </w:rPr>
            </w:pPr>
            <w:r>
              <w:rPr>
                <w:rFonts w:ascii="Verdana" w:hAnsi="Verdana"/>
                <w:sz w:val="22"/>
                <w:szCs w:val="22"/>
              </w:rPr>
              <w:t>74</w:t>
            </w:r>
            <w:r w:rsidR="00053FF4" w:rsidRPr="00BB1432">
              <w:rPr>
                <w:rFonts w:ascii="Verdana" w:hAnsi="Verdana"/>
                <w:sz w:val="22"/>
                <w:szCs w:val="22"/>
              </w:rPr>
              <w:t>.8</w:t>
            </w:r>
            <w:r>
              <w:rPr>
                <w:rFonts w:ascii="Verdana" w:hAnsi="Verdana"/>
                <w:sz w:val="22"/>
                <w:szCs w:val="22"/>
              </w:rPr>
              <w:t>7</w:t>
            </w:r>
            <w:r w:rsidR="00053FF4" w:rsidRPr="00BB1432">
              <w:rPr>
                <w:rFonts w:ascii="Verdana" w:hAnsi="Verdana"/>
                <w:sz w:val="22"/>
                <w:szCs w:val="22"/>
              </w:rPr>
              <w:t>%</w:t>
            </w:r>
          </w:p>
        </w:tc>
      </w:tr>
    </w:tbl>
    <w:p w:rsidR="00134258" w:rsidRDefault="00134258" w:rsidP="00FE1B80">
      <w:pPr>
        <w:spacing w:line="480" w:lineRule="auto"/>
        <w:ind w:firstLine="1440"/>
        <w:rPr>
          <w:rFonts w:ascii="Verdana" w:hAnsi="Verdana"/>
          <w:b/>
          <w:i/>
          <w:sz w:val="18"/>
          <w:szCs w:val="18"/>
        </w:rPr>
      </w:pPr>
    </w:p>
    <w:p w:rsidR="002337D7" w:rsidRPr="008333A5" w:rsidRDefault="002337D7" w:rsidP="00FE1B80">
      <w:pPr>
        <w:spacing w:line="480" w:lineRule="auto"/>
        <w:ind w:firstLine="144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center"/>
        <w:rPr>
          <w:rFonts w:ascii="Verdana" w:hAnsi="Verdana"/>
          <w:b/>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Como se apreció en el gráfico, el ratio ha demostrado una tendencia estable hacia la baja en los últimos trimestres de estudio, p</w:t>
      </w:r>
      <w:r w:rsidR="00385A8B">
        <w:rPr>
          <w:rFonts w:ascii="Verdana" w:hAnsi="Verdana"/>
          <w:sz w:val="22"/>
          <w:szCs w:val="22"/>
        </w:rPr>
        <w:t>ero el margen de error es alto, esto se debe a las últimas inversiones realizadas.</w:t>
      </w:r>
    </w:p>
    <w:p w:rsidR="00C81EE6" w:rsidRPr="00BB1432" w:rsidRDefault="00C81EE6" w:rsidP="0078606C">
      <w:pPr>
        <w:spacing w:line="480" w:lineRule="auto"/>
        <w:ind w:firstLine="708"/>
        <w:jc w:val="both"/>
        <w:rPr>
          <w:rFonts w:ascii="Verdana" w:hAnsi="Verdana"/>
          <w:sz w:val="22"/>
          <w:szCs w:val="22"/>
        </w:rPr>
      </w:pPr>
    </w:p>
    <w:p w:rsidR="00C81EE6" w:rsidRPr="00BB1432" w:rsidRDefault="00C81EE6" w:rsidP="0078606C">
      <w:pPr>
        <w:spacing w:line="480" w:lineRule="auto"/>
        <w:ind w:firstLine="708"/>
        <w:jc w:val="both"/>
        <w:rPr>
          <w:rFonts w:ascii="Verdana" w:hAnsi="Verdana"/>
          <w:sz w:val="22"/>
          <w:szCs w:val="22"/>
        </w:rPr>
      </w:pPr>
      <w:r w:rsidRPr="00BB1432">
        <w:rPr>
          <w:rFonts w:ascii="Verdana" w:hAnsi="Verdana"/>
          <w:sz w:val="22"/>
          <w:szCs w:val="22"/>
        </w:rPr>
        <w:t xml:space="preserve">El ratio </w:t>
      </w:r>
      <w:r w:rsidR="009942DD" w:rsidRPr="00BB1432">
        <w:rPr>
          <w:rFonts w:ascii="Verdana" w:hAnsi="Verdana"/>
          <w:sz w:val="22"/>
          <w:szCs w:val="22"/>
        </w:rPr>
        <w:t>del sistema es de 8</w:t>
      </w:r>
      <w:r w:rsidRPr="00BB1432">
        <w:rPr>
          <w:rFonts w:ascii="Verdana" w:hAnsi="Verdana"/>
          <w:sz w:val="22"/>
          <w:szCs w:val="22"/>
        </w:rPr>
        <w:t>.2</w:t>
      </w:r>
      <w:r w:rsidR="009942DD" w:rsidRPr="00BB1432">
        <w:rPr>
          <w:rFonts w:ascii="Verdana" w:hAnsi="Verdana"/>
          <w:sz w:val="22"/>
          <w:szCs w:val="22"/>
        </w:rPr>
        <w:t>4</w:t>
      </w:r>
      <w:r w:rsidRPr="00BB1432">
        <w:rPr>
          <w:rFonts w:ascii="Verdana" w:hAnsi="Verdana"/>
          <w:sz w:val="22"/>
          <w:szCs w:val="22"/>
        </w:rPr>
        <w:t xml:space="preserve">%, siendo el mayor el del Banco del Austro (0.0990), y el menor el del </w:t>
      </w:r>
      <w:r w:rsidR="001370E6">
        <w:rPr>
          <w:rFonts w:ascii="Verdana" w:hAnsi="Verdana"/>
          <w:sz w:val="22"/>
          <w:szCs w:val="22"/>
        </w:rPr>
        <w:t>MM Jaramillo</w:t>
      </w:r>
      <w:r w:rsidRPr="00BB1432">
        <w:rPr>
          <w:rFonts w:ascii="Verdana" w:hAnsi="Verdana"/>
          <w:sz w:val="22"/>
          <w:szCs w:val="22"/>
        </w:rPr>
        <w:t xml:space="preserve"> con </w:t>
      </w:r>
      <w:r w:rsidR="001370E6">
        <w:rPr>
          <w:rFonts w:ascii="Verdana" w:hAnsi="Verdana"/>
          <w:sz w:val="22"/>
          <w:szCs w:val="22"/>
        </w:rPr>
        <w:t>4</w:t>
      </w:r>
      <w:r w:rsidRPr="00BB1432">
        <w:rPr>
          <w:rFonts w:ascii="Verdana" w:hAnsi="Verdana"/>
          <w:sz w:val="22"/>
          <w:szCs w:val="22"/>
        </w:rPr>
        <w:t>.</w:t>
      </w:r>
      <w:r w:rsidR="001370E6">
        <w:rPr>
          <w:rFonts w:ascii="Verdana" w:hAnsi="Verdana"/>
          <w:sz w:val="22"/>
          <w:szCs w:val="22"/>
        </w:rPr>
        <w:t>21</w:t>
      </w:r>
      <w:r w:rsidRPr="00BB1432">
        <w:rPr>
          <w:rFonts w:ascii="Verdana" w:hAnsi="Verdana"/>
          <w:sz w:val="22"/>
          <w:szCs w:val="22"/>
        </w:rPr>
        <w:t>%</w:t>
      </w: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COMISIONES NETAS</w:t>
      </w: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CN</w:t>
      </w:r>
      <w:r w:rsidRPr="00BB1432">
        <w:rPr>
          <w:rFonts w:ascii="Verdana" w:hAnsi="Verdana"/>
          <w:sz w:val="22"/>
          <w:szCs w:val="22"/>
          <w:vertAlign w:val="subscript"/>
        </w:rPr>
        <w:t>T+1</w:t>
      </w:r>
      <w:r w:rsidRPr="00BB1432">
        <w:rPr>
          <w:rFonts w:ascii="Verdana" w:hAnsi="Verdana"/>
          <w:sz w:val="22"/>
          <w:szCs w:val="22"/>
        </w:rPr>
        <w:t xml:space="preserve"> = Ratio (CN</w:t>
      </w:r>
      <w:r w:rsidRPr="00BB1432">
        <w:rPr>
          <w:rFonts w:ascii="Verdana" w:hAnsi="Verdana"/>
          <w:sz w:val="22"/>
          <w:szCs w:val="22"/>
          <w:vertAlign w:val="subscript"/>
        </w:rPr>
        <w:t>t</w:t>
      </w:r>
      <w:r w:rsidRPr="00BB1432">
        <w:rPr>
          <w:rFonts w:ascii="Verdana" w:hAnsi="Verdana"/>
          <w:sz w:val="22"/>
          <w:szCs w:val="22"/>
        </w:rPr>
        <w:t>, C</w:t>
      </w:r>
      <w:r w:rsidRPr="00BB1432">
        <w:rPr>
          <w:rFonts w:ascii="Verdana" w:hAnsi="Verdana"/>
          <w:sz w:val="22"/>
          <w:szCs w:val="22"/>
          <w:vertAlign w:val="subscript"/>
        </w:rPr>
        <w:t>t</w:t>
      </w:r>
      <w:r w:rsidRPr="00BB1432">
        <w:rPr>
          <w:rFonts w:ascii="Verdana" w:hAnsi="Verdana"/>
          <w:sz w:val="22"/>
          <w:szCs w:val="22"/>
        </w:rPr>
        <w:t>) * C</w:t>
      </w:r>
      <w:r w:rsidRPr="00BB1432">
        <w:rPr>
          <w:rFonts w:ascii="Verdana" w:hAnsi="Verdana"/>
          <w:sz w:val="22"/>
          <w:szCs w:val="22"/>
          <w:vertAlign w:val="subscript"/>
        </w:rPr>
        <w:t>T+1</w:t>
      </w:r>
    </w:p>
    <w:p w:rsidR="0078606C" w:rsidRPr="00BB1432" w:rsidRDefault="0078606C" w:rsidP="0078606C">
      <w:pPr>
        <w:spacing w:line="480" w:lineRule="auto"/>
        <w:jc w:val="both"/>
        <w:rPr>
          <w:rFonts w:ascii="Verdana" w:hAnsi="Verdana"/>
          <w:sz w:val="22"/>
          <w:szCs w:val="22"/>
        </w:rPr>
      </w:pPr>
    </w:p>
    <w:p w:rsidR="0078606C" w:rsidRDefault="0078606C" w:rsidP="00384CD3">
      <w:pPr>
        <w:spacing w:line="480" w:lineRule="auto"/>
        <w:ind w:firstLine="708"/>
        <w:jc w:val="both"/>
        <w:rPr>
          <w:rFonts w:ascii="Verdana" w:hAnsi="Verdana"/>
          <w:b/>
          <w:sz w:val="22"/>
          <w:szCs w:val="22"/>
        </w:rPr>
      </w:pPr>
      <w:r w:rsidRPr="00BB1432">
        <w:rPr>
          <w:rFonts w:ascii="Verdana" w:hAnsi="Verdana"/>
          <w:sz w:val="22"/>
          <w:szCs w:val="22"/>
        </w:rPr>
        <w:t>El ratio Comisiones Netas / Cartera de Créditos presenta un comportamiento relativamente</w:t>
      </w:r>
      <w:r w:rsidR="005324BA" w:rsidRPr="00BB1432">
        <w:rPr>
          <w:rFonts w:ascii="Verdana" w:hAnsi="Verdana"/>
          <w:sz w:val="22"/>
          <w:szCs w:val="22"/>
        </w:rPr>
        <w:t xml:space="preserve"> estable</w:t>
      </w:r>
      <w:r w:rsidRPr="00BB1432">
        <w:rPr>
          <w:rFonts w:ascii="Verdana" w:hAnsi="Verdana"/>
          <w:sz w:val="22"/>
          <w:szCs w:val="22"/>
        </w:rPr>
        <w:t xml:space="preserve">, especialmente durante los primeros trimestres analizados, habiendo un importante ascenso en </w:t>
      </w:r>
      <w:r w:rsidR="004338D4" w:rsidRPr="00BB1432">
        <w:rPr>
          <w:rFonts w:ascii="Verdana" w:hAnsi="Verdana"/>
          <w:sz w:val="22"/>
          <w:szCs w:val="22"/>
        </w:rPr>
        <w:t>Marzo del 2006</w:t>
      </w:r>
      <w:r w:rsidRPr="00BB1432">
        <w:rPr>
          <w:rFonts w:ascii="Verdana" w:hAnsi="Verdana"/>
          <w:sz w:val="22"/>
          <w:szCs w:val="22"/>
        </w:rPr>
        <w:t>, debido a una variación acontecida en comisiones cobradas por la institución.</w:t>
      </w:r>
    </w:p>
    <w:p w:rsidR="00FE1B80" w:rsidRPr="00BB1432" w:rsidRDefault="00FE1B80" w:rsidP="00384CD3">
      <w:pPr>
        <w:spacing w:line="480" w:lineRule="auto"/>
        <w:ind w:firstLine="708"/>
        <w:jc w:val="both"/>
        <w:rPr>
          <w:rFonts w:ascii="Verdana" w:hAnsi="Verdana"/>
          <w:b/>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4.2</w:t>
      </w:r>
    </w:p>
    <w:p w:rsidR="0078606C" w:rsidRPr="00BB1432" w:rsidRDefault="00006ACE" w:rsidP="0078606C">
      <w:pPr>
        <w:spacing w:line="480" w:lineRule="auto"/>
        <w:jc w:val="center"/>
        <w:rPr>
          <w:sz w:val="22"/>
          <w:szCs w:val="22"/>
        </w:rPr>
      </w:pPr>
      <w:r>
        <w:rPr>
          <w:noProof/>
          <w:sz w:val="22"/>
          <w:szCs w:val="22"/>
          <w:lang w:val="es-ES" w:eastAsia="es-ES"/>
        </w:rPr>
        <w:drawing>
          <wp:inline distT="0" distB="0" distL="0" distR="0">
            <wp:extent cx="5248275" cy="3048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5248275" cy="3048000"/>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Default="0078606C"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Durante los períodos observados, el ratio pr</w:t>
      </w:r>
      <w:r w:rsidR="004338D4" w:rsidRPr="00BB1432">
        <w:rPr>
          <w:rFonts w:ascii="Verdana" w:hAnsi="Verdana"/>
          <w:sz w:val="22"/>
          <w:szCs w:val="22"/>
        </w:rPr>
        <w:t>esenta un valor máximo de 0.4142</w:t>
      </w:r>
      <w:r w:rsidRPr="00BB1432">
        <w:rPr>
          <w:rFonts w:ascii="Verdana" w:hAnsi="Verdana"/>
          <w:sz w:val="22"/>
          <w:szCs w:val="22"/>
        </w:rPr>
        <w:t>, y un mínimo de 0.1953, gen</w:t>
      </w:r>
      <w:r w:rsidR="004338D4" w:rsidRPr="00BB1432">
        <w:rPr>
          <w:rFonts w:ascii="Verdana" w:hAnsi="Verdana"/>
          <w:sz w:val="22"/>
          <w:szCs w:val="22"/>
        </w:rPr>
        <w:t>erando así una mediana de 0.3609</w:t>
      </w:r>
      <w:r w:rsidRPr="00BB1432">
        <w:rPr>
          <w:rFonts w:ascii="Verdana" w:hAnsi="Verdana"/>
          <w:sz w:val="22"/>
          <w:szCs w:val="22"/>
        </w:rPr>
        <w:t xml:space="preserve">, y un promedio de 0.3247 (desde Junio del 2006 hasta Diciembre del mismo año), con un coeficiente de </w:t>
      </w:r>
      <w:r w:rsidR="004338D4" w:rsidRPr="00BB1432">
        <w:rPr>
          <w:rFonts w:ascii="Verdana" w:hAnsi="Verdana"/>
          <w:sz w:val="22"/>
          <w:szCs w:val="22"/>
        </w:rPr>
        <w:t>correlación de 0.9273</w:t>
      </w:r>
      <w:r w:rsidR="00A536D6" w:rsidRPr="00BB1432">
        <w:rPr>
          <w:rFonts w:ascii="Verdana" w:hAnsi="Verdana"/>
          <w:sz w:val="22"/>
          <w:szCs w:val="22"/>
        </w:rPr>
        <w:t>, relativamente alto. Se tomó</w:t>
      </w:r>
      <w:r w:rsidRPr="00BB1432">
        <w:rPr>
          <w:rFonts w:ascii="Verdana" w:hAnsi="Verdana"/>
          <w:sz w:val="22"/>
          <w:szCs w:val="22"/>
        </w:rPr>
        <w:t xml:space="preserve"> este promedio, por el comportamiento atípico</w:t>
      </w:r>
      <w:r w:rsidR="005324BA" w:rsidRPr="00BB1432">
        <w:rPr>
          <w:rFonts w:ascii="Verdana" w:hAnsi="Verdana"/>
          <w:sz w:val="22"/>
          <w:szCs w:val="22"/>
        </w:rPr>
        <w:t xml:space="preserve"> de la cuenta durante los últimos</w:t>
      </w:r>
      <w:r w:rsidRPr="00BB1432">
        <w:rPr>
          <w:rFonts w:ascii="Verdana" w:hAnsi="Verdana"/>
          <w:sz w:val="22"/>
          <w:szCs w:val="22"/>
        </w:rPr>
        <w:t xml:space="preserve"> meses de los períodos analizados.</w:t>
      </w:r>
    </w:p>
    <w:p w:rsidR="00384CD3" w:rsidRDefault="00384CD3"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siguiente cuadro muestra el margen de error por esta cuenta para el último trimestre del 2006, considerando el promedio señalado como factor de proyección.</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4.4</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Comisiones Netas</w:t>
      </w:r>
    </w:p>
    <w:tbl>
      <w:tblPr>
        <w:tblStyle w:val="Tablaconcuadrcula"/>
        <w:tblW w:w="0" w:type="auto"/>
        <w:jc w:val="center"/>
        <w:tblInd w:w="-64" w:type="dxa"/>
        <w:tblLook w:val="01E0"/>
      </w:tblPr>
      <w:tblGrid>
        <w:gridCol w:w="2654"/>
        <w:gridCol w:w="2318"/>
      </w:tblGrid>
      <w:tr w:rsidR="00BD2798" w:rsidRPr="00BB1432">
        <w:trPr>
          <w:jc w:val="center"/>
        </w:trPr>
        <w:tc>
          <w:tcPr>
            <w:tcW w:w="2654" w:type="dxa"/>
            <w:shd w:val="clear" w:color="auto" w:fill="FFFF00"/>
          </w:tcPr>
          <w:p w:rsidR="00BD2798" w:rsidRPr="00BB1432" w:rsidRDefault="00BD2798" w:rsidP="0078606C">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BD2798" w:rsidRPr="00BB1432" w:rsidRDefault="00BD2798" w:rsidP="0078606C">
            <w:pPr>
              <w:spacing w:line="480" w:lineRule="auto"/>
              <w:jc w:val="center"/>
              <w:rPr>
                <w:rFonts w:ascii="Verdana" w:hAnsi="Verdana"/>
                <w:sz w:val="22"/>
                <w:szCs w:val="22"/>
              </w:rPr>
            </w:pPr>
            <w:r w:rsidRPr="00BB1432">
              <w:rPr>
                <w:rFonts w:ascii="Verdana" w:hAnsi="Verdana"/>
                <w:sz w:val="22"/>
                <w:szCs w:val="22"/>
              </w:rPr>
              <w:t>US$ 58’729,573</w:t>
            </w:r>
          </w:p>
        </w:tc>
      </w:tr>
      <w:tr w:rsidR="00BD2798" w:rsidRPr="00BB1432">
        <w:trPr>
          <w:jc w:val="center"/>
        </w:trPr>
        <w:tc>
          <w:tcPr>
            <w:tcW w:w="2654" w:type="dxa"/>
            <w:shd w:val="clear" w:color="auto" w:fill="FFFF00"/>
          </w:tcPr>
          <w:p w:rsidR="00BD2798" w:rsidRPr="00BB1432" w:rsidRDefault="00BD2798"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BD2798" w:rsidRPr="00BB1432" w:rsidRDefault="00BD2798" w:rsidP="0078606C">
            <w:pPr>
              <w:spacing w:line="480" w:lineRule="auto"/>
              <w:jc w:val="center"/>
              <w:rPr>
                <w:rFonts w:ascii="Verdana" w:hAnsi="Verdana"/>
                <w:sz w:val="22"/>
                <w:szCs w:val="22"/>
              </w:rPr>
            </w:pPr>
            <w:r w:rsidRPr="00BB1432">
              <w:rPr>
                <w:rFonts w:ascii="Verdana" w:hAnsi="Verdana"/>
                <w:sz w:val="22"/>
                <w:szCs w:val="22"/>
              </w:rPr>
              <w:t>US$ 63’859,618</w:t>
            </w:r>
          </w:p>
        </w:tc>
      </w:tr>
      <w:tr w:rsidR="00BD2798" w:rsidRPr="00BB1432">
        <w:trPr>
          <w:jc w:val="center"/>
        </w:trPr>
        <w:tc>
          <w:tcPr>
            <w:tcW w:w="2654" w:type="dxa"/>
            <w:shd w:val="clear" w:color="auto" w:fill="FFFF00"/>
          </w:tcPr>
          <w:p w:rsidR="00BD2798"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BD2798" w:rsidRPr="00BB1432" w:rsidRDefault="00BD2798" w:rsidP="0078606C">
            <w:pPr>
              <w:spacing w:line="480" w:lineRule="auto"/>
              <w:jc w:val="center"/>
              <w:rPr>
                <w:rFonts w:ascii="Verdana" w:hAnsi="Verdana"/>
                <w:sz w:val="22"/>
                <w:szCs w:val="22"/>
              </w:rPr>
            </w:pPr>
            <w:r w:rsidRPr="00BB1432">
              <w:rPr>
                <w:rFonts w:ascii="Verdana" w:hAnsi="Verdana"/>
                <w:sz w:val="22"/>
                <w:szCs w:val="22"/>
              </w:rPr>
              <w:t>8.74%</w:t>
            </w:r>
          </w:p>
        </w:tc>
      </w:tr>
    </w:tbl>
    <w:p w:rsidR="00134258" w:rsidRDefault="00134258" w:rsidP="00FE1B80">
      <w:pPr>
        <w:spacing w:line="480" w:lineRule="auto"/>
        <w:ind w:firstLine="1620"/>
        <w:rPr>
          <w:rFonts w:ascii="Verdana" w:hAnsi="Verdana"/>
          <w:b/>
          <w:i/>
          <w:sz w:val="18"/>
          <w:szCs w:val="18"/>
        </w:rPr>
      </w:pPr>
    </w:p>
    <w:p w:rsidR="002337D7" w:rsidRPr="008333A5" w:rsidRDefault="002337D7" w:rsidP="00FE1B80">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center"/>
        <w:rPr>
          <w:rFonts w:ascii="Verdana" w:hAnsi="Verdana"/>
          <w:b/>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Como se observa en el cuadro anterior, el margen de error es relativamente bajo debido a las variaciones presentadas en el ratio CN / C provocada por los distintos niveles fluctuantes de comisiones e ingresos generados en la institución.</w:t>
      </w:r>
    </w:p>
    <w:p w:rsidR="00C81EE6" w:rsidRPr="00BB1432" w:rsidRDefault="00C81EE6" w:rsidP="0078606C">
      <w:pPr>
        <w:spacing w:line="480" w:lineRule="auto"/>
        <w:ind w:firstLine="708"/>
        <w:jc w:val="both"/>
        <w:rPr>
          <w:rFonts w:ascii="Verdana" w:hAnsi="Verdana"/>
          <w:sz w:val="22"/>
          <w:szCs w:val="22"/>
        </w:rPr>
      </w:pPr>
    </w:p>
    <w:p w:rsidR="00C81EE6" w:rsidRPr="00BB1432" w:rsidRDefault="00F92429" w:rsidP="0078606C">
      <w:pPr>
        <w:spacing w:line="480" w:lineRule="auto"/>
        <w:ind w:firstLine="708"/>
        <w:jc w:val="both"/>
        <w:rPr>
          <w:rFonts w:ascii="Verdana" w:hAnsi="Verdana"/>
          <w:sz w:val="22"/>
          <w:szCs w:val="22"/>
        </w:rPr>
      </w:pPr>
      <w:r w:rsidRPr="00BB1432">
        <w:rPr>
          <w:rFonts w:ascii="Verdana" w:hAnsi="Verdana"/>
          <w:sz w:val="22"/>
          <w:szCs w:val="22"/>
        </w:rPr>
        <w:t>El ratio</w:t>
      </w:r>
      <w:r w:rsidR="00C81EE6" w:rsidRPr="00BB1432">
        <w:rPr>
          <w:rFonts w:ascii="Verdana" w:hAnsi="Verdana"/>
          <w:sz w:val="22"/>
          <w:szCs w:val="22"/>
        </w:rPr>
        <w:t xml:space="preserve"> del sistema es</w:t>
      </w:r>
      <w:r w:rsidRPr="00BB1432">
        <w:rPr>
          <w:rFonts w:ascii="Verdana" w:hAnsi="Verdana"/>
          <w:sz w:val="22"/>
          <w:szCs w:val="22"/>
        </w:rPr>
        <w:t xml:space="preserve"> de 5</w:t>
      </w:r>
      <w:r w:rsidR="00C81EE6" w:rsidRPr="00BB1432">
        <w:rPr>
          <w:rFonts w:ascii="Verdana" w:hAnsi="Verdana"/>
          <w:sz w:val="22"/>
          <w:szCs w:val="22"/>
        </w:rPr>
        <w:t>.</w:t>
      </w:r>
      <w:r w:rsidRPr="00BB1432">
        <w:rPr>
          <w:rFonts w:ascii="Verdana" w:hAnsi="Verdana"/>
          <w:sz w:val="22"/>
          <w:szCs w:val="22"/>
        </w:rPr>
        <w:t>44</w:t>
      </w:r>
      <w:r w:rsidR="00C81EE6" w:rsidRPr="00BB1432">
        <w:rPr>
          <w:rFonts w:ascii="Verdana" w:hAnsi="Verdana"/>
          <w:sz w:val="22"/>
          <w:szCs w:val="22"/>
        </w:rPr>
        <w:t>%, siendo el menor el del Banco</w:t>
      </w:r>
      <w:r w:rsidRPr="00BB1432">
        <w:rPr>
          <w:rFonts w:ascii="Verdana" w:hAnsi="Verdana"/>
          <w:sz w:val="22"/>
          <w:szCs w:val="22"/>
        </w:rPr>
        <w:t xml:space="preserve"> del Austro con 3.94%, y el</w:t>
      </w:r>
      <w:r w:rsidR="00C81EE6" w:rsidRPr="00BB1432">
        <w:rPr>
          <w:rFonts w:ascii="Verdana" w:hAnsi="Verdana"/>
          <w:sz w:val="22"/>
          <w:szCs w:val="22"/>
        </w:rPr>
        <w:t xml:space="preserve"> del Banco Solidario con 4.53%.</w:t>
      </w:r>
    </w:p>
    <w:p w:rsidR="00F92429" w:rsidRDefault="00F92429"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GASTO DE PROVISIÓN DE CUENTAS INCOBRABLES</w:t>
      </w:r>
    </w:p>
    <w:p w:rsidR="0078606C" w:rsidRPr="00BB1432" w:rsidRDefault="0078606C" w:rsidP="0078606C">
      <w:pPr>
        <w:spacing w:line="480" w:lineRule="auto"/>
        <w:jc w:val="both"/>
        <w:rPr>
          <w:rFonts w:ascii="Verdana" w:hAnsi="Verdana"/>
          <w:sz w:val="22"/>
          <w:szCs w:val="22"/>
        </w:rPr>
      </w:pPr>
      <w:r w:rsidRPr="00BB1432">
        <w:rPr>
          <w:rFonts w:ascii="Verdana" w:hAnsi="Verdana"/>
          <w:b/>
          <w:sz w:val="22"/>
          <w:szCs w:val="22"/>
        </w:rPr>
        <w:tab/>
      </w:r>
      <w:r w:rsidRPr="00BB1432">
        <w:rPr>
          <w:rFonts w:ascii="Verdana" w:hAnsi="Verdana"/>
          <w:sz w:val="22"/>
          <w:szCs w:val="22"/>
        </w:rPr>
        <w:t>GPCI</w:t>
      </w:r>
      <w:r w:rsidRPr="00BB1432">
        <w:rPr>
          <w:rFonts w:ascii="Verdana" w:hAnsi="Verdana"/>
          <w:sz w:val="22"/>
          <w:szCs w:val="22"/>
          <w:vertAlign w:val="subscript"/>
        </w:rPr>
        <w:t>T+1</w:t>
      </w:r>
      <w:r w:rsidRPr="00BB1432">
        <w:rPr>
          <w:rFonts w:ascii="Verdana" w:hAnsi="Verdana"/>
          <w:sz w:val="22"/>
          <w:szCs w:val="22"/>
        </w:rPr>
        <w:t xml:space="preserve"> = Ratio (GPCI</w:t>
      </w:r>
      <w:r w:rsidRPr="00BB1432">
        <w:rPr>
          <w:rFonts w:ascii="Verdana" w:hAnsi="Verdana"/>
          <w:sz w:val="22"/>
          <w:szCs w:val="22"/>
          <w:vertAlign w:val="subscript"/>
        </w:rPr>
        <w:t>t</w:t>
      </w:r>
      <w:r w:rsidRPr="00BB1432">
        <w:rPr>
          <w:rFonts w:ascii="Verdana" w:hAnsi="Verdana"/>
          <w:sz w:val="22"/>
          <w:szCs w:val="22"/>
        </w:rPr>
        <w:t>, CV</w:t>
      </w:r>
      <w:r w:rsidRPr="00BB1432">
        <w:rPr>
          <w:rFonts w:ascii="Verdana" w:hAnsi="Verdana"/>
          <w:sz w:val="22"/>
          <w:szCs w:val="22"/>
          <w:vertAlign w:val="subscript"/>
        </w:rPr>
        <w:t>t</w:t>
      </w:r>
      <w:r w:rsidRPr="00BB1432">
        <w:rPr>
          <w:rFonts w:ascii="Verdana" w:hAnsi="Verdana"/>
          <w:sz w:val="22"/>
          <w:szCs w:val="22"/>
        </w:rPr>
        <w:t>) * CV</w:t>
      </w:r>
      <w:r w:rsidRPr="00BB1432">
        <w:rPr>
          <w:rFonts w:ascii="Verdana" w:hAnsi="Verdana"/>
          <w:sz w:val="22"/>
          <w:szCs w:val="22"/>
          <w:vertAlign w:val="subscript"/>
        </w:rPr>
        <w:t>T+1</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 xml:space="preserve">Este ratio se lo obtiene anualizando el Gasto de Provisiones dividido por </w:t>
      </w:r>
      <w:smartTag w:uri="urn:schemas-microsoft-com:office:smarttags" w:element="PersonName">
        <w:smartTagPr>
          <w:attr w:name="ProductID" w:val="la Cartera Vencida"/>
        </w:smartTagPr>
        <w:r w:rsidRPr="00BB1432">
          <w:rPr>
            <w:rFonts w:ascii="Verdana" w:hAnsi="Verdana"/>
            <w:sz w:val="22"/>
            <w:szCs w:val="22"/>
          </w:rPr>
          <w:t>la Cartera Vencida</w:t>
        </w:r>
      </w:smartTag>
      <w:r w:rsidRPr="00BB1432">
        <w:rPr>
          <w:rFonts w:ascii="Verdana" w:hAnsi="Verdana"/>
          <w:sz w:val="22"/>
          <w:szCs w:val="22"/>
        </w:rPr>
        <w:t>, con lo cual se obtiene el siguiente gráfico:</w:t>
      </w:r>
    </w:p>
    <w:p w:rsidR="00FE1B80" w:rsidRPr="00BB1432" w:rsidRDefault="00FE1B80"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4.3</w:t>
      </w:r>
    </w:p>
    <w:p w:rsidR="00F03964" w:rsidRPr="00BB1432" w:rsidRDefault="00006ACE" w:rsidP="00F03964">
      <w:pPr>
        <w:spacing w:line="480" w:lineRule="auto"/>
        <w:jc w:val="center"/>
        <w:rPr>
          <w:rFonts w:ascii="Verdana" w:hAnsi="Verdana"/>
          <w:sz w:val="22"/>
          <w:szCs w:val="22"/>
        </w:rPr>
      </w:pPr>
      <w:r>
        <w:rPr>
          <w:noProof/>
          <w:sz w:val="22"/>
          <w:szCs w:val="22"/>
          <w:lang w:val="es-ES" w:eastAsia="es-ES"/>
        </w:rPr>
        <w:drawing>
          <wp:inline distT="0" distB="0" distL="0" distR="0">
            <wp:extent cx="5248275" cy="2847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5248275" cy="2847975"/>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 xml:space="preserve">Podemos observar que el ratio es bastante estable a partir de Marzo del 2003, con unas ligeras variaciones sobretodo en el primer y ultimo trimestre </w:t>
      </w:r>
      <w:r w:rsidR="00FE2E86" w:rsidRPr="00BB1432">
        <w:rPr>
          <w:rFonts w:ascii="Verdana" w:hAnsi="Verdana"/>
          <w:sz w:val="22"/>
          <w:szCs w:val="22"/>
        </w:rPr>
        <w:t>de cada año;</w:t>
      </w:r>
      <w:r w:rsidRPr="00BB1432">
        <w:rPr>
          <w:rFonts w:ascii="Verdana" w:hAnsi="Verdana"/>
          <w:sz w:val="22"/>
          <w:szCs w:val="22"/>
        </w:rPr>
        <w:t xml:space="preserve"> esto se debe al aumento o disminución brusca del Gasto por Pro</w:t>
      </w:r>
      <w:r w:rsidR="00FE2E86" w:rsidRPr="00BB1432">
        <w:rPr>
          <w:rFonts w:ascii="Verdana" w:hAnsi="Verdana"/>
          <w:sz w:val="22"/>
          <w:szCs w:val="22"/>
        </w:rPr>
        <w:t>visiones por parte del Unibanco en estos períodos</w:t>
      </w:r>
      <w:r w:rsidR="00F60375" w:rsidRPr="00BB1432">
        <w:rPr>
          <w:rFonts w:ascii="Verdana" w:hAnsi="Verdana"/>
          <w:sz w:val="22"/>
          <w:szCs w:val="22"/>
        </w:rPr>
        <w:t>.</w:t>
      </w:r>
    </w:p>
    <w:p w:rsidR="00384CD3" w:rsidRPr="00BB1432" w:rsidRDefault="00384CD3" w:rsidP="0078606C">
      <w:pPr>
        <w:spacing w:line="480" w:lineRule="auto"/>
        <w:ind w:firstLine="708"/>
        <w:jc w:val="both"/>
        <w:rPr>
          <w:rFonts w:ascii="Verdana" w:hAnsi="Verdana"/>
          <w:sz w:val="22"/>
          <w:szCs w:val="22"/>
        </w:rPr>
      </w:pPr>
    </w:p>
    <w:p w:rsidR="0078606C" w:rsidRPr="00BB1432" w:rsidRDefault="0078606C" w:rsidP="00FE2E86">
      <w:pPr>
        <w:spacing w:line="480" w:lineRule="auto"/>
        <w:ind w:firstLine="708"/>
        <w:jc w:val="both"/>
        <w:rPr>
          <w:rFonts w:ascii="Verdana" w:hAnsi="Verdana"/>
          <w:sz w:val="22"/>
          <w:szCs w:val="22"/>
        </w:rPr>
      </w:pPr>
      <w:r w:rsidRPr="00BB1432">
        <w:rPr>
          <w:rFonts w:ascii="Verdana" w:hAnsi="Verdana"/>
          <w:sz w:val="22"/>
          <w:szCs w:val="22"/>
        </w:rPr>
        <w:t>El valor máximo de los perio</w:t>
      </w:r>
      <w:r w:rsidR="00FE2E86" w:rsidRPr="00BB1432">
        <w:rPr>
          <w:rFonts w:ascii="Verdana" w:hAnsi="Verdana"/>
          <w:sz w:val="22"/>
          <w:szCs w:val="22"/>
        </w:rPr>
        <w:t>dos analizados está en Septiembre del 2006, con un ratio de 1.27</w:t>
      </w:r>
      <w:r w:rsidRPr="00BB1432">
        <w:rPr>
          <w:rFonts w:ascii="Verdana" w:hAnsi="Verdana"/>
          <w:sz w:val="22"/>
          <w:szCs w:val="22"/>
        </w:rPr>
        <w:t>, mientras que el valor mínimo se lo alcanzó en Marzo del 2004, con un valor de 0.14, lo que genera una mediana de 0</w:t>
      </w:r>
      <w:r w:rsidR="00FE2E86" w:rsidRPr="00BB1432">
        <w:rPr>
          <w:rFonts w:ascii="Verdana" w:hAnsi="Verdana"/>
          <w:sz w:val="22"/>
          <w:szCs w:val="22"/>
        </w:rPr>
        <w:t>.5121, con un promedio de 0.5768</w:t>
      </w:r>
      <w:r w:rsidRPr="00BB1432">
        <w:rPr>
          <w:rFonts w:ascii="Verdana" w:hAnsi="Verdana"/>
          <w:sz w:val="22"/>
          <w:szCs w:val="22"/>
        </w:rPr>
        <w:t xml:space="preserve"> y u</w:t>
      </w:r>
      <w:r w:rsidR="00FE2E86" w:rsidRPr="00BB1432">
        <w:rPr>
          <w:rFonts w:ascii="Verdana" w:hAnsi="Verdana"/>
          <w:sz w:val="22"/>
          <w:szCs w:val="22"/>
        </w:rPr>
        <w:t>na desviación estándar de 0.3069</w:t>
      </w:r>
      <w:r w:rsidRPr="00BB1432">
        <w:rPr>
          <w:rFonts w:ascii="Verdana" w:hAnsi="Verdana"/>
          <w:sz w:val="22"/>
          <w:szCs w:val="22"/>
        </w:rPr>
        <w:t>. El coeficiente de correlación presente entre las dos va</w:t>
      </w:r>
      <w:r w:rsidR="00FE2E86" w:rsidRPr="00BB1432">
        <w:rPr>
          <w:rFonts w:ascii="Verdana" w:hAnsi="Verdana"/>
          <w:sz w:val="22"/>
          <w:szCs w:val="22"/>
        </w:rPr>
        <w:t>riables analizadas es del 0.7249</w:t>
      </w:r>
    </w:p>
    <w:p w:rsidR="009330F5" w:rsidRPr="00BB1432" w:rsidRDefault="009330F5" w:rsidP="00FE2E86">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siguiente cuadro muestra el margen de error obtenido por esta cuenta para el último trimestre del 2006, tomando como ratio el valor del último periodo analizado, esto es, el ratio del cuarto trimestre del 2006.</w:t>
      </w:r>
    </w:p>
    <w:p w:rsidR="005F6680" w:rsidRPr="00BB1432" w:rsidRDefault="005F6680"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4.5</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Gasto de Provisiones</w:t>
      </w:r>
    </w:p>
    <w:tbl>
      <w:tblPr>
        <w:tblStyle w:val="Tablaconcuadrcula"/>
        <w:tblW w:w="0" w:type="auto"/>
        <w:tblInd w:w="1728" w:type="dxa"/>
        <w:tblLook w:val="01E0"/>
      </w:tblPr>
      <w:tblGrid>
        <w:gridCol w:w="2520"/>
        <w:gridCol w:w="2351"/>
      </w:tblGrid>
      <w:tr w:rsidR="00AA5526" w:rsidRPr="00BB1432">
        <w:trPr>
          <w:trHeight w:val="561"/>
        </w:trPr>
        <w:tc>
          <w:tcPr>
            <w:tcW w:w="2520" w:type="dxa"/>
            <w:shd w:val="clear" w:color="auto" w:fill="FFFF00"/>
          </w:tcPr>
          <w:p w:rsidR="00AA5526" w:rsidRPr="00BB1432" w:rsidRDefault="00AA5526" w:rsidP="0078606C">
            <w:pPr>
              <w:spacing w:line="480" w:lineRule="auto"/>
              <w:jc w:val="center"/>
              <w:rPr>
                <w:rFonts w:ascii="Verdana" w:hAnsi="Verdana"/>
                <w:b/>
                <w:sz w:val="22"/>
                <w:szCs w:val="22"/>
              </w:rPr>
            </w:pPr>
            <w:r w:rsidRPr="00BB1432">
              <w:rPr>
                <w:rFonts w:ascii="Verdana" w:hAnsi="Verdana"/>
                <w:b/>
                <w:sz w:val="22"/>
                <w:szCs w:val="22"/>
              </w:rPr>
              <w:t>REAL</w:t>
            </w:r>
          </w:p>
        </w:tc>
        <w:tc>
          <w:tcPr>
            <w:tcW w:w="2351" w:type="dxa"/>
          </w:tcPr>
          <w:p w:rsidR="00AA5526" w:rsidRPr="00BB1432" w:rsidRDefault="00AA5526" w:rsidP="0078606C">
            <w:pPr>
              <w:spacing w:line="480" w:lineRule="auto"/>
              <w:jc w:val="center"/>
              <w:rPr>
                <w:rFonts w:ascii="Verdana" w:hAnsi="Verdana"/>
                <w:sz w:val="22"/>
                <w:szCs w:val="22"/>
              </w:rPr>
            </w:pPr>
            <w:r w:rsidRPr="00BB1432">
              <w:rPr>
                <w:rFonts w:ascii="Verdana" w:hAnsi="Verdana"/>
                <w:sz w:val="22"/>
                <w:szCs w:val="22"/>
              </w:rPr>
              <w:t>US$ 27’630,873</w:t>
            </w:r>
          </w:p>
        </w:tc>
      </w:tr>
      <w:tr w:rsidR="00AA5526" w:rsidRPr="00BB1432">
        <w:trPr>
          <w:trHeight w:val="547"/>
        </w:trPr>
        <w:tc>
          <w:tcPr>
            <w:tcW w:w="2520" w:type="dxa"/>
            <w:shd w:val="clear" w:color="auto" w:fill="FFFF00"/>
          </w:tcPr>
          <w:p w:rsidR="00AA5526" w:rsidRPr="00BB1432" w:rsidRDefault="00AA5526"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2351" w:type="dxa"/>
          </w:tcPr>
          <w:p w:rsidR="00AA5526" w:rsidRPr="00BB1432" w:rsidRDefault="00AA5526" w:rsidP="0078606C">
            <w:pPr>
              <w:spacing w:line="480" w:lineRule="auto"/>
              <w:jc w:val="center"/>
              <w:rPr>
                <w:rFonts w:ascii="Verdana" w:hAnsi="Verdana"/>
                <w:sz w:val="22"/>
                <w:szCs w:val="22"/>
              </w:rPr>
            </w:pPr>
            <w:r w:rsidRPr="00BB1432">
              <w:rPr>
                <w:rFonts w:ascii="Verdana" w:hAnsi="Verdana"/>
                <w:sz w:val="22"/>
                <w:szCs w:val="22"/>
              </w:rPr>
              <w:t>US$ 28’123,016</w:t>
            </w:r>
          </w:p>
        </w:tc>
      </w:tr>
      <w:tr w:rsidR="00AA5526" w:rsidRPr="00BB1432">
        <w:trPr>
          <w:trHeight w:val="561"/>
        </w:trPr>
        <w:tc>
          <w:tcPr>
            <w:tcW w:w="2520" w:type="dxa"/>
            <w:shd w:val="clear" w:color="auto" w:fill="FFFF00"/>
          </w:tcPr>
          <w:p w:rsidR="00AA5526"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2351" w:type="dxa"/>
          </w:tcPr>
          <w:p w:rsidR="00AA5526" w:rsidRPr="00BB1432" w:rsidRDefault="00AA5526" w:rsidP="0078606C">
            <w:pPr>
              <w:spacing w:line="480" w:lineRule="auto"/>
              <w:jc w:val="center"/>
              <w:rPr>
                <w:rFonts w:ascii="Verdana" w:hAnsi="Verdana"/>
                <w:sz w:val="22"/>
                <w:szCs w:val="22"/>
              </w:rPr>
            </w:pPr>
            <w:r w:rsidRPr="00BB1432">
              <w:rPr>
                <w:rFonts w:ascii="Verdana" w:hAnsi="Verdana"/>
                <w:sz w:val="22"/>
                <w:szCs w:val="22"/>
              </w:rPr>
              <w:t>1.78%</w:t>
            </w:r>
          </w:p>
        </w:tc>
      </w:tr>
    </w:tbl>
    <w:p w:rsidR="00134258" w:rsidRDefault="00134258" w:rsidP="00FE1B80">
      <w:pPr>
        <w:spacing w:line="480" w:lineRule="auto"/>
        <w:ind w:firstLine="1620"/>
        <w:rPr>
          <w:rFonts w:ascii="Verdana" w:hAnsi="Verdana"/>
          <w:b/>
          <w:i/>
          <w:sz w:val="18"/>
          <w:szCs w:val="18"/>
        </w:rPr>
      </w:pPr>
    </w:p>
    <w:p w:rsidR="002337D7" w:rsidRPr="008333A5" w:rsidRDefault="002337D7" w:rsidP="00FE1B80">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center"/>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Como se puede observar en el cuadro, el error d</w:t>
      </w:r>
      <w:r w:rsidR="00A7701D" w:rsidRPr="00BB1432">
        <w:rPr>
          <w:rFonts w:ascii="Verdana" w:hAnsi="Verdana"/>
          <w:sz w:val="22"/>
          <w:szCs w:val="22"/>
        </w:rPr>
        <w:t>e proyección es bajo</w:t>
      </w:r>
      <w:r w:rsidRPr="00BB1432">
        <w:rPr>
          <w:rFonts w:ascii="Verdana" w:hAnsi="Verdana"/>
          <w:sz w:val="22"/>
          <w:szCs w:val="22"/>
        </w:rPr>
        <w:t>.</w:t>
      </w:r>
    </w:p>
    <w:p w:rsidR="0078606C" w:rsidRDefault="0078606C" w:rsidP="0078606C">
      <w:pPr>
        <w:spacing w:line="480" w:lineRule="auto"/>
        <w:jc w:val="both"/>
        <w:rPr>
          <w:rFonts w:ascii="Verdana" w:hAnsi="Verdana"/>
          <w:sz w:val="22"/>
          <w:szCs w:val="22"/>
        </w:rPr>
      </w:pPr>
    </w:p>
    <w:p w:rsidR="00FE1B80" w:rsidRDefault="00FE1B80" w:rsidP="0078606C">
      <w:pPr>
        <w:spacing w:line="480" w:lineRule="auto"/>
        <w:jc w:val="both"/>
        <w:rPr>
          <w:rFonts w:ascii="Verdana" w:hAnsi="Verdana"/>
          <w:sz w:val="22"/>
          <w:szCs w:val="22"/>
        </w:rPr>
      </w:pPr>
    </w:p>
    <w:p w:rsidR="00FE1B80" w:rsidRDefault="00FE1B80"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GASTOS DE OPERACIÓN</w:t>
      </w:r>
    </w:p>
    <w:p w:rsidR="0078606C" w:rsidRPr="00BB1432" w:rsidRDefault="0078606C" w:rsidP="0078606C">
      <w:pPr>
        <w:spacing w:line="480" w:lineRule="auto"/>
        <w:ind w:firstLine="708"/>
        <w:jc w:val="both"/>
        <w:rPr>
          <w:rFonts w:ascii="Verdana" w:hAnsi="Verdana"/>
          <w:sz w:val="22"/>
          <w:szCs w:val="22"/>
          <w:lang w:val="en-US"/>
        </w:rPr>
      </w:pPr>
      <w:r w:rsidRPr="00BB1432">
        <w:rPr>
          <w:rFonts w:ascii="Verdana" w:hAnsi="Verdana"/>
          <w:sz w:val="22"/>
          <w:szCs w:val="22"/>
          <w:lang w:val="es-ES"/>
        </w:rPr>
        <w:t>GO</w:t>
      </w:r>
      <w:r w:rsidRPr="00BB1432">
        <w:rPr>
          <w:rFonts w:ascii="Verdana" w:hAnsi="Verdana"/>
          <w:sz w:val="22"/>
          <w:szCs w:val="22"/>
          <w:vertAlign w:val="subscript"/>
          <w:lang w:val="es-ES"/>
        </w:rPr>
        <w:t>T</w:t>
      </w:r>
      <w:r w:rsidRPr="00BB1432">
        <w:rPr>
          <w:rFonts w:ascii="Verdana" w:hAnsi="Verdana"/>
          <w:sz w:val="22"/>
          <w:szCs w:val="22"/>
          <w:vertAlign w:val="subscript"/>
          <w:lang w:val="en-US"/>
        </w:rPr>
        <w:t>+1</w:t>
      </w:r>
      <w:r w:rsidRPr="00BB1432">
        <w:rPr>
          <w:rFonts w:ascii="Verdana" w:hAnsi="Verdana"/>
          <w:sz w:val="22"/>
          <w:szCs w:val="22"/>
          <w:lang w:val="en-US"/>
        </w:rPr>
        <w:t xml:space="preserve"> = Ratio (Go</w:t>
      </w:r>
      <w:r w:rsidRPr="00BB1432">
        <w:rPr>
          <w:rFonts w:ascii="Verdana" w:hAnsi="Verdana"/>
          <w:sz w:val="22"/>
          <w:szCs w:val="22"/>
          <w:vertAlign w:val="subscript"/>
          <w:lang w:val="en-US"/>
        </w:rPr>
        <w:t>t</w:t>
      </w:r>
      <w:r w:rsidRPr="00BB1432">
        <w:rPr>
          <w:rFonts w:ascii="Verdana" w:hAnsi="Verdana"/>
          <w:sz w:val="22"/>
          <w:szCs w:val="22"/>
          <w:lang w:val="en-US"/>
        </w:rPr>
        <w:t>, MIN</w:t>
      </w:r>
      <w:r w:rsidRPr="00BB1432">
        <w:rPr>
          <w:rFonts w:ascii="Verdana" w:hAnsi="Verdana"/>
          <w:sz w:val="22"/>
          <w:szCs w:val="22"/>
          <w:vertAlign w:val="subscript"/>
          <w:lang w:val="en-US"/>
        </w:rPr>
        <w:t>t</w:t>
      </w:r>
      <w:r w:rsidRPr="00BB1432">
        <w:rPr>
          <w:rFonts w:ascii="Verdana" w:hAnsi="Verdana"/>
          <w:sz w:val="22"/>
          <w:szCs w:val="22"/>
          <w:lang w:val="en-US"/>
        </w:rPr>
        <w:t>, CN</w:t>
      </w:r>
      <w:r w:rsidRPr="00BB1432">
        <w:rPr>
          <w:rFonts w:ascii="Verdana" w:hAnsi="Verdana"/>
          <w:sz w:val="22"/>
          <w:szCs w:val="22"/>
          <w:vertAlign w:val="subscript"/>
          <w:lang w:val="en-US"/>
        </w:rPr>
        <w:t>t</w:t>
      </w:r>
      <w:r w:rsidRPr="00BB1432">
        <w:rPr>
          <w:rFonts w:ascii="Verdana" w:hAnsi="Verdana"/>
          <w:sz w:val="22"/>
          <w:szCs w:val="22"/>
          <w:lang w:val="en-US"/>
        </w:rPr>
        <w:t>) / MIN</w:t>
      </w:r>
      <w:r w:rsidRPr="00BB1432">
        <w:rPr>
          <w:rFonts w:ascii="Verdana" w:hAnsi="Verdana"/>
          <w:sz w:val="22"/>
          <w:szCs w:val="22"/>
          <w:vertAlign w:val="subscript"/>
          <w:lang w:val="en-US"/>
        </w:rPr>
        <w:t>T+1</w:t>
      </w:r>
      <w:r w:rsidRPr="00BB1432">
        <w:rPr>
          <w:rFonts w:ascii="Verdana" w:hAnsi="Verdana"/>
          <w:sz w:val="22"/>
          <w:szCs w:val="22"/>
          <w:lang w:val="en-US"/>
        </w:rPr>
        <w:t xml:space="preserve"> + CN</w:t>
      </w:r>
      <w:r w:rsidRPr="00BB1432">
        <w:rPr>
          <w:rFonts w:ascii="Verdana" w:hAnsi="Verdana"/>
          <w:sz w:val="22"/>
          <w:szCs w:val="22"/>
          <w:vertAlign w:val="subscript"/>
          <w:lang w:val="en-US"/>
        </w:rPr>
        <w:t>T+1</w:t>
      </w:r>
    </w:p>
    <w:p w:rsidR="00FE1B80" w:rsidRDefault="00FE1B80"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La relación entre gastos de operación, margen de interés neto y comisiones netas se mantiene estable y alrededor del 60% anual con una desviación estándar mediana y con un gran pico acontecido en el mes Junio del 2005, debido al aumento de los valores que toman las subcuentas de gastos operacionales en ese mes tales como sueldos, publicidad, etc.</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Sin embargo, dado que el Banco tuvo un nivel de gastos de operación mayor con respecto de bancos medianos en el sistema, ha comenzado un proceso de optimización y centralización de recursos con el objeto de llegar a un nivel similar al del sistema.</w:t>
      </w:r>
    </w:p>
    <w:p w:rsidR="0078606C" w:rsidRPr="00BB1432" w:rsidRDefault="0078606C" w:rsidP="0078606C">
      <w:pPr>
        <w:spacing w:line="480" w:lineRule="auto"/>
        <w:jc w:val="both"/>
        <w:rPr>
          <w:rFonts w:ascii="Verdana" w:hAnsi="Verdana"/>
          <w:sz w:val="22"/>
          <w:szCs w:val="22"/>
        </w:rPr>
      </w:pPr>
    </w:p>
    <w:p w:rsidR="00025A1E" w:rsidRDefault="0078606C" w:rsidP="00384CD3">
      <w:pPr>
        <w:spacing w:line="480" w:lineRule="auto"/>
        <w:ind w:firstLine="708"/>
        <w:jc w:val="both"/>
        <w:rPr>
          <w:rFonts w:ascii="Verdana" w:hAnsi="Verdana"/>
          <w:b/>
          <w:sz w:val="22"/>
          <w:szCs w:val="22"/>
        </w:rPr>
      </w:pPr>
      <w:r w:rsidRPr="00BB1432">
        <w:rPr>
          <w:rFonts w:ascii="Verdana" w:hAnsi="Verdana"/>
          <w:sz w:val="22"/>
          <w:szCs w:val="22"/>
        </w:rPr>
        <w:t>Los ratios obtenidos generaron una mediana de 0.6098, con un promedio de 0.6610. El coeficiente de relación entre las variables analizadas es del 78.11%.</w:t>
      </w:r>
    </w:p>
    <w:p w:rsidR="00384CD3" w:rsidRDefault="00384CD3" w:rsidP="00384CD3">
      <w:pPr>
        <w:spacing w:line="480" w:lineRule="auto"/>
        <w:ind w:firstLine="708"/>
        <w:jc w:val="both"/>
        <w:rPr>
          <w:rFonts w:ascii="Verdana" w:hAnsi="Verdana"/>
          <w:b/>
          <w:sz w:val="22"/>
          <w:szCs w:val="22"/>
        </w:rPr>
      </w:pPr>
    </w:p>
    <w:p w:rsidR="00384CD3" w:rsidRDefault="00384CD3" w:rsidP="00384CD3">
      <w:pPr>
        <w:spacing w:line="480" w:lineRule="auto"/>
        <w:ind w:firstLine="708"/>
        <w:jc w:val="both"/>
        <w:rPr>
          <w:rFonts w:ascii="Verdana" w:hAnsi="Verdana"/>
          <w:b/>
          <w:sz w:val="22"/>
          <w:szCs w:val="22"/>
        </w:rPr>
      </w:pPr>
    </w:p>
    <w:p w:rsidR="00384CD3" w:rsidRDefault="00384CD3" w:rsidP="00384CD3">
      <w:pPr>
        <w:spacing w:line="480" w:lineRule="auto"/>
        <w:ind w:firstLine="708"/>
        <w:jc w:val="both"/>
        <w:rPr>
          <w:rFonts w:ascii="Verdana" w:hAnsi="Verdana"/>
          <w:b/>
          <w:sz w:val="22"/>
          <w:szCs w:val="22"/>
        </w:rPr>
      </w:pPr>
    </w:p>
    <w:p w:rsidR="00384CD3" w:rsidRDefault="00384CD3" w:rsidP="00384CD3">
      <w:pPr>
        <w:spacing w:line="480" w:lineRule="auto"/>
        <w:ind w:firstLine="708"/>
        <w:jc w:val="both"/>
        <w:rPr>
          <w:rFonts w:ascii="Verdana" w:hAnsi="Verdana"/>
          <w:b/>
          <w:sz w:val="22"/>
          <w:szCs w:val="22"/>
        </w:rPr>
      </w:pPr>
    </w:p>
    <w:p w:rsidR="00384CD3" w:rsidRDefault="00384CD3" w:rsidP="00384CD3">
      <w:pPr>
        <w:spacing w:line="480" w:lineRule="auto"/>
        <w:ind w:firstLine="708"/>
        <w:jc w:val="both"/>
        <w:rPr>
          <w:rFonts w:ascii="Verdana" w:hAnsi="Verdana"/>
          <w:b/>
          <w:sz w:val="22"/>
          <w:szCs w:val="22"/>
        </w:rPr>
      </w:pPr>
    </w:p>
    <w:p w:rsidR="00384CD3" w:rsidRDefault="00384CD3" w:rsidP="00384CD3">
      <w:pPr>
        <w:spacing w:line="480" w:lineRule="auto"/>
        <w:ind w:firstLine="708"/>
        <w:jc w:val="both"/>
        <w:rPr>
          <w:rFonts w:ascii="Verdana" w:hAnsi="Verdana"/>
          <w:b/>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4.4</w:t>
      </w:r>
    </w:p>
    <w:p w:rsidR="00F03964" w:rsidRPr="00BB1432" w:rsidRDefault="00006ACE" w:rsidP="00F03964">
      <w:pPr>
        <w:spacing w:line="480" w:lineRule="auto"/>
        <w:jc w:val="center"/>
        <w:rPr>
          <w:rFonts w:ascii="Verdana" w:hAnsi="Verdana"/>
          <w:b/>
          <w:sz w:val="22"/>
          <w:szCs w:val="22"/>
        </w:rPr>
      </w:pPr>
      <w:r>
        <w:rPr>
          <w:b/>
          <w:noProof/>
          <w:sz w:val="22"/>
          <w:szCs w:val="22"/>
          <w:lang w:val="es-ES" w:eastAsia="es-ES"/>
        </w:rPr>
        <w:drawing>
          <wp:inline distT="0" distB="0" distL="0" distR="0">
            <wp:extent cx="4867275" cy="24193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4867275" cy="2419350"/>
                    </a:xfrm>
                    <a:prstGeom prst="rect">
                      <a:avLst/>
                    </a:prstGeom>
                    <a:noFill/>
                    <a:ln w="9525">
                      <a:noFill/>
                      <a:miter lim="800000"/>
                      <a:headEnd/>
                      <a:tailEnd/>
                    </a:ln>
                  </pic:spPr>
                </pic:pic>
              </a:graphicData>
            </a:graphic>
          </wp:inline>
        </w:drawing>
      </w:r>
    </w:p>
    <w:p w:rsidR="002337D7" w:rsidRPr="008333A5" w:rsidRDefault="002337D7" w:rsidP="00FE1B80">
      <w:pPr>
        <w:spacing w:line="480" w:lineRule="auto"/>
        <w:ind w:firstLine="36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AA5526" w:rsidRPr="00BB1432" w:rsidRDefault="00AA5526"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siguiente cuadro muestra el margen de error obtenido por esta cuenta para el último trimestre del 2006. Anualizando el Gasto de Operación, y usando el ratio promedio, se obtuvieron los resultados de la proyección:</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4.6</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Gastos de Operación</w:t>
      </w:r>
    </w:p>
    <w:tbl>
      <w:tblPr>
        <w:tblStyle w:val="Tablaconcuadrcula"/>
        <w:tblW w:w="0" w:type="auto"/>
        <w:jc w:val="center"/>
        <w:tblInd w:w="-64" w:type="dxa"/>
        <w:tblLook w:val="01E0"/>
      </w:tblPr>
      <w:tblGrid>
        <w:gridCol w:w="2654"/>
        <w:gridCol w:w="2318"/>
      </w:tblGrid>
      <w:tr w:rsidR="00AA5526" w:rsidRPr="00BB1432">
        <w:trPr>
          <w:jc w:val="center"/>
        </w:trPr>
        <w:tc>
          <w:tcPr>
            <w:tcW w:w="2654" w:type="dxa"/>
            <w:shd w:val="clear" w:color="auto" w:fill="FFFF00"/>
          </w:tcPr>
          <w:p w:rsidR="00AA5526" w:rsidRPr="00BB1432" w:rsidRDefault="00AA5526" w:rsidP="00AA5526">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AA5526" w:rsidRPr="00BB1432" w:rsidRDefault="00AA5526" w:rsidP="00AA5526">
            <w:pPr>
              <w:spacing w:line="480" w:lineRule="auto"/>
              <w:jc w:val="center"/>
              <w:rPr>
                <w:rFonts w:ascii="Verdana" w:hAnsi="Verdana"/>
                <w:sz w:val="22"/>
                <w:szCs w:val="22"/>
              </w:rPr>
            </w:pPr>
            <w:r w:rsidRPr="00BB1432">
              <w:rPr>
                <w:rFonts w:ascii="Verdana" w:hAnsi="Verdana"/>
                <w:sz w:val="22"/>
                <w:szCs w:val="22"/>
              </w:rPr>
              <w:t>US$ 46’229,389</w:t>
            </w:r>
          </w:p>
        </w:tc>
      </w:tr>
      <w:tr w:rsidR="00AA5526" w:rsidRPr="00BB1432">
        <w:trPr>
          <w:jc w:val="center"/>
        </w:trPr>
        <w:tc>
          <w:tcPr>
            <w:tcW w:w="2654" w:type="dxa"/>
            <w:shd w:val="clear" w:color="auto" w:fill="FFFF00"/>
          </w:tcPr>
          <w:p w:rsidR="00AA5526" w:rsidRPr="00BB1432" w:rsidRDefault="00AA5526" w:rsidP="00AA5526">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AA5526" w:rsidRPr="00BB1432" w:rsidRDefault="00AA5526" w:rsidP="00AA5526">
            <w:pPr>
              <w:spacing w:line="480" w:lineRule="auto"/>
              <w:jc w:val="center"/>
              <w:rPr>
                <w:rFonts w:ascii="Verdana" w:hAnsi="Verdana"/>
                <w:sz w:val="22"/>
                <w:szCs w:val="22"/>
              </w:rPr>
            </w:pPr>
            <w:r w:rsidRPr="00BB1432">
              <w:rPr>
                <w:rFonts w:ascii="Verdana" w:hAnsi="Verdana"/>
                <w:sz w:val="22"/>
                <w:szCs w:val="22"/>
              </w:rPr>
              <w:t>US$ 46’578,230</w:t>
            </w:r>
          </w:p>
        </w:tc>
      </w:tr>
      <w:tr w:rsidR="00AA5526" w:rsidRPr="00BB1432">
        <w:trPr>
          <w:jc w:val="center"/>
        </w:trPr>
        <w:tc>
          <w:tcPr>
            <w:tcW w:w="2654" w:type="dxa"/>
            <w:shd w:val="clear" w:color="auto" w:fill="FFFF00"/>
          </w:tcPr>
          <w:p w:rsidR="00AA5526" w:rsidRPr="00BB1432" w:rsidRDefault="00052EA2" w:rsidP="00AA5526">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AA5526" w:rsidRPr="00BB1432" w:rsidRDefault="00AA5526" w:rsidP="00AA5526">
            <w:pPr>
              <w:spacing w:line="480" w:lineRule="auto"/>
              <w:jc w:val="center"/>
              <w:rPr>
                <w:rFonts w:ascii="Verdana" w:hAnsi="Verdana"/>
                <w:sz w:val="22"/>
                <w:szCs w:val="22"/>
              </w:rPr>
            </w:pPr>
            <w:r w:rsidRPr="00BB1432">
              <w:rPr>
                <w:rFonts w:ascii="Verdana" w:hAnsi="Verdana"/>
                <w:sz w:val="22"/>
                <w:szCs w:val="22"/>
              </w:rPr>
              <w:t>0.75%</w:t>
            </w:r>
          </w:p>
        </w:tc>
      </w:tr>
    </w:tbl>
    <w:p w:rsidR="00F03964" w:rsidRPr="00BB1432" w:rsidRDefault="00F03964" w:rsidP="00F03964">
      <w:pPr>
        <w:jc w:val="center"/>
        <w:rPr>
          <w:rFonts w:ascii="Verdana" w:hAnsi="Verdana"/>
          <w:i/>
          <w:sz w:val="22"/>
          <w:szCs w:val="22"/>
        </w:rPr>
      </w:pPr>
    </w:p>
    <w:p w:rsidR="002337D7" w:rsidRPr="008333A5" w:rsidRDefault="002337D7" w:rsidP="00FE1B80">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center"/>
        <w:rPr>
          <w:rFonts w:ascii="Verdana" w:hAnsi="Verdana"/>
          <w:b/>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margen de error obtenido es bajo, debido a que el Banco ya ha empezado a reducir sus gastos operativos a un nivel parecido a</w:t>
      </w:r>
      <w:r w:rsidR="00BC4902" w:rsidRPr="00BB1432">
        <w:rPr>
          <w:rFonts w:ascii="Verdana" w:hAnsi="Verdana"/>
          <w:sz w:val="22"/>
          <w:szCs w:val="22"/>
        </w:rPr>
        <w:t>l</w:t>
      </w:r>
      <w:r w:rsidRPr="00BB1432">
        <w:rPr>
          <w:rFonts w:ascii="Verdana" w:hAnsi="Verdana"/>
          <w:sz w:val="22"/>
          <w:szCs w:val="22"/>
        </w:rPr>
        <w:t xml:space="preserve"> de las otras entidades financieras del sistema bancario para el periodo en comparación.</w:t>
      </w:r>
    </w:p>
    <w:p w:rsidR="00C81EE6" w:rsidRPr="00BB1432" w:rsidRDefault="00C81EE6" w:rsidP="0078606C">
      <w:pPr>
        <w:spacing w:line="480" w:lineRule="auto"/>
        <w:ind w:firstLine="708"/>
        <w:jc w:val="both"/>
        <w:rPr>
          <w:rFonts w:ascii="Verdana" w:hAnsi="Verdana"/>
          <w:sz w:val="22"/>
          <w:szCs w:val="22"/>
        </w:rPr>
      </w:pPr>
    </w:p>
    <w:p w:rsidR="00C81EE6" w:rsidRPr="00BB1432" w:rsidRDefault="00C81EE6" w:rsidP="0078606C">
      <w:pPr>
        <w:spacing w:line="480" w:lineRule="auto"/>
        <w:ind w:firstLine="708"/>
        <w:jc w:val="both"/>
        <w:rPr>
          <w:rFonts w:ascii="Verdana" w:hAnsi="Verdana"/>
          <w:sz w:val="22"/>
          <w:szCs w:val="22"/>
        </w:rPr>
      </w:pPr>
      <w:r w:rsidRPr="00BB1432">
        <w:rPr>
          <w:rFonts w:ascii="Verdana" w:hAnsi="Verdana"/>
          <w:sz w:val="22"/>
          <w:szCs w:val="22"/>
        </w:rPr>
        <w:t>El Banco mediano con el m</w:t>
      </w:r>
      <w:r w:rsidR="00527499" w:rsidRPr="00BB1432">
        <w:rPr>
          <w:rFonts w:ascii="Verdana" w:hAnsi="Verdana"/>
          <w:sz w:val="22"/>
          <w:szCs w:val="22"/>
        </w:rPr>
        <w:t>ayor</w:t>
      </w:r>
      <w:r w:rsidRPr="00BB1432">
        <w:rPr>
          <w:rFonts w:ascii="Verdana" w:hAnsi="Verdana"/>
          <w:sz w:val="22"/>
          <w:szCs w:val="22"/>
        </w:rPr>
        <w:t xml:space="preserve"> ratio dentro del sistema financiero ecuatoriano es el So</w:t>
      </w:r>
      <w:r w:rsidR="00F92429" w:rsidRPr="00BB1432">
        <w:rPr>
          <w:rFonts w:ascii="Verdana" w:hAnsi="Verdana"/>
          <w:sz w:val="22"/>
          <w:szCs w:val="22"/>
        </w:rPr>
        <w:t>lidario con 174.84%; el</w:t>
      </w:r>
      <w:r w:rsidRPr="00BB1432">
        <w:rPr>
          <w:rFonts w:ascii="Verdana" w:hAnsi="Verdana"/>
          <w:sz w:val="22"/>
          <w:szCs w:val="22"/>
        </w:rPr>
        <w:t xml:space="preserve"> del sistema es d</w:t>
      </w:r>
      <w:r w:rsidR="00527499" w:rsidRPr="00BB1432">
        <w:rPr>
          <w:rFonts w:ascii="Verdana" w:hAnsi="Verdana"/>
          <w:sz w:val="22"/>
          <w:szCs w:val="22"/>
        </w:rPr>
        <w:t>e 89.99</w:t>
      </w:r>
      <w:r w:rsidRPr="00BB1432">
        <w:rPr>
          <w:rFonts w:ascii="Verdana" w:hAnsi="Verdana"/>
          <w:sz w:val="22"/>
          <w:szCs w:val="22"/>
        </w:rPr>
        <w:t>%, y el Unibanco tiene un ratio de 66.10%, el menor de todos los bancos del sistema.</w:t>
      </w:r>
    </w:p>
    <w:p w:rsidR="0078606C" w:rsidRPr="00BB1432" w:rsidRDefault="0078606C" w:rsidP="0078606C">
      <w:pPr>
        <w:spacing w:line="480" w:lineRule="auto"/>
        <w:jc w:val="both"/>
        <w:rPr>
          <w:rFonts w:ascii="Verdana" w:hAnsi="Verdana"/>
          <w:sz w:val="22"/>
          <w:szCs w:val="22"/>
        </w:rPr>
      </w:pPr>
    </w:p>
    <w:p w:rsidR="00AA5526" w:rsidRPr="00BB1432" w:rsidRDefault="00AA5526"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Ingreso por Servicios</w:t>
      </w: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IS</w:t>
      </w:r>
      <w:r w:rsidRPr="00BB1432">
        <w:rPr>
          <w:rFonts w:ascii="Verdana" w:hAnsi="Verdana"/>
          <w:sz w:val="22"/>
          <w:szCs w:val="22"/>
          <w:vertAlign w:val="subscript"/>
        </w:rPr>
        <w:t>T+1</w:t>
      </w:r>
      <w:r w:rsidRPr="00BB1432">
        <w:rPr>
          <w:rFonts w:ascii="Verdana" w:hAnsi="Verdana"/>
          <w:sz w:val="22"/>
          <w:szCs w:val="22"/>
        </w:rPr>
        <w:t xml:space="preserve"> = Ratio (IS</w:t>
      </w:r>
      <w:r w:rsidRPr="00BB1432">
        <w:rPr>
          <w:rFonts w:ascii="Verdana" w:hAnsi="Verdana"/>
          <w:sz w:val="22"/>
          <w:szCs w:val="22"/>
          <w:vertAlign w:val="subscript"/>
        </w:rPr>
        <w:t>t</w:t>
      </w:r>
      <w:r w:rsidRPr="00BB1432">
        <w:rPr>
          <w:rFonts w:ascii="Verdana" w:hAnsi="Verdana"/>
          <w:sz w:val="22"/>
          <w:szCs w:val="22"/>
        </w:rPr>
        <w:t>, CB</w:t>
      </w:r>
      <w:r w:rsidRPr="00BB1432">
        <w:rPr>
          <w:rFonts w:ascii="Verdana" w:hAnsi="Verdana"/>
          <w:sz w:val="22"/>
          <w:szCs w:val="22"/>
          <w:vertAlign w:val="subscript"/>
        </w:rPr>
        <w:t>t</w:t>
      </w:r>
      <w:r w:rsidRPr="00BB1432">
        <w:rPr>
          <w:rFonts w:ascii="Verdana" w:hAnsi="Verdana"/>
          <w:sz w:val="22"/>
          <w:szCs w:val="22"/>
        </w:rPr>
        <w:t>) * CB</w:t>
      </w:r>
      <w:r w:rsidRPr="00BB1432">
        <w:rPr>
          <w:rFonts w:ascii="Verdana" w:hAnsi="Verdana"/>
          <w:sz w:val="22"/>
          <w:szCs w:val="22"/>
          <w:vertAlign w:val="subscript"/>
        </w:rPr>
        <w:t>T+1</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El presente ratio, se lo obtuvo anualizando el Ingreso por Servicios percibido por el Banco dividido para su Cartera Bruta, obteniéndose unos ratios estables durante los primeros periodos analizados, pero que a partir de Septiembre del 2005, debido principalmente al aumento de valores en esta cuenta, empezaron a sufrir una subida importante que se mantuvo hasta Septiembre del 2006, puesto que en Diciembre del mismo año, hubo una leve caída como podemos observar en el siguiente gráfico:</w:t>
      </w:r>
    </w:p>
    <w:p w:rsidR="00384CD3" w:rsidRDefault="00384CD3" w:rsidP="0078606C">
      <w:pPr>
        <w:spacing w:line="480" w:lineRule="auto"/>
        <w:ind w:firstLine="708"/>
        <w:jc w:val="both"/>
        <w:rPr>
          <w:rFonts w:ascii="Verdana" w:hAnsi="Verdana"/>
          <w:sz w:val="22"/>
          <w:szCs w:val="22"/>
        </w:rPr>
      </w:pPr>
    </w:p>
    <w:p w:rsidR="00384CD3" w:rsidRDefault="00384CD3" w:rsidP="0078606C">
      <w:pPr>
        <w:spacing w:line="480" w:lineRule="auto"/>
        <w:ind w:firstLine="708"/>
        <w:jc w:val="both"/>
        <w:rPr>
          <w:rFonts w:ascii="Verdana" w:hAnsi="Verdana"/>
          <w:sz w:val="22"/>
          <w:szCs w:val="22"/>
        </w:rPr>
      </w:pPr>
    </w:p>
    <w:p w:rsidR="00384CD3" w:rsidRDefault="00384CD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4.5</w:t>
      </w:r>
    </w:p>
    <w:p w:rsidR="0078606C" w:rsidRPr="00BB1432" w:rsidRDefault="00006ACE" w:rsidP="0078606C">
      <w:pPr>
        <w:spacing w:line="480" w:lineRule="auto"/>
        <w:jc w:val="center"/>
        <w:rPr>
          <w:sz w:val="22"/>
          <w:szCs w:val="22"/>
        </w:rPr>
      </w:pPr>
      <w:r>
        <w:rPr>
          <w:noProof/>
          <w:sz w:val="22"/>
          <w:szCs w:val="22"/>
          <w:lang w:val="es-ES" w:eastAsia="es-ES"/>
        </w:rPr>
        <w:drawing>
          <wp:inline distT="0" distB="0" distL="0" distR="0">
            <wp:extent cx="5143500" cy="30956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5143500" cy="3095625"/>
                    </a:xfrm>
                    <a:prstGeom prst="rect">
                      <a:avLst/>
                    </a:prstGeom>
                    <a:noFill/>
                    <a:ln w="9525">
                      <a:noFill/>
                      <a:miter lim="800000"/>
                      <a:headEnd/>
                      <a:tailEnd/>
                    </a:ln>
                  </pic:spPr>
                </pic:pic>
              </a:graphicData>
            </a:graphic>
          </wp:inline>
        </w:drawing>
      </w:r>
    </w:p>
    <w:p w:rsidR="002337D7" w:rsidRPr="008333A5" w:rsidRDefault="002337D7" w:rsidP="00FE1B80">
      <w:pPr>
        <w:spacing w:line="480" w:lineRule="auto"/>
        <w:ind w:firstLine="18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máximo valor obtenido fue de 0.18, mientras que el mínimo fue de 0.01, generando una mediana de 0.03, con un promedio de 0.1</w:t>
      </w:r>
      <w:r w:rsidR="009A10F5" w:rsidRPr="00BB1432">
        <w:rPr>
          <w:rFonts w:ascii="Verdana" w:hAnsi="Verdana"/>
          <w:sz w:val="22"/>
          <w:szCs w:val="22"/>
        </w:rPr>
        <w:t>3</w:t>
      </w:r>
      <w:r w:rsidRPr="00BB1432">
        <w:rPr>
          <w:rFonts w:ascii="Verdana" w:hAnsi="Verdana"/>
          <w:sz w:val="22"/>
          <w:szCs w:val="22"/>
        </w:rPr>
        <w:t xml:space="preserve"> y una desviación estándar de 0.0565. El coeficiente de correlación entre las dos</w:t>
      </w:r>
      <w:r w:rsidR="009A10F5" w:rsidRPr="00BB1432">
        <w:rPr>
          <w:rFonts w:ascii="Verdana" w:hAnsi="Verdana"/>
          <w:sz w:val="22"/>
          <w:szCs w:val="22"/>
        </w:rPr>
        <w:t xml:space="preserve"> variables analizadas fue del 81.00</w:t>
      </w:r>
      <w:r w:rsidRPr="00BB1432">
        <w:rPr>
          <w:rFonts w:ascii="Verdana" w:hAnsi="Verdana"/>
          <w:sz w:val="22"/>
          <w:szCs w:val="22"/>
        </w:rPr>
        <w:t>%.</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El siguiente cuadro muestra el margen de error obtenido durante la proyección de la cuenta para el último trimestre del año 2006, en donde se utilizó el ratio promedio como factor de pronóstico.</w:t>
      </w:r>
    </w:p>
    <w:p w:rsidR="00384CD3" w:rsidRDefault="00384CD3" w:rsidP="0078606C">
      <w:pPr>
        <w:spacing w:line="480" w:lineRule="auto"/>
        <w:ind w:firstLine="708"/>
        <w:jc w:val="both"/>
        <w:rPr>
          <w:rFonts w:ascii="Verdana" w:hAnsi="Verdana"/>
          <w:sz w:val="22"/>
          <w:szCs w:val="22"/>
        </w:rPr>
      </w:pPr>
    </w:p>
    <w:p w:rsidR="00384CD3" w:rsidRDefault="00384CD3" w:rsidP="0078606C">
      <w:pPr>
        <w:spacing w:line="480" w:lineRule="auto"/>
        <w:ind w:firstLine="708"/>
        <w:jc w:val="both"/>
        <w:rPr>
          <w:rFonts w:ascii="Verdana" w:hAnsi="Verdana"/>
          <w:sz w:val="22"/>
          <w:szCs w:val="22"/>
        </w:rPr>
      </w:pPr>
    </w:p>
    <w:p w:rsidR="00384CD3" w:rsidRPr="00BB1432" w:rsidRDefault="00384CD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4.7</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Ingresos por servicios</w:t>
      </w:r>
    </w:p>
    <w:tbl>
      <w:tblPr>
        <w:tblStyle w:val="Tablaconcuadrcula"/>
        <w:tblW w:w="0" w:type="auto"/>
        <w:jc w:val="center"/>
        <w:tblInd w:w="-64" w:type="dxa"/>
        <w:tblLook w:val="01E0"/>
      </w:tblPr>
      <w:tblGrid>
        <w:gridCol w:w="2654"/>
        <w:gridCol w:w="2318"/>
      </w:tblGrid>
      <w:tr w:rsidR="00AA5526" w:rsidRPr="00BB1432">
        <w:trPr>
          <w:jc w:val="center"/>
        </w:trPr>
        <w:tc>
          <w:tcPr>
            <w:tcW w:w="2654" w:type="dxa"/>
            <w:shd w:val="clear" w:color="auto" w:fill="FFFF00"/>
          </w:tcPr>
          <w:p w:rsidR="00AA5526" w:rsidRPr="00BB1432" w:rsidRDefault="00AA5526" w:rsidP="0078606C">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AA5526" w:rsidRPr="00BB1432" w:rsidRDefault="00AA5526" w:rsidP="0078606C">
            <w:pPr>
              <w:spacing w:line="480" w:lineRule="auto"/>
              <w:jc w:val="center"/>
              <w:rPr>
                <w:rFonts w:ascii="Verdana" w:hAnsi="Verdana"/>
                <w:sz w:val="22"/>
                <w:szCs w:val="22"/>
              </w:rPr>
            </w:pPr>
            <w:r w:rsidRPr="00BB1432">
              <w:rPr>
                <w:rFonts w:ascii="Verdana" w:hAnsi="Verdana"/>
                <w:sz w:val="22"/>
                <w:szCs w:val="22"/>
              </w:rPr>
              <w:t>US$ 30’235,004</w:t>
            </w:r>
          </w:p>
        </w:tc>
      </w:tr>
      <w:tr w:rsidR="00AA5526" w:rsidRPr="00BB1432">
        <w:trPr>
          <w:jc w:val="center"/>
        </w:trPr>
        <w:tc>
          <w:tcPr>
            <w:tcW w:w="2654" w:type="dxa"/>
            <w:shd w:val="clear" w:color="auto" w:fill="FFFF00"/>
          </w:tcPr>
          <w:p w:rsidR="00AA5526" w:rsidRPr="00BB1432" w:rsidRDefault="00AA5526"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AA5526" w:rsidRPr="00BB1432" w:rsidRDefault="009A10F5" w:rsidP="0078606C">
            <w:pPr>
              <w:spacing w:line="480" w:lineRule="auto"/>
              <w:jc w:val="center"/>
              <w:rPr>
                <w:rFonts w:ascii="Verdana" w:hAnsi="Verdana"/>
                <w:sz w:val="22"/>
                <w:szCs w:val="22"/>
              </w:rPr>
            </w:pPr>
            <w:r w:rsidRPr="00BB1432">
              <w:rPr>
                <w:rFonts w:ascii="Verdana" w:hAnsi="Verdana"/>
                <w:sz w:val="22"/>
                <w:szCs w:val="22"/>
              </w:rPr>
              <w:t>US$ 25’658</w:t>
            </w:r>
            <w:r w:rsidR="00AA5526" w:rsidRPr="00BB1432">
              <w:rPr>
                <w:rFonts w:ascii="Verdana" w:hAnsi="Verdana"/>
                <w:sz w:val="22"/>
                <w:szCs w:val="22"/>
              </w:rPr>
              <w:t>,</w:t>
            </w:r>
            <w:r w:rsidRPr="00BB1432">
              <w:rPr>
                <w:rFonts w:ascii="Verdana" w:hAnsi="Verdana"/>
                <w:sz w:val="22"/>
                <w:szCs w:val="22"/>
              </w:rPr>
              <w:t>195</w:t>
            </w:r>
          </w:p>
        </w:tc>
      </w:tr>
      <w:tr w:rsidR="00AA5526" w:rsidRPr="00BB1432">
        <w:trPr>
          <w:jc w:val="center"/>
        </w:trPr>
        <w:tc>
          <w:tcPr>
            <w:tcW w:w="2654" w:type="dxa"/>
            <w:shd w:val="clear" w:color="auto" w:fill="FFFF00"/>
          </w:tcPr>
          <w:p w:rsidR="00AA5526"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AA5526" w:rsidRPr="00BB1432" w:rsidRDefault="009A10F5" w:rsidP="0078606C">
            <w:pPr>
              <w:spacing w:line="480" w:lineRule="auto"/>
              <w:jc w:val="center"/>
              <w:rPr>
                <w:rFonts w:ascii="Verdana" w:hAnsi="Verdana"/>
                <w:sz w:val="22"/>
                <w:szCs w:val="22"/>
              </w:rPr>
            </w:pPr>
            <w:r w:rsidRPr="00BB1432">
              <w:rPr>
                <w:rFonts w:ascii="Verdana" w:hAnsi="Verdana"/>
                <w:sz w:val="22"/>
                <w:szCs w:val="22"/>
              </w:rPr>
              <w:t>-15</w:t>
            </w:r>
            <w:r w:rsidR="00AA5526" w:rsidRPr="00BB1432">
              <w:rPr>
                <w:rFonts w:ascii="Verdana" w:hAnsi="Verdana"/>
                <w:sz w:val="22"/>
                <w:szCs w:val="22"/>
              </w:rPr>
              <w:t>.</w:t>
            </w:r>
            <w:r w:rsidRPr="00BB1432">
              <w:rPr>
                <w:rFonts w:ascii="Verdana" w:hAnsi="Verdana"/>
                <w:sz w:val="22"/>
                <w:szCs w:val="22"/>
              </w:rPr>
              <w:t>1</w:t>
            </w:r>
            <w:r w:rsidR="00AA5526" w:rsidRPr="00BB1432">
              <w:rPr>
                <w:rFonts w:ascii="Verdana" w:hAnsi="Verdana"/>
                <w:sz w:val="22"/>
                <w:szCs w:val="22"/>
              </w:rPr>
              <w:t>4%</w:t>
            </w:r>
          </w:p>
        </w:tc>
      </w:tr>
    </w:tbl>
    <w:p w:rsidR="00134258" w:rsidRDefault="00134258" w:rsidP="00FE1B80">
      <w:pPr>
        <w:spacing w:line="480" w:lineRule="auto"/>
        <w:ind w:firstLine="1620"/>
        <w:rPr>
          <w:rFonts w:ascii="Verdana" w:hAnsi="Verdana"/>
          <w:b/>
          <w:i/>
          <w:sz w:val="18"/>
          <w:szCs w:val="18"/>
        </w:rPr>
      </w:pPr>
    </w:p>
    <w:p w:rsidR="002337D7" w:rsidRPr="008333A5" w:rsidRDefault="002337D7" w:rsidP="00FE1B80">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margen de error obtenido es ligeramente alto, y negativo, pero esto es debido a la inconsistencia del ratio, especialmente durante los últimos trimestres analizados, dado el incremento de los ingresos en este rubro por parte del Unibanco.</w:t>
      </w:r>
    </w:p>
    <w:p w:rsidR="0078606C" w:rsidRPr="00BB1432" w:rsidRDefault="0078606C" w:rsidP="0078606C">
      <w:pPr>
        <w:spacing w:line="480" w:lineRule="auto"/>
        <w:jc w:val="both"/>
        <w:rPr>
          <w:rFonts w:ascii="Verdana" w:hAnsi="Verdana"/>
          <w:sz w:val="22"/>
          <w:szCs w:val="22"/>
        </w:rPr>
      </w:pPr>
    </w:p>
    <w:p w:rsidR="00527499" w:rsidRPr="00BB1432" w:rsidRDefault="00527499"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lang w:val="en-US"/>
        </w:rPr>
      </w:pPr>
      <w:r w:rsidRPr="00BB1432">
        <w:rPr>
          <w:rFonts w:ascii="Verdana" w:hAnsi="Verdana"/>
          <w:b/>
          <w:sz w:val="22"/>
          <w:szCs w:val="22"/>
          <w:lang w:val="en-US"/>
        </w:rPr>
        <w:t>OTROS INGRESOS</w:t>
      </w:r>
    </w:p>
    <w:p w:rsidR="0078606C" w:rsidRPr="00BB1432" w:rsidRDefault="0078606C" w:rsidP="0078606C">
      <w:pPr>
        <w:spacing w:line="480" w:lineRule="auto"/>
        <w:ind w:firstLine="708"/>
        <w:jc w:val="both"/>
        <w:rPr>
          <w:rFonts w:ascii="Verdana" w:hAnsi="Verdana"/>
          <w:sz w:val="22"/>
          <w:szCs w:val="22"/>
          <w:vertAlign w:val="subscript"/>
          <w:lang w:val="en-US"/>
        </w:rPr>
      </w:pPr>
      <w:r w:rsidRPr="00BB1432">
        <w:rPr>
          <w:rFonts w:ascii="Verdana" w:hAnsi="Verdana"/>
          <w:sz w:val="22"/>
          <w:szCs w:val="22"/>
          <w:lang w:val="en-US"/>
        </w:rPr>
        <w:t>OI</w:t>
      </w:r>
      <w:r w:rsidRPr="00BB1432">
        <w:rPr>
          <w:rFonts w:ascii="Verdana" w:hAnsi="Verdana"/>
          <w:sz w:val="22"/>
          <w:szCs w:val="22"/>
          <w:vertAlign w:val="subscript"/>
          <w:lang w:val="en-US"/>
        </w:rPr>
        <w:t>T+1</w:t>
      </w:r>
      <w:r w:rsidRPr="00BB1432">
        <w:rPr>
          <w:rFonts w:ascii="Verdana" w:hAnsi="Verdana"/>
          <w:sz w:val="22"/>
          <w:szCs w:val="22"/>
          <w:lang w:val="en-US"/>
        </w:rPr>
        <w:t xml:space="preserve"> = </w:t>
      </w:r>
      <w:r w:rsidR="007A4A16" w:rsidRPr="00BB1432">
        <w:rPr>
          <w:rFonts w:ascii="Verdana" w:hAnsi="Verdana"/>
          <w:sz w:val="22"/>
          <w:szCs w:val="22"/>
          <w:lang w:val="en-US"/>
        </w:rPr>
        <w:t>(</w:t>
      </w:r>
      <w:r w:rsidRPr="00BB1432">
        <w:rPr>
          <w:rFonts w:ascii="Verdana" w:hAnsi="Verdana"/>
          <w:sz w:val="22"/>
          <w:szCs w:val="22"/>
          <w:lang w:val="en-US"/>
        </w:rPr>
        <w:t>IT-(IG+CG+IS)</w:t>
      </w:r>
      <w:r w:rsidR="008E32B5" w:rsidRPr="00BB1432">
        <w:rPr>
          <w:rFonts w:ascii="Verdana" w:hAnsi="Verdana"/>
          <w:sz w:val="22"/>
          <w:szCs w:val="22"/>
          <w:lang w:val="en-US"/>
        </w:rPr>
        <w:t>) *</w:t>
      </w:r>
      <w:r w:rsidRPr="00BB1432">
        <w:rPr>
          <w:rFonts w:ascii="Verdana" w:hAnsi="Verdana"/>
          <w:sz w:val="22"/>
          <w:szCs w:val="22"/>
          <w:lang w:val="en-US"/>
        </w:rPr>
        <w:t>CB</w:t>
      </w:r>
      <w:r w:rsidRPr="00BB1432">
        <w:rPr>
          <w:rFonts w:ascii="Verdana" w:hAnsi="Verdana"/>
          <w:sz w:val="22"/>
          <w:szCs w:val="22"/>
          <w:vertAlign w:val="subscript"/>
          <w:lang w:val="en-US"/>
        </w:rPr>
        <w:t>T+1</w:t>
      </w:r>
    </w:p>
    <w:p w:rsidR="0078606C" w:rsidRPr="00BB1432" w:rsidRDefault="0078606C" w:rsidP="0078606C">
      <w:pPr>
        <w:spacing w:line="480" w:lineRule="auto"/>
        <w:jc w:val="both"/>
        <w:rPr>
          <w:rFonts w:ascii="Verdana" w:hAnsi="Verdana"/>
          <w:sz w:val="22"/>
          <w:szCs w:val="22"/>
          <w:vertAlign w:val="subscript"/>
          <w:lang w:val="en-US"/>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 xml:space="preserve">Este ratio se lo obtiene al </w:t>
      </w:r>
      <w:r w:rsidR="00EA5529" w:rsidRPr="00BB1432">
        <w:rPr>
          <w:rFonts w:ascii="Verdana" w:hAnsi="Verdana"/>
          <w:sz w:val="22"/>
          <w:szCs w:val="22"/>
        </w:rPr>
        <w:t>dividir</w:t>
      </w:r>
      <w:r w:rsidRPr="00BB1432">
        <w:rPr>
          <w:rFonts w:ascii="Verdana" w:hAnsi="Verdana"/>
          <w:sz w:val="22"/>
          <w:szCs w:val="22"/>
        </w:rPr>
        <w:t xml:space="preserve"> </w:t>
      </w:r>
      <w:r w:rsidR="00EA5529" w:rsidRPr="00BB1432">
        <w:rPr>
          <w:rFonts w:ascii="Verdana" w:hAnsi="Verdana"/>
          <w:sz w:val="22"/>
          <w:szCs w:val="22"/>
        </w:rPr>
        <w:t xml:space="preserve">la diferencia entre el Ingreso Total y los Intereses Ganados más Comisiones Ganadas e Ingresos por Servicios con </w:t>
      </w:r>
      <w:smartTag w:uri="urn:schemas-microsoft-com:office:smarttags" w:element="PersonName">
        <w:smartTagPr>
          <w:attr w:name="ProductID" w:val="la Cartera Bruta"/>
        </w:smartTagPr>
        <w:r w:rsidRPr="00BB1432">
          <w:rPr>
            <w:rFonts w:ascii="Verdana" w:hAnsi="Verdana"/>
            <w:sz w:val="22"/>
            <w:szCs w:val="22"/>
          </w:rPr>
          <w:t>la Cartera Bruta</w:t>
        </w:r>
      </w:smartTag>
      <w:r w:rsidR="00EA5529" w:rsidRPr="00BB1432">
        <w:rPr>
          <w:rFonts w:ascii="Verdana" w:hAnsi="Verdana"/>
          <w:sz w:val="22"/>
          <w:szCs w:val="22"/>
        </w:rPr>
        <w:t xml:space="preserve"> del banco</w:t>
      </w:r>
      <w:r w:rsidRPr="00BB1432">
        <w:rPr>
          <w:rFonts w:ascii="Verdana" w:hAnsi="Verdana"/>
          <w:sz w:val="22"/>
          <w:szCs w:val="22"/>
        </w:rPr>
        <w:t>.</w:t>
      </w:r>
    </w:p>
    <w:p w:rsidR="009A10F5" w:rsidRPr="00BB1432" w:rsidRDefault="009A10F5" w:rsidP="0078606C">
      <w:pPr>
        <w:spacing w:line="480" w:lineRule="auto"/>
        <w:ind w:firstLine="708"/>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El comportamiento de este ratio es bastante variable por el número de subcuentas que posee, resultando en el siguiente gráfico:</w:t>
      </w:r>
    </w:p>
    <w:p w:rsidR="00384CD3" w:rsidRDefault="00384CD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4.6</w:t>
      </w:r>
    </w:p>
    <w:p w:rsidR="0078606C" w:rsidRPr="00BB1432" w:rsidRDefault="00006ACE" w:rsidP="0078606C">
      <w:pPr>
        <w:spacing w:line="480" w:lineRule="auto"/>
        <w:jc w:val="center"/>
        <w:rPr>
          <w:rFonts w:ascii="Verdana" w:hAnsi="Verdana"/>
          <w:sz w:val="22"/>
          <w:szCs w:val="22"/>
        </w:rPr>
      </w:pPr>
      <w:r>
        <w:rPr>
          <w:noProof/>
          <w:sz w:val="22"/>
          <w:szCs w:val="22"/>
          <w:lang w:val="es-ES" w:eastAsia="es-ES"/>
        </w:rPr>
        <w:drawing>
          <wp:inline distT="0" distB="0" distL="0" distR="0">
            <wp:extent cx="5514975" cy="26860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5514975" cy="2686050"/>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F03964" w:rsidRPr="00BB1432" w:rsidRDefault="00F03964"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Pese a su comportamiento variable, el ratio promedio resultó ser un excelente proyector para la cuenta Otros Ingresos.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 xml:space="preserve">El ratio mínimo fue de 0.6%, mientras que el máximo fue de 6.8%, resultando en una mediana de 4.0%, con un promedio de 5.7% y una desviación estándar de 0.019. El coeficiente de correlación de las variables fue del </w:t>
      </w:r>
      <w:r w:rsidR="00DA2F21" w:rsidRPr="00BB1432">
        <w:rPr>
          <w:rFonts w:ascii="Verdana" w:hAnsi="Verdana"/>
          <w:sz w:val="22"/>
          <w:szCs w:val="22"/>
        </w:rPr>
        <w:t>68.2</w:t>
      </w:r>
      <w:r w:rsidRPr="00BB1432">
        <w:rPr>
          <w:rFonts w:ascii="Verdana" w:hAnsi="Verdana"/>
          <w:sz w:val="22"/>
          <w:szCs w:val="22"/>
        </w:rPr>
        <w:t>%.</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En el siguiente cuadro, se muestra la proyección realizada para el último trimestre del año 2006</w:t>
      </w:r>
      <w:r w:rsidR="00FE1B80">
        <w:rPr>
          <w:rFonts w:ascii="Verdana" w:hAnsi="Verdana"/>
          <w:sz w:val="22"/>
          <w:szCs w:val="22"/>
        </w:rPr>
        <w:t>.</w:t>
      </w:r>
    </w:p>
    <w:p w:rsidR="00FE1B80" w:rsidRPr="00BB1432" w:rsidRDefault="00FE1B80" w:rsidP="0078606C">
      <w:pPr>
        <w:spacing w:line="480" w:lineRule="auto"/>
        <w:ind w:firstLine="708"/>
        <w:jc w:val="both"/>
        <w:rPr>
          <w:rFonts w:ascii="Verdana" w:hAnsi="Verdana"/>
          <w:sz w:val="22"/>
          <w:szCs w:val="22"/>
        </w:rPr>
      </w:pPr>
    </w:p>
    <w:p w:rsidR="0078606C" w:rsidRDefault="0078606C" w:rsidP="0078606C">
      <w:pPr>
        <w:spacing w:line="480" w:lineRule="auto"/>
        <w:jc w:val="both"/>
        <w:rPr>
          <w:rFonts w:ascii="Verdana" w:hAnsi="Verdana"/>
          <w:sz w:val="22"/>
          <w:szCs w:val="22"/>
        </w:rPr>
      </w:pPr>
    </w:p>
    <w:p w:rsidR="00AC46A3" w:rsidRPr="00BB1432" w:rsidRDefault="00AC46A3"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4.8</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Otros Ingresos</w:t>
      </w:r>
    </w:p>
    <w:tbl>
      <w:tblPr>
        <w:tblStyle w:val="Tablaconcuadrcula"/>
        <w:tblW w:w="0" w:type="auto"/>
        <w:jc w:val="center"/>
        <w:tblInd w:w="-64" w:type="dxa"/>
        <w:tblLook w:val="01E0"/>
      </w:tblPr>
      <w:tblGrid>
        <w:gridCol w:w="2654"/>
        <w:gridCol w:w="2318"/>
      </w:tblGrid>
      <w:tr w:rsidR="00A314EB" w:rsidRPr="00BB1432">
        <w:trPr>
          <w:jc w:val="center"/>
        </w:trPr>
        <w:tc>
          <w:tcPr>
            <w:tcW w:w="2654" w:type="dxa"/>
            <w:shd w:val="clear" w:color="auto" w:fill="FFFF00"/>
          </w:tcPr>
          <w:p w:rsidR="00A314EB" w:rsidRPr="00BB1432" w:rsidRDefault="00A314EB" w:rsidP="0078606C">
            <w:pPr>
              <w:spacing w:line="480" w:lineRule="auto"/>
              <w:jc w:val="center"/>
              <w:rPr>
                <w:rFonts w:ascii="Verdana" w:hAnsi="Verdana"/>
                <w:b/>
                <w:sz w:val="22"/>
                <w:szCs w:val="22"/>
              </w:rPr>
            </w:pPr>
            <w:r w:rsidRPr="00BB1432">
              <w:rPr>
                <w:rFonts w:ascii="Verdana" w:hAnsi="Verdana"/>
                <w:b/>
                <w:sz w:val="22"/>
                <w:szCs w:val="22"/>
              </w:rPr>
              <w:t>REAL</w:t>
            </w:r>
          </w:p>
        </w:tc>
        <w:tc>
          <w:tcPr>
            <w:tcW w:w="2318"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US$ 10’564,661</w:t>
            </w:r>
          </w:p>
        </w:tc>
      </w:tr>
      <w:tr w:rsidR="00A314EB" w:rsidRPr="00BB1432">
        <w:trPr>
          <w:jc w:val="center"/>
        </w:trPr>
        <w:tc>
          <w:tcPr>
            <w:tcW w:w="2654" w:type="dxa"/>
            <w:shd w:val="clear" w:color="auto" w:fill="FFFF00"/>
          </w:tcPr>
          <w:p w:rsidR="00A314EB" w:rsidRPr="00BB1432" w:rsidRDefault="00A314EB"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2318"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US$ 11’141,416</w:t>
            </w:r>
          </w:p>
        </w:tc>
      </w:tr>
      <w:tr w:rsidR="00A314EB" w:rsidRPr="00BB1432">
        <w:trPr>
          <w:jc w:val="center"/>
        </w:trPr>
        <w:tc>
          <w:tcPr>
            <w:tcW w:w="2654" w:type="dxa"/>
            <w:shd w:val="clear" w:color="auto" w:fill="FFFF00"/>
          </w:tcPr>
          <w:p w:rsidR="00A314EB"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2318"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5.46%</w:t>
            </w:r>
          </w:p>
        </w:tc>
      </w:tr>
    </w:tbl>
    <w:p w:rsidR="00134258" w:rsidRDefault="00134258" w:rsidP="00FE1B80">
      <w:pPr>
        <w:spacing w:line="480" w:lineRule="auto"/>
        <w:ind w:firstLine="1620"/>
        <w:rPr>
          <w:rFonts w:ascii="Verdana" w:hAnsi="Verdana"/>
          <w:b/>
          <w:i/>
          <w:sz w:val="18"/>
          <w:szCs w:val="18"/>
        </w:rPr>
      </w:pPr>
    </w:p>
    <w:p w:rsidR="002337D7" w:rsidRPr="008333A5" w:rsidRDefault="002337D7" w:rsidP="00FE1B80">
      <w:pPr>
        <w:spacing w:line="480" w:lineRule="auto"/>
        <w:ind w:firstLine="16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Margen de error resultante fue del 5.46%, un margen relativamente pequeño pese a la v</w:t>
      </w:r>
      <w:r w:rsidR="00AD50AC">
        <w:rPr>
          <w:rFonts w:ascii="Verdana" w:hAnsi="Verdana"/>
          <w:sz w:val="22"/>
          <w:szCs w:val="22"/>
        </w:rPr>
        <w:t>ariabilidad presentada en el grá</w:t>
      </w:r>
      <w:r w:rsidRPr="00BB1432">
        <w:rPr>
          <w:rFonts w:ascii="Verdana" w:hAnsi="Verdana"/>
          <w:sz w:val="22"/>
          <w:szCs w:val="22"/>
        </w:rPr>
        <w:t>fico por el ratio.</w:t>
      </w:r>
    </w:p>
    <w:p w:rsidR="00587458" w:rsidRPr="00BB1432" w:rsidRDefault="00587458" w:rsidP="0078606C">
      <w:pPr>
        <w:spacing w:line="480" w:lineRule="auto"/>
        <w:ind w:firstLine="708"/>
        <w:jc w:val="both"/>
        <w:rPr>
          <w:rFonts w:ascii="Verdana" w:hAnsi="Verdana"/>
          <w:sz w:val="22"/>
          <w:szCs w:val="22"/>
        </w:rPr>
      </w:pPr>
    </w:p>
    <w:p w:rsidR="00587458" w:rsidRPr="00BB1432" w:rsidRDefault="00587458" w:rsidP="0078606C">
      <w:pPr>
        <w:spacing w:line="480" w:lineRule="auto"/>
        <w:ind w:firstLine="708"/>
        <w:jc w:val="both"/>
        <w:rPr>
          <w:rFonts w:ascii="Verdana" w:hAnsi="Verdana"/>
          <w:sz w:val="22"/>
          <w:szCs w:val="22"/>
        </w:rPr>
      </w:pPr>
      <w:r w:rsidRPr="00BB1432">
        <w:rPr>
          <w:rFonts w:ascii="Verdana" w:hAnsi="Verdana"/>
          <w:sz w:val="22"/>
          <w:szCs w:val="22"/>
        </w:rPr>
        <w:t xml:space="preserve">Dentro del sistema de bancos medianos, el Banco del Austro posee el menor ratio con 0.31%, mientras que el mayor ratio lo tiene  el Unibanco, con 5.67%. El </w:t>
      </w:r>
      <w:r w:rsidR="00527499" w:rsidRPr="00BB1432">
        <w:rPr>
          <w:rFonts w:ascii="Verdana" w:hAnsi="Verdana"/>
          <w:sz w:val="22"/>
          <w:szCs w:val="22"/>
        </w:rPr>
        <w:t>ratio</w:t>
      </w:r>
      <w:r w:rsidRPr="00BB1432">
        <w:rPr>
          <w:rFonts w:ascii="Verdana" w:hAnsi="Verdana"/>
          <w:sz w:val="22"/>
          <w:szCs w:val="22"/>
        </w:rPr>
        <w:t xml:space="preserve"> del sistema es de 2.73%.</w:t>
      </w:r>
    </w:p>
    <w:p w:rsidR="0078606C" w:rsidRPr="00BB1432" w:rsidRDefault="0078606C" w:rsidP="0078606C">
      <w:pPr>
        <w:spacing w:line="480" w:lineRule="auto"/>
        <w:jc w:val="both"/>
        <w:rPr>
          <w:rFonts w:ascii="Verdana" w:hAnsi="Verdana"/>
          <w:sz w:val="22"/>
          <w:szCs w:val="22"/>
        </w:rPr>
      </w:pPr>
    </w:p>
    <w:p w:rsidR="00527499" w:rsidRPr="00BB1432" w:rsidRDefault="00527499"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Otras Utilidades No Operacionales Netas</w:t>
      </w:r>
    </w:p>
    <w:p w:rsidR="0078606C" w:rsidRPr="00BB1432" w:rsidRDefault="0078606C" w:rsidP="0078606C">
      <w:pPr>
        <w:spacing w:line="480" w:lineRule="auto"/>
        <w:jc w:val="both"/>
        <w:rPr>
          <w:rFonts w:ascii="Verdana" w:hAnsi="Verdana"/>
          <w:b/>
          <w:sz w:val="22"/>
          <w:szCs w:val="22"/>
        </w:rPr>
      </w:pPr>
    </w:p>
    <w:p w:rsidR="0078606C" w:rsidRDefault="00F15B35" w:rsidP="0078606C">
      <w:pPr>
        <w:spacing w:line="480" w:lineRule="auto"/>
        <w:ind w:firstLine="708"/>
        <w:jc w:val="both"/>
        <w:rPr>
          <w:rFonts w:ascii="Verdana" w:hAnsi="Verdana"/>
          <w:sz w:val="22"/>
          <w:szCs w:val="22"/>
        </w:rPr>
      </w:pPr>
      <w:r w:rsidRPr="00BB1432">
        <w:rPr>
          <w:rFonts w:ascii="Verdana" w:hAnsi="Verdana"/>
          <w:sz w:val="22"/>
          <w:szCs w:val="22"/>
        </w:rPr>
        <w:t>Es u</w:t>
      </w:r>
      <w:r w:rsidR="0078606C" w:rsidRPr="00BB1432">
        <w:rPr>
          <w:rFonts w:ascii="Verdana" w:hAnsi="Verdana"/>
          <w:sz w:val="22"/>
          <w:szCs w:val="22"/>
        </w:rPr>
        <w:t xml:space="preserve">na cuenta que fue considerada dado su importancia para el Banco, y para las proyecciones a realizar en el presente capítulo. Para establecer su proyección, se cálculo la anualidad de esta cuenta y se analizó </w:t>
      </w:r>
      <w:r w:rsidR="002F4504" w:rsidRPr="00BB1432">
        <w:rPr>
          <w:rFonts w:ascii="Verdana" w:hAnsi="Verdana"/>
          <w:sz w:val="22"/>
          <w:szCs w:val="22"/>
        </w:rPr>
        <w:t>la tasa de crecimiento periódica</w:t>
      </w:r>
      <w:r w:rsidR="0078606C" w:rsidRPr="00BB1432">
        <w:rPr>
          <w:rFonts w:ascii="Verdana" w:hAnsi="Verdana"/>
          <w:sz w:val="22"/>
          <w:szCs w:val="22"/>
        </w:rPr>
        <w:t xml:space="preserve"> de la cuenta, que se obtuvo de la resta entre Otros Ingresos y Otros gastos y pérdidas.</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4.7</w:t>
      </w:r>
    </w:p>
    <w:p w:rsidR="0078606C" w:rsidRPr="00AC070D" w:rsidRDefault="00006ACE" w:rsidP="0078606C">
      <w:pPr>
        <w:spacing w:line="480" w:lineRule="auto"/>
        <w:jc w:val="center"/>
        <w:rPr>
          <w:sz w:val="22"/>
          <w:szCs w:val="22"/>
        </w:rPr>
      </w:pPr>
      <w:r>
        <w:rPr>
          <w:noProof/>
          <w:lang w:val="es-ES" w:eastAsia="es-ES"/>
        </w:rPr>
        <w:drawing>
          <wp:inline distT="0" distB="0" distL="0" distR="0">
            <wp:extent cx="5248275" cy="28575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5248275" cy="2857500"/>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5E50F2" w:rsidRPr="00BB1432" w:rsidRDefault="005E50F2"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Se puede decir que esta cuen</w:t>
      </w:r>
      <w:r w:rsidR="005324BA" w:rsidRPr="00BB1432">
        <w:rPr>
          <w:rFonts w:ascii="Verdana" w:hAnsi="Verdana"/>
          <w:sz w:val="22"/>
          <w:szCs w:val="22"/>
        </w:rPr>
        <w:t>ta representa omisiones cometida</w:t>
      </w:r>
      <w:r w:rsidRPr="00BB1432">
        <w:rPr>
          <w:rFonts w:ascii="Verdana" w:hAnsi="Verdana"/>
          <w:sz w:val="22"/>
          <w:szCs w:val="22"/>
        </w:rPr>
        <w:t xml:space="preserve">s por una inadecuada estimación de previsiones realizadas en ejercicios pasados, lo cual complica su proyección. Sin embargo, dada su contribución al Estado de Perdidas y Ganancias, no es posible eliminarla. </w:t>
      </w:r>
    </w:p>
    <w:p w:rsidR="00A314EB" w:rsidRPr="00BB1432" w:rsidRDefault="00A314EB"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La mediana que se obtuvo fue de -1.48%, con un promedio de 6.98% y una desviación estándar de 0.3380.</w:t>
      </w:r>
    </w:p>
    <w:p w:rsidR="006E31FF" w:rsidRPr="00BB1432" w:rsidRDefault="006E31FF" w:rsidP="0078606C">
      <w:pPr>
        <w:spacing w:line="480" w:lineRule="auto"/>
        <w:ind w:firstLine="708"/>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En el siguiente cuadro, se observa la proyección de la cuenta para el último trimestre del año 2006, usando como ratio de proyección, el valor del ratio de Junio del 2006, que fue el que más se ajustó.</w:t>
      </w:r>
    </w:p>
    <w:p w:rsidR="00FE1B80" w:rsidRPr="00BB1432" w:rsidRDefault="00FE1B80"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4.9</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Otras utilidades no operacionales netas</w:t>
      </w:r>
    </w:p>
    <w:tbl>
      <w:tblPr>
        <w:tblStyle w:val="Tablaconcuadrcula"/>
        <w:tblW w:w="0" w:type="auto"/>
        <w:jc w:val="center"/>
        <w:tblInd w:w="-69" w:type="dxa"/>
        <w:tblLook w:val="01E0"/>
      </w:tblPr>
      <w:tblGrid>
        <w:gridCol w:w="2659"/>
        <w:gridCol w:w="1949"/>
      </w:tblGrid>
      <w:tr w:rsidR="00A314EB" w:rsidRPr="00BB1432">
        <w:trPr>
          <w:jc w:val="center"/>
        </w:trPr>
        <w:tc>
          <w:tcPr>
            <w:tcW w:w="2659" w:type="dxa"/>
            <w:shd w:val="clear" w:color="auto" w:fill="FFFF00"/>
          </w:tcPr>
          <w:p w:rsidR="00A314EB" w:rsidRPr="00BB1432" w:rsidRDefault="00A314EB" w:rsidP="0078606C">
            <w:pPr>
              <w:spacing w:line="480" w:lineRule="auto"/>
              <w:jc w:val="center"/>
              <w:rPr>
                <w:rFonts w:ascii="Verdana" w:hAnsi="Verdana"/>
                <w:b/>
                <w:sz w:val="22"/>
                <w:szCs w:val="22"/>
              </w:rPr>
            </w:pPr>
            <w:r w:rsidRPr="00BB1432">
              <w:rPr>
                <w:rFonts w:ascii="Verdana" w:hAnsi="Verdana"/>
                <w:b/>
                <w:sz w:val="22"/>
                <w:szCs w:val="22"/>
              </w:rPr>
              <w:t>REAL</w:t>
            </w:r>
          </w:p>
        </w:tc>
        <w:tc>
          <w:tcPr>
            <w:tcW w:w="1949"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US$ 628,270</w:t>
            </w:r>
          </w:p>
        </w:tc>
      </w:tr>
      <w:tr w:rsidR="00A314EB" w:rsidRPr="00BB1432">
        <w:trPr>
          <w:jc w:val="center"/>
        </w:trPr>
        <w:tc>
          <w:tcPr>
            <w:tcW w:w="2659" w:type="dxa"/>
            <w:shd w:val="clear" w:color="auto" w:fill="FFFF00"/>
          </w:tcPr>
          <w:p w:rsidR="00A314EB" w:rsidRPr="00BB1432" w:rsidRDefault="00A314EB"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1949"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US$ 303,290</w:t>
            </w:r>
          </w:p>
        </w:tc>
      </w:tr>
      <w:tr w:rsidR="00A314EB" w:rsidRPr="00BB1432">
        <w:trPr>
          <w:jc w:val="center"/>
        </w:trPr>
        <w:tc>
          <w:tcPr>
            <w:tcW w:w="2659" w:type="dxa"/>
            <w:shd w:val="clear" w:color="auto" w:fill="FFFF00"/>
          </w:tcPr>
          <w:p w:rsidR="00A314EB"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1949"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-51.73%</w:t>
            </w:r>
          </w:p>
        </w:tc>
      </w:tr>
    </w:tbl>
    <w:p w:rsidR="00134258" w:rsidRDefault="00134258" w:rsidP="00FE1B80">
      <w:pPr>
        <w:spacing w:line="480" w:lineRule="auto"/>
        <w:ind w:firstLine="1800"/>
        <w:rPr>
          <w:rFonts w:ascii="Verdana" w:hAnsi="Verdana"/>
          <w:b/>
          <w:i/>
          <w:sz w:val="18"/>
          <w:szCs w:val="18"/>
        </w:rPr>
      </w:pPr>
    </w:p>
    <w:p w:rsidR="002337D7" w:rsidRPr="008333A5" w:rsidRDefault="002337D7" w:rsidP="00FE1B80">
      <w:pPr>
        <w:spacing w:line="480" w:lineRule="auto"/>
        <w:ind w:firstLine="180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center"/>
        <w:rPr>
          <w:rFonts w:ascii="Verdana" w:hAnsi="Verdana"/>
          <w:b/>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El error de proyección que se generó fue muy alto. Este resultado se debe primordialmente a la volatilidad que presentan las utilidades no operativas dado que su manejo depende de las habilidades de la administración, lo que complica su proyección.</w:t>
      </w:r>
    </w:p>
    <w:p w:rsidR="00AC46A3" w:rsidRDefault="00AC46A3" w:rsidP="0078606C">
      <w:pPr>
        <w:spacing w:line="480" w:lineRule="auto"/>
        <w:ind w:firstLine="708"/>
        <w:jc w:val="both"/>
        <w:rPr>
          <w:rFonts w:ascii="Verdana" w:hAnsi="Verdana"/>
          <w:sz w:val="22"/>
          <w:szCs w:val="22"/>
        </w:rPr>
      </w:pPr>
    </w:p>
    <w:p w:rsidR="00AC46A3" w:rsidRPr="00BB1432"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Otros egresos</w:t>
      </w:r>
    </w:p>
    <w:p w:rsidR="0078606C" w:rsidRPr="00BB1432" w:rsidRDefault="0078606C" w:rsidP="0078606C">
      <w:pPr>
        <w:spacing w:line="480" w:lineRule="auto"/>
        <w:jc w:val="both"/>
        <w:rPr>
          <w:rFonts w:ascii="Verdana" w:hAnsi="Verdana"/>
          <w:b/>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Esta última cuenta del Estado de Resultados proyectado, considera todas las otras cuentas no consideradas en los análisis previos, como lo son: Pérdidas Financieras, Otras pérdidas operacionales, Impuestos y participación de empleados, Otros gastos y pérdidas.</w:t>
      </w:r>
    </w:p>
    <w:p w:rsidR="0078606C" w:rsidRDefault="0078606C" w:rsidP="0078606C">
      <w:pPr>
        <w:spacing w:line="480" w:lineRule="auto"/>
        <w:jc w:val="both"/>
        <w:rPr>
          <w:rFonts w:ascii="Verdana" w:hAnsi="Verdana"/>
          <w:sz w:val="22"/>
          <w:szCs w:val="22"/>
        </w:rPr>
      </w:pPr>
    </w:p>
    <w:p w:rsidR="00AC46A3" w:rsidRDefault="00AC46A3" w:rsidP="0078606C">
      <w:pPr>
        <w:spacing w:line="480" w:lineRule="auto"/>
        <w:jc w:val="both"/>
        <w:rPr>
          <w:rFonts w:ascii="Verdana" w:hAnsi="Verdana"/>
          <w:sz w:val="22"/>
          <w:szCs w:val="22"/>
        </w:rPr>
      </w:pPr>
    </w:p>
    <w:p w:rsidR="00AC46A3" w:rsidRDefault="00AC46A3" w:rsidP="0078606C">
      <w:pPr>
        <w:spacing w:line="480" w:lineRule="auto"/>
        <w:jc w:val="both"/>
        <w:rPr>
          <w:rFonts w:ascii="Verdana" w:hAnsi="Verdana"/>
          <w:sz w:val="22"/>
          <w:szCs w:val="22"/>
        </w:rPr>
      </w:pPr>
    </w:p>
    <w:p w:rsidR="00AC46A3" w:rsidRDefault="00AC46A3"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Gráfico 4.8</w:t>
      </w:r>
    </w:p>
    <w:p w:rsidR="0078606C" w:rsidRPr="00BB1432" w:rsidRDefault="00006ACE" w:rsidP="0078606C">
      <w:pPr>
        <w:spacing w:line="480" w:lineRule="auto"/>
        <w:jc w:val="center"/>
        <w:rPr>
          <w:rFonts w:ascii="Verdana" w:hAnsi="Verdana"/>
          <w:sz w:val="22"/>
          <w:szCs w:val="22"/>
        </w:rPr>
      </w:pPr>
      <w:r>
        <w:rPr>
          <w:noProof/>
          <w:sz w:val="22"/>
          <w:szCs w:val="22"/>
          <w:lang w:val="es-ES" w:eastAsia="es-ES"/>
        </w:rPr>
        <w:drawing>
          <wp:inline distT="0" distB="0" distL="0" distR="0">
            <wp:extent cx="5276850" cy="29813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5276850" cy="2981325"/>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A partir de junio del 2003, la cuenta ha presentado un comportamiento casi estable, a excepción del primer trimestre del 2004 y del 2005, teniendo un promedio de variabilidad del 12%.</w:t>
      </w:r>
    </w:p>
    <w:p w:rsidR="00AC46A3" w:rsidRPr="00BB1432" w:rsidRDefault="00AC46A3" w:rsidP="0078606C">
      <w:pPr>
        <w:spacing w:line="480" w:lineRule="auto"/>
        <w:ind w:firstLine="708"/>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Sin embargo, para realizar la proyección de la cuenta para el último trimestre del año 2006 se utilizó la tasa promedio de variabilidad, que fue del 140%, con lo que se obtuvo el siguiente resultado:</w:t>
      </w:r>
    </w:p>
    <w:p w:rsidR="00AC46A3" w:rsidRDefault="00AC46A3" w:rsidP="0078606C">
      <w:pPr>
        <w:spacing w:line="480" w:lineRule="auto"/>
        <w:ind w:firstLine="708"/>
        <w:jc w:val="both"/>
        <w:rPr>
          <w:rFonts w:ascii="Verdana" w:hAnsi="Verdana"/>
          <w:sz w:val="22"/>
          <w:szCs w:val="22"/>
        </w:rPr>
      </w:pPr>
    </w:p>
    <w:p w:rsidR="00AC46A3" w:rsidRDefault="00AC46A3" w:rsidP="0078606C">
      <w:pPr>
        <w:spacing w:line="480" w:lineRule="auto"/>
        <w:ind w:firstLine="708"/>
        <w:jc w:val="both"/>
        <w:rPr>
          <w:rFonts w:ascii="Verdana" w:hAnsi="Verdana"/>
          <w:sz w:val="22"/>
          <w:szCs w:val="22"/>
        </w:rPr>
      </w:pPr>
    </w:p>
    <w:p w:rsidR="00AC46A3" w:rsidRDefault="00AC46A3" w:rsidP="0078606C">
      <w:pPr>
        <w:spacing w:line="480" w:lineRule="auto"/>
        <w:ind w:firstLine="708"/>
        <w:jc w:val="both"/>
        <w:rPr>
          <w:rFonts w:ascii="Verdana" w:hAnsi="Verdana"/>
          <w:sz w:val="22"/>
          <w:szCs w:val="22"/>
        </w:rPr>
      </w:pPr>
    </w:p>
    <w:p w:rsidR="00AC46A3" w:rsidRDefault="00AC46A3" w:rsidP="0078606C">
      <w:pPr>
        <w:spacing w:line="480" w:lineRule="auto"/>
        <w:ind w:firstLine="708"/>
        <w:jc w:val="both"/>
        <w:rPr>
          <w:rFonts w:ascii="Verdana" w:hAnsi="Verdana"/>
          <w:sz w:val="22"/>
          <w:szCs w:val="22"/>
        </w:rPr>
      </w:pPr>
    </w:p>
    <w:p w:rsidR="00AC46A3" w:rsidRPr="00BB1432"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4.10</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Otros Egresos</w:t>
      </w:r>
    </w:p>
    <w:tbl>
      <w:tblPr>
        <w:tblStyle w:val="Tablaconcuadrcula"/>
        <w:tblW w:w="0" w:type="auto"/>
        <w:jc w:val="center"/>
        <w:tblInd w:w="40" w:type="dxa"/>
        <w:tblLook w:val="01E0"/>
      </w:tblPr>
      <w:tblGrid>
        <w:gridCol w:w="2550"/>
        <w:gridCol w:w="2166"/>
      </w:tblGrid>
      <w:tr w:rsidR="00A314EB" w:rsidRPr="00BB1432">
        <w:trPr>
          <w:jc w:val="center"/>
        </w:trPr>
        <w:tc>
          <w:tcPr>
            <w:tcW w:w="2550" w:type="dxa"/>
            <w:shd w:val="clear" w:color="auto" w:fill="FFFF00"/>
          </w:tcPr>
          <w:p w:rsidR="00A314EB" w:rsidRPr="00BB1432" w:rsidRDefault="00A314EB" w:rsidP="0078606C">
            <w:pPr>
              <w:spacing w:line="480" w:lineRule="auto"/>
              <w:jc w:val="center"/>
              <w:rPr>
                <w:rFonts w:ascii="Verdana" w:hAnsi="Verdana"/>
                <w:b/>
                <w:sz w:val="22"/>
                <w:szCs w:val="22"/>
              </w:rPr>
            </w:pPr>
            <w:r w:rsidRPr="00BB1432">
              <w:rPr>
                <w:rFonts w:ascii="Verdana" w:hAnsi="Verdana"/>
                <w:b/>
                <w:sz w:val="22"/>
                <w:szCs w:val="22"/>
              </w:rPr>
              <w:t>REAL</w:t>
            </w:r>
          </w:p>
        </w:tc>
        <w:tc>
          <w:tcPr>
            <w:tcW w:w="2166"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US$ 3’160,200</w:t>
            </w:r>
          </w:p>
        </w:tc>
      </w:tr>
      <w:tr w:rsidR="00A314EB" w:rsidRPr="00BB1432">
        <w:trPr>
          <w:jc w:val="center"/>
        </w:trPr>
        <w:tc>
          <w:tcPr>
            <w:tcW w:w="2550" w:type="dxa"/>
            <w:shd w:val="clear" w:color="auto" w:fill="FFFF00"/>
          </w:tcPr>
          <w:p w:rsidR="00A314EB" w:rsidRPr="00BB1432" w:rsidRDefault="00A314EB" w:rsidP="0078606C">
            <w:pPr>
              <w:spacing w:line="480" w:lineRule="auto"/>
              <w:jc w:val="center"/>
              <w:rPr>
                <w:rFonts w:ascii="Verdana" w:hAnsi="Verdana"/>
                <w:b/>
                <w:sz w:val="22"/>
                <w:szCs w:val="22"/>
              </w:rPr>
            </w:pPr>
            <w:r w:rsidRPr="00BB1432">
              <w:rPr>
                <w:rFonts w:ascii="Verdana" w:hAnsi="Verdana"/>
                <w:b/>
                <w:sz w:val="22"/>
                <w:szCs w:val="22"/>
              </w:rPr>
              <w:t>PRONOSTICADO</w:t>
            </w:r>
          </w:p>
        </w:tc>
        <w:tc>
          <w:tcPr>
            <w:tcW w:w="2166"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US$ 3’146,463</w:t>
            </w:r>
          </w:p>
        </w:tc>
      </w:tr>
      <w:tr w:rsidR="00A314EB" w:rsidRPr="00BB1432">
        <w:trPr>
          <w:jc w:val="center"/>
        </w:trPr>
        <w:tc>
          <w:tcPr>
            <w:tcW w:w="2550" w:type="dxa"/>
            <w:shd w:val="clear" w:color="auto" w:fill="FFFF00"/>
          </w:tcPr>
          <w:p w:rsidR="00A314EB" w:rsidRPr="00BB1432" w:rsidRDefault="00052EA2" w:rsidP="0078606C">
            <w:pPr>
              <w:spacing w:line="480" w:lineRule="auto"/>
              <w:jc w:val="center"/>
              <w:rPr>
                <w:rFonts w:ascii="Verdana" w:hAnsi="Verdana"/>
                <w:b/>
                <w:sz w:val="22"/>
                <w:szCs w:val="22"/>
              </w:rPr>
            </w:pPr>
            <w:r w:rsidRPr="00BB1432">
              <w:rPr>
                <w:rFonts w:ascii="Verdana" w:hAnsi="Verdana"/>
                <w:b/>
                <w:sz w:val="22"/>
                <w:szCs w:val="22"/>
              </w:rPr>
              <w:t>VARIACIÓN (%)</w:t>
            </w:r>
          </w:p>
        </w:tc>
        <w:tc>
          <w:tcPr>
            <w:tcW w:w="2166" w:type="dxa"/>
          </w:tcPr>
          <w:p w:rsidR="00A314EB" w:rsidRPr="00BB1432" w:rsidRDefault="00A314EB" w:rsidP="0078606C">
            <w:pPr>
              <w:spacing w:line="480" w:lineRule="auto"/>
              <w:jc w:val="center"/>
              <w:rPr>
                <w:rFonts w:ascii="Verdana" w:hAnsi="Verdana"/>
                <w:sz w:val="22"/>
                <w:szCs w:val="22"/>
              </w:rPr>
            </w:pPr>
            <w:r w:rsidRPr="00BB1432">
              <w:rPr>
                <w:rFonts w:ascii="Verdana" w:hAnsi="Verdana"/>
                <w:sz w:val="22"/>
                <w:szCs w:val="22"/>
              </w:rPr>
              <w:t>-0.43%</w:t>
            </w:r>
          </w:p>
        </w:tc>
      </w:tr>
    </w:tbl>
    <w:p w:rsidR="00134258" w:rsidRDefault="00134258" w:rsidP="00FE1B80">
      <w:pPr>
        <w:spacing w:line="480" w:lineRule="auto"/>
        <w:ind w:firstLine="1800"/>
        <w:rPr>
          <w:rFonts w:ascii="Verdana" w:hAnsi="Verdana"/>
          <w:b/>
          <w:i/>
          <w:sz w:val="18"/>
          <w:szCs w:val="18"/>
        </w:rPr>
      </w:pPr>
    </w:p>
    <w:p w:rsidR="002337D7" w:rsidRPr="008333A5" w:rsidRDefault="002337D7" w:rsidP="00FE1B80">
      <w:pPr>
        <w:spacing w:line="480" w:lineRule="auto"/>
        <w:ind w:firstLine="180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A314EB" w:rsidRPr="00BB1432" w:rsidRDefault="00A314EB"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Como nos podemos percatar, el margen de error fue mínimo, casi nulo, por lo que se considera correcto usar el ratio propuesto para las proyecciones de esta cuenta.</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Importante también fue conocer la tasa promedio de impuestos y participación, tanto trimestral como anual. En este último caso, la tasa promedio anual de esta cuenta fue del 33.57%.</w:t>
      </w:r>
    </w:p>
    <w:p w:rsidR="00527499" w:rsidRPr="00BB1432" w:rsidRDefault="00527499" w:rsidP="0078606C">
      <w:pPr>
        <w:spacing w:line="480" w:lineRule="auto"/>
        <w:ind w:firstLine="708"/>
        <w:jc w:val="both"/>
        <w:rPr>
          <w:rFonts w:ascii="Verdana" w:hAnsi="Verdana"/>
          <w:sz w:val="22"/>
          <w:szCs w:val="22"/>
        </w:rPr>
      </w:pPr>
    </w:p>
    <w:p w:rsidR="00527499" w:rsidRPr="00BB1432" w:rsidRDefault="00527499" w:rsidP="0078606C">
      <w:pPr>
        <w:spacing w:line="480" w:lineRule="auto"/>
        <w:ind w:firstLine="708"/>
        <w:jc w:val="both"/>
        <w:rPr>
          <w:rFonts w:ascii="Verdana" w:hAnsi="Verdana"/>
          <w:sz w:val="22"/>
          <w:szCs w:val="22"/>
        </w:rPr>
      </w:pPr>
    </w:p>
    <w:p w:rsidR="005E50F2" w:rsidRPr="00BB1432" w:rsidRDefault="005E50F2"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both"/>
        <w:rPr>
          <w:rFonts w:ascii="Verdana" w:hAnsi="Verdana"/>
          <w:b/>
          <w:sz w:val="22"/>
          <w:szCs w:val="22"/>
        </w:rPr>
      </w:pPr>
      <w:r w:rsidRPr="00BB1432">
        <w:rPr>
          <w:rFonts w:ascii="Verdana" w:hAnsi="Verdana"/>
          <w:b/>
          <w:sz w:val="22"/>
          <w:szCs w:val="22"/>
        </w:rPr>
        <w:t xml:space="preserve">4.2 </w:t>
      </w:r>
      <w:r w:rsidR="00136794" w:rsidRPr="00BB1432">
        <w:rPr>
          <w:rFonts w:ascii="Verdana" w:hAnsi="Verdana"/>
          <w:b/>
          <w:sz w:val="22"/>
          <w:szCs w:val="22"/>
        </w:rPr>
        <w:t xml:space="preserve">CÁLCULO DE </w:t>
      </w:r>
      <w:smartTag w:uri="urn:schemas-microsoft-com:office:smarttags" w:element="PersonName">
        <w:smartTagPr>
          <w:attr w:name="ProductID" w:val="LA VALORACIￓN DEL"/>
        </w:smartTagPr>
        <w:r w:rsidR="00136794" w:rsidRPr="00BB1432">
          <w:rPr>
            <w:rFonts w:ascii="Verdana" w:hAnsi="Verdana"/>
            <w:b/>
            <w:sz w:val="22"/>
            <w:szCs w:val="22"/>
          </w:rPr>
          <w:t>LA VALORACIÓN DEL</w:t>
        </w:r>
      </w:smartTag>
      <w:r w:rsidR="00136794" w:rsidRPr="00BB1432">
        <w:rPr>
          <w:rFonts w:ascii="Verdana" w:hAnsi="Verdana"/>
          <w:b/>
          <w:sz w:val="22"/>
          <w:szCs w:val="22"/>
        </w:rPr>
        <w:t xml:space="preserve"> UNIBANCO</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4.2.1 Cálculo y proyección del flujo de efectivo disponible para los accionistas</w:t>
      </w:r>
    </w:p>
    <w:p w:rsidR="0078606C" w:rsidRPr="00BB1432" w:rsidRDefault="0078606C" w:rsidP="0078606C">
      <w:pPr>
        <w:spacing w:line="480" w:lineRule="auto"/>
        <w:jc w:val="both"/>
        <w:rPr>
          <w:rFonts w:ascii="Verdana" w:hAnsi="Verdana"/>
          <w:b/>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El siguiente cuadro muestra los resultados obtenidos en la proyección del mismo y en el Anexo 3 se encuentra en detalle la proyección de todas las cuentas correspondientes al Estado de Pérdidas y Ganancias.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4.11</w:t>
      </w:r>
    </w:p>
    <w:p w:rsidR="0078606C" w:rsidRPr="00BB1432" w:rsidRDefault="00970AF7" w:rsidP="0078606C">
      <w:pPr>
        <w:spacing w:line="480" w:lineRule="auto"/>
        <w:jc w:val="center"/>
        <w:rPr>
          <w:rFonts w:ascii="Verdana" w:hAnsi="Verdana"/>
          <w:b/>
          <w:sz w:val="22"/>
          <w:szCs w:val="22"/>
        </w:rPr>
      </w:pPr>
      <w:r>
        <w:rPr>
          <w:rFonts w:ascii="Verdana" w:hAnsi="Verdana"/>
          <w:b/>
          <w:sz w:val="22"/>
          <w:szCs w:val="22"/>
        </w:rPr>
        <w:t>Estado de Pé</w:t>
      </w:r>
      <w:r w:rsidR="0078606C" w:rsidRPr="00BB1432">
        <w:rPr>
          <w:rFonts w:ascii="Verdana" w:hAnsi="Verdana"/>
          <w:b/>
          <w:sz w:val="22"/>
          <w:szCs w:val="22"/>
        </w:rPr>
        <w:t>rdidas y Ganancias Proyectado</w:t>
      </w:r>
    </w:p>
    <w:p w:rsidR="0078606C" w:rsidRPr="00791B0A" w:rsidRDefault="00006ACE" w:rsidP="0078606C">
      <w:pPr>
        <w:spacing w:line="480" w:lineRule="auto"/>
        <w:jc w:val="center"/>
        <w:rPr>
          <w:sz w:val="22"/>
          <w:szCs w:val="22"/>
        </w:rPr>
      </w:pPr>
      <w:r>
        <w:rPr>
          <w:noProof/>
          <w:lang w:val="es-ES" w:eastAsia="es-ES"/>
        </w:rPr>
        <w:drawing>
          <wp:inline distT="0" distB="0" distL="0" distR="0">
            <wp:extent cx="5248275" cy="2647950"/>
            <wp:effectExtent l="1905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5248275" cy="2647950"/>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AC46A3"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Se proyectaron 5 años para el modelo (2007 – 2011), más un año adicional (2012) que servirá para el cálculo del valor presente de los dividendos futuros a perpetuidad.</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Se establece una tasa de retención de utilidades del 70% para los primeros 5 años, lo cual quiere decir que el Banco reparte el 30% de sus utilidades a los accionistas en la primera etapa de la proyección.</w:t>
      </w: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Durante la segunda etapa de la proyección, a partir del 2012, donde comienza el periodo perpetuo en el cual la entidad alcanza su estabilidad, es de esperarse que los accionistas quieran recibir una mayor participación, por lo que se establece un porcentaje de repartición del 50%.</w:t>
      </w:r>
    </w:p>
    <w:p w:rsidR="00F86EEE" w:rsidRPr="00BB1432" w:rsidRDefault="00F86EEE"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Como medida de cálculo de la tasa de crecimiento perpetuo se usó la siguiente fórmula:</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sz w:val="22"/>
          <w:szCs w:val="22"/>
        </w:rPr>
      </w:pPr>
      <w:r w:rsidRPr="00BB1432">
        <w:rPr>
          <w:rFonts w:ascii="Verdana" w:hAnsi="Verdana"/>
          <w:i/>
          <w:sz w:val="22"/>
          <w:szCs w:val="22"/>
        </w:rPr>
        <w:t>g</w:t>
      </w:r>
      <w:r w:rsidRPr="00BB1432">
        <w:rPr>
          <w:rFonts w:ascii="Verdana" w:hAnsi="Verdana"/>
          <w:sz w:val="22"/>
          <w:szCs w:val="22"/>
        </w:rPr>
        <w:t xml:space="preserve"> = </w:t>
      </w:r>
      <w:r w:rsidRPr="00BB1432">
        <w:rPr>
          <w:rFonts w:ascii="Verdana" w:hAnsi="Verdana"/>
          <w:i/>
          <w:sz w:val="22"/>
          <w:szCs w:val="22"/>
        </w:rPr>
        <w:t xml:space="preserve">b </w:t>
      </w:r>
      <w:r w:rsidRPr="00BB1432">
        <w:rPr>
          <w:rFonts w:ascii="Verdana" w:hAnsi="Verdana"/>
          <w:sz w:val="22"/>
          <w:szCs w:val="22"/>
        </w:rPr>
        <w:t>* ROE</w:t>
      </w:r>
    </w:p>
    <w:p w:rsidR="0078606C" w:rsidRPr="00BB1432" w:rsidRDefault="0078606C" w:rsidP="0078606C">
      <w:pPr>
        <w:spacing w:line="480" w:lineRule="auto"/>
        <w:jc w:val="center"/>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Donde:</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both"/>
        <w:rPr>
          <w:rFonts w:ascii="Verdana" w:hAnsi="Verdana"/>
          <w:sz w:val="22"/>
          <w:szCs w:val="22"/>
        </w:rPr>
      </w:pPr>
      <w:r w:rsidRPr="00BB1432">
        <w:rPr>
          <w:rFonts w:ascii="Verdana" w:hAnsi="Verdana"/>
          <w:i/>
          <w:sz w:val="22"/>
          <w:szCs w:val="22"/>
        </w:rPr>
        <w:t>g</w:t>
      </w:r>
      <w:r w:rsidRPr="00BB1432">
        <w:rPr>
          <w:rFonts w:ascii="Verdana" w:hAnsi="Verdana"/>
          <w:sz w:val="22"/>
          <w:szCs w:val="22"/>
        </w:rPr>
        <w:t xml:space="preserve"> = tasa de crecimiento sostenido a perpetuidad</w:t>
      </w:r>
    </w:p>
    <w:p w:rsidR="0078606C" w:rsidRPr="00BB1432" w:rsidRDefault="0078606C" w:rsidP="0078606C">
      <w:pPr>
        <w:spacing w:line="480" w:lineRule="auto"/>
        <w:jc w:val="both"/>
        <w:rPr>
          <w:rFonts w:ascii="Verdana" w:hAnsi="Verdana"/>
          <w:sz w:val="22"/>
          <w:szCs w:val="22"/>
        </w:rPr>
      </w:pPr>
      <w:r w:rsidRPr="00BB1432">
        <w:rPr>
          <w:rFonts w:ascii="Verdana" w:hAnsi="Verdana"/>
          <w:i/>
          <w:sz w:val="22"/>
          <w:szCs w:val="22"/>
        </w:rPr>
        <w:t>b</w:t>
      </w:r>
      <w:r w:rsidRPr="00BB1432">
        <w:rPr>
          <w:rFonts w:ascii="Verdana" w:hAnsi="Verdana"/>
          <w:sz w:val="22"/>
          <w:szCs w:val="22"/>
        </w:rPr>
        <w:t xml:space="preserve"> = tasa de retención de utilidades a perpetuidad</w:t>
      </w:r>
    </w:p>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ROE = Rentabilidad sobre el patrimonio</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Se establece u</w:t>
      </w:r>
      <w:r w:rsidR="00970B61" w:rsidRPr="00BB1432">
        <w:rPr>
          <w:rFonts w:ascii="Verdana" w:hAnsi="Verdana"/>
          <w:sz w:val="22"/>
          <w:szCs w:val="22"/>
        </w:rPr>
        <w:t xml:space="preserve">n </w:t>
      </w:r>
      <w:r w:rsidR="00533E33" w:rsidRPr="00BB1432">
        <w:rPr>
          <w:rFonts w:ascii="Verdana" w:hAnsi="Verdana"/>
          <w:sz w:val="22"/>
          <w:szCs w:val="22"/>
        </w:rPr>
        <w:t>valor del ROE promedio del 1</w:t>
      </w:r>
      <w:r w:rsidR="00725A07">
        <w:rPr>
          <w:rFonts w:ascii="Verdana" w:hAnsi="Verdana"/>
          <w:sz w:val="22"/>
          <w:szCs w:val="22"/>
        </w:rPr>
        <w:t>4</w:t>
      </w:r>
      <w:r w:rsidR="00533E33" w:rsidRPr="00BB1432">
        <w:rPr>
          <w:rFonts w:ascii="Verdana" w:hAnsi="Verdana"/>
          <w:sz w:val="22"/>
          <w:szCs w:val="22"/>
        </w:rPr>
        <w:t>.</w:t>
      </w:r>
      <w:r w:rsidR="00725A07">
        <w:rPr>
          <w:rFonts w:ascii="Verdana" w:hAnsi="Verdana"/>
          <w:sz w:val="22"/>
          <w:szCs w:val="22"/>
        </w:rPr>
        <w:t>53</w:t>
      </w:r>
      <w:r w:rsidRPr="00BB1432">
        <w:rPr>
          <w:rFonts w:ascii="Verdana" w:hAnsi="Verdana"/>
          <w:sz w:val="22"/>
          <w:szCs w:val="22"/>
        </w:rPr>
        <w:t>% durante los periodos proyectados. (Ver Anexo 3).</w:t>
      </w:r>
    </w:p>
    <w:p w:rsidR="00C30F68" w:rsidRDefault="00C30F68" w:rsidP="0078606C">
      <w:pPr>
        <w:spacing w:line="480" w:lineRule="auto"/>
        <w:ind w:firstLine="708"/>
        <w:jc w:val="both"/>
        <w:rPr>
          <w:rFonts w:ascii="Verdana" w:hAnsi="Verdana"/>
          <w:sz w:val="22"/>
          <w:szCs w:val="22"/>
        </w:rPr>
      </w:pPr>
    </w:p>
    <w:p w:rsidR="00FE1B80" w:rsidRDefault="00FE1B80" w:rsidP="0078606C">
      <w:pPr>
        <w:spacing w:line="480" w:lineRule="auto"/>
        <w:ind w:firstLine="708"/>
        <w:jc w:val="both"/>
        <w:rPr>
          <w:rFonts w:ascii="Verdana" w:hAnsi="Verdana"/>
          <w:sz w:val="22"/>
          <w:szCs w:val="22"/>
        </w:rPr>
      </w:pPr>
    </w:p>
    <w:p w:rsidR="00725A07" w:rsidRDefault="00725A07" w:rsidP="0078606C">
      <w:pPr>
        <w:spacing w:line="480" w:lineRule="auto"/>
        <w:ind w:firstLine="708"/>
        <w:jc w:val="both"/>
        <w:rPr>
          <w:rFonts w:ascii="Verdana" w:hAnsi="Verdana"/>
          <w:sz w:val="22"/>
          <w:szCs w:val="22"/>
        </w:rPr>
      </w:pPr>
    </w:p>
    <w:p w:rsidR="00FE1B80" w:rsidRDefault="00FE1B80" w:rsidP="0078606C">
      <w:pPr>
        <w:spacing w:line="480" w:lineRule="auto"/>
        <w:ind w:firstLine="708"/>
        <w:jc w:val="both"/>
        <w:rPr>
          <w:rFonts w:ascii="Verdana" w:hAnsi="Verdana"/>
          <w:sz w:val="22"/>
          <w:szCs w:val="22"/>
        </w:rPr>
      </w:pPr>
    </w:p>
    <w:p w:rsidR="00FE1B80" w:rsidRDefault="00FE1B80"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REQUERIMIENTOS DEL PATRIMONIO</w:t>
      </w:r>
    </w:p>
    <w:p w:rsidR="0078606C" w:rsidRPr="00BB1432" w:rsidRDefault="0078606C" w:rsidP="0078606C">
      <w:pPr>
        <w:spacing w:line="480" w:lineRule="auto"/>
        <w:jc w:val="both"/>
        <w:rPr>
          <w:rFonts w:ascii="Verdana" w:hAnsi="Verdana"/>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Con la finalidad de mantener constantemente su solvencia, las entidades bancarias del país sobre la base de los estados financieros individuales y consolidados, están compilados a poseer en todo momento un nivel mínimo de patrimonio técnico total igual al 9% de la sumatoria total de los activos y contingentes ponderados por riesgo.</w:t>
      </w:r>
    </w:p>
    <w:p w:rsidR="00AC46A3" w:rsidRPr="00BB1432"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4.12</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Activos Ponderados por Riesgo</w:t>
      </w:r>
    </w:p>
    <w:p w:rsidR="0078606C" w:rsidRPr="00BB1432" w:rsidRDefault="00006ACE" w:rsidP="0078606C">
      <w:pPr>
        <w:spacing w:line="480" w:lineRule="auto"/>
        <w:jc w:val="center"/>
        <w:rPr>
          <w:rFonts w:ascii="Verdana" w:hAnsi="Verdana"/>
          <w:b/>
          <w:sz w:val="22"/>
          <w:szCs w:val="22"/>
        </w:rPr>
      </w:pPr>
      <w:r>
        <w:rPr>
          <w:noProof/>
          <w:sz w:val="22"/>
          <w:szCs w:val="22"/>
          <w:lang w:val="es-ES" w:eastAsia="es-ES"/>
        </w:rPr>
        <w:drawing>
          <wp:inline distT="0" distB="0" distL="0" distR="0">
            <wp:extent cx="2771775" cy="1152525"/>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2771775" cy="1152525"/>
                    </a:xfrm>
                    <a:prstGeom prst="rect">
                      <a:avLst/>
                    </a:prstGeom>
                    <a:noFill/>
                    <a:ln w="9525">
                      <a:noFill/>
                      <a:miter lim="800000"/>
                      <a:headEnd/>
                      <a:tailEnd/>
                    </a:ln>
                  </pic:spPr>
                </pic:pic>
              </a:graphicData>
            </a:graphic>
          </wp:inline>
        </w:drawing>
      </w:r>
    </w:p>
    <w:p w:rsidR="0078606C" w:rsidRPr="00FE1B80" w:rsidRDefault="0078606C" w:rsidP="00FE1B80">
      <w:pPr>
        <w:tabs>
          <w:tab w:val="left" w:pos="2025"/>
        </w:tabs>
        <w:ind w:firstLine="1980"/>
        <w:rPr>
          <w:rFonts w:ascii="Verdana" w:hAnsi="Verdana"/>
          <w:i/>
          <w:sz w:val="18"/>
          <w:szCs w:val="18"/>
        </w:rPr>
      </w:pPr>
      <w:r w:rsidRPr="00FE1B80">
        <w:rPr>
          <w:rFonts w:ascii="Verdana" w:hAnsi="Verdana"/>
          <w:b/>
          <w:i/>
          <w:sz w:val="18"/>
          <w:szCs w:val="18"/>
        </w:rPr>
        <w:t>Fuente:</w:t>
      </w:r>
      <w:r w:rsidRPr="00FE1B80">
        <w:rPr>
          <w:rFonts w:ascii="Verdana" w:hAnsi="Verdana"/>
          <w:i/>
          <w:sz w:val="18"/>
          <w:szCs w:val="18"/>
        </w:rPr>
        <w:t xml:space="preserve"> Superintendencia de Bancos</w:t>
      </w:r>
    </w:p>
    <w:p w:rsidR="002337D7" w:rsidRPr="008333A5" w:rsidRDefault="002337D7" w:rsidP="00FE1B80">
      <w:pPr>
        <w:spacing w:line="480" w:lineRule="auto"/>
        <w:ind w:firstLine="198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AC46A3" w:rsidRDefault="00AC46A3" w:rsidP="0078606C">
      <w:pPr>
        <w:spacing w:line="480" w:lineRule="auto"/>
        <w:ind w:firstLine="708"/>
        <w:jc w:val="both"/>
        <w:rPr>
          <w:rFonts w:ascii="Verdana" w:hAnsi="Verdana"/>
          <w:sz w:val="22"/>
          <w:szCs w:val="22"/>
        </w:rPr>
      </w:pPr>
    </w:p>
    <w:p w:rsidR="0078606C" w:rsidRPr="00BB1432" w:rsidRDefault="0078606C" w:rsidP="00AC46A3">
      <w:pPr>
        <w:spacing w:line="480" w:lineRule="auto"/>
        <w:ind w:firstLine="708"/>
        <w:jc w:val="both"/>
        <w:rPr>
          <w:rFonts w:ascii="Verdana" w:hAnsi="Verdana"/>
          <w:sz w:val="22"/>
          <w:szCs w:val="22"/>
        </w:rPr>
      </w:pPr>
      <w:r w:rsidRPr="00BB1432">
        <w:rPr>
          <w:rFonts w:ascii="Verdana" w:hAnsi="Verdana"/>
          <w:sz w:val="22"/>
          <w:szCs w:val="22"/>
        </w:rPr>
        <w:t>El cuadro anterior nos señala los porcentajes de ponderación que se eligieron para las cuentas proyectadas del activo, con lo que obtenemos los siguientes resultados:</w:t>
      </w:r>
    </w:p>
    <w:p w:rsidR="0078606C" w:rsidRPr="00BB1432" w:rsidRDefault="0078606C" w:rsidP="0078606C">
      <w:pPr>
        <w:tabs>
          <w:tab w:val="left" w:pos="1995"/>
        </w:tabs>
        <w:spacing w:line="480" w:lineRule="auto"/>
        <w:jc w:val="center"/>
        <w:rPr>
          <w:rFonts w:ascii="Verdana" w:hAnsi="Verdana"/>
          <w:b/>
          <w:sz w:val="22"/>
          <w:szCs w:val="22"/>
        </w:rPr>
      </w:pPr>
      <w:r w:rsidRPr="00BB1432">
        <w:rPr>
          <w:rFonts w:ascii="Verdana" w:hAnsi="Verdana"/>
          <w:b/>
          <w:sz w:val="22"/>
          <w:szCs w:val="22"/>
        </w:rPr>
        <w:t>Cuadro 4.13</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Proyección del requerimiento sobre Patrimonio Técnico</w:t>
      </w:r>
    </w:p>
    <w:p w:rsidR="0078606C" w:rsidRPr="00F21CBB" w:rsidRDefault="00006ACE" w:rsidP="0078606C">
      <w:pPr>
        <w:spacing w:line="480" w:lineRule="auto"/>
        <w:jc w:val="center"/>
        <w:rPr>
          <w:sz w:val="22"/>
          <w:szCs w:val="22"/>
        </w:rPr>
      </w:pPr>
      <w:r>
        <w:rPr>
          <w:noProof/>
          <w:lang w:val="es-ES" w:eastAsia="es-ES"/>
        </w:rPr>
        <w:drawing>
          <wp:inline distT="0" distB="0" distL="0" distR="0">
            <wp:extent cx="5257800" cy="59055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5257800" cy="590550"/>
                    </a:xfrm>
                    <a:prstGeom prst="rect">
                      <a:avLst/>
                    </a:prstGeom>
                    <a:noFill/>
                    <a:ln w="9525">
                      <a:noFill/>
                      <a:miter lim="800000"/>
                      <a:headEnd/>
                      <a:tailEnd/>
                    </a:ln>
                  </pic:spPr>
                </pic:pic>
              </a:graphicData>
            </a:graphic>
          </wp:inline>
        </w:drawing>
      </w:r>
    </w:p>
    <w:p w:rsidR="002337D7" w:rsidRPr="008333A5" w:rsidRDefault="002337D7" w:rsidP="002337D7">
      <w:pPr>
        <w:spacing w:line="480" w:lineRule="auto"/>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Como se puede observar en el Cuadro 4.13, el porcentaje para los activos ponderados por riesgo está alrededor del 1</w:t>
      </w:r>
      <w:r w:rsidR="005809E6" w:rsidRPr="00BB1432">
        <w:rPr>
          <w:rFonts w:ascii="Verdana" w:hAnsi="Verdana"/>
          <w:sz w:val="22"/>
          <w:szCs w:val="22"/>
        </w:rPr>
        <w:t>4</w:t>
      </w:r>
      <w:r w:rsidR="00FF182A" w:rsidRPr="00BB1432">
        <w:rPr>
          <w:rFonts w:ascii="Verdana" w:hAnsi="Verdana"/>
          <w:sz w:val="22"/>
          <w:szCs w:val="22"/>
        </w:rPr>
        <w:t>.8</w:t>
      </w:r>
      <w:r w:rsidRPr="00BB1432">
        <w:rPr>
          <w:rFonts w:ascii="Verdana" w:hAnsi="Verdana"/>
          <w:sz w:val="22"/>
          <w:szCs w:val="22"/>
        </w:rPr>
        <w:t xml:space="preserve">%, cuando el mínimo requerido es del 9%, por lo que cumple con la regla establecida por </w:t>
      </w:r>
      <w:smartTag w:uri="urn:schemas-microsoft-com:office:smarttags" w:element="PersonName">
        <w:smartTagPr>
          <w:attr w:name="ProductID" w:val="la Superintendencia"/>
        </w:smartTagPr>
        <w:r w:rsidRPr="00BB1432">
          <w:rPr>
            <w:rFonts w:ascii="Verdana" w:hAnsi="Verdana"/>
            <w:sz w:val="22"/>
            <w:szCs w:val="22"/>
          </w:rPr>
          <w:t>la Superintendencia</w:t>
        </w:r>
      </w:smartTag>
      <w:r w:rsidRPr="00BB1432">
        <w:rPr>
          <w:rFonts w:ascii="Verdana" w:hAnsi="Verdana"/>
          <w:sz w:val="22"/>
          <w:szCs w:val="22"/>
        </w:rPr>
        <w:t xml:space="preserve"> de Bancos del Ecuador.</w:t>
      </w:r>
    </w:p>
    <w:p w:rsidR="00AC46A3" w:rsidRPr="00BB1432" w:rsidRDefault="00AC46A3" w:rsidP="0078606C">
      <w:pPr>
        <w:spacing w:line="480" w:lineRule="auto"/>
        <w:ind w:firstLine="708"/>
        <w:jc w:val="both"/>
        <w:rPr>
          <w:rFonts w:ascii="Verdana" w:hAnsi="Verdana"/>
          <w:sz w:val="22"/>
          <w:szCs w:val="22"/>
        </w:rPr>
      </w:pPr>
    </w:p>
    <w:p w:rsidR="00B23B1A" w:rsidRPr="00BB1432" w:rsidRDefault="00B23B1A" w:rsidP="0078606C">
      <w:pPr>
        <w:spacing w:line="480" w:lineRule="auto"/>
        <w:ind w:left="708"/>
        <w:jc w:val="both"/>
        <w:rPr>
          <w:rFonts w:ascii="Verdana" w:hAnsi="Verdana"/>
          <w:b/>
          <w:sz w:val="22"/>
          <w:szCs w:val="22"/>
        </w:rPr>
      </w:pPr>
    </w:p>
    <w:p w:rsidR="0078606C" w:rsidRPr="00BB1432" w:rsidRDefault="0078606C" w:rsidP="0078606C">
      <w:pPr>
        <w:spacing w:line="480" w:lineRule="auto"/>
        <w:ind w:left="708"/>
        <w:jc w:val="both"/>
        <w:rPr>
          <w:rFonts w:ascii="Verdana" w:hAnsi="Verdana"/>
          <w:b/>
          <w:sz w:val="22"/>
          <w:szCs w:val="22"/>
        </w:rPr>
      </w:pPr>
      <w:r w:rsidRPr="00BB1432">
        <w:rPr>
          <w:rFonts w:ascii="Verdana" w:hAnsi="Verdana"/>
          <w:b/>
          <w:sz w:val="22"/>
          <w:szCs w:val="22"/>
        </w:rPr>
        <w:t>4.2.2 Cálculo de la tasa de descuento a utilizar</w:t>
      </w:r>
    </w:p>
    <w:p w:rsidR="0078606C" w:rsidRDefault="0078606C" w:rsidP="0078606C">
      <w:pPr>
        <w:spacing w:line="480" w:lineRule="auto"/>
        <w:jc w:val="both"/>
        <w:rPr>
          <w:rFonts w:ascii="Verdana" w:hAnsi="Verdana"/>
          <w:sz w:val="22"/>
          <w:szCs w:val="22"/>
        </w:rPr>
      </w:pPr>
    </w:p>
    <w:p w:rsidR="00AC46A3" w:rsidRPr="00BB1432" w:rsidRDefault="00AC46A3"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Tasa libre de riesgo</w:t>
      </w: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Se ha considerado como tasa libre de riesgo al rendimiento que se gana por un bono con vencimiento a 10 años emitido por el gobierno de EE.UU., el cual tiene una tasa del 4.66%</w:t>
      </w:r>
      <w:r w:rsidRPr="00BB1432">
        <w:rPr>
          <w:rStyle w:val="Refdenotaalpie"/>
          <w:rFonts w:ascii="Verdana" w:hAnsi="Verdana"/>
          <w:sz w:val="22"/>
          <w:szCs w:val="22"/>
        </w:rPr>
        <w:footnoteReference w:id="9"/>
      </w:r>
      <w:r w:rsidRPr="00BB1432">
        <w:rPr>
          <w:rFonts w:ascii="Verdana" w:hAnsi="Verdana"/>
          <w:sz w:val="22"/>
          <w:szCs w:val="22"/>
        </w:rPr>
        <w:t>.</w:t>
      </w:r>
    </w:p>
    <w:p w:rsidR="00AC46A3" w:rsidRDefault="00AC46A3" w:rsidP="0078606C">
      <w:pPr>
        <w:spacing w:line="480" w:lineRule="auto"/>
        <w:ind w:firstLine="708"/>
        <w:jc w:val="both"/>
        <w:rPr>
          <w:rFonts w:ascii="Verdana" w:hAnsi="Verdana"/>
          <w:sz w:val="22"/>
          <w:szCs w:val="22"/>
        </w:rPr>
      </w:pPr>
    </w:p>
    <w:p w:rsidR="00AC46A3" w:rsidRPr="00BB1432"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Beta</w:t>
      </w: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Para el caso de las instituciones financieras, el factor Beta es por lo general superior a 1, lo que indica que el nivel de riesgo de estas instituciones es en promedio superior al del mercado tal como se observa en el siguiente cuadro:</w:t>
      </w:r>
    </w:p>
    <w:p w:rsidR="00AC46A3" w:rsidRDefault="00AC46A3" w:rsidP="0078606C">
      <w:pPr>
        <w:spacing w:line="480" w:lineRule="auto"/>
        <w:ind w:firstLine="708"/>
        <w:jc w:val="both"/>
        <w:rPr>
          <w:rFonts w:ascii="Verdana" w:hAnsi="Verdana"/>
          <w:sz w:val="22"/>
          <w:szCs w:val="22"/>
        </w:rPr>
      </w:pPr>
    </w:p>
    <w:p w:rsidR="00AC46A3" w:rsidRDefault="00AC46A3" w:rsidP="0078606C">
      <w:pPr>
        <w:spacing w:line="480" w:lineRule="auto"/>
        <w:ind w:firstLine="708"/>
        <w:jc w:val="both"/>
        <w:rPr>
          <w:rFonts w:ascii="Verdana" w:hAnsi="Verdana"/>
          <w:sz w:val="22"/>
          <w:szCs w:val="22"/>
        </w:rPr>
      </w:pPr>
    </w:p>
    <w:p w:rsidR="00AC46A3"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4.14</w:t>
      </w: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Beta d</w:t>
      </w:r>
      <w:r w:rsidR="00BD450F" w:rsidRPr="00BB1432">
        <w:rPr>
          <w:rFonts w:ascii="Verdana" w:hAnsi="Verdana"/>
          <w:b/>
          <w:sz w:val="22"/>
          <w:szCs w:val="22"/>
        </w:rPr>
        <w:t>e los principales Bancos</w:t>
      </w:r>
    </w:p>
    <w:tbl>
      <w:tblPr>
        <w:tblStyle w:val="Tablaconcuadrcula"/>
        <w:tblW w:w="0" w:type="auto"/>
        <w:jc w:val="center"/>
        <w:tblLook w:val="01E0"/>
      </w:tblPr>
      <w:tblGrid>
        <w:gridCol w:w="4322"/>
        <w:gridCol w:w="1078"/>
      </w:tblGrid>
      <w:tr w:rsidR="0078606C" w:rsidRPr="00BB1432">
        <w:trPr>
          <w:jc w:val="center"/>
        </w:trPr>
        <w:tc>
          <w:tcPr>
            <w:tcW w:w="4322" w:type="dxa"/>
            <w:shd w:val="clear" w:color="auto" w:fill="FFFF00"/>
          </w:tcPr>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Entidades</w:t>
            </w:r>
          </w:p>
        </w:tc>
        <w:tc>
          <w:tcPr>
            <w:tcW w:w="1067" w:type="dxa"/>
            <w:shd w:val="clear" w:color="auto" w:fill="FFFF00"/>
          </w:tcPr>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Beta</w:t>
            </w:r>
          </w:p>
        </w:tc>
      </w:tr>
      <w:tr w:rsidR="0078606C" w:rsidRPr="00BB1432">
        <w:trPr>
          <w:jc w:val="center"/>
        </w:trPr>
        <w:tc>
          <w:tcPr>
            <w:tcW w:w="4322" w:type="dxa"/>
          </w:tcPr>
          <w:p w:rsidR="0078606C" w:rsidRPr="00BB1432" w:rsidRDefault="006E31FF" w:rsidP="0078606C">
            <w:pPr>
              <w:spacing w:line="480" w:lineRule="auto"/>
              <w:jc w:val="both"/>
              <w:rPr>
                <w:rFonts w:ascii="Verdana" w:hAnsi="Verdana"/>
                <w:sz w:val="22"/>
                <w:szCs w:val="22"/>
                <w:lang w:val="en-US"/>
              </w:rPr>
            </w:pPr>
            <w:r w:rsidRPr="00BB1432">
              <w:rPr>
                <w:rFonts w:ascii="Verdana" w:hAnsi="Verdana"/>
                <w:sz w:val="22"/>
                <w:szCs w:val="22"/>
                <w:lang w:val="en-US"/>
              </w:rPr>
              <w:t>PFF Bancorp Inc.</w:t>
            </w:r>
          </w:p>
          <w:p w:rsidR="0078606C" w:rsidRPr="00BB1432" w:rsidRDefault="006E31FF" w:rsidP="0078606C">
            <w:pPr>
              <w:spacing w:line="480" w:lineRule="auto"/>
              <w:jc w:val="both"/>
              <w:rPr>
                <w:rFonts w:ascii="Verdana" w:hAnsi="Verdana"/>
                <w:sz w:val="22"/>
                <w:szCs w:val="22"/>
                <w:lang w:val="en-US"/>
              </w:rPr>
            </w:pPr>
            <w:r w:rsidRPr="00BB1432">
              <w:rPr>
                <w:rFonts w:ascii="Verdana" w:hAnsi="Verdana"/>
                <w:sz w:val="22"/>
                <w:szCs w:val="22"/>
                <w:lang w:val="en-US"/>
              </w:rPr>
              <w:t>Kimco Realty Corp.</w:t>
            </w:r>
          </w:p>
          <w:p w:rsidR="00F37483" w:rsidRPr="00BB1432" w:rsidRDefault="006E31FF" w:rsidP="0078606C">
            <w:pPr>
              <w:spacing w:line="480" w:lineRule="auto"/>
              <w:jc w:val="both"/>
              <w:rPr>
                <w:rFonts w:ascii="Verdana" w:hAnsi="Verdana"/>
                <w:sz w:val="22"/>
                <w:szCs w:val="22"/>
                <w:lang w:val="en-US"/>
              </w:rPr>
            </w:pPr>
            <w:r w:rsidRPr="00BB1432">
              <w:rPr>
                <w:rFonts w:ascii="Verdana" w:hAnsi="Verdana"/>
                <w:sz w:val="22"/>
                <w:szCs w:val="22"/>
                <w:lang w:val="en-US"/>
              </w:rPr>
              <w:t>ICICI Bank Ltd. ADS</w:t>
            </w:r>
          </w:p>
          <w:p w:rsidR="00F37483" w:rsidRPr="00BB1432" w:rsidRDefault="00F37483" w:rsidP="0078606C">
            <w:pPr>
              <w:spacing w:line="480" w:lineRule="auto"/>
              <w:jc w:val="both"/>
              <w:rPr>
                <w:rFonts w:ascii="Verdana" w:hAnsi="Verdana"/>
                <w:b/>
                <w:sz w:val="22"/>
                <w:szCs w:val="22"/>
                <w:lang w:val="en-US"/>
              </w:rPr>
            </w:pPr>
            <w:r w:rsidRPr="00BB1432">
              <w:rPr>
                <w:rFonts w:ascii="Verdana" w:hAnsi="Verdana"/>
                <w:b/>
                <w:sz w:val="22"/>
                <w:szCs w:val="22"/>
                <w:lang w:val="en-US"/>
              </w:rPr>
              <w:t>Promedio</w:t>
            </w:r>
          </w:p>
        </w:tc>
        <w:tc>
          <w:tcPr>
            <w:tcW w:w="1067" w:type="dxa"/>
          </w:tcPr>
          <w:p w:rsidR="0078606C" w:rsidRPr="00BB1432" w:rsidRDefault="00F37483" w:rsidP="0078606C">
            <w:pPr>
              <w:spacing w:line="480" w:lineRule="auto"/>
              <w:jc w:val="center"/>
              <w:rPr>
                <w:rFonts w:ascii="Verdana" w:hAnsi="Verdana"/>
                <w:sz w:val="22"/>
                <w:szCs w:val="22"/>
              </w:rPr>
            </w:pPr>
            <w:r w:rsidRPr="00BB1432">
              <w:rPr>
                <w:rFonts w:ascii="Verdana" w:hAnsi="Verdana"/>
                <w:sz w:val="22"/>
                <w:szCs w:val="22"/>
              </w:rPr>
              <w:t>1.099</w:t>
            </w:r>
          </w:p>
          <w:p w:rsidR="0078606C" w:rsidRPr="00BB1432" w:rsidRDefault="00F37483" w:rsidP="0078606C">
            <w:pPr>
              <w:spacing w:line="480" w:lineRule="auto"/>
              <w:jc w:val="center"/>
              <w:rPr>
                <w:rFonts w:ascii="Verdana" w:hAnsi="Verdana"/>
                <w:sz w:val="22"/>
                <w:szCs w:val="22"/>
              </w:rPr>
            </w:pPr>
            <w:r w:rsidRPr="00BB1432">
              <w:rPr>
                <w:rFonts w:ascii="Verdana" w:hAnsi="Verdana"/>
                <w:sz w:val="22"/>
                <w:szCs w:val="22"/>
              </w:rPr>
              <w:t>0.971</w:t>
            </w:r>
          </w:p>
          <w:p w:rsidR="0078606C" w:rsidRPr="00BB1432" w:rsidRDefault="006E31FF" w:rsidP="0078606C">
            <w:pPr>
              <w:spacing w:line="480" w:lineRule="auto"/>
              <w:jc w:val="center"/>
              <w:rPr>
                <w:rFonts w:ascii="Verdana" w:hAnsi="Verdana"/>
                <w:sz w:val="22"/>
                <w:szCs w:val="22"/>
              </w:rPr>
            </w:pPr>
            <w:r w:rsidRPr="00BB1432">
              <w:rPr>
                <w:rFonts w:ascii="Verdana" w:hAnsi="Verdana"/>
                <w:sz w:val="22"/>
                <w:szCs w:val="22"/>
              </w:rPr>
              <w:t>1.257</w:t>
            </w:r>
          </w:p>
          <w:p w:rsidR="0078606C" w:rsidRPr="00BB1432" w:rsidRDefault="00F37483" w:rsidP="0078606C">
            <w:pPr>
              <w:spacing w:line="480" w:lineRule="auto"/>
              <w:jc w:val="center"/>
              <w:rPr>
                <w:rFonts w:ascii="Verdana" w:hAnsi="Verdana"/>
                <w:b/>
                <w:sz w:val="22"/>
                <w:szCs w:val="22"/>
              </w:rPr>
            </w:pPr>
            <w:r w:rsidRPr="00BB1432">
              <w:rPr>
                <w:rFonts w:ascii="Verdana" w:hAnsi="Verdana"/>
                <w:b/>
                <w:sz w:val="22"/>
                <w:szCs w:val="22"/>
              </w:rPr>
              <w:t>1.1097</w:t>
            </w:r>
          </w:p>
        </w:tc>
      </w:tr>
    </w:tbl>
    <w:p w:rsidR="00134258" w:rsidRDefault="00134258" w:rsidP="00564A4B">
      <w:pPr>
        <w:tabs>
          <w:tab w:val="left" w:pos="1875"/>
        </w:tabs>
        <w:ind w:firstLine="1440"/>
        <w:rPr>
          <w:rFonts w:ascii="Verdana" w:hAnsi="Verdana"/>
          <w:b/>
          <w:i/>
          <w:sz w:val="18"/>
          <w:szCs w:val="18"/>
        </w:rPr>
      </w:pPr>
    </w:p>
    <w:p w:rsidR="0078606C" w:rsidRPr="00564A4B" w:rsidRDefault="0078606C" w:rsidP="00564A4B">
      <w:pPr>
        <w:tabs>
          <w:tab w:val="left" w:pos="1875"/>
        </w:tabs>
        <w:ind w:firstLine="1440"/>
        <w:rPr>
          <w:rFonts w:ascii="Verdana" w:hAnsi="Verdana"/>
          <w:i/>
          <w:sz w:val="18"/>
          <w:szCs w:val="18"/>
        </w:rPr>
      </w:pPr>
      <w:r w:rsidRPr="00564A4B">
        <w:rPr>
          <w:rFonts w:ascii="Verdana" w:hAnsi="Verdana"/>
          <w:b/>
          <w:i/>
          <w:sz w:val="18"/>
          <w:szCs w:val="18"/>
        </w:rPr>
        <w:t>Fuente:</w:t>
      </w:r>
      <w:r w:rsidRPr="00564A4B">
        <w:rPr>
          <w:rFonts w:ascii="Verdana" w:hAnsi="Verdana"/>
          <w:i/>
          <w:sz w:val="18"/>
          <w:szCs w:val="18"/>
        </w:rPr>
        <w:t xml:space="preserve"> Página Web NYSE</w:t>
      </w:r>
    </w:p>
    <w:p w:rsidR="002337D7" w:rsidRPr="008333A5" w:rsidRDefault="002337D7" w:rsidP="00564A4B">
      <w:pPr>
        <w:spacing w:line="480" w:lineRule="auto"/>
        <w:ind w:firstLine="144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727E7B" w:rsidRPr="00BB1432" w:rsidRDefault="00727E7B" w:rsidP="00727E7B">
      <w:pPr>
        <w:tabs>
          <w:tab w:val="left" w:pos="1875"/>
        </w:tabs>
        <w:spacing w:line="480" w:lineRule="auto"/>
        <w:jc w:val="center"/>
        <w:rPr>
          <w:rFonts w:ascii="Verdana" w:hAnsi="Verdana"/>
          <w:i/>
          <w:sz w:val="22"/>
          <w:szCs w:val="22"/>
        </w:rPr>
      </w:pPr>
    </w:p>
    <w:p w:rsidR="0078606C" w:rsidRDefault="0078606C" w:rsidP="0078606C">
      <w:pPr>
        <w:spacing w:line="480" w:lineRule="auto"/>
        <w:ind w:firstLine="708"/>
        <w:jc w:val="both"/>
        <w:rPr>
          <w:rFonts w:ascii="Verdana" w:hAnsi="Verdana"/>
          <w:sz w:val="22"/>
          <w:szCs w:val="22"/>
        </w:rPr>
      </w:pPr>
      <w:r w:rsidRPr="00BB1432">
        <w:rPr>
          <w:rFonts w:ascii="Verdana" w:hAnsi="Verdana"/>
          <w:sz w:val="22"/>
          <w:szCs w:val="22"/>
        </w:rPr>
        <w:t>En el caso del mercado ecuatoriano, se puede intentar calcular la beta midiendo la correlación entre la variación del precio de las acciones de la empresa y la variación de un índice de mercado; sin embargo, las condiciones del mercado, la carencia de datos históricos y la falta de representatividad del IRECU</w:t>
      </w:r>
      <w:r w:rsidR="00E9423A" w:rsidRPr="00BB1432">
        <w:rPr>
          <w:rFonts w:ascii="Verdana" w:hAnsi="Verdana"/>
          <w:sz w:val="22"/>
          <w:szCs w:val="22"/>
        </w:rPr>
        <w:t xml:space="preserve"> </w:t>
      </w:r>
      <w:r w:rsidR="00CE5EC1" w:rsidRPr="00BB1432">
        <w:rPr>
          <w:rFonts w:ascii="Verdana" w:hAnsi="Verdana"/>
          <w:sz w:val="22"/>
          <w:szCs w:val="22"/>
        </w:rPr>
        <w:t>(Índice</w:t>
      </w:r>
      <w:r w:rsidR="00020229" w:rsidRPr="00BB1432">
        <w:rPr>
          <w:rFonts w:ascii="Verdana" w:hAnsi="Verdana"/>
          <w:sz w:val="22"/>
          <w:szCs w:val="22"/>
        </w:rPr>
        <w:t xml:space="preserve"> de Rentabilidad E</w:t>
      </w:r>
      <w:r w:rsidR="00E9423A" w:rsidRPr="00BB1432">
        <w:rPr>
          <w:rFonts w:ascii="Verdana" w:hAnsi="Verdana"/>
          <w:sz w:val="22"/>
          <w:szCs w:val="22"/>
        </w:rPr>
        <w:t>cuatoriana)</w:t>
      </w:r>
      <w:r w:rsidRPr="00BB1432">
        <w:rPr>
          <w:rFonts w:ascii="Verdana" w:hAnsi="Verdana"/>
          <w:sz w:val="22"/>
          <w:szCs w:val="22"/>
        </w:rPr>
        <w:t>, entre otros factores, hace complicado obtener una buena estimación del factor beta.</w:t>
      </w:r>
    </w:p>
    <w:p w:rsidR="00AC46A3" w:rsidRPr="00BB1432" w:rsidRDefault="00AC46A3" w:rsidP="0078606C">
      <w:pPr>
        <w:spacing w:line="480" w:lineRule="auto"/>
        <w:ind w:firstLine="708"/>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Por ese motivo se procedió a hacer un promedio de los betas de los bancos norteamericanos y otros anotados anteriorment</w:t>
      </w:r>
      <w:r w:rsidR="00C82E91" w:rsidRPr="00BB1432">
        <w:rPr>
          <w:rFonts w:ascii="Verdana" w:hAnsi="Verdana"/>
          <w:sz w:val="22"/>
          <w:szCs w:val="22"/>
        </w:rPr>
        <w:t>e, obteniendo una beta de 1.1097</w:t>
      </w:r>
      <w:r w:rsidRPr="00BB1432">
        <w:rPr>
          <w:rFonts w:ascii="Verdana" w:hAnsi="Verdana"/>
          <w:sz w:val="22"/>
          <w:szCs w:val="22"/>
        </w:rPr>
        <w:t>.</w:t>
      </w:r>
    </w:p>
    <w:p w:rsidR="00CE5EC1" w:rsidRPr="00BB1432" w:rsidRDefault="00CE5EC1" w:rsidP="0078606C">
      <w:pPr>
        <w:spacing w:line="480" w:lineRule="auto"/>
        <w:ind w:firstLine="708"/>
        <w:jc w:val="both"/>
        <w:rPr>
          <w:rFonts w:ascii="Verdana" w:hAnsi="Verdana"/>
          <w:sz w:val="22"/>
          <w:szCs w:val="22"/>
        </w:rPr>
      </w:pPr>
    </w:p>
    <w:p w:rsidR="00CE5EC1" w:rsidRPr="00BB1432" w:rsidRDefault="00CE5EC1" w:rsidP="00CE5EC1">
      <w:pPr>
        <w:spacing w:line="480" w:lineRule="auto"/>
        <w:ind w:firstLine="708"/>
        <w:jc w:val="both"/>
        <w:rPr>
          <w:rFonts w:ascii="Verdana" w:hAnsi="Verdana"/>
          <w:sz w:val="22"/>
          <w:szCs w:val="22"/>
        </w:rPr>
      </w:pPr>
      <w:r w:rsidRPr="00BB1432">
        <w:rPr>
          <w:rFonts w:ascii="Verdana" w:hAnsi="Verdana"/>
          <w:sz w:val="22"/>
          <w:szCs w:val="22"/>
        </w:rPr>
        <w:t>Se escogió los betas de estas instituciones financieras por tener similitud con el Unibanco en cuanto a tamaño (bancos medianos dentro del sistema), y a sus operaciones crediticias (todos están enfocados en créditos de consumo).</w:t>
      </w:r>
    </w:p>
    <w:p w:rsidR="00CE5EC1" w:rsidRPr="00BB1432" w:rsidRDefault="00CE5EC1"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Tasa de Riesgo País</w:t>
      </w:r>
    </w:p>
    <w:p w:rsidR="00CE5EC1" w:rsidRPr="00BB1432" w:rsidRDefault="0078606C" w:rsidP="00CE5EC1">
      <w:pPr>
        <w:spacing w:line="480" w:lineRule="auto"/>
        <w:ind w:firstLine="708"/>
        <w:jc w:val="both"/>
        <w:rPr>
          <w:rFonts w:ascii="Verdana" w:hAnsi="Verdana"/>
          <w:sz w:val="22"/>
          <w:szCs w:val="22"/>
        </w:rPr>
      </w:pPr>
      <w:r w:rsidRPr="00BB1432">
        <w:rPr>
          <w:rFonts w:ascii="Verdana" w:hAnsi="Verdana"/>
          <w:sz w:val="22"/>
          <w:szCs w:val="22"/>
        </w:rPr>
        <w:t>Se utilizará una tasa del 7.02% que es el valor del EMBI (Emergency Markets Bonds Index, por sus siglas en ingles), emitido por</w:t>
      </w:r>
      <w:r w:rsidR="0091752B" w:rsidRPr="00BB1432">
        <w:rPr>
          <w:rFonts w:ascii="Verdana" w:hAnsi="Verdana"/>
          <w:sz w:val="22"/>
          <w:szCs w:val="22"/>
        </w:rPr>
        <w:t xml:space="preserve"> la empresa norteamericana JP Morgan</w:t>
      </w:r>
      <w:r w:rsidRPr="00BB1432">
        <w:rPr>
          <w:rFonts w:ascii="Verdana" w:hAnsi="Verdana"/>
          <w:sz w:val="22"/>
          <w:szCs w:val="22"/>
        </w:rPr>
        <w:t xml:space="preserve"> y publicado en su página Web.</w:t>
      </w:r>
      <w:r w:rsidR="00CE5EC1" w:rsidRPr="00BB1432">
        <w:rPr>
          <w:rFonts w:ascii="Verdana" w:hAnsi="Verdana"/>
          <w:sz w:val="22"/>
          <w:szCs w:val="22"/>
        </w:rPr>
        <w:t xml:space="preserve"> (Información recopilada en noviembre del 2007)</w:t>
      </w:r>
    </w:p>
    <w:p w:rsidR="0078606C" w:rsidRPr="00BB1432" w:rsidRDefault="0078606C" w:rsidP="0078606C">
      <w:pPr>
        <w:spacing w:line="480" w:lineRule="auto"/>
        <w:ind w:firstLine="708"/>
        <w:jc w:val="both"/>
        <w:rPr>
          <w:rFonts w:ascii="Verdana" w:hAnsi="Verdana"/>
          <w:sz w:val="22"/>
          <w:szCs w:val="22"/>
        </w:rPr>
      </w:pPr>
    </w:p>
    <w:p w:rsidR="006E31FF" w:rsidRPr="00BB1432" w:rsidRDefault="006E31FF"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Prima por riesgo de mercado</w:t>
      </w:r>
    </w:p>
    <w:p w:rsidR="00CE5EC1" w:rsidRPr="00BB1432" w:rsidRDefault="0078606C" w:rsidP="00CE5EC1">
      <w:pPr>
        <w:spacing w:line="480" w:lineRule="auto"/>
        <w:ind w:firstLine="708"/>
        <w:jc w:val="both"/>
        <w:rPr>
          <w:rFonts w:ascii="Verdana" w:hAnsi="Verdana"/>
          <w:sz w:val="22"/>
          <w:szCs w:val="22"/>
        </w:rPr>
      </w:pPr>
      <w:r w:rsidRPr="00BB1432">
        <w:rPr>
          <w:rFonts w:ascii="Verdana" w:hAnsi="Verdana"/>
          <w:sz w:val="22"/>
          <w:szCs w:val="22"/>
        </w:rPr>
        <w:t>Representa la diferencia entre la rentabilidad del mercado y la tasa libre de riesgo. Durante 74 años, la prima por riesgo de mercado ha sido una media de 8.4% al año</w:t>
      </w:r>
      <w:r w:rsidRPr="00436A83">
        <w:rPr>
          <w:sz w:val="22"/>
          <w:szCs w:val="22"/>
          <w:vertAlign w:val="superscript"/>
        </w:rPr>
        <w:footnoteReference w:id="10"/>
      </w:r>
      <w:r w:rsidRPr="00BB1432">
        <w:rPr>
          <w:rFonts w:ascii="Verdana" w:hAnsi="Verdana"/>
          <w:sz w:val="22"/>
          <w:szCs w:val="22"/>
        </w:rPr>
        <w:t>.</w:t>
      </w:r>
      <w:r w:rsidR="00CE5EC1" w:rsidRPr="00BB1432">
        <w:rPr>
          <w:rFonts w:ascii="Verdana" w:hAnsi="Verdana"/>
          <w:sz w:val="22"/>
          <w:szCs w:val="22"/>
        </w:rPr>
        <w:t xml:space="preserve"> (Información recopilada en noviembre del 2007)</w:t>
      </w:r>
    </w:p>
    <w:p w:rsidR="0078606C" w:rsidRPr="00BB1432" w:rsidRDefault="0078606C" w:rsidP="0078606C">
      <w:pPr>
        <w:spacing w:line="480" w:lineRule="auto"/>
        <w:ind w:firstLine="708"/>
        <w:jc w:val="both"/>
        <w:rPr>
          <w:rFonts w:ascii="Verdana" w:hAnsi="Verdana"/>
          <w:sz w:val="22"/>
          <w:szCs w:val="22"/>
        </w:rPr>
      </w:pP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b/>
          <w:sz w:val="22"/>
          <w:szCs w:val="22"/>
        </w:rPr>
      </w:pPr>
      <w:r w:rsidRPr="00BB1432">
        <w:rPr>
          <w:rFonts w:ascii="Verdana" w:hAnsi="Verdana"/>
          <w:b/>
          <w:sz w:val="22"/>
          <w:szCs w:val="22"/>
        </w:rPr>
        <w:t>Cálculo del CAPM</w:t>
      </w: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Los datos a utilizar para el cálculo de la tasa de costo patrimonial son los siguientes:</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 xml:space="preserve">Rf= </w:t>
      </w:r>
      <w:r w:rsidRPr="00BB1432">
        <w:rPr>
          <w:rFonts w:ascii="Verdana" w:hAnsi="Verdana"/>
          <w:sz w:val="22"/>
          <w:szCs w:val="22"/>
        </w:rPr>
        <w:tab/>
      </w:r>
      <w:r w:rsidRPr="00BB1432">
        <w:rPr>
          <w:rFonts w:ascii="Verdana" w:hAnsi="Verdana"/>
          <w:sz w:val="22"/>
          <w:szCs w:val="22"/>
        </w:rPr>
        <w:tab/>
      </w:r>
      <w:r w:rsidRPr="00BB1432">
        <w:rPr>
          <w:rFonts w:ascii="Verdana" w:hAnsi="Verdana"/>
          <w:sz w:val="22"/>
          <w:szCs w:val="22"/>
        </w:rPr>
        <w:tab/>
        <w:t>4.66%</w:t>
      </w:r>
    </w:p>
    <w:p w:rsidR="0078606C" w:rsidRPr="00BB1432" w:rsidRDefault="00C82E91" w:rsidP="0078606C">
      <w:pPr>
        <w:spacing w:line="480" w:lineRule="auto"/>
        <w:jc w:val="both"/>
        <w:rPr>
          <w:rFonts w:ascii="Verdana" w:hAnsi="Verdana"/>
          <w:sz w:val="22"/>
          <w:szCs w:val="22"/>
        </w:rPr>
      </w:pPr>
      <w:r w:rsidRPr="00BB1432">
        <w:rPr>
          <w:rFonts w:ascii="Verdana" w:hAnsi="Verdana"/>
          <w:sz w:val="22"/>
          <w:szCs w:val="22"/>
        </w:rPr>
        <w:t>β =</w:t>
      </w:r>
      <w:r w:rsidRPr="00BB1432">
        <w:rPr>
          <w:rFonts w:ascii="Verdana" w:hAnsi="Verdana"/>
          <w:sz w:val="22"/>
          <w:szCs w:val="22"/>
        </w:rPr>
        <w:tab/>
      </w:r>
      <w:r w:rsidRPr="00BB1432">
        <w:rPr>
          <w:rFonts w:ascii="Verdana" w:hAnsi="Verdana"/>
          <w:sz w:val="22"/>
          <w:szCs w:val="22"/>
        </w:rPr>
        <w:tab/>
      </w:r>
      <w:r w:rsidRPr="00BB1432">
        <w:rPr>
          <w:rFonts w:ascii="Verdana" w:hAnsi="Verdana"/>
          <w:sz w:val="22"/>
          <w:szCs w:val="22"/>
        </w:rPr>
        <w:tab/>
        <w:t>1.1097</w:t>
      </w:r>
    </w:p>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(R</w:t>
      </w:r>
      <w:r w:rsidRPr="00BB1432">
        <w:rPr>
          <w:rFonts w:ascii="Verdana" w:hAnsi="Verdana"/>
          <w:sz w:val="22"/>
          <w:szCs w:val="22"/>
          <w:vertAlign w:val="subscript"/>
        </w:rPr>
        <w:t>m</w:t>
      </w:r>
      <w:r w:rsidRPr="00BB1432">
        <w:rPr>
          <w:rFonts w:ascii="Verdana" w:hAnsi="Verdana"/>
          <w:sz w:val="22"/>
          <w:szCs w:val="22"/>
        </w:rPr>
        <w:t xml:space="preserve"> – R</w:t>
      </w:r>
      <w:r w:rsidRPr="00BB1432">
        <w:rPr>
          <w:rFonts w:ascii="Verdana" w:hAnsi="Verdana"/>
          <w:sz w:val="22"/>
          <w:szCs w:val="22"/>
          <w:vertAlign w:val="subscript"/>
        </w:rPr>
        <w:t>f</w:t>
      </w:r>
      <w:r w:rsidRPr="00BB1432">
        <w:rPr>
          <w:rFonts w:ascii="Verdana" w:hAnsi="Verdana"/>
          <w:sz w:val="22"/>
          <w:szCs w:val="22"/>
        </w:rPr>
        <w:t>) =</w:t>
      </w:r>
      <w:r w:rsidRPr="00BB1432">
        <w:rPr>
          <w:rFonts w:ascii="Verdana" w:hAnsi="Verdana"/>
          <w:sz w:val="22"/>
          <w:szCs w:val="22"/>
        </w:rPr>
        <w:tab/>
        <w:t xml:space="preserve">  </w:t>
      </w:r>
      <w:r w:rsidRPr="00BB1432">
        <w:rPr>
          <w:rFonts w:ascii="Verdana" w:hAnsi="Verdana"/>
          <w:sz w:val="22"/>
          <w:szCs w:val="22"/>
        </w:rPr>
        <w:tab/>
        <w:t>0.084</w:t>
      </w:r>
    </w:p>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R. País =</w:t>
      </w:r>
      <w:r w:rsidRPr="00BB1432">
        <w:rPr>
          <w:rFonts w:ascii="Verdana" w:hAnsi="Verdana"/>
          <w:sz w:val="22"/>
          <w:szCs w:val="22"/>
        </w:rPr>
        <w:tab/>
      </w:r>
      <w:r w:rsidRPr="00BB1432">
        <w:rPr>
          <w:rFonts w:ascii="Verdana" w:hAnsi="Verdana"/>
          <w:sz w:val="22"/>
          <w:szCs w:val="22"/>
        </w:rPr>
        <w:tab/>
        <w:t>0.0702</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Valores que al reemplazarlos en la siguiente fórmula, se obtiene el siguiente resultado:</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sz w:val="22"/>
          <w:szCs w:val="22"/>
        </w:rPr>
      </w:pPr>
      <w:r w:rsidRPr="00BB1432">
        <w:rPr>
          <w:rFonts w:ascii="Verdana" w:hAnsi="Verdana"/>
          <w:position w:val="-10"/>
          <w:sz w:val="22"/>
          <w:szCs w:val="22"/>
        </w:rPr>
        <w:object w:dxaOrig="3080" w:dyaOrig="320">
          <v:shape id="_x0000_i1027" type="#_x0000_t75" style="width:214.5pt;height:24pt" o:ole="">
            <v:imagedata r:id="rId44" o:title=""/>
          </v:shape>
          <o:OLEObject Type="Embed" ProgID="Equation.3" ShapeID="_x0000_i1027" DrawAspect="Content" ObjectID="_1319357752" r:id="rId45"/>
        </w:object>
      </w:r>
    </w:p>
    <w:p w:rsidR="0078606C" w:rsidRPr="00BB1432" w:rsidRDefault="00C82E91" w:rsidP="0078606C">
      <w:pPr>
        <w:spacing w:line="480" w:lineRule="auto"/>
        <w:jc w:val="center"/>
        <w:rPr>
          <w:rFonts w:ascii="Verdana" w:hAnsi="Verdana"/>
          <w:sz w:val="22"/>
          <w:szCs w:val="22"/>
        </w:rPr>
      </w:pPr>
      <w:r w:rsidRPr="00BB1432">
        <w:rPr>
          <w:rFonts w:ascii="Verdana" w:hAnsi="Verdana"/>
          <w:position w:val="-6"/>
          <w:sz w:val="22"/>
          <w:szCs w:val="22"/>
        </w:rPr>
        <w:object w:dxaOrig="1280" w:dyaOrig="279">
          <v:shape id="_x0000_i1028" type="#_x0000_t75" style="width:80.25pt;height:18pt" o:ole="">
            <v:imagedata r:id="rId46" o:title=""/>
          </v:shape>
          <o:OLEObject Type="Embed" ProgID="Equation.3" ShapeID="_x0000_i1028" DrawAspect="Content" ObjectID="_1319357753" r:id="rId47"/>
        </w:objec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ind w:firstLine="708"/>
        <w:jc w:val="both"/>
        <w:rPr>
          <w:rFonts w:ascii="Verdana" w:hAnsi="Verdana"/>
          <w:sz w:val="22"/>
          <w:szCs w:val="22"/>
        </w:rPr>
      </w:pPr>
      <w:r w:rsidRPr="00BB1432">
        <w:rPr>
          <w:rFonts w:ascii="Verdana" w:hAnsi="Verdana"/>
          <w:sz w:val="22"/>
          <w:szCs w:val="22"/>
        </w:rPr>
        <w:t xml:space="preserve">El valor de </w:t>
      </w:r>
      <w:r w:rsidRPr="00BB1432">
        <w:rPr>
          <w:rFonts w:ascii="Verdana" w:hAnsi="Verdana"/>
          <w:i/>
          <w:sz w:val="22"/>
          <w:szCs w:val="22"/>
        </w:rPr>
        <w:t>r</w:t>
      </w:r>
      <w:r w:rsidRPr="00BB1432">
        <w:rPr>
          <w:rFonts w:ascii="Verdana" w:hAnsi="Verdana"/>
          <w:i/>
          <w:sz w:val="22"/>
          <w:szCs w:val="22"/>
          <w:vertAlign w:val="subscript"/>
        </w:rPr>
        <w:t>e</w:t>
      </w:r>
      <w:r w:rsidRPr="00BB1432">
        <w:rPr>
          <w:rFonts w:ascii="Verdana" w:hAnsi="Verdana"/>
          <w:sz w:val="22"/>
          <w:szCs w:val="22"/>
        </w:rPr>
        <w:t xml:space="preserve"> nos permite obtener el valor presente del patrimonio y el precio de la acción del Unibanco, valores que se detallan en el siguiente cuadro, los mismos que serán explicados en el siguiente apartado.</w:t>
      </w:r>
    </w:p>
    <w:p w:rsidR="0078606C" w:rsidRPr="00BB1432" w:rsidRDefault="0078606C" w:rsidP="0078606C">
      <w:pPr>
        <w:spacing w:line="480" w:lineRule="auto"/>
        <w:jc w:val="both"/>
        <w:rPr>
          <w:rFonts w:ascii="Verdana" w:hAnsi="Verdana"/>
          <w:sz w:val="22"/>
          <w:szCs w:val="22"/>
        </w:rPr>
      </w:pPr>
    </w:p>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Cuadro 4.15</w:t>
      </w:r>
    </w:p>
    <w:tbl>
      <w:tblPr>
        <w:tblStyle w:val="Tablaconcuadrcula"/>
        <w:tblW w:w="0" w:type="auto"/>
        <w:jc w:val="center"/>
        <w:tblInd w:w="98" w:type="dxa"/>
        <w:tblLook w:val="01E0"/>
      </w:tblPr>
      <w:tblGrid>
        <w:gridCol w:w="4224"/>
        <w:gridCol w:w="2711"/>
      </w:tblGrid>
      <w:tr w:rsidR="0078606C" w:rsidRPr="00BB1432">
        <w:trPr>
          <w:jc w:val="center"/>
        </w:trPr>
        <w:tc>
          <w:tcPr>
            <w:tcW w:w="6935" w:type="dxa"/>
            <w:gridSpan w:val="2"/>
            <w:shd w:val="clear" w:color="auto" w:fill="FFFF00"/>
          </w:tcPr>
          <w:p w:rsidR="0078606C" w:rsidRPr="00BB1432" w:rsidRDefault="0078606C" w:rsidP="0078606C">
            <w:pPr>
              <w:spacing w:line="480" w:lineRule="auto"/>
              <w:jc w:val="center"/>
              <w:rPr>
                <w:rFonts w:ascii="Verdana" w:hAnsi="Verdana"/>
                <w:b/>
                <w:sz w:val="22"/>
                <w:szCs w:val="22"/>
              </w:rPr>
            </w:pPr>
            <w:r w:rsidRPr="00BB1432">
              <w:rPr>
                <w:rFonts w:ascii="Verdana" w:hAnsi="Verdana"/>
                <w:b/>
                <w:sz w:val="22"/>
                <w:szCs w:val="22"/>
              </w:rPr>
              <w:t>Valor Fundamental del Patrimonio</w:t>
            </w:r>
          </w:p>
        </w:tc>
      </w:tr>
      <w:tr w:rsidR="0078606C" w:rsidRPr="00BB1432">
        <w:trPr>
          <w:jc w:val="center"/>
        </w:trPr>
        <w:tc>
          <w:tcPr>
            <w:tcW w:w="4224" w:type="dxa"/>
          </w:tcPr>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Tasa Patrimonial</w:t>
            </w:r>
          </w:p>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Valor Presente del Patrimonio</w:t>
            </w:r>
          </w:p>
        </w:tc>
        <w:tc>
          <w:tcPr>
            <w:tcW w:w="2711" w:type="dxa"/>
          </w:tcPr>
          <w:p w:rsidR="0078606C" w:rsidRPr="00BB1432" w:rsidRDefault="00C82E91" w:rsidP="0078606C">
            <w:pPr>
              <w:spacing w:line="480" w:lineRule="auto"/>
              <w:jc w:val="both"/>
              <w:rPr>
                <w:rFonts w:ascii="Verdana" w:hAnsi="Verdana"/>
                <w:sz w:val="22"/>
                <w:szCs w:val="22"/>
              </w:rPr>
            </w:pPr>
            <w:r w:rsidRPr="00BB1432">
              <w:rPr>
                <w:rFonts w:ascii="Verdana" w:hAnsi="Verdana"/>
                <w:sz w:val="22"/>
                <w:szCs w:val="22"/>
              </w:rPr>
              <w:t>21.00</w:t>
            </w:r>
            <w:r w:rsidR="0078606C" w:rsidRPr="00BB1432">
              <w:rPr>
                <w:rFonts w:ascii="Verdana" w:hAnsi="Verdana"/>
                <w:sz w:val="22"/>
                <w:szCs w:val="22"/>
              </w:rPr>
              <w:t>%</w:t>
            </w:r>
          </w:p>
          <w:p w:rsidR="0078606C" w:rsidRPr="00BB1432" w:rsidRDefault="0078606C" w:rsidP="0078606C">
            <w:pPr>
              <w:spacing w:line="480" w:lineRule="auto"/>
              <w:jc w:val="both"/>
              <w:rPr>
                <w:rFonts w:ascii="Verdana" w:hAnsi="Verdana"/>
                <w:sz w:val="22"/>
                <w:szCs w:val="22"/>
              </w:rPr>
            </w:pPr>
            <w:r w:rsidRPr="00BB1432">
              <w:rPr>
                <w:rFonts w:ascii="Verdana" w:hAnsi="Verdana"/>
                <w:sz w:val="22"/>
                <w:szCs w:val="22"/>
              </w:rPr>
              <w:t>US</w:t>
            </w:r>
            <w:r w:rsidR="00085330" w:rsidRPr="00BB1432">
              <w:rPr>
                <w:rFonts w:ascii="Verdana" w:hAnsi="Verdana"/>
                <w:sz w:val="22"/>
                <w:szCs w:val="22"/>
              </w:rPr>
              <w:t xml:space="preserve">$ </w:t>
            </w:r>
            <w:r w:rsidR="00512D18">
              <w:rPr>
                <w:rFonts w:ascii="Verdana" w:hAnsi="Verdana"/>
                <w:sz w:val="22"/>
                <w:szCs w:val="22"/>
              </w:rPr>
              <w:t>91</w:t>
            </w:r>
            <w:r w:rsidR="00873D13">
              <w:rPr>
                <w:rFonts w:ascii="Verdana" w:hAnsi="Verdana"/>
                <w:sz w:val="22"/>
                <w:szCs w:val="22"/>
              </w:rPr>
              <w:t>,</w:t>
            </w:r>
            <w:r w:rsidR="00512D18">
              <w:rPr>
                <w:rFonts w:ascii="Verdana" w:hAnsi="Verdana"/>
                <w:sz w:val="22"/>
                <w:szCs w:val="22"/>
              </w:rPr>
              <w:t>840</w:t>
            </w:r>
            <w:r w:rsidR="007316F5" w:rsidRPr="00BB1432">
              <w:rPr>
                <w:rFonts w:ascii="Verdana" w:hAnsi="Verdana"/>
                <w:sz w:val="22"/>
                <w:szCs w:val="22"/>
              </w:rPr>
              <w:t>,</w:t>
            </w:r>
            <w:r w:rsidR="00512D18">
              <w:rPr>
                <w:rFonts w:ascii="Verdana" w:hAnsi="Verdana"/>
                <w:sz w:val="22"/>
                <w:szCs w:val="22"/>
              </w:rPr>
              <w:t>357</w:t>
            </w:r>
            <w:r w:rsidR="00873D13">
              <w:rPr>
                <w:rFonts w:ascii="Verdana" w:hAnsi="Verdana"/>
                <w:sz w:val="22"/>
                <w:szCs w:val="22"/>
              </w:rPr>
              <w:t>.</w:t>
            </w:r>
            <w:r w:rsidR="00512D18">
              <w:rPr>
                <w:rFonts w:ascii="Verdana" w:hAnsi="Verdana"/>
                <w:sz w:val="22"/>
                <w:szCs w:val="22"/>
              </w:rPr>
              <w:t>82</w:t>
            </w:r>
          </w:p>
        </w:tc>
      </w:tr>
    </w:tbl>
    <w:p w:rsidR="00134258" w:rsidRDefault="00134258" w:rsidP="00564A4B">
      <w:pPr>
        <w:spacing w:line="480" w:lineRule="auto"/>
        <w:ind w:firstLine="720"/>
        <w:rPr>
          <w:rFonts w:ascii="Verdana" w:hAnsi="Verdana"/>
          <w:b/>
          <w:i/>
          <w:sz w:val="18"/>
          <w:szCs w:val="18"/>
        </w:rPr>
      </w:pPr>
    </w:p>
    <w:p w:rsidR="002337D7" w:rsidRPr="008333A5" w:rsidRDefault="002337D7" w:rsidP="00564A4B">
      <w:pPr>
        <w:spacing w:line="480" w:lineRule="auto"/>
        <w:ind w:firstLine="72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CA4E87" w:rsidRPr="00BB1432" w:rsidRDefault="00CA4E87" w:rsidP="0078606C">
      <w:pPr>
        <w:spacing w:line="480" w:lineRule="auto"/>
        <w:jc w:val="both"/>
        <w:rPr>
          <w:rFonts w:ascii="Verdana" w:hAnsi="Verdana"/>
          <w:sz w:val="22"/>
          <w:szCs w:val="22"/>
        </w:rPr>
      </w:pPr>
    </w:p>
    <w:p w:rsidR="00CA4E87" w:rsidRDefault="00CA4E87" w:rsidP="0078606C">
      <w:pPr>
        <w:spacing w:line="480" w:lineRule="auto"/>
        <w:jc w:val="both"/>
        <w:rPr>
          <w:rFonts w:ascii="Verdana" w:hAnsi="Verdana"/>
        </w:rPr>
      </w:pPr>
    </w:p>
    <w:p w:rsidR="00CA4E87" w:rsidRDefault="00CA4E87" w:rsidP="0078606C">
      <w:pPr>
        <w:spacing w:line="480" w:lineRule="auto"/>
        <w:jc w:val="both"/>
        <w:rPr>
          <w:rFonts w:ascii="Verdana" w:hAnsi="Verdana"/>
        </w:rPr>
      </w:pPr>
    </w:p>
    <w:p w:rsidR="00F86EEE" w:rsidRDefault="00F86EEE" w:rsidP="00CA4E87">
      <w:pPr>
        <w:spacing w:line="480" w:lineRule="auto"/>
        <w:jc w:val="center"/>
        <w:rPr>
          <w:rFonts w:ascii="Verdana" w:hAnsi="Verdana"/>
          <w:b/>
          <w:sz w:val="28"/>
          <w:szCs w:val="28"/>
        </w:rPr>
      </w:pPr>
    </w:p>
    <w:p w:rsidR="00F86EEE" w:rsidRDefault="00F86EEE" w:rsidP="00CA4E87">
      <w:pPr>
        <w:spacing w:line="480" w:lineRule="auto"/>
        <w:jc w:val="center"/>
        <w:rPr>
          <w:rFonts w:ascii="Verdana" w:hAnsi="Verdana"/>
          <w:b/>
          <w:sz w:val="28"/>
          <w:szCs w:val="28"/>
        </w:rPr>
      </w:pPr>
    </w:p>
    <w:p w:rsidR="00F86EEE" w:rsidRDefault="00F86EEE" w:rsidP="00CA4E87">
      <w:pPr>
        <w:spacing w:line="480" w:lineRule="auto"/>
        <w:jc w:val="center"/>
        <w:rPr>
          <w:rFonts w:ascii="Verdana" w:hAnsi="Verdana"/>
          <w:b/>
          <w:sz w:val="28"/>
          <w:szCs w:val="28"/>
        </w:rPr>
      </w:pPr>
    </w:p>
    <w:p w:rsidR="00D45E87" w:rsidRDefault="00D45E87" w:rsidP="00CA4E87">
      <w:pPr>
        <w:spacing w:line="480" w:lineRule="auto"/>
        <w:jc w:val="center"/>
        <w:rPr>
          <w:rFonts w:ascii="Verdana" w:hAnsi="Verdana"/>
          <w:b/>
          <w:sz w:val="28"/>
          <w:szCs w:val="28"/>
        </w:rPr>
      </w:pPr>
    </w:p>
    <w:p w:rsidR="002B50DC" w:rsidRDefault="002B50DC" w:rsidP="00CA4E87">
      <w:pPr>
        <w:spacing w:line="480" w:lineRule="auto"/>
        <w:jc w:val="center"/>
        <w:rPr>
          <w:rFonts w:ascii="Verdana" w:hAnsi="Verdana"/>
          <w:b/>
          <w:sz w:val="28"/>
          <w:szCs w:val="28"/>
        </w:rPr>
      </w:pPr>
    </w:p>
    <w:p w:rsidR="00AC46A3" w:rsidRDefault="00AC46A3" w:rsidP="00CA4E87">
      <w:pPr>
        <w:spacing w:line="480" w:lineRule="auto"/>
        <w:jc w:val="center"/>
        <w:rPr>
          <w:rFonts w:ascii="Verdana" w:hAnsi="Verdana"/>
          <w:b/>
          <w:sz w:val="28"/>
          <w:szCs w:val="28"/>
        </w:rPr>
      </w:pPr>
    </w:p>
    <w:p w:rsidR="00CA4E87" w:rsidRPr="00995035" w:rsidRDefault="00CA4E87" w:rsidP="00CA4E87">
      <w:pPr>
        <w:spacing w:line="480" w:lineRule="auto"/>
        <w:jc w:val="center"/>
        <w:rPr>
          <w:rFonts w:ascii="Verdana" w:hAnsi="Verdana"/>
          <w:b/>
          <w:sz w:val="28"/>
          <w:szCs w:val="28"/>
        </w:rPr>
      </w:pPr>
      <w:r w:rsidRPr="00995035">
        <w:rPr>
          <w:rFonts w:ascii="Verdana" w:hAnsi="Verdana"/>
          <w:b/>
          <w:sz w:val="28"/>
          <w:szCs w:val="28"/>
        </w:rPr>
        <w:t>CAPÍTULO V</w:t>
      </w:r>
    </w:p>
    <w:p w:rsidR="00CA4E87" w:rsidRDefault="00CA4E87" w:rsidP="00CA4E87">
      <w:pPr>
        <w:spacing w:line="480" w:lineRule="auto"/>
        <w:jc w:val="center"/>
        <w:rPr>
          <w:rFonts w:ascii="Verdana" w:hAnsi="Verdana"/>
          <w:b/>
          <w:sz w:val="28"/>
          <w:szCs w:val="28"/>
        </w:rPr>
      </w:pPr>
      <w:r w:rsidRPr="00995035">
        <w:rPr>
          <w:rFonts w:ascii="Verdana" w:hAnsi="Verdana"/>
          <w:b/>
          <w:sz w:val="28"/>
          <w:szCs w:val="28"/>
        </w:rPr>
        <w:t>ANÁLISIS DE LOS RESULTADOS OBTENIDOS Y CÁLCULO DE SENSIBILIDADES</w:t>
      </w:r>
    </w:p>
    <w:p w:rsidR="00CA4E87" w:rsidRDefault="00CA4E87" w:rsidP="00CA4E87">
      <w:pPr>
        <w:spacing w:line="480" w:lineRule="auto"/>
        <w:jc w:val="both"/>
        <w:rPr>
          <w:rFonts w:ascii="Verdana" w:hAnsi="Verdana"/>
        </w:rPr>
      </w:pPr>
    </w:p>
    <w:p w:rsidR="00CA4E87" w:rsidRPr="00BB1432" w:rsidRDefault="00CA4E87" w:rsidP="00CA4E87">
      <w:pPr>
        <w:spacing w:line="480" w:lineRule="auto"/>
        <w:jc w:val="both"/>
        <w:rPr>
          <w:rFonts w:ascii="Verdana" w:hAnsi="Verdana"/>
          <w:b/>
          <w:sz w:val="22"/>
          <w:szCs w:val="22"/>
        </w:rPr>
      </w:pPr>
      <w:r w:rsidRPr="00BB1432">
        <w:rPr>
          <w:rFonts w:ascii="Verdana" w:hAnsi="Verdana"/>
          <w:b/>
          <w:sz w:val="22"/>
          <w:szCs w:val="22"/>
        </w:rPr>
        <w:t>5.1 ANÁLISIS DE LOS RESULTADOS OBTENIDOS</w:t>
      </w:r>
    </w:p>
    <w:p w:rsidR="00CA4E87" w:rsidRPr="00BB1432" w:rsidRDefault="00CA4E87" w:rsidP="00CA4E87">
      <w:pPr>
        <w:spacing w:line="480" w:lineRule="auto"/>
        <w:jc w:val="both"/>
        <w:rPr>
          <w:rFonts w:ascii="Verdana" w:hAnsi="Verdana"/>
          <w:b/>
          <w:sz w:val="22"/>
          <w:szCs w:val="22"/>
        </w:rPr>
      </w:pPr>
    </w:p>
    <w:p w:rsidR="00CA4E87" w:rsidRPr="00BB1432" w:rsidRDefault="00CA4E87" w:rsidP="00CA4E87">
      <w:pPr>
        <w:spacing w:line="480" w:lineRule="auto"/>
        <w:jc w:val="both"/>
        <w:rPr>
          <w:rFonts w:ascii="Verdana" w:hAnsi="Verdana"/>
          <w:sz w:val="22"/>
          <w:szCs w:val="22"/>
        </w:rPr>
      </w:pPr>
      <w:r w:rsidRPr="00BB1432">
        <w:rPr>
          <w:rFonts w:ascii="Verdana" w:hAnsi="Verdana"/>
          <w:sz w:val="22"/>
          <w:szCs w:val="22"/>
        </w:rPr>
        <w:t xml:space="preserve">     Al desear obtener la tasa del costo patrimonial para el Unibanco, y al no poderse hallar un beta estadísticamente significativo por el escaso movimiento accionario en el sistema financiero nacional, se optó por calcular el CAPM utilizando la tasa libre de riesgo, el beta promedio del sistema financiero y la prima por riesgo de mercado de los Estados Unidos, y agregarle el riesgo país para así tener una tasa de costo patrimonial representativa para el presente análisis.</w:t>
      </w:r>
    </w:p>
    <w:p w:rsidR="00CA4E87" w:rsidRPr="00BB1432" w:rsidRDefault="00CA4E87" w:rsidP="00CA4E87">
      <w:pPr>
        <w:spacing w:line="480" w:lineRule="auto"/>
        <w:jc w:val="both"/>
        <w:rPr>
          <w:rFonts w:ascii="Verdana" w:hAnsi="Verdana"/>
          <w:sz w:val="22"/>
          <w:szCs w:val="22"/>
        </w:rPr>
      </w:pPr>
      <w:r w:rsidRPr="00BB1432">
        <w:rPr>
          <w:rFonts w:ascii="Verdana" w:hAnsi="Verdana"/>
          <w:sz w:val="22"/>
          <w:szCs w:val="22"/>
        </w:rPr>
        <w:t xml:space="preserve">     Para descontar los flujos de efectivo de los accionist</w:t>
      </w:r>
      <w:r w:rsidR="00C82E91" w:rsidRPr="00BB1432">
        <w:rPr>
          <w:rFonts w:ascii="Verdana" w:hAnsi="Verdana"/>
          <w:sz w:val="22"/>
          <w:szCs w:val="22"/>
        </w:rPr>
        <w:t>as se utilizó una tasa del 21.00</w:t>
      </w:r>
      <w:r w:rsidRPr="00BB1432">
        <w:rPr>
          <w:rFonts w:ascii="Verdana" w:hAnsi="Verdana"/>
          <w:sz w:val="22"/>
          <w:szCs w:val="22"/>
        </w:rPr>
        <w:t>%. Esta tasa se la calculó considerando un porcentaje de riesgo país del 7.02%, el cual castiga severamente el valor de la tasa de descuento, dado que toma el valor del CAPM calculado según los parámetros de EE.UU. y lo ajusta a nuestra economía.</w:t>
      </w:r>
    </w:p>
    <w:p w:rsidR="00CA4E87" w:rsidRPr="00BB1432" w:rsidRDefault="00CA4E87" w:rsidP="00CA4E87">
      <w:pPr>
        <w:spacing w:line="480" w:lineRule="auto"/>
        <w:jc w:val="both"/>
        <w:rPr>
          <w:rFonts w:ascii="Verdana" w:hAnsi="Verdana"/>
          <w:sz w:val="22"/>
          <w:szCs w:val="22"/>
        </w:rPr>
      </w:pPr>
    </w:p>
    <w:p w:rsidR="00CA4E87" w:rsidRPr="00BB1432" w:rsidRDefault="00CA4E87" w:rsidP="00CA4E87">
      <w:pPr>
        <w:spacing w:line="480" w:lineRule="auto"/>
        <w:jc w:val="both"/>
        <w:rPr>
          <w:rFonts w:ascii="Verdana" w:hAnsi="Verdana"/>
          <w:sz w:val="22"/>
          <w:szCs w:val="22"/>
        </w:rPr>
      </w:pPr>
    </w:p>
    <w:p w:rsidR="00136794" w:rsidRPr="00BB1432" w:rsidRDefault="000F796F" w:rsidP="00CA4E87">
      <w:pPr>
        <w:spacing w:line="480" w:lineRule="auto"/>
        <w:jc w:val="both"/>
        <w:rPr>
          <w:rFonts w:ascii="Verdana" w:hAnsi="Verdana"/>
          <w:b/>
          <w:sz w:val="22"/>
          <w:szCs w:val="22"/>
        </w:rPr>
      </w:pPr>
      <w:r w:rsidRPr="00BB1432">
        <w:rPr>
          <w:rFonts w:ascii="Verdana" w:hAnsi="Verdana"/>
          <w:b/>
          <w:sz w:val="22"/>
          <w:szCs w:val="22"/>
        </w:rPr>
        <w:t>5.2</w:t>
      </w:r>
      <w:r w:rsidR="00A314EB" w:rsidRPr="00BB1432">
        <w:rPr>
          <w:rFonts w:ascii="Verdana" w:hAnsi="Verdana"/>
          <w:b/>
          <w:sz w:val="22"/>
          <w:szCs w:val="22"/>
        </w:rPr>
        <w:t xml:space="preserve"> ANÁLISIS DE SENSIBILIDAD</w:t>
      </w:r>
    </w:p>
    <w:p w:rsidR="00F74D3C" w:rsidRPr="00BB1432" w:rsidRDefault="00F74D3C" w:rsidP="00CA4E87">
      <w:pPr>
        <w:spacing w:line="480" w:lineRule="auto"/>
        <w:jc w:val="both"/>
        <w:rPr>
          <w:rFonts w:ascii="Verdana" w:hAnsi="Verdana"/>
          <w:b/>
          <w:sz w:val="22"/>
          <w:szCs w:val="22"/>
        </w:rPr>
      </w:pPr>
    </w:p>
    <w:p w:rsidR="00136794" w:rsidRPr="00BB1432" w:rsidRDefault="00F74D3C" w:rsidP="00CA4E87">
      <w:pPr>
        <w:spacing w:line="480" w:lineRule="auto"/>
        <w:jc w:val="both"/>
        <w:rPr>
          <w:rFonts w:ascii="Verdana" w:hAnsi="Verdana"/>
          <w:b/>
          <w:sz w:val="22"/>
          <w:szCs w:val="22"/>
        </w:rPr>
      </w:pPr>
      <w:r w:rsidRPr="00BB1432">
        <w:rPr>
          <w:rFonts w:ascii="Verdana" w:hAnsi="Verdana"/>
          <w:b/>
          <w:sz w:val="22"/>
          <w:szCs w:val="22"/>
        </w:rPr>
        <w:t xml:space="preserve">     </w:t>
      </w:r>
      <w:r w:rsidR="000F796F" w:rsidRPr="00BB1432">
        <w:rPr>
          <w:rFonts w:ascii="Verdana" w:hAnsi="Verdana"/>
          <w:b/>
          <w:sz w:val="22"/>
          <w:szCs w:val="22"/>
        </w:rPr>
        <w:t>5.2</w:t>
      </w:r>
      <w:r w:rsidR="00136794" w:rsidRPr="00BB1432">
        <w:rPr>
          <w:rFonts w:ascii="Verdana" w:hAnsi="Verdana"/>
          <w:b/>
          <w:sz w:val="22"/>
          <w:szCs w:val="22"/>
        </w:rPr>
        <w:t>.1 Simulación de Monte Carlo: uso del Crystal Ball</w:t>
      </w:r>
    </w:p>
    <w:p w:rsidR="00136794" w:rsidRPr="00BB1432" w:rsidRDefault="00136794" w:rsidP="00CA4E87">
      <w:pPr>
        <w:spacing w:line="480" w:lineRule="auto"/>
        <w:jc w:val="both"/>
        <w:rPr>
          <w:rFonts w:ascii="Verdana" w:hAnsi="Verdana"/>
          <w:sz w:val="22"/>
          <w:szCs w:val="22"/>
        </w:rPr>
      </w:pPr>
    </w:p>
    <w:p w:rsidR="00F74D3C" w:rsidRPr="00BB1432" w:rsidRDefault="00F74D3C" w:rsidP="00CA4E87">
      <w:pPr>
        <w:spacing w:line="480" w:lineRule="auto"/>
        <w:jc w:val="both"/>
        <w:rPr>
          <w:rFonts w:ascii="Verdana" w:hAnsi="Verdana"/>
          <w:sz w:val="22"/>
          <w:szCs w:val="22"/>
        </w:rPr>
      </w:pPr>
      <w:r w:rsidRPr="00BB1432">
        <w:rPr>
          <w:rFonts w:ascii="Verdana" w:hAnsi="Verdana"/>
          <w:sz w:val="22"/>
          <w:szCs w:val="22"/>
        </w:rPr>
        <w:t xml:space="preserve">     El modelo de </w:t>
      </w:r>
      <w:r w:rsidRPr="00BB1432">
        <w:rPr>
          <w:rFonts w:ascii="Verdana" w:hAnsi="Verdana"/>
          <w:i/>
          <w:sz w:val="22"/>
          <w:szCs w:val="22"/>
        </w:rPr>
        <w:t>MonteCarlo</w:t>
      </w:r>
      <w:r w:rsidRPr="00BB1432">
        <w:rPr>
          <w:rFonts w:ascii="Verdana" w:hAnsi="Verdana"/>
          <w:sz w:val="22"/>
          <w:szCs w:val="22"/>
        </w:rPr>
        <w:t xml:space="preserve"> simula los resultados que p</w:t>
      </w:r>
      <w:r w:rsidR="004F63AA" w:rsidRPr="00BB1432">
        <w:rPr>
          <w:rFonts w:ascii="Verdana" w:hAnsi="Verdana"/>
          <w:sz w:val="22"/>
          <w:szCs w:val="22"/>
        </w:rPr>
        <w:t>uede asumir el Valor Patrimonial para los accionistas</w:t>
      </w:r>
      <w:r w:rsidRPr="00BB1432">
        <w:rPr>
          <w:rFonts w:ascii="Verdana" w:hAnsi="Verdana"/>
          <w:sz w:val="22"/>
          <w:szCs w:val="22"/>
        </w:rPr>
        <w:t xml:space="preserve"> del Unibanco, mediante la asignación aleatoria de un valor a cada variable pertinente del Estado de Resultados Proyectado. La selección de valores aleatorios otorga la posibilidad de que, al aplicarlos repetidas veces a las variables relevantes, se obtengan suficientes resultados de prueba para que se aproxime a la forma de distribución deseada. </w:t>
      </w:r>
    </w:p>
    <w:p w:rsidR="00F74D3C" w:rsidRPr="00BB1432" w:rsidRDefault="00F74D3C" w:rsidP="00CA4E87">
      <w:pPr>
        <w:spacing w:line="480" w:lineRule="auto"/>
        <w:jc w:val="both"/>
        <w:rPr>
          <w:rFonts w:ascii="Verdana" w:hAnsi="Verdana"/>
          <w:sz w:val="22"/>
          <w:szCs w:val="22"/>
        </w:rPr>
      </w:pPr>
    </w:p>
    <w:p w:rsidR="00F74D3C" w:rsidRPr="00BB1432" w:rsidRDefault="00F74D3C" w:rsidP="00CA4E87">
      <w:pPr>
        <w:spacing w:line="480" w:lineRule="auto"/>
        <w:jc w:val="both"/>
        <w:rPr>
          <w:rFonts w:ascii="Verdana" w:hAnsi="Verdana"/>
          <w:sz w:val="22"/>
          <w:szCs w:val="22"/>
        </w:rPr>
      </w:pPr>
      <w:r w:rsidRPr="00BB1432">
        <w:rPr>
          <w:rFonts w:ascii="Verdana" w:hAnsi="Verdana"/>
          <w:sz w:val="22"/>
          <w:szCs w:val="22"/>
        </w:rPr>
        <w:t xml:space="preserve">     En nuestro caso, se consideraron variables relevantes las Comisiones Netas, Ingresos por servicios, Gasto por Provisiones y Gastos de Operación.</w:t>
      </w:r>
    </w:p>
    <w:p w:rsidR="00B71F03" w:rsidRPr="00BB1432" w:rsidRDefault="00F74D3C" w:rsidP="00CA4E87">
      <w:pPr>
        <w:spacing w:line="480" w:lineRule="auto"/>
        <w:jc w:val="both"/>
        <w:rPr>
          <w:rFonts w:ascii="Verdana" w:hAnsi="Verdana"/>
          <w:sz w:val="22"/>
          <w:szCs w:val="22"/>
        </w:rPr>
      </w:pPr>
      <w:r w:rsidRPr="00BB1432">
        <w:rPr>
          <w:rFonts w:ascii="Verdana" w:hAnsi="Verdana"/>
          <w:sz w:val="22"/>
          <w:szCs w:val="22"/>
        </w:rPr>
        <w:t xml:space="preserve">     </w:t>
      </w:r>
    </w:p>
    <w:p w:rsidR="00DF18A4" w:rsidRPr="00BB1432" w:rsidRDefault="00B71F03" w:rsidP="00DF18A4">
      <w:pPr>
        <w:spacing w:line="480" w:lineRule="auto"/>
        <w:jc w:val="both"/>
        <w:rPr>
          <w:rFonts w:ascii="Verdana" w:hAnsi="Verdana"/>
          <w:sz w:val="22"/>
          <w:szCs w:val="22"/>
        </w:rPr>
      </w:pPr>
      <w:r w:rsidRPr="00BB1432">
        <w:rPr>
          <w:rFonts w:ascii="Verdana" w:hAnsi="Verdana"/>
          <w:sz w:val="22"/>
          <w:szCs w:val="22"/>
        </w:rPr>
        <w:t xml:space="preserve">     </w:t>
      </w:r>
      <w:r w:rsidR="00DF18A4" w:rsidRPr="00BB1432">
        <w:rPr>
          <w:rFonts w:ascii="Verdana" w:hAnsi="Verdana"/>
          <w:sz w:val="22"/>
          <w:szCs w:val="22"/>
        </w:rPr>
        <w:t xml:space="preserve">Después de que el </w:t>
      </w:r>
      <w:r w:rsidR="00377A48">
        <w:rPr>
          <w:rFonts w:ascii="Verdana" w:hAnsi="Verdana"/>
          <w:sz w:val="22"/>
          <w:szCs w:val="22"/>
        </w:rPr>
        <w:t>programa hiciera 1’</w:t>
      </w:r>
      <w:r w:rsidR="008E32B5" w:rsidRPr="00BB1432">
        <w:rPr>
          <w:rFonts w:ascii="Verdana" w:hAnsi="Verdana"/>
          <w:sz w:val="22"/>
          <w:szCs w:val="22"/>
        </w:rPr>
        <w:t>000,000 de i</w:t>
      </w:r>
      <w:r w:rsidR="00DF18A4" w:rsidRPr="00BB1432">
        <w:rPr>
          <w:rFonts w:ascii="Verdana" w:hAnsi="Verdana"/>
          <w:sz w:val="22"/>
          <w:szCs w:val="22"/>
        </w:rPr>
        <w:t>teracciones con las variables anotadas, se obtuvo el siguiente gráfico, con la siguiente interpretación de los resultados expuestos.</w:t>
      </w:r>
    </w:p>
    <w:p w:rsidR="00F74D3C" w:rsidRPr="00BB1432" w:rsidRDefault="00F74D3C" w:rsidP="00CA4E87">
      <w:pPr>
        <w:spacing w:line="480" w:lineRule="auto"/>
        <w:jc w:val="both"/>
        <w:rPr>
          <w:rFonts w:ascii="Verdana" w:hAnsi="Verdana"/>
          <w:sz w:val="22"/>
          <w:szCs w:val="22"/>
        </w:rPr>
      </w:pPr>
    </w:p>
    <w:p w:rsidR="00F74D3C" w:rsidRPr="00BB1432" w:rsidRDefault="00006ACE" w:rsidP="00F74D3C">
      <w:pPr>
        <w:spacing w:line="480" w:lineRule="auto"/>
        <w:jc w:val="center"/>
        <w:rPr>
          <w:rFonts w:ascii="Verdana" w:hAnsi="Verdana"/>
          <w:b/>
          <w:sz w:val="22"/>
          <w:szCs w:val="22"/>
        </w:rPr>
      </w:pPr>
      <w:r>
        <w:rPr>
          <w:noProof/>
          <w:lang w:val="es-ES" w:eastAsia="es-ES"/>
        </w:rPr>
        <w:drawing>
          <wp:anchor distT="0" distB="0" distL="114300" distR="114300" simplePos="0" relativeHeight="251657216" behindDoc="0" locked="0" layoutInCell="1" allowOverlap="1">
            <wp:simplePos x="0" y="0"/>
            <wp:positionH relativeFrom="column">
              <wp:posOffset>0</wp:posOffset>
            </wp:positionH>
            <wp:positionV relativeFrom="paragraph">
              <wp:posOffset>678815</wp:posOffset>
            </wp:positionV>
            <wp:extent cx="5143500" cy="2740025"/>
            <wp:effectExtent l="19050" t="0" r="0" b="0"/>
            <wp:wrapTopAndBottom/>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8"/>
                    <a:srcRect/>
                    <a:stretch>
                      <a:fillRect/>
                    </a:stretch>
                  </pic:blipFill>
                  <pic:spPr bwMode="auto">
                    <a:xfrm>
                      <a:off x="0" y="0"/>
                      <a:ext cx="5143500" cy="2740025"/>
                    </a:xfrm>
                    <a:prstGeom prst="rect">
                      <a:avLst/>
                    </a:prstGeom>
                    <a:noFill/>
                    <a:ln w="9525">
                      <a:noFill/>
                      <a:miter lim="800000"/>
                      <a:headEnd/>
                      <a:tailEnd/>
                    </a:ln>
                  </pic:spPr>
                </pic:pic>
              </a:graphicData>
            </a:graphic>
          </wp:anchor>
        </w:drawing>
      </w:r>
      <w:r w:rsidR="00F74D3C" w:rsidRPr="00BB1432">
        <w:rPr>
          <w:rFonts w:ascii="Verdana" w:hAnsi="Verdana"/>
          <w:b/>
          <w:sz w:val="22"/>
          <w:szCs w:val="22"/>
        </w:rPr>
        <w:t>Gráfico 5.5</w:t>
      </w:r>
    </w:p>
    <w:p w:rsidR="00F74D3C" w:rsidRPr="00BB1432" w:rsidRDefault="00F74D3C" w:rsidP="00F74D3C">
      <w:pPr>
        <w:spacing w:line="480" w:lineRule="auto"/>
        <w:jc w:val="center"/>
        <w:rPr>
          <w:rFonts w:ascii="Verdana" w:hAnsi="Verdana"/>
          <w:sz w:val="22"/>
          <w:szCs w:val="22"/>
        </w:rPr>
      </w:pPr>
      <w:r w:rsidRPr="00BB1432">
        <w:rPr>
          <w:rFonts w:ascii="Verdana" w:hAnsi="Verdana"/>
          <w:b/>
          <w:sz w:val="22"/>
          <w:szCs w:val="22"/>
        </w:rPr>
        <w:t xml:space="preserve">Análisis del histograma del Valor </w:t>
      </w:r>
      <w:r w:rsidR="004F63AA" w:rsidRPr="00BB1432">
        <w:rPr>
          <w:rFonts w:ascii="Verdana" w:hAnsi="Verdana"/>
          <w:b/>
          <w:sz w:val="22"/>
          <w:szCs w:val="22"/>
        </w:rPr>
        <w:t>Patrimonial</w:t>
      </w:r>
    </w:p>
    <w:p w:rsidR="00F74D3C" w:rsidRPr="008C720B" w:rsidRDefault="00F74D3C" w:rsidP="00FD4303">
      <w:pPr>
        <w:spacing w:line="480" w:lineRule="auto"/>
        <w:jc w:val="center"/>
        <w:rPr>
          <w:rFonts w:ascii="Verdana" w:hAnsi="Verdana"/>
          <w:sz w:val="22"/>
          <w:szCs w:val="22"/>
        </w:rPr>
      </w:pPr>
    </w:p>
    <w:p w:rsidR="002337D7" w:rsidRPr="008333A5" w:rsidRDefault="002337D7" w:rsidP="00564A4B">
      <w:pPr>
        <w:spacing w:line="480" w:lineRule="auto"/>
        <w:ind w:firstLine="540"/>
        <w:rPr>
          <w:rFonts w:ascii="Verdana" w:hAnsi="Verdana"/>
          <w:i/>
          <w:sz w:val="18"/>
          <w:szCs w:val="18"/>
        </w:rPr>
      </w:pPr>
      <w:r w:rsidRPr="008333A5">
        <w:rPr>
          <w:rFonts w:ascii="Verdana" w:hAnsi="Verdana"/>
          <w:b/>
          <w:i/>
          <w:sz w:val="18"/>
          <w:szCs w:val="18"/>
        </w:rPr>
        <w:t>Elaborado por</w:t>
      </w:r>
      <w:r>
        <w:rPr>
          <w:rFonts w:ascii="Verdana" w:hAnsi="Verdana"/>
          <w:b/>
          <w:i/>
          <w:sz w:val="18"/>
          <w:szCs w:val="18"/>
        </w:rPr>
        <w:t>:</w:t>
      </w:r>
      <w:r w:rsidRPr="008333A5">
        <w:rPr>
          <w:rFonts w:ascii="Verdana" w:hAnsi="Verdana"/>
          <w:b/>
          <w:i/>
          <w:sz w:val="18"/>
          <w:szCs w:val="18"/>
        </w:rPr>
        <w:t xml:space="preserve"> </w:t>
      </w:r>
      <w:r>
        <w:rPr>
          <w:rFonts w:ascii="Verdana" w:hAnsi="Verdana"/>
          <w:i/>
          <w:sz w:val="18"/>
          <w:szCs w:val="18"/>
        </w:rPr>
        <w:t>L</w:t>
      </w:r>
      <w:r w:rsidRPr="008333A5">
        <w:rPr>
          <w:rFonts w:ascii="Verdana" w:hAnsi="Verdana"/>
          <w:i/>
          <w:sz w:val="18"/>
          <w:szCs w:val="18"/>
        </w:rPr>
        <w:t>os Autores</w:t>
      </w:r>
    </w:p>
    <w:p w:rsidR="00136794" w:rsidRPr="00BB1432" w:rsidRDefault="00136794" w:rsidP="00CA4E87">
      <w:pPr>
        <w:spacing w:line="480" w:lineRule="auto"/>
        <w:jc w:val="both"/>
        <w:rPr>
          <w:rFonts w:ascii="Verdana" w:hAnsi="Verdana"/>
          <w:sz w:val="22"/>
          <w:szCs w:val="22"/>
        </w:rPr>
      </w:pPr>
    </w:p>
    <w:p w:rsidR="00DF18A4" w:rsidRPr="00BB1432" w:rsidRDefault="00F74D3C" w:rsidP="00DF18A4">
      <w:pPr>
        <w:spacing w:line="480" w:lineRule="auto"/>
        <w:jc w:val="both"/>
        <w:rPr>
          <w:rFonts w:ascii="Verdana" w:hAnsi="Verdana"/>
          <w:sz w:val="22"/>
          <w:szCs w:val="22"/>
        </w:rPr>
      </w:pPr>
      <w:r w:rsidRPr="00BB1432">
        <w:rPr>
          <w:rFonts w:ascii="Verdana" w:hAnsi="Verdana"/>
          <w:sz w:val="22"/>
          <w:szCs w:val="22"/>
        </w:rPr>
        <w:t xml:space="preserve">     </w:t>
      </w:r>
      <w:r w:rsidR="00DF18A4" w:rsidRPr="00BB1432">
        <w:rPr>
          <w:rFonts w:ascii="Verdana" w:hAnsi="Verdana"/>
          <w:sz w:val="22"/>
          <w:szCs w:val="22"/>
        </w:rPr>
        <w:t xml:space="preserve">Aplicando distribuciones normales a las variables consideradas relevantes para el presente análisis, podemos señalar que el promedio del Valor Fundamental de la entidad es de US$ </w:t>
      </w:r>
      <w:r w:rsidR="002A7E97">
        <w:rPr>
          <w:rFonts w:ascii="Verdana" w:hAnsi="Verdana"/>
          <w:sz w:val="22"/>
          <w:szCs w:val="22"/>
        </w:rPr>
        <w:t>95</w:t>
      </w:r>
      <w:r w:rsidR="00DF18A4" w:rsidRPr="00BB1432">
        <w:rPr>
          <w:rFonts w:ascii="Verdana" w:hAnsi="Verdana"/>
          <w:sz w:val="22"/>
          <w:szCs w:val="22"/>
        </w:rPr>
        <w:t>’</w:t>
      </w:r>
      <w:r w:rsidR="002A7E97">
        <w:rPr>
          <w:rFonts w:ascii="Verdana" w:hAnsi="Verdana"/>
          <w:sz w:val="22"/>
          <w:szCs w:val="22"/>
        </w:rPr>
        <w:t>272</w:t>
      </w:r>
      <w:r w:rsidR="00DF18A4" w:rsidRPr="00BB1432">
        <w:rPr>
          <w:rFonts w:ascii="Verdana" w:hAnsi="Verdana"/>
          <w:sz w:val="22"/>
          <w:szCs w:val="22"/>
        </w:rPr>
        <w:t>,</w:t>
      </w:r>
      <w:r w:rsidR="002A7E97">
        <w:rPr>
          <w:rFonts w:ascii="Verdana" w:hAnsi="Verdana"/>
          <w:sz w:val="22"/>
          <w:szCs w:val="22"/>
        </w:rPr>
        <w:t>050</w:t>
      </w:r>
      <w:r w:rsidR="00DF18A4" w:rsidRPr="00BB1432">
        <w:rPr>
          <w:rFonts w:ascii="Verdana" w:hAnsi="Verdana"/>
          <w:sz w:val="22"/>
          <w:szCs w:val="22"/>
        </w:rPr>
        <w:t xml:space="preserve"> con una desviación estándar de US$ 8’0</w:t>
      </w:r>
      <w:r w:rsidR="002A7E97">
        <w:rPr>
          <w:rFonts w:ascii="Verdana" w:hAnsi="Verdana"/>
          <w:sz w:val="22"/>
          <w:szCs w:val="22"/>
        </w:rPr>
        <w:t>43</w:t>
      </w:r>
      <w:r w:rsidR="00DF18A4" w:rsidRPr="00BB1432">
        <w:rPr>
          <w:rFonts w:ascii="Verdana" w:hAnsi="Verdana"/>
          <w:sz w:val="22"/>
          <w:szCs w:val="22"/>
        </w:rPr>
        <w:t>,</w:t>
      </w:r>
      <w:r w:rsidR="002A7E97">
        <w:rPr>
          <w:rFonts w:ascii="Verdana" w:hAnsi="Verdana"/>
          <w:sz w:val="22"/>
          <w:szCs w:val="22"/>
        </w:rPr>
        <w:t>373</w:t>
      </w:r>
      <w:r w:rsidR="00DF18A4" w:rsidRPr="00BB1432">
        <w:rPr>
          <w:rFonts w:ascii="Verdana" w:hAnsi="Verdana"/>
          <w:sz w:val="22"/>
          <w:szCs w:val="22"/>
        </w:rPr>
        <w:t xml:space="preserve">, siendo la certeza de que el Valor Fundamental estimado resulte exacto del </w:t>
      </w:r>
      <w:r w:rsidR="002A7E97">
        <w:rPr>
          <w:rFonts w:ascii="Verdana" w:hAnsi="Verdana"/>
          <w:sz w:val="22"/>
          <w:szCs w:val="22"/>
        </w:rPr>
        <w:t>66.56</w:t>
      </w:r>
      <w:r w:rsidR="00DF18A4" w:rsidRPr="00BB1432">
        <w:rPr>
          <w:rFonts w:ascii="Verdana" w:hAnsi="Verdana"/>
          <w:sz w:val="22"/>
          <w:szCs w:val="22"/>
        </w:rPr>
        <w:t>%.</w:t>
      </w:r>
    </w:p>
    <w:p w:rsidR="00BB1432" w:rsidRDefault="00BB1432" w:rsidP="00550F6C">
      <w:pPr>
        <w:spacing w:line="480" w:lineRule="auto"/>
        <w:jc w:val="both"/>
        <w:rPr>
          <w:rFonts w:ascii="Verdana" w:hAnsi="Verdana"/>
        </w:rPr>
      </w:pPr>
    </w:p>
    <w:p w:rsidR="007C37B6" w:rsidRPr="007C37B6" w:rsidRDefault="007C37B6" w:rsidP="007C37B6">
      <w:pPr>
        <w:spacing w:line="480" w:lineRule="auto"/>
        <w:jc w:val="center"/>
        <w:rPr>
          <w:rFonts w:ascii="Verdana" w:hAnsi="Verdana"/>
          <w:b/>
          <w:sz w:val="28"/>
          <w:szCs w:val="28"/>
        </w:rPr>
      </w:pPr>
      <w:r w:rsidRPr="007C37B6">
        <w:rPr>
          <w:rFonts w:ascii="Verdana" w:hAnsi="Verdana"/>
          <w:b/>
          <w:sz w:val="28"/>
          <w:szCs w:val="28"/>
        </w:rPr>
        <w:t>CONCLUSIONES</w:t>
      </w:r>
    </w:p>
    <w:p w:rsidR="007C37B6" w:rsidRPr="00BB1432" w:rsidRDefault="007C37B6" w:rsidP="007C37B6">
      <w:pPr>
        <w:spacing w:line="480" w:lineRule="auto"/>
        <w:jc w:val="center"/>
        <w:rPr>
          <w:rFonts w:ascii="Verdana" w:hAnsi="Verdana"/>
          <w:sz w:val="22"/>
          <w:szCs w:val="22"/>
        </w:rPr>
      </w:pPr>
    </w:p>
    <w:p w:rsidR="007C37B6" w:rsidRPr="00BB1432" w:rsidRDefault="007C37B6" w:rsidP="007C37B6">
      <w:pPr>
        <w:numPr>
          <w:ilvl w:val="0"/>
          <w:numId w:val="11"/>
        </w:numPr>
        <w:spacing w:line="480" w:lineRule="auto"/>
        <w:jc w:val="both"/>
        <w:rPr>
          <w:rFonts w:ascii="Verdana" w:hAnsi="Verdana"/>
          <w:sz w:val="22"/>
          <w:szCs w:val="22"/>
        </w:rPr>
      </w:pPr>
      <w:r w:rsidRPr="00BB1432">
        <w:rPr>
          <w:rFonts w:ascii="Verdana" w:hAnsi="Verdana"/>
          <w:sz w:val="22"/>
          <w:szCs w:val="22"/>
        </w:rPr>
        <w:t>El mayor porcentaje en cuanto a Créditos que otorga el Unibanco se destino a Crédito de Consumo; sin embargo, a raíz de la compra de acciones del Solidario, el banco apunta hacia un aumento en la prestación de microcréditos.</w:t>
      </w:r>
    </w:p>
    <w:p w:rsidR="007C37B6" w:rsidRPr="00BB1432" w:rsidRDefault="007C37B6" w:rsidP="007C37B6">
      <w:pPr>
        <w:spacing w:line="480" w:lineRule="auto"/>
        <w:jc w:val="both"/>
        <w:rPr>
          <w:rFonts w:ascii="Verdana" w:hAnsi="Verdana"/>
          <w:sz w:val="22"/>
          <w:szCs w:val="22"/>
        </w:rPr>
      </w:pPr>
    </w:p>
    <w:p w:rsidR="007C37B6" w:rsidRPr="00BB1432" w:rsidRDefault="007C37B6" w:rsidP="007C37B6">
      <w:pPr>
        <w:numPr>
          <w:ilvl w:val="0"/>
          <w:numId w:val="11"/>
        </w:numPr>
        <w:spacing w:line="480" w:lineRule="auto"/>
        <w:jc w:val="both"/>
        <w:rPr>
          <w:rFonts w:ascii="Verdana" w:hAnsi="Verdana"/>
          <w:sz w:val="22"/>
          <w:szCs w:val="22"/>
        </w:rPr>
      </w:pPr>
      <w:r w:rsidRPr="00BB1432">
        <w:rPr>
          <w:rFonts w:ascii="Verdana" w:hAnsi="Verdana"/>
          <w:sz w:val="22"/>
          <w:szCs w:val="22"/>
        </w:rPr>
        <w:t>Según la serie histórica de “Obligaciones con el público”, se evidencia que el Unibanco presenta disminuciones periódicas en depósitos por parte del público, es decir, pequeñas corridas cada cierto tiempo, las cuales son controladas con el nivel de Inversiones financieras que la entidad maneja.</w:t>
      </w:r>
    </w:p>
    <w:p w:rsidR="00FD21C2" w:rsidRPr="00BB1432" w:rsidRDefault="00FD21C2" w:rsidP="00FD21C2">
      <w:pPr>
        <w:spacing w:line="480" w:lineRule="auto"/>
        <w:jc w:val="both"/>
        <w:rPr>
          <w:rFonts w:ascii="Verdana" w:hAnsi="Verdana"/>
          <w:sz w:val="22"/>
          <w:szCs w:val="22"/>
        </w:rPr>
      </w:pPr>
    </w:p>
    <w:p w:rsidR="00FD21C2" w:rsidRPr="00BB1432" w:rsidRDefault="00FD21C2" w:rsidP="007C37B6">
      <w:pPr>
        <w:numPr>
          <w:ilvl w:val="0"/>
          <w:numId w:val="11"/>
        </w:numPr>
        <w:spacing w:line="480" w:lineRule="auto"/>
        <w:jc w:val="both"/>
        <w:rPr>
          <w:rFonts w:ascii="Verdana" w:hAnsi="Verdana"/>
          <w:sz w:val="22"/>
          <w:szCs w:val="22"/>
        </w:rPr>
      </w:pPr>
      <w:r w:rsidRPr="00BB1432">
        <w:rPr>
          <w:rFonts w:ascii="Verdana" w:hAnsi="Verdana"/>
          <w:sz w:val="22"/>
          <w:szCs w:val="22"/>
        </w:rPr>
        <w:t xml:space="preserve">Por el principio de igualdad contable, el error de proyección de la cuenta Activo Total fue del 6.74%. </w:t>
      </w:r>
    </w:p>
    <w:p w:rsidR="007C37B6" w:rsidRPr="00BB1432" w:rsidRDefault="007C37B6" w:rsidP="007C37B6">
      <w:pPr>
        <w:spacing w:line="480" w:lineRule="auto"/>
        <w:jc w:val="both"/>
        <w:rPr>
          <w:rFonts w:ascii="Verdana" w:hAnsi="Verdana"/>
          <w:sz w:val="22"/>
          <w:szCs w:val="22"/>
        </w:rPr>
      </w:pPr>
    </w:p>
    <w:p w:rsidR="007C37B6" w:rsidRPr="00BB1432" w:rsidRDefault="007C37B6" w:rsidP="007C37B6">
      <w:pPr>
        <w:numPr>
          <w:ilvl w:val="0"/>
          <w:numId w:val="11"/>
        </w:numPr>
        <w:spacing w:line="480" w:lineRule="auto"/>
        <w:jc w:val="both"/>
        <w:rPr>
          <w:rFonts w:ascii="Verdana" w:hAnsi="Verdana"/>
          <w:sz w:val="22"/>
          <w:szCs w:val="22"/>
        </w:rPr>
      </w:pPr>
      <w:r w:rsidRPr="00BB1432">
        <w:rPr>
          <w:rFonts w:ascii="Verdana" w:hAnsi="Verdana"/>
          <w:sz w:val="22"/>
          <w:szCs w:val="22"/>
        </w:rPr>
        <w:t xml:space="preserve">El nivel mensual de </w:t>
      </w:r>
      <w:smartTag w:uri="urn:schemas-microsoft-com:office:smarttags" w:element="PersonName">
        <w:smartTagPr>
          <w:attr w:name="ProductID" w:val="la Cartera"/>
        </w:smartTagPr>
        <w:r w:rsidRPr="00BB1432">
          <w:rPr>
            <w:rFonts w:ascii="Verdana" w:hAnsi="Verdana"/>
            <w:sz w:val="22"/>
            <w:szCs w:val="22"/>
          </w:rPr>
          <w:t>la Cartera</w:t>
        </w:r>
      </w:smartTag>
      <w:r w:rsidRPr="00BB1432">
        <w:rPr>
          <w:rFonts w:ascii="Verdana" w:hAnsi="Verdana"/>
          <w:sz w:val="22"/>
          <w:szCs w:val="22"/>
        </w:rPr>
        <w:t xml:space="preserve"> es afectado por los préstamos concedidos en meses anteriores debido a que se deben corregir constantemente con la finalidad de no disminuir el indicador de solvencia que relaciona Cartera con Patrimonio, es decir, dado que el Patrimonio no puede crecer a la misma velocidad que </w:t>
      </w:r>
      <w:smartTag w:uri="urn:schemas-microsoft-com:office:smarttags" w:element="PersonName">
        <w:smartTagPr>
          <w:attr w:name="ProductID" w:val="la Cartera"/>
        </w:smartTagPr>
        <w:r w:rsidRPr="00BB1432">
          <w:rPr>
            <w:rFonts w:ascii="Verdana" w:hAnsi="Verdana"/>
            <w:sz w:val="22"/>
            <w:szCs w:val="22"/>
          </w:rPr>
          <w:t>la Cartera</w:t>
        </w:r>
      </w:smartTag>
      <w:r w:rsidRPr="00BB1432">
        <w:rPr>
          <w:rFonts w:ascii="Verdana" w:hAnsi="Verdana"/>
          <w:sz w:val="22"/>
          <w:szCs w:val="22"/>
        </w:rPr>
        <w:t>, ésta se ajusta según las diferencias de hasta dos periodos anteriores para cumplir con el requerimiento sobre el patrimonio técnico</w:t>
      </w:r>
      <w:r w:rsidR="00AF0259" w:rsidRPr="00BB1432">
        <w:rPr>
          <w:rFonts w:ascii="Verdana" w:hAnsi="Verdana"/>
          <w:sz w:val="22"/>
          <w:szCs w:val="22"/>
        </w:rPr>
        <w:t>.</w:t>
      </w:r>
    </w:p>
    <w:p w:rsidR="00AF0259" w:rsidRPr="00BB1432" w:rsidRDefault="00AF0259" w:rsidP="007C37B6">
      <w:pPr>
        <w:numPr>
          <w:ilvl w:val="0"/>
          <w:numId w:val="11"/>
        </w:numPr>
        <w:spacing w:line="480" w:lineRule="auto"/>
        <w:jc w:val="both"/>
        <w:rPr>
          <w:rFonts w:ascii="Verdana" w:hAnsi="Verdana"/>
          <w:sz w:val="22"/>
          <w:szCs w:val="22"/>
        </w:rPr>
      </w:pPr>
      <w:r w:rsidRPr="00BB1432">
        <w:rPr>
          <w:rFonts w:ascii="Verdana" w:hAnsi="Verdana"/>
          <w:sz w:val="22"/>
          <w:szCs w:val="22"/>
        </w:rPr>
        <w:t>Gracias a las variaciones de los ratios de proyección utilizados, comparados con los valores reales presentados por el Unibanco, se demuestra que el método de proyección arroja resultados muy cercanos a los valores reales comprobando así que el modelo es válido y puede ser empleado en proyecciones a largo plazo</w:t>
      </w:r>
    </w:p>
    <w:p w:rsidR="007C37B6" w:rsidRPr="00BB1432" w:rsidRDefault="007C37B6" w:rsidP="007C37B6">
      <w:pPr>
        <w:spacing w:line="480" w:lineRule="auto"/>
        <w:jc w:val="both"/>
        <w:rPr>
          <w:rFonts w:ascii="Verdana" w:hAnsi="Verdana"/>
          <w:sz w:val="22"/>
          <w:szCs w:val="22"/>
        </w:rPr>
      </w:pPr>
    </w:p>
    <w:p w:rsidR="005B4A19" w:rsidRPr="00BB1432" w:rsidRDefault="007C37B6" w:rsidP="007C37B6">
      <w:pPr>
        <w:numPr>
          <w:ilvl w:val="0"/>
          <w:numId w:val="11"/>
        </w:numPr>
        <w:spacing w:line="480" w:lineRule="auto"/>
        <w:jc w:val="both"/>
        <w:rPr>
          <w:rFonts w:ascii="Verdana" w:hAnsi="Verdana"/>
          <w:sz w:val="22"/>
          <w:szCs w:val="22"/>
        </w:rPr>
      </w:pPr>
      <w:r w:rsidRPr="00BB1432">
        <w:rPr>
          <w:rFonts w:ascii="Verdana" w:hAnsi="Verdana"/>
          <w:sz w:val="22"/>
          <w:szCs w:val="22"/>
        </w:rPr>
        <w:t>La tasa de costo patrimoni</w:t>
      </w:r>
      <w:r w:rsidR="00D45E87" w:rsidRPr="00BB1432">
        <w:rPr>
          <w:rFonts w:ascii="Verdana" w:hAnsi="Verdana"/>
          <w:sz w:val="22"/>
          <w:szCs w:val="22"/>
        </w:rPr>
        <w:t>al para el Unibanco fue de 21.00</w:t>
      </w:r>
      <w:r w:rsidRPr="00BB1432">
        <w:rPr>
          <w:rFonts w:ascii="Verdana" w:hAnsi="Verdana"/>
          <w:sz w:val="22"/>
          <w:szCs w:val="22"/>
        </w:rPr>
        <w:t xml:space="preserve">% y se obtuvo usando parámetros estadounidenses </w:t>
      </w:r>
      <w:r w:rsidR="005B4A19" w:rsidRPr="00BB1432">
        <w:rPr>
          <w:rFonts w:ascii="Verdana" w:hAnsi="Verdana"/>
          <w:sz w:val="22"/>
          <w:szCs w:val="22"/>
        </w:rPr>
        <w:t>en el cálculo del CAPM para luego ajustarlo al mercado financiero ecuatoriano a través del riesgo país. Esto se lo hizo debido a que la falta de movimiento en el mercado accionario ecuatoriano imposibilita el cálculo de un factor beta estadísticamente significativo para esta institución.</w:t>
      </w:r>
    </w:p>
    <w:p w:rsidR="005B4A19" w:rsidRPr="00BB1432" w:rsidRDefault="005B4A19" w:rsidP="005B4A19">
      <w:pPr>
        <w:spacing w:line="480" w:lineRule="auto"/>
        <w:jc w:val="both"/>
        <w:rPr>
          <w:rFonts w:ascii="Verdana" w:hAnsi="Verdana"/>
          <w:sz w:val="22"/>
          <w:szCs w:val="22"/>
        </w:rPr>
      </w:pPr>
    </w:p>
    <w:p w:rsidR="007C37B6" w:rsidRPr="00BB1432" w:rsidRDefault="005B4A19" w:rsidP="007C37B6">
      <w:pPr>
        <w:numPr>
          <w:ilvl w:val="0"/>
          <w:numId w:val="11"/>
        </w:numPr>
        <w:spacing w:line="480" w:lineRule="auto"/>
        <w:jc w:val="both"/>
        <w:rPr>
          <w:rFonts w:ascii="Verdana" w:hAnsi="Verdana"/>
          <w:sz w:val="22"/>
          <w:szCs w:val="22"/>
        </w:rPr>
      </w:pPr>
      <w:r w:rsidRPr="00BB1432">
        <w:rPr>
          <w:rFonts w:ascii="Verdana" w:hAnsi="Verdana"/>
          <w:sz w:val="22"/>
          <w:szCs w:val="22"/>
        </w:rPr>
        <w:t>El valor patrimonial para el Unibanco al 31 de Diciemb</w:t>
      </w:r>
      <w:r w:rsidR="00E419C2" w:rsidRPr="00BB1432">
        <w:rPr>
          <w:rFonts w:ascii="Verdana" w:hAnsi="Verdana"/>
          <w:sz w:val="22"/>
          <w:szCs w:val="22"/>
        </w:rPr>
        <w:t xml:space="preserve">re del 2006 es de </w:t>
      </w:r>
      <w:r w:rsidR="000417FB" w:rsidRPr="00BB1432">
        <w:rPr>
          <w:rFonts w:ascii="Verdana" w:hAnsi="Verdana"/>
          <w:sz w:val="22"/>
          <w:szCs w:val="22"/>
        </w:rPr>
        <w:t xml:space="preserve">US$ </w:t>
      </w:r>
      <w:r w:rsidR="00931D78">
        <w:rPr>
          <w:rFonts w:ascii="Verdana" w:hAnsi="Verdana"/>
          <w:sz w:val="22"/>
          <w:szCs w:val="22"/>
        </w:rPr>
        <w:t>91</w:t>
      </w:r>
      <w:r w:rsidR="000417FB" w:rsidRPr="00BB1432">
        <w:rPr>
          <w:rFonts w:ascii="Verdana" w:hAnsi="Verdana"/>
          <w:sz w:val="22"/>
          <w:szCs w:val="22"/>
        </w:rPr>
        <w:t>’</w:t>
      </w:r>
      <w:r w:rsidR="00931D78">
        <w:rPr>
          <w:rFonts w:ascii="Verdana" w:hAnsi="Verdana"/>
          <w:sz w:val="22"/>
          <w:szCs w:val="22"/>
        </w:rPr>
        <w:t>840</w:t>
      </w:r>
      <w:r w:rsidR="000417FB" w:rsidRPr="00BB1432">
        <w:rPr>
          <w:rFonts w:ascii="Verdana" w:hAnsi="Verdana"/>
          <w:sz w:val="22"/>
          <w:szCs w:val="22"/>
        </w:rPr>
        <w:t>,</w:t>
      </w:r>
      <w:r w:rsidR="00931D78">
        <w:rPr>
          <w:rFonts w:ascii="Verdana" w:hAnsi="Verdana"/>
          <w:sz w:val="22"/>
          <w:szCs w:val="22"/>
        </w:rPr>
        <w:t>357.85</w:t>
      </w:r>
    </w:p>
    <w:p w:rsidR="000C3444" w:rsidRDefault="000C3444" w:rsidP="00D80CC1">
      <w:pPr>
        <w:spacing w:line="480" w:lineRule="auto"/>
        <w:jc w:val="center"/>
        <w:rPr>
          <w:rFonts w:ascii="Verdana" w:hAnsi="Verdana"/>
          <w:b/>
          <w:sz w:val="28"/>
          <w:szCs w:val="28"/>
        </w:rPr>
      </w:pPr>
    </w:p>
    <w:p w:rsidR="000C3444" w:rsidRDefault="000C3444" w:rsidP="00D80CC1">
      <w:pPr>
        <w:spacing w:line="480" w:lineRule="auto"/>
        <w:jc w:val="center"/>
        <w:rPr>
          <w:rFonts w:ascii="Verdana" w:hAnsi="Verdana"/>
          <w:b/>
          <w:sz w:val="28"/>
          <w:szCs w:val="28"/>
        </w:rPr>
      </w:pPr>
    </w:p>
    <w:p w:rsidR="00564A4B" w:rsidRDefault="00564A4B" w:rsidP="00D80CC1">
      <w:pPr>
        <w:spacing w:line="480" w:lineRule="auto"/>
        <w:jc w:val="center"/>
        <w:rPr>
          <w:rFonts w:ascii="Verdana" w:hAnsi="Verdana"/>
          <w:b/>
          <w:sz w:val="28"/>
          <w:szCs w:val="28"/>
        </w:rPr>
      </w:pPr>
    </w:p>
    <w:p w:rsidR="00564A4B" w:rsidRDefault="00564A4B" w:rsidP="00D80CC1">
      <w:pPr>
        <w:spacing w:line="480" w:lineRule="auto"/>
        <w:jc w:val="center"/>
        <w:rPr>
          <w:rFonts w:ascii="Verdana" w:hAnsi="Verdana"/>
          <w:b/>
          <w:sz w:val="28"/>
          <w:szCs w:val="28"/>
        </w:rPr>
      </w:pPr>
    </w:p>
    <w:p w:rsidR="000C3444" w:rsidRDefault="000C3444" w:rsidP="00D80CC1">
      <w:pPr>
        <w:spacing w:line="480" w:lineRule="auto"/>
        <w:jc w:val="center"/>
        <w:rPr>
          <w:rFonts w:ascii="Verdana" w:hAnsi="Verdana"/>
          <w:b/>
          <w:sz w:val="28"/>
          <w:szCs w:val="28"/>
        </w:rPr>
      </w:pPr>
    </w:p>
    <w:p w:rsidR="002179B2" w:rsidRDefault="002179B2" w:rsidP="00D80CC1">
      <w:pPr>
        <w:spacing w:line="480" w:lineRule="auto"/>
        <w:jc w:val="center"/>
        <w:rPr>
          <w:rFonts w:ascii="Verdana" w:hAnsi="Verdana"/>
          <w:b/>
          <w:sz w:val="28"/>
          <w:szCs w:val="28"/>
        </w:rPr>
      </w:pPr>
    </w:p>
    <w:p w:rsidR="000C3444" w:rsidRDefault="000C3444" w:rsidP="00D80CC1">
      <w:pPr>
        <w:spacing w:line="480" w:lineRule="auto"/>
        <w:jc w:val="center"/>
        <w:rPr>
          <w:rFonts w:ascii="Verdana" w:hAnsi="Verdana"/>
          <w:b/>
          <w:sz w:val="28"/>
          <w:szCs w:val="28"/>
        </w:rPr>
      </w:pPr>
    </w:p>
    <w:p w:rsidR="007C37B6" w:rsidRDefault="00D80CC1" w:rsidP="00D80CC1">
      <w:pPr>
        <w:spacing w:line="480" w:lineRule="auto"/>
        <w:jc w:val="center"/>
        <w:rPr>
          <w:rFonts w:ascii="Verdana" w:hAnsi="Verdana"/>
          <w:b/>
          <w:sz w:val="28"/>
          <w:szCs w:val="28"/>
        </w:rPr>
      </w:pPr>
      <w:r w:rsidRPr="00D80CC1">
        <w:rPr>
          <w:rFonts w:ascii="Verdana" w:hAnsi="Verdana"/>
          <w:b/>
          <w:sz w:val="28"/>
          <w:szCs w:val="28"/>
        </w:rPr>
        <w:t>BIBLIOGRAFÍA</w:t>
      </w:r>
    </w:p>
    <w:p w:rsidR="00D80CC1" w:rsidRPr="000C3444" w:rsidRDefault="00D80CC1" w:rsidP="00D80CC1">
      <w:pPr>
        <w:spacing w:line="480" w:lineRule="auto"/>
        <w:jc w:val="both"/>
        <w:rPr>
          <w:rFonts w:ascii="Verdana" w:hAnsi="Verdana"/>
          <w:sz w:val="22"/>
          <w:szCs w:val="22"/>
        </w:rPr>
      </w:pPr>
    </w:p>
    <w:p w:rsidR="00D80CC1" w:rsidRPr="000C3444" w:rsidRDefault="00D80CC1" w:rsidP="00D80CC1">
      <w:pPr>
        <w:spacing w:line="480" w:lineRule="auto"/>
        <w:jc w:val="both"/>
        <w:rPr>
          <w:rFonts w:ascii="Verdana" w:hAnsi="Verdana"/>
          <w:sz w:val="22"/>
          <w:szCs w:val="22"/>
          <w:lang w:val="es-ES"/>
        </w:rPr>
      </w:pPr>
      <w:r w:rsidRPr="000C3444">
        <w:rPr>
          <w:rFonts w:ascii="Verdana" w:hAnsi="Verdana"/>
          <w:sz w:val="22"/>
          <w:szCs w:val="22"/>
        </w:rPr>
        <w:t xml:space="preserve">1. COPELAND, T; KOLLER, T.; MURRIN, J. Valoración. Segunda Edición, </w:t>
      </w:r>
      <w:r w:rsidR="002179B2">
        <w:rPr>
          <w:rFonts w:ascii="Verdana" w:hAnsi="Verdana"/>
          <w:sz w:val="22"/>
          <w:szCs w:val="22"/>
        </w:rPr>
        <w:t>E</w:t>
      </w:r>
      <w:r w:rsidRPr="000C3444">
        <w:rPr>
          <w:rFonts w:ascii="Verdana" w:hAnsi="Verdana"/>
          <w:sz w:val="22"/>
          <w:szCs w:val="22"/>
        </w:rPr>
        <w:t xml:space="preserve">ditorial DEUSTO. </w:t>
      </w:r>
      <w:r w:rsidRPr="000C3444">
        <w:rPr>
          <w:rFonts w:ascii="Verdana" w:hAnsi="Verdana"/>
          <w:sz w:val="22"/>
          <w:szCs w:val="22"/>
          <w:lang w:val="es-ES"/>
        </w:rPr>
        <w:t>2001</w:t>
      </w:r>
    </w:p>
    <w:p w:rsidR="00D80CC1" w:rsidRPr="000C3444" w:rsidRDefault="00D80CC1" w:rsidP="00D80CC1">
      <w:pPr>
        <w:spacing w:line="480" w:lineRule="auto"/>
        <w:jc w:val="both"/>
        <w:rPr>
          <w:rFonts w:ascii="Verdana" w:hAnsi="Verdana"/>
          <w:sz w:val="22"/>
          <w:szCs w:val="22"/>
          <w:lang w:val="es-ES"/>
        </w:rPr>
      </w:pPr>
    </w:p>
    <w:p w:rsidR="00D80CC1" w:rsidRPr="000C3444" w:rsidRDefault="00D80CC1" w:rsidP="00D80CC1">
      <w:pPr>
        <w:spacing w:line="480" w:lineRule="auto"/>
        <w:jc w:val="both"/>
        <w:rPr>
          <w:rFonts w:ascii="Verdana" w:hAnsi="Verdana"/>
          <w:sz w:val="22"/>
          <w:szCs w:val="22"/>
        </w:rPr>
      </w:pPr>
      <w:r w:rsidRPr="000C3444">
        <w:rPr>
          <w:rFonts w:ascii="Verdana" w:hAnsi="Verdana"/>
          <w:sz w:val="22"/>
          <w:szCs w:val="22"/>
        </w:rPr>
        <w:t>2. CABALLER, V. Métodos de Valoración de Empresas. Editorial Pirámide, 1998.</w:t>
      </w:r>
    </w:p>
    <w:p w:rsidR="00D80CC1" w:rsidRPr="000C3444" w:rsidRDefault="00D80CC1" w:rsidP="00D80CC1">
      <w:pPr>
        <w:spacing w:line="480" w:lineRule="auto"/>
        <w:jc w:val="both"/>
        <w:rPr>
          <w:rFonts w:ascii="Verdana" w:hAnsi="Verdana"/>
          <w:sz w:val="22"/>
          <w:szCs w:val="22"/>
        </w:rPr>
      </w:pPr>
    </w:p>
    <w:p w:rsidR="00D80CC1" w:rsidRPr="000C3444" w:rsidRDefault="00D80CC1" w:rsidP="00D80CC1">
      <w:pPr>
        <w:spacing w:line="480" w:lineRule="auto"/>
        <w:jc w:val="both"/>
        <w:rPr>
          <w:rFonts w:ascii="Verdana" w:hAnsi="Verdana"/>
          <w:sz w:val="22"/>
          <w:szCs w:val="22"/>
          <w:lang w:val="es-ES"/>
        </w:rPr>
      </w:pPr>
      <w:r w:rsidRPr="000C3444">
        <w:rPr>
          <w:rFonts w:ascii="Verdana" w:hAnsi="Verdana"/>
          <w:sz w:val="22"/>
          <w:szCs w:val="22"/>
          <w:lang w:val="es-ES"/>
        </w:rPr>
        <w:t xml:space="preserve">3. INTERNET 1, 2007. </w:t>
      </w:r>
      <w:r w:rsidRPr="000C3444">
        <w:rPr>
          <w:rFonts w:ascii="Verdana" w:hAnsi="Verdana"/>
          <w:sz w:val="22"/>
          <w:szCs w:val="22"/>
          <w:lang w:val="es-ES"/>
        </w:rPr>
        <w:tab/>
        <w:t>http://www.unibanco.fin.ec</w:t>
      </w:r>
    </w:p>
    <w:p w:rsidR="00D80CC1" w:rsidRPr="000C3444" w:rsidRDefault="00D80CC1" w:rsidP="00D80CC1">
      <w:pPr>
        <w:spacing w:line="480" w:lineRule="auto"/>
        <w:jc w:val="both"/>
        <w:rPr>
          <w:rFonts w:ascii="Verdana" w:hAnsi="Verdana"/>
          <w:sz w:val="22"/>
          <w:szCs w:val="22"/>
          <w:lang w:val="es-ES"/>
        </w:rPr>
      </w:pPr>
    </w:p>
    <w:p w:rsidR="00D80CC1" w:rsidRPr="000C3444" w:rsidRDefault="00D80CC1" w:rsidP="00D80CC1">
      <w:pPr>
        <w:spacing w:line="480" w:lineRule="auto"/>
        <w:jc w:val="both"/>
        <w:rPr>
          <w:rFonts w:ascii="Verdana" w:hAnsi="Verdana"/>
          <w:sz w:val="22"/>
          <w:szCs w:val="22"/>
        </w:rPr>
      </w:pPr>
      <w:r w:rsidRPr="000C3444">
        <w:rPr>
          <w:rFonts w:ascii="Verdana" w:hAnsi="Verdana"/>
          <w:sz w:val="22"/>
          <w:szCs w:val="22"/>
        </w:rPr>
        <w:t>4. INTERNET 2, 2007.</w:t>
      </w:r>
      <w:r w:rsidRPr="000C3444">
        <w:rPr>
          <w:rFonts w:ascii="Verdana" w:hAnsi="Verdana"/>
          <w:sz w:val="22"/>
          <w:szCs w:val="22"/>
        </w:rPr>
        <w:tab/>
        <w:t>http://www.superban.gov.ec</w:t>
      </w:r>
    </w:p>
    <w:p w:rsidR="00D80CC1" w:rsidRPr="000C3444" w:rsidRDefault="00D80CC1" w:rsidP="00D80CC1">
      <w:pPr>
        <w:spacing w:line="480" w:lineRule="auto"/>
        <w:jc w:val="both"/>
        <w:rPr>
          <w:rFonts w:ascii="Verdana" w:hAnsi="Verdana"/>
          <w:sz w:val="22"/>
          <w:szCs w:val="22"/>
        </w:rPr>
      </w:pPr>
    </w:p>
    <w:p w:rsidR="00D80CC1" w:rsidRPr="000C3444" w:rsidRDefault="00D80CC1" w:rsidP="00D80CC1">
      <w:pPr>
        <w:spacing w:line="480" w:lineRule="auto"/>
        <w:jc w:val="both"/>
        <w:rPr>
          <w:rFonts w:ascii="Verdana" w:hAnsi="Verdana"/>
          <w:sz w:val="22"/>
          <w:szCs w:val="22"/>
          <w:lang w:val="fr-FR"/>
        </w:rPr>
      </w:pPr>
      <w:r w:rsidRPr="000C3444">
        <w:rPr>
          <w:rFonts w:ascii="Verdana" w:hAnsi="Verdana"/>
          <w:sz w:val="22"/>
          <w:szCs w:val="22"/>
          <w:lang w:val="fr-FR"/>
        </w:rPr>
        <w:t>5. INTERNET 3, 2007.</w:t>
      </w:r>
      <w:r w:rsidRPr="000C3444">
        <w:rPr>
          <w:rFonts w:ascii="Verdana" w:hAnsi="Verdana"/>
          <w:sz w:val="22"/>
          <w:szCs w:val="22"/>
          <w:lang w:val="fr-FR"/>
        </w:rPr>
        <w:tab/>
        <w:t>http://www.bce.fin.ec</w:t>
      </w:r>
    </w:p>
    <w:p w:rsidR="00D80CC1" w:rsidRPr="000C3444" w:rsidRDefault="00D80CC1" w:rsidP="00D80CC1">
      <w:pPr>
        <w:spacing w:line="480" w:lineRule="auto"/>
        <w:jc w:val="both"/>
        <w:rPr>
          <w:rFonts w:ascii="Verdana" w:hAnsi="Verdana"/>
          <w:sz w:val="22"/>
          <w:szCs w:val="22"/>
          <w:lang w:val="fr-FR"/>
        </w:rPr>
      </w:pPr>
    </w:p>
    <w:p w:rsidR="00D80CC1" w:rsidRPr="000C3444" w:rsidRDefault="00D80CC1" w:rsidP="00D80CC1">
      <w:pPr>
        <w:spacing w:line="480" w:lineRule="auto"/>
        <w:jc w:val="both"/>
        <w:rPr>
          <w:rFonts w:ascii="Verdana" w:hAnsi="Verdana"/>
          <w:sz w:val="22"/>
          <w:szCs w:val="22"/>
          <w:lang w:val="fr-FR"/>
        </w:rPr>
      </w:pPr>
      <w:r w:rsidRPr="000C3444">
        <w:rPr>
          <w:rFonts w:ascii="Verdana" w:hAnsi="Verdana"/>
          <w:sz w:val="22"/>
          <w:szCs w:val="22"/>
          <w:lang w:val="fr-FR"/>
        </w:rPr>
        <w:t>6. INTERNET 4, 2007.</w:t>
      </w:r>
      <w:r w:rsidRPr="000C3444">
        <w:rPr>
          <w:rFonts w:ascii="Verdana" w:hAnsi="Verdana"/>
          <w:sz w:val="22"/>
          <w:szCs w:val="22"/>
          <w:lang w:val="fr-FR"/>
        </w:rPr>
        <w:tab/>
        <w:t>http://www.solidario.fin.ec</w:t>
      </w:r>
    </w:p>
    <w:p w:rsidR="00D80CC1" w:rsidRPr="000C3444" w:rsidRDefault="00D80CC1" w:rsidP="00D80CC1">
      <w:pPr>
        <w:spacing w:line="480" w:lineRule="auto"/>
        <w:jc w:val="both"/>
        <w:rPr>
          <w:rFonts w:ascii="Verdana" w:hAnsi="Verdana"/>
          <w:sz w:val="22"/>
          <w:szCs w:val="22"/>
          <w:lang w:val="fr-FR"/>
        </w:rPr>
      </w:pPr>
    </w:p>
    <w:p w:rsidR="00D80CC1" w:rsidRPr="000C3444" w:rsidRDefault="00D80CC1" w:rsidP="00D80CC1">
      <w:pPr>
        <w:spacing w:line="480" w:lineRule="auto"/>
        <w:jc w:val="both"/>
        <w:rPr>
          <w:rFonts w:ascii="Verdana" w:hAnsi="Verdana"/>
          <w:sz w:val="22"/>
          <w:szCs w:val="22"/>
          <w:lang w:val="fr-FR"/>
        </w:rPr>
      </w:pPr>
      <w:r w:rsidRPr="000C3444">
        <w:rPr>
          <w:rFonts w:ascii="Verdana" w:hAnsi="Verdana"/>
          <w:sz w:val="22"/>
          <w:szCs w:val="22"/>
          <w:lang w:val="fr-FR"/>
        </w:rPr>
        <w:t>7. INTERNET 5, 2007.</w:t>
      </w:r>
      <w:r w:rsidRPr="000C3444">
        <w:rPr>
          <w:rFonts w:ascii="Verdana" w:hAnsi="Verdana"/>
          <w:sz w:val="22"/>
          <w:szCs w:val="22"/>
          <w:lang w:val="fr-FR"/>
        </w:rPr>
        <w:tab/>
        <w:t>http://www.yahoofinance.com</w:t>
      </w:r>
    </w:p>
    <w:p w:rsidR="00D80CC1" w:rsidRPr="000C3444" w:rsidRDefault="00D80CC1" w:rsidP="00D80CC1">
      <w:pPr>
        <w:spacing w:line="480" w:lineRule="auto"/>
        <w:jc w:val="both"/>
        <w:rPr>
          <w:rFonts w:ascii="Verdana" w:hAnsi="Verdana"/>
          <w:sz w:val="22"/>
          <w:szCs w:val="22"/>
          <w:lang w:val="fr-FR"/>
        </w:rPr>
      </w:pPr>
    </w:p>
    <w:p w:rsidR="00D80CC1" w:rsidRPr="000C3444" w:rsidRDefault="00C41994" w:rsidP="00D80CC1">
      <w:pPr>
        <w:spacing w:line="480" w:lineRule="auto"/>
        <w:jc w:val="both"/>
        <w:rPr>
          <w:rFonts w:ascii="Verdana" w:hAnsi="Verdana"/>
          <w:sz w:val="22"/>
          <w:szCs w:val="22"/>
          <w:lang w:val="fr-FR"/>
        </w:rPr>
      </w:pPr>
      <w:r w:rsidRPr="000C3444">
        <w:rPr>
          <w:rFonts w:ascii="Verdana" w:hAnsi="Verdana"/>
          <w:sz w:val="22"/>
          <w:szCs w:val="22"/>
          <w:lang w:val="fr-FR"/>
        </w:rPr>
        <w:t>8. INTERNET 6</w:t>
      </w:r>
      <w:r w:rsidR="00D80CC1" w:rsidRPr="000C3444">
        <w:rPr>
          <w:rFonts w:ascii="Verdana" w:hAnsi="Verdana"/>
          <w:sz w:val="22"/>
          <w:szCs w:val="22"/>
          <w:lang w:val="fr-FR"/>
        </w:rPr>
        <w:t>, 2007. http://www.eluniverso.com.ec</w:t>
      </w:r>
    </w:p>
    <w:p w:rsidR="00D80CC1" w:rsidRPr="000C3444" w:rsidRDefault="00D80CC1" w:rsidP="00D80CC1">
      <w:pPr>
        <w:spacing w:line="480" w:lineRule="auto"/>
        <w:jc w:val="both"/>
        <w:rPr>
          <w:rFonts w:ascii="Verdana" w:hAnsi="Verdana"/>
          <w:sz w:val="22"/>
          <w:szCs w:val="22"/>
          <w:lang w:val="fr-FR"/>
        </w:rPr>
      </w:pPr>
    </w:p>
    <w:p w:rsidR="001F2A34" w:rsidRDefault="001F2A34" w:rsidP="00D80CC1">
      <w:pPr>
        <w:spacing w:line="480" w:lineRule="auto"/>
        <w:jc w:val="both"/>
        <w:rPr>
          <w:rFonts w:ascii="Verdana" w:hAnsi="Verdana"/>
          <w:lang w:val="fr-FR"/>
        </w:rPr>
      </w:pPr>
    </w:p>
    <w:p w:rsidR="001F2A34" w:rsidRDefault="001F2A34" w:rsidP="001F2A34">
      <w:pPr>
        <w:spacing w:line="480" w:lineRule="auto"/>
        <w:jc w:val="center"/>
        <w:rPr>
          <w:rFonts w:ascii="Verdana" w:hAnsi="Verdana"/>
          <w:b/>
          <w:sz w:val="96"/>
          <w:szCs w:val="96"/>
          <w:lang w:val="fr-FR"/>
        </w:rPr>
      </w:pPr>
    </w:p>
    <w:p w:rsidR="001F2A34" w:rsidRDefault="001F2A34" w:rsidP="001F2A34">
      <w:pPr>
        <w:spacing w:line="480" w:lineRule="auto"/>
        <w:jc w:val="center"/>
        <w:rPr>
          <w:rFonts w:ascii="Verdana" w:hAnsi="Verdana"/>
          <w:b/>
          <w:sz w:val="96"/>
          <w:szCs w:val="96"/>
          <w:lang w:val="fr-FR"/>
        </w:rPr>
      </w:pPr>
    </w:p>
    <w:p w:rsidR="00564A4B" w:rsidRDefault="00564A4B" w:rsidP="001F2A34">
      <w:pPr>
        <w:spacing w:line="480" w:lineRule="auto"/>
        <w:jc w:val="center"/>
        <w:rPr>
          <w:rFonts w:ascii="Verdana" w:hAnsi="Verdana"/>
          <w:b/>
          <w:sz w:val="96"/>
          <w:szCs w:val="96"/>
          <w:lang w:val="fr-FR"/>
        </w:rPr>
      </w:pPr>
    </w:p>
    <w:p w:rsidR="001F2A34" w:rsidRPr="001F2A34" w:rsidRDefault="001F2A34" w:rsidP="001F2A34">
      <w:pPr>
        <w:spacing w:line="480" w:lineRule="auto"/>
        <w:jc w:val="center"/>
        <w:rPr>
          <w:rFonts w:ascii="Verdana" w:hAnsi="Verdana"/>
          <w:b/>
          <w:shadow/>
          <w:sz w:val="144"/>
          <w:szCs w:val="144"/>
          <w:lang w:val="fr-FR"/>
        </w:rPr>
      </w:pPr>
      <w:r w:rsidRPr="001F2A34">
        <w:rPr>
          <w:rFonts w:ascii="Verdana" w:hAnsi="Verdana"/>
          <w:b/>
          <w:shadow/>
          <w:sz w:val="144"/>
          <w:szCs w:val="144"/>
          <w:lang w:val="fr-FR"/>
        </w:rPr>
        <w:t>ANEXOS</w:t>
      </w:r>
    </w:p>
    <w:sectPr w:rsidR="001F2A34" w:rsidRPr="001F2A34" w:rsidSect="00265D9E">
      <w:footerReference w:type="default" r:id="rId49"/>
      <w:pgSz w:w="11906" w:h="16838" w:code="9"/>
      <w:pgMar w:top="2268" w:right="1361" w:bottom="1797"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31" w:rsidRDefault="001D7B31">
      <w:r>
        <w:separator/>
      </w:r>
    </w:p>
  </w:endnote>
  <w:endnote w:type="continuationSeparator" w:id="1">
    <w:p w:rsidR="001D7B31" w:rsidRDefault="001D7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9" w:rsidRDefault="000B4BF9" w:rsidP="00354133">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006ACE">
      <w:rPr>
        <w:rStyle w:val="Nmerodepgina"/>
        <w:noProof/>
      </w:rPr>
      <w:t>13</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31" w:rsidRDefault="001D7B31">
      <w:r>
        <w:separator/>
      </w:r>
    </w:p>
  </w:footnote>
  <w:footnote w:type="continuationSeparator" w:id="1">
    <w:p w:rsidR="001D7B31" w:rsidRDefault="001D7B31">
      <w:r>
        <w:continuationSeparator/>
      </w:r>
    </w:p>
  </w:footnote>
  <w:footnote w:id="2">
    <w:p w:rsidR="000B4BF9" w:rsidRPr="009E60C2" w:rsidRDefault="000B4BF9" w:rsidP="00117EC0">
      <w:pPr>
        <w:pStyle w:val="Textonotapie"/>
        <w:jc w:val="both"/>
        <w:rPr>
          <w:rFonts w:ascii="Verdana" w:hAnsi="Verdana"/>
        </w:rPr>
      </w:pPr>
      <w:r w:rsidRPr="009E60C2">
        <w:rPr>
          <w:rStyle w:val="Refdenotaalpie"/>
          <w:rFonts w:ascii="Verdana" w:hAnsi="Verdana"/>
        </w:rPr>
        <w:footnoteRef/>
      </w:r>
      <w:r w:rsidRPr="009E60C2">
        <w:rPr>
          <w:rFonts w:ascii="Verdana" w:hAnsi="Verdana"/>
        </w:rPr>
        <w:t xml:space="preserve"> Que causo la crisis bancaria en el Ecuador, Guissella Salgado Albornoz. Publicación para </w:t>
      </w:r>
      <w:smartTag w:uri="urn:schemas-microsoft-com:office:smarttags" w:element="PersonName">
        <w:smartTagPr>
          <w:attr w:name="ProductID" w:val="la Superintendencia"/>
        </w:smartTagPr>
        <w:r w:rsidRPr="009E60C2">
          <w:rPr>
            <w:rFonts w:ascii="Verdana" w:hAnsi="Verdana"/>
          </w:rPr>
          <w:t>la Superintendencia</w:t>
        </w:r>
      </w:smartTag>
      <w:r w:rsidRPr="009E60C2">
        <w:rPr>
          <w:rFonts w:ascii="Verdana" w:hAnsi="Verdana"/>
        </w:rPr>
        <w:t xml:space="preserve"> de Bancos 28 de Octubre del 2004. </w:t>
      </w:r>
    </w:p>
  </w:footnote>
  <w:footnote w:id="3">
    <w:p w:rsidR="000B4BF9" w:rsidRPr="00BF14D4" w:rsidRDefault="000B4BF9" w:rsidP="00671424">
      <w:pPr>
        <w:pStyle w:val="Textonotapie"/>
        <w:rPr>
          <w:rFonts w:ascii="Verdana" w:hAnsi="Verdana"/>
          <w:lang w:val="es-ES_tradnl"/>
        </w:rPr>
      </w:pPr>
      <w:r w:rsidRPr="00BF14D4">
        <w:rPr>
          <w:rStyle w:val="Refdenotaalpie"/>
          <w:rFonts w:ascii="Verdana" w:hAnsi="Verdana"/>
        </w:rPr>
        <w:footnoteRef/>
      </w:r>
      <w:r w:rsidRPr="00BF14D4">
        <w:rPr>
          <w:rFonts w:ascii="Verdana" w:hAnsi="Verdana"/>
        </w:rPr>
        <w:t xml:space="preserve"> Basado en un Estudio Técnico de </w:t>
      </w:r>
      <w:smartTag w:uri="urn:schemas-microsoft-com:office:smarttags" w:element="PersonName">
        <w:smartTagPr>
          <w:attr w:name="ProductID" w:val="la Superintendencia"/>
        </w:smartTagPr>
        <w:r w:rsidRPr="00BF14D4">
          <w:rPr>
            <w:rFonts w:ascii="Verdana" w:hAnsi="Verdana"/>
          </w:rPr>
          <w:t>la Superintendencia</w:t>
        </w:r>
      </w:smartTag>
      <w:r w:rsidRPr="00BF14D4">
        <w:rPr>
          <w:rFonts w:ascii="Verdana" w:hAnsi="Verdana"/>
        </w:rPr>
        <w:t xml:space="preserve"> de Bancos</w:t>
      </w:r>
    </w:p>
  </w:footnote>
  <w:footnote w:id="4">
    <w:p w:rsidR="000B4BF9" w:rsidRPr="009E73A6" w:rsidRDefault="000B4BF9" w:rsidP="00671424">
      <w:pPr>
        <w:pStyle w:val="Textonotapie"/>
        <w:jc w:val="both"/>
        <w:rPr>
          <w:rFonts w:ascii="Verdana" w:hAnsi="Verdana"/>
        </w:rPr>
      </w:pPr>
      <w:r w:rsidRPr="009E73A6">
        <w:rPr>
          <w:rStyle w:val="Refdenotaalpie"/>
          <w:rFonts w:ascii="Verdana" w:hAnsi="Verdana"/>
        </w:rPr>
        <w:footnoteRef/>
      </w:r>
      <w:r w:rsidRPr="009E73A6">
        <w:rPr>
          <w:rFonts w:ascii="Verdana" w:hAnsi="Verdana"/>
        </w:rPr>
        <w:t xml:space="preserve"> Norma internacional que propone niveles recomendables de solvencia y de patrimonio de acuerdo a una estandarización global. </w:t>
      </w:r>
    </w:p>
  </w:footnote>
  <w:footnote w:id="5">
    <w:p w:rsidR="000B4BF9" w:rsidRPr="00DC38B7" w:rsidRDefault="000B4BF9" w:rsidP="00671424">
      <w:pPr>
        <w:pStyle w:val="Textonotapie"/>
        <w:rPr>
          <w:rFonts w:ascii="Verdana" w:hAnsi="Verdana"/>
        </w:rPr>
      </w:pPr>
      <w:r w:rsidRPr="00DC38B7">
        <w:rPr>
          <w:rStyle w:val="Refdenotaalpie"/>
          <w:rFonts w:ascii="Verdana" w:hAnsi="Verdana"/>
        </w:rPr>
        <w:footnoteRef/>
      </w:r>
      <w:r w:rsidRPr="00DC38B7">
        <w:rPr>
          <w:rFonts w:ascii="Verdana" w:hAnsi="Verdana"/>
        </w:rPr>
        <w:t xml:space="preserve"> Observatorio de la política fiscal , Julio del 2004</w:t>
      </w:r>
    </w:p>
  </w:footnote>
  <w:footnote w:id="6">
    <w:p w:rsidR="000B4BF9" w:rsidRPr="002038D3" w:rsidRDefault="000B4BF9" w:rsidP="00671424">
      <w:pPr>
        <w:pStyle w:val="Textonotapie"/>
        <w:rPr>
          <w:rFonts w:ascii="Verdana" w:hAnsi="Verdana"/>
          <w:lang w:val="es-ES_tradnl"/>
        </w:rPr>
      </w:pPr>
      <w:r w:rsidRPr="002038D3">
        <w:rPr>
          <w:rStyle w:val="Refdenotaalpie"/>
          <w:rFonts w:ascii="Verdana" w:hAnsi="Verdana"/>
        </w:rPr>
        <w:footnoteRef/>
      </w:r>
      <w:r w:rsidRPr="002038D3">
        <w:rPr>
          <w:rFonts w:ascii="Verdana" w:hAnsi="Verdana"/>
        </w:rPr>
        <w:t xml:space="preserve"> Informe de </w:t>
      </w:r>
      <w:r w:rsidRPr="002038D3">
        <w:rPr>
          <w:rFonts w:ascii="Verdana" w:hAnsi="Verdana"/>
          <w:lang w:val="es-ES_tradnl"/>
        </w:rPr>
        <w:t xml:space="preserve">Análisis técnico elaborado por </w:t>
      </w:r>
      <w:smartTag w:uri="urn:schemas-microsoft-com:office:smarttags" w:element="PersonName">
        <w:smartTagPr>
          <w:attr w:name="ProductID" w:val="la Superintendencia"/>
        </w:smartTagPr>
        <w:r w:rsidRPr="002038D3">
          <w:rPr>
            <w:rFonts w:ascii="Verdana" w:hAnsi="Verdana"/>
            <w:lang w:val="es-ES_tradnl"/>
          </w:rPr>
          <w:t>la Superintendencia</w:t>
        </w:r>
      </w:smartTag>
      <w:r w:rsidRPr="002038D3">
        <w:rPr>
          <w:rFonts w:ascii="Verdana" w:hAnsi="Verdana"/>
          <w:lang w:val="es-ES_tradnl"/>
        </w:rPr>
        <w:t xml:space="preserve"> de Bancos.</w:t>
      </w:r>
    </w:p>
  </w:footnote>
  <w:footnote w:id="7">
    <w:p w:rsidR="000B4BF9" w:rsidRPr="00FC15DE" w:rsidRDefault="000B4BF9" w:rsidP="006B3F28">
      <w:pPr>
        <w:pStyle w:val="Textonotapie"/>
        <w:rPr>
          <w:lang w:val="es-ES_tradnl"/>
        </w:rPr>
      </w:pPr>
      <w:r>
        <w:rPr>
          <w:rStyle w:val="Refdenotaalpie"/>
        </w:rPr>
        <w:footnoteRef/>
      </w:r>
      <w:r>
        <w:t xml:space="preserve"> Breve Reseña Histórica del Unibanco</w:t>
      </w:r>
    </w:p>
  </w:footnote>
  <w:footnote w:id="8">
    <w:p w:rsidR="000B4BF9" w:rsidRPr="006F2630" w:rsidRDefault="000B4BF9" w:rsidP="006B3F28">
      <w:pPr>
        <w:pStyle w:val="Textonotapie"/>
        <w:rPr>
          <w:lang w:val="es-ES_tradnl"/>
        </w:rPr>
      </w:pPr>
      <w:r>
        <w:rPr>
          <w:rStyle w:val="Refdenotaalpie"/>
        </w:rPr>
        <w:footnoteRef/>
      </w:r>
      <w:r>
        <w:t xml:space="preserve"> </w:t>
      </w:r>
      <w:r>
        <w:rPr>
          <w:lang w:val="es-ES_tradnl"/>
        </w:rPr>
        <w:t>Tomado de la pagina Web de Banco Solidario</w:t>
      </w:r>
    </w:p>
  </w:footnote>
  <w:footnote w:id="9">
    <w:p w:rsidR="000B4BF9" w:rsidRDefault="000B4BF9" w:rsidP="0078606C">
      <w:pPr>
        <w:pStyle w:val="Textonotapie"/>
      </w:pPr>
      <w:r>
        <w:rPr>
          <w:rStyle w:val="Refdenotaalpie"/>
        </w:rPr>
        <w:footnoteRef/>
      </w:r>
      <w:r>
        <w:t xml:space="preserve"> Pagina Web Super. de Bcos.</w:t>
      </w:r>
    </w:p>
  </w:footnote>
  <w:footnote w:id="10">
    <w:p w:rsidR="000B4BF9" w:rsidRPr="00F373BB" w:rsidRDefault="000B4BF9" w:rsidP="0078606C">
      <w:pPr>
        <w:pStyle w:val="Textonotapie"/>
        <w:rPr>
          <w:lang w:val="es-ES_tradnl"/>
        </w:rPr>
      </w:pPr>
      <w:r>
        <w:rPr>
          <w:rStyle w:val="Refdenotaalpie"/>
        </w:rPr>
        <w:footnoteRef/>
      </w:r>
      <w:r>
        <w:t xml:space="preserve"> Principios de Finanzas Corporativas. </w:t>
      </w:r>
      <w:r w:rsidRPr="00F373BB">
        <w:rPr>
          <w:lang w:val="es-ES_tradnl"/>
        </w:rPr>
        <w:t xml:space="preserve">Brealey, R.; Myers, S. 5ta edición McGraw Hill, Pág. 125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E2C"/>
    <w:multiLevelType w:val="multilevel"/>
    <w:tmpl w:val="C7DCC110"/>
    <w:lvl w:ilvl="0">
      <w:start w:val="2"/>
      <w:numFmt w:val="decimal"/>
      <w:lvlText w:val="%1"/>
      <w:lvlJc w:val="left"/>
      <w:pPr>
        <w:tabs>
          <w:tab w:val="num" w:pos="930"/>
        </w:tabs>
        <w:ind w:left="930" w:hanging="930"/>
      </w:pPr>
      <w:rPr>
        <w:rFonts w:hint="default"/>
      </w:rPr>
    </w:lvl>
    <w:lvl w:ilvl="1">
      <w:start w:val="2"/>
      <w:numFmt w:val="decimal"/>
      <w:lvlText w:val="%1.%2"/>
      <w:lvlJc w:val="left"/>
      <w:pPr>
        <w:tabs>
          <w:tab w:val="num" w:pos="1170"/>
        </w:tabs>
        <w:ind w:left="1170" w:hanging="930"/>
      </w:pPr>
      <w:rPr>
        <w:rFonts w:hint="default"/>
      </w:rPr>
    </w:lvl>
    <w:lvl w:ilvl="2">
      <w:start w:val="4"/>
      <w:numFmt w:val="decimal"/>
      <w:lvlText w:val="%1.%2.%3"/>
      <w:lvlJc w:val="left"/>
      <w:pPr>
        <w:tabs>
          <w:tab w:val="num" w:pos="1560"/>
        </w:tabs>
        <w:ind w:left="1560" w:hanging="1080"/>
      </w:pPr>
      <w:rPr>
        <w:rFonts w:hint="default"/>
      </w:rPr>
    </w:lvl>
    <w:lvl w:ilvl="3">
      <w:start w:val="2"/>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4200"/>
        </w:tabs>
        <w:ind w:left="4200" w:hanging="2520"/>
      </w:pPr>
      <w:rPr>
        <w:rFonts w:hint="default"/>
      </w:rPr>
    </w:lvl>
    <w:lvl w:ilvl="8">
      <w:start w:val="1"/>
      <w:numFmt w:val="decimal"/>
      <w:lvlText w:val="%1.%2.%3.%4.%5.%6.%7.%8.%9"/>
      <w:lvlJc w:val="left"/>
      <w:pPr>
        <w:tabs>
          <w:tab w:val="num" w:pos="4800"/>
        </w:tabs>
        <w:ind w:left="4800" w:hanging="2880"/>
      </w:pPr>
      <w:rPr>
        <w:rFonts w:hint="default"/>
      </w:rPr>
    </w:lvl>
  </w:abstractNum>
  <w:abstractNum w:abstractNumId="1">
    <w:nsid w:val="0AED4E95"/>
    <w:multiLevelType w:val="hybridMultilevel"/>
    <w:tmpl w:val="F09E8F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B8455F9"/>
    <w:multiLevelType w:val="multilevel"/>
    <w:tmpl w:val="FDE010AE"/>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2AFE7D27"/>
    <w:multiLevelType w:val="hybridMultilevel"/>
    <w:tmpl w:val="8F2C00A8"/>
    <w:lvl w:ilvl="0" w:tplc="0C0A0005">
      <w:start w:val="1"/>
      <w:numFmt w:val="bullet"/>
      <w:lvlText w:val=""/>
      <w:lvlJc w:val="left"/>
      <w:pPr>
        <w:tabs>
          <w:tab w:val="num" w:pos="1262"/>
        </w:tabs>
        <w:ind w:left="1262" w:hanging="360"/>
      </w:pPr>
      <w:rPr>
        <w:rFonts w:ascii="Wingdings" w:hAnsi="Wingdings" w:hint="default"/>
      </w:rPr>
    </w:lvl>
    <w:lvl w:ilvl="1" w:tplc="0C0A0003" w:tentative="1">
      <w:start w:val="1"/>
      <w:numFmt w:val="bullet"/>
      <w:lvlText w:val="o"/>
      <w:lvlJc w:val="left"/>
      <w:pPr>
        <w:tabs>
          <w:tab w:val="num" w:pos="1982"/>
        </w:tabs>
        <w:ind w:left="1982" w:hanging="360"/>
      </w:pPr>
      <w:rPr>
        <w:rFonts w:ascii="Courier New" w:hAnsi="Courier New" w:cs="Courier New" w:hint="default"/>
      </w:rPr>
    </w:lvl>
    <w:lvl w:ilvl="2" w:tplc="0C0A0005" w:tentative="1">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4">
    <w:nsid w:val="327E35FD"/>
    <w:multiLevelType w:val="hybridMultilevel"/>
    <w:tmpl w:val="F29CE96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F5B3FBB"/>
    <w:multiLevelType w:val="hybridMultilevel"/>
    <w:tmpl w:val="DB282498"/>
    <w:lvl w:ilvl="0" w:tplc="0C0A0005">
      <w:start w:val="1"/>
      <w:numFmt w:val="bullet"/>
      <w:lvlText w:val=""/>
      <w:lvlJc w:val="left"/>
      <w:pPr>
        <w:tabs>
          <w:tab w:val="num" w:pos="1262"/>
        </w:tabs>
        <w:ind w:left="1262" w:hanging="360"/>
      </w:pPr>
      <w:rPr>
        <w:rFonts w:ascii="Wingdings" w:hAnsi="Wingdings" w:hint="default"/>
      </w:rPr>
    </w:lvl>
    <w:lvl w:ilvl="1" w:tplc="0C0A0003" w:tentative="1">
      <w:start w:val="1"/>
      <w:numFmt w:val="bullet"/>
      <w:lvlText w:val="o"/>
      <w:lvlJc w:val="left"/>
      <w:pPr>
        <w:tabs>
          <w:tab w:val="num" w:pos="1982"/>
        </w:tabs>
        <w:ind w:left="1982" w:hanging="360"/>
      </w:pPr>
      <w:rPr>
        <w:rFonts w:ascii="Courier New" w:hAnsi="Courier New" w:cs="Courier New" w:hint="default"/>
      </w:rPr>
    </w:lvl>
    <w:lvl w:ilvl="2" w:tplc="0C0A0005" w:tentative="1">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6">
    <w:nsid w:val="492F6041"/>
    <w:multiLevelType w:val="hybridMultilevel"/>
    <w:tmpl w:val="64DE0790"/>
    <w:lvl w:ilvl="0" w:tplc="0C0A000B">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6C1658B6"/>
    <w:multiLevelType w:val="multilevel"/>
    <w:tmpl w:val="5562F05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035"/>
        </w:tabs>
        <w:ind w:left="1035" w:hanging="855"/>
      </w:pPr>
      <w:rPr>
        <w:rFonts w:hint="default"/>
      </w:rPr>
    </w:lvl>
    <w:lvl w:ilvl="2">
      <w:start w:val="6"/>
      <w:numFmt w:val="decimal"/>
      <w:lvlText w:val="%1.%2.%3"/>
      <w:lvlJc w:val="left"/>
      <w:pPr>
        <w:tabs>
          <w:tab w:val="num" w:pos="1215"/>
        </w:tabs>
        <w:ind w:left="1215" w:hanging="855"/>
      </w:pPr>
      <w:rPr>
        <w:rFonts w:hint="default"/>
      </w:rPr>
    </w:lvl>
    <w:lvl w:ilvl="3">
      <w:start w:val="3"/>
      <w:numFmt w:val="decimal"/>
      <w:lvlText w:val="%1.%2.%3.%4"/>
      <w:lvlJc w:val="left"/>
      <w:pPr>
        <w:tabs>
          <w:tab w:val="num" w:pos="1620"/>
        </w:tabs>
        <w:ind w:left="1620" w:hanging="1080"/>
      </w:pPr>
      <w:rPr>
        <w:rFonts w:hint="default"/>
      </w:rPr>
    </w:lvl>
    <w:lvl w:ilvl="4">
      <w:start w:val="1"/>
      <w:numFmt w:val="decimal"/>
      <w:lvlText w:val="%1.%2.%3.%4"/>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8">
    <w:nsid w:val="6CF83385"/>
    <w:multiLevelType w:val="multilevel"/>
    <w:tmpl w:val="88442314"/>
    <w:lvl w:ilvl="0">
      <w:start w:val="1"/>
      <w:numFmt w:val="decimal"/>
      <w:lvlText w:val="%1"/>
      <w:lvlJc w:val="left"/>
      <w:pPr>
        <w:tabs>
          <w:tab w:val="num" w:pos="840"/>
        </w:tabs>
        <w:ind w:left="840" w:hanging="840"/>
      </w:pPr>
      <w:rPr>
        <w:rFonts w:hint="default"/>
      </w:rPr>
    </w:lvl>
    <w:lvl w:ilvl="1">
      <w:start w:val="3"/>
      <w:numFmt w:val="decimal"/>
      <w:lvlText w:val="%1.%2"/>
      <w:lvlJc w:val="left"/>
      <w:pPr>
        <w:tabs>
          <w:tab w:val="num" w:pos="1110"/>
        </w:tabs>
        <w:ind w:left="1110" w:hanging="840"/>
      </w:pPr>
      <w:rPr>
        <w:rFonts w:hint="default"/>
      </w:rPr>
    </w:lvl>
    <w:lvl w:ilvl="2">
      <w:start w:val="2"/>
      <w:numFmt w:val="decimal"/>
      <w:lvlText w:val="%1.%2.%3"/>
      <w:lvlJc w:val="left"/>
      <w:pPr>
        <w:tabs>
          <w:tab w:val="num" w:pos="1620"/>
        </w:tabs>
        <w:ind w:left="1620" w:hanging="1080"/>
      </w:pPr>
      <w:rPr>
        <w:rFonts w:hint="default"/>
      </w:rPr>
    </w:lvl>
    <w:lvl w:ilvl="3">
      <w:start w:val="1"/>
      <w:numFmt w:val="decimal"/>
      <w:lvlText w:val="%1.%2.%3.%4"/>
      <w:lvlJc w:val="left"/>
      <w:pPr>
        <w:tabs>
          <w:tab w:val="num" w:pos="2250"/>
        </w:tabs>
        <w:ind w:left="2250" w:hanging="144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780"/>
        </w:tabs>
        <w:ind w:left="3780" w:hanging="2160"/>
      </w:pPr>
      <w:rPr>
        <w:rFonts w:hint="default"/>
      </w:rPr>
    </w:lvl>
    <w:lvl w:ilvl="7">
      <w:start w:val="1"/>
      <w:numFmt w:val="decimal"/>
      <w:lvlText w:val="%1.%2.%3.%4.%5.%6.%7.%8"/>
      <w:lvlJc w:val="left"/>
      <w:pPr>
        <w:tabs>
          <w:tab w:val="num" w:pos="4410"/>
        </w:tabs>
        <w:ind w:left="4410" w:hanging="2520"/>
      </w:pPr>
      <w:rPr>
        <w:rFonts w:hint="default"/>
      </w:rPr>
    </w:lvl>
    <w:lvl w:ilvl="8">
      <w:start w:val="1"/>
      <w:numFmt w:val="decimal"/>
      <w:lvlText w:val="%1.%2.%3.%4.%5.%6.%7.%8.%9"/>
      <w:lvlJc w:val="left"/>
      <w:pPr>
        <w:tabs>
          <w:tab w:val="num" w:pos="5040"/>
        </w:tabs>
        <w:ind w:left="5040" w:hanging="2880"/>
      </w:pPr>
      <w:rPr>
        <w:rFonts w:hint="default"/>
      </w:rPr>
    </w:lvl>
  </w:abstractNum>
  <w:abstractNum w:abstractNumId="9">
    <w:nsid w:val="6FB672A1"/>
    <w:multiLevelType w:val="hybridMultilevel"/>
    <w:tmpl w:val="2CC853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8AC38C9"/>
    <w:multiLevelType w:val="multilevel"/>
    <w:tmpl w:val="8EDE5F1A"/>
    <w:lvl w:ilvl="0">
      <w:start w:val="2"/>
      <w:numFmt w:val="decimal"/>
      <w:lvlText w:val="%1"/>
      <w:lvlJc w:val="left"/>
      <w:pPr>
        <w:tabs>
          <w:tab w:val="num" w:pos="1095"/>
        </w:tabs>
        <w:ind w:left="1095" w:hanging="1095"/>
      </w:pPr>
      <w:rPr>
        <w:rFonts w:hint="default"/>
      </w:rPr>
    </w:lvl>
    <w:lvl w:ilvl="1">
      <w:start w:val="2"/>
      <w:numFmt w:val="decimal"/>
      <w:lvlText w:val="%1.%2"/>
      <w:lvlJc w:val="left"/>
      <w:pPr>
        <w:tabs>
          <w:tab w:val="num" w:pos="1274"/>
        </w:tabs>
        <w:ind w:left="1274" w:hanging="1095"/>
      </w:pPr>
      <w:rPr>
        <w:rFonts w:hint="default"/>
      </w:rPr>
    </w:lvl>
    <w:lvl w:ilvl="2">
      <w:start w:val="6"/>
      <w:numFmt w:val="decimal"/>
      <w:lvlText w:val="%1.%2.%3"/>
      <w:lvlJc w:val="left"/>
      <w:pPr>
        <w:tabs>
          <w:tab w:val="num" w:pos="1453"/>
        </w:tabs>
        <w:ind w:left="1453" w:hanging="1095"/>
      </w:pPr>
      <w:rPr>
        <w:rFonts w:hint="default"/>
      </w:rPr>
    </w:lvl>
    <w:lvl w:ilvl="3">
      <w:start w:val="2"/>
      <w:numFmt w:val="decimal"/>
      <w:lvlText w:val="%1.%2.%3.%4"/>
      <w:lvlJc w:val="left"/>
      <w:pPr>
        <w:tabs>
          <w:tab w:val="num" w:pos="1977"/>
        </w:tabs>
        <w:ind w:left="1977" w:hanging="1440"/>
      </w:pPr>
      <w:rPr>
        <w:rFonts w:hint="default"/>
      </w:rPr>
    </w:lvl>
    <w:lvl w:ilvl="4">
      <w:start w:val="1"/>
      <w:numFmt w:val="decimal"/>
      <w:lvlText w:val="%1.%2.%3.%4.%5"/>
      <w:lvlJc w:val="left"/>
      <w:pPr>
        <w:tabs>
          <w:tab w:val="num" w:pos="2156"/>
        </w:tabs>
        <w:ind w:left="2156" w:hanging="1440"/>
      </w:pPr>
      <w:rPr>
        <w:rFonts w:hint="default"/>
      </w:rPr>
    </w:lvl>
    <w:lvl w:ilvl="5">
      <w:start w:val="1"/>
      <w:numFmt w:val="decimal"/>
      <w:lvlText w:val="%1.%2.%3.%4.%5.%6"/>
      <w:lvlJc w:val="left"/>
      <w:pPr>
        <w:tabs>
          <w:tab w:val="num" w:pos="2695"/>
        </w:tabs>
        <w:ind w:left="2695" w:hanging="1800"/>
      </w:pPr>
      <w:rPr>
        <w:rFonts w:hint="default"/>
      </w:rPr>
    </w:lvl>
    <w:lvl w:ilvl="6">
      <w:start w:val="1"/>
      <w:numFmt w:val="decimal"/>
      <w:lvlText w:val="%1.%2.%3.%4.%5.%6.%7"/>
      <w:lvlJc w:val="left"/>
      <w:pPr>
        <w:tabs>
          <w:tab w:val="num" w:pos="3234"/>
        </w:tabs>
        <w:ind w:left="3234" w:hanging="2160"/>
      </w:pPr>
      <w:rPr>
        <w:rFonts w:hint="default"/>
      </w:rPr>
    </w:lvl>
    <w:lvl w:ilvl="7">
      <w:start w:val="1"/>
      <w:numFmt w:val="decimal"/>
      <w:lvlText w:val="%1.%2.%3.%4.%5.%6.%7.%8"/>
      <w:lvlJc w:val="left"/>
      <w:pPr>
        <w:tabs>
          <w:tab w:val="num" w:pos="3773"/>
        </w:tabs>
        <w:ind w:left="3773" w:hanging="2520"/>
      </w:pPr>
      <w:rPr>
        <w:rFonts w:hint="default"/>
      </w:rPr>
    </w:lvl>
    <w:lvl w:ilvl="8">
      <w:start w:val="1"/>
      <w:numFmt w:val="decimal"/>
      <w:lvlText w:val="%1.%2.%3.%4.%5.%6.%7.%8.%9"/>
      <w:lvlJc w:val="left"/>
      <w:pPr>
        <w:tabs>
          <w:tab w:val="num" w:pos="4312"/>
        </w:tabs>
        <w:ind w:left="4312" w:hanging="2880"/>
      </w:pPr>
      <w:rPr>
        <w:rFonts w:hint="default"/>
      </w:rPr>
    </w:lvl>
  </w:abstractNum>
  <w:abstractNum w:abstractNumId="11">
    <w:nsid w:val="792C636C"/>
    <w:multiLevelType w:val="hybridMultilevel"/>
    <w:tmpl w:val="E7B0CD6C"/>
    <w:lvl w:ilvl="0" w:tplc="0C0A0005">
      <w:start w:val="1"/>
      <w:numFmt w:val="bullet"/>
      <w:lvlText w:val=""/>
      <w:lvlJc w:val="left"/>
      <w:pPr>
        <w:tabs>
          <w:tab w:val="num" w:pos="1262"/>
        </w:tabs>
        <w:ind w:left="1262" w:hanging="360"/>
      </w:pPr>
      <w:rPr>
        <w:rFonts w:ascii="Wingdings" w:hAnsi="Wingdings" w:hint="default"/>
      </w:rPr>
    </w:lvl>
    <w:lvl w:ilvl="1" w:tplc="0C0A0003" w:tentative="1">
      <w:start w:val="1"/>
      <w:numFmt w:val="bullet"/>
      <w:lvlText w:val="o"/>
      <w:lvlJc w:val="left"/>
      <w:pPr>
        <w:tabs>
          <w:tab w:val="num" w:pos="1982"/>
        </w:tabs>
        <w:ind w:left="1982" w:hanging="360"/>
      </w:pPr>
      <w:rPr>
        <w:rFonts w:ascii="Courier New" w:hAnsi="Courier New" w:cs="Courier New" w:hint="default"/>
      </w:rPr>
    </w:lvl>
    <w:lvl w:ilvl="2" w:tplc="0C0A0005" w:tentative="1">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cs="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cs="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12">
    <w:nsid w:val="7F400AD5"/>
    <w:multiLevelType w:val="hybridMultilevel"/>
    <w:tmpl w:val="8656F6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6"/>
  </w:num>
  <w:num w:numId="6">
    <w:abstractNumId w:val="10"/>
  </w:num>
  <w:num w:numId="7">
    <w:abstractNumId w:val="2"/>
  </w:num>
  <w:num w:numId="8">
    <w:abstractNumId w:val="12"/>
  </w:num>
  <w:num w:numId="9">
    <w:abstractNumId w:val="4"/>
  </w:num>
  <w:num w:numId="10">
    <w:abstractNumId w:val="1"/>
  </w:num>
  <w:num w:numId="11">
    <w:abstractNumId w:val="9"/>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71424"/>
    <w:rsid w:val="00005BA2"/>
    <w:rsid w:val="00006ACE"/>
    <w:rsid w:val="00020229"/>
    <w:rsid w:val="00021E23"/>
    <w:rsid w:val="00025A1E"/>
    <w:rsid w:val="000417FB"/>
    <w:rsid w:val="000518A4"/>
    <w:rsid w:val="00052EA2"/>
    <w:rsid w:val="00053FF4"/>
    <w:rsid w:val="00055AB3"/>
    <w:rsid w:val="00062F8E"/>
    <w:rsid w:val="0006704B"/>
    <w:rsid w:val="00085330"/>
    <w:rsid w:val="000A56DB"/>
    <w:rsid w:val="000B4BF9"/>
    <w:rsid w:val="000C3444"/>
    <w:rsid w:val="000D5369"/>
    <w:rsid w:val="000D6AA4"/>
    <w:rsid w:val="000E1FA6"/>
    <w:rsid w:val="000E524F"/>
    <w:rsid w:val="000F58A1"/>
    <w:rsid w:val="000F796F"/>
    <w:rsid w:val="00100CF4"/>
    <w:rsid w:val="00102ABE"/>
    <w:rsid w:val="00117EC0"/>
    <w:rsid w:val="00131AFB"/>
    <w:rsid w:val="00134258"/>
    <w:rsid w:val="00136794"/>
    <w:rsid w:val="001370E6"/>
    <w:rsid w:val="00137D30"/>
    <w:rsid w:val="00137F4E"/>
    <w:rsid w:val="00142AD4"/>
    <w:rsid w:val="00167A06"/>
    <w:rsid w:val="00176A40"/>
    <w:rsid w:val="001835AA"/>
    <w:rsid w:val="001A330B"/>
    <w:rsid w:val="001A5829"/>
    <w:rsid w:val="001C7655"/>
    <w:rsid w:val="001D7B31"/>
    <w:rsid w:val="001E1F90"/>
    <w:rsid w:val="001E514B"/>
    <w:rsid w:val="001E7EDF"/>
    <w:rsid w:val="001F2A34"/>
    <w:rsid w:val="00202908"/>
    <w:rsid w:val="00204764"/>
    <w:rsid w:val="0020556A"/>
    <w:rsid w:val="002179B2"/>
    <w:rsid w:val="00233386"/>
    <w:rsid w:val="002337D7"/>
    <w:rsid w:val="002361BA"/>
    <w:rsid w:val="00250028"/>
    <w:rsid w:val="00265D9E"/>
    <w:rsid w:val="002703F1"/>
    <w:rsid w:val="0029361E"/>
    <w:rsid w:val="00293959"/>
    <w:rsid w:val="00293F7D"/>
    <w:rsid w:val="002A7E97"/>
    <w:rsid w:val="002B170A"/>
    <w:rsid w:val="002B2F25"/>
    <w:rsid w:val="002B50DC"/>
    <w:rsid w:val="002C5871"/>
    <w:rsid w:val="002D0445"/>
    <w:rsid w:val="002D0B85"/>
    <w:rsid w:val="002E300B"/>
    <w:rsid w:val="002F3875"/>
    <w:rsid w:val="002F4504"/>
    <w:rsid w:val="00305C6A"/>
    <w:rsid w:val="00310FC7"/>
    <w:rsid w:val="00312975"/>
    <w:rsid w:val="00336B7E"/>
    <w:rsid w:val="003509AD"/>
    <w:rsid w:val="00352132"/>
    <w:rsid w:val="00354133"/>
    <w:rsid w:val="003573B5"/>
    <w:rsid w:val="00377A48"/>
    <w:rsid w:val="00382215"/>
    <w:rsid w:val="00384CD3"/>
    <w:rsid w:val="00385A8B"/>
    <w:rsid w:val="0038695D"/>
    <w:rsid w:val="0039460B"/>
    <w:rsid w:val="003A0C6C"/>
    <w:rsid w:val="003A2BD5"/>
    <w:rsid w:val="003A3C8F"/>
    <w:rsid w:val="003B6829"/>
    <w:rsid w:val="003C271C"/>
    <w:rsid w:val="003D0D46"/>
    <w:rsid w:val="004046B8"/>
    <w:rsid w:val="004048FD"/>
    <w:rsid w:val="00413232"/>
    <w:rsid w:val="0041327A"/>
    <w:rsid w:val="00414B2F"/>
    <w:rsid w:val="00430529"/>
    <w:rsid w:val="004338D4"/>
    <w:rsid w:val="00436A83"/>
    <w:rsid w:val="004732BE"/>
    <w:rsid w:val="00474CFC"/>
    <w:rsid w:val="00492D9F"/>
    <w:rsid w:val="004A2662"/>
    <w:rsid w:val="004C22D9"/>
    <w:rsid w:val="004C6CB4"/>
    <w:rsid w:val="004F63AA"/>
    <w:rsid w:val="00512D18"/>
    <w:rsid w:val="00527499"/>
    <w:rsid w:val="005324BA"/>
    <w:rsid w:val="00533E33"/>
    <w:rsid w:val="005455E8"/>
    <w:rsid w:val="00550F6C"/>
    <w:rsid w:val="00564A4B"/>
    <w:rsid w:val="005776DB"/>
    <w:rsid w:val="005809E6"/>
    <w:rsid w:val="00582A88"/>
    <w:rsid w:val="005870E0"/>
    <w:rsid w:val="00587458"/>
    <w:rsid w:val="0059026A"/>
    <w:rsid w:val="005A1C21"/>
    <w:rsid w:val="005A4C73"/>
    <w:rsid w:val="005B4A19"/>
    <w:rsid w:val="005E50F2"/>
    <w:rsid w:val="005E6E40"/>
    <w:rsid w:val="005F6680"/>
    <w:rsid w:val="005F730F"/>
    <w:rsid w:val="006054D4"/>
    <w:rsid w:val="006060B8"/>
    <w:rsid w:val="00647766"/>
    <w:rsid w:val="0065532E"/>
    <w:rsid w:val="00671424"/>
    <w:rsid w:val="0067447F"/>
    <w:rsid w:val="006A3867"/>
    <w:rsid w:val="006B3C1C"/>
    <w:rsid w:val="006B3F28"/>
    <w:rsid w:val="006D3445"/>
    <w:rsid w:val="006D7035"/>
    <w:rsid w:val="006E31FF"/>
    <w:rsid w:val="006E4D3B"/>
    <w:rsid w:val="006F71E7"/>
    <w:rsid w:val="00701F4B"/>
    <w:rsid w:val="00713D29"/>
    <w:rsid w:val="00722B52"/>
    <w:rsid w:val="00725A07"/>
    <w:rsid w:val="00727E7B"/>
    <w:rsid w:val="007307CD"/>
    <w:rsid w:val="007316F5"/>
    <w:rsid w:val="0073733F"/>
    <w:rsid w:val="0078606C"/>
    <w:rsid w:val="00791B0A"/>
    <w:rsid w:val="007A0F47"/>
    <w:rsid w:val="007A4A16"/>
    <w:rsid w:val="007C21B7"/>
    <w:rsid w:val="007C37B6"/>
    <w:rsid w:val="007C3886"/>
    <w:rsid w:val="007D03D2"/>
    <w:rsid w:val="007E0F27"/>
    <w:rsid w:val="007F0593"/>
    <w:rsid w:val="007F0A1F"/>
    <w:rsid w:val="007F3341"/>
    <w:rsid w:val="007F496D"/>
    <w:rsid w:val="00801FB7"/>
    <w:rsid w:val="00804DE3"/>
    <w:rsid w:val="00814A52"/>
    <w:rsid w:val="00820403"/>
    <w:rsid w:val="008311AF"/>
    <w:rsid w:val="0083327E"/>
    <w:rsid w:val="008333A5"/>
    <w:rsid w:val="00843236"/>
    <w:rsid w:val="00844286"/>
    <w:rsid w:val="00873D13"/>
    <w:rsid w:val="00882297"/>
    <w:rsid w:val="008928D0"/>
    <w:rsid w:val="008B4698"/>
    <w:rsid w:val="008C720B"/>
    <w:rsid w:val="008D4039"/>
    <w:rsid w:val="008D464E"/>
    <w:rsid w:val="008D798C"/>
    <w:rsid w:val="008E32B5"/>
    <w:rsid w:val="008F7D54"/>
    <w:rsid w:val="00900CE4"/>
    <w:rsid w:val="00910837"/>
    <w:rsid w:val="0091615C"/>
    <w:rsid w:val="0091752B"/>
    <w:rsid w:val="009220BE"/>
    <w:rsid w:val="00931D78"/>
    <w:rsid w:val="009322F0"/>
    <w:rsid w:val="009330F5"/>
    <w:rsid w:val="009514B5"/>
    <w:rsid w:val="009617F1"/>
    <w:rsid w:val="00970AF7"/>
    <w:rsid w:val="00970B61"/>
    <w:rsid w:val="0098408B"/>
    <w:rsid w:val="009942DD"/>
    <w:rsid w:val="009A10F5"/>
    <w:rsid w:val="009A3872"/>
    <w:rsid w:val="009B3736"/>
    <w:rsid w:val="009B7DD0"/>
    <w:rsid w:val="009D0E77"/>
    <w:rsid w:val="009F0E15"/>
    <w:rsid w:val="00A03916"/>
    <w:rsid w:val="00A22178"/>
    <w:rsid w:val="00A22F87"/>
    <w:rsid w:val="00A314EB"/>
    <w:rsid w:val="00A4634C"/>
    <w:rsid w:val="00A5212D"/>
    <w:rsid w:val="00A536D6"/>
    <w:rsid w:val="00A558B2"/>
    <w:rsid w:val="00A571E6"/>
    <w:rsid w:val="00A70893"/>
    <w:rsid w:val="00A7701D"/>
    <w:rsid w:val="00A82A1D"/>
    <w:rsid w:val="00A86D73"/>
    <w:rsid w:val="00A87412"/>
    <w:rsid w:val="00A9321A"/>
    <w:rsid w:val="00AA5526"/>
    <w:rsid w:val="00AB73A7"/>
    <w:rsid w:val="00AC070D"/>
    <w:rsid w:val="00AC20D1"/>
    <w:rsid w:val="00AC46A3"/>
    <w:rsid w:val="00AD2905"/>
    <w:rsid w:val="00AD50AC"/>
    <w:rsid w:val="00AE1E15"/>
    <w:rsid w:val="00AE3076"/>
    <w:rsid w:val="00AF0259"/>
    <w:rsid w:val="00B23B1A"/>
    <w:rsid w:val="00B30FDF"/>
    <w:rsid w:val="00B36530"/>
    <w:rsid w:val="00B634CB"/>
    <w:rsid w:val="00B652EF"/>
    <w:rsid w:val="00B71F03"/>
    <w:rsid w:val="00B72FD6"/>
    <w:rsid w:val="00B819B3"/>
    <w:rsid w:val="00B8634F"/>
    <w:rsid w:val="00B91F72"/>
    <w:rsid w:val="00B95282"/>
    <w:rsid w:val="00B96B39"/>
    <w:rsid w:val="00BA6791"/>
    <w:rsid w:val="00BB1432"/>
    <w:rsid w:val="00BB3099"/>
    <w:rsid w:val="00BC4902"/>
    <w:rsid w:val="00BD2798"/>
    <w:rsid w:val="00BD450F"/>
    <w:rsid w:val="00C051D3"/>
    <w:rsid w:val="00C129FC"/>
    <w:rsid w:val="00C16E11"/>
    <w:rsid w:val="00C2108C"/>
    <w:rsid w:val="00C30F68"/>
    <w:rsid w:val="00C41994"/>
    <w:rsid w:val="00C75FD6"/>
    <w:rsid w:val="00C81EE6"/>
    <w:rsid w:val="00C82E91"/>
    <w:rsid w:val="00CA4E87"/>
    <w:rsid w:val="00CB1C79"/>
    <w:rsid w:val="00CC0202"/>
    <w:rsid w:val="00CC1BB8"/>
    <w:rsid w:val="00CC3BA4"/>
    <w:rsid w:val="00CE0BC5"/>
    <w:rsid w:val="00CE13E0"/>
    <w:rsid w:val="00CE5EC1"/>
    <w:rsid w:val="00D27C60"/>
    <w:rsid w:val="00D3351F"/>
    <w:rsid w:val="00D41289"/>
    <w:rsid w:val="00D45E87"/>
    <w:rsid w:val="00D60450"/>
    <w:rsid w:val="00D80CC1"/>
    <w:rsid w:val="00DA1679"/>
    <w:rsid w:val="00DA2F21"/>
    <w:rsid w:val="00DC58DE"/>
    <w:rsid w:val="00DD5C28"/>
    <w:rsid w:val="00DE076E"/>
    <w:rsid w:val="00DE5FB7"/>
    <w:rsid w:val="00DF18A4"/>
    <w:rsid w:val="00E0220D"/>
    <w:rsid w:val="00E138BA"/>
    <w:rsid w:val="00E414C8"/>
    <w:rsid w:val="00E419C2"/>
    <w:rsid w:val="00E42E49"/>
    <w:rsid w:val="00E82109"/>
    <w:rsid w:val="00E9423A"/>
    <w:rsid w:val="00EA5529"/>
    <w:rsid w:val="00EB2CDB"/>
    <w:rsid w:val="00ED2093"/>
    <w:rsid w:val="00ED54B0"/>
    <w:rsid w:val="00EE1BC1"/>
    <w:rsid w:val="00F03964"/>
    <w:rsid w:val="00F15B35"/>
    <w:rsid w:val="00F1677E"/>
    <w:rsid w:val="00F21CBB"/>
    <w:rsid w:val="00F304B1"/>
    <w:rsid w:val="00F37483"/>
    <w:rsid w:val="00F523AD"/>
    <w:rsid w:val="00F52FFD"/>
    <w:rsid w:val="00F60375"/>
    <w:rsid w:val="00F625FD"/>
    <w:rsid w:val="00F708E6"/>
    <w:rsid w:val="00F70E60"/>
    <w:rsid w:val="00F71614"/>
    <w:rsid w:val="00F74D3C"/>
    <w:rsid w:val="00F86EEE"/>
    <w:rsid w:val="00F87A63"/>
    <w:rsid w:val="00F87F5B"/>
    <w:rsid w:val="00F92429"/>
    <w:rsid w:val="00F97720"/>
    <w:rsid w:val="00FA1084"/>
    <w:rsid w:val="00FA2C11"/>
    <w:rsid w:val="00FA3FA5"/>
    <w:rsid w:val="00FA4985"/>
    <w:rsid w:val="00FB009F"/>
    <w:rsid w:val="00FC7B6C"/>
    <w:rsid w:val="00FD21C2"/>
    <w:rsid w:val="00FD3661"/>
    <w:rsid w:val="00FD4303"/>
    <w:rsid w:val="00FD5C1E"/>
    <w:rsid w:val="00FD6E5F"/>
    <w:rsid w:val="00FE1B80"/>
    <w:rsid w:val="00FE2E86"/>
    <w:rsid w:val="00FF182A"/>
    <w:rsid w:val="00FF35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671424"/>
    <w:rPr>
      <w:rFonts w:eastAsia="MS Mincho"/>
      <w:sz w:val="20"/>
      <w:szCs w:val="20"/>
      <w:lang w:val="es-ES" w:eastAsia="es-ES"/>
    </w:rPr>
  </w:style>
  <w:style w:type="character" w:styleId="Refdenotaalpie">
    <w:name w:val="footnote reference"/>
    <w:basedOn w:val="Fuentedeprrafopredeter"/>
    <w:semiHidden/>
    <w:rsid w:val="00671424"/>
    <w:rPr>
      <w:vertAlign w:val="superscript"/>
    </w:rPr>
  </w:style>
  <w:style w:type="paragraph" w:customStyle="1" w:styleId="NormalVerdana">
    <w:name w:val="Normal + Verdana"/>
    <w:aliases w:val="14 pt,Negrita,Centrado,Interlineado:  1,5 líneas"/>
    <w:basedOn w:val="Normal"/>
    <w:rsid w:val="00671424"/>
    <w:pPr>
      <w:tabs>
        <w:tab w:val="left" w:pos="1080"/>
        <w:tab w:val="left" w:pos="8640"/>
      </w:tabs>
      <w:spacing w:before="120" w:line="360" w:lineRule="auto"/>
      <w:ind w:left="540" w:hanging="540"/>
      <w:jc w:val="both"/>
    </w:pPr>
    <w:rPr>
      <w:rFonts w:ascii="Verdana" w:eastAsia="MS Mincho" w:hAnsi="Verdana"/>
      <w:b/>
      <w:lang w:val="es-ES" w:eastAsia="es-ES"/>
    </w:rPr>
  </w:style>
  <w:style w:type="table" w:styleId="Tablaconcuadrcula">
    <w:name w:val="Table Grid"/>
    <w:basedOn w:val="Tablanormal"/>
    <w:rsid w:val="00FA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54133"/>
    <w:pPr>
      <w:tabs>
        <w:tab w:val="center" w:pos="4252"/>
        <w:tab w:val="right" w:pos="8504"/>
      </w:tabs>
    </w:pPr>
  </w:style>
  <w:style w:type="paragraph" w:styleId="Piedepgina">
    <w:name w:val="footer"/>
    <w:basedOn w:val="Normal"/>
    <w:rsid w:val="00354133"/>
    <w:pPr>
      <w:tabs>
        <w:tab w:val="center" w:pos="4252"/>
        <w:tab w:val="right" w:pos="8504"/>
      </w:tabs>
    </w:pPr>
  </w:style>
  <w:style w:type="character" w:styleId="Nmerodepgina">
    <w:name w:val="page number"/>
    <w:basedOn w:val="Fuentedeprrafopredeter"/>
    <w:rsid w:val="00354133"/>
  </w:style>
  <w:style w:type="character" w:styleId="Hipervnculo">
    <w:name w:val="Hyperlink"/>
    <w:basedOn w:val="Fuentedeprrafopredeter"/>
    <w:rsid w:val="00D80CC1"/>
    <w:rPr>
      <w:color w:val="0000FF"/>
      <w:u w:val="single"/>
    </w:rPr>
  </w:style>
  <w:style w:type="paragraph" w:styleId="HTMLconformatoprevio">
    <w:name w:val="HTML Preformatted"/>
    <w:basedOn w:val="Normal"/>
    <w:rsid w:val="0054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38018687">
      <w:bodyDiv w:val="1"/>
      <w:marLeft w:val="0"/>
      <w:marRight w:val="0"/>
      <w:marTop w:val="0"/>
      <w:marBottom w:val="0"/>
      <w:divBdr>
        <w:top w:val="none" w:sz="0" w:space="0" w:color="auto"/>
        <w:left w:val="none" w:sz="0" w:space="0" w:color="auto"/>
        <w:bottom w:val="none" w:sz="0" w:space="0" w:color="auto"/>
        <w:right w:val="none" w:sz="0" w:space="0" w:color="auto"/>
      </w:divBdr>
      <w:divsChild>
        <w:div w:id="1165363311">
          <w:marLeft w:val="0"/>
          <w:marRight w:val="0"/>
          <w:marTop w:val="0"/>
          <w:marBottom w:val="0"/>
          <w:divBdr>
            <w:top w:val="none" w:sz="0" w:space="0" w:color="auto"/>
            <w:left w:val="none" w:sz="0" w:space="0" w:color="auto"/>
            <w:bottom w:val="none" w:sz="0" w:space="0" w:color="auto"/>
            <w:right w:val="none" w:sz="0" w:space="0" w:color="auto"/>
          </w:divBdr>
          <w:divsChild>
            <w:div w:id="844370140">
              <w:marLeft w:val="0"/>
              <w:marRight w:val="0"/>
              <w:marTop w:val="0"/>
              <w:marBottom w:val="0"/>
              <w:divBdr>
                <w:top w:val="none" w:sz="0" w:space="0" w:color="auto"/>
                <w:left w:val="none" w:sz="0" w:space="0" w:color="auto"/>
                <w:bottom w:val="none" w:sz="0" w:space="0" w:color="auto"/>
                <w:right w:val="none" w:sz="0" w:space="0" w:color="auto"/>
              </w:divBdr>
              <w:divsChild>
                <w:div w:id="1744792148">
                  <w:marLeft w:val="0"/>
                  <w:marRight w:val="0"/>
                  <w:marTop w:val="0"/>
                  <w:marBottom w:val="0"/>
                  <w:divBdr>
                    <w:top w:val="none" w:sz="0" w:space="0" w:color="auto"/>
                    <w:left w:val="none" w:sz="0" w:space="0" w:color="auto"/>
                    <w:bottom w:val="none" w:sz="0" w:space="0" w:color="auto"/>
                    <w:right w:val="none" w:sz="0" w:space="0" w:color="auto"/>
                  </w:divBdr>
                  <w:divsChild>
                    <w:div w:id="4475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3137">
      <w:bodyDiv w:val="1"/>
      <w:marLeft w:val="0"/>
      <w:marRight w:val="0"/>
      <w:marTop w:val="0"/>
      <w:marBottom w:val="0"/>
      <w:divBdr>
        <w:top w:val="none" w:sz="0" w:space="0" w:color="auto"/>
        <w:left w:val="none" w:sz="0" w:space="0" w:color="auto"/>
        <w:bottom w:val="none" w:sz="0" w:space="0" w:color="auto"/>
        <w:right w:val="none" w:sz="0" w:space="0" w:color="auto"/>
      </w:divBdr>
    </w:div>
    <w:div w:id="277178214">
      <w:bodyDiv w:val="1"/>
      <w:marLeft w:val="0"/>
      <w:marRight w:val="0"/>
      <w:marTop w:val="0"/>
      <w:marBottom w:val="0"/>
      <w:divBdr>
        <w:top w:val="none" w:sz="0" w:space="0" w:color="auto"/>
        <w:left w:val="none" w:sz="0" w:space="0" w:color="auto"/>
        <w:bottom w:val="none" w:sz="0" w:space="0" w:color="auto"/>
        <w:right w:val="none" w:sz="0" w:space="0" w:color="auto"/>
      </w:divBdr>
    </w:div>
    <w:div w:id="406541905">
      <w:bodyDiv w:val="1"/>
      <w:marLeft w:val="0"/>
      <w:marRight w:val="0"/>
      <w:marTop w:val="0"/>
      <w:marBottom w:val="0"/>
      <w:divBdr>
        <w:top w:val="none" w:sz="0" w:space="0" w:color="auto"/>
        <w:left w:val="none" w:sz="0" w:space="0" w:color="auto"/>
        <w:bottom w:val="none" w:sz="0" w:space="0" w:color="auto"/>
        <w:right w:val="none" w:sz="0" w:space="0" w:color="auto"/>
      </w:divBdr>
      <w:divsChild>
        <w:div w:id="626279429">
          <w:marLeft w:val="0"/>
          <w:marRight w:val="0"/>
          <w:marTop w:val="0"/>
          <w:marBottom w:val="0"/>
          <w:divBdr>
            <w:top w:val="none" w:sz="0" w:space="0" w:color="auto"/>
            <w:left w:val="none" w:sz="0" w:space="0" w:color="auto"/>
            <w:bottom w:val="none" w:sz="0" w:space="0" w:color="auto"/>
            <w:right w:val="none" w:sz="0" w:space="0" w:color="auto"/>
          </w:divBdr>
          <w:divsChild>
            <w:div w:id="59839130">
              <w:marLeft w:val="0"/>
              <w:marRight w:val="0"/>
              <w:marTop w:val="0"/>
              <w:marBottom w:val="0"/>
              <w:divBdr>
                <w:top w:val="none" w:sz="0" w:space="0" w:color="auto"/>
                <w:left w:val="none" w:sz="0" w:space="0" w:color="auto"/>
                <w:bottom w:val="none" w:sz="0" w:space="0" w:color="auto"/>
                <w:right w:val="none" w:sz="0" w:space="0" w:color="auto"/>
              </w:divBdr>
              <w:divsChild>
                <w:div w:id="1064449018">
                  <w:marLeft w:val="0"/>
                  <w:marRight w:val="0"/>
                  <w:marTop w:val="0"/>
                  <w:marBottom w:val="0"/>
                  <w:divBdr>
                    <w:top w:val="none" w:sz="0" w:space="0" w:color="auto"/>
                    <w:left w:val="none" w:sz="0" w:space="0" w:color="auto"/>
                    <w:bottom w:val="none" w:sz="0" w:space="0" w:color="auto"/>
                    <w:right w:val="none" w:sz="0" w:space="0" w:color="auto"/>
                  </w:divBdr>
                  <w:divsChild>
                    <w:div w:id="868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3517">
      <w:bodyDiv w:val="1"/>
      <w:marLeft w:val="0"/>
      <w:marRight w:val="0"/>
      <w:marTop w:val="0"/>
      <w:marBottom w:val="0"/>
      <w:divBdr>
        <w:top w:val="none" w:sz="0" w:space="0" w:color="auto"/>
        <w:left w:val="none" w:sz="0" w:space="0" w:color="auto"/>
        <w:bottom w:val="none" w:sz="0" w:space="0" w:color="auto"/>
        <w:right w:val="none" w:sz="0" w:space="0" w:color="auto"/>
      </w:divBdr>
    </w:div>
    <w:div w:id="1002585164">
      <w:bodyDiv w:val="1"/>
      <w:marLeft w:val="0"/>
      <w:marRight w:val="0"/>
      <w:marTop w:val="0"/>
      <w:marBottom w:val="0"/>
      <w:divBdr>
        <w:top w:val="none" w:sz="0" w:space="0" w:color="auto"/>
        <w:left w:val="none" w:sz="0" w:space="0" w:color="auto"/>
        <w:bottom w:val="none" w:sz="0" w:space="0" w:color="auto"/>
        <w:right w:val="none" w:sz="0" w:space="0" w:color="auto"/>
      </w:divBdr>
    </w:div>
    <w:div w:id="1013654191">
      <w:bodyDiv w:val="1"/>
      <w:marLeft w:val="0"/>
      <w:marRight w:val="0"/>
      <w:marTop w:val="0"/>
      <w:marBottom w:val="0"/>
      <w:divBdr>
        <w:top w:val="none" w:sz="0" w:space="0" w:color="auto"/>
        <w:left w:val="none" w:sz="0" w:space="0" w:color="auto"/>
        <w:bottom w:val="none" w:sz="0" w:space="0" w:color="auto"/>
        <w:right w:val="none" w:sz="0" w:space="0" w:color="auto"/>
      </w:divBdr>
    </w:div>
    <w:div w:id="1246305082">
      <w:bodyDiv w:val="1"/>
      <w:marLeft w:val="0"/>
      <w:marRight w:val="0"/>
      <w:marTop w:val="0"/>
      <w:marBottom w:val="0"/>
      <w:divBdr>
        <w:top w:val="none" w:sz="0" w:space="0" w:color="auto"/>
        <w:left w:val="none" w:sz="0" w:space="0" w:color="auto"/>
        <w:bottom w:val="none" w:sz="0" w:space="0" w:color="auto"/>
        <w:right w:val="none" w:sz="0" w:space="0" w:color="auto"/>
      </w:divBdr>
      <w:divsChild>
        <w:div w:id="765466184">
          <w:marLeft w:val="0"/>
          <w:marRight w:val="0"/>
          <w:marTop w:val="0"/>
          <w:marBottom w:val="0"/>
          <w:divBdr>
            <w:top w:val="none" w:sz="0" w:space="0" w:color="auto"/>
            <w:left w:val="none" w:sz="0" w:space="0" w:color="auto"/>
            <w:bottom w:val="none" w:sz="0" w:space="0" w:color="auto"/>
            <w:right w:val="none" w:sz="0" w:space="0" w:color="auto"/>
          </w:divBdr>
          <w:divsChild>
            <w:div w:id="1125276990">
              <w:marLeft w:val="0"/>
              <w:marRight w:val="0"/>
              <w:marTop w:val="0"/>
              <w:marBottom w:val="0"/>
              <w:divBdr>
                <w:top w:val="none" w:sz="0" w:space="0" w:color="auto"/>
                <w:left w:val="none" w:sz="0" w:space="0" w:color="auto"/>
                <w:bottom w:val="none" w:sz="0" w:space="0" w:color="auto"/>
                <w:right w:val="none" w:sz="0" w:space="0" w:color="auto"/>
              </w:divBdr>
              <w:divsChild>
                <w:div w:id="468204637">
                  <w:marLeft w:val="0"/>
                  <w:marRight w:val="0"/>
                  <w:marTop w:val="0"/>
                  <w:marBottom w:val="0"/>
                  <w:divBdr>
                    <w:top w:val="none" w:sz="0" w:space="0" w:color="auto"/>
                    <w:left w:val="none" w:sz="0" w:space="0" w:color="auto"/>
                    <w:bottom w:val="none" w:sz="0" w:space="0" w:color="auto"/>
                    <w:right w:val="none" w:sz="0" w:space="0" w:color="auto"/>
                  </w:divBdr>
                  <w:divsChild>
                    <w:div w:id="16315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18444">
      <w:bodyDiv w:val="1"/>
      <w:marLeft w:val="0"/>
      <w:marRight w:val="0"/>
      <w:marTop w:val="0"/>
      <w:marBottom w:val="0"/>
      <w:divBdr>
        <w:top w:val="none" w:sz="0" w:space="0" w:color="auto"/>
        <w:left w:val="none" w:sz="0" w:space="0" w:color="auto"/>
        <w:bottom w:val="none" w:sz="0" w:space="0" w:color="auto"/>
        <w:right w:val="none" w:sz="0" w:space="0" w:color="auto"/>
      </w:divBdr>
    </w:div>
    <w:div w:id="1440758915">
      <w:bodyDiv w:val="1"/>
      <w:marLeft w:val="0"/>
      <w:marRight w:val="0"/>
      <w:marTop w:val="0"/>
      <w:marBottom w:val="0"/>
      <w:divBdr>
        <w:top w:val="none" w:sz="0" w:space="0" w:color="auto"/>
        <w:left w:val="none" w:sz="0" w:space="0" w:color="auto"/>
        <w:bottom w:val="none" w:sz="0" w:space="0" w:color="auto"/>
        <w:right w:val="none" w:sz="0" w:space="0" w:color="auto"/>
      </w:divBdr>
    </w:div>
    <w:div w:id="19411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oleObject" Target="embeddings/oleObject3.bin"/><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w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39.emf"/><Relationship Id="rId8" Type="http://schemas.openxmlformats.org/officeDocument/2006/relationships/image" Target="media/image2.emf"/><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11672</Words>
  <Characters>64198</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CAPITULO I</vt:lpstr>
    </vt:vector>
  </TitlesOfParts>
  <Company>Privada</Company>
  <LinksUpToDate>false</LinksUpToDate>
  <CharactersWithSpaces>75719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Julio Vicente</dc:creator>
  <cp:keywords/>
  <dc:description/>
  <cp:lastModifiedBy>Administrador</cp:lastModifiedBy>
  <cp:revision>2</cp:revision>
  <cp:lastPrinted>2008-05-22T22:09:00Z</cp:lastPrinted>
  <dcterms:created xsi:type="dcterms:W3CDTF">2009-11-10T16:29:00Z</dcterms:created>
  <dcterms:modified xsi:type="dcterms:W3CDTF">2009-11-10T16:29:00Z</dcterms:modified>
</cp:coreProperties>
</file>