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3FAB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 </w:t>
      </w:r>
    </w:p>
    <w:p w:rsidR="00000000" w:rsidRDefault="00983FAB">
      <w:pPr>
        <w:pStyle w:val="Default"/>
        <w:rPr>
          <w:rFonts w:cstheme="minorBidi"/>
          <w:color w:val="4F81BC"/>
          <w:sz w:val="52"/>
          <w:szCs w:val="52"/>
        </w:rPr>
      </w:pPr>
      <w:r>
        <w:rPr>
          <w:rFonts w:cstheme="minorBidi"/>
          <w:color w:val="4F81BC"/>
          <w:sz w:val="52"/>
          <w:szCs w:val="52"/>
        </w:rPr>
        <w:t xml:space="preserve">ECUADOM HOGARES INTELIGENTES </w:t>
      </w:r>
    </w:p>
    <w:p w:rsidR="00000000" w:rsidRDefault="00983FAB">
      <w:pPr>
        <w:pStyle w:val="Default"/>
        <w:rPr>
          <w:rFonts w:cstheme="minorBidi"/>
          <w:color w:val="4F81BC"/>
          <w:sz w:val="52"/>
          <w:szCs w:val="52"/>
        </w:rPr>
      </w:pPr>
      <w:r>
        <w:rPr>
          <w:rFonts w:cstheme="minorBidi"/>
          <w:color w:val="4F81BC"/>
          <w:sz w:val="52"/>
          <w:szCs w:val="52"/>
        </w:rPr>
        <w:t xml:space="preserve">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AUTORES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ING. RUBY GARCÈS VELASCO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EC. ELMA RAMÌEZ ROMERO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FECHA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OCTUBRE DEL 2008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GUAYAQUIL- ECUADOR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83FAB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 xml:space="preserve">RESUMEN EJECUTIVO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domó</w:t>
      </w:r>
      <w:r>
        <w:rPr>
          <w:sz w:val="20"/>
          <w:szCs w:val="20"/>
        </w:rPr>
        <w:t xml:space="preserve">tica es el conjunto de sistemas capaces de autorizar una vivienda u oficina, aportado servicios de gestión energética, seguridad, bienestar y comunicación, que pueden estar integrados por medio de redes interiores y exteriores de comunicación, cableadas o </w:t>
      </w:r>
      <w:r>
        <w:rPr>
          <w:sz w:val="20"/>
          <w:szCs w:val="20"/>
        </w:rPr>
        <w:t xml:space="preserve">inalámbricas, y cuyo control goza de cierta ubicuidad desde dentro y fuera del hogar.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ECUADOM ha sido creada para ofrecer a sus clientes Sistemas Domóticos y brindar varios servicios que se puedan agrupar en cuatro aspectos o ámbitos principales, ahorro</w:t>
      </w:r>
      <w:r>
        <w:rPr>
          <w:sz w:val="20"/>
          <w:szCs w:val="20"/>
        </w:rPr>
        <w:t xml:space="preserve"> energético, protección patrimonial, confort y comunicaciones. Los sistemas que ofrecemos son: </w:t>
      </w:r>
    </w:p>
    <w:p w:rsidR="00000000" w:rsidRDefault="00983F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74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0" w:type="auto"/>
          </w:tcPr>
          <w:p w:rsidR="00000000" w:rsidRDefault="00983F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000000" w:rsidRDefault="00983F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                                                    precio de venta  </w:t>
            </w:r>
          </w:p>
        </w:tc>
      </w:tr>
    </w:tbl>
    <w:p w:rsidR="00000000" w:rsidRDefault="00983FAB">
      <w:pPr>
        <w:pStyle w:val="Default"/>
        <w:rPr>
          <w:rFonts w:cstheme="minorBidi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584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0" w:type="auto"/>
          </w:tcPr>
          <w:p w:rsidR="00000000" w:rsidRDefault="00983F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0" w:type="auto"/>
          </w:tcPr>
          <w:p w:rsidR="00000000" w:rsidRDefault="00983F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PAQUETE ECONÒMICO                   $120.000 más IVA </w:t>
            </w:r>
          </w:p>
          <w:p w:rsidR="00000000" w:rsidRDefault="00983F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0" w:type="auto"/>
          </w:tcPr>
          <w:p w:rsidR="00000000" w:rsidRDefault="00983F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PAQUETE PREMIUM                         $850.000 más IVA </w:t>
            </w:r>
          </w:p>
        </w:tc>
      </w:tr>
    </w:tbl>
    <w:p w:rsidR="00000000" w:rsidRDefault="00983FAB">
      <w:pPr>
        <w:pStyle w:val="Default"/>
        <w:rPr>
          <w:rFonts w:cstheme="minorBidi"/>
          <w:color w:val="auto"/>
        </w:rPr>
      </w:pP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El paquete Económico es un sistema inalámbrico para el control remoto del alumbrado se propor</w:t>
      </w:r>
      <w:r>
        <w:rPr>
          <w:rFonts w:cstheme="minorBidi"/>
          <w:color w:val="auto"/>
        </w:rPr>
        <w:t xml:space="preserve">ciona en el segmento de personas que poseen viviendas ya construidas, mediante ventas directas, cuyo marcado potencial, de acuerdo a datos catastrales de la M.I Municipalidad de Guayaquil, es de 229.335 viviendas. </w:t>
      </w: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El paquete Premium, que es un sistema q</w:t>
      </w:r>
      <w:r>
        <w:rPr>
          <w:rFonts w:cstheme="minorBidi"/>
          <w:color w:val="auto"/>
        </w:rPr>
        <w:t xml:space="preserve">ue incluye cableado adicional, será proporcionado a través de la s Constructoras de viviendas existentes en la ciudad para ser ofrecido a las personas que tienen un mercado potencial de construcción de viviendas de 2950 al año. </w:t>
      </w: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lastRenderedPageBreak/>
        <w:t xml:space="preserve">La inversión inicial del </w:t>
      </w:r>
      <w:r>
        <w:rPr>
          <w:rFonts w:cstheme="minorBidi"/>
          <w:color w:val="auto"/>
        </w:rPr>
        <w:t xml:space="preserve">proyecto  es de $210.510,17 dólares que será financiada, el 66% con carta de crédito, esto es118 mil dólares, aproximadamente, y 34% con recursos propios, esto es 92 mil dólares aproximadamente. </w:t>
      </w: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Se proyectan ventas de 688 mil dólares para el primer año,</w:t>
      </w:r>
      <w:r>
        <w:rPr>
          <w:rFonts w:cstheme="minorBidi"/>
          <w:color w:val="auto"/>
        </w:rPr>
        <w:t xml:space="preserve"> con un crecimiento anual del 25% en los siguientes 4 años. </w:t>
      </w:r>
    </w:p>
    <w:p w:rsidR="00000000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983FAB" w:rsidRDefault="00983FA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Del analizas económico se tiene que, en un horizonte de 5 años, la Tasa Interna de retorno del proyecto es del 87% y el Valor Actual Neto es de 453 mil dólares. </w:t>
      </w:r>
    </w:p>
    <w:sectPr w:rsidR="00983FAB">
      <w:type w:val="continuous"/>
      <w:pgSz w:w="11907" w:h="16839"/>
      <w:pgMar w:top="1599" w:right="1407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6810"/>
    <w:rsid w:val="00983FAB"/>
    <w:rsid w:val="00A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NEGOCIOS</dc:title>
  <dc:subject/>
  <dc:creator>Estudiante_2</dc:creator>
  <cp:keywords/>
  <dc:description/>
  <cp:lastModifiedBy>silgivar</cp:lastModifiedBy>
  <cp:revision>2</cp:revision>
  <dcterms:created xsi:type="dcterms:W3CDTF">2010-05-19T19:44:00Z</dcterms:created>
  <dcterms:modified xsi:type="dcterms:W3CDTF">2010-05-19T19:44:00Z</dcterms:modified>
</cp:coreProperties>
</file>