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6BC9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 </w:t>
      </w:r>
    </w:p>
    <w:p w:rsidR="00000000" w:rsidRDefault="00966BC9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                                                   </w:t>
      </w:r>
    </w:p>
    <w:p w:rsidR="00000000" w:rsidRDefault="00966BC9">
      <w:pPr>
        <w:pStyle w:val="Default"/>
        <w:rPr>
          <w:rFonts w:cstheme="minorBidi"/>
          <w:color w:val="4F81BC"/>
          <w:sz w:val="52"/>
          <w:szCs w:val="52"/>
        </w:rPr>
      </w:pPr>
      <w:r>
        <w:rPr>
          <w:rFonts w:cstheme="minorBidi"/>
          <w:color w:val="4F81BC"/>
          <w:sz w:val="52"/>
          <w:szCs w:val="52"/>
        </w:rPr>
        <w:t xml:space="preserve">SOUTHAMERICA NEXUS </w:t>
      </w:r>
    </w:p>
    <w:p w:rsidR="00000000" w:rsidRDefault="00966BC9">
      <w:pPr>
        <w:pStyle w:val="Default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 xml:space="preserve">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AUTORES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Alfredo Bustos Rodríguez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Jazmín Loor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Ricardo Contreras </w:t>
      </w:r>
      <w:proofErr w:type="spellStart"/>
      <w:r>
        <w:rPr>
          <w:i/>
          <w:iCs/>
          <w:color w:val="4F81BC"/>
          <w:sz w:val="20"/>
          <w:szCs w:val="20"/>
        </w:rPr>
        <w:t>Chacon</w:t>
      </w:r>
      <w:proofErr w:type="spellEnd"/>
      <w:r>
        <w:rPr>
          <w:i/>
          <w:iCs/>
          <w:color w:val="4F81BC"/>
          <w:sz w:val="20"/>
          <w:szCs w:val="20"/>
        </w:rPr>
        <w:t xml:space="preserve"> 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FECHA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Septiembre 2008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GUAYAQUIL – ECUADOR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966BC9">
      <w:pPr>
        <w:pStyle w:val="Default"/>
        <w:rPr>
          <w:sz w:val="22"/>
          <w:szCs w:val="22"/>
        </w:rPr>
      </w:pPr>
      <w:r>
        <w:rPr>
          <w:b/>
          <w:bCs/>
          <w:color w:val="FFFFFF"/>
          <w:sz w:val="22"/>
          <w:szCs w:val="22"/>
        </w:rPr>
        <w:t xml:space="preserve">RESUMEN EJECUTIVO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000000" w:rsidRDefault="00966BC9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SouthamericaNexus</w:t>
      </w:r>
      <w:proofErr w:type="spellEnd"/>
      <w:r>
        <w:rPr>
          <w:sz w:val="20"/>
          <w:szCs w:val="20"/>
        </w:rPr>
        <w:t xml:space="preserve"> S.A. será una compañía ubicada en la ciudad de Guayaquil y su actividad principal será la de proveer servicios relacionados con representación, administración y gerencia de productos y marcas extranjeras que deseen </w:t>
      </w:r>
      <w:proofErr w:type="spellStart"/>
      <w:r>
        <w:rPr>
          <w:sz w:val="20"/>
          <w:szCs w:val="20"/>
        </w:rPr>
        <w:t>aperturar</w:t>
      </w:r>
      <w:proofErr w:type="spellEnd"/>
      <w:r>
        <w:rPr>
          <w:sz w:val="20"/>
          <w:szCs w:val="20"/>
        </w:rPr>
        <w:t xml:space="preserve"> nuevos mercad</w:t>
      </w:r>
      <w:r>
        <w:rPr>
          <w:sz w:val="20"/>
          <w:szCs w:val="20"/>
        </w:rPr>
        <w:t xml:space="preserve">os dentro del Ecuador y que se relacionen principalmente con el sector de materiales y herramientas destinados hacia profesionales.  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Dentro del Ecuador la industria de servicios de representación y gerencia de marcas, en la actualidad no se encuentra d</w:t>
      </w:r>
      <w:r>
        <w:rPr>
          <w:sz w:val="20"/>
          <w:szCs w:val="20"/>
        </w:rPr>
        <w:t xml:space="preserve">esarrollado, situación que nos permitirá incursionar en un segmento de mercado no explotado, generando una gran oportunidad de crecimiento para la Compañía en el tiempo.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Entre los principales servicios que  </w:t>
      </w:r>
      <w:proofErr w:type="spellStart"/>
      <w:r>
        <w:rPr>
          <w:sz w:val="20"/>
          <w:szCs w:val="20"/>
        </w:rPr>
        <w:t>SouthamericaNexus</w:t>
      </w:r>
      <w:proofErr w:type="spellEnd"/>
      <w:r>
        <w:rPr>
          <w:sz w:val="20"/>
          <w:szCs w:val="20"/>
        </w:rPr>
        <w:t xml:space="preserve"> S.A. brindara a sus clientes</w:t>
      </w:r>
      <w:r>
        <w:rPr>
          <w:sz w:val="20"/>
          <w:szCs w:val="20"/>
        </w:rPr>
        <w:t xml:space="preserve">, podemos enfocarlo desde dos perspectivas; la primera </w:t>
      </w:r>
      <w:proofErr w:type="spellStart"/>
      <w:r>
        <w:rPr>
          <w:sz w:val="20"/>
          <w:szCs w:val="20"/>
        </w:rPr>
        <w:t>esta</w:t>
      </w:r>
      <w:proofErr w:type="spellEnd"/>
      <w:r>
        <w:rPr>
          <w:sz w:val="20"/>
          <w:szCs w:val="20"/>
        </w:rPr>
        <w:t xml:space="preserve"> relacionada con nuestros clientes directos, los mismos que están contribuidos por las fabricas e industrias que nos solicitan la representación de sus marcas para el mercado ecuatoriano, entre los</w:t>
      </w:r>
      <w:r>
        <w:rPr>
          <w:sz w:val="20"/>
          <w:szCs w:val="20"/>
        </w:rPr>
        <w:t xml:space="preserve"> servicios ofrecidos nuestro cliente tenemos la representación exclusiva de sus productos comprometiéndolos a no representar marcas que sean competidores para ellos; promover el mercado directo de la marca y productos en los canales de distribución; efectu</w:t>
      </w:r>
      <w:r>
        <w:rPr>
          <w:sz w:val="20"/>
          <w:szCs w:val="20"/>
        </w:rPr>
        <w:t xml:space="preserve">ar un plan de mercado para asegurar un crecimiento en las ventas de sus marcas; promover una estrategia de comunicación sobre los beneficios y usos que generan sus productos y marcas.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La segunda perspectiva </w:t>
      </w:r>
      <w:proofErr w:type="spellStart"/>
      <w:r>
        <w:rPr>
          <w:sz w:val="20"/>
          <w:szCs w:val="20"/>
        </w:rPr>
        <w:t>esta</w:t>
      </w:r>
      <w:proofErr w:type="spellEnd"/>
      <w:r>
        <w:rPr>
          <w:sz w:val="20"/>
          <w:szCs w:val="20"/>
        </w:rPr>
        <w:t xml:space="preserve"> relacionada con el trabajo que realizara </w:t>
      </w:r>
      <w:proofErr w:type="spellStart"/>
      <w:r>
        <w:rPr>
          <w:sz w:val="20"/>
          <w:szCs w:val="20"/>
        </w:rPr>
        <w:t>SouthamericaNexus</w:t>
      </w:r>
      <w:proofErr w:type="spellEnd"/>
      <w:r>
        <w:rPr>
          <w:sz w:val="20"/>
          <w:szCs w:val="20"/>
        </w:rPr>
        <w:t xml:space="preserve"> S.A. para los consumidores directo de los productos representados proporcionándole a ellos capacitación constante respeto al uso, manejo, beneficios y ahorro en costo que les representaría al utilizar las herramientas y productos represen</w:t>
      </w:r>
      <w:r>
        <w:rPr>
          <w:sz w:val="20"/>
          <w:szCs w:val="20"/>
        </w:rPr>
        <w:t xml:space="preserve">tados, todo esto se alcanzará con un programa de cursos de capacitación teóricos-prácticos.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El grupo empresarial de socios </w:t>
      </w:r>
      <w:proofErr w:type="spellStart"/>
      <w:r>
        <w:rPr>
          <w:sz w:val="20"/>
          <w:szCs w:val="20"/>
        </w:rPr>
        <w:t>esta</w:t>
      </w:r>
      <w:proofErr w:type="spellEnd"/>
      <w:r>
        <w:rPr>
          <w:sz w:val="20"/>
          <w:szCs w:val="20"/>
        </w:rPr>
        <w:t xml:space="preserve"> conformado por personas con amplia experiencia y muy conocedoras de la industria de servicios relacionados con la gerencia y </w:t>
      </w:r>
      <w:r>
        <w:rPr>
          <w:sz w:val="20"/>
          <w:szCs w:val="20"/>
        </w:rPr>
        <w:t xml:space="preserve">representación de marcas, con amplio valores personales y profesionales orientados al servicio al cliente y trabajo en equipo.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La implementación del proyecto de inversión es de manera inmediata, iniciando con las operaciones en el mes de enero del 2009.</w:t>
      </w:r>
      <w:r>
        <w:rPr>
          <w:sz w:val="20"/>
          <w:szCs w:val="20"/>
        </w:rPr>
        <w:t xml:space="preserve"> Para el efecto, </w:t>
      </w:r>
      <w:proofErr w:type="spellStart"/>
      <w:r>
        <w:rPr>
          <w:sz w:val="20"/>
          <w:szCs w:val="20"/>
        </w:rPr>
        <w:t>SouthamericaNexus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S.A.iniciara</w:t>
      </w:r>
      <w:proofErr w:type="spellEnd"/>
      <w:r>
        <w:rPr>
          <w:sz w:val="20"/>
          <w:szCs w:val="20"/>
        </w:rPr>
        <w:t xml:space="preserve"> su actividad operacional con la representación de marcas y productos conseguidos por uno de los socios del proyecto; en el cual el administrado las marcas a </w:t>
      </w:r>
      <w:proofErr w:type="spellStart"/>
      <w:r>
        <w:rPr>
          <w:sz w:val="20"/>
          <w:szCs w:val="20"/>
        </w:rPr>
        <w:t>titulo</w:t>
      </w:r>
      <w:proofErr w:type="spellEnd"/>
      <w:r>
        <w:rPr>
          <w:sz w:val="20"/>
          <w:szCs w:val="20"/>
        </w:rPr>
        <w:t xml:space="preserve"> personal durante los últimos tres años. Las </w:t>
      </w:r>
      <w:r>
        <w:rPr>
          <w:sz w:val="20"/>
          <w:szCs w:val="20"/>
        </w:rPr>
        <w:t xml:space="preserve">marcas </w:t>
      </w:r>
      <w:proofErr w:type="spellStart"/>
      <w:r>
        <w:rPr>
          <w:sz w:val="20"/>
          <w:szCs w:val="20"/>
        </w:rPr>
        <w:t>iniciales</w:t>
      </w:r>
      <w:proofErr w:type="spellEnd"/>
      <w:r>
        <w:rPr>
          <w:sz w:val="20"/>
          <w:szCs w:val="20"/>
        </w:rPr>
        <w:t xml:space="preserve"> con las que empezaran la actividad el proyecto de inversión serán MK Morse, </w:t>
      </w:r>
      <w:proofErr w:type="spellStart"/>
      <w:r>
        <w:rPr>
          <w:sz w:val="20"/>
          <w:szCs w:val="20"/>
        </w:rPr>
        <w:t>Channellock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Imacasa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Moretsohn</w:t>
      </w:r>
      <w:proofErr w:type="spellEnd"/>
      <w:r>
        <w:rPr>
          <w:sz w:val="20"/>
          <w:szCs w:val="20"/>
        </w:rPr>
        <w:t xml:space="preserve">.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Para la evaluación financiera del proyecto se ha utilizado la metodología del Valor Presente Neto (VPN) sobre los Flujos de Ca</w:t>
      </w:r>
      <w:r>
        <w:rPr>
          <w:sz w:val="20"/>
          <w:szCs w:val="20"/>
        </w:rPr>
        <w:t xml:space="preserve">jas Proyectados y la Tasa Interna del Retorno (TRI), considerando un plazo mínimo de evaluaciones de 5 ejercicios económicos. El contenido presupuestario del proyecto ha sido considerado en base a una participación inicial de mercado del 25%.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La inversi</w:t>
      </w:r>
      <w:r>
        <w:rPr>
          <w:sz w:val="20"/>
          <w:szCs w:val="20"/>
        </w:rPr>
        <w:t xml:space="preserve">ón inicial del proyecto es de US$12,000 (Doce mil dólares de los Estados Unidos de </w:t>
      </w:r>
      <w:proofErr w:type="spellStart"/>
      <w:r>
        <w:rPr>
          <w:sz w:val="20"/>
          <w:szCs w:val="20"/>
        </w:rPr>
        <w:t>America</w:t>
      </w:r>
      <w:proofErr w:type="spellEnd"/>
      <w:r>
        <w:rPr>
          <w:sz w:val="20"/>
          <w:szCs w:val="20"/>
        </w:rPr>
        <w:t xml:space="preserve">), distribuida proporcionalmente en partes iguales entre los tres socios </w:t>
      </w:r>
      <w:proofErr w:type="spellStart"/>
      <w:r>
        <w:rPr>
          <w:sz w:val="20"/>
          <w:szCs w:val="20"/>
        </w:rPr>
        <w:t>iniciales</w:t>
      </w:r>
      <w:proofErr w:type="spellEnd"/>
      <w:r>
        <w:rPr>
          <w:sz w:val="20"/>
          <w:szCs w:val="20"/>
        </w:rPr>
        <w:t xml:space="preserve"> del proyecto. El proyecto de </w:t>
      </w:r>
      <w:r>
        <w:rPr>
          <w:sz w:val="20"/>
          <w:szCs w:val="20"/>
        </w:rPr>
        <w:lastRenderedPageBreak/>
        <w:t xml:space="preserve">inversión </w:t>
      </w:r>
      <w:proofErr w:type="spellStart"/>
      <w:r>
        <w:rPr>
          <w:sz w:val="20"/>
          <w:szCs w:val="20"/>
        </w:rPr>
        <w:t>esta</w:t>
      </w:r>
      <w:proofErr w:type="spellEnd"/>
      <w:r>
        <w:rPr>
          <w:sz w:val="20"/>
          <w:szCs w:val="20"/>
        </w:rPr>
        <w:t xml:space="preserve"> proyectado para iniciar con la presenta</w:t>
      </w:r>
      <w:r>
        <w:rPr>
          <w:sz w:val="20"/>
          <w:szCs w:val="20"/>
        </w:rPr>
        <w:t>ción de cuatro marcas hasta culminarlo al termino del año 5 con 13 marcas representadas, se estima obtener un crecimiento en ventas promedio del 55% para el primer año del operación a partir del segundo año del operación al partir del segundo año la proyec</w:t>
      </w:r>
      <w:r>
        <w:rPr>
          <w:sz w:val="20"/>
          <w:szCs w:val="20"/>
        </w:rPr>
        <w:t xml:space="preserve">ción de crecimiento se encuentra alrededor del 33% del crecimiento anual.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La inversión se recupera a mediados del cuarto año y al termino del quinto </w:t>
      </w:r>
      <w:proofErr w:type="spellStart"/>
      <w:r>
        <w:rPr>
          <w:sz w:val="20"/>
          <w:szCs w:val="20"/>
        </w:rPr>
        <w:t>quinto</w:t>
      </w:r>
      <w:proofErr w:type="spellEnd"/>
      <w:r>
        <w:rPr>
          <w:sz w:val="20"/>
          <w:szCs w:val="20"/>
        </w:rPr>
        <w:t xml:space="preserve"> año de evaluación el flujo de caja acomunado será de US$82,066. 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El estado de resultados proyectados para el primer ejercicio económico en que iniciamos las operaciones nos presenta resultados muy alentadores, aunque el concepto de negocio es nuevo al </w:t>
      </w:r>
      <w:proofErr w:type="spellStart"/>
      <w:r>
        <w:rPr>
          <w:sz w:val="20"/>
          <w:szCs w:val="20"/>
        </w:rPr>
        <w:t>termino</w:t>
      </w:r>
      <w:proofErr w:type="spellEnd"/>
      <w:r>
        <w:rPr>
          <w:sz w:val="20"/>
          <w:szCs w:val="20"/>
        </w:rPr>
        <w:t xml:space="preserve"> del primer ejercicio se refleja una utilidad antes de impuest</w:t>
      </w:r>
      <w:r>
        <w:rPr>
          <w:sz w:val="20"/>
          <w:szCs w:val="20"/>
        </w:rPr>
        <w:t xml:space="preserve">o y participación a trabajadores de US$4,539. La utilidad acumula al termino del quinto año será de US$102,489 con un nivel de ingresos totales de US$1, 144,172 respectivamente.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Considerando el valor inicial de inversión que requiere nuestro proyecto y </w:t>
      </w:r>
      <w:r>
        <w:rPr>
          <w:sz w:val="20"/>
          <w:szCs w:val="20"/>
        </w:rPr>
        <w:t xml:space="preserve">la Tasa Rendimiento </w:t>
      </w:r>
      <w:proofErr w:type="spellStart"/>
      <w:r>
        <w:rPr>
          <w:sz w:val="20"/>
          <w:szCs w:val="20"/>
        </w:rPr>
        <w:t>Minima</w:t>
      </w:r>
      <w:proofErr w:type="spellEnd"/>
      <w:r>
        <w:rPr>
          <w:sz w:val="20"/>
          <w:szCs w:val="20"/>
        </w:rPr>
        <w:t xml:space="preserve"> Aceptada” (TREMA) calculada en base al 22.4%, y al descontar el flujo de caja neto generado durante los cinco años de proyección, obtenemos un Valor Presente Neto de US$15.974, importe que permite estimar que el proyecto generara</w:t>
      </w:r>
      <w:r>
        <w:rPr>
          <w:sz w:val="20"/>
          <w:szCs w:val="20"/>
        </w:rPr>
        <w:t xml:space="preserve"> valor a las aportaciones realizadas por los accionistas, generando una tasa interna de retorno (TRI) del 54.4%, situación que nos ratifica la factibilidad financiera del proyecto, puesto que la Tasa Interna de Retorno es casi el doble de la Tasa del Rendi</w:t>
      </w:r>
      <w:r>
        <w:rPr>
          <w:sz w:val="20"/>
          <w:szCs w:val="20"/>
        </w:rPr>
        <w:t xml:space="preserve">miento </w:t>
      </w:r>
      <w:proofErr w:type="spellStart"/>
      <w:r>
        <w:rPr>
          <w:sz w:val="20"/>
          <w:szCs w:val="20"/>
        </w:rPr>
        <w:t>Minima</w:t>
      </w:r>
      <w:proofErr w:type="spellEnd"/>
      <w:r>
        <w:rPr>
          <w:sz w:val="20"/>
          <w:szCs w:val="20"/>
        </w:rPr>
        <w:t xml:space="preserve"> Aceptada, concluyendo así que la inversión planteada es rentable. </w:t>
      </w:r>
    </w:p>
    <w:p w:rsidR="00966BC9" w:rsidRDefault="00966B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sectPr w:rsidR="00966BC9">
      <w:type w:val="continuous"/>
      <w:pgSz w:w="11907" w:h="16839"/>
      <w:pgMar w:top="1599" w:right="1407" w:bottom="141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727A"/>
    <w:rsid w:val="00966BC9"/>
    <w:rsid w:val="00B4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NEGOCIO</dc:title>
  <dc:subject/>
  <dc:creator>Estudiante_2</dc:creator>
  <cp:keywords/>
  <dc:description/>
  <cp:lastModifiedBy>silgivar</cp:lastModifiedBy>
  <cp:revision>2</cp:revision>
  <dcterms:created xsi:type="dcterms:W3CDTF">2010-05-19T20:23:00Z</dcterms:created>
  <dcterms:modified xsi:type="dcterms:W3CDTF">2010-05-19T20:23:00Z</dcterms:modified>
</cp:coreProperties>
</file>