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“MEDICAL GYM”</w:t>
      </w:r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Medical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Gym</w:t>
      </w:r>
      <w:proofErr w:type="spellEnd"/>
      <w:r>
        <w:rPr>
          <w:rFonts w:ascii="Times New Roman" w:hAnsi="Times New Roman" w:cs="Times New Roman"/>
          <w:sz w:val="32"/>
          <w:szCs w:val="32"/>
        </w:rPr>
        <w:t>, es un gimnasio medico cuyo principal propósito en el</w:t>
      </w:r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mercado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guayaquileño es introducir un nuevo concepto en el gimnasios especializados en el cuidado de la salud.</w:t>
      </w:r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Siendo un negocio de emprendimiento desarrollado por </w:t>
      </w:r>
      <w:proofErr w:type="spellStart"/>
      <w:r>
        <w:rPr>
          <w:rFonts w:ascii="Times New Roman" w:hAnsi="Times New Roman" w:cs="Times New Roman"/>
          <w:sz w:val="32"/>
          <w:szCs w:val="32"/>
        </w:rPr>
        <w:t>rofesionales</w:t>
      </w:r>
      <w:proofErr w:type="spellEnd"/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egresados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la maestría en administración de empresas de la SPAE,</w:t>
      </w:r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unidad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académica perteneciente a la escuela superior politécnica del</w:t>
      </w:r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litoral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universidad de gran prestigio y reconocimiento dentro del país </w:t>
      </w:r>
      <w:proofErr w:type="spellStart"/>
      <w:r>
        <w:rPr>
          <w:rFonts w:ascii="Times New Roman" w:hAnsi="Times New Roman" w:cs="Times New Roman"/>
          <w:sz w:val="32"/>
          <w:szCs w:val="32"/>
        </w:rPr>
        <w:t>yde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latino América.</w:t>
      </w:r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estrategia de negocios de </w:t>
      </w:r>
      <w:proofErr w:type="spellStart"/>
      <w:r>
        <w:rPr>
          <w:rFonts w:ascii="Times New Roman" w:hAnsi="Times New Roman" w:cs="Times New Roman"/>
          <w:sz w:val="32"/>
          <w:szCs w:val="32"/>
        </w:rPr>
        <w:t>Medical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Gym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esta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concentrada en la en la aplicación de terapias medicas asistidas y complementadas a través de la supervisión y control de especialistas médicos (cardiólogos, traumatólogos, nutricionistas, reumatólogos, fisioterapeuta).Su objetivo principal es ofrecer sus servicios, recursos y habilidades a un mercadeo potencial no satisfecho de guayaquileños con problemas de salud, tales como diabetes, Artritis, artrosis, osteoporosis, colesterol, hipertensión, enfermedades cardiovasculares y todo tipo de lesiones físicas. Para su puesta en marcha, </w:t>
      </w:r>
      <w:proofErr w:type="spellStart"/>
      <w:r>
        <w:rPr>
          <w:rFonts w:ascii="Times New Roman" w:hAnsi="Times New Roman" w:cs="Times New Roman"/>
          <w:sz w:val="32"/>
          <w:szCs w:val="32"/>
        </w:rPr>
        <w:t>Medical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Gym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requiere de una inversión total de</w:t>
      </w:r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USD. 140.000, de los cuales 65% </w:t>
      </w:r>
      <w:proofErr w:type="spellStart"/>
      <w:r>
        <w:rPr>
          <w:rFonts w:ascii="Times New Roman" w:hAnsi="Times New Roman" w:cs="Times New Roman"/>
          <w:sz w:val="32"/>
          <w:szCs w:val="32"/>
        </w:rPr>
        <w:t>esta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respaldando a través de las</w:t>
      </w:r>
    </w:p>
    <w:p w:rsidR="00130286" w:rsidRDefault="00130286" w:rsidP="00130286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operaciones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 sus fundadores y el 35% financiero con la aprobación de un préstamo bancario a largo plazo de (3 años). La relatividad del proyecto, en un análisis a cinco años, es del 28% anual, su valor presente neto, 10% es de USD. 110.899.81 del tiempo de retorno de la inversión es de 5 años.</w:t>
      </w:r>
    </w:p>
    <w:p w:rsidR="00130286" w:rsidRDefault="00130286" w:rsidP="00130286">
      <w:pPr>
        <w:jc w:val="both"/>
      </w:pPr>
    </w:p>
    <w:sectPr w:rsidR="00130286" w:rsidSect="006E6E8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286"/>
    <w:rsid w:val="0013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Company>CSI - ESPOL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2010-05-20T20:56:00Z</dcterms:created>
  <dcterms:modified xsi:type="dcterms:W3CDTF">2010-05-20T20:57:00Z</dcterms:modified>
</cp:coreProperties>
</file>