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2F7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119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AC2FC3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787400</wp:posOffset>
            </wp:positionV>
            <wp:extent cx="914400" cy="3892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FC3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651510</wp:posOffset>
            </wp:positionV>
            <wp:extent cx="643890" cy="64389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46pt;width:301.35pt;height:1.3pt;z-index:-251655168;mso-position-horizontal-relative:page;mso-position-vertical-relative:page" coordsize="6027,26" path="m,hhl,26r6040,l6040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  Ing. Juan Carlos López B.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Ing. Fernando Dávila T.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Ing. Patricio Gómez M.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Arq.  Fernando López C.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Econ. Francisco Caicedo A.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GENERADORA ELECTRICA A PARTIR DE BIOMASA 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nueva Ley de Régimen del Sector Eléctrico, tiende a promover la realización de 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inversiones privadas de riego en generación, y a fomentar el desarrollo y uso de los</w:t>
      </w:r>
    </w:p>
    <w:p w:rsidR="00000000" w:rsidRDefault="009A52F7">
      <w:pPr>
        <w:widowControl w:val="0"/>
        <w:tabs>
          <w:tab w:val="left" w:pos="5200"/>
          <w:tab w:val="left" w:pos="7186"/>
        </w:tabs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recursos energéticos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 convencionales.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Biotè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rmica S.A.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 establecerá en Santo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Domingo de los Colorados, Ecuador, con el propósito de generar energía eléctrica para 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Mercado Eléctrico Mayorista, a partir de biomasa existente en la agroindustria del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país. La capacidad del proyecto es de 5.5 MW, pr</w:t>
      </w:r>
      <w:r>
        <w:rPr>
          <w:rFonts w:ascii="Times New Roman" w:hAnsi="Times New Roman" w:cs="Times New Roman"/>
          <w:color w:val="000000"/>
          <w:sz w:val="24"/>
          <w:szCs w:val="24"/>
        </w:rPr>
        <w:t>oduciendo 40.392 MWh por año.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grupo empresarial promotor está integrado por profesionales de amplia trayectoria en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sector eléctrico del país. La estructura orgánico funcional contará con una Junta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General de Accionistas conformada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por los propietarios, a saber: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6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El socio estratégico extranjero, quien será el proveedor llave en mano del equipo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generación de biomasa.</w:t>
      </w: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El socio estratégico proveedor de la materia prima.</w:t>
      </w: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Otros accionistas locales. 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en sí presenta a</w:t>
      </w:r>
      <w:r>
        <w:rPr>
          <w:rFonts w:ascii="Times New Roman" w:hAnsi="Times New Roman" w:cs="Times New Roman"/>
          <w:color w:val="000000"/>
          <w:sz w:val="24"/>
          <w:szCs w:val="24"/>
        </w:rPr>
        <w:t>spectos relevantes que lo hacen atractivo, como: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6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Diversificación en las fuentes de generación del sistema;</w:t>
      </w: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Sustitución de generación convencional que actualmente usa combustibles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fósiles derivados de petróleo;</w:t>
      </w: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Características técnico económicas que configuran el proyecto de producción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muy competitivo en el Mercado Eléctrico Mayorista.</w:t>
      </w:r>
    </w:p>
    <w:p w:rsidR="00000000" w:rsidRDefault="009A52F7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29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Adicionalmente a la ventaja de liberar petróleo para exportación, la sustitución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la generación mencionada anteriormente impl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ica la captación de emisiones de 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carbono asociada a la generación sustituida, con la consiguiente contribución a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lucha mundial contra el efecto invernadero.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Biotèrmica S.A. requiere una inversión total de USD 4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800,000.  Se prevé calificar al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proyecto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como merecedor de créditos no reembolsables, provenientes de instituciones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internacionales que financian proyectos ecológicos. La contraparte local de estos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créditos, en caso de ser necesario, se le hará con aporte de accionistas locales.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del proyecto de generación eléctrica en un período de 10 años, es del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15%.  Los flujos generados por el proyecto permiten recuperar la inversión en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4.3 años,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 de dar créditos sobre la tasa de descuento, a partir del año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periodo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estudio, la Liquidación del Negocio vale 2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440,000 USD, y el valor  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Presente Neto vale 22,000 USD.</w:t>
      </w: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9A52F7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9A52F7" w:rsidRDefault="009A52F7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9A52F7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2FC3"/>
    <w:rsid w:val="009A52F7"/>
    <w:rsid w:val="00AC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Silvana Vargas</cp:lastModifiedBy>
  <cp:revision>3</cp:revision>
  <dcterms:created xsi:type="dcterms:W3CDTF">2010-05-28T05:26:00Z</dcterms:created>
  <dcterms:modified xsi:type="dcterms:W3CDTF">2010-05-28T05:26:00Z</dcterms:modified>
</cp:coreProperties>
</file>