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D13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392B5A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4766310</wp:posOffset>
            </wp:positionH>
            <wp:positionV relativeFrom="page">
              <wp:posOffset>465455</wp:posOffset>
            </wp:positionV>
            <wp:extent cx="643890" cy="643255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B5A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5494655</wp:posOffset>
            </wp:positionH>
            <wp:positionV relativeFrom="page">
              <wp:posOffset>609600</wp:posOffset>
            </wp:positionV>
            <wp:extent cx="914400" cy="39751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Plan de Negocios (Resumen Ejecutivo)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Juliana Cobo Correa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Grace Novillo Morante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Lorena Otero Agreda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CRIANZA DE CARACOLES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producción de caracoles, constituye una actividad zootécnica de muy alta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rentabilidad debido a los elevados índices de reproducción y elementales necesidades 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nutritivas, además de los favorables índices de transformación alimento/carne. Con los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caracoles se obtiene el mayor rendimiento pecuario por metro que se conozca.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3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em</w:t>
      </w:r>
      <w:r>
        <w:rPr>
          <w:rFonts w:ascii="Times New Roman" w:hAnsi="Times New Roman" w:cs="Times New Roman"/>
          <w:color w:val="000000"/>
          <w:sz w:val="24"/>
          <w:szCs w:val="24"/>
        </w:rPr>
        <w:t>presa ESCARG S.A. se establecerá en Guayaquil, con el fin de criar caracoles de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variedad Helix Áspersa para su posterior venta a la Asociación de Productores y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Exportadores de Caracoles y Afines -APECYA- radicada en la ciudad de quito, quien se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encargar</w:t>
      </w:r>
      <w:r>
        <w:rPr>
          <w:rFonts w:ascii="Times New Roman" w:hAnsi="Times New Roman" w:cs="Times New Roman"/>
          <w:color w:val="000000"/>
          <w:sz w:val="24"/>
          <w:szCs w:val="24"/>
        </w:rPr>
        <w:t>á de la exportación del producto.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grupo empresarial está conformado por las Ingenieras Julianna Cobo, Lorena Otero y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Grace Novillo, quienes han obtenido la asesoría y entrenamiento básico necesarios para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incursionar en la crianza de caracoles.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ESCARG S.A. requiere una inversión inicial de $26000, la misma que será aportada en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 totalidad por las propietarias de la empresa.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negocio, como tal, representa una gran oportunidad pues, en la actualidad,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aproximadamente el 75% de la demanda mundial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este producto no está satisfecha,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según APECYA, y la tendencia en el largo plazo es que siga incrementando. En el país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existen alrededor de 1000 productores marginales dedicados a esta misma labor, de los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cuales apenas 6 se encuentran en la ciudad de G</w:t>
      </w:r>
      <w:r>
        <w:rPr>
          <w:rFonts w:ascii="Times New Roman" w:hAnsi="Times New Roman" w:cs="Times New Roman"/>
          <w:color w:val="000000"/>
          <w:sz w:val="24"/>
          <w:szCs w:val="24"/>
        </w:rPr>
        <w:t>uayaquil; existiendo únicamente 2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exportadores al nivel nacional. Es necesario mencionar que, la producción de esos 1000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productores apenas alcanza 8 toneladas, que resultan insuficientes para el mínimo de 10 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toneladas requeridas para iniciar la exportaci</w:t>
      </w:r>
      <w:r>
        <w:rPr>
          <w:rFonts w:ascii="Times New Roman" w:hAnsi="Times New Roman" w:cs="Times New Roman"/>
          <w:color w:val="000000"/>
          <w:sz w:val="24"/>
          <w:szCs w:val="24"/>
        </w:rPr>
        <w:t>ón.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34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Realizando un análisis a cinco años, la rentabilidad del proyecto alcanza el 45.86%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anual. El valor presente neto al 10% es de $35296 y con un período de recuperación de 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dos años y seis meses.</w:t>
      </w: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B82D13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B82D13" w:rsidRDefault="00B82D13">
      <w:pPr>
        <w:widowControl w:val="0"/>
        <w:autoSpaceDE w:val="0"/>
        <w:autoSpaceDN w:val="0"/>
        <w:adjustRightInd w:val="0"/>
        <w:spacing w:after="0" w:line="34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sectPr w:rsidR="00B82D13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92B5A"/>
    <w:rsid w:val="00392B5A"/>
    <w:rsid w:val="00B82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</dc:creator>
  <cp:keywords/>
  <dc:description/>
  <cp:lastModifiedBy>Silvana Vargas</cp:lastModifiedBy>
  <cp:revision>2</cp:revision>
  <dcterms:created xsi:type="dcterms:W3CDTF">2010-05-28T05:29:00Z</dcterms:created>
  <dcterms:modified xsi:type="dcterms:W3CDTF">2010-05-28T05:29:00Z</dcterms:modified>
</cp:coreProperties>
</file>