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6C72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BD46B7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4766310</wp:posOffset>
            </wp:positionH>
            <wp:positionV relativeFrom="page">
              <wp:posOffset>473710</wp:posOffset>
            </wp:positionV>
            <wp:extent cx="643890" cy="643890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6B7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600710</wp:posOffset>
            </wp:positionV>
            <wp:extent cx="914400" cy="38989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Autor: Ing. Ramón Arauz Franco  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9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MICASA-EC.COM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pagina Web micasa-ec.com, establecida en la ciudad de Guayaquil, Ecuador,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prestará servicios de promoción de propiedades inmobiliarias para la compra, venta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alquiler, direccionado al mercado de los Ecuatorianos residentes en el extranjero que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deseen invertir en el país, ya sea para establecer su residencia después de su retiro y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volver al Ecuador, asegurar un lugar digno para vivir con sus familiares o sencillamente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como inversión.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Inicialmente se desea captar el mercado de los Ecuatorianos residentes en los Estados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Unidos de América, ya que este lleva más tiempo fuera del país con mayor capacidad de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ahorro, para luego expandirnos al mercado Europeo, específicamente España e Italia.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Para iniciar sus operaciones, micasa-ec.com requiere de un capital de U.S.$25,000.00,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saldrá de las aportaciones de sus socios.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negocio de bienes raíces por Internet está recién comenzando en nuestro país, ya que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son solos compañías que promocionan sus proyectos o páginas con el propósito de sacar 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provecho en la venta de anuncios </w:t>
      </w:r>
      <w:r>
        <w:rPr>
          <w:rFonts w:ascii="Times New Roman" w:hAnsi="Times New Roman" w:cs="Times New Roman"/>
          <w:color w:val="000000"/>
          <w:sz w:val="24"/>
          <w:szCs w:val="24"/>
        </w:rPr>
        <w:t>en sus páginas, y las otras están direccionando solo al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mercado local que según datos de la Superintendencia de Telecomunicaciones es de 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59,000 usuarios aproximadamente, lo que limita el mercado, mientras micasa-ec.com, 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cuenta con un mercado de por lo me</w:t>
      </w:r>
      <w:r>
        <w:rPr>
          <w:rFonts w:ascii="Times New Roman" w:hAnsi="Times New Roman" w:cs="Times New Roman"/>
          <w:color w:val="000000"/>
          <w:sz w:val="24"/>
          <w:szCs w:val="24"/>
        </w:rPr>
        <w:t>nos de 1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550.000 posibles clientes, de los cuales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solo esperamos captar como un máximo del 1% de este mercado, con una participación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compra conservadora.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rentabilidad del proyecto, en un análisis de tres años, es del 209,05%. El valor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presente neto </w:t>
      </w:r>
      <w:r>
        <w:rPr>
          <w:rFonts w:ascii="Times New Roman" w:hAnsi="Times New Roman" w:cs="Times New Roman"/>
          <w:color w:val="000000"/>
          <w:sz w:val="24"/>
          <w:szCs w:val="24"/>
        </w:rPr>
        <w:t>al 24%, es de U.S. $118,366.58 y el perí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odo de pago descontado es de 1.03 años.</w:t>
      </w: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36C72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936C72" w:rsidRDefault="00936C72">
      <w:pPr>
        <w:widowControl w:val="0"/>
        <w:autoSpaceDE w:val="0"/>
        <w:autoSpaceDN w:val="0"/>
        <w:adjustRightInd w:val="0"/>
        <w:spacing w:after="0" w:line="32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sectPr w:rsidR="00936C72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46B7"/>
    <w:rsid w:val="00936C72"/>
    <w:rsid w:val="00BD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2010-05-28T05:40:00Z</dcterms:created>
  <dcterms:modified xsi:type="dcterms:W3CDTF">2010-05-28T05:40:00Z</dcterms:modified>
</cp:coreProperties>
</file>