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6F" w:rsidRPr="000C08AC" w:rsidRDefault="00AD024C" w:rsidP="003F4F9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C08AC">
        <w:rPr>
          <w:rFonts w:ascii="Arial" w:hAnsi="Arial" w:cs="Arial"/>
          <w:b/>
          <w:u w:val="single"/>
        </w:rPr>
        <w:t>Appendix 1</w:t>
      </w:r>
    </w:p>
    <w:p w:rsidR="00B82F6F" w:rsidRPr="000C08AC" w:rsidRDefault="003745B9" w:rsidP="0087624A">
      <w:pPr>
        <w:spacing w:line="360" w:lineRule="auto"/>
        <w:jc w:val="both"/>
        <w:rPr>
          <w:rFonts w:ascii="Arial" w:hAnsi="Arial" w:cs="Arial"/>
          <w:b/>
        </w:rPr>
      </w:pPr>
      <w:r w:rsidRPr="000C08AC">
        <w:rPr>
          <w:rFonts w:ascii="Arial" w:hAnsi="Arial" w:cs="Arial"/>
          <w:b/>
        </w:rPr>
        <w:t>Chart 1.1</w:t>
      </w:r>
      <w:r w:rsidR="00B82F6F" w:rsidRPr="000C08AC">
        <w:rPr>
          <w:rFonts w:ascii="Arial" w:hAnsi="Arial" w:cs="Arial"/>
          <w:b/>
        </w:rPr>
        <w:t xml:space="preserve"> – Total Market: Imports, Volumes in TEU</w:t>
      </w:r>
    </w:p>
    <w:p w:rsidR="00B82F6F" w:rsidRPr="000C08AC" w:rsidRDefault="00FF36A1" w:rsidP="003F4F9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27305</wp:posOffset>
            </wp:positionV>
            <wp:extent cx="5189220" cy="31959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19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F6F" w:rsidRPr="000C08AC" w:rsidRDefault="00B82F6F" w:rsidP="003F4F9D">
      <w:pPr>
        <w:jc w:val="both"/>
        <w:rPr>
          <w:rFonts w:ascii="Arial" w:hAnsi="Arial" w:cs="Arial"/>
        </w:rPr>
      </w:pPr>
    </w:p>
    <w:p w:rsidR="00B82F6F" w:rsidRPr="000C08AC" w:rsidRDefault="00B82F6F" w:rsidP="003F4F9D">
      <w:pPr>
        <w:jc w:val="both"/>
        <w:rPr>
          <w:rFonts w:ascii="Arial" w:hAnsi="Arial" w:cs="Arial"/>
        </w:rPr>
      </w:pPr>
    </w:p>
    <w:p w:rsidR="00B82F6F" w:rsidRPr="000C08AC" w:rsidRDefault="00B82F6F" w:rsidP="003F4F9D">
      <w:pPr>
        <w:jc w:val="both"/>
        <w:rPr>
          <w:rFonts w:ascii="Arial" w:hAnsi="Arial" w:cs="Arial"/>
        </w:rPr>
      </w:pPr>
    </w:p>
    <w:p w:rsidR="00B82F6F" w:rsidRPr="000C08AC" w:rsidRDefault="00B82F6F" w:rsidP="003F4F9D">
      <w:pPr>
        <w:jc w:val="both"/>
        <w:rPr>
          <w:rFonts w:ascii="Arial" w:hAnsi="Arial" w:cs="Arial"/>
        </w:rPr>
      </w:pPr>
    </w:p>
    <w:p w:rsidR="00B82F6F" w:rsidRPr="000C08AC" w:rsidRDefault="00B82F6F" w:rsidP="003F4F9D">
      <w:pPr>
        <w:jc w:val="both"/>
        <w:rPr>
          <w:rFonts w:ascii="Arial" w:hAnsi="Arial" w:cs="Arial"/>
        </w:rPr>
      </w:pPr>
    </w:p>
    <w:p w:rsidR="00B82F6F" w:rsidRPr="000C08AC" w:rsidRDefault="00B82F6F" w:rsidP="003F4F9D">
      <w:pPr>
        <w:jc w:val="both"/>
        <w:rPr>
          <w:rFonts w:ascii="Arial" w:hAnsi="Arial" w:cs="Arial"/>
        </w:rPr>
      </w:pPr>
    </w:p>
    <w:p w:rsidR="00B82F6F" w:rsidRPr="000C08AC" w:rsidRDefault="00B82F6F" w:rsidP="003F4F9D">
      <w:pPr>
        <w:jc w:val="both"/>
        <w:rPr>
          <w:rFonts w:ascii="Arial" w:hAnsi="Arial" w:cs="Arial"/>
        </w:rPr>
      </w:pPr>
    </w:p>
    <w:p w:rsidR="00B82F6F" w:rsidRPr="000C08AC" w:rsidRDefault="00B82F6F" w:rsidP="003F4F9D">
      <w:pPr>
        <w:jc w:val="both"/>
        <w:rPr>
          <w:rFonts w:ascii="Arial" w:hAnsi="Arial" w:cs="Arial"/>
        </w:rPr>
      </w:pPr>
    </w:p>
    <w:p w:rsidR="00B82F6F" w:rsidRPr="000C08AC" w:rsidRDefault="00B82F6F" w:rsidP="003F4F9D">
      <w:pPr>
        <w:jc w:val="both"/>
        <w:rPr>
          <w:rFonts w:ascii="Arial" w:hAnsi="Arial" w:cs="Arial"/>
        </w:rPr>
      </w:pPr>
    </w:p>
    <w:p w:rsidR="00B82F6F" w:rsidRPr="000C08AC" w:rsidRDefault="00B82F6F" w:rsidP="003F4F9D">
      <w:pPr>
        <w:jc w:val="both"/>
        <w:rPr>
          <w:rFonts w:ascii="Arial" w:hAnsi="Arial" w:cs="Arial"/>
        </w:rPr>
      </w:pPr>
    </w:p>
    <w:p w:rsidR="007104F3" w:rsidRPr="000C08AC" w:rsidRDefault="007104F3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B82F6F" w:rsidRPr="000C08AC" w:rsidRDefault="00B82F6F" w:rsidP="003F4F9D">
      <w:pPr>
        <w:jc w:val="both"/>
        <w:rPr>
          <w:rFonts w:ascii="Arial" w:hAnsi="Arial" w:cs="Arial"/>
        </w:rPr>
      </w:pPr>
      <w:r w:rsidRPr="000C08AC">
        <w:rPr>
          <w:rFonts w:ascii="Arial" w:hAnsi="Arial" w:cs="Arial"/>
        </w:rPr>
        <w:t>Source: Global Trade Navigator (GTN), JOC numbers used for MEX as not included in GTN data</w:t>
      </w:r>
    </w:p>
    <w:p w:rsidR="003B3FE2" w:rsidRPr="000C08AC" w:rsidRDefault="003B3FE2" w:rsidP="003F4F9D">
      <w:pPr>
        <w:jc w:val="both"/>
        <w:rPr>
          <w:rFonts w:ascii="Arial" w:hAnsi="Arial" w:cs="Arial"/>
          <w:b/>
        </w:rPr>
      </w:pPr>
    </w:p>
    <w:p w:rsidR="003B3FE2" w:rsidRPr="000C08AC" w:rsidRDefault="003B3FE2" w:rsidP="003F4F9D">
      <w:pPr>
        <w:jc w:val="both"/>
        <w:rPr>
          <w:rFonts w:ascii="Arial" w:hAnsi="Arial" w:cs="Arial"/>
          <w:b/>
        </w:rPr>
      </w:pPr>
    </w:p>
    <w:p w:rsidR="00D71F9B" w:rsidRPr="000C08AC" w:rsidRDefault="00FF36A1" w:rsidP="003F4F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5479415" cy="33743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33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F6F" w:rsidRPr="000C08AC">
        <w:rPr>
          <w:rFonts w:ascii="Arial" w:hAnsi="Arial" w:cs="Arial"/>
          <w:b/>
        </w:rPr>
        <w:t>Chart 1.2 – Maersk Line imports by Country, volumes in TEU</w:t>
      </w: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87624A" w:rsidRPr="000C08AC" w:rsidRDefault="00D71F9B" w:rsidP="003F4F9D">
      <w:pPr>
        <w:jc w:val="both"/>
        <w:rPr>
          <w:rFonts w:ascii="Arial" w:hAnsi="Arial" w:cs="Arial"/>
        </w:rPr>
      </w:pPr>
      <w:r w:rsidRPr="000C08AC">
        <w:rPr>
          <w:rFonts w:ascii="Arial" w:hAnsi="Arial" w:cs="Arial"/>
        </w:rPr>
        <w:t>Source: RKMS2, Full Year 2008 volumes as per Freight List Estimate</w:t>
      </w:r>
    </w:p>
    <w:p w:rsidR="003B3FE2" w:rsidRPr="000C08AC" w:rsidRDefault="003B3FE2" w:rsidP="003F4F9D">
      <w:pPr>
        <w:jc w:val="both"/>
        <w:rPr>
          <w:rFonts w:ascii="Arial" w:hAnsi="Arial" w:cs="Arial"/>
        </w:rPr>
      </w:pPr>
      <w:r w:rsidRPr="000C08AC">
        <w:rPr>
          <w:rFonts w:ascii="Arial" w:hAnsi="Arial" w:cs="Arial"/>
          <w:b/>
        </w:rPr>
        <w:lastRenderedPageBreak/>
        <w:t>Chart 1.3 Maersk Line Import Market Share by Country</w:t>
      </w:r>
    </w:p>
    <w:p w:rsidR="003B3FE2" w:rsidRPr="000C08AC" w:rsidRDefault="00FF36A1" w:rsidP="003F4F9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5479415" cy="33743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33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3B3FE2" w:rsidRPr="000C08AC" w:rsidRDefault="003B3FE2" w:rsidP="003F4F9D">
      <w:pPr>
        <w:jc w:val="both"/>
        <w:rPr>
          <w:rFonts w:ascii="Arial" w:hAnsi="Arial" w:cs="Arial"/>
        </w:rPr>
      </w:pPr>
      <w:r w:rsidRPr="000C08AC">
        <w:rPr>
          <w:rFonts w:ascii="Arial" w:hAnsi="Arial" w:cs="Arial"/>
        </w:rPr>
        <w:t>Source: ML volumes RKMS2, Total Market Volumes GTN Global Trade Navigator, JOC used for MEX total mkt volumes</w:t>
      </w: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  <w:b/>
        </w:rPr>
      </w:pPr>
      <w:r w:rsidRPr="000C08AC">
        <w:rPr>
          <w:rFonts w:ascii="Arial" w:hAnsi="Arial" w:cs="Arial"/>
          <w:b/>
        </w:rPr>
        <w:t>Chart 1.4 Total Market Exports, Volumes in TEU</w:t>
      </w:r>
    </w:p>
    <w:p w:rsidR="00DD566D" w:rsidRPr="000C08AC" w:rsidRDefault="00FF36A1" w:rsidP="003F4F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225" cy="33680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FE2" w:rsidRPr="000C08AC" w:rsidRDefault="003B3FE2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D566D" w:rsidRPr="000C08AC" w:rsidRDefault="00DD566D" w:rsidP="003F4F9D">
      <w:pPr>
        <w:jc w:val="both"/>
        <w:rPr>
          <w:rFonts w:ascii="Arial" w:hAnsi="Arial" w:cs="Arial"/>
        </w:rPr>
      </w:pPr>
      <w:r w:rsidRPr="000C08AC">
        <w:rPr>
          <w:rFonts w:ascii="Arial" w:hAnsi="Arial" w:cs="Arial"/>
        </w:rPr>
        <w:t>Source: Global Trade Navigator (GTN), JOC numbers used for MEX as not included in GTN data</w:t>
      </w:r>
    </w:p>
    <w:p w:rsidR="00DD566D" w:rsidRPr="000C08AC" w:rsidRDefault="00DD566D" w:rsidP="003F4F9D">
      <w:pPr>
        <w:jc w:val="both"/>
        <w:rPr>
          <w:rFonts w:ascii="Arial" w:hAnsi="Arial" w:cs="Arial"/>
        </w:rPr>
      </w:pPr>
    </w:p>
    <w:p w:rsidR="00D71F9B" w:rsidRPr="000C08AC" w:rsidRDefault="003F0C58" w:rsidP="003F4F9D">
      <w:pPr>
        <w:jc w:val="both"/>
        <w:rPr>
          <w:rFonts w:ascii="Arial" w:hAnsi="Arial" w:cs="Arial"/>
          <w:b/>
        </w:rPr>
      </w:pPr>
      <w:r w:rsidRPr="000C08AC">
        <w:rPr>
          <w:rFonts w:ascii="Arial" w:hAnsi="Arial" w:cs="Arial"/>
          <w:b/>
        </w:rPr>
        <w:lastRenderedPageBreak/>
        <w:t>Chart 1.5 Maersk Line Exports, Volumes in TEU’s</w:t>
      </w: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FF36A1" w:rsidP="003F4F9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5479415" cy="337439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33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</w:p>
    <w:p w:rsidR="0087624A" w:rsidRPr="000C08AC" w:rsidRDefault="0087624A" w:rsidP="003F4F9D">
      <w:pPr>
        <w:jc w:val="both"/>
        <w:rPr>
          <w:rFonts w:ascii="Arial" w:hAnsi="Arial" w:cs="Arial"/>
        </w:rPr>
      </w:pPr>
    </w:p>
    <w:p w:rsidR="0087624A" w:rsidRPr="000C08AC" w:rsidRDefault="0087624A" w:rsidP="003F4F9D">
      <w:pPr>
        <w:jc w:val="both"/>
        <w:rPr>
          <w:rFonts w:ascii="Arial" w:hAnsi="Arial" w:cs="Arial"/>
        </w:rPr>
      </w:pPr>
    </w:p>
    <w:p w:rsidR="0087624A" w:rsidRPr="000C08AC" w:rsidRDefault="0087624A" w:rsidP="003F4F9D">
      <w:pPr>
        <w:jc w:val="both"/>
        <w:rPr>
          <w:rFonts w:ascii="Arial" w:hAnsi="Arial" w:cs="Arial"/>
        </w:rPr>
      </w:pPr>
    </w:p>
    <w:p w:rsidR="00D71F9B" w:rsidRPr="000C08AC" w:rsidRDefault="00D71F9B" w:rsidP="003F4F9D">
      <w:pPr>
        <w:jc w:val="both"/>
        <w:rPr>
          <w:rFonts w:ascii="Arial" w:hAnsi="Arial" w:cs="Arial"/>
        </w:rPr>
      </w:pPr>
      <w:r w:rsidRPr="000C08AC">
        <w:rPr>
          <w:rFonts w:ascii="Arial" w:hAnsi="Arial" w:cs="Arial"/>
        </w:rPr>
        <w:t>Source: RKMS2, Full Year 2008 volumes as per Freight List Estimates</w:t>
      </w:r>
    </w:p>
    <w:p w:rsidR="003F0C58" w:rsidRPr="000C08AC" w:rsidRDefault="003F0C58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AD024C" w:rsidRPr="000C08AC" w:rsidRDefault="00AD024C" w:rsidP="00AD024C">
      <w:pPr>
        <w:rPr>
          <w:rFonts w:ascii="Arial" w:hAnsi="Arial" w:cs="Arial"/>
        </w:rPr>
      </w:pPr>
    </w:p>
    <w:p w:rsidR="00AD024C" w:rsidRPr="000C08AC" w:rsidRDefault="00AD024C" w:rsidP="00AD024C">
      <w:pPr>
        <w:rPr>
          <w:rFonts w:ascii="Arial" w:hAnsi="Arial" w:cs="Arial"/>
        </w:rPr>
        <w:sectPr w:rsidR="00AD024C" w:rsidRPr="000C08AC" w:rsidSect="003B75DD">
          <w:footerReference w:type="even" r:id="rId12"/>
          <w:footerReference w:type="default" r:id="rId13"/>
          <w:pgSz w:w="11909" w:h="16834" w:code="9"/>
          <w:pgMar w:top="2016" w:right="2016" w:bottom="2016" w:left="2304" w:header="706" w:footer="706" w:gutter="0"/>
          <w:pgNumType w:start="36"/>
          <w:cols w:space="708"/>
          <w:docGrid w:linePitch="360"/>
        </w:sectPr>
      </w:pPr>
    </w:p>
    <w:p w:rsidR="00AD024C" w:rsidRPr="000C08AC" w:rsidRDefault="00DB5B02" w:rsidP="00AD024C">
      <w:pPr>
        <w:rPr>
          <w:rFonts w:ascii="Arial" w:hAnsi="Arial" w:cs="Arial"/>
        </w:rPr>
      </w:pPr>
      <w:r w:rsidRPr="000C08AC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18pt;margin-top:-1in;width:396pt;height:18pt;z-index:251665408" strokecolor="white">
            <v:textbox>
              <w:txbxContent>
                <w:p w:rsidR="00DB5B02" w:rsidRPr="00DB5B02" w:rsidRDefault="00DB5B02" w:rsidP="00DB5B02">
                  <w:pPr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  <w:r w:rsidRPr="00DB5B02">
                    <w:rPr>
                      <w:rFonts w:ascii="Verdana" w:hAnsi="Verdana"/>
                      <w:b/>
                      <w:sz w:val="20"/>
                      <w:u w:val="single"/>
                    </w:rPr>
                    <w:t>Appendix 2</w:t>
                  </w:r>
                </w:p>
              </w:txbxContent>
            </v:textbox>
          </v:shape>
        </w:pict>
      </w:r>
      <w:r w:rsidR="00FF36A1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8915400" cy="3655695"/>
            <wp:effectExtent l="1905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365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24C" w:rsidRPr="000C08AC" w:rsidRDefault="00FF36A1" w:rsidP="00AD024C">
      <w:pPr>
        <w:rPr>
          <w:rFonts w:ascii="Arial" w:hAnsi="Arial" w:cs="Arial"/>
        </w:rPr>
        <w:sectPr w:rsidR="00AD024C" w:rsidRPr="000C08AC" w:rsidSect="00AD024C">
          <w:pgSz w:w="15840" w:h="12240" w:orient="landscape"/>
          <w:pgMar w:top="1800" w:right="1080" w:bottom="1800" w:left="1253" w:header="706" w:footer="706" w:gutter="0"/>
          <w:cols w:space="708"/>
          <w:docGrid w:linePitch="360"/>
        </w:sect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2796540</wp:posOffset>
            </wp:positionV>
            <wp:extent cx="8915400" cy="3344545"/>
            <wp:effectExtent l="19050" t="0" r="0" b="0"/>
            <wp:wrapTight wrapText="bothSides">
              <wp:wrapPolygon edited="0">
                <wp:start x="-46" y="0"/>
                <wp:lineTo x="-46" y="21530"/>
                <wp:lineTo x="21600" y="21530"/>
                <wp:lineTo x="21600" y="0"/>
                <wp:lineTo x="-46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24C" w:rsidRPr="000C08AC" w:rsidRDefault="00FF36A1" w:rsidP="00AD024C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8905875" cy="3019425"/>
            <wp:effectExtent l="19050" t="0" r="9525" b="0"/>
            <wp:wrapTight wrapText="bothSides">
              <wp:wrapPolygon edited="0">
                <wp:start x="-46" y="0"/>
                <wp:lineTo x="-46" y="21532"/>
                <wp:lineTo x="21623" y="21532"/>
                <wp:lineTo x="21623" y="0"/>
                <wp:lineTo x="-46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24C" w:rsidRPr="000C08AC" w:rsidRDefault="00FF36A1" w:rsidP="00AD024C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109855</wp:posOffset>
            </wp:positionV>
            <wp:extent cx="8801100" cy="3086100"/>
            <wp:effectExtent l="1905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24C" w:rsidRPr="000C08AC" w:rsidRDefault="00AD024C" w:rsidP="00AD024C">
      <w:pPr>
        <w:rPr>
          <w:rFonts w:ascii="Arial" w:hAnsi="Arial" w:cs="Arial"/>
        </w:rPr>
      </w:pPr>
    </w:p>
    <w:p w:rsidR="00AD024C" w:rsidRPr="000C08AC" w:rsidRDefault="00AD024C" w:rsidP="00AD024C">
      <w:pPr>
        <w:rPr>
          <w:rFonts w:ascii="Arial" w:hAnsi="Arial" w:cs="Arial"/>
        </w:rPr>
      </w:pPr>
    </w:p>
    <w:p w:rsidR="00AD024C" w:rsidRPr="000C08AC" w:rsidRDefault="00AD024C" w:rsidP="00AD024C">
      <w:pPr>
        <w:rPr>
          <w:rFonts w:ascii="Arial" w:hAnsi="Arial" w:cs="Arial"/>
        </w:rPr>
      </w:pPr>
    </w:p>
    <w:p w:rsidR="00AD024C" w:rsidRPr="000C08AC" w:rsidRDefault="00AD024C" w:rsidP="00AD024C">
      <w:pPr>
        <w:rPr>
          <w:rFonts w:ascii="Arial" w:hAnsi="Arial" w:cs="Arial"/>
        </w:rPr>
      </w:pPr>
    </w:p>
    <w:p w:rsidR="00AD024C" w:rsidRPr="000C08AC" w:rsidRDefault="00AD024C" w:rsidP="00AD024C">
      <w:pPr>
        <w:rPr>
          <w:rFonts w:ascii="Arial" w:hAnsi="Arial" w:cs="Arial"/>
        </w:rPr>
      </w:pPr>
    </w:p>
    <w:p w:rsidR="00AD024C" w:rsidRPr="000C08AC" w:rsidRDefault="00AD024C" w:rsidP="00AD024C">
      <w:pPr>
        <w:rPr>
          <w:rFonts w:ascii="Arial" w:hAnsi="Arial" w:cs="Arial"/>
        </w:rPr>
      </w:pPr>
    </w:p>
    <w:p w:rsidR="00AD024C" w:rsidRPr="000C08AC" w:rsidRDefault="00AD024C" w:rsidP="00AD024C">
      <w:pPr>
        <w:rPr>
          <w:rFonts w:ascii="Arial" w:hAnsi="Arial" w:cs="Arial"/>
        </w:rPr>
      </w:pPr>
    </w:p>
    <w:p w:rsidR="00AD024C" w:rsidRPr="000C08AC" w:rsidRDefault="00AD024C" w:rsidP="00AD024C">
      <w:pPr>
        <w:rPr>
          <w:rFonts w:ascii="Arial" w:hAnsi="Arial" w:cs="Arial"/>
        </w:rPr>
      </w:pPr>
    </w:p>
    <w:p w:rsidR="00AD024C" w:rsidRPr="000C08AC" w:rsidRDefault="00AD024C" w:rsidP="00AD024C">
      <w:pPr>
        <w:rPr>
          <w:rFonts w:ascii="Arial" w:hAnsi="Arial" w:cs="Arial"/>
        </w:rPr>
      </w:pPr>
    </w:p>
    <w:p w:rsidR="00AD024C" w:rsidRPr="000C08AC" w:rsidRDefault="00AD024C" w:rsidP="003F4F9D">
      <w:pPr>
        <w:jc w:val="both"/>
        <w:rPr>
          <w:rFonts w:ascii="Arial" w:hAnsi="Arial" w:cs="Arial"/>
        </w:rPr>
      </w:pPr>
    </w:p>
    <w:p w:rsidR="00844C23" w:rsidRPr="000C08AC" w:rsidRDefault="00844C23" w:rsidP="003F4F9D">
      <w:pPr>
        <w:jc w:val="both"/>
        <w:rPr>
          <w:rFonts w:ascii="Arial" w:hAnsi="Arial" w:cs="Arial"/>
        </w:rPr>
      </w:pPr>
    </w:p>
    <w:p w:rsidR="00844C23" w:rsidRPr="000C08AC" w:rsidRDefault="00844C23" w:rsidP="003F4F9D">
      <w:pPr>
        <w:jc w:val="both"/>
        <w:rPr>
          <w:rFonts w:ascii="Arial" w:hAnsi="Arial" w:cs="Arial"/>
        </w:rPr>
      </w:pPr>
    </w:p>
    <w:p w:rsidR="00844C23" w:rsidRPr="000C08AC" w:rsidRDefault="00844C23" w:rsidP="003F4F9D">
      <w:pPr>
        <w:jc w:val="both"/>
        <w:rPr>
          <w:rFonts w:ascii="Arial" w:hAnsi="Arial" w:cs="Arial"/>
        </w:rPr>
      </w:pPr>
    </w:p>
    <w:p w:rsidR="00844C23" w:rsidRPr="000C08AC" w:rsidRDefault="00844C23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  <w:sectPr w:rsidR="006D297D" w:rsidRPr="000C08AC" w:rsidSect="00AD024C">
          <w:pgSz w:w="15840" w:h="12240" w:orient="landscape"/>
          <w:pgMar w:top="1800" w:right="1080" w:bottom="1800" w:left="1253" w:header="706" w:footer="706" w:gutter="0"/>
          <w:cols w:space="708"/>
          <w:docGrid w:linePitch="360"/>
        </w:sect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  <w:r w:rsidRPr="000C08AC">
        <w:rPr>
          <w:rFonts w:ascii="Arial" w:hAnsi="Arial" w:cs="Arial"/>
          <w:noProof/>
        </w:rPr>
        <w:pict>
          <v:shape id="_x0000_s1041" type="#_x0000_t202" style="position:absolute;left:0;text-align:left;margin-left:-9pt;margin-top:-9pt;width:396pt;height:36pt;z-index:251656192" strokecolor="white">
            <v:textbox>
              <w:txbxContent>
                <w:p w:rsidR="00DB5B02" w:rsidRPr="00DB5B02" w:rsidRDefault="00DB5B02" w:rsidP="006D297D">
                  <w:pPr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  <w:r w:rsidRPr="00DB5B02">
                    <w:rPr>
                      <w:rFonts w:ascii="Verdana" w:hAnsi="Verdana"/>
                      <w:b/>
                      <w:sz w:val="20"/>
                      <w:u w:val="single"/>
                    </w:rPr>
                    <w:t>Appendix 3</w:t>
                  </w:r>
                </w:p>
                <w:p w:rsidR="006D297D" w:rsidRPr="00DB5B02" w:rsidRDefault="006D297D" w:rsidP="006D297D">
                  <w:pPr>
                    <w:rPr>
                      <w:rFonts w:ascii="Verdana" w:hAnsi="Verdana"/>
                      <w:b/>
                      <w:sz w:val="20"/>
                    </w:rPr>
                  </w:pPr>
                  <w:r w:rsidRPr="00DB5B02">
                    <w:rPr>
                      <w:rFonts w:ascii="Verdana" w:hAnsi="Verdana"/>
                      <w:b/>
                      <w:sz w:val="20"/>
                    </w:rPr>
                    <w:t xml:space="preserve">ML - Export 2008 </w:t>
                  </w:r>
                </w:p>
              </w:txbxContent>
            </v:textbox>
          </v:shape>
        </w:pict>
      </w: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FF36A1" w:rsidP="003F4F9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5486400" cy="6696075"/>
            <wp:effectExtent l="1905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  <w:r w:rsidRPr="000C08AC">
        <w:rPr>
          <w:rFonts w:ascii="Arial" w:hAnsi="Arial" w:cs="Arial"/>
          <w:noProof/>
        </w:rPr>
        <w:pict>
          <v:shape id="_x0000_s1043" type="#_x0000_t202" style="position:absolute;left:0;text-align:left;margin-left:-18pt;margin-top:-9pt;width:396pt;height:36pt;z-index:251658240" strokecolor="white">
            <v:textbox>
              <w:txbxContent>
                <w:p w:rsidR="006D297D" w:rsidRPr="009F33F6" w:rsidRDefault="006D297D" w:rsidP="006D297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F33F6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ML - Export Dry 2008-2007 </w:t>
                  </w:r>
                </w:p>
              </w:txbxContent>
            </v:textbox>
          </v:shape>
        </w:pict>
      </w: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FF36A1" w:rsidP="003F4F9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108585</wp:posOffset>
            </wp:positionV>
            <wp:extent cx="6286500" cy="6172200"/>
            <wp:effectExtent l="1905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  <w:r w:rsidRPr="000C08AC">
        <w:rPr>
          <w:rFonts w:ascii="Arial" w:hAnsi="Arial" w:cs="Arial"/>
          <w:noProof/>
        </w:rPr>
        <w:pict>
          <v:shape id="_x0000_s1045" type="#_x0000_t202" style="position:absolute;left:0;text-align:left;margin-left:-18pt;margin-top:-9pt;width:396pt;height:36pt;z-index:251660288" strokecolor="white">
            <v:textbox>
              <w:txbxContent>
                <w:p w:rsidR="006D297D" w:rsidRPr="009F33F6" w:rsidRDefault="006D297D" w:rsidP="006D297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F33F6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ML - Export Reef 2008-2007 </w:t>
                  </w:r>
                </w:p>
              </w:txbxContent>
            </v:textbox>
          </v:shape>
        </w:pict>
      </w: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FF36A1" w:rsidP="003F4F9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68580</wp:posOffset>
            </wp:positionV>
            <wp:extent cx="6172200" cy="6515100"/>
            <wp:effectExtent l="1905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  <w:r w:rsidRPr="000C08AC">
        <w:rPr>
          <w:rFonts w:ascii="Arial" w:hAnsi="Arial" w:cs="Arial"/>
          <w:noProof/>
        </w:rPr>
        <w:pict>
          <v:shape id="_x0000_s1047" type="#_x0000_t202" style="position:absolute;left:0;text-align:left;margin-left:-9pt;margin-top:-9pt;width:396pt;height:36pt;z-index:251662336" strokecolor="white">
            <v:textbox>
              <w:txbxContent>
                <w:p w:rsidR="006D297D" w:rsidRPr="009F33F6" w:rsidRDefault="006D297D" w:rsidP="006D297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F33F6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ML - Import 2008-2007 </w:t>
                  </w:r>
                </w:p>
              </w:txbxContent>
            </v:textbox>
          </v:shape>
        </w:pict>
      </w: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FF36A1" w:rsidP="003F4F9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28575</wp:posOffset>
            </wp:positionV>
            <wp:extent cx="5943600" cy="6629400"/>
            <wp:effectExtent l="1905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6D297D" w:rsidRPr="000C08AC" w:rsidRDefault="006D297D" w:rsidP="003F4F9D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  <w:b/>
          <w:u w:val="single"/>
        </w:rPr>
      </w:pPr>
      <w:r w:rsidRPr="000C08AC">
        <w:rPr>
          <w:rFonts w:ascii="Arial" w:hAnsi="Arial" w:cs="Arial"/>
          <w:b/>
          <w:u w:val="single"/>
        </w:rPr>
        <w:t>Appedix 4</w:t>
      </w:r>
    </w:p>
    <w:p w:rsidR="00DB5B02" w:rsidRPr="000C08AC" w:rsidRDefault="00FF36A1" w:rsidP="00DB5B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650230" cy="4070350"/>
            <wp:effectExtent l="0" t="0" r="0" b="0"/>
            <wp:wrapNone/>
            <wp:docPr id="26" name="Objeto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DB5B02" w:rsidRPr="000C08AC">
        <w:rPr>
          <w:rFonts w:ascii="Arial" w:hAnsi="Arial" w:cs="Arial"/>
          <w:b/>
        </w:rPr>
        <w:t>Economic Indicators</w:t>
      </w: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tbl>
      <w:tblPr>
        <w:tblStyle w:val="Tablaelegante"/>
        <w:tblW w:w="3982" w:type="dxa"/>
        <w:jc w:val="center"/>
        <w:tblLook w:val="0000"/>
      </w:tblPr>
      <w:tblGrid>
        <w:gridCol w:w="2270"/>
        <w:gridCol w:w="927"/>
        <w:gridCol w:w="785"/>
      </w:tblGrid>
      <w:tr w:rsidR="00DB5B02" w:rsidRPr="000C08AC" w:rsidTr="00C77BA1">
        <w:trPr>
          <w:trHeight w:val="330"/>
          <w:jc w:val="center"/>
        </w:trPr>
        <w:tc>
          <w:tcPr>
            <w:tcW w:w="2270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  <w:b/>
              </w:rPr>
            </w:pPr>
            <w:r w:rsidRPr="000C08AC">
              <w:rPr>
                <w:rFonts w:ascii="Arial" w:hAnsi="Arial" w:cs="Arial"/>
                <w:b/>
              </w:rPr>
              <w:t>GDP Growth (%)</w:t>
            </w:r>
            <w:r w:rsidRPr="000C08AC">
              <w:rPr>
                <w:rFonts w:ascii="Arial" w:hAnsi="Arial" w:cs="Arial"/>
                <w:b/>
                <w:vertAlign w:val="superscript"/>
              </w:rPr>
              <w:footnoteReference w:id="2"/>
            </w:r>
          </w:p>
        </w:tc>
        <w:tc>
          <w:tcPr>
            <w:tcW w:w="927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  <w:b/>
              </w:rPr>
            </w:pPr>
            <w:r w:rsidRPr="000C08AC"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785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  <w:b/>
              </w:rPr>
            </w:pPr>
            <w:r w:rsidRPr="000C08AC">
              <w:rPr>
                <w:rFonts w:ascii="Arial" w:hAnsi="Arial" w:cs="Arial"/>
                <w:b/>
              </w:rPr>
              <w:t>2009</w:t>
            </w:r>
          </w:p>
        </w:tc>
      </w:tr>
      <w:tr w:rsidR="00DB5B02" w:rsidRPr="000C08AC" w:rsidTr="00C77BA1">
        <w:trPr>
          <w:trHeight w:val="170"/>
          <w:jc w:val="center"/>
        </w:trPr>
        <w:tc>
          <w:tcPr>
            <w:tcW w:w="2270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C08AC">
                  <w:rPr>
                    <w:rFonts w:ascii="Arial" w:hAnsi="Arial" w:cs="Arial"/>
                    <w:b/>
                  </w:rPr>
                  <w:t>Belize</w:t>
                </w:r>
              </w:smartTag>
            </w:smartTag>
            <w:r w:rsidRPr="000C08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27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</w:rPr>
            </w:pPr>
            <w:r w:rsidRPr="000C08AC">
              <w:rPr>
                <w:rFonts w:ascii="Arial" w:hAnsi="Arial" w:cs="Arial"/>
              </w:rPr>
              <w:t>4</w:t>
            </w:r>
          </w:p>
        </w:tc>
        <w:tc>
          <w:tcPr>
            <w:tcW w:w="785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</w:rPr>
            </w:pPr>
            <w:r w:rsidRPr="000C08AC">
              <w:rPr>
                <w:rFonts w:ascii="Arial" w:hAnsi="Arial" w:cs="Arial"/>
              </w:rPr>
              <w:t>2.5</w:t>
            </w:r>
          </w:p>
        </w:tc>
      </w:tr>
      <w:tr w:rsidR="00DB5B02" w:rsidRPr="000C08AC" w:rsidTr="00C77BA1">
        <w:trPr>
          <w:trHeight w:val="278"/>
          <w:jc w:val="center"/>
        </w:trPr>
        <w:tc>
          <w:tcPr>
            <w:tcW w:w="2270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C08AC">
                  <w:rPr>
                    <w:rFonts w:ascii="Arial" w:hAnsi="Arial" w:cs="Arial"/>
                    <w:b/>
                  </w:rPr>
                  <w:t>Costa Rica</w:t>
                </w:r>
              </w:smartTag>
            </w:smartTag>
            <w:r w:rsidRPr="000C08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27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</w:rPr>
            </w:pPr>
            <w:r w:rsidRPr="000C08AC">
              <w:rPr>
                <w:rFonts w:ascii="Arial" w:hAnsi="Arial" w:cs="Arial"/>
              </w:rPr>
              <w:t>4</w:t>
            </w:r>
          </w:p>
        </w:tc>
        <w:tc>
          <w:tcPr>
            <w:tcW w:w="785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</w:rPr>
            </w:pPr>
            <w:r w:rsidRPr="000C08AC">
              <w:rPr>
                <w:rFonts w:ascii="Arial" w:hAnsi="Arial" w:cs="Arial"/>
              </w:rPr>
              <w:t>3.5</w:t>
            </w:r>
          </w:p>
        </w:tc>
      </w:tr>
      <w:tr w:rsidR="00DB5B02" w:rsidRPr="000C08AC" w:rsidTr="00C77BA1">
        <w:trPr>
          <w:trHeight w:val="164"/>
          <w:jc w:val="center"/>
        </w:trPr>
        <w:tc>
          <w:tcPr>
            <w:tcW w:w="2270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C08AC">
                  <w:rPr>
                    <w:rFonts w:ascii="Arial" w:hAnsi="Arial" w:cs="Arial"/>
                    <w:b/>
                  </w:rPr>
                  <w:t>El Salvador</w:t>
                </w:r>
              </w:smartTag>
            </w:smartTag>
            <w:r w:rsidRPr="000C08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27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</w:rPr>
            </w:pPr>
            <w:r w:rsidRPr="000C08AC">
              <w:rPr>
                <w:rFonts w:ascii="Arial" w:hAnsi="Arial" w:cs="Arial"/>
              </w:rPr>
              <w:t>3</w:t>
            </w:r>
          </w:p>
        </w:tc>
        <w:tc>
          <w:tcPr>
            <w:tcW w:w="785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</w:rPr>
            </w:pPr>
            <w:r w:rsidRPr="000C08AC">
              <w:rPr>
                <w:rFonts w:ascii="Arial" w:hAnsi="Arial" w:cs="Arial"/>
              </w:rPr>
              <w:t>2.6</w:t>
            </w:r>
          </w:p>
        </w:tc>
      </w:tr>
      <w:tr w:rsidR="00DB5B02" w:rsidRPr="000C08AC" w:rsidTr="00C77BA1">
        <w:trPr>
          <w:trHeight w:val="258"/>
          <w:jc w:val="center"/>
        </w:trPr>
        <w:tc>
          <w:tcPr>
            <w:tcW w:w="2270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C08AC">
                  <w:rPr>
                    <w:rFonts w:ascii="Arial" w:hAnsi="Arial" w:cs="Arial"/>
                    <w:b/>
                  </w:rPr>
                  <w:t>Guatemala</w:t>
                </w:r>
              </w:smartTag>
            </w:smartTag>
            <w:r w:rsidRPr="000C08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27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</w:rPr>
            </w:pPr>
            <w:r w:rsidRPr="000C08AC">
              <w:rPr>
                <w:rFonts w:ascii="Arial" w:hAnsi="Arial" w:cs="Arial"/>
              </w:rPr>
              <w:t>4.5</w:t>
            </w:r>
          </w:p>
        </w:tc>
        <w:tc>
          <w:tcPr>
            <w:tcW w:w="785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</w:rPr>
            </w:pPr>
            <w:r w:rsidRPr="000C08AC">
              <w:rPr>
                <w:rFonts w:ascii="Arial" w:hAnsi="Arial" w:cs="Arial"/>
              </w:rPr>
              <w:t>4</w:t>
            </w:r>
          </w:p>
        </w:tc>
      </w:tr>
      <w:tr w:rsidR="00DB5B02" w:rsidRPr="000C08AC" w:rsidTr="00C77BA1">
        <w:trPr>
          <w:trHeight w:val="172"/>
          <w:jc w:val="center"/>
        </w:trPr>
        <w:tc>
          <w:tcPr>
            <w:tcW w:w="2270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C08AC">
                  <w:rPr>
                    <w:rFonts w:ascii="Arial" w:hAnsi="Arial" w:cs="Arial"/>
                    <w:b/>
                  </w:rPr>
                  <w:t>Honduras</w:t>
                </w:r>
              </w:smartTag>
            </w:smartTag>
            <w:r w:rsidRPr="000C08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27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</w:rPr>
            </w:pPr>
            <w:r w:rsidRPr="000C08AC">
              <w:rPr>
                <w:rFonts w:ascii="Arial" w:hAnsi="Arial" w:cs="Arial"/>
              </w:rPr>
              <w:t>4</w:t>
            </w:r>
          </w:p>
        </w:tc>
        <w:tc>
          <w:tcPr>
            <w:tcW w:w="785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</w:rPr>
            </w:pPr>
            <w:r w:rsidRPr="000C08AC">
              <w:rPr>
                <w:rFonts w:ascii="Arial" w:hAnsi="Arial" w:cs="Arial"/>
              </w:rPr>
              <w:t>4.2</w:t>
            </w:r>
          </w:p>
        </w:tc>
      </w:tr>
      <w:tr w:rsidR="00DB5B02" w:rsidRPr="000C08AC" w:rsidTr="00C77BA1">
        <w:trPr>
          <w:trHeight w:val="86"/>
          <w:jc w:val="center"/>
        </w:trPr>
        <w:tc>
          <w:tcPr>
            <w:tcW w:w="2270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C08AC">
                  <w:rPr>
                    <w:rFonts w:ascii="Arial" w:hAnsi="Arial" w:cs="Arial"/>
                    <w:b/>
                  </w:rPr>
                  <w:t>Mexico</w:t>
                </w:r>
              </w:smartTag>
            </w:smartTag>
            <w:r w:rsidRPr="000C08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27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</w:rPr>
            </w:pPr>
            <w:r w:rsidRPr="000C08AC">
              <w:rPr>
                <w:rFonts w:ascii="Arial" w:hAnsi="Arial" w:cs="Arial"/>
              </w:rPr>
              <w:t>2.05</w:t>
            </w:r>
          </w:p>
        </w:tc>
        <w:tc>
          <w:tcPr>
            <w:tcW w:w="785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</w:rPr>
            </w:pPr>
            <w:r w:rsidRPr="000C08AC">
              <w:rPr>
                <w:rFonts w:ascii="Arial" w:hAnsi="Arial" w:cs="Arial"/>
              </w:rPr>
              <w:t>1.8</w:t>
            </w:r>
          </w:p>
        </w:tc>
      </w:tr>
      <w:tr w:rsidR="00DB5B02" w:rsidRPr="000C08AC" w:rsidTr="00C77BA1">
        <w:trPr>
          <w:trHeight w:val="194"/>
          <w:jc w:val="center"/>
        </w:trPr>
        <w:tc>
          <w:tcPr>
            <w:tcW w:w="2270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C08AC">
                  <w:rPr>
                    <w:rFonts w:ascii="Arial" w:hAnsi="Arial" w:cs="Arial"/>
                    <w:b/>
                  </w:rPr>
                  <w:t>Nicaragua</w:t>
                </w:r>
              </w:smartTag>
            </w:smartTag>
            <w:r w:rsidRPr="000C08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27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</w:rPr>
            </w:pPr>
            <w:r w:rsidRPr="000C08AC">
              <w:rPr>
                <w:rFonts w:ascii="Arial" w:hAnsi="Arial" w:cs="Arial"/>
              </w:rPr>
              <w:t>3</w:t>
            </w:r>
          </w:p>
        </w:tc>
        <w:tc>
          <w:tcPr>
            <w:tcW w:w="785" w:type="dxa"/>
          </w:tcPr>
          <w:p w:rsidR="00DB5B02" w:rsidRPr="000C08AC" w:rsidRDefault="00DB5B02" w:rsidP="00DB5B02">
            <w:pPr>
              <w:jc w:val="both"/>
              <w:rPr>
                <w:rFonts w:ascii="Arial" w:hAnsi="Arial" w:cs="Arial"/>
              </w:rPr>
            </w:pPr>
            <w:r w:rsidRPr="000C08AC">
              <w:rPr>
                <w:rFonts w:ascii="Arial" w:hAnsi="Arial" w:cs="Arial"/>
              </w:rPr>
              <w:t>3.5</w:t>
            </w:r>
          </w:p>
        </w:tc>
      </w:tr>
    </w:tbl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numPr>
          <w:ilvl w:val="0"/>
          <w:numId w:val="1"/>
        </w:numPr>
        <w:jc w:val="both"/>
        <w:rPr>
          <w:rFonts w:ascii="Arial" w:hAnsi="Arial" w:cs="Arial"/>
        </w:rPr>
      </w:pPr>
      <w:smartTag w:uri="urn:schemas-microsoft-com:office:smarttags" w:element="country-region">
        <w:r w:rsidRPr="000C08AC">
          <w:rPr>
            <w:rFonts w:ascii="Arial" w:hAnsi="Arial" w:cs="Arial"/>
          </w:rPr>
          <w:t>Mexico</w:t>
        </w:r>
      </w:smartTag>
      <w:r w:rsidRPr="000C08AC">
        <w:rPr>
          <w:rFonts w:ascii="Arial" w:hAnsi="Arial" w:cs="Arial"/>
        </w:rPr>
        <w:t xml:space="preserve">’s GDP is nine times larger than the combined GDP of Guatemala, </w:t>
      </w:r>
      <w:smartTag w:uri="urn:schemas-microsoft-com:office:smarttags" w:element="country-region">
        <w:r w:rsidRPr="000C08AC">
          <w:rPr>
            <w:rFonts w:ascii="Arial" w:hAnsi="Arial" w:cs="Arial"/>
          </w:rPr>
          <w:t>Costa Rica</w:t>
        </w:r>
      </w:smartTag>
      <w:r w:rsidRPr="000C08AC">
        <w:rPr>
          <w:rFonts w:ascii="Arial" w:hAnsi="Arial" w:cs="Arial"/>
        </w:rPr>
        <w:t xml:space="preserve">, </w:t>
      </w:r>
      <w:smartTag w:uri="urn:schemas-microsoft-com:office:smarttags" w:element="country-region">
        <w:r w:rsidRPr="000C08AC">
          <w:rPr>
            <w:rFonts w:ascii="Arial" w:hAnsi="Arial" w:cs="Arial"/>
          </w:rPr>
          <w:t>El Salvador</w:t>
        </w:r>
      </w:smartTag>
      <w:r w:rsidRPr="000C08AC">
        <w:rPr>
          <w:rFonts w:ascii="Arial" w:hAnsi="Arial" w:cs="Arial"/>
        </w:rPr>
        <w:t xml:space="preserve">, </w:t>
      </w:r>
      <w:smartTag w:uri="urn:schemas-microsoft-com:office:smarttags" w:element="country-region">
        <w:r w:rsidRPr="000C08AC">
          <w:rPr>
            <w:rFonts w:ascii="Arial" w:hAnsi="Arial" w:cs="Arial"/>
          </w:rPr>
          <w:t>Honduras</w:t>
        </w:r>
      </w:smartTag>
      <w:r w:rsidRPr="000C08AC">
        <w:rPr>
          <w:rFonts w:ascii="Arial" w:hAnsi="Arial" w:cs="Arial"/>
        </w:rPr>
        <w:t xml:space="preserve">, </w:t>
      </w:r>
      <w:smartTag w:uri="urn:schemas-microsoft-com:office:smarttags" w:element="country-region">
        <w:r w:rsidRPr="000C08AC">
          <w:rPr>
            <w:rFonts w:ascii="Arial" w:hAnsi="Arial" w:cs="Arial"/>
          </w:rPr>
          <w:t>Nicaragua</w:t>
        </w:r>
      </w:smartTag>
      <w:r w:rsidRPr="000C08AC">
        <w:rPr>
          <w:rFonts w:ascii="Arial" w:hAnsi="Arial" w:cs="Arial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0C08AC">
            <w:rPr>
              <w:rFonts w:ascii="Arial" w:hAnsi="Arial" w:cs="Arial"/>
            </w:rPr>
            <w:t>Belize</w:t>
          </w:r>
        </w:smartTag>
      </w:smartTag>
      <w:r w:rsidRPr="000C08AC">
        <w:rPr>
          <w:rFonts w:ascii="Arial" w:hAnsi="Arial" w:cs="Arial"/>
        </w:rPr>
        <w:t>. This is about the same ratio that the U.S. GDP has to the Mexican.</w:t>
      </w:r>
    </w:p>
    <w:p w:rsidR="00DB5B02" w:rsidRPr="000C08AC" w:rsidRDefault="00DB5B02" w:rsidP="00DB5B02">
      <w:pPr>
        <w:numPr>
          <w:ilvl w:val="0"/>
          <w:numId w:val="1"/>
        </w:numPr>
        <w:jc w:val="both"/>
        <w:rPr>
          <w:rFonts w:ascii="Arial" w:hAnsi="Arial" w:cs="Arial"/>
        </w:rPr>
      </w:pPr>
      <w:smartTag w:uri="urn:schemas-microsoft-com:office:smarttags" w:element="country-region">
        <w:r w:rsidRPr="000C08AC">
          <w:rPr>
            <w:rFonts w:ascii="Arial" w:hAnsi="Arial" w:cs="Arial"/>
          </w:rPr>
          <w:t>Mexico</w:t>
        </w:r>
      </w:smartTag>
      <w:r w:rsidRPr="000C08AC">
        <w:rPr>
          <w:rFonts w:ascii="Arial" w:hAnsi="Arial" w:cs="Arial"/>
        </w:rPr>
        <w:t xml:space="preserve">’s GDP compared to the </w:t>
      </w:r>
      <w:smartTag w:uri="urn:schemas-microsoft-com:office:smarttags" w:element="country-region">
        <w:smartTag w:uri="urn:schemas-microsoft-com:office:smarttags" w:element="place">
          <w:r w:rsidRPr="000C08AC">
            <w:rPr>
              <w:rFonts w:ascii="Arial" w:hAnsi="Arial" w:cs="Arial"/>
            </w:rPr>
            <w:t>Guatemala</w:t>
          </w:r>
        </w:smartTag>
      </w:smartTag>
      <w:r w:rsidRPr="000C08AC">
        <w:rPr>
          <w:rFonts w:ascii="Arial" w:hAnsi="Arial" w:cs="Arial"/>
        </w:rPr>
        <w:t xml:space="preserve">’s, which is the second largest in the region, is twenty-six times larger. </w:t>
      </w:r>
    </w:p>
    <w:p w:rsidR="00DB5B02" w:rsidRPr="000C08AC" w:rsidRDefault="00DB5B02" w:rsidP="00DB5B0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C08AC">
        <w:rPr>
          <w:rFonts w:ascii="Arial" w:hAnsi="Arial" w:cs="Arial"/>
        </w:rPr>
        <w:t xml:space="preserve">Comparing </w:t>
      </w:r>
      <w:smartTag w:uri="urn:schemas-microsoft-com:office:smarttags" w:element="country-region">
        <w:r w:rsidRPr="000C08AC">
          <w:rPr>
            <w:rFonts w:ascii="Arial" w:hAnsi="Arial" w:cs="Arial"/>
          </w:rPr>
          <w:t>Guatemala</w:t>
        </w:r>
      </w:smartTag>
      <w:r w:rsidRPr="000C08AC">
        <w:rPr>
          <w:rFonts w:ascii="Arial" w:hAnsi="Arial" w:cs="Arial"/>
        </w:rPr>
        <w:t xml:space="preserve"> (the largest) and </w:t>
      </w:r>
      <w:smartTag w:uri="urn:schemas-microsoft-com:office:smarttags" w:element="country-region">
        <w:smartTag w:uri="urn:schemas-microsoft-com:office:smarttags" w:element="place">
          <w:r w:rsidRPr="000C08AC">
            <w:rPr>
              <w:rFonts w:ascii="Arial" w:hAnsi="Arial" w:cs="Arial"/>
            </w:rPr>
            <w:t>Mexico</w:t>
          </w:r>
        </w:smartTag>
      </w:smartTag>
      <w:r w:rsidRPr="000C08AC">
        <w:rPr>
          <w:rFonts w:ascii="Arial" w:hAnsi="Arial" w:cs="Arial"/>
        </w:rPr>
        <w:t xml:space="preserve"> (smallest) GDP growth in the region. The Mexican net growth represents twelve times more in US dollars.</w:t>
      </w: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9A77CE" w:rsidRPr="000C08AC" w:rsidRDefault="00FF36A1" w:rsidP="00DB5B0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34290</wp:posOffset>
            </wp:positionV>
            <wp:extent cx="5937885" cy="4422775"/>
            <wp:effectExtent l="0" t="0" r="0" b="0"/>
            <wp:wrapNone/>
            <wp:docPr id="27" name="Objeto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9A77CE" w:rsidRPr="000C08AC" w:rsidRDefault="009A77CE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9A77CE" w:rsidRPr="000C08AC" w:rsidRDefault="009A77CE" w:rsidP="00DB5B02">
      <w:pPr>
        <w:jc w:val="both"/>
        <w:rPr>
          <w:rFonts w:ascii="Arial" w:hAnsi="Arial" w:cs="Arial"/>
        </w:rPr>
      </w:pPr>
    </w:p>
    <w:p w:rsidR="009A77CE" w:rsidRPr="000C08AC" w:rsidRDefault="009A77CE" w:rsidP="00DB5B02">
      <w:pPr>
        <w:jc w:val="both"/>
        <w:rPr>
          <w:rFonts w:ascii="Arial" w:hAnsi="Arial" w:cs="Arial"/>
        </w:rPr>
      </w:pPr>
    </w:p>
    <w:p w:rsidR="009A77CE" w:rsidRPr="000C08AC" w:rsidRDefault="009A77CE" w:rsidP="00DB5B02">
      <w:pPr>
        <w:jc w:val="both"/>
        <w:rPr>
          <w:rFonts w:ascii="Arial" w:hAnsi="Arial" w:cs="Arial"/>
        </w:rPr>
      </w:pPr>
    </w:p>
    <w:p w:rsidR="009A77CE" w:rsidRPr="000C08AC" w:rsidRDefault="009A77CE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C08AC">
        <w:rPr>
          <w:rFonts w:ascii="Arial" w:hAnsi="Arial" w:cs="Arial"/>
        </w:rPr>
        <w:t xml:space="preserve">Mexican exports are 9.5 times larger than those of </w:t>
      </w:r>
      <w:smartTag w:uri="urn:schemas-microsoft-com:office:smarttags" w:element="country-region">
        <w:r w:rsidRPr="000C08AC">
          <w:rPr>
            <w:rFonts w:ascii="Arial" w:hAnsi="Arial" w:cs="Arial"/>
          </w:rPr>
          <w:t>Guatemala</w:t>
        </w:r>
      </w:smartTag>
      <w:r w:rsidRPr="000C08AC">
        <w:rPr>
          <w:rFonts w:ascii="Arial" w:hAnsi="Arial" w:cs="Arial"/>
        </w:rPr>
        <w:t xml:space="preserve">, </w:t>
      </w:r>
      <w:smartTag w:uri="urn:schemas-microsoft-com:office:smarttags" w:element="country-region">
        <w:r w:rsidRPr="000C08AC">
          <w:rPr>
            <w:rFonts w:ascii="Arial" w:hAnsi="Arial" w:cs="Arial"/>
          </w:rPr>
          <w:t>Costa Rica</w:t>
        </w:r>
      </w:smartTag>
      <w:r w:rsidRPr="000C08AC">
        <w:rPr>
          <w:rFonts w:ascii="Arial" w:hAnsi="Arial" w:cs="Arial"/>
        </w:rPr>
        <w:t xml:space="preserve">, </w:t>
      </w:r>
      <w:smartTag w:uri="urn:schemas-microsoft-com:office:smarttags" w:element="country-region">
        <w:r w:rsidRPr="000C08AC">
          <w:rPr>
            <w:rFonts w:ascii="Arial" w:hAnsi="Arial" w:cs="Arial"/>
          </w:rPr>
          <w:t>Honduras</w:t>
        </w:r>
      </w:smartTag>
      <w:r w:rsidRPr="000C08AC">
        <w:rPr>
          <w:rFonts w:ascii="Arial" w:hAnsi="Arial" w:cs="Arial"/>
        </w:rPr>
        <w:t xml:space="preserve">, </w:t>
      </w:r>
      <w:smartTag w:uri="urn:schemas-microsoft-com:office:smarttags" w:element="country-region">
        <w:r w:rsidRPr="000C08AC">
          <w:rPr>
            <w:rFonts w:ascii="Arial" w:hAnsi="Arial" w:cs="Arial"/>
          </w:rPr>
          <w:t>El Salvador</w:t>
        </w:r>
      </w:smartTag>
      <w:r w:rsidRPr="000C08AC">
        <w:rPr>
          <w:rFonts w:ascii="Arial" w:hAnsi="Arial" w:cs="Arial"/>
        </w:rPr>
        <w:t xml:space="preserve">, </w:t>
      </w:r>
      <w:smartTag w:uri="urn:schemas-microsoft-com:office:smarttags" w:element="country-region">
        <w:r w:rsidRPr="000C08AC">
          <w:rPr>
            <w:rFonts w:ascii="Arial" w:hAnsi="Arial" w:cs="Arial"/>
          </w:rPr>
          <w:t>Nicaragua</w:t>
        </w:r>
      </w:smartTag>
      <w:r w:rsidRPr="000C08AC">
        <w:rPr>
          <w:rFonts w:ascii="Arial" w:hAnsi="Arial" w:cs="Arial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0C08AC">
            <w:rPr>
              <w:rFonts w:ascii="Arial" w:hAnsi="Arial" w:cs="Arial"/>
            </w:rPr>
            <w:t>Belize</w:t>
          </w:r>
        </w:smartTag>
      </w:smartTag>
      <w:r w:rsidRPr="000C08AC">
        <w:rPr>
          <w:rFonts w:ascii="Arial" w:hAnsi="Arial" w:cs="Arial"/>
        </w:rPr>
        <w:t>.</w:t>
      </w:r>
    </w:p>
    <w:p w:rsidR="00DB5B02" w:rsidRPr="000C08AC" w:rsidRDefault="00DB5B02" w:rsidP="00DB5B0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C08AC">
        <w:rPr>
          <w:rFonts w:ascii="Arial" w:hAnsi="Arial" w:cs="Arial"/>
        </w:rPr>
        <w:t>Mexican imports are six times larger than those of the same countries.</w:t>
      </w:r>
    </w:p>
    <w:p w:rsidR="00DB5B02" w:rsidRPr="000C08AC" w:rsidRDefault="00DB5B02" w:rsidP="00DB5B02">
      <w:pPr>
        <w:numPr>
          <w:ilvl w:val="0"/>
          <w:numId w:val="2"/>
        </w:numPr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ountry-region">
          <w:r w:rsidRPr="000C08AC">
            <w:rPr>
              <w:rFonts w:ascii="Arial" w:hAnsi="Arial" w:cs="Arial"/>
            </w:rPr>
            <w:t>Mexico</w:t>
          </w:r>
        </w:smartTag>
      </w:smartTag>
      <w:r w:rsidRPr="000C08AC">
        <w:rPr>
          <w:rFonts w:ascii="Arial" w:hAnsi="Arial" w:cs="Arial"/>
        </w:rPr>
        <w:t xml:space="preserve"> has the most equilibrated trade balance; imports are only three percent more than exports.</w:t>
      </w:r>
    </w:p>
    <w:p w:rsidR="00DB5B02" w:rsidRDefault="00DB5B02" w:rsidP="00DB5B02">
      <w:pPr>
        <w:numPr>
          <w:ilvl w:val="0"/>
          <w:numId w:val="2"/>
        </w:numPr>
        <w:jc w:val="both"/>
        <w:rPr>
          <w:rFonts w:ascii="Arial" w:hAnsi="Arial" w:cs="Arial"/>
        </w:rPr>
      </w:pPr>
      <w:smartTag w:uri="urn:schemas-microsoft-com:office:smarttags" w:element="country-region">
        <w:r w:rsidRPr="000C08AC">
          <w:rPr>
            <w:rFonts w:ascii="Arial" w:hAnsi="Arial" w:cs="Arial"/>
          </w:rPr>
          <w:t>El Salvador</w:t>
        </w:r>
      </w:smartTag>
      <w:r w:rsidRPr="000C08AC">
        <w:rPr>
          <w:rFonts w:ascii="Arial" w:hAnsi="Arial" w:cs="Arial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0C08AC">
            <w:rPr>
              <w:rFonts w:ascii="Arial" w:hAnsi="Arial" w:cs="Arial"/>
            </w:rPr>
            <w:t>Guatemala</w:t>
          </w:r>
        </w:smartTag>
      </w:smartTag>
      <w:r w:rsidRPr="000C08AC">
        <w:rPr>
          <w:rFonts w:ascii="Arial" w:hAnsi="Arial" w:cs="Arial"/>
        </w:rPr>
        <w:t xml:space="preserve"> have the worst trade balance; imports are 100% and 82% more than exports, respectively.</w:t>
      </w:r>
    </w:p>
    <w:p w:rsidR="00DB4EDD" w:rsidRDefault="00DB4EDD" w:rsidP="00DB4EDD">
      <w:pPr>
        <w:jc w:val="both"/>
        <w:rPr>
          <w:rFonts w:ascii="Arial" w:hAnsi="Arial" w:cs="Arial"/>
        </w:rPr>
      </w:pPr>
    </w:p>
    <w:p w:rsidR="00DB4EDD" w:rsidRDefault="00DB4EDD" w:rsidP="00DB4EDD">
      <w:pPr>
        <w:jc w:val="both"/>
        <w:rPr>
          <w:rFonts w:ascii="Arial" w:hAnsi="Arial" w:cs="Arial"/>
        </w:rPr>
      </w:pPr>
    </w:p>
    <w:p w:rsidR="00DB4EDD" w:rsidRPr="000C08AC" w:rsidRDefault="00DB4EDD" w:rsidP="00DB4EDD">
      <w:pPr>
        <w:jc w:val="both"/>
        <w:rPr>
          <w:rFonts w:ascii="Arial" w:hAnsi="Arial" w:cs="Arial"/>
        </w:rPr>
      </w:pPr>
    </w:p>
    <w:p w:rsidR="00DB5B02" w:rsidRPr="000C08AC" w:rsidRDefault="00DB5B02" w:rsidP="00DB5B02">
      <w:pPr>
        <w:jc w:val="both"/>
        <w:rPr>
          <w:rFonts w:ascii="Arial" w:hAnsi="Arial" w:cs="Arial"/>
        </w:rPr>
      </w:pPr>
    </w:p>
    <w:p w:rsidR="006D297D" w:rsidRPr="00DB4EDD" w:rsidRDefault="006D297D" w:rsidP="003F4F9D">
      <w:pPr>
        <w:jc w:val="both"/>
        <w:rPr>
          <w:rFonts w:ascii="Arial" w:hAnsi="Arial" w:cs="Arial"/>
          <w:lang w:val="es-ES"/>
        </w:rPr>
      </w:pPr>
    </w:p>
    <w:p w:rsidR="006D297D" w:rsidRPr="00DB4EDD" w:rsidRDefault="006D297D" w:rsidP="003F4F9D">
      <w:pPr>
        <w:jc w:val="both"/>
        <w:rPr>
          <w:rFonts w:ascii="Arial" w:hAnsi="Arial" w:cs="Arial"/>
          <w:lang w:val="es-ES"/>
        </w:rPr>
      </w:pPr>
    </w:p>
    <w:p w:rsidR="006D297D" w:rsidRPr="00DB4EDD" w:rsidRDefault="006D297D" w:rsidP="003F4F9D">
      <w:pPr>
        <w:jc w:val="both"/>
        <w:rPr>
          <w:rFonts w:ascii="Arial" w:hAnsi="Arial" w:cs="Arial"/>
          <w:lang w:val="es-ES"/>
        </w:rPr>
      </w:pPr>
    </w:p>
    <w:p w:rsidR="00DB4EDD" w:rsidRPr="00DB4EDD" w:rsidRDefault="00DB4EDD" w:rsidP="00DB4EDD">
      <w:pPr>
        <w:jc w:val="both"/>
        <w:rPr>
          <w:rFonts w:ascii="Arial" w:hAnsi="Arial" w:cs="Arial"/>
          <w:b/>
          <w:u w:val="single"/>
          <w:lang w:val="es-ES"/>
        </w:rPr>
      </w:pPr>
      <w:r w:rsidRPr="00DB4EDD">
        <w:rPr>
          <w:rFonts w:ascii="Arial" w:hAnsi="Arial" w:cs="Arial"/>
          <w:b/>
          <w:u w:val="single"/>
          <w:lang w:val="es-ES"/>
        </w:rPr>
        <w:t>Appendix 5</w:t>
      </w:r>
    </w:p>
    <w:p w:rsidR="00DB4EDD" w:rsidRP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FF36A1" w:rsidP="00DB4EDD">
      <w:pPr>
        <w:spacing w:line="36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6286500" cy="6188075"/>
            <wp:effectExtent l="1905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18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EDD" w:rsidRPr="00554F09">
        <w:rPr>
          <w:rFonts w:ascii="Arial" w:hAnsi="Arial" w:cs="Arial"/>
          <w:b/>
          <w:lang w:val="es-ES"/>
        </w:rPr>
        <w:t>Ahorros</w:t>
      </w:r>
      <w:r w:rsidR="00DB4EDD" w:rsidRPr="00DB4EDD">
        <w:rPr>
          <w:rFonts w:ascii="Arial" w:hAnsi="Arial" w:cs="Arial"/>
          <w:b/>
          <w:lang w:val="es-ES"/>
        </w:rPr>
        <w:t xml:space="preserve"> </w:t>
      </w:r>
      <w:r w:rsidR="00DB4EDD" w:rsidRPr="00554F09">
        <w:rPr>
          <w:rFonts w:ascii="Arial" w:hAnsi="Arial" w:cs="Arial"/>
          <w:b/>
          <w:lang w:val="es-ES"/>
        </w:rPr>
        <w:t>por reducción de personal</w:t>
      </w: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Pr="00554F09" w:rsidRDefault="00DB4EDD" w:rsidP="00DB4EDD">
      <w:pPr>
        <w:jc w:val="both"/>
        <w:rPr>
          <w:rFonts w:ascii="Arial" w:hAnsi="Arial" w:cs="Arial"/>
          <w:b/>
          <w:u w:val="single"/>
          <w:lang w:val="es-ES"/>
        </w:rPr>
      </w:pPr>
      <w:r w:rsidRPr="00554F09">
        <w:rPr>
          <w:rFonts w:ascii="Arial" w:hAnsi="Arial" w:cs="Arial"/>
          <w:b/>
          <w:u w:val="single"/>
          <w:lang w:val="es-ES"/>
        </w:rPr>
        <w:t>Appendix 6</w:t>
      </w:r>
    </w:p>
    <w:p w:rsidR="00DB4EDD" w:rsidRPr="00554F09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</w:p>
    <w:p w:rsidR="00DB4EDD" w:rsidRPr="00554F09" w:rsidRDefault="00DB4EDD" w:rsidP="00DB4EDD">
      <w:pPr>
        <w:spacing w:line="360" w:lineRule="auto"/>
        <w:rPr>
          <w:rFonts w:ascii="Arial" w:hAnsi="Arial" w:cs="Arial"/>
          <w:b/>
          <w:lang w:val="es-ES"/>
        </w:rPr>
      </w:pPr>
      <w:r w:rsidRPr="00554F09">
        <w:rPr>
          <w:rFonts w:ascii="Arial" w:hAnsi="Arial" w:cs="Arial"/>
          <w:b/>
          <w:lang w:val="es-ES"/>
        </w:rPr>
        <w:t>Ahorros por en la cuenta corporativa</w:t>
      </w:r>
    </w:p>
    <w:p w:rsidR="00DB4EDD" w:rsidRPr="00DB4EDD" w:rsidRDefault="00FF36A1" w:rsidP="00DB4EDD">
      <w:pPr>
        <w:spacing w:line="36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1395730</wp:posOffset>
            </wp:positionV>
            <wp:extent cx="5481320" cy="4126865"/>
            <wp:effectExtent l="19050" t="0" r="508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412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97D" w:rsidRDefault="006D297D" w:rsidP="003F4F9D">
      <w:pPr>
        <w:jc w:val="both"/>
        <w:rPr>
          <w:rFonts w:ascii="Arial" w:hAnsi="Arial" w:cs="Arial"/>
          <w:lang w:val="es-ES"/>
        </w:rPr>
      </w:pPr>
    </w:p>
    <w:p w:rsidR="00DB4EDD" w:rsidRDefault="00DB4EDD" w:rsidP="003F4F9D">
      <w:pPr>
        <w:jc w:val="both"/>
        <w:rPr>
          <w:rFonts w:ascii="Arial" w:hAnsi="Arial" w:cs="Arial"/>
          <w:lang w:val="es-ES"/>
        </w:rPr>
      </w:pPr>
    </w:p>
    <w:p w:rsidR="00DB4EDD" w:rsidRDefault="00DB4EDD" w:rsidP="003F4F9D">
      <w:pPr>
        <w:jc w:val="both"/>
        <w:rPr>
          <w:rFonts w:ascii="Arial" w:hAnsi="Arial" w:cs="Arial"/>
          <w:lang w:val="es-ES"/>
        </w:rPr>
      </w:pPr>
    </w:p>
    <w:p w:rsidR="00DB4EDD" w:rsidRDefault="00DB4EDD" w:rsidP="003F4F9D">
      <w:pPr>
        <w:jc w:val="both"/>
        <w:rPr>
          <w:rFonts w:ascii="Arial" w:hAnsi="Arial" w:cs="Arial"/>
          <w:lang w:val="es-ES"/>
        </w:rPr>
      </w:pPr>
    </w:p>
    <w:p w:rsidR="00DB4EDD" w:rsidRDefault="00DB4EDD" w:rsidP="003F4F9D">
      <w:pPr>
        <w:jc w:val="both"/>
        <w:rPr>
          <w:rFonts w:ascii="Arial" w:hAnsi="Arial" w:cs="Arial"/>
          <w:lang w:val="es-ES"/>
        </w:rPr>
      </w:pPr>
    </w:p>
    <w:p w:rsidR="00DB4EDD" w:rsidRDefault="00DB4EDD" w:rsidP="003F4F9D">
      <w:pPr>
        <w:jc w:val="both"/>
        <w:rPr>
          <w:rFonts w:ascii="Arial" w:hAnsi="Arial" w:cs="Arial"/>
          <w:lang w:val="es-ES"/>
        </w:rPr>
      </w:pPr>
    </w:p>
    <w:p w:rsidR="00DB4EDD" w:rsidRDefault="00DB4EDD" w:rsidP="003F4F9D">
      <w:pPr>
        <w:jc w:val="both"/>
        <w:rPr>
          <w:rFonts w:ascii="Arial" w:hAnsi="Arial" w:cs="Arial"/>
          <w:lang w:val="es-ES"/>
        </w:rPr>
      </w:pPr>
    </w:p>
    <w:p w:rsidR="00DB4EDD" w:rsidRDefault="00DB4EDD" w:rsidP="003F4F9D">
      <w:pPr>
        <w:jc w:val="both"/>
        <w:rPr>
          <w:rFonts w:ascii="Arial" w:hAnsi="Arial" w:cs="Arial"/>
          <w:lang w:val="es-ES"/>
        </w:rPr>
      </w:pPr>
    </w:p>
    <w:p w:rsidR="00DB4EDD" w:rsidRDefault="00DB4EDD" w:rsidP="003F4F9D">
      <w:pPr>
        <w:jc w:val="both"/>
        <w:rPr>
          <w:rFonts w:ascii="Arial" w:hAnsi="Arial" w:cs="Arial"/>
          <w:lang w:val="es-ES"/>
        </w:rPr>
      </w:pPr>
    </w:p>
    <w:p w:rsidR="00DB4EDD" w:rsidRPr="00DB4EDD" w:rsidRDefault="00DB4EDD" w:rsidP="003F4F9D">
      <w:pPr>
        <w:jc w:val="both"/>
        <w:rPr>
          <w:rFonts w:ascii="Arial" w:hAnsi="Arial" w:cs="Arial"/>
          <w:lang w:val="es-ES"/>
        </w:rPr>
      </w:pPr>
    </w:p>
    <w:sectPr w:rsidR="00DB4EDD" w:rsidRPr="00DB4EDD" w:rsidSect="006D297D">
      <w:pgSz w:w="12240" w:h="15840"/>
      <w:pgMar w:top="1253" w:right="1800" w:bottom="108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4EC" w:rsidRDefault="002334EC">
      <w:r>
        <w:separator/>
      </w:r>
    </w:p>
  </w:endnote>
  <w:endnote w:type="continuationSeparator" w:id="1">
    <w:p w:rsidR="002334EC" w:rsidRDefault="0023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DD" w:rsidRDefault="003B75DD" w:rsidP="003655E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75DD" w:rsidRDefault="003B75D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DD" w:rsidRDefault="003B75DD" w:rsidP="003655E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36A1">
      <w:rPr>
        <w:rStyle w:val="Nmerodepgina"/>
        <w:noProof/>
      </w:rPr>
      <w:t>36</w:t>
    </w:r>
    <w:r>
      <w:rPr>
        <w:rStyle w:val="Nmerodepgina"/>
      </w:rPr>
      <w:fldChar w:fldCharType="end"/>
    </w:r>
  </w:p>
  <w:p w:rsidR="003B75DD" w:rsidRDefault="003B75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4EC" w:rsidRDefault="002334EC">
      <w:r>
        <w:separator/>
      </w:r>
    </w:p>
  </w:footnote>
  <w:footnote w:type="continuationSeparator" w:id="1">
    <w:p w:rsidR="002334EC" w:rsidRDefault="002334EC">
      <w:r>
        <w:continuationSeparator/>
      </w:r>
    </w:p>
  </w:footnote>
  <w:footnote w:id="2">
    <w:p w:rsidR="00DB5B02" w:rsidRPr="00331120" w:rsidRDefault="00DB5B02" w:rsidP="00DB5B02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IMF </w:t>
      </w:r>
      <w:r w:rsidRPr="00331120">
        <w:t>estimates</w:t>
      </w:r>
      <w:r>
        <w:rPr>
          <w:lang w:val="es-MX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F4A"/>
    <w:multiLevelType w:val="hybridMultilevel"/>
    <w:tmpl w:val="6DA84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D2965"/>
    <w:multiLevelType w:val="hybridMultilevel"/>
    <w:tmpl w:val="6C3CA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90F"/>
    <w:rsid w:val="00016E1C"/>
    <w:rsid w:val="00027EC7"/>
    <w:rsid w:val="000351F8"/>
    <w:rsid w:val="000435F6"/>
    <w:rsid w:val="0005283C"/>
    <w:rsid w:val="00065A43"/>
    <w:rsid w:val="000C08AC"/>
    <w:rsid w:val="000D7D1A"/>
    <w:rsid w:val="00110105"/>
    <w:rsid w:val="00112E28"/>
    <w:rsid w:val="00113B69"/>
    <w:rsid w:val="00132276"/>
    <w:rsid w:val="00174F60"/>
    <w:rsid w:val="00192708"/>
    <w:rsid w:val="001A6D8F"/>
    <w:rsid w:val="001D5CD3"/>
    <w:rsid w:val="001D626A"/>
    <w:rsid w:val="00200A95"/>
    <w:rsid w:val="002334EC"/>
    <w:rsid w:val="0024003E"/>
    <w:rsid w:val="002400B8"/>
    <w:rsid w:val="002B3692"/>
    <w:rsid w:val="002C096D"/>
    <w:rsid w:val="002D7134"/>
    <w:rsid w:val="002F023B"/>
    <w:rsid w:val="002F170C"/>
    <w:rsid w:val="00301B26"/>
    <w:rsid w:val="003125FD"/>
    <w:rsid w:val="00321C28"/>
    <w:rsid w:val="003233D9"/>
    <w:rsid w:val="00354180"/>
    <w:rsid w:val="0035430E"/>
    <w:rsid w:val="00362AEF"/>
    <w:rsid w:val="003655E1"/>
    <w:rsid w:val="003713C3"/>
    <w:rsid w:val="003745B9"/>
    <w:rsid w:val="00377498"/>
    <w:rsid w:val="003A3391"/>
    <w:rsid w:val="003B3FE2"/>
    <w:rsid w:val="003B75DD"/>
    <w:rsid w:val="003C7210"/>
    <w:rsid w:val="003F0C58"/>
    <w:rsid w:val="003F1C67"/>
    <w:rsid w:val="003F4F9D"/>
    <w:rsid w:val="00414CFD"/>
    <w:rsid w:val="0045072A"/>
    <w:rsid w:val="0046180B"/>
    <w:rsid w:val="00470CC6"/>
    <w:rsid w:val="004E67E4"/>
    <w:rsid w:val="004F5A49"/>
    <w:rsid w:val="00504226"/>
    <w:rsid w:val="005169BF"/>
    <w:rsid w:val="00532BAF"/>
    <w:rsid w:val="00533806"/>
    <w:rsid w:val="0054720F"/>
    <w:rsid w:val="00555871"/>
    <w:rsid w:val="00565A75"/>
    <w:rsid w:val="00571D59"/>
    <w:rsid w:val="00575AC6"/>
    <w:rsid w:val="005A6257"/>
    <w:rsid w:val="005D6E6B"/>
    <w:rsid w:val="005F4325"/>
    <w:rsid w:val="00605C9D"/>
    <w:rsid w:val="00621E8A"/>
    <w:rsid w:val="00653F26"/>
    <w:rsid w:val="006670E4"/>
    <w:rsid w:val="00696D49"/>
    <w:rsid w:val="006B74FD"/>
    <w:rsid w:val="006D297D"/>
    <w:rsid w:val="006D3963"/>
    <w:rsid w:val="006E5438"/>
    <w:rsid w:val="007104F3"/>
    <w:rsid w:val="007311D7"/>
    <w:rsid w:val="0075678C"/>
    <w:rsid w:val="0077377A"/>
    <w:rsid w:val="00774A6F"/>
    <w:rsid w:val="00774F18"/>
    <w:rsid w:val="007A37E2"/>
    <w:rsid w:val="007E5663"/>
    <w:rsid w:val="007F4BAE"/>
    <w:rsid w:val="00823FD7"/>
    <w:rsid w:val="00844C23"/>
    <w:rsid w:val="0087624A"/>
    <w:rsid w:val="00887660"/>
    <w:rsid w:val="008B7477"/>
    <w:rsid w:val="008C6DFA"/>
    <w:rsid w:val="008E4AC5"/>
    <w:rsid w:val="008F2DA6"/>
    <w:rsid w:val="009355CC"/>
    <w:rsid w:val="00954D5C"/>
    <w:rsid w:val="009559DF"/>
    <w:rsid w:val="0097005C"/>
    <w:rsid w:val="009A2F23"/>
    <w:rsid w:val="009A55B1"/>
    <w:rsid w:val="009A77CE"/>
    <w:rsid w:val="009C450B"/>
    <w:rsid w:val="009D7A73"/>
    <w:rsid w:val="009F1508"/>
    <w:rsid w:val="009F33F6"/>
    <w:rsid w:val="00A27162"/>
    <w:rsid w:val="00AB5AF5"/>
    <w:rsid w:val="00AD024C"/>
    <w:rsid w:val="00AE293D"/>
    <w:rsid w:val="00AF3F13"/>
    <w:rsid w:val="00B15934"/>
    <w:rsid w:val="00B228FB"/>
    <w:rsid w:val="00B33A26"/>
    <w:rsid w:val="00B54D75"/>
    <w:rsid w:val="00B6314E"/>
    <w:rsid w:val="00B82F6F"/>
    <w:rsid w:val="00BB04BF"/>
    <w:rsid w:val="00BC3BFB"/>
    <w:rsid w:val="00BE46B1"/>
    <w:rsid w:val="00BE63FB"/>
    <w:rsid w:val="00BF2F22"/>
    <w:rsid w:val="00C0442C"/>
    <w:rsid w:val="00C26277"/>
    <w:rsid w:val="00C41C29"/>
    <w:rsid w:val="00C43745"/>
    <w:rsid w:val="00C43A69"/>
    <w:rsid w:val="00C43AF6"/>
    <w:rsid w:val="00C65461"/>
    <w:rsid w:val="00C7548E"/>
    <w:rsid w:val="00C77BA1"/>
    <w:rsid w:val="00C817D7"/>
    <w:rsid w:val="00CD3005"/>
    <w:rsid w:val="00CF01E9"/>
    <w:rsid w:val="00CF7B5C"/>
    <w:rsid w:val="00D06889"/>
    <w:rsid w:val="00D12387"/>
    <w:rsid w:val="00D31ED6"/>
    <w:rsid w:val="00D32CEA"/>
    <w:rsid w:val="00D4288B"/>
    <w:rsid w:val="00D50019"/>
    <w:rsid w:val="00D55671"/>
    <w:rsid w:val="00D71D80"/>
    <w:rsid w:val="00D71F9B"/>
    <w:rsid w:val="00D724AA"/>
    <w:rsid w:val="00DB4EDD"/>
    <w:rsid w:val="00DB5B02"/>
    <w:rsid w:val="00DC0035"/>
    <w:rsid w:val="00DC077B"/>
    <w:rsid w:val="00DC75DF"/>
    <w:rsid w:val="00DD1672"/>
    <w:rsid w:val="00DD566D"/>
    <w:rsid w:val="00DE30BD"/>
    <w:rsid w:val="00E3190F"/>
    <w:rsid w:val="00E410D0"/>
    <w:rsid w:val="00E80851"/>
    <w:rsid w:val="00E826EA"/>
    <w:rsid w:val="00EA2012"/>
    <w:rsid w:val="00EA290B"/>
    <w:rsid w:val="00EA3F98"/>
    <w:rsid w:val="00EC33A9"/>
    <w:rsid w:val="00ED28B3"/>
    <w:rsid w:val="00EF2B2B"/>
    <w:rsid w:val="00EF5B57"/>
    <w:rsid w:val="00F122A3"/>
    <w:rsid w:val="00F25D6A"/>
    <w:rsid w:val="00F272DC"/>
    <w:rsid w:val="00F36258"/>
    <w:rsid w:val="00F623D3"/>
    <w:rsid w:val="00F84594"/>
    <w:rsid w:val="00FA029A"/>
    <w:rsid w:val="00FB44BD"/>
    <w:rsid w:val="00FE1963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elegante">
    <w:name w:val="Table Elegant"/>
    <w:basedOn w:val="Tablanormal"/>
    <w:rsid w:val="00DB5B0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semiHidden/>
    <w:rsid w:val="00DB5B02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B5B02"/>
    <w:rPr>
      <w:vertAlign w:val="superscript"/>
    </w:rPr>
  </w:style>
  <w:style w:type="paragraph" w:styleId="Piedepgina">
    <w:name w:val="footer"/>
    <w:basedOn w:val="Normal"/>
    <w:rsid w:val="003B75DD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3B7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4.e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chart" Target="charts/chart2.xml"/><Relationship Id="rId10" Type="http://schemas.openxmlformats.org/officeDocument/2006/relationships/image" Target="media/image4.e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Relationship Id="rId22" Type="http://schemas.openxmlformats.org/officeDocument/2006/relationships/chart" Target="charts/chart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r>
              <a:t>GDP - 2007</a:t>
            </a:r>
          </a:p>
        </c:rich>
      </c:tx>
      <c:layout>
        <c:manualLayout>
          <c:xMode val="edge"/>
          <c:yMode val="edge"/>
          <c:x val="0.4261168384879726"/>
          <c:y val="1.9138755980861243E-2"/>
        </c:manualLayout>
      </c:layout>
      <c:spPr>
        <a:noFill/>
        <a:ln w="25360">
          <a:noFill/>
        </a:ln>
      </c:spPr>
    </c:title>
    <c:plotArea>
      <c:layout>
        <c:manualLayout>
          <c:layoutTarget val="inner"/>
          <c:xMode val="edge"/>
          <c:yMode val="edge"/>
          <c:x val="0.12886597938144329"/>
          <c:y val="0.15550239234449775"/>
          <c:w val="0.83161512027491413"/>
          <c:h val="0.6004784688995216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GDP (ppp)</c:v>
                </c:pt>
              </c:strCache>
            </c:strRef>
          </c:tx>
          <c:spPr>
            <a:solidFill>
              <a:srgbClr val="0099CC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Mexico</c:v>
                </c:pt>
                <c:pt idx="1">
                  <c:v>Guatemala</c:v>
                </c:pt>
                <c:pt idx="2">
                  <c:v>Costa Rica</c:v>
                </c:pt>
                <c:pt idx="3">
                  <c:v>El Salvador</c:v>
                </c:pt>
                <c:pt idx="4">
                  <c:v>Honduras</c:v>
                </c:pt>
                <c:pt idx="5">
                  <c:v>Nicaragua</c:v>
                </c:pt>
                <c:pt idx="6">
                  <c:v>Belize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 formatCode="#,##0">
                  <c:v>1353</c:v>
                </c:pt>
                <c:pt idx="1">
                  <c:v>64.760000000000005</c:v>
                </c:pt>
                <c:pt idx="2">
                  <c:v>45.77</c:v>
                </c:pt>
                <c:pt idx="3">
                  <c:v>41.63</c:v>
                </c:pt>
                <c:pt idx="4">
                  <c:v>32.260000000000012</c:v>
                </c:pt>
                <c:pt idx="5">
                  <c:v>16.170000000000005</c:v>
                </c:pt>
                <c:pt idx="6">
                  <c:v>2.44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GDP (official)</c:v>
                </c:pt>
              </c:strCache>
            </c:strRef>
          </c:tx>
          <c:spPr>
            <a:solidFill>
              <a:srgbClr val="AA3C1E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Mexico</c:v>
                </c:pt>
                <c:pt idx="1">
                  <c:v>Guatemala</c:v>
                </c:pt>
                <c:pt idx="2">
                  <c:v>Costa Rica</c:v>
                </c:pt>
                <c:pt idx="3">
                  <c:v>El Salvador</c:v>
                </c:pt>
                <c:pt idx="4">
                  <c:v>Honduras</c:v>
                </c:pt>
                <c:pt idx="5">
                  <c:v>Nicaragua</c:v>
                </c:pt>
                <c:pt idx="6">
                  <c:v>Belize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893.4</c:v>
                </c:pt>
                <c:pt idx="1">
                  <c:v>33.690000000000012</c:v>
                </c:pt>
                <c:pt idx="2">
                  <c:v>26.24</c:v>
                </c:pt>
                <c:pt idx="3">
                  <c:v>20.37</c:v>
                </c:pt>
                <c:pt idx="4">
                  <c:v>12.28</c:v>
                </c:pt>
                <c:pt idx="5">
                  <c:v>5.7229999999999981</c:v>
                </c:pt>
                <c:pt idx="6">
                  <c:v>1.27</c:v>
                </c:pt>
              </c:numCache>
            </c:numRef>
          </c:val>
        </c:ser>
        <c:axId val="73182592"/>
        <c:axId val="187258368"/>
      </c:barChart>
      <c:catAx>
        <c:axId val="731825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t>Country</a:t>
                </a:r>
              </a:p>
            </c:rich>
          </c:tx>
          <c:layout>
            <c:manualLayout>
              <c:xMode val="edge"/>
              <c:yMode val="edge"/>
              <c:x val="0.49828178694158082"/>
              <c:y val="0.86842105263157965"/>
            </c:manualLayout>
          </c:layout>
          <c:spPr>
            <a:noFill/>
            <a:ln w="25360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48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187258368"/>
        <c:crosses val="autoZero"/>
        <c:auto val="1"/>
        <c:lblAlgn val="ctr"/>
        <c:lblOffset val="100"/>
        <c:tickMarkSkip val="1"/>
      </c:catAx>
      <c:valAx>
        <c:axId val="18725836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t>Billion USD</a:t>
                </a:r>
              </a:p>
            </c:rich>
          </c:tx>
          <c:layout>
            <c:manualLayout>
              <c:xMode val="edge"/>
              <c:yMode val="edge"/>
              <c:x val="0"/>
              <c:y val="0.36602870813397143"/>
            </c:manualLayout>
          </c:layout>
          <c:spPr>
            <a:noFill/>
            <a:ln w="25360">
              <a:noFill/>
            </a:ln>
          </c:spPr>
        </c:title>
        <c:numFmt formatCode="#,##0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31825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</c:dTable>
      <c:spPr>
        <a:solidFill>
          <a:srgbClr val="FFFFFF"/>
        </a:solidFill>
        <a:ln w="25360">
          <a:noFill/>
        </a:ln>
      </c:spPr>
    </c:plotArea>
    <c:legend>
      <c:legendPos val="b"/>
      <c:layout>
        <c:manualLayout>
          <c:xMode val="edge"/>
          <c:yMode val="edge"/>
          <c:x val="0.32130584192439887"/>
          <c:y val="0.95215311004784686"/>
          <c:w val="0.22680412371134021"/>
          <c:h val="4.0669856459330141E-2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689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es-E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r>
              <a:t>Imports &amp; Exports -  2007</a:t>
            </a:r>
          </a:p>
        </c:rich>
      </c:tx>
      <c:layout>
        <c:manualLayout>
          <c:xMode val="edge"/>
          <c:yMode val="edge"/>
          <c:x val="0.34201954397394152"/>
          <c:y val="1.973684210526316E-2"/>
        </c:manualLayout>
      </c:layout>
      <c:spPr>
        <a:noFill/>
        <a:ln w="25309">
          <a:noFill/>
        </a:ln>
      </c:spPr>
    </c:title>
    <c:plotArea>
      <c:layout>
        <c:manualLayout>
          <c:layoutTarget val="inner"/>
          <c:xMode val="edge"/>
          <c:yMode val="edge"/>
          <c:x val="0.20846905537459293"/>
          <c:y val="0.14254385964912286"/>
          <c:w val="0.75570032573289903"/>
          <c:h val="0.587719298245614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Exports (2007 est)</c:v>
                </c:pt>
              </c:strCache>
            </c:strRef>
          </c:tx>
          <c:spPr>
            <a:solidFill>
              <a:srgbClr val="0099CC"/>
            </a:solidFill>
            <a:ln w="12655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Mexico</c:v>
                </c:pt>
                <c:pt idx="1">
                  <c:v>Guatemala</c:v>
                </c:pt>
                <c:pt idx="2">
                  <c:v>Costa Rica</c:v>
                </c:pt>
                <c:pt idx="3">
                  <c:v>Honduras</c:v>
                </c:pt>
                <c:pt idx="4">
                  <c:v>El Salvador</c:v>
                </c:pt>
                <c:pt idx="5">
                  <c:v>Nicaragua</c:v>
                </c:pt>
                <c:pt idx="6">
                  <c:v>Belize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271.89999999999986</c:v>
                </c:pt>
                <c:pt idx="1">
                  <c:v>6.94</c:v>
                </c:pt>
                <c:pt idx="2">
                  <c:v>9.27</c:v>
                </c:pt>
                <c:pt idx="3">
                  <c:v>5.59</c:v>
                </c:pt>
                <c:pt idx="4">
                  <c:v>4.04</c:v>
                </c:pt>
                <c:pt idx="5">
                  <c:v>2.3099999999999992</c:v>
                </c:pt>
                <c:pt idx="6">
                  <c:v>0.4300000000000001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Imports (2007 est)</c:v>
                </c:pt>
              </c:strCache>
            </c:strRef>
          </c:tx>
          <c:spPr>
            <a:solidFill>
              <a:srgbClr val="AA3C1E"/>
            </a:solidFill>
            <a:ln w="12655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Mexico</c:v>
                </c:pt>
                <c:pt idx="1">
                  <c:v>Guatemala</c:v>
                </c:pt>
                <c:pt idx="2">
                  <c:v>Costa Rica</c:v>
                </c:pt>
                <c:pt idx="3">
                  <c:v>Honduras</c:v>
                </c:pt>
                <c:pt idx="4">
                  <c:v>El Salvador</c:v>
                </c:pt>
                <c:pt idx="5">
                  <c:v>Nicaragua</c:v>
                </c:pt>
                <c:pt idx="6">
                  <c:v>Belize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281.89999999999986</c:v>
                </c:pt>
                <c:pt idx="1">
                  <c:v>12.62</c:v>
                </c:pt>
                <c:pt idx="2">
                  <c:v>12.26</c:v>
                </c:pt>
                <c:pt idx="3">
                  <c:v>8.56</c:v>
                </c:pt>
                <c:pt idx="4">
                  <c:v>8.11</c:v>
                </c:pt>
                <c:pt idx="5">
                  <c:v>4.08</c:v>
                </c:pt>
                <c:pt idx="6">
                  <c:v>0.64000000000000024</c:v>
                </c:pt>
              </c:numCache>
            </c:numRef>
          </c:val>
        </c:ser>
        <c:axId val="187654144"/>
        <c:axId val="187656064"/>
      </c:barChart>
      <c:catAx>
        <c:axId val="1876541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97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t>Country</a:t>
                </a:r>
              </a:p>
            </c:rich>
          </c:tx>
          <c:layout>
            <c:manualLayout>
              <c:xMode val="edge"/>
              <c:yMode val="edge"/>
              <c:x val="0.53908794788273595"/>
              <c:y val="0.87719298245614052"/>
            </c:manualLayout>
          </c:layout>
          <c:spPr>
            <a:noFill/>
            <a:ln w="25309">
              <a:noFill/>
            </a:ln>
          </c:spPr>
        </c:title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32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187656064"/>
        <c:crosses val="autoZero"/>
        <c:auto val="1"/>
        <c:lblAlgn val="ctr"/>
        <c:lblOffset val="100"/>
        <c:tickMarkSkip val="1"/>
      </c:catAx>
      <c:valAx>
        <c:axId val="18765606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97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t>Billion USD</a:t>
                </a:r>
              </a:p>
            </c:rich>
          </c:tx>
          <c:layout>
            <c:manualLayout>
              <c:xMode val="edge"/>
              <c:yMode val="edge"/>
              <c:x val="0"/>
              <c:y val="0.34868421052631576"/>
            </c:manualLayout>
          </c:layout>
          <c:spPr>
            <a:noFill/>
            <a:ln w="25309">
              <a:noFill/>
            </a:ln>
          </c:spPr>
        </c:title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7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1876541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4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22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</c:dTable>
      <c:spPr>
        <a:solidFill>
          <a:srgbClr val="FFFFFF"/>
        </a:solidFill>
        <a:ln w="25309">
          <a:noFill/>
        </a:ln>
      </c:spPr>
    </c:plotArea>
    <c:legend>
      <c:legendPos val="b"/>
      <c:layout>
        <c:manualLayout>
          <c:xMode val="edge"/>
          <c:yMode val="edge"/>
          <c:x val="0.28501628664495138"/>
          <c:y val="0.95175438596491202"/>
          <c:w val="0.40553745928338764"/>
          <c:h val="4.1666666666666671E-2"/>
        </c:manualLayout>
      </c:layout>
      <c:spPr>
        <a:solidFill>
          <a:srgbClr val="FFFFFF"/>
        </a:solidFill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52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es-E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2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Historically, the northern parts of Central America and Mexico have traded almost exclusively with the United States, and today the USA remains their largest trading partner</vt:lpstr>
    </vt:vector>
  </TitlesOfParts>
  <Company>Maersk Sealand Mexico S.A. de C.V.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Historically, the northern parts of Central America and Mexico have traded almost exclusively with the United States, and today the USA remains their largest trading partner</dc:title>
  <dc:subject/>
  <dc:creator>jfa016</dc:creator>
  <cp:keywords/>
  <dc:description/>
  <cp:lastModifiedBy>silgivar</cp:lastModifiedBy>
  <cp:revision>2</cp:revision>
  <dcterms:created xsi:type="dcterms:W3CDTF">2010-06-04T14:56:00Z</dcterms:created>
  <dcterms:modified xsi:type="dcterms:W3CDTF">2010-06-04T14:56:00Z</dcterms:modified>
</cp:coreProperties>
</file>