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2EF" w:rsidRPr="00CB13D4" w:rsidRDefault="00B04CD6" w:rsidP="00B642EF">
      <w:pPr>
        <w:jc w:val="center"/>
        <w:rPr>
          <w:rFonts w:ascii="Arial" w:eastAsia="Arial Unicode MS" w:hAnsi="Arial" w:cs="Arial"/>
          <w:sz w:val="28"/>
          <w:szCs w:val="28"/>
        </w:rPr>
      </w:pPr>
      <w:r>
        <w:rPr>
          <w:rFonts w:ascii="Arial" w:eastAsia="Arial Unicode MS" w:hAnsi="Arial" w:cs="Arial"/>
          <w:noProof/>
          <w:sz w:val="28"/>
          <w:szCs w:val="28"/>
        </w:rPr>
        <w:drawing>
          <wp:inline distT="0" distB="0" distL="0" distR="0">
            <wp:extent cx="1397000" cy="1054100"/>
            <wp:effectExtent l="19050" t="0" r="0" b="0"/>
            <wp:docPr id="1"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7"/>
                    <a:srcRect/>
                    <a:stretch>
                      <a:fillRect/>
                    </a:stretch>
                  </pic:blipFill>
                  <pic:spPr bwMode="auto">
                    <a:xfrm>
                      <a:off x="0" y="0"/>
                      <a:ext cx="1397000" cy="1054100"/>
                    </a:xfrm>
                    <a:prstGeom prst="rect">
                      <a:avLst/>
                    </a:prstGeom>
                    <a:noFill/>
                    <a:ln w="9525">
                      <a:noFill/>
                      <a:miter lim="800000"/>
                      <a:headEnd/>
                      <a:tailEnd/>
                    </a:ln>
                  </pic:spPr>
                </pic:pic>
              </a:graphicData>
            </a:graphic>
          </wp:inline>
        </w:drawing>
      </w:r>
    </w:p>
    <w:p w:rsidR="00B642EF" w:rsidRPr="00CB13D4" w:rsidRDefault="00B642EF" w:rsidP="00B642EF">
      <w:pPr>
        <w:jc w:val="center"/>
        <w:rPr>
          <w:rFonts w:ascii="Arial" w:eastAsia="Arial Unicode MS" w:hAnsi="Arial" w:cs="Arial"/>
          <w:sz w:val="28"/>
          <w:szCs w:val="28"/>
        </w:rPr>
      </w:pPr>
    </w:p>
    <w:p w:rsidR="00B642EF" w:rsidRPr="00CB13D4" w:rsidRDefault="00B642EF" w:rsidP="00B642EF">
      <w:pPr>
        <w:jc w:val="center"/>
        <w:outlineLvl w:val="0"/>
        <w:rPr>
          <w:rFonts w:ascii="Arial" w:eastAsia="Arial Unicode MS" w:hAnsi="Arial" w:cs="Arial"/>
          <w:b/>
          <w:sz w:val="32"/>
          <w:szCs w:val="32"/>
        </w:rPr>
      </w:pPr>
      <w:bookmarkStart w:id="0" w:name="_Toc183697457"/>
      <w:bookmarkStart w:id="1" w:name="_Toc183698787"/>
      <w:bookmarkStart w:id="2" w:name="_Toc183699128"/>
      <w:bookmarkStart w:id="3" w:name="_Toc183699340"/>
      <w:bookmarkStart w:id="4" w:name="_Toc183699511"/>
      <w:bookmarkStart w:id="5" w:name="_Toc183699810"/>
      <w:bookmarkStart w:id="6" w:name="_Toc183700083"/>
      <w:bookmarkStart w:id="7" w:name="_Toc183700300"/>
      <w:bookmarkStart w:id="8" w:name="_Toc183700592"/>
      <w:bookmarkStart w:id="9" w:name="_Toc183700843"/>
      <w:r w:rsidRPr="00CB13D4">
        <w:rPr>
          <w:rFonts w:ascii="Arial" w:eastAsia="Arial Unicode MS" w:hAnsi="Arial" w:cs="Arial"/>
          <w:b/>
          <w:sz w:val="32"/>
          <w:szCs w:val="32"/>
        </w:rPr>
        <w:t>ESCUELA SUPERIOR POLITÉCNICA DEL LITORAL</w:t>
      </w:r>
      <w:bookmarkEnd w:id="0"/>
      <w:bookmarkEnd w:id="1"/>
      <w:bookmarkEnd w:id="2"/>
      <w:bookmarkEnd w:id="3"/>
      <w:bookmarkEnd w:id="4"/>
      <w:bookmarkEnd w:id="5"/>
      <w:bookmarkEnd w:id="6"/>
      <w:bookmarkEnd w:id="7"/>
      <w:bookmarkEnd w:id="8"/>
      <w:bookmarkEnd w:id="9"/>
    </w:p>
    <w:p w:rsidR="00B642EF" w:rsidRPr="00CB13D4" w:rsidRDefault="00B642EF" w:rsidP="00B642EF">
      <w:pPr>
        <w:jc w:val="center"/>
        <w:rPr>
          <w:rFonts w:ascii="Arial" w:eastAsia="Arial Unicode MS" w:hAnsi="Arial" w:cs="Arial"/>
          <w:sz w:val="28"/>
          <w:szCs w:val="28"/>
        </w:rPr>
      </w:pPr>
    </w:p>
    <w:p w:rsidR="00B642EF" w:rsidRPr="00CB13D4" w:rsidRDefault="00B642EF" w:rsidP="00B642EF">
      <w:pPr>
        <w:jc w:val="center"/>
        <w:rPr>
          <w:rFonts w:ascii="Arial" w:eastAsia="Arial Unicode MS" w:hAnsi="Arial" w:cs="Arial"/>
          <w:sz w:val="28"/>
          <w:szCs w:val="28"/>
        </w:rPr>
      </w:pPr>
    </w:p>
    <w:p w:rsidR="00B642EF" w:rsidRDefault="00B642EF" w:rsidP="00B642EF">
      <w:pPr>
        <w:jc w:val="center"/>
        <w:outlineLvl w:val="0"/>
        <w:rPr>
          <w:rFonts w:ascii="Arial" w:eastAsia="Arial Unicode MS" w:hAnsi="Arial" w:cs="Arial"/>
          <w:sz w:val="28"/>
          <w:szCs w:val="28"/>
        </w:rPr>
      </w:pPr>
      <w:bookmarkStart w:id="10" w:name="_Toc183697458"/>
      <w:bookmarkStart w:id="11" w:name="_Toc183698788"/>
      <w:bookmarkStart w:id="12" w:name="_Toc183699129"/>
      <w:bookmarkStart w:id="13" w:name="_Toc183699341"/>
      <w:bookmarkStart w:id="14" w:name="_Toc183699512"/>
      <w:bookmarkStart w:id="15" w:name="_Toc183699811"/>
      <w:bookmarkStart w:id="16" w:name="_Toc183700084"/>
      <w:bookmarkStart w:id="17" w:name="_Toc183700301"/>
      <w:bookmarkStart w:id="18" w:name="_Toc183700593"/>
      <w:bookmarkStart w:id="19" w:name="_Toc183700844"/>
      <w:r>
        <w:rPr>
          <w:rFonts w:ascii="Arial" w:eastAsia="Arial Unicode MS" w:hAnsi="Arial" w:cs="Arial"/>
          <w:sz w:val="28"/>
          <w:szCs w:val="28"/>
        </w:rPr>
        <w:t>Instituto de Ciencias M</w:t>
      </w:r>
      <w:r w:rsidRPr="00CB13D4">
        <w:rPr>
          <w:rFonts w:ascii="Arial" w:eastAsia="Arial Unicode MS" w:hAnsi="Arial" w:cs="Arial"/>
          <w:sz w:val="28"/>
          <w:szCs w:val="28"/>
        </w:rPr>
        <w:t>atemáticas</w:t>
      </w:r>
      <w:bookmarkEnd w:id="10"/>
      <w:bookmarkEnd w:id="11"/>
      <w:bookmarkEnd w:id="12"/>
      <w:bookmarkEnd w:id="13"/>
      <w:bookmarkEnd w:id="14"/>
      <w:bookmarkEnd w:id="15"/>
      <w:bookmarkEnd w:id="16"/>
      <w:bookmarkEnd w:id="17"/>
      <w:bookmarkEnd w:id="18"/>
      <w:bookmarkEnd w:id="19"/>
    </w:p>
    <w:p w:rsidR="00B642EF" w:rsidRDefault="00B642EF" w:rsidP="00B642EF">
      <w:pPr>
        <w:jc w:val="center"/>
        <w:rPr>
          <w:rFonts w:ascii="Arial" w:eastAsia="Arial Unicode MS" w:hAnsi="Arial" w:cs="Arial"/>
          <w:sz w:val="28"/>
          <w:szCs w:val="28"/>
        </w:rPr>
      </w:pPr>
    </w:p>
    <w:p w:rsidR="00B642EF" w:rsidRDefault="00B642EF" w:rsidP="00B642EF">
      <w:pPr>
        <w:jc w:val="center"/>
        <w:outlineLvl w:val="0"/>
        <w:rPr>
          <w:rFonts w:ascii="Arial" w:eastAsia="Arial Unicode MS" w:hAnsi="Arial" w:cs="Arial"/>
          <w:sz w:val="28"/>
          <w:szCs w:val="28"/>
        </w:rPr>
      </w:pPr>
      <w:bookmarkStart w:id="20" w:name="_Toc183697459"/>
      <w:bookmarkStart w:id="21" w:name="_Toc183698789"/>
      <w:bookmarkStart w:id="22" w:name="_Toc183699130"/>
      <w:bookmarkStart w:id="23" w:name="_Toc183699342"/>
      <w:bookmarkStart w:id="24" w:name="_Toc183699513"/>
      <w:bookmarkStart w:id="25" w:name="_Toc183699812"/>
      <w:bookmarkStart w:id="26" w:name="_Toc183700085"/>
      <w:bookmarkStart w:id="27" w:name="_Toc183700302"/>
      <w:bookmarkStart w:id="28" w:name="_Toc183700594"/>
      <w:bookmarkStart w:id="29" w:name="_Toc183700845"/>
      <w:r>
        <w:rPr>
          <w:rFonts w:ascii="Arial" w:eastAsia="Arial Unicode MS" w:hAnsi="Arial" w:cs="Arial"/>
          <w:sz w:val="28"/>
          <w:szCs w:val="28"/>
        </w:rPr>
        <w:t>Ingeniería en Auditoría y Control de Gestión</w:t>
      </w:r>
      <w:bookmarkEnd w:id="20"/>
      <w:bookmarkEnd w:id="21"/>
      <w:bookmarkEnd w:id="22"/>
      <w:bookmarkEnd w:id="23"/>
      <w:bookmarkEnd w:id="24"/>
      <w:bookmarkEnd w:id="25"/>
      <w:bookmarkEnd w:id="26"/>
      <w:bookmarkEnd w:id="27"/>
      <w:bookmarkEnd w:id="28"/>
      <w:bookmarkEnd w:id="29"/>
    </w:p>
    <w:p w:rsidR="00B642EF" w:rsidRPr="00CB13D4" w:rsidRDefault="00B642EF" w:rsidP="00B642EF">
      <w:pPr>
        <w:jc w:val="center"/>
        <w:rPr>
          <w:rFonts w:ascii="Arial" w:eastAsia="Arial Unicode MS" w:hAnsi="Arial" w:cs="Arial"/>
          <w:sz w:val="28"/>
          <w:szCs w:val="28"/>
        </w:rPr>
      </w:pPr>
    </w:p>
    <w:p w:rsidR="00B642EF" w:rsidRPr="00867824" w:rsidRDefault="00B642EF" w:rsidP="00B642EF">
      <w:pPr>
        <w:jc w:val="center"/>
        <w:rPr>
          <w:rFonts w:ascii="Arial" w:hAnsi="Arial" w:cs="Arial"/>
          <w:b/>
          <w:caps/>
          <w:sz w:val="28"/>
          <w:szCs w:val="28"/>
        </w:rPr>
      </w:pPr>
      <w:r w:rsidRPr="00867824">
        <w:rPr>
          <w:rFonts w:ascii="Arial" w:hAnsi="Arial" w:cs="Arial"/>
          <w:b/>
          <w:caps/>
          <w:sz w:val="28"/>
          <w:szCs w:val="28"/>
        </w:rPr>
        <w:t>“Análisis Técnico de LOS SALDOS DE LAS CONCILIACIONES BANCARIAS DE UNA INMOBILIARIA QUE REALIZA PROYECTOS, DEL PRIMER SEMESTRE DEL AÑO 2007. Localidad GUAYAQUIL.”</w:t>
      </w:r>
    </w:p>
    <w:p w:rsidR="00B642EF" w:rsidRPr="00CB13D4" w:rsidRDefault="00B642EF" w:rsidP="00B642EF">
      <w:pPr>
        <w:jc w:val="center"/>
        <w:rPr>
          <w:rFonts w:ascii="Arial" w:eastAsia="Arial Unicode MS" w:hAnsi="Arial" w:cs="Arial"/>
          <w:color w:val="000000"/>
          <w:sz w:val="28"/>
          <w:szCs w:val="28"/>
        </w:rPr>
      </w:pPr>
    </w:p>
    <w:p w:rsidR="00B642EF" w:rsidRPr="00CB13D4" w:rsidRDefault="00B642EF" w:rsidP="00B642EF">
      <w:pPr>
        <w:jc w:val="center"/>
        <w:outlineLvl w:val="0"/>
        <w:rPr>
          <w:rFonts w:ascii="Arial" w:eastAsia="Arial Unicode MS" w:hAnsi="Arial" w:cs="Arial"/>
          <w:b/>
          <w:sz w:val="32"/>
          <w:szCs w:val="32"/>
        </w:rPr>
      </w:pPr>
      <w:bookmarkStart w:id="30" w:name="_Toc183697460"/>
      <w:bookmarkStart w:id="31" w:name="_Toc183698790"/>
      <w:bookmarkStart w:id="32" w:name="_Toc183699131"/>
      <w:bookmarkStart w:id="33" w:name="_Toc183699343"/>
      <w:bookmarkStart w:id="34" w:name="_Toc183699514"/>
      <w:bookmarkStart w:id="35" w:name="_Toc183699813"/>
      <w:bookmarkStart w:id="36" w:name="_Toc183700086"/>
      <w:bookmarkStart w:id="37" w:name="_Toc183700303"/>
      <w:bookmarkStart w:id="38" w:name="_Toc183700595"/>
      <w:bookmarkStart w:id="39" w:name="_Toc183700846"/>
      <w:r w:rsidRPr="00CB13D4">
        <w:rPr>
          <w:rFonts w:ascii="Arial" w:eastAsia="Arial Unicode MS" w:hAnsi="Arial" w:cs="Arial"/>
          <w:b/>
          <w:sz w:val="32"/>
          <w:szCs w:val="32"/>
        </w:rPr>
        <w:t>TESIS DE GRADO</w:t>
      </w:r>
      <w:bookmarkEnd w:id="30"/>
      <w:bookmarkEnd w:id="31"/>
      <w:bookmarkEnd w:id="32"/>
      <w:bookmarkEnd w:id="33"/>
      <w:bookmarkEnd w:id="34"/>
      <w:bookmarkEnd w:id="35"/>
      <w:bookmarkEnd w:id="36"/>
      <w:bookmarkEnd w:id="37"/>
      <w:bookmarkEnd w:id="38"/>
      <w:bookmarkEnd w:id="39"/>
    </w:p>
    <w:p w:rsidR="00B642EF" w:rsidRPr="00CB13D4" w:rsidRDefault="00B642EF" w:rsidP="00B642EF">
      <w:pPr>
        <w:jc w:val="center"/>
        <w:rPr>
          <w:rFonts w:ascii="Arial" w:eastAsia="Arial Unicode MS" w:hAnsi="Arial" w:cs="Arial"/>
          <w:sz w:val="28"/>
          <w:szCs w:val="28"/>
        </w:rPr>
      </w:pPr>
    </w:p>
    <w:p w:rsidR="00B642EF" w:rsidRPr="00CB13D4" w:rsidRDefault="00B642EF" w:rsidP="00B642EF">
      <w:pPr>
        <w:jc w:val="center"/>
        <w:rPr>
          <w:rFonts w:ascii="Arial" w:eastAsia="Arial Unicode MS" w:hAnsi="Arial" w:cs="Arial"/>
          <w:sz w:val="28"/>
          <w:szCs w:val="28"/>
        </w:rPr>
      </w:pPr>
      <w:r w:rsidRPr="00CB13D4">
        <w:rPr>
          <w:rFonts w:ascii="Arial" w:eastAsia="Arial Unicode MS" w:hAnsi="Arial" w:cs="Arial"/>
          <w:sz w:val="28"/>
          <w:szCs w:val="28"/>
        </w:rPr>
        <w:t>SEMINARIOS DE GRADUACI</w:t>
      </w:r>
      <w:r>
        <w:rPr>
          <w:rFonts w:ascii="Arial" w:eastAsia="Arial Unicode MS" w:hAnsi="Arial" w:cs="Arial"/>
          <w:sz w:val="28"/>
          <w:szCs w:val="28"/>
        </w:rPr>
        <w:t>Ó</w:t>
      </w:r>
      <w:r w:rsidRPr="00CB13D4">
        <w:rPr>
          <w:rFonts w:ascii="Arial" w:eastAsia="Arial Unicode MS" w:hAnsi="Arial" w:cs="Arial"/>
          <w:sz w:val="28"/>
          <w:szCs w:val="28"/>
        </w:rPr>
        <w:t>N: AUDITORÍA FINANCIERA – AUDITORÍA TRIBUTARÍA</w:t>
      </w:r>
    </w:p>
    <w:p w:rsidR="00B642EF" w:rsidRDefault="00B642EF" w:rsidP="00B642EF">
      <w:pPr>
        <w:jc w:val="center"/>
        <w:rPr>
          <w:rFonts w:ascii="Arial" w:eastAsia="Arial Unicode MS" w:hAnsi="Arial" w:cs="Arial"/>
          <w:sz w:val="28"/>
          <w:szCs w:val="28"/>
        </w:rPr>
      </w:pPr>
    </w:p>
    <w:p w:rsidR="00B642EF" w:rsidRPr="00CB13D4" w:rsidRDefault="00B642EF" w:rsidP="00B642EF">
      <w:pPr>
        <w:jc w:val="center"/>
        <w:rPr>
          <w:rFonts w:ascii="Arial" w:eastAsia="Arial Unicode MS" w:hAnsi="Arial" w:cs="Arial"/>
          <w:sz w:val="28"/>
          <w:szCs w:val="28"/>
        </w:rPr>
      </w:pPr>
    </w:p>
    <w:p w:rsidR="00B642EF" w:rsidRPr="00CB13D4" w:rsidRDefault="00B642EF" w:rsidP="00B642EF">
      <w:pPr>
        <w:jc w:val="center"/>
        <w:outlineLvl w:val="0"/>
        <w:rPr>
          <w:rFonts w:ascii="Arial" w:eastAsia="Arial Unicode MS" w:hAnsi="Arial" w:cs="Arial"/>
          <w:sz w:val="28"/>
          <w:szCs w:val="28"/>
        </w:rPr>
      </w:pPr>
      <w:bookmarkStart w:id="40" w:name="_Toc183697461"/>
      <w:bookmarkStart w:id="41" w:name="_Toc183698791"/>
      <w:bookmarkStart w:id="42" w:name="_Toc183699132"/>
      <w:bookmarkStart w:id="43" w:name="_Toc183699344"/>
      <w:bookmarkStart w:id="44" w:name="_Toc183699515"/>
      <w:bookmarkStart w:id="45" w:name="_Toc183699814"/>
      <w:bookmarkStart w:id="46" w:name="_Toc183700087"/>
      <w:bookmarkStart w:id="47" w:name="_Toc183700304"/>
      <w:bookmarkStart w:id="48" w:name="_Toc183700596"/>
      <w:bookmarkStart w:id="49" w:name="_Toc183700847"/>
      <w:r w:rsidRPr="00CB13D4">
        <w:rPr>
          <w:rFonts w:ascii="Arial" w:eastAsia="Arial Unicode MS" w:hAnsi="Arial" w:cs="Arial"/>
          <w:sz w:val="28"/>
          <w:szCs w:val="28"/>
        </w:rPr>
        <w:t>Previo a la obtención del título de:</w:t>
      </w:r>
      <w:bookmarkEnd w:id="40"/>
      <w:bookmarkEnd w:id="41"/>
      <w:bookmarkEnd w:id="42"/>
      <w:bookmarkEnd w:id="43"/>
      <w:bookmarkEnd w:id="44"/>
      <w:bookmarkEnd w:id="45"/>
      <w:bookmarkEnd w:id="46"/>
      <w:bookmarkEnd w:id="47"/>
      <w:bookmarkEnd w:id="48"/>
      <w:bookmarkEnd w:id="49"/>
    </w:p>
    <w:p w:rsidR="00B642EF" w:rsidRPr="00CB13D4" w:rsidRDefault="00B642EF" w:rsidP="00B642EF">
      <w:pPr>
        <w:jc w:val="center"/>
        <w:rPr>
          <w:rFonts w:ascii="Arial" w:eastAsia="Arial Unicode MS" w:hAnsi="Arial" w:cs="Arial"/>
          <w:sz w:val="28"/>
          <w:szCs w:val="28"/>
        </w:rPr>
      </w:pPr>
    </w:p>
    <w:p w:rsidR="00B642EF" w:rsidRPr="00CB13D4" w:rsidRDefault="00B642EF" w:rsidP="00B642EF">
      <w:pPr>
        <w:jc w:val="center"/>
        <w:outlineLvl w:val="0"/>
        <w:rPr>
          <w:rFonts w:ascii="Arial" w:eastAsia="Arial Unicode MS" w:hAnsi="Arial" w:cs="Arial"/>
          <w:sz w:val="28"/>
          <w:szCs w:val="28"/>
        </w:rPr>
      </w:pPr>
      <w:bookmarkStart w:id="50" w:name="_Toc183697462"/>
      <w:bookmarkStart w:id="51" w:name="_Toc183698792"/>
      <w:bookmarkStart w:id="52" w:name="_Toc183699133"/>
      <w:bookmarkStart w:id="53" w:name="_Toc183699345"/>
      <w:bookmarkStart w:id="54" w:name="_Toc183699516"/>
      <w:bookmarkStart w:id="55" w:name="_Toc183699815"/>
      <w:bookmarkStart w:id="56" w:name="_Toc183700088"/>
      <w:bookmarkStart w:id="57" w:name="_Toc183700305"/>
      <w:bookmarkStart w:id="58" w:name="_Toc183700597"/>
      <w:bookmarkStart w:id="59" w:name="_Toc183700848"/>
      <w:r w:rsidRPr="00CB13D4">
        <w:rPr>
          <w:rFonts w:ascii="Arial" w:eastAsia="Arial Unicode MS" w:hAnsi="Arial" w:cs="Arial"/>
          <w:sz w:val="28"/>
          <w:szCs w:val="28"/>
        </w:rPr>
        <w:t>AUDITOR – CONTADOR PÚBLICO AUTORIZADO</w:t>
      </w:r>
      <w:bookmarkEnd w:id="50"/>
      <w:bookmarkEnd w:id="51"/>
      <w:bookmarkEnd w:id="52"/>
      <w:bookmarkEnd w:id="53"/>
      <w:bookmarkEnd w:id="54"/>
      <w:bookmarkEnd w:id="55"/>
      <w:bookmarkEnd w:id="56"/>
      <w:bookmarkEnd w:id="57"/>
      <w:bookmarkEnd w:id="58"/>
      <w:bookmarkEnd w:id="59"/>
    </w:p>
    <w:p w:rsidR="00B642EF" w:rsidRPr="00CB13D4" w:rsidRDefault="00B642EF" w:rsidP="00B642EF">
      <w:pPr>
        <w:jc w:val="center"/>
        <w:rPr>
          <w:rFonts w:ascii="Arial" w:eastAsia="Arial Unicode MS" w:hAnsi="Arial" w:cs="Arial"/>
          <w:sz w:val="28"/>
          <w:szCs w:val="28"/>
        </w:rPr>
      </w:pPr>
    </w:p>
    <w:p w:rsidR="00B642EF" w:rsidRPr="00CB13D4" w:rsidRDefault="00B642EF" w:rsidP="00B642EF">
      <w:pPr>
        <w:jc w:val="center"/>
        <w:outlineLvl w:val="0"/>
        <w:rPr>
          <w:rFonts w:ascii="Arial" w:eastAsia="Arial Unicode MS" w:hAnsi="Arial" w:cs="Arial"/>
          <w:sz w:val="28"/>
          <w:szCs w:val="28"/>
        </w:rPr>
      </w:pPr>
      <w:bookmarkStart w:id="60" w:name="_Toc183697463"/>
      <w:bookmarkStart w:id="61" w:name="_Toc183698793"/>
      <w:bookmarkStart w:id="62" w:name="_Toc183699134"/>
      <w:bookmarkStart w:id="63" w:name="_Toc183699346"/>
      <w:bookmarkStart w:id="64" w:name="_Toc183699517"/>
      <w:bookmarkStart w:id="65" w:name="_Toc183699816"/>
      <w:bookmarkStart w:id="66" w:name="_Toc183700089"/>
      <w:bookmarkStart w:id="67" w:name="_Toc183700306"/>
      <w:bookmarkStart w:id="68" w:name="_Toc183700598"/>
      <w:bookmarkStart w:id="69" w:name="_Toc183700849"/>
      <w:r w:rsidRPr="00CB13D4">
        <w:rPr>
          <w:rFonts w:ascii="Arial" w:eastAsia="Arial Unicode MS" w:hAnsi="Arial" w:cs="Arial"/>
          <w:sz w:val="28"/>
          <w:szCs w:val="28"/>
        </w:rPr>
        <w:t>Presentado por:</w:t>
      </w:r>
      <w:bookmarkEnd w:id="60"/>
      <w:bookmarkEnd w:id="61"/>
      <w:bookmarkEnd w:id="62"/>
      <w:bookmarkEnd w:id="63"/>
      <w:bookmarkEnd w:id="64"/>
      <w:bookmarkEnd w:id="65"/>
      <w:bookmarkEnd w:id="66"/>
      <w:bookmarkEnd w:id="67"/>
      <w:bookmarkEnd w:id="68"/>
      <w:bookmarkEnd w:id="69"/>
    </w:p>
    <w:p w:rsidR="00B642EF" w:rsidRPr="00CB13D4" w:rsidRDefault="00B642EF" w:rsidP="00B642EF">
      <w:pPr>
        <w:jc w:val="center"/>
        <w:rPr>
          <w:rFonts w:ascii="Arial" w:eastAsia="Arial Unicode MS" w:hAnsi="Arial" w:cs="Arial"/>
          <w:sz w:val="28"/>
          <w:szCs w:val="28"/>
        </w:rPr>
      </w:pPr>
    </w:p>
    <w:p w:rsidR="00B642EF" w:rsidRDefault="00B642EF" w:rsidP="00B642EF">
      <w:pPr>
        <w:jc w:val="center"/>
        <w:outlineLvl w:val="0"/>
        <w:rPr>
          <w:rFonts w:ascii="Arial" w:eastAsia="Arial Unicode MS" w:hAnsi="Arial" w:cs="Arial"/>
          <w:sz w:val="28"/>
          <w:szCs w:val="28"/>
        </w:rPr>
      </w:pPr>
      <w:bookmarkStart w:id="70" w:name="_Toc183697464"/>
      <w:bookmarkStart w:id="71" w:name="_Toc183698794"/>
      <w:bookmarkStart w:id="72" w:name="_Toc183699135"/>
      <w:bookmarkStart w:id="73" w:name="_Toc183699347"/>
      <w:bookmarkStart w:id="74" w:name="_Toc183699518"/>
      <w:bookmarkStart w:id="75" w:name="_Toc183699817"/>
      <w:bookmarkStart w:id="76" w:name="_Toc183700090"/>
      <w:bookmarkStart w:id="77" w:name="_Toc183700307"/>
      <w:bookmarkStart w:id="78" w:name="_Toc183700599"/>
      <w:bookmarkStart w:id="79" w:name="_Toc183700850"/>
      <w:r w:rsidRPr="001A2354">
        <w:rPr>
          <w:rFonts w:ascii="Arial" w:hAnsi="Arial" w:cs="Arial"/>
          <w:sz w:val="28"/>
          <w:szCs w:val="28"/>
        </w:rPr>
        <w:t>Molina Yugcha Tania Katherine.</w:t>
      </w:r>
      <w:bookmarkEnd w:id="70"/>
      <w:bookmarkEnd w:id="71"/>
      <w:bookmarkEnd w:id="72"/>
      <w:bookmarkEnd w:id="73"/>
      <w:bookmarkEnd w:id="74"/>
      <w:bookmarkEnd w:id="75"/>
      <w:bookmarkEnd w:id="76"/>
      <w:bookmarkEnd w:id="77"/>
      <w:bookmarkEnd w:id="78"/>
      <w:bookmarkEnd w:id="79"/>
    </w:p>
    <w:p w:rsidR="00B642EF" w:rsidRDefault="00B642EF" w:rsidP="00B642EF">
      <w:pPr>
        <w:jc w:val="center"/>
        <w:rPr>
          <w:rFonts w:ascii="Arial" w:eastAsia="Arial Unicode MS" w:hAnsi="Arial" w:cs="Arial"/>
          <w:sz w:val="28"/>
          <w:szCs w:val="28"/>
        </w:rPr>
      </w:pPr>
    </w:p>
    <w:p w:rsidR="00B642EF" w:rsidRPr="00CB13D4" w:rsidRDefault="00B642EF" w:rsidP="00B642EF">
      <w:pPr>
        <w:jc w:val="center"/>
        <w:rPr>
          <w:rFonts w:ascii="Arial" w:eastAsia="Arial Unicode MS" w:hAnsi="Arial" w:cs="Arial"/>
          <w:sz w:val="28"/>
          <w:szCs w:val="28"/>
        </w:rPr>
      </w:pPr>
    </w:p>
    <w:p w:rsidR="00B642EF" w:rsidRPr="00CB13D4" w:rsidRDefault="00B642EF" w:rsidP="00B642EF">
      <w:pPr>
        <w:jc w:val="center"/>
        <w:outlineLvl w:val="0"/>
        <w:rPr>
          <w:rFonts w:ascii="Arial" w:eastAsia="Arial Unicode MS" w:hAnsi="Arial" w:cs="Arial"/>
          <w:sz w:val="28"/>
          <w:szCs w:val="28"/>
        </w:rPr>
      </w:pPr>
      <w:bookmarkStart w:id="80" w:name="_Toc183697465"/>
      <w:bookmarkStart w:id="81" w:name="_Toc183698795"/>
      <w:bookmarkStart w:id="82" w:name="_Toc183699136"/>
      <w:bookmarkStart w:id="83" w:name="_Toc183699348"/>
      <w:bookmarkStart w:id="84" w:name="_Toc183699519"/>
      <w:bookmarkStart w:id="85" w:name="_Toc183699818"/>
      <w:bookmarkStart w:id="86" w:name="_Toc183700091"/>
      <w:bookmarkStart w:id="87" w:name="_Toc183700308"/>
      <w:bookmarkStart w:id="88" w:name="_Toc183700600"/>
      <w:bookmarkStart w:id="89" w:name="_Toc183700851"/>
      <w:r w:rsidRPr="00CB13D4">
        <w:rPr>
          <w:rFonts w:ascii="Arial" w:eastAsia="Arial Unicode MS" w:hAnsi="Arial" w:cs="Arial"/>
          <w:sz w:val="28"/>
          <w:szCs w:val="28"/>
        </w:rPr>
        <w:t>Guayaquil – Ecuador</w:t>
      </w:r>
      <w:bookmarkEnd w:id="80"/>
      <w:bookmarkEnd w:id="81"/>
      <w:bookmarkEnd w:id="82"/>
      <w:bookmarkEnd w:id="83"/>
      <w:bookmarkEnd w:id="84"/>
      <w:bookmarkEnd w:id="85"/>
      <w:bookmarkEnd w:id="86"/>
      <w:bookmarkEnd w:id="87"/>
      <w:bookmarkEnd w:id="88"/>
      <w:bookmarkEnd w:id="89"/>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r w:rsidRPr="00CB13D4">
        <w:rPr>
          <w:rFonts w:ascii="Arial" w:eastAsia="Arial Unicode MS" w:hAnsi="Arial" w:cs="Arial"/>
          <w:sz w:val="28"/>
          <w:szCs w:val="28"/>
        </w:rPr>
        <w:t>2007</w:t>
      </w:r>
    </w:p>
    <w:p w:rsidR="00B642EF" w:rsidRDefault="00B642EF" w:rsidP="00B642EF">
      <w:pPr>
        <w:tabs>
          <w:tab w:val="left" w:pos="2370"/>
        </w:tabs>
        <w:rPr>
          <w:rFonts w:ascii="Arial" w:hAnsi="Arial" w:cs="Arial"/>
          <w:u w:val="single"/>
        </w:rPr>
      </w:pPr>
    </w:p>
    <w:p w:rsidR="00B642EF" w:rsidRDefault="00B642EF" w:rsidP="00B642EF">
      <w:pPr>
        <w:tabs>
          <w:tab w:val="left" w:pos="2370"/>
        </w:tabs>
        <w:rPr>
          <w:rFonts w:ascii="Arial" w:hAnsi="Arial" w:cs="Arial"/>
          <w:u w:val="single"/>
        </w:rPr>
      </w:pPr>
    </w:p>
    <w:p w:rsidR="00B642EF" w:rsidRDefault="00B642EF" w:rsidP="00B642EF">
      <w:pPr>
        <w:tabs>
          <w:tab w:val="left" w:pos="2370"/>
        </w:tabs>
        <w:rPr>
          <w:rFonts w:ascii="Arial" w:hAnsi="Arial" w:cs="Arial"/>
          <w:u w:val="single"/>
        </w:rPr>
      </w:pPr>
    </w:p>
    <w:p w:rsidR="00B642EF" w:rsidRPr="009571ED" w:rsidRDefault="00B642EF" w:rsidP="00B642EF">
      <w:pPr>
        <w:tabs>
          <w:tab w:val="left" w:pos="2370"/>
        </w:tabs>
        <w:rPr>
          <w:rFonts w:ascii="Bookman Old Style" w:hAnsi="Bookman Old Style"/>
          <w:sz w:val="28"/>
          <w:szCs w:val="28"/>
        </w:rPr>
      </w:pPr>
      <w:r>
        <w:rPr>
          <w:rFonts w:ascii="Arial" w:hAnsi="Arial" w:cs="Arial"/>
          <w:b/>
          <w:sz w:val="32"/>
          <w:szCs w:val="32"/>
        </w:rPr>
        <w:lastRenderedPageBreak/>
        <w:tab/>
      </w:r>
      <w:r w:rsidRPr="0051302C">
        <w:rPr>
          <w:rFonts w:ascii="Arial" w:hAnsi="Arial" w:cs="Arial"/>
          <w:b/>
          <w:sz w:val="32"/>
          <w:szCs w:val="32"/>
        </w:rPr>
        <w:t>AGRADECIMIENTO</w:t>
      </w:r>
    </w:p>
    <w:p w:rsidR="00B642EF" w:rsidRDefault="00B642EF" w:rsidP="00B642EF">
      <w:pPr>
        <w:spacing w:line="480" w:lineRule="auto"/>
        <w:jc w:val="both"/>
        <w:rPr>
          <w:rFonts w:ascii="Arial" w:hAnsi="Arial" w:cs="Arial"/>
          <w:u w:val="single"/>
        </w:rPr>
      </w:pPr>
    </w:p>
    <w:p w:rsidR="00B642EF" w:rsidRDefault="00B642EF" w:rsidP="00B642EF">
      <w:pPr>
        <w:spacing w:line="480" w:lineRule="auto"/>
        <w:jc w:val="both"/>
        <w:rPr>
          <w:rFonts w:ascii="Arial" w:hAnsi="Arial" w:cs="Arial"/>
          <w:u w:val="single"/>
        </w:rPr>
      </w:pPr>
    </w:p>
    <w:p w:rsidR="00B642EF" w:rsidRDefault="00B642EF" w:rsidP="00B642EF">
      <w:pPr>
        <w:spacing w:line="480" w:lineRule="auto"/>
        <w:jc w:val="both"/>
        <w:rPr>
          <w:rFonts w:ascii="Arial" w:hAnsi="Arial" w:cs="Arial"/>
          <w:u w:val="single"/>
        </w:rPr>
      </w:pPr>
    </w:p>
    <w:p w:rsidR="00B642EF" w:rsidRDefault="00B642EF" w:rsidP="00B642EF">
      <w:pPr>
        <w:spacing w:line="480" w:lineRule="auto"/>
        <w:jc w:val="both"/>
        <w:rPr>
          <w:rFonts w:ascii="Arial" w:hAnsi="Arial" w:cs="Arial"/>
          <w:u w:val="single"/>
        </w:rPr>
      </w:pPr>
    </w:p>
    <w:p w:rsidR="00B642EF" w:rsidRPr="007753FF" w:rsidRDefault="00B642EF" w:rsidP="00B642EF">
      <w:pPr>
        <w:pStyle w:val="Sangra2detindependiente"/>
        <w:tabs>
          <w:tab w:val="left" w:pos="7797"/>
        </w:tabs>
        <w:ind w:left="0" w:right="339"/>
        <w:rPr>
          <w:rFonts w:cs="Arial"/>
          <w:lang w:val="es-ES"/>
        </w:rPr>
      </w:pPr>
    </w:p>
    <w:p w:rsidR="00B642EF" w:rsidRDefault="00B642EF" w:rsidP="00B642EF">
      <w:pPr>
        <w:pStyle w:val="Sangra2detindependiente"/>
        <w:tabs>
          <w:tab w:val="left" w:pos="7797"/>
        </w:tabs>
        <w:ind w:left="0" w:right="339"/>
        <w:rPr>
          <w:rFonts w:cs="Arial"/>
        </w:rPr>
      </w:pPr>
    </w:p>
    <w:p w:rsidR="00B642EF" w:rsidRDefault="00B642EF" w:rsidP="00B642EF">
      <w:pPr>
        <w:pStyle w:val="Sangra2detindependiente"/>
        <w:tabs>
          <w:tab w:val="left" w:pos="7797"/>
        </w:tabs>
        <w:ind w:left="0" w:right="339"/>
        <w:rPr>
          <w:rFonts w:cs="Arial"/>
        </w:rPr>
      </w:pPr>
    </w:p>
    <w:p w:rsidR="00B642EF" w:rsidRDefault="00B642EF" w:rsidP="00B642EF">
      <w:pPr>
        <w:pStyle w:val="Sangra2detindependiente"/>
        <w:tabs>
          <w:tab w:val="left" w:pos="7797"/>
        </w:tabs>
        <w:ind w:left="0" w:right="339"/>
        <w:rPr>
          <w:rFonts w:cs="Arial"/>
        </w:rPr>
      </w:pPr>
    </w:p>
    <w:p w:rsidR="00B642EF" w:rsidRDefault="00B642EF" w:rsidP="00B642EF">
      <w:pPr>
        <w:pStyle w:val="Sangra2detindependiente"/>
        <w:tabs>
          <w:tab w:val="left" w:pos="7797"/>
        </w:tabs>
        <w:ind w:left="0" w:right="339"/>
        <w:rPr>
          <w:rFonts w:cs="Arial"/>
        </w:rPr>
      </w:pPr>
    </w:p>
    <w:p w:rsidR="00B642EF" w:rsidRDefault="00B642EF" w:rsidP="00B642EF">
      <w:pPr>
        <w:pStyle w:val="Sangra2detindependiente"/>
        <w:tabs>
          <w:tab w:val="left" w:pos="7797"/>
        </w:tabs>
        <w:ind w:left="0" w:right="339"/>
        <w:rPr>
          <w:rFonts w:cs="Arial"/>
        </w:rPr>
      </w:pPr>
    </w:p>
    <w:p w:rsidR="00B642EF" w:rsidRPr="00867824" w:rsidRDefault="00B642EF" w:rsidP="00B642EF">
      <w:pPr>
        <w:pStyle w:val="Sangra2detindependiente"/>
        <w:tabs>
          <w:tab w:val="left" w:pos="7797"/>
        </w:tabs>
        <w:ind w:left="0" w:right="339"/>
        <w:rPr>
          <w:rFonts w:cs="Arial"/>
        </w:rPr>
      </w:pPr>
    </w:p>
    <w:p w:rsidR="00B642EF" w:rsidRPr="007F5089" w:rsidRDefault="00B642EF" w:rsidP="00B642EF">
      <w:pPr>
        <w:pStyle w:val="Sangra2detindependiente"/>
        <w:tabs>
          <w:tab w:val="left" w:pos="7797"/>
        </w:tabs>
        <w:spacing w:line="360" w:lineRule="auto"/>
        <w:ind w:left="4502" w:right="340"/>
        <w:rPr>
          <w:rFonts w:cs="Arial"/>
        </w:rPr>
      </w:pPr>
      <w:r w:rsidRPr="00BA38DE">
        <w:t xml:space="preserve">Agradezco a </w:t>
      </w:r>
      <w:r>
        <w:t>Dios por darme la oportunidad de vivir día a día, por iluminarme  y guiar mi camino en el cual me permite continuar con mis proyectos y metas, a mi familia por ser mi apoyo tanto emocional como económico y por depositar toda su confianza y esperanza en mi de llegar a ser una persona profesional de éxito. Así también a mis profesores por mis conocimientos adquiridos mediante  sus técnicas de enseñanza.</w:t>
      </w:r>
    </w:p>
    <w:p w:rsidR="00B642EF" w:rsidRPr="002107A0" w:rsidRDefault="00B642EF" w:rsidP="00B642EF">
      <w:pPr>
        <w:spacing w:line="480" w:lineRule="auto"/>
        <w:jc w:val="center"/>
        <w:outlineLvl w:val="0"/>
        <w:rPr>
          <w:rFonts w:ascii="Arial" w:hAnsi="Arial" w:cs="Arial"/>
          <w:b/>
          <w:sz w:val="32"/>
          <w:szCs w:val="32"/>
        </w:rPr>
      </w:pPr>
      <w:bookmarkStart w:id="90" w:name="_Toc183697466"/>
      <w:bookmarkStart w:id="91" w:name="_Toc183698796"/>
      <w:bookmarkStart w:id="92" w:name="_Toc183699137"/>
      <w:bookmarkStart w:id="93" w:name="_Toc183699349"/>
      <w:bookmarkStart w:id="94" w:name="_Toc183699520"/>
      <w:bookmarkStart w:id="95" w:name="_Toc183699819"/>
      <w:bookmarkStart w:id="96" w:name="_Toc183700092"/>
      <w:bookmarkStart w:id="97" w:name="_Toc183700309"/>
      <w:bookmarkStart w:id="98" w:name="_Toc183700601"/>
      <w:bookmarkStart w:id="99" w:name="_Toc183700852"/>
      <w:r w:rsidRPr="002107A0">
        <w:rPr>
          <w:rFonts w:ascii="Arial" w:hAnsi="Arial" w:cs="Arial"/>
          <w:b/>
          <w:sz w:val="32"/>
          <w:szCs w:val="32"/>
        </w:rPr>
        <w:lastRenderedPageBreak/>
        <w:t>DEDICATORIA</w:t>
      </w:r>
      <w:bookmarkEnd w:id="90"/>
      <w:bookmarkEnd w:id="91"/>
      <w:bookmarkEnd w:id="92"/>
      <w:bookmarkEnd w:id="93"/>
      <w:bookmarkEnd w:id="94"/>
      <w:bookmarkEnd w:id="95"/>
      <w:bookmarkEnd w:id="96"/>
      <w:bookmarkEnd w:id="97"/>
      <w:bookmarkEnd w:id="98"/>
      <w:bookmarkEnd w:id="99"/>
    </w:p>
    <w:p w:rsidR="00B642EF" w:rsidRDefault="00B642EF" w:rsidP="00B642EF">
      <w:pPr>
        <w:spacing w:line="480" w:lineRule="auto"/>
        <w:jc w:val="both"/>
        <w:rPr>
          <w:rFonts w:ascii="Arial" w:hAnsi="Arial" w:cs="Arial"/>
          <w:u w:val="single"/>
        </w:rPr>
      </w:pPr>
    </w:p>
    <w:p w:rsidR="00B642EF" w:rsidRDefault="00B642EF" w:rsidP="00B642EF">
      <w:pPr>
        <w:spacing w:line="480" w:lineRule="auto"/>
        <w:jc w:val="both"/>
        <w:rPr>
          <w:rFonts w:ascii="Arial" w:hAnsi="Arial" w:cs="Arial"/>
          <w:u w:val="single"/>
        </w:rPr>
      </w:pPr>
    </w:p>
    <w:p w:rsidR="00B642EF" w:rsidRDefault="00B642EF" w:rsidP="00B642EF">
      <w:pPr>
        <w:spacing w:line="360" w:lineRule="auto"/>
        <w:jc w:val="both"/>
        <w:rPr>
          <w:rFonts w:ascii="Arial" w:eastAsia="Times New Roman" w:hAnsi="Arial" w:cs="Arial"/>
          <w:szCs w:val="20"/>
          <w:lang w:val="es-MX"/>
        </w:rPr>
      </w:pPr>
    </w:p>
    <w:p w:rsidR="00B642EF" w:rsidRDefault="00B642EF" w:rsidP="00B642EF">
      <w:pPr>
        <w:spacing w:line="360" w:lineRule="auto"/>
        <w:jc w:val="both"/>
        <w:rPr>
          <w:rFonts w:ascii="Arial" w:eastAsia="Times New Roman" w:hAnsi="Arial" w:cs="Arial"/>
          <w:szCs w:val="20"/>
          <w:lang w:val="es-MX"/>
        </w:rPr>
      </w:pPr>
    </w:p>
    <w:p w:rsidR="00B642EF" w:rsidRDefault="00B642EF" w:rsidP="00B642EF">
      <w:pPr>
        <w:spacing w:line="360" w:lineRule="auto"/>
        <w:jc w:val="both"/>
        <w:rPr>
          <w:rFonts w:ascii="Arial" w:eastAsia="Times New Roman" w:hAnsi="Arial" w:cs="Arial"/>
          <w:szCs w:val="20"/>
          <w:lang w:val="es-MX"/>
        </w:rPr>
      </w:pPr>
    </w:p>
    <w:p w:rsidR="00B642EF" w:rsidRDefault="00B642EF" w:rsidP="00B642EF">
      <w:pPr>
        <w:spacing w:line="360" w:lineRule="auto"/>
        <w:jc w:val="both"/>
        <w:rPr>
          <w:rFonts w:ascii="Arial" w:eastAsia="Times New Roman" w:hAnsi="Arial" w:cs="Arial"/>
          <w:szCs w:val="20"/>
          <w:lang w:val="es-MX"/>
        </w:rPr>
      </w:pPr>
    </w:p>
    <w:p w:rsidR="00B642EF" w:rsidRDefault="00B642EF" w:rsidP="00B642EF">
      <w:pPr>
        <w:spacing w:line="360" w:lineRule="auto"/>
        <w:jc w:val="both"/>
        <w:rPr>
          <w:rFonts w:ascii="Arial" w:eastAsia="Times New Roman" w:hAnsi="Arial" w:cs="Arial"/>
          <w:szCs w:val="20"/>
          <w:lang w:val="es-MX"/>
        </w:rPr>
      </w:pPr>
    </w:p>
    <w:p w:rsidR="00B642EF" w:rsidRDefault="00B642EF" w:rsidP="00B642EF">
      <w:pPr>
        <w:spacing w:line="360" w:lineRule="auto"/>
        <w:jc w:val="both"/>
        <w:rPr>
          <w:rFonts w:ascii="Arial" w:eastAsia="Times New Roman" w:hAnsi="Arial" w:cs="Arial"/>
          <w:szCs w:val="20"/>
          <w:lang w:val="es-MX"/>
        </w:rPr>
      </w:pPr>
    </w:p>
    <w:p w:rsidR="00B642EF" w:rsidRDefault="00B642EF" w:rsidP="00B642EF">
      <w:pPr>
        <w:pStyle w:val="Sangra2detindependiente"/>
        <w:tabs>
          <w:tab w:val="left" w:pos="7797"/>
        </w:tabs>
        <w:spacing w:line="360" w:lineRule="auto"/>
        <w:ind w:left="0" w:right="339"/>
        <w:rPr>
          <w:rFonts w:cs="Arial"/>
        </w:rPr>
      </w:pPr>
    </w:p>
    <w:p w:rsidR="00B642EF" w:rsidRPr="002821F7" w:rsidRDefault="00B642EF" w:rsidP="00B642EF">
      <w:pPr>
        <w:pStyle w:val="Sangra2detindependiente"/>
        <w:tabs>
          <w:tab w:val="left" w:pos="7797"/>
        </w:tabs>
        <w:spacing w:line="360" w:lineRule="auto"/>
        <w:ind w:left="4500" w:right="339"/>
        <w:rPr>
          <w:rFonts w:cs="Arial"/>
        </w:rPr>
      </w:pPr>
      <w:r w:rsidRPr="00867824">
        <w:t>Este  trabajo realizado previo a mi  obtención</w:t>
      </w:r>
      <w:r>
        <w:t xml:space="preserve"> </w:t>
      </w:r>
      <w:r w:rsidRPr="00867824">
        <w:t xml:space="preserve"> del</w:t>
      </w:r>
      <w:r>
        <w:t xml:space="preserve"> </w:t>
      </w:r>
      <w:r w:rsidRPr="00867824">
        <w:t xml:space="preserve"> título </w:t>
      </w:r>
      <w:r>
        <w:t xml:space="preserve"> </w:t>
      </w:r>
      <w:r w:rsidRPr="00867824">
        <w:t>Auditor – Contador Público Autorizado</w:t>
      </w:r>
      <w:r>
        <w:t xml:space="preserve">, </w:t>
      </w:r>
      <w:r w:rsidRPr="00867824">
        <w:t xml:space="preserve"> se lo dedico a </w:t>
      </w:r>
      <w:r>
        <w:t xml:space="preserve">Dios y a toda mi familia, a mi papá por su esfuerzo de </w:t>
      </w:r>
      <w:r w:rsidRPr="00867824">
        <w:t>brindarme la oportunidad de</w:t>
      </w:r>
      <w:r>
        <w:t xml:space="preserve"> realizar</w:t>
      </w:r>
      <w:r w:rsidRPr="00867824">
        <w:t xml:space="preserve"> mis estudios en su totalidad, a mi mamá por estar junto a mi en todos mis momentos,</w:t>
      </w:r>
      <w:r>
        <w:t xml:space="preserve"> a</w:t>
      </w:r>
      <w:r w:rsidRPr="00867824">
        <w:t xml:space="preserve"> mis hermanos y a mi abuelita. Agradezco toda su colaboración y consejos los cuales los llevaré siempre presente para un adecuado desempeño en mi vida diaria. Finalmente</w:t>
      </w:r>
      <w:r>
        <w:t xml:space="preserve">, también lo </w:t>
      </w:r>
      <w:r w:rsidRPr="00867824">
        <w:t>dedico a mis amigos por estar juntos en la trayectoria de nuestra universidad.</w:t>
      </w:r>
    </w:p>
    <w:p w:rsidR="00B642EF" w:rsidRPr="00D045B9" w:rsidRDefault="00B642EF" w:rsidP="00B642EF">
      <w:pPr>
        <w:jc w:val="center"/>
        <w:rPr>
          <w:rFonts w:ascii="Arial" w:eastAsia="Arial Unicode MS" w:hAnsi="Arial" w:cs="Arial"/>
          <w:sz w:val="32"/>
          <w:szCs w:val="32"/>
        </w:rPr>
      </w:pPr>
    </w:p>
    <w:p w:rsidR="00B642EF" w:rsidRPr="00D045B9" w:rsidRDefault="00B642EF" w:rsidP="00B642EF">
      <w:pPr>
        <w:jc w:val="center"/>
        <w:outlineLvl w:val="0"/>
        <w:rPr>
          <w:rFonts w:ascii="Arial" w:eastAsia="Arial Unicode MS" w:hAnsi="Arial" w:cs="Arial"/>
          <w:b/>
          <w:sz w:val="32"/>
          <w:szCs w:val="32"/>
        </w:rPr>
      </w:pPr>
      <w:bookmarkStart w:id="100" w:name="_Toc183697467"/>
      <w:bookmarkStart w:id="101" w:name="_Toc183698797"/>
      <w:bookmarkStart w:id="102" w:name="_Toc183699138"/>
      <w:bookmarkStart w:id="103" w:name="_Toc183699350"/>
      <w:bookmarkStart w:id="104" w:name="_Toc183699521"/>
      <w:bookmarkStart w:id="105" w:name="_Toc183699820"/>
      <w:bookmarkStart w:id="106" w:name="_Toc183700093"/>
      <w:bookmarkStart w:id="107" w:name="_Toc183700310"/>
      <w:bookmarkStart w:id="108" w:name="_Toc183700602"/>
      <w:bookmarkStart w:id="109" w:name="_Toc183700853"/>
      <w:r w:rsidRPr="00D045B9">
        <w:rPr>
          <w:rFonts w:ascii="Arial" w:eastAsia="Arial Unicode MS" w:hAnsi="Arial" w:cs="Arial"/>
          <w:b/>
          <w:sz w:val="32"/>
          <w:szCs w:val="32"/>
        </w:rPr>
        <w:t>TRIBUNAL DE GRADUACIÓN</w:t>
      </w:r>
      <w:bookmarkEnd w:id="100"/>
      <w:bookmarkEnd w:id="101"/>
      <w:bookmarkEnd w:id="102"/>
      <w:bookmarkEnd w:id="103"/>
      <w:bookmarkEnd w:id="104"/>
      <w:bookmarkEnd w:id="105"/>
      <w:bookmarkEnd w:id="106"/>
      <w:bookmarkEnd w:id="107"/>
      <w:bookmarkEnd w:id="108"/>
      <w:bookmarkEnd w:id="109"/>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tbl>
      <w:tblPr>
        <w:tblW w:w="9180" w:type="dxa"/>
        <w:tblInd w:w="-72" w:type="dxa"/>
        <w:tblLook w:val="01E0"/>
      </w:tblPr>
      <w:tblGrid>
        <w:gridCol w:w="4140"/>
        <w:gridCol w:w="720"/>
        <w:gridCol w:w="4320"/>
      </w:tblGrid>
      <w:tr w:rsidR="00B642EF" w:rsidRPr="00F3044C">
        <w:tc>
          <w:tcPr>
            <w:tcW w:w="4140" w:type="dxa"/>
            <w:tcBorders>
              <w:top w:val="single" w:sz="4" w:space="0" w:color="auto"/>
            </w:tcBorders>
          </w:tcPr>
          <w:p w:rsidR="00B642EF" w:rsidRPr="00F3044C" w:rsidRDefault="00B642EF" w:rsidP="00B642EF">
            <w:pPr>
              <w:jc w:val="center"/>
              <w:rPr>
                <w:rFonts w:ascii="Arial" w:eastAsia="Arial Unicode MS" w:hAnsi="Arial" w:cs="Arial"/>
                <w:sz w:val="28"/>
                <w:szCs w:val="28"/>
              </w:rPr>
            </w:pPr>
            <w:r>
              <w:rPr>
                <w:rFonts w:ascii="Arial" w:eastAsia="Arial Unicode MS" w:hAnsi="Arial" w:cs="Arial"/>
                <w:sz w:val="28"/>
                <w:szCs w:val="28"/>
              </w:rPr>
              <w:t>Ing. Washington Armas</w:t>
            </w:r>
          </w:p>
        </w:tc>
        <w:tc>
          <w:tcPr>
            <w:tcW w:w="720" w:type="dxa"/>
            <w:tcBorders>
              <w:top w:val="nil"/>
            </w:tcBorders>
          </w:tcPr>
          <w:p w:rsidR="00B642EF" w:rsidRPr="00F3044C" w:rsidRDefault="00B642EF" w:rsidP="00B642EF">
            <w:pPr>
              <w:jc w:val="center"/>
              <w:rPr>
                <w:rFonts w:ascii="Arial" w:eastAsia="Arial Unicode MS" w:hAnsi="Arial" w:cs="Arial"/>
                <w:sz w:val="28"/>
                <w:szCs w:val="28"/>
              </w:rPr>
            </w:pPr>
          </w:p>
        </w:tc>
        <w:tc>
          <w:tcPr>
            <w:tcW w:w="4320" w:type="dxa"/>
            <w:tcBorders>
              <w:top w:val="single" w:sz="4" w:space="0" w:color="auto"/>
            </w:tcBorders>
          </w:tcPr>
          <w:p w:rsidR="00B642EF" w:rsidRPr="00F3044C" w:rsidRDefault="00B642EF" w:rsidP="00B642EF">
            <w:pPr>
              <w:jc w:val="center"/>
              <w:rPr>
                <w:rFonts w:ascii="Arial" w:eastAsia="Arial Unicode MS" w:hAnsi="Arial" w:cs="Arial"/>
                <w:sz w:val="28"/>
                <w:szCs w:val="28"/>
              </w:rPr>
            </w:pPr>
            <w:r>
              <w:rPr>
                <w:rFonts w:ascii="Arial" w:eastAsia="Arial Unicode MS" w:hAnsi="Arial" w:cs="Arial"/>
                <w:sz w:val="28"/>
                <w:szCs w:val="28"/>
              </w:rPr>
              <w:t>Ing. María Nela Pastuizaca</w:t>
            </w: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r w:rsidRPr="00F3044C">
              <w:rPr>
                <w:rFonts w:ascii="Arial" w:eastAsia="Arial Unicode MS" w:hAnsi="Arial" w:cs="Arial"/>
                <w:sz w:val="28"/>
                <w:szCs w:val="28"/>
              </w:rPr>
              <w:t>PRESIDENTE DEL TRIBUNAL</w:t>
            </w: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r w:rsidRPr="00F3044C">
              <w:rPr>
                <w:rFonts w:ascii="Arial" w:eastAsia="Arial Unicode MS" w:hAnsi="Arial" w:cs="Arial"/>
                <w:sz w:val="28"/>
                <w:szCs w:val="28"/>
              </w:rPr>
              <w:t>DIRECTOR DE TESIS</w:t>
            </w: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Default="00B642EF" w:rsidP="00B642EF">
            <w:pPr>
              <w:jc w:val="center"/>
              <w:rPr>
                <w:rFonts w:ascii="Arial" w:eastAsia="Arial Unicode MS" w:hAnsi="Arial" w:cs="Arial"/>
                <w:sz w:val="28"/>
                <w:szCs w:val="28"/>
              </w:rPr>
            </w:pPr>
          </w:p>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Borders>
              <w:bottom w:val="single" w:sz="4" w:space="0" w:color="auto"/>
            </w:tcBorders>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Borders>
              <w:bottom w:val="single" w:sz="4" w:space="0" w:color="auto"/>
            </w:tcBorders>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Borders>
              <w:top w:val="single" w:sz="4" w:space="0" w:color="auto"/>
            </w:tcBorders>
          </w:tcPr>
          <w:p w:rsidR="00B642EF" w:rsidRPr="00F3044C" w:rsidRDefault="00B642EF" w:rsidP="00B642EF">
            <w:pPr>
              <w:jc w:val="center"/>
              <w:rPr>
                <w:rFonts w:ascii="Arial" w:eastAsia="Arial Unicode MS" w:hAnsi="Arial" w:cs="Arial"/>
                <w:sz w:val="28"/>
                <w:szCs w:val="28"/>
              </w:rPr>
            </w:pPr>
            <w:r>
              <w:rPr>
                <w:rFonts w:ascii="Arial" w:eastAsia="Arial Unicode MS" w:hAnsi="Arial" w:cs="Arial"/>
                <w:sz w:val="28"/>
                <w:szCs w:val="28"/>
              </w:rPr>
              <w:t>Ing. Guillermo Baquerizo</w:t>
            </w: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Borders>
              <w:top w:val="single" w:sz="4" w:space="0" w:color="auto"/>
            </w:tcBorders>
          </w:tcPr>
          <w:p w:rsidR="00B642EF" w:rsidRPr="00F3044C" w:rsidRDefault="00B642EF" w:rsidP="00B642EF">
            <w:pPr>
              <w:jc w:val="center"/>
              <w:rPr>
                <w:rFonts w:ascii="Arial" w:eastAsia="Arial Unicode MS" w:hAnsi="Arial" w:cs="Arial"/>
                <w:sz w:val="28"/>
                <w:szCs w:val="28"/>
              </w:rPr>
            </w:pPr>
            <w:r>
              <w:rPr>
                <w:rFonts w:ascii="Arial" w:eastAsia="Arial Unicode MS" w:hAnsi="Arial" w:cs="Arial"/>
                <w:sz w:val="28"/>
                <w:szCs w:val="28"/>
              </w:rPr>
              <w:t xml:space="preserve">C.P.A. Jessenia González  </w:t>
            </w: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r w:rsidRPr="00F3044C">
              <w:rPr>
                <w:rFonts w:ascii="Arial" w:eastAsia="Arial Unicode MS" w:hAnsi="Arial" w:cs="Arial"/>
                <w:sz w:val="28"/>
                <w:szCs w:val="28"/>
              </w:rPr>
              <w:t>VOCAL</w:t>
            </w: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r w:rsidRPr="00F3044C">
              <w:rPr>
                <w:rFonts w:ascii="Arial" w:eastAsia="Arial Unicode MS" w:hAnsi="Arial" w:cs="Arial"/>
                <w:sz w:val="28"/>
                <w:szCs w:val="28"/>
              </w:rPr>
              <w:t>VOCAL</w:t>
            </w: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r w:rsidR="00B642EF" w:rsidRPr="00F3044C">
        <w:tc>
          <w:tcPr>
            <w:tcW w:w="4140" w:type="dxa"/>
          </w:tcPr>
          <w:p w:rsidR="00B642EF" w:rsidRPr="001A3E39" w:rsidRDefault="00B642EF" w:rsidP="00B642EF">
            <w:pPr>
              <w:jc w:val="center"/>
              <w:rPr>
                <w:rFonts w:ascii="Arial" w:eastAsia="Arial Unicode MS" w:hAnsi="Arial" w:cs="Arial"/>
                <w:color w:val="FFFFFF"/>
                <w:sz w:val="28"/>
                <w:szCs w:val="28"/>
              </w:rPr>
            </w:pPr>
          </w:p>
        </w:tc>
        <w:tc>
          <w:tcPr>
            <w:tcW w:w="720" w:type="dxa"/>
          </w:tcPr>
          <w:p w:rsidR="00B642EF" w:rsidRPr="001A3E39" w:rsidRDefault="00B642EF" w:rsidP="00B642EF">
            <w:pPr>
              <w:jc w:val="center"/>
              <w:rPr>
                <w:rFonts w:ascii="Arial" w:eastAsia="Arial Unicode MS" w:hAnsi="Arial" w:cs="Arial"/>
                <w:color w:val="FFFFFF"/>
                <w:sz w:val="28"/>
                <w:szCs w:val="28"/>
              </w:rPr>
            </w:pPr>
          </w:p>
        </w:tc>
        <w:tc>
          <w:tcPr>
            <w:tcW w:w="4320" w:type="dxa"/>
          </w:tcPr>
          <w:p w:rsidR="00B642EF" w:rsidRPr="001A3E39" w:rsidRDefault="00B642EF" w:rsidP="00B642EF">
            <w:pPr>
              <w:jc w:val="center"/>
              <w:rPr>
                <w:rFonts w:ascii="Arial" w:eastAsia="Arial Unicode MS" w:hAnsi="Arial" w:cs="Arial"/>
                <w:color w:val="FFFFFF"/>
                <w:sz w:val="28"/>
                <w:szCs w:val="28"/>
              </w:rPr>
            </w:pPr>
          </w:p>
        </w:tc>
      </w:tr>
      <w:tr w:rsidR="00B642EF" w:rsidRPr="00F3044C">
        <w:tc>
          <w:tcPr>
            <w:tcW w:w="4140" w:type="dxa"/>
          </w:tcPr>
          <w:p w:rsidR="00B642EF" w:rsidRPr="001A3E39" w:rsidRDefault="00B642EF" w:rsidP="00B642EF">
            <w:pPr>
              <w:jc w:val="center"/>
              <w:rPr>
                <w:rFonts w:ascii="Arial" w:eastAsia="Arial Unicode MS" w:hAnsi="Arial" w:cs="Arial"/>
                <w:color w:val="FFFFFF"/>
                <w:sz w:val="28"/>
                <w:szCs w:val="28"/>
              </w:rPr>
            </w:pPr>
          </w:p>
        </w:tc>
        <w:tc>
          <w:tcPr>
            <w:tcW w:w="720" w:type="dxa"/>
          </w:tcPr>
          <w:p w:rsidR="00B642EF" w:rsidRPr="001A3E39" w:rsidRDefault="00B642EF" w:rsidP="00B642EF">
            <w:pPr>
              <w:jc w:val="center"/>
              <w:rPr>
                <w:rFonts w:ascii="Arial" w:eastAsia="Arial Unicode MS" w:hAnsi="Arial" w:cs="Arial"/>
                <w:color w:val="FFFFFF"/>
                <w:sz w:val="28"/>
                <w:szCs w:val="28"/>
              </w:rPr>
            </w:pPr>
          </w:p>
        </w:tc>
        <w:tc>
          <w:tcPr>
            <w:tcW w:w="4320" w:type="dxa"/>
          </w:tcPr>
          <w:p w:rsidR="00B642EF" w:rsidRPr="001A3E39" w:rsidRDefault="00B642EF" w:rsidP="00B642EF">
            <w:pPr>
              <w:jc w:val="center"/>
              <w:rPr>
                <w:rFonts w:ascii="Arial" w:eastAsia="Arial Unicode MS" w:hAnsi="Arial" w:cs="Arial"/>
                <w:color w:val="FFFFFF"/>
                <w:sz w:val="28"/>
                <w:szCs w:val="28"/>
              </w:rPr>
            </w:pPr>
          </w:p>
        </w:tc>
      </w:tr>
      <w:tr w:rsidR="00B642EF" w:rsidRPr="00F3044C">
        <w:tc>
          <w:tcPr>
            <w:tcW w:w="4140" w:type="dxa"/>
          </w:tcPr>
          <w:p w:rsidR="00B642EF" w:rsidRPr="00F3044C" w:rsidRDefault="00B642EF" w:rsidP="00B642EF">
            <w:pPr>
              <w:jc w:val="center"/>
              <w:rPr>
                <w:rFonts w:ascii="Arial" w:eastAsia="Arial Unicode MS" w:hAnsi="Arial" w:cs="Arial"/>
                <w:sz w:val="28"/>
                <w:szCs w:val="28"/>
              </w:rPr>
            </w:pPr>
          </w:p>
        </w:tc>
        <w:tc>
          <w:tcPr>
            <w:tcW w:w="720" w:type="dxa"/>
          </w:tcPr>
          <w:p w:rsidR="00B642EF" w:rsidRPr="00F3044C" w:rsidRDefault="00B642EF" w:rsidP="00B642EF">
            <w:pPr>
              <w:jc w:val="center"/>
              <w:rPr>
                <w:rFonts w:ascii="Arial" w:eastAsia="Arial Unicode MS" w:hAnsi="Arial" w:cs="Arial"/>
                <w:sz w:val="28"/>
                <w:szCs w:val="28"/>
              </w:rPr>
            </w:pPr>
          </w:p>
        </w:tc>
        <w:tc>
          <w:tcPr>
            <w:tcW w:w="4320" w:type="dxa"/>
          </w:tcPr>
          <w:p w:rsidR="00B642EF" w:rsidRPr="00F3044C" w:rsidRDefault="00B642EF" w:rsidP="00B642EF">
            <w:pPr>
              <w:jc w:val="center"/>
              <w:rPr>
                <w:rFonts w:ascii="Arial" w:eastAsia="Arial Unicode MS" w:hAnsi="Arial" w:cs="Arial"/>
                <w:sz w:val="28"/>
                <w:szCs w:val="28"/>
              </w:rPr>
            </w:pPr>
          </w:p>
        </w:tc>
      </w:tr>
    </w:tbl>
    <w:p w:rsidR="00B642EF" w:rsidRDefault="00B642EF" w:rsidP="00B642EF">
      <w:pPr>
        <w:spacing w:line="480" w:lineRule="auto"/>
        <w:jc w:val="both"/>
        <w:rPr>
          <w:rFonts w:ascii="Arial" w:hAnsi="Arial" w:cs="Arial"/>
        </w:rPr>
      </w:pPr>
    </w:p>
    <w:p w:rsidR="00B642EF" w:rsidRPr="009D4361" w:rsidRDefault="00B642EF" w:rsidP="00B642EF">
      <w:pPr>
        <w:spacing w:line="480" w:lineRule="auto"/>
        <w:jc w:val="center"/>
        <w:outlineLvl w:val="0"/>
        <w:rPr>
          <w:rFonts w:ascii="Arial" w:hAnsi="Arial" w:cs="Arial"/>
          <w:b/>
          <w:sz w:val="32"/>
          <w:szCs w:val="32"/>
        </w:rPr>
      </w:pPr>
      <w:r>
        <w:rPr>
          <w:rFonts w:ascii="Arial" w:hAnsi="Arial" w:cs="Arial"/>
        </w:rPr>
        <w:br w:type="page"/>
      </w:r>
      <w:bookmarkStart w:id="110" w:name="_Toc183697468"/>
      <w:bookmarkStart w:id="111" w:name="_Toc183698798"/>
      <w:bookmarkStart w:id="112" w:name="_Toc183699139"/>
      <w:bookmarkStart w:id="113" w:name="_Toc183699351"/>
      <w:bookmarkStart w:id="114" w:name="_Toc183699522"/>
      <w:bookmarkStart w:id="115" w:name="_Toc183699821"/>
      <w:bookmarkStart w:id="116" w:name="_Toc183700094"/>
      <w:bookmarkStart w:id="117" w:name="_Toc183700311"/>
      <w:bookmarkStart w:id="118" w:name="_Toc183700603"/>
      <w:bookmarkStart w:id="119" w:name="_Toc183700854"/>
      <w:r w:rsidRPr="009D4361">
        <w:rPr>
          <w:rFonts w:ascii="Arial" w:hAnsi="Arial" w:cs="Arial"/>
          <w:b/>
          <w:sz w:val="32"/>
          <w:szCs w:val="32"/>
        </w:rPr>
        <w:lastRenderedPageBreak/>
        <w:t>DECLARACIÓN EXPRESA</w:t>
      </w:r>
      <w:bookmarkEnd w:id="110"/>
      <w:bookmarkEnd w:id="111"/>
      <w:bookmarkEnd w:id="112"/>
      <w:bookmarkEnd w:id="113"/>
      <w:bookmarkEnd w:id="114"/>
      <w:bookmarkEnd w:id="115"/>
      <w:bookmarkEnd w:id="116"/>
      <w:bookmarkEnd w:id="117"/>
      <w:bookmarkEnd w:id="118"/>
      <w:bookmarkEnd w:id="119"/>
    </w:p>
    <w:p w:rsidR="00B642EF" w:rsidRDefault="00B642EF" w:rsidP="00B642EF">
      <w:pPr>
        <w:spacing w:line="480" w:lineRule="auto"/>
        <w:jc w:val="center"/>
        <w:rPr>
          <w:rFonts w:ascii="Arial" w:hAnsi="Arial" w:cs="Arial"/>
        </w:rPr>
      </w:pPr>
    </w:p>
    <w:p w:rsidR="00B642EF" w:rsidRDefault="00B642EF" w:rsidP="00B642EF">
      <w:pPr>
        <w:spacing w:line="480" w:lineRule="auto"/>
        <w:jc w:val="center"/>
        <w:rPr>
          <w:rFonts w:ascii="Arial" w:hAnsi="Arial" w:cs="Arial"/>
        </w:rPr>
      </w:pPr>
    </w:p>
    <w:p w:rsidR="00B642EF" w:rsidRDefault="00B642EF" w:rsidP="00B642EF">
      <w:pPr>
        <w:spacing w:line="480" w:lineRule="auto"/>
        <w:jc w:val="center"/>
        <w:rPr>
          <w:rFonts w:ascii="Arial" w:hAnsi="Arial" w:cs="Arial"/>
        </w:rPr>
      </w:pPr>
    </w:p>
    <w:p w:rsidR="00B642EF" w:rsidRDefault="00B642EF" w:rsidP="00B642EF">
      <w:pPr>
        <w:spacing w:line="480" w:lineRule="auto"/>
        <w:jc w:val="center"/>
        <w:rPr>
          <w:rFonts w:ascii="Arial" w:hAnsi="Arial" w:cs="Arial"/>
        </w:rPr>
      </w:pPr>
    </w:p>
    <w:p w:rsidR="00B642EF" w:rsidRDefault="00B642EF" w:rsidP="00B642EF">
      <w:pPr>
        <w:spacing w:line="480" w:lineRule="auto"/>
        <w:jc w:val="both"/>
        <w:rPr>
          <w:rFonts w:ascii="Arial" w:hAnsi="Arial" w:cs="Arial"/>
        </w:rPr>
      </w:pPr>
    </w:p>
    <w:p w:rsidR="00B642EF" w:rsidRPr="00BA38DE" w:rsidRDefault="00B642EF" w:rsidP="00B642EF">
      <w:pPr>
        <w:spacing w:line="480" w:lineRule="auto"/>
        <w:jc w:val="both"/>
        <w:rPr>
          <w:rFonts w:ascii="Arial" w:hAnsi="Arial" w:cs="Arial"/>
        </w:rPr>
      </w:pPr>
    </w:p>
    <w:p w:rsidR="00B642EF" w:rsidRDefault="00B642EF" w:rsidP="00B642EF">
      <w:pPr>
        <w:spacing w:line="480" w:lineRule="auto"/>
        <w:ind w:left="1843" w:right="1614"/>
        <w:jc w:val="both"/>
        <w:rPr>
          <w:rFonts w:ascii="Arial" w:hAnsi="Arial" w:cs="Arial"/>
        </w:rPr>
      </w:pPr>
      <w:r>
        <w:rPr>
          <w:rFonts w:ascii="Arial" w:hAnsi="Arial" w:cs="Arial"/>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Pr>
            <w:rFonts w:ascii="Arial" w:hAnsi="Arial" w:cs="Arial"/>
          </w:rPr>
          <w:t xml:space="preserve">la </w:t>
        </w:r>
        <w:r w:rsidRPr="00A30E22">
          <w:rPr>
            <w:rFonts w:ascii="Arial" w:hAnsi="Arial" w:cs="Arial"/>
            <w:caps/>
          </w:rPr>
          <w:t>Escuela Superior</w:t>
        </w:r>
      </w:smartTag>
      <w:r w:rsidRPr="00A30E22">
        <w:rPr>
          <w:rFonts w:ascii="Arial" w:hAnsi="Arial" w:cs="Arial"/>
          <w:caps/>
        </w:rPr>
        <w:t xml:space="preserve"> Politécnica del Litoral</w:t>
      </w:r>
      <w:r>
        <w:rPr>
          <w:rFonts w:ascii="Arial" w:hAnsi="Arial" w:cs="Arial"/>
        </w:rPr>
        <w:t>”.</w:t>
      </w:r>
    </w:p>
    <w:p w:rsidR="00B642EF" w:rsidRDefault="00B642EF" w:rsidP="00B642EF">
      <w:pPr>
        <w:spacing w:line="480" w:lineRule="auto"/>
        <w:ind w:left="1843" w:right="1614"/>
        <w:jc w:val="both"/>
        <w:rPr>
          <w:rFonts w:ascii="Arial" w:hAnsi="Arial" w:cs="Arial"/>
        </w:rPr>
      </w:pPr>
    </w:p>
    <w:p w:rsidR="00B642EF" w:rsidRDefault="00B642EF" w:rsidP="00B642EF">
      <w:pPr>
        <w:spacing w:line="480" w:lineRule="auto"/>
        <w:ind w:left="1843" w:right="1614"/>
        <w:jc w:val="both"/>
        <w:rPr>
          <w:rFonts w:ascii="Arial" w:hAnsi="Arial" w:cs="Arial"/>
        </w:rPr>
      </w:pPr>
      <w:r>
        <w:rPr>
          <w:rFonts w:ascii="Arial" w:hAnsi="Arial" w:cs="Arial"/>
        </w:rPr>
        <w:t xml:space="preserve">(Reglamento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p w:rsidR="00B642EF" w:rsidRDefault="00B642EF" w:rsidP="00B642EF">
      <w:pPr>
        <w:spacing w:line="480" w:lineRule="auto"/>
        <w:jc w:val="both"/>
        <w:rPr>
          <w:rFonts w:ascii="Arial" w:hAnsi="Arial" w:cs="Arial"/>
        </w:rPr>
      </w:pPr>
    </w:p>
    <w:p w:rsidR="00B642EF" w:rsidRDefault="00B642EF" w:rsidP="00B642EF">
      <w:pPr>
        <w:spacing w:line="480" w:lineRule="auto"/>
        <w:jc w:val="right"/>
        <w:rPr>
          <w:rFonts w:ascii="Arial" w:hAnsi="Arial" w:cs="Arial"/>
        </w:rPr>
      </w:pPr>
    </w:p>
    <w:p w:rsidR="00B642EF" w:rsidRDefault="00B642EF" w:rsidP="00B642EF">
      <w:pPr>
        <w:spacing w:line="480" w:lineRule="auto"/>
        <w:jc w:val="right"/>
        <w:rPr>
          <w:rFonts w:ascii="Arial" w:hAnsi="Arial" w:cs="Arial"/>
        </w:rPr>
      </w:pPr>
    </w:p>
    <w:p w:rsidR="00B642EF" w:rsidRDefault="00B642EF" w:rsidP="00B642EF">
      <w:pPr>
        <w:spacing w:line="480" w:lineRule="auto"/>
        <w:jc w:val="right"/>
        <w:rPr>
          <w:rFonts w:ascii="Arial" w:hAnsi="Arial" w:cs="Arial"/>
        </w:rPr>
      </w:pPr>
    </w:p>
    <w:p w:rsidR="00B642EF" w:rsidRDefault="00B642EF" w:rsidP="00B642EF">
      <w:pPr>
        <w:spacing w:line="480" w:lineRule="auto"/>
        <w:jc w:val="right"/>
        <w:rPr>
          <w:rFonts w:ascii="Arial" w:hAnsi="Arial" w:cs="Arial"/>
        </w:rPr>
      </w:pPr>
    </w:p>
    <w:p w:rsidR="00B642EF" w:rsidRDefault="00B642EF" w:rsidP="00B642EF">
      <w:pPr>
        <w:spacing w:line="480" w:lineRule="auto"/>
        <w:jc w:val="right"/>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30" type="#_x0000_t32" style="position:absolute;left:0;text-align:left;margin-left:255pt;margin-top:9.3pt;width:150pt;height:0;z-index:251656704" o:connectortype="straight"/>
        </w:pict>
      </w:r>
    </w:p>
    <w:p w:rsidR="00B642EF" w:rsidRDefault="00B642EF" w:rsidP="00B642EF">
      <w:pPr>
        <w:spacing w:line="480" w:lineRule="auto"/>
        <w:jc w:val="right"/>
        <w:rPr>
          <w:rFonts w:ascii="Arial" w:hAnsi="Arial" w:cs="Arial"/>
        </w:rPr>
      </w:pPr>
      <w:r>
        <w:rPr>
          <w:rFonts w:ascii="Arial" w:hAnsi="Arial" w:cs="Arial"/>
        </w:rPr>
        <w:t>Tania Katherine Molina Yugcha.</w:t>
      </w:r>
    </w:p>
    <w:p w:rsidR="00B642EF" w:rsidRDefault="00B642EF" w:rsidP="00B642EF">
      <w:pPr>
        <w:spacing w:line="480" w:lineRule="auto"/>
        <w:jc w:val="both"/>
        <w:rPr>
          <w:rFonts w:ascii="Arial" w:hAnsi="Arial" w:cs="Arial"/>
        </w:rPr>
      </w:pPr>
    </w:p>
    <w:p w:rsidR="00B642EF" w:rsidRPr="006A1EAF" w:rsidRDefault="00B642EF" w:rsidP="006A1EAF">
      <w:pPr>
        <w:pStyle w:val="Ttulo1"/>
        <w:jc w:val="center"/>
        <w:rPr>
          <w:rFonts w:ascii="Arial" w:hAnsi="Arial" w:cs="Arial"/>
          <w:sz w:val="32"/>
          <w:szCs w:val="32"/>
        </w:rPr>
      </w:pPr>
      <w:bookmarkStart w:id="120" w:name="_Toc183697469"/>
      <w:bookmarkStart w:id="121" w:name="_Toc183698799"/>
      <w:bookmarkStart w:id="122" w:name="_Toc183699140"/>
      <w:bookmarkStart w:id="123" w:name="_Toc183699352"/>
      <w:bookmarkStart w:id="124" w:name="_Toc183699523"/>
      <w:bookmarkStart w:id="125" w:name="_Toc183699822"/>
      <w:bookmarkStart w:id="126" w:name="_Toc183700095"/>
      <w:bookmarkStart w:id="127" w:name="_Toc183700312"/>
      <w:bookmarkStart w:id="128" w:name="_Toc183700604"/>
      <w:bookmarkStart w:id="129" w:name="_Toc183700855"/>
      <w:r w:rsidRPr="006A1EAF">
        <w:rPr>
          <w:rFonts w:ascii="Arial" w:hAnsi="Arial" w:cs="Arial"/>
          <w:sz w:val="32"/>
          <w:szCs w:val="32"/>
        </w:rPr>
        <w:lastRenderedPageBreak/>
        <w:t>RESUMEN</w:t>
      </w:r>
      <w:bookmarkEnd w:id="120"/>
      <w:bookmarkEnd w:id="121"/>
      <w:bookmarkEnd w:id="122"/>
      <w:bookmarkEnd w:id="123"/>
      <w:bookmarkEnd w:id="124"/>
      <w:bookmarkEnd w:id="125"/>
      <w:bookmarkEnd w:id="126"/>
      <w:bookmarkEnd w:id="127"/>
      <w:bookmarkEnd w:id="128"/>
      <w:bookmarkEnd w:id="129"/>
    </w:p>
    <w:p w:rsidR="00B642EF" w:rsidRPr="00BA38DE" w:rsidRDefault="00B642EF" w:rsidP="00B642EF">
      <w:pPr>
        <w:tabs>
          <w:tab w:val="left" w:pos="3630"/>
        </w:tabs>
        <w:spacing w:line="480" w:lineRule="auto"/>
        <w:jc w:val="both"/>
        <w:rPr>
          <w:rFonts w:ascii="Arial" w:hAnsi="Arial" w:cs="Arial"/>
        </w:rPr>
      </w:pPr>
      <w:r>
        <w:rPr>
          <w:rFonts w:ascii="Arial" w:hAnsi="Arial" w:cs="Arial"/>
        </w:rPr>
        <w:tab/>
      </w:r>
    </w:p>
    <w:p w:rsidR="00B642EF" w:rsidRDefault="00B642EF" w:rsidP="00B642EF">
      <w:pPr>
        <w:spacing w:line="480" w:lineRule="auto"/>
        <w:jc w:val="both"/>
        <w:rPr>
          <w:rFonts w:ascii="Arial" w:hAnsi="Arial" w:cs="Arial"/>
        </w:rPr>
      </w:pPr>
      <w:r>
        <w:rPr>
          <w:rFonts w:ascii="Arial" w:hAnsi="Arial" w:cs="Arial"/>
        </w:rPr>
        <w:t>Este  trabajo  corresponde a mi tesis de grado, contiene información  obtenida de una empresa inmobiliaria que realiza proyectos, se han seleccionado los datos que se han considerado de mayor movimiento e importancia para la correcta realización de este trabajo.</w:t>
      </w:r>
    </w:p>
    <w:p w:rsidR="00B642EF" w:rsidRPr="00BA38DE" w:rsidRDefault="00B642EF" w:rsidP="00B642EF">
      <w:pPr>
        <w:spacing w:line="480" w:lineRule="auto"/>
        <w:jc w:val="both"/>
        <w:rPr>
          <w:rFonts w:ascii="Arial" w:hAnsi="Arial" w:cs="Arial"/>
        </w:rPr>
      </w:pPr>
      <w:r w:rsidRPr="00BA38DE">
        <w:rPr>
          <w:rFonts w:ascii="Arial" w:hAnsi="Arial" w:cs="Arial"/>
        </w:rPr>
        <w:t xml:space="preserve"> </w:t>
      </w:r>
    </w:p>
    <w:p w:rsidR="00B642EF" w:rsidRDefault="00B642EF" w:rsidP="00B642EF">
      <w:pPr>
        <w:spacing w:line="480" w:lineRule="auto"/>
        <w:jc w:val="both"/>
        <w:rPr>
          <w:rFonts w:ascii="Arial" w:hAnsi="Arial" w:cs="Arial"/>
        </w:rPr>
      </w:pPr>
      <w:r>
        <w:rPr>
          <w:rFonts w:ascii="Arial" w:hAnsi="Arial" w:cs="Arial"/>
        </w:rPr>
        <w:t>En mi tesis  se podrá apreciar una breve descripción de la empresa y departamento seleccionado, la evaluación del control interno específicamente en el componente de las conciliaciones bancarias y el análisis de las diferencias en los saldos de las conciliaciones bancarias del primer semestre del año 2007 mediante gráficos de fácil interpretación.</w:t>
      </w:r>
    </w:p>
    <w:p w:rsidR="00B642EF" w:rsidRDefault="00B642EF" w:rsidP="00B642EF">
      <w:pPr>
        <w:spacing w:line="480" w:lineRule="auto"/>
        <w:jc w:val="both"/>
        <w:rPr>
          <w:rFonts w:ascii="Arial" w:hAnsi="Arial" w:cs="Arial"/>
        </w:rPr>
      </w:pPr>
      <w:r>
        <w:rPr>
          <w:rFonts w:ascii="Arial" w:hAnsi="Arial" w:cs="Arial"/>
        </w:rPr>
        <w:t>Con un  análisis de correlación se determinó  si las variables seleccionadas están poco, mucho o definitivamente no están relacionadas.</w:t>
      </w:r>
      <w:r w:rsidRPr="0044090C">
        <w:rPr>
          <w:rFonts w:ascii="Arial" w:hAnsi="Arial" w:cs="Arial"/>
        </w:rPr>
        <w:t xml:space="preserve"> </w:t>
      </w:r>
    </w:p>
    <w:p w:rsidR="00B642EF" w:rsidRDefault="00B642EF" w:rsidP="00B642EF">
      <w:pPr>
        <w:spacing w:line="480" w:lineRule="auto"/>
        <w:jc w:val="both"/>
        <w:rPr>
          <w:rFonts w:ascii="Arial" w:hAnsi="Arial" w:cs="Arial"/>
        </w:rPr>
      </w:pPr>
      <w:r>
        <w:rPr>
          <w:rFonts w:ascii="Arial" w:hAnsi="Arial" w:cs="Arial"/>
        </w:rPr>
        <w:t>Con los diagramas de series de tiempo analizaremos si los meses del año influyen en los montos de las diferencias de las conciliaciones bancarias.</w:t>
      </w:r>
    </w:p>
    <w:p w:rsidR="00B642EF" w:rsidRDefault="00B642EF" w:rsidP="00B642EF">
      <w:pPr>
        <w:spacing w:line="480" w:lineRule="auto"/>
        <w:jc w:val="both"/>
        <w:rPr>
          <w:rFonts w:ascii="Arial" w:hAnsi="Arial" w:cs="Arial"/>
        </w:rPr>
      </w:pPr>
    </w:p>
    <w:p w:rsidR="00B642EF" w:rsidRDefault="00B642EF" w:rsidP="00B642EF">
      <w:pPr>
        <w:spacing w:line="480" w:lineRule="auto"/>
        <w:jc w:val="both"/>
        <w:rPr>
          <w:rFonts w:ascii="Arial" w:hAnsi="Arial" w:cs="Arial"/>
        </w:rPr>
      </w:pPr>
      <w:r>
        <w:rPr>
          <w:rFonts w:ascii="Arial" w:hAnsi="Arial" w:cs="Arial"/>
        </w:rPr>
        <w:t xml:space="preserve">Se ha realizado las respectivas recomendaciones que le serán de utilidad a la empresa inmobiliaria seleccionada, las cuales fueron realizadas considerando las distintas situaciones y análisis efectuados. </w:t>
      </w:r>
      <w:r w:rsidRPr="00BA38DE">
        <w:rPr>
          <w:rFonts w:ascii="Arial" w:hAnsi="Arial" w:cs="Arial"/>
        </w:rPr>
        <w:t xml:space="preserve"> </w:t>
      </w:r>
    </w:p>
    <w:p w:rsidR="00B642EF" w:rsidRDefault="00B642EF" w:rsidP="00B642EF">
      <w:pPr>
        <w:spacing w:line="480" w:lineRule="auto"/>
        <w:jc w:val="both"/>
        <w:rPr>
          <w:rFonts w:ascii="Arial" w:hAnsi="Arial" w:cs="Arial"/>
        </w:rPr>
      </w:pPr>
    </w:p>
    <w:p w:rsidR="00B642EF" w:rsidRPr="00A64FB3" w:rsidRDefault="00B642EF" w:rsidP="00B642EF">
      <w:pPr>
        <w:spacing w:line="480" w:lineRule="auto"/>
        <w:jc w:val="both"/>
        <w:rPr>
          <w:rFonts w:ascii="Arial" w:hAnsi="Arial" w:cs="Arial"/>
        </w:rPr>
      </w:pPr>
      <w:r>
        <w:rPr>
          <w:rFonts w:ascii="Arial" w:hAnsi="Arial" w:cs="Arial"/>
        </w:rPr>
        <w:t xml:space="preserve">Cabe recalcar que por confidencialidad de la información obtenida para mi tesis, las 5 compañías seleccionadas tendrán nombres asignados de mi </w:t>
      </w:r>
      <w:r>
        <w:rPr>
          <w:rFonts w:ascii="Arial" w:hAnsi="Arial" w:cs="Arial"/>
        </w:rPr>
        <w:lastRenderedPageBreak/>
        <w:t>propiedad intelectual, por lo tanto solo serán encontradas en el contenido de mi tesis.</w:t>
      </w: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6A1EAF" w:rsidRDefault="006A1EA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6A1EAF" w:rsidRDefault="006A1EA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B642EF" w:rsidRDefault="00B642EF" w:rsidP="00B642EF">
      <w:pPr>
        <w:tabs>
          <w:tab w:val="decimal" w:pos="720"/>
          <w:tab w:val="decimal" w:pos="1080"/>
          <w:tab w:val="right" w:leader="dot" w:pos="2835"/>
          <w:tab w:val="right" w:leader="dot" w:pos="5103"/>
          <w:tab w:val="right" w:leader="dot" w:pos="6804"/>
        </w:tabs>
        <w:spacing w:line="480" w:lineRule="auto"/>
        <w:jc w:val="both"/>
        <w:outlineLvl w:val="0"/>
        <w:rPr>
          <w:rFonts w:ascii="Arial" w:hAnsi="Arial" w:cs="Arial"/>
          <w:caps/>
        </w:rPr>
      </w:pPr>
    </w:p>
    <w:p w:rsidR="00546489" w:rsidRPr="006A1EAF" w:rsidRDefault="00546489" w:rsidP="006A1EAF">
      <w:pPr>
        <w:pStyle w:val="Ttulo1"/>
        <w:jc w:val="center"/>
        <w:rPr>
          <w:rFonts w:ascii="Arial" w:hAnsi="Arial" w:cs="Arial"/>
          <w:sz w:val="32"/>
          <w:szCs w:val="32"/>
        </w:rPr>
      </w:pPr>
      <w:bookmarkStart w:id="130" w:name="_Toc183697470"/>
      <w:bookmarkStart w:id="131" w:name="_Toc183698800"/>
      <w:bookmarkStart w:id="132" w:name="_Toc183699141"/>
      <w:bookmarkStart w:id="133" w:name="_Toc183699353"/>
      <w:bookmarkStart w:id="134" w:name="_Toc183699524"/>
      <w:bookmarkStart w:id="135" w:name="_Toc183699823"/>
      <w:bookmarkStart w:id="136" w:name="_Toc183700096"/>
      <w:bookmarkStart w:id="137" w:name="_Toc183700313"/>
      <w:bookmarkStart w:id="138" w:name="_Toc183700605"/>
      <w:bookmarkStart w:id="139" w:name="_Toc183700856"/>
      <w:r w:rsidRPr="006A1EAF">
        <w:rPr>
          <w:rFonts w:ascii="Arial" w:hAnsi="Arial" w:cs="Arial"/>
          <w:sz w:val="32"/>
          <w:szCs w:val="32"/>
        </w:rPr>
        <w:lastRenderedPageBreak/>
        <w:t>ÍNDICE GENERAL</w:t>
      </w:r>
      <w:bookmarkEnd w:id="130"/>
      <w:bookmarkEnd w:id="131"/>
      <w:bookmarkEnd w:id="132"/>
      <w:bookmarkEnd w:id="133"/>
      <w:bookmarkEnd w:id="134"/>
      <w:bookmarkEnd w:id="135"/>
      <w:bookmarkEnd w:id="136"/>
      <w:bookmarkEnd w:id="137"/>
      <w:bookmarkEnd w:id="138"/>
      <w:bookmarkEnd w:id="139"/>
    </w:p>
    <w:p w:rsidR="00165947" w:rsidRDefault="00165947" w:rsidP="00361741">
      <w:pPr>
        <w:pStyle w:val="TDC1"/>
        <w:rPr>
          <w:rFonts w:eastAsia="Times New Roman"/>
          <w:noProof/>
        </w:rPr>
      </w:pPr>
      <w:r>
        <w:fldChar w:fldCharType="begin"/>
      </w:r>
      <w:r>
        <w:instrText xml:space="preserve"> TOC \o "1-5" \u </w:instrText>
      </w:r>
      <w:r>
        <w:fldChar w:fldCharType="separate"/>
      </w:r>
    </w:p>
    <w:p w:rsidR="00165947" w:rsidRDefault="00165947" w:rsidP="00361741">
      <w:pPr>
        <w:pStyle w:val="TDC1"/>
        <w:rPr>
          <w:rFonts w:eastAsia="Times New Roman"/>
          <w:noProof/>
        </w:rPr>
      </w:pPr>
      <w:r w:rsidRPr="002C08AB">
        <w:rPr>
          <w:noProof/>
        </w:rPr>
        <w:t>RESUMEN</w:t>
      </w:r>
      <w:r>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t xml:space="preserve">   </w:t>
      </w:r>
      <w:r>
        <w:rPr>
          <w:noProof/>
        </w:rPr>
        <w:fldChar w:fldCharType="begin"/>
      </w:r>
      <w:r>
        <w:rPr>
          <w:noProof/>
        </w:rPr>
        <w:instrText xml:space="preserve"> PAGEREF _Toc183697469 \h </w:instrText>
      </w:r>
      <w:r>
        <w:rPr>
          <w:noProof/>
        </w:rPr>
      </w:r>
      <w:r>
        <w:rPr>
          <w:noProof/>
        </w:rPr>
        <w:fldChar w:fldCharType="separate"/>
      </w:r>
      <w:r w:rsidR="005C1EEF">
        <w:rPr>
          <w:noProof/>
        </w:rPr>
        <w:t>VI</w:t>
      </w:r>
      <w:r>
        <w:rPr>
          <w:noProof/>
        </w:rPr>
        <w:fldChar w:fldCharType="end"/>
      </w:r>
    </w:p>
    <w:p w:rsidR="00165947" w:rsidRDefault="00165947" w:rsidP="00361741">
      <w:pPr>
        <w:pStyle w:val="TDC1"/>
        <w:rPr>
          <w:rFonts w:eastAsia="Times New Roman"/>
          <w:noProof/>
        </w:rPr>
      </w:pPr>
      <w:r w:rsidRPr="002C08AB">
        <w:rPr>
          <w:noProof/>
        </w:rPr>
        <w:t>ÍNDICE GENERAL</w:t>
      </w:r>
      <w:r>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Pr>
          <w:noProof/>
        </w:rPr>
        <w:fldChar w:fldCharType="begin"/>
      </w:r>
      <w:r>
        <w:rPr>
          <w:noProof/>
        </w:rPr>
        <w:instrText xml:space="preserve"> PAGEREF _Toc183697470 \h </w:instrText>
      </w:r>
      <w:r>
        <w:rPr>
          <w:noProof/>
        </w:rPr>
      </w:r>
      <w:r>
        <w:rPr>
          <w:noProof/>
        </w:rPr>
        <w:fldChar w:fldCharType="separate"/>
      </w:r>
      <w:r w:rsidR="005C1EEF">
        <w:rPr>
          <w:noProof/>
        </w:rPr>
        <w:t>VIII</w:t>
      </w:r>
      <w:r>
        <w:rPr>
          <w:noProof/>
        </w:rPr>
        <w:fldChar w:fldCharType="end"/>
      </w:r>
    </w:p>
    <w:p w:rsidR="00165947" w:rsidRDefault="00165947" w:rsidP="00361741">
      <w:pPr>
        <w:pStyle w:val="TDC1"/>
        <w:rPr>
          <w:rFonts w:eastAsia="Times New Roman"/>
          <w:noProof/>
        </w:rPr>
      </w:pPr>
      <w:r w:rsidRPr="002C08AB">
        <w:rPr>
          <w:noProof/>
        </w:rPr>
        <w:t>SIMBOLOGÍA</w:t>
      </w:r>
      <w:r>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t xml:space="preserve">  </w:t>
      </w:r>
      <w:r>
        <w:rPr>
          <w:noProof/>
        </w:rPr>
        <w:fldChar w:fldCharType="begin"/>
      </w:r>
      <w:r>
        <w:rPr>
          <w:noProof/>
        </w:rPr>
        <w:instrText xml:space="preserve"> PAGEREF _Toc183697471 \h </w:instrText>
      </w:r>
      <w:r>
        <w:rPr>
          <w:noProof/>
        </w:rPr>
      </w:r>
      <w:r>
        <w:rPr>
          <w:noProof/>
        </w:rPr>
        <w:fldChar w:fldCharType="separate"/>
      </w:r>
      <w:r w:rsidR="005C1EEF">
        <w:rPr>
          <w:noProof/>
        </w:rPr>
        <w:t>XII</w:t>
      </w:r>
      <w:r>
        <w:rPr>
          <w:noProof/>
        </w:rPr>
        <w:fldChar w:fldCharType="end"/>
      </w:r>
    </w:p>
    <w:p w:rsidR="00165947" w:rsidRDefault="00165947" w:rsidP="00361741">
      <w:pPr>
        <w:pStyle w:val="TDC1"/>
        <w:rPr>
          <w:rFonts w:eastAsia="Times New Roman"/>
          <w:noProof/>
        </w:rPr>
      </w:pPr>
      <w:r w:rsidRPr="002C08AB">
        <w:rPr>
          <w:noProof/>
        </w:rPr>
        <w:t>ÍNDICE DE TABLAS</w:t>
      </w:r>
      <w:r>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Pr>
          <w:noProof/>
        </w:rPr>
        <w:fldChar w:fldCharType="begin"/>
      </w:r>
      <w:r>
        <w:rPr>
          <w:noProof/>
        </w:rPr>
        <w:instrText xml:space="preserve"> PAGEREF _Toc183697472 \h </w:instrText>
      </w:r>
      <w:r>
        <w:rPr>
          <w:noProof/>
        </w:rPr>
      </w:r>
      <w:r>
        <w:rPr>
          <w:noProof/>
        </w:rPr>
        <w:fldChar w:fldCharType="separate"/>
      </w:r>
      <w:r w:rsidR="005C1EEF">
        <w:rPr>
          <w:noProof/>
        </w:rPr>
        <w:t>XIII</w:t>
      </w:r>
      <w:r>
        <w:rPr>
          <w:noProof/>
        </w:rPr>
        <w:fldChar w:fldCharType="end"/>
      </w:r>
    </w:p>
    <w:p w:rsidR="00165947" w:rsidRDefault="00165947" w:rsidP="00361741">
      <w:pPr>
        <w:pStyle w:val="TDC1"/>
        <w:rPr>
          <w:rFonts w:eastAsia="Times New Roman"/>
          <w:noProof/>
        </w:rPr>
      </w:pPr>
      <w:r w:rsidRPr="002C08AB">
        <w:rPr>
          <w:noProof/>
        </w:rPr>
        <w:t>ÍNDICE DE DIBUJOS</w:t>
      </w:r>
      <w:r>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t xml:space="preserve"> </w:t>
      </w:r>
      <w:r>
        <w:rPr>
          <w:noProof/>
        </w:rPr>
        <w:fldChar w:fldCharType="begin"/>
      </w:r>
      <w:r>
        <w:rPr>
          <w:noProof/>
        </w:rPr>
        <w:instrText xml:space="preserve"> PAGEREF _Toc183697473 \h </w:instrText>
      </w:r>
      <w:r>
        <w:rPr>
          <w:noProof/>
        </w:rPr>
      </w:r>
      <w:r>
        <w:rPr>
          <w:noProof/>
        </w:rPr>
        <w:fldChar w:fldCharType="separate"/>
      </w:r>
      <w:r w:rsidR="005C1EEF">
        <w:rPr>
          <w:noProof/>
        </w:rPr>
        <w:t>XIV</w:t>
      </w:r>
      <w:r>
        <w:rPr>
          <w:noProof/>
        </w:rPr>
        <w:fldChar w:fldCharType="end"/>
      </w:r>
    </w:p>
    <w:p w:rsidR="00165947" w:rsidRDefault="00165947" w:rsidP="00361741">
      <w:pPr>
        <w:pStyle w:val="TDC1"/>
        <w:rPr>
          <w:rFonts w:eastAsia="Times New Roman"/>
          <w:noProof/>
        </w:rPr>
      </w:pPr>
      <w:r w:rsidRPr="002C08AB">
        <w:rPr>
          <w:noProof/>
        </w:rPr>
        <w:t>ÍNDICE DE GRÁFICOS</w:t>
      </w:r>
      <w:r>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t xml:space="preserve">  </w:t>
      </w:r>
      <w:r>
        <w:rPr>
          <w:noProof/>
        </w:rPr>
        <w:fldChar w:fldCharType="begin"/>
      </w:r>
      <w:r>
        <w:rPr>
          <w:noProof/>
        </w:rPr>
        <w:instrText xml:space="preserve"> PAGEREF _Toc183697474 \h </w:instrText>
      </w:r>
      <w:r>
        <w:rPr>
          <w:noProof/>
        </w:rPr>
      </w:r>
      <w:r>
        <w:rPr>
          <w:noProof/>
        </w:rPr>
        <w:fldChar w:fldCharType="separate"/>
      </w:r>
      <w:r w:rsidR="005C1EEF">
        <w:rPr>
          <w:noProof/>
        </w:rPr>
        <w:t>XV</w:t>
      </w:r>
      <w:r>
        <w:rPr>
          <w:noProof/>
        </w:rPr>
        <w:fldChar w:fldCharType="end"/>
      </w:r>
    </w:p>
    <w:p w:rsidR="00165947" w:rsidRDefault="00165947" w:rsidP="00361741">
      <w:pPr>
        <w:pStyle w:val="TDC1"/>
        <w:rPr>
          <w:noProof/>
        </w:rPr>
      </w:pPr>
      <w:r w:rsidRPr="002C08AB">
        <w:rPr>
          <w:noProof/>
        </w:rPr>
        <w:t>INTRODUCCIÓN</w:t>
      </w:r>
      <w:r>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r>
      <w:r w:rsidR="005D5F9B">
        <w:rPr>
          <w:noProof/>
        </w:rPr>
        <w:tab/>
        <w:t xml:space="preserve">           </w:t>
      </w:r>
      <w:r>
        <w:rPr>
          <w:noProof/>
        </w:rPr>
        <w:fldChar w:fldCharType="begin"/>
      </w:r>
      <w:r>
        <w:rPr>
          <w:noProof/>
        </w:rPr>
        <w:instrText xml:space="preserve"> PAGEREF _Toc183697475 \h </w:instrText>
      </w:r>
      <w:r>
        <w:rPr>
          <w:noProof/>
        </w:rPr>
      </w:r>
      <w:r>
        <w:rPr>
          <w:noProof/>
        </w:rPr>
        <w:fldChar w:fldCharType="separate"/>
      </w:r>
      <w:r w:rsidR="005C1EEF">
        <w:rPr>
          <w:noProof/>
        </w:rPr>
        <w:t>XV</w:t>
      </w:r>
      <w:r>
        <w:rPr>
          <w:noProof/>
        </w:rPr>
        <w:fldChar w:fldCharType="end"/>
      </w:r>
    </w:p>
    <w:p w:rsidR="00361741" w:rsidRDefault="00361741" w:rsidP="00361741">
      <w:pPr>
        <w:rPr>
          <w:noProof/>
        </w:rPr>
      </w:pPr>
    </w:p>
    <w:p w:rsidR="00673ADA" w:rsidRPr="00361741" w:rsidRDefault="00673ADA" w:rsidP="00361741">
      <w:pPr>
        <w:rPr>
          <w:noProof/>
        </w:rPr>
      </w:pPr>
    </w:p>
    <w:p w:rsidR="00673ADA" w:rsidRDefault="00673ADA" w:rsidP="00361741">
      <w:pPr>
        <w:pStyle w:val="TDC1"/>
        <w:rPr>
          <w:noProof/>
        </w:rPr>
      </w:pPr>
    </w:p>
    <w:p w:rsidR="00165947" w:rsidRPr="00361741" w:rsidRDefault="00361741" w:rsidP="00361741">
      <w:pPr>
        <w:pStyle w:val="TDC1"/>
        <w:rPr>
          <w:i w:val="0"/>
          <w:noProof/>
        </w:rPr>
      </w:pPr>
      <w:r w:rsidRPr="00361741">
        <w:rPr>
          <w:i w:val="0"/>
          <w:noProof/>
        </w:rPr>
        <w:t>CAPÍTULO 1</w:t>
      </w:r>
    </w:p>
    <w:p w:rsidR="00165947" w:rsidRPr="001002ED" w:rsidRDefault="00165947" w:rsidP="00361741">
      <w:pPr>
        <w:pStyle w:val="TDC1"/>
        <w:rPr>
          <w:rFonts w:eastAsia="Times New Roman"/>
          <w:i w:val="0"/>
          <w:noProof/>
        </w:rPr>
      </w:pPr>
      <w:r w:rsidRPr="001002ED">
        <w:rPr>
          <w:i w:val="0"/>
          <w:noProof/>
        </w:rPr>
        <w:t>1. MARCO TEÓRICO</w:t>
      </w:r>
      <w:r w:rsidRPr="001002ED">
        <w:rPr>
          <w:i w:val="0"/>
          <w:noProof/>
        </w:rPr>
        <w:tab/>
      </w:r>
      <w:r w:rsidR="005D5F9B" w:rsidRPr="001002ED">
        <w:rPr>
          <w:i w:val="0"/>
          <w:noProof/>
        </w:rPr>
        <w:t xml:space="preserve">                                                                                      </w:t>
      </w:r>
      <w:r w:rsidRPr="001002ED">
        <w:rPr>
          <w:i w:val="0"/>
          <w:noProof/>
        </w:rPr>
        <w:fldChar w:fldCharType="begin"/>
      </w:r>
      <w:r w:rsidRPr="001002ED">
        <w:rPr>
          <w:i w:val="0"/>
          <w:noProof/>
        </w:rPr>
        <w:instrText xml:space="preserve"> PAGEREF _Toc183697477 \h </w:instrText>
      </w:r>
      <w:r w:rsidRPr="001002ED">
        <w:rPr>
          <w:i w:val="0"/>
          <w:noProof/>
        </w:rPr>
      </w:r>
      <w:r w:rsidRPr="001002ED">
        <w:rPr>
          <w:i w:val="0"/>
          <w:noProof/>
        </w:rPr>
        <w:fldChar w:fldCharType="separate"/>
      </w:r>
      <w:r w:rsidR="005C1EEF">
        <w:rPr>
          <w:i w:val="0"/>
          <w:noProof/>
        </w:rPr>
        <w:t>18</w:t>
      </w:r>
      <w:r w:rsidRPr="001002ED">
        <w:rPr>
          <w:i w:val="0"/>
          <w:noProof/>
        </w:rPr>
        <w:fldChar w:fldCharType="end"/>
      </w:r>
    </w:p>
    <w:p w:rsidR="00165947" w:rsidRPr="001002ED" w:rsidRDefault="00165947">
      <w:pPr>
        <w:pStyle w:val="TDC2"/>
        <w:tabs>
          <w:tab w:val="right" w:leader="dot" w:pos="8267"/>
        </w:tabs>
        <w:rPr>
          <w:rFonts w:eastAsia="Times New Roman"/>
          <w:b w:val="0"/>
          <w:bCs w:val="0"/>
          <w:noProof/>
          <w:sz w:val="24"/>
          <w:szCs w:val="24"/>
        </w:rPr>
      </w:pPr>
      <w:r w:rsidRPr="001002ED">
        <w:rPr>
          <w:noProof/>
        </w:rPr>
        <w:t>1.1 Control Interno</w:t>
      </w:r>
      <w:r w:rsidRPr="001002ED">
        <w:rPr>
          <w:noProof/>
        </w:rPr>
        <w:tab/>
      </w:r>
      <w:r w:rsidRPr="001002ED">
        <w:rPr>
          <w:noProof/>
        </w:rPr>
        <w:fldChar w:fldCharType="begin"/>
      </w:r>
      <w:r w:rsidRPr="001002ED">
        <w:rPr>
          <w:noProof/>
        </w:rPr>
        <w:instrText xml:space="preserve"> PAGEREF _Toc183697478 \h </w:instrText>
      </w:r>
      <w:r w:rsidRPr="001002ED">
        <w:rPr>
          <w:noProof/>
        </w:rPr>
      </w:r>
      <w:r w:rsidRPr="001002ED">
        <w:rPr>
          <w:noProof/>
        </w:rPr>
        <w:fldChar w:fldCharType="separate"/>
      </w:r>
      <w:r w:rsidR="005C1EEF">
        <w:rPr>
          <w:noProof/>
        </w:rPr>
        <w:t>18</w:t>
      </w:r>
      <w:r w:rsidRPr="001002ED">
        <w:rPr>
          <w:noProof/>
        </w:rPr>
        <w:fldChar w:fldCharType="end"/>
      </w:r>
    </w:p>
    <w:p w:rsidR="00165947" w:rsidRPr="001002ED" w:rsidRDefault="00165947">
      <w:pPr>
        <w:pStyle w:val="TDC3"/>
        <w:tabs>
          <w:tab w:val="right" w:leader="dot" w:pos="8267"/>
        </w:tabs>
        <w:rPr>
          <w:rFonts w:eastAsia="Times New Roman"/>
          <w:noProof/>
          <w:sz w:val="24"/>
          <w:szCs w:val="24"/>
        </w:rPr>
      </w:pPr>
      <w:r w:rsidRPr="001002ED">
        <w:rPr>
          <w:noProof/>
        </w:rPr>
        <w:t>1.1.1 Evaluación del control interno</w:t>
      </w:r>
      <w:r w:rsidRPr="001002ED">
        <w:rPr>
          <w:noProof/>
        </w:rPr>
        <w:tab/>
      </w:r>
      <w:r w:rsidRPr="001002ED">
        <w:rPr>
          <w:noProof/>
        </w:rPr>
        <w:fldChar w:fldCharType="begin"/>
      </w:r>
      <w:r w:rsidRPr="001002ED">
        <w:rPr>
          <w:noProof/>
        </w:rPr>
        <w:instrText xml:space="preserve"> PAGEREF _Toc183697479 \h </w:instrText>
      </w:r>
      <w:r w:rsidRPr="001002ED">
        <w:rPr>
          <w:noProof/>
        </w:rPr>
      </w:r>
      <w:r w:rsidRPr="001002ED">
        <w:rPr>
          <w:noProof/>
        </w:rPr>
        <w:fldChar w:fldCharType="separate"/>
      </w:r>
      <w:r w:rsidR="005C1EEF">
        <w:rPr>
          <w:noProof/>
        </w:rPr>
        <w:t>19</w:t>
      </w:r>
      <w:r w:rsidRPr="001002ED">
        <w:rPr>
          <w:noProof/>
        </w:rPr>
        <w:fldChar w:fldCharType="end"/>
      </w:r>
    </w:p>
    <w:p w:rsidR="00165947" w:rsidRPr="001002ED" w:rsidRDefault="00165947">
      <w:pPr>
        <w:pStyle w:val="TDC3"/>
        <w:tabs>
          <w:tab w:val="right" w:leader="dot" w:pos="8267"/>
        </w:tabs>
        <w:rPr>
          <w:rFonts w:eastAsia="Times New Roman"/>
          <w:noProof/>
          <w:sz w:val="24"/>
          <w:szCs w:val="24"/>
        </w:rPr>
      </w:pPr>
      <w:r w:rsidRPr="001002ED">
        <w:rPr>
          <w:noProof/>
        </w:rPr>
        <w:t>1.1.2 Control interno de las conciliaciones bancarias</w:t>
      </w:r>
      <w:r w:rsidRPr="001002ED">
        <w:rPr>
          <w:noProof/>
        </w:rPr>
        <w:tab/>
      </w:r>
      <w:r w:rsidRPr="001002ED">
        <w:rPr>
          <w:noProof/>
        </w:rPr>
        <w:fldChar w:fldCharType="begin"/>
      </w:r>
      <w:r w:rsidRPr="001002ED">
        <w:rPr>
          <w:noProof/>
        </w:rPr>
        <w:instrText xml:space="preserve"> PAGEREF _Toc183697480 \h </w:instrText>
      </w:r>
      <w:r w:rsidRPr="001002ED">
        <w:rPr>
          <w:noProof/>
        </w:rPr>
      </w:r>
      <w:r w:rsidRPr="001002ED">
        <w:rPr>
          <w:noProof/>
        </w:rPr>
        <w:fldChar w:fldCharType="separate"/>
      </w:r>
      <w:r w:rsidR="005C1EEF">
        <w:rPr>
          <w:noProof/>
        </w:rPr>
        <w:t>22</w:t>
      </w:r>
      <w:r w:rsidRPr="001002ED">
        <w:rPr>
          <w:noProof/>
        </w:rPr>
        <w:fldChar w:fldCharType="end"/>
      </w:r>
    </w:p>
    <w:p w:rsidR="00165947" w:rsidRPr="001002ED" w:rsidRDefault="00165947">
      <w:pPr>
        <w:pStyle w:val="TDC2"/>
        <w:tabs>
          <w:tab w:val="left" w:pos="960"/>
          <w:tab w:val="right" w:leader="dot" w:pos="8267"/>
        </w:tabs>
        <w:rPr>
          <w:rFonts w:eastAsia="Times New Roman"/>
          <w:b w:val="0"/>
          <w:bCs w:val="0"/>
          <w:noProof/>
          <w:sz w:val="24"/>
          <w:szCs w:val="24"/>
        </w:rPr>
      </w:pPr>
      <w:r w:rsidRPr="001002ED">
        <w:rPr>
          <w:noProof/>
        </w:rPr>
        <w:t>1.2</w:t>
      </w:r>
      <w:r w:rsidR="00FE3A69" w:rsidRPr="001002ED">
        <w:rPr>
          <w:rFonts w:eastAsia="Times New Roman"/>
          <w:b w:val="0"/>
          <w:bCs w:val="0"/>
          <w:noProof/>
          <w:sz w:val="24"/>
          <w:szCs w:val="24"/>
        </w:rPr>
        <w:t xml:space="preserve">  </w:t>
      </w:r>
      <w:r w:rsidRPr="001002ED">
        <w:rPr>
          <w:noProof/>
        </w:rPr>
        <w:t>Diagrama de barras</w:t>
      </w:r>
      <w:r w:rsidRPr="001002ED">
        <w:rPr>
          <w:noProof/>
        </w:rPr>
        <w:tab/>
      </w:r>
      <w:r w:rsidRPr="001002ED">
        <w:rPr>
          <w:noProof/>
        </w:rPr>
        <w:fldChar w:fldCharType="begin"/>
      </w:r>
      <w:r w:rsidRPr="001002ED">
        <w:rPr>
          <w:noProof/>
        </w:rPr>
        <w:instrText xml:space="preserve"> PAGEREF _Toc183697481 \h </w:instrText>
      </w:r>
      <w:r w:rsidRPr="001002ED">
        <w:rPr>
          <w:noProof/>
        </w:rPr>
      </w:r>
      <w:r w:rsidRPr="001002ED">
        <w:rPr>
          <w:noProof/>
        </w:rPr>
        <w:fldChar w:fldCharType="separate"/>
      </w:r>
      <w:r w:rsidR="005C1EEF">
        <w:rPr>
          <w:noProof/>
        </w:rPr>
        <w:t>23</w:t>
      </w:r>
      <w:r w:rsidRPr="001002ED">
        <w:rPr>
          <w:noProof/>
        </w:rPr>
        <w:fldChar w:fldCharType="end"/>
      </w:r>
    </w:p>
    <w:p w:rsidR="00165947" w:rsidRPr="001002ED" w:rsidRDefault="00165947">
      <w:pPr>
        <w:pStyle w:val="TDC2"/>
        <w:tabs>
          <w:tab w:val="right" w:leader="dot" w:pos="8267"/>
        </w:tabs>
        <w:rPr>
          <w:rFonts w:eastAsia="Times New Roman"/>
          <w:b w:val="0"/>
          <w:bCs w:val="0"/>
          <w:noProof/>
          <w:sz w:val="24"/>
          <w:szCs w:val="24"/>
        </w:rPr>
      </w:pPr>
      <w:r w:rsidRPr="001002ED">
        <w:rPr>
          <w:noProof/>
        </w:rPr>
        <w:t>1.3 Diagrama de pastel</w:t>
      </w:r>
      <w:r w:rsidRPr="001002ED">
        <w:rPr>
          <w:noProof/>
        </w:rPr>
        <w:tab/>
      </w:r>
      <w:r w:rsidRPr="001002ED">
        <w:rPr>
          <w:noProof/>
        </w:rPr>
        <w:fldChar w:fldCharType="begin"/>
      </w:r>
      <w:r w:rsidRPr="001002ED">
        <w:rPr>
          <w:noProof/>
        </w:rPr>
        <w:instrText xml:space="preserve"> PAGEREF _Toc183697482 \h </w:instrText>
      </w:r>
      <w:r w:rsidRPr="001002ED">
        <w:rPr>
          <w:noProof/>
        </w:rPr>
      </w:r>
      <w:r w:rsidRPr="001002ED">
        <w:rPr>
          <w:noProof/>
        </w:rPr>
        <w:fldChar w:fldCharType="separate"/>
      </w:r>
      <w:r w:rsidR="005C1EEF">
        <w:rPr>
          <w:noProof/>
        </w:rPr>
        <w:t>23</w:t>
      </w:r>
      <w:r w:rsidRPr="001002ED">
        <w:rPr>
          <w:noProof/>
        </w:rPr>
        <w:fldChar w:fldCharType="end"/>
      </w:r>
    </w:p>
    <w:p w:rsidR="00165947" w:rsidRPr="001002ED" w:rsidRDefault="00165947">
      <w:pPr>
        <w:pStyle w:val="TDC2"/>
        <w:tabs>
          <w:tab w:val="right" w:leader="dot" w:pos="8267"/>
        </w:tabs>
        <w:rPr>
          <w:rFonts w:eastAsia="Times New Roman"/>
          <w:b w:val="0"/>
          <w:bCs w:val="0"/>
          <w:noProof/>
          <w:sz w:val="24"/>
          <w:szCs w:val="24"/>
        </w:rPr>
      </w:pPr>
      <w:r w:rsidRPr="001002ED">
        <w:rPr>
          <w:noProof/>
        </w:rPr>
        <w:t>1.4 Medidas de posición de datos (Cuartiles).</w:t>
      </w:r>
      <w:r w:rsidRPr="001002ED">
        <w:rPr>
          <w:noProof/>
        </w:rPr>
        <w:tab/>
      </w:r>
      <w:r w:rsidRPr="001002ED">
        <w:rPr>
          <w:noProof/>
        </w:rPr>
        <w:fldChar w:fldCharType="begin"/>
      </w:r>
      <w:r w:rsidRPr="001002ED">
        <w:rPr>
          <w:noProof/>
        </w:rPr>
        <w:instrText xml:space="preserve"> PAGEREF _Toc183697483 \h </w:instrText>
      </w:r>
      <w:r w:rsidRPr="001002ED">
        <w:rPr>
          <w:noProof/>
        </w:rPr>
      </w:r>
      <w:r w:rsidRPr="001002ED">
        <w:rPr>
          <w:noProof/>
        </w:rPr>
        <w:fldChar w:fldCharType="separate"/>
      </w:r>
      <w:r w:rsidR="005C1EEF">
        <w:rPr>
          <w:noProof/>
        </w:rPr>
        <w:t>24</w:t>
      </w:r>
      <w:r w:rsidRPr="001002ED">
        <w:rPr>
          <w:noProof/>
        </w:rPr>
        <w:fldChar w:fldCharType="end"/>
      </w:r>
    </w:p>
    <w:p w:rsidR="00165947" w:rsidRPr="001002ED" w:rsidRDefault="00165947">
      <w:pPr>
        <w:pStyle w:val="TDC2"/>
        <w:tabs>
          <w:tab w:val="right" w:leader="dot" w:pos="8267"/>
        </w:tabs>
        <w:rPr>
          <w:rFonts w:eastAsia="Times New Roman"/>
          <w:b w:val="0"/>
          <w:bCs w:val="0"/>
          <w:noProof/>
          <w:sz w:val="24"/>
          <w:szCs w:val="24"/>
        </w:rPr>
      </w:pPr>
      <w:r w:rsidRPr="001002ED">
        <w:rPr>
          <w:noProof/>
        </w:rPr>
        <w:t>1.5 Diagrama de dispersión</w:t>
      </w:r>
      <w:r w:rsidRPr="001002ED">
        <w:rPr>
          <w:noProof/>
        </w:rPr>
        <w:tab/>
      </w:r>
      <w:r w:rsidRPr="001002ED">
        <w:rPr>
          <w:noProof/>
        </w:rPr>
        <w:fldChar w:fldCharType="begin"/>
      </w:r>
      <w:r w:rsidRPr="001002ED">
        <w:rPr>
          <w:noProof/>
        </w:rPr>
        <w:instrText xml:space="preserve"> PAGEREF _Toc183697484 \h </w:instrText>
      </w:r>
      <w:r w:rsidRPr="001002ED">
        <w:rPr>
          <w:noProof/>
        </w:rPr>
      </w:r>
      <w:r w:rsidRPr="001002ED">
        <w:rPr>
          <w:noProof/>
        </w:rPr>
        <w:fldChar w:fldCharType="separate"/>
      </w:r>
      <w:r w:rsidR="005C1EEF">
        <w:rPr>
          <w:noProof/>
        </w:rPr>
        <w:t>24</w:t>
      </w:r>
      <w:r w:rsidRPr="001002ED">
        <w:rPr>
          <w:noProof/>
        </w:rPr>
        <w:fldChar w:fldCharType="end"/>
      </w:r>
    </w:p>
    <w:p w:rsidR="00165947" w:rsidRPr="001002ED" w:rsidRDefault="00165947">
      <w:pPr>
        <w:pStyle w:val="TDC2"/>
        <w:tabs>
          <w:tab w:val="right" w:leader="dot" w:pos="8267"/>
        </w:tabs>
        <w:rPr>
          <w:rFonts w:eastAsia="Times New Roman"/>
          <w:b w:val="0"/>
          <w:bCs w:val="0"/>
          <w:noProof/>
          <w:sz w:val="24"/>
          <w:szCs w:val="24"/>
        </w:rPr>
      </w:pPr>
      <w:r w:rsidRPr="001002ED">
        <w:rPr>
          <w:noProof/>
        </w:rPr>
        <w:t>1.6 Coeficiente de correlación.</w:t>
      </w:r>
      <w:r w:rsidRPr="001002ED">
        <w:rPr>
          <w:noProof/>
        </w:rPr>
        <w:tab/>
      </w:r>
      <w:r w:rsidRPr="001002ED">
        <w:rPr>
          <w:noProof/>
        </w:rPr>
        <w:fldChar w:fldCharType="begin"/>
      </w:r>
      <w:r w:rsidRPr="001002ED">
        <w:rPr>
          <w:noProof/>
        </w:rPr>
        <w:instrText xml:space="preserve"> PAGEREF _Toc183697485 \h </w:instrText>
      </w:r>
      <w:r w:rsidRPr="001002ED">
        <w:rPr>
          <w:noProof/>
        </w:rPr>
      </w:r>
      <w:r w:rsidRPr="001002ED">
        <w:rPr>
          <w:noProof/>
        </w:rPr>
        <w:fldChar w:fldCharType="separate"/>
      </w:r>
      <w:r w:rsidR="005C1EEF">
        <w:rPr>
          <w:noProof/>
        </w:rPr>
        <w:t>25</w:t>
      </w:r>
      <w:r w:rsidRPr="001002ED">
        <w:rPr>
          <w:noProof/>
        </w:rPr>
        <w:fldChar w:fldCharType="end"/>
      </w:r>
    </w:p>
    <w:p w:rsidR="00165947" w:rsidRPr="001002ED" w:rsidRDefault="00165947">
      <w:pPr>
        <w:pStyle w:val="TDC2"/>
        <w:tabs>
          <w:tab w:val="right" w:leader="dot" w:pos="8267"/>
        </w:tabs>
        <w:rPr>
          <w:noProof/>
        </w:rPr>
      </w:pPr>
      <w:r w:rsidRPr="001002ED">
        <w:rPr>
          <w:noProof/>
        </w:rPr>
        <w:t>1.7 Series de tiempo.</w:t>
      </w:r>
      <w:r w:rsidRPr="001002ED">
        <w:rPr>
          <w:noProof/>
        </w:rPr>
        <w:tab/>
      </w:r>
      <w:r w:rsidRPr="001002ED">
        <w:rPr>
          <w:noProof/>
        </w:rPr>
        <w:fldChar w:fldCharType="begin"/>
      </w:r>
      <w:r w:rsidRPr="001002ED">
        <w:rPr>
          <w:noProof/>
        </w:rPr>
        <w:instrText xml:space="preserve"> PAGEREF _Toc183697486 \h </w:instrText>
      </w:r>
      <w:r w:rsidRPr="001002ED">
        <w:rPr>
          <w:noProof/>
        </w:rPr>
      </w:r>
      <w:r w:rsidRPr="001002ED">
        <w:rPr>
          <w:noProof/>
        </w:rPr>
        <w:fldChar w:fldCharType="separate"/>
      </w:r>
      <w:r w:rsidR="005C1EEF">
        <w:rPr>
          <w:noProof/>
        </w:rPr>
        <w:t>26</w:t>
      </w:r>
      <w:r w:rsidRPr="001002ED">
        <w:rPr>
          <w:noProof/>
        </w:rPr>
        <w:fldChar w:fldCharType="end"/>
      </w:r>
    </w:p>
    <w:p w:rsidR="00361741" w:rsidRPr="001002ED" w:rsidRDefault="00361741" w:rsidP="00361741">
      <w:pPr>
        <w:rPr>
          <w:noProof/>
        </w:rPr>
      </w:pPr>
    </w:p>
    <w:p w:rsidR="00673ADA" w:rsidRDefault="00673ADA" w:rsidP="00361741">
      <w:pPr>
        <w:rPr>
          <w:rFonts w:ascii="Arial" w:hAnsi="Arial" w:cs="Arial"/>
          <w:b/>
          <w:noProof/>
        </w:rPr>
      </w:pPr>
    </w:p>
    <w:p w:rsidR="00673ADA" w:rsidRDefault="00673ADA" w:rsidP="00361741">
      <w:pPr>
        <w:rPr>
          <w:rFonts w:ascii="Arial" w:hAnsi="Arial" w:cs="Arial"/>
          <w:b/>
          <w:noProof/>
        </w:rPr>
      </w:pPr>
    </w:p>
    <w:p w:rsidR="00361741" w:rsidRPr="00361741" w:rsidRDefault="00361741" w:rsidP="00361741">
      <w:pPr>
        <w:rPr>
          <w:rFonts w:ascii="Arial" w:hAnsi="Arial" w:cs="Arial"/>
          <w:b/>
          <w:noProof/>
        </w:rPr>
      </w:pPr>
      <w:r w:rsidRPr="00361741">
        <w:rPr>
          <w:rFonts w:ascii="Arial" w:hAnsi="Arial" w:cs="Arial"/>
          <w:b/>
          <w:noProof/>
        </w:rPr>
        <w:t>CAPÍTULO 2</w:t>
      </w:r>
    </w:p>
    <w:p w:rsidR="00165947" w:rsidRDefault="00165947" w:rsidP="00361741">
      <w:pPr>
        <w:pStyle w:val="TDC1"/>
        <w:rPr>
          <w:rFonts w:eastAsia="Times New Roman"/>
          <w:noProof/>
        </w:rPr>
      </w:pPr>
      <w:r w:rsidRPr="002C08AB">
        <w:rPr>
          <w:noProof/>
        </w:rPr>
        <w:t>2.  TRATAMIENTO DE LOS DATOS</w:t>
      </w:r>
      <w:r>
        <w:rPr>
          <w:noProof/>
        </w:rPr>
        <w:tab/>
      </w:r>
      <w:r w:rsidR="005D5F9B">
        <w:rPr>
          <w:noProof/>
        </w:rPr>
        <w:t xml:space="preserve">                                                               </w:t>
      </w:r>
      <w:r>
        <w:rPr>
          <w:noProof/>
        </w:rPr>
        <w:fldChar w:fldCharType="begin"/>
      </w:r>
      <w:r>
        <w:rPr>
          <w:noProof/>
        </w:rPr>
        <w:instrText xml:space="preserve"> PAGEREF _Toc183697487 \h </w:instrText>
      </w:r>
      <w:r>
        <w:rPr>
          <w:noProof/>
        </w:rPr>
      </w:r>
      <w:r>
        <w:rPr>
          <w:noProof/>
        </w:rPr>
        <w:fldChar w:fldCharType="separate"/>
      </w:r>
      <w:r w:rsidR="005C1EEF">
        <w:rPr>
          <w:noProof/>
        </w:rPr>
        <w:t>27</w:t>
      </w:r>
      <w:r>
        <w:rPr>
          <w:noProof/>
        </w:rPr>
        <w:fldChar w:fldCharType="end"/>
      </w:r>
    </w:p>
    <w:p w:rsidR="00165947" w:rsidRDefault="00165947">
      <w:pPr>
        <w:pStyle w:val="TDC2"/>
        <w:tabs>
          <w:tab w:val="right" w:leader="dot" w:pos="8267"/>
        </w:tabs>
        <w:rPr>
          <w:rFonts w:eastAsia="Times New Roman"/>
          <w:b w:val="0"/>
          <w:bCs w:val="0"/>
          <w:noProof/>
          <w:sz w:val="24"/>
          <w:szCs w:val="24"/>
        </w:rPr>
      </w:pPr>
      <w:r w:rsidRPr="002C08AB">
        <w:rPr>
          <w:noProof/>
        </w:rPr>
        <w:t>2.1 Introducción</w:t>
      </w:r>
      <w:r>
        <w:rPr>
          <w:noProof/>
        </w:rPr>
        <w:tab/>
      </w:r>
      <w:r>
        <w:rPr>
          <w:noProof/>
        </w:rPr>
        <w:fldChar w:fldCharType="begin"/>
      </w:r>
      <w:r>
        <w:rPr>
          <w:noProof/>
        </w:rPr>
        <w:instrText xml:space="preserve"> PAGEREF _Toc183697488 \h </w:instrText>
      </w:r>
      <w:r>
        <w:rPr>
          <w:noProof/>
        </w:rPr>
      </w:r>
      <w:r>
        <w:rPr>
          <w:noProof/>
        </w:rPr>
        <w:fldChar w:fldCharType="separate"/>
      </w:r>
      <w:r w:rsidR="005C1EEF">
        <w:rPr>
          <w:noProof/>
        </w:rPr>
        <w:t>27</w:t>
      </w:r>
      <w:r>
        <w:rPr>
          <w:noProof/>
        </w:rPr>
        <w:fldChar w:fldCharType="end"/>
      </w:r>
    </w:p>
    <w:p w:rsidR="00165947" w:rsidRDefault="00165947">
      <w:pPr>
        <w:pStyle w:val="TDC2"/>
        <w:tabs>
          <w:tab w:val="right" w:leader="dot" w:pos="8267"/>
        </w:tabs>
        <w:rPr>
          <w:rFonts w:eastAsia="Times New Roman"/>
          <w:b w:val="0"/>
          <w:bCs w:val="0"/>
          <w:noProof/>
          <w:sz w:val="24"/>
          <w:szCs w:val="24"/>
        </w:rPr>
      </w:pPr>
      <w:r w:rsidRPr="002C08AB">
        <w:rPr>
          <w:noProof/>
        </w:rPr>
        <w:t>2.2 Control interno de la empresa inmobiliaria que realiza proyectos.</w:t>
      </w:r>
      <w:r>
        <w:rPr>
          <w:noProof/>
        </w:rPr>
        <w:tab/>
      </w:r>
      <w:r>
        <w:rPr>
          <w:noProof/>
        </w:rPr>
        <w:fldChar w:fldCharType="begin"/>
      </w:r>
      <w:r>
        <w:rPr>
          <w:noProof/>
        </w:rPr>
        <w:instrText xml:space="preserve"> PAGEREF _Toc183697489 \h </w:instrText>
      </w:r>
      <w:r>
        <w:rPr>
          <w:noProof/>
        </w:rPr>
      </w:r>
      <w:r>
        <w:rPr>
          <w:noProof/>
        </w:rPr>
        <w:fldChar w:fldCharType="separate"/>
      </w:r>
      <w:r w:rsidR="005C1EEF">
        <w:rPr>
          <w:noProof/>
        </w:rPr>
        <w:t>28</w:t>
      </w:r>
      <w:r>
        <w:rPr>
          <w:noProof/>
        </w:rPr>
        <w:fldChar w:fldCharType="end"/>
      </w:r>
    </w:p>
    <w:p w:rsidR="00165947" w:rsidRDefault="00165947">
      <w:pPr>
        <w:pStyle w:val="TDC3"/>
        <w:tabs>
          <w:tab w:val="left" w:pos="1200"/>
          <w:tab w:val="right" w:leader="dot" w:pos="8267"/>
        </w:tabs>
        <w:rPr>
          <w:rFonts w:eastAsia="Times New Roman"/>
          <w:noProof/>
          <w:sz w:val="24"/>
          <w:szCs w:val="24"/>
        </w:rPr>
      </w:pPr>
      <w:r>
        <w:rPr>
          <w:noProof/>
        </w:rPr>
        <w:t>2.2.1</w:t>
      </w:r>
      <w:r>
        <w:rPr>
          <w:rFonts w:eastAsia="Times New Roman"/>
          <w:noProof/>
          <w:sz w:val="24"/>
          <w:szCs w:val="24"/>
        </w:rPr>
        <w:tab/>
      </w:r>
      <w:r>
        <w:rPr>
          <w:noProof/>
        </w:rPr>
        <w:t>Descripción de la empresa y departamento.</w:t>
      </w:r>
      <w:r>
        <w:rPr>
          <w:noProof/>
        </w:rPr>
        <w:tab/>
      </w:r>
      <w:r>
        <w:rPr>
          <w:noProof/>
        </w:rPr>
        <w:fldChar w:fldCharType="begin"/>
      </w:r>
      <w:r>
        <w:rPr>
          <w:noProof/>
        </w:rPr>
        <w:instrText xml:space="preserve"> PAGEREF _Toc183697490 \h </w:instrText>
      </w:r>
      <w:r>
        <w:rPr>
          <w:noProof/>
        </w:rPr>
      </w:r>
      <w:r>
        <w:rPr>
          <w:noProof/>
        </w:rPr>
        <w:fldChar w:fldCharType="separate"/>
      </w:r>
      <w:r w:rsidR="005C1EEF">
        <w:rPr>
          <w:noProof/>
        </w:rPr>
        <w:t>28</w:t>
      </w:r>
      <w:r>
        <w:rPr>
          <w:noProof/>
        </w:rPr>
        <w:fldChar w:fldCharType="end"/>
      </w:r>
    </w:p>
    <w:p w:rsidR="00165947" w:rsidRDefault="00165947">
      <w:pPr>
        <w:pStyle w:val="TDC3"/>
        <w:tabs>
          <w:tab w:val="right" w:leader="dot" w:pos="8267"/>
        </w:tabs>
        <w:rPr>
          <w:rFonts w:eastAsia="Times New Roman"/>
          <w:noProof/>
          <w:sz w:val="24"/>
          <w:szCs w:val="24"/>
        </w:rPr>
      </w:pPr>
      <w:r>
        <w:rPr>
          <w:noProof/>
        </w:rPr>
        <w:t>2.2.2 Evaluación Del Control Interno Aplicado.</w:t>
      </w:r>
      <w:r>
        <w:rPr>
          <w:noProof/>
        </w:rPr>
        <w:tab/>
      </w:r>
      <w:r>
        <w:rPr>
          <w:noProof/>
        </w:rPr>
        <w:fldChar w:fldCharType="begin"/>
      </w:r>
      <w:r>
        <w:rPr>
          <w:noProof/>
        </w:rPr>
        <w:instrText xml:space="preserve"> PAGEREF _Toc183697492 \h </w:instrText>
      </w:r>
      <w:r>
        <w:rPr>
          <w:noProof/>
        </w:rPr>
      </w:r>
      <w:r>
        <w:rPr>
          <w:noProof/>
        </w:rPr>
        <w:fldChar w:fldCharType="separate"/>
      </w:r>
      <w:r w:rsidR="005C1EEF">
        <w:rPr>
          <w:noProof/>
        </w:rPr>
        <w:t>29</w:t>
      </w:r>
      <w:r>
        <w:rPr>
          <w:noProof/>
        </w:rPr>
        <w:fldChar w:fldCharType="end"/>
      </w:r>
    </w:p>
    <w:p w:rsidR="00165947" w:rsidRDefault="00165947">
      <w:pPr>
        <w:pStyle w:val="TDC4"/>
        <w:tabs>
          <w:tab w:val="right" w:leader="dot" w:pos="8267"/>
        </w:tabs>
        <w:rPr>
          <w:rFonts w:eastAsia="Times New Roman"/>
          <w:noProof/>
          <w:sz w:val="24"/>
          <w:szCs w:val="24"/>
        </w:rPr>
      </w:pPr>
      <w:r w:rsidRPr="002C08AB">
        <w:rPr>
          <w:rFonts w:ascii="Arial" w:hAnsi="Arial" w:cs="Arial"/>
          <w:noProof/>
        </w:rPr>
        <w:t>2.2.2.1 Ambiente de control.</w:t>
      </w:r>
      <w:r>
        <w:rPr>
          <w:noProof/>
        </w:rPr>
        <w:tab/>
      </w:r>
      <w:r>
        <w:rPr>
          <w:noProof/>
        </w:rPr>
        <w:fldChar w:fldCharType="begin"/>
      </w:r>
      <w:r>
        <w:rPr>
          <w:noProof/>
        </w:rPr>
        <w:instrText xml:space="preserve"> PAGEREF _Toc183697493 \h </w:instrText>
      </w:r>
      <w:r>
        <w:rPr>
          <w:noProof/>
        </w:rPr>
      </w:r>
      <w:r>
        <w:rPr>
          <w:noProof/>
        </w:rPr>
        <w:fldChar w:fldCharType="separate"/>
      </w:r>
      <w:r w:rsidR="005C1EEF">
        <w:rPr>
          <w:noProof/>
        </w:rPr>
        <w:t>29</w:t>
      </w:r>
      <w:r>
        <w:rPr>
          <w:noProof/>
        </w:rPr>
        <w:fldChar w:fldCharType="end"/>
      </w:r>
    </w:p>
    <w:p w:rsidR="00165947" w:rsidRDefault="00165947">
      <w:pPr>
        <w:pStyle w:val="TDC4"/>
        <w:tabs>
          <w:tab w:val="right" w:leader="dot" w:pos="8267"/>
        </w:tabs>
        <w:rPr>
          <w:rFonts w:eastAsia="Times New Roman"/>
          <w:noProof/>
          <w:sz w:val="24"/>
          <w:szCs w:val="24"/>
        </w:rPr>
      </w:pPr>
      <w:r w:rsidRPr="002C08AB">
        <w:rPr>
          <w:rFonts w:ascii="Arial" w:hAnsi="Arial" w:cs="Arial"/>
          <w:noProof/>
        </w:rPr>
        <w:t>2.2.2.2 Evaluación de riesgo.</w:t>
      </w:r>
      <w:r>
        <w:rPr>
          <w:noProof/>
        </w:rPr>
        <w:tab/>
      </w:r>
      <w:r>
        <w:rPr>
          <w:noProof/>
        </w:rPr>
        <w:fldChar w:fldCharType="begin"/>
      </w:r>
      <w:r>
        <w:rPr>
          <w:noProof/>
        </w:rPr>
        <w:instrText xml:space="preserve"> PAGEREF _Toc183697494 \h </w:instrText>
      </w:r>
      <w:r>
        <w:rPr>
          <w:noProof/>
        </w:rPr>
      </w:r>
      <w:r>
        <w:rPr>
          <w:noProof/>
        </w:rPr>
        <w:fldChar w:fldCharType="separate"/>
      </w:r>
      <w:r w:rsidR="005C1EEF">
        <w:rPr>
          <w:noProof/>
        </w:rPr>
        <w:t>30</w:t>
      </w:r>
      <w:r>
        <w:rPr>
          <w:noProof/>
        </w:rPr>
        <w:fldChar w:fldCharType="end"/>
      </w:r>
    </w:p>
    <w:p w:rsidR="00165947" w:rsidRDefault="00165947">
      <w:pPr>
        <w:pStyle w:val="TDC4"/>
        <w:tabs>
          <w:tab w:val="right" w:leader="dot" w:pos="8267"/>
        </w:tabs>
        <w:rPr>
          <w:rFonts w:eastAsia="Times New Roman"/>
          <w:noProof/>
          <w:sz w:val="24"/>
          <w:szCs w:val="24"/>
        </w:rPr>
      </w:pPr>
      <w:r w:rsidRPr="002C08AB">
        <w:rPr>
          <w:rFonts w:ascii="Arial" w:hAnsi="Arial" w:cs="Arial"/>
          <w:noProof/>
        </w:rPr>
        <w:t>2.2.2.3 Actividades de control.</w:t>
      </w:r>
      <w:r>
        <w:rPr>
          <w:noProof/>
        </w:rPr>
        <w:tab/>
      </w:r>
      <w:r>
        <w:rPr>
          <w:noProof/>
        </w:rPr>
        <w:fldChar w:fldCharType="begin"/>
      </w:r>
      <w:r>
        <w:rPr>
          <w:noProof/>
        </w:rPr>
        <w:instrText xml:space="preserve"> PAGEREF _Toc183697495 \h </w:instrText>
      </w:r>
      <w:r>
        <w:rPr>
          <w:noProof/>
        </w:rPr>
      </w:r>
      <w:r>
        <w:rPr>
          <w:noProof/>
        </w:rPr>
        <w:fldChar w:fldCharType="separate"/>
      </w:r>
      <w:r w:rsidR="005C1EEF">
        <w:rPr>
          <w:noProof/>
        </w:rPr>
        <w:t>30</w:t>
      </w:r>
      <w:r>
        <w:rPr>
          <w:noProof/>
        </w:rPr>
        <w:fldChar w:fldCharType="end"/>
      </w:r>
    </w:p>
    <w:p w:rsidR="00165947" w:rsidRDefault="00165947">
      <w:pPr>
        <w:pStyle w:val="TDC4"/>
        <w:tabs>
          <w:tab w:val="right" w:leader="dot" w:pos="8267"/>
        </w:tabs>
        <w:rPr>
          <w:rFonts w:eastAsia="Times New Roman"/>
          <w:noProof/>
          <w:sz w:val="24"/>
          <w:szCs w:val="24"/>
        </w:rPr>
      </w:pPr>
      <w:r w:rsidRPr="002C08AB">
        <w:rPr>
          <w:rFonts w:ascii="Arial" w:hAnsi="Arial" w:cs="Arial"/>
          <w:noProof/>
        </w:rPr>
        <w:t>2.2.2.4 Información y comunicación.</w:t>
      </w:r>
      <w:r>
        <w:rPr>
          <w:noProof/>
        </w:rPr>
        <w:tab/>
      </w:r>
      <w:r>
        <w:rPr>
          <w:noProof/>
        </w:rPr>
        <w:fldChar w:fldCharType="begin"/>
      </w:r>
      <w:r>
        <w:rPr>
          <w:noProof/>
        </w:rPr>
        <w:instrText xml:space="preserve"> PAGEREF _Toc183697496 \h </w:instrText>
      </w:r>
      <w:r>
        <w:rPr>
          <w:noProof/>
        </w:rPr>
      </w:r>
      <w:r>
        <w:rPr>
          <w:noProof/>
        </w:rPr>
        <w:fldChar w:fldCharType="separate"/>
      </w:r>
      <w:r w:rsidR="005C1EEF">
        <w:rPr>
          <w:noProof/>
        </w:rPr>
        <w:t>31</w:t>
      </w:r>
      <w:r>
        <w:rPr>
          <w:noProof/>
        </w:rPr>
        <w:fldChar w:fldCharType="end"/>
      </w:r>
    </w:p>
    <w:p w:rsidR="00165947" w:rsidRDefault="00165947">
      <w:pPr>
        <w:pStyle w:val="TDC4"/>
        <w:tabs>
          <w:tab w:val="right" w:leader="dot" w:pos="8267"/>
        </w:tabs>
        <w:rPr>
          <w:rFonts w:eastAsia="Times New Roman"/>
          <w:noProof/>
          <w:sz w:val="24"/>
          <w:szCs w:val="24"/>
        </w:rPr>
      </w:pPr>
      <w:r w:rsidRPr="002C08AB">
        <w:rPr>
          <w:rFonts w:ascii="Arial" w:hAnsi="Arial" w:cs="Arial"/>
          <w:noProof/>
        </w:rPr>
        <w:t>2.2.2.5 Monitoreo.</w:t>
      </w:r>
      <w:r>
        <w:rPr>
          <w:noProof/>
        </w:rPr>
        <w:tab/>
      </w:r>
      <w:r>
        <w:rPr>
          <w:noProof/>
        </w:rPr>
        <w:fldChar w:fldCharType="begin"/>
      </w:r>
      <w:r>
        <w:rPr>
          <w:noProof/>
        </w:rPr>
        <w:instrText xml:space="preserve"> PAGEREF _Toc183697497 \h </w:instrText>
      </w:r>
      <w:r>
        <w:rPr>
          <w:noProof/>
        </w:rPr>
      </w:r>
      <w:r>
        <w:rPr>
          <w:noProof/>
        </w:rPr>
        <w:fldChar w:fldCharType="separate"/>
      </w:r>
      <w:r w:rsidR="005C1EEF">
        <w:rPr>
          <w:noProof/>
        </w:rPr>
        <w:t>31</w:t>
      </w:r>
      <w:r>
        <w:rPr>
          <w:noProof/>
        </w:rPr>
        <w:fldChar w:fldCharType="end"/>
      </w:r>
    </w:p>
    <w:p w:rsidR="00165947" w:rsidRDefault="00165947">
      <w:pPr>
        <w:pStyle w:val="TDC2"/>
        <w:tabs>
          <w:tab w:val="right" w:leader="dot" w:pos="8267"/>
        </w:tabs>
        <w:rPr>
          <w:rFonts w:eastAsia="Times New Roman"/>
          <w:b w:val="0"/>
          <w:bCs w:val="0"/>
          <w:noProof/>
          <w:sz w:val="24"/>
          <w:szCs w:val="24"/>
        </w:rPr>
      </w:pPr>
      <w:r w:rsidRPr="002C08AB">
        <w:rPr>
          <w:noProof/>
        </w:rPr>
        <w:lastRenderedPageBreak/>
        <w:t>2.3 Análisis de los saldos de las conciliaciones bancarias con los saldos de libros del primer semestre del año 2007 mediante diagrama de barras, diagrama de pastel, cuartiles y series de tiempo.</w:t>
      </w:r>
      <w:r>
        <w:rPr>
          <w:noProof/>
        </w:rPr>
        <w:tab/>
      </w:r>
      <w:r>
        <w:rPr>
          <w:noProof/>
        </w:rPr>
        <w:fldChar w:fldCharType="begin"/>
      </w:r>
      <w:r>
        <w:rPr>
          <w:noProof/>
        </w:rPr>
        <w:instrText xml:space="preserve"> PAGEREF _Toc183697498 \h </w:instrText>
      </w:r>
      <w:r>
        <w:rPr>
          <w:noProof/>
        </w:rPr>
      </w:r>
      <w:r>
        <w:rPr>
          <w:noProof/>
        </w:rPr>
        <w:fldChar w:fldCharType="separate"/>
      </w:r>
      <w:r w:rsidR="005C1EEF">
        <w:rPr>
          <w:noProof/>
        </w:rPr>
        <w:t>32</w:t>
      </w:r>
      <w:r>
        <w:rPr>
          <w:noProof/>
        </w:rPr>
        <w:fldChar w:fldCharType="end"/>
      </w:r>
    </w:p>
    <w:p w:rsidR="00165947" w:rsidRDefault="00165947">
      <w:pPr>
        <w:pStyle w:val="TDC3"/>
        <w:tabs>
          <w:tab w:val="right" w:leader="dot" w:pos="8267"/>
        </w:tabs>
        <w:rPr>
          <w:rFonts w:eastAsia="Times New Roman"/>
          <w:noProof/>
          <w:sz w:val="24"/>
          <w:szCs w:val="24"/>
        </w:rPr>
      </w:pPr>
      <w:r>
        <w:rPr>
          <w:noProof/>
        </w:rPr>
        <w:t>2.3.1 Análisis de los saldos de las conciliaciones bancarias con los saldos de libros del primer semestre del año 2007 mediante diagramas de barras. Compañía M.O. Banco Produbanco.</w:t>
      </w:r>
      <w:r>
        <w:rPr>
          <w:noProof/>
        </w:rPr>
        <w:tab/>
      </w:r>
      <w:r>
        <w:rPr>
          <w:noProof/>
        </w:rPr>
        <w:fldChar w:fldCharType="begin"/>
      </w:r>
      <w:r>
        <w:rPr>
          <w:noProof/>
        </w:rPr>
        <w:instrText xml:space="preserve"> PAGEREF _Toc183697500 \h </w:instrText>
      </w:r>
      <w:r>
        <w:rPr>
          <w:noProof/>
        </w:rPr>
      </w:r>
      <w:r>
        <w:rPr>
          <w:noProof/>
        </w:rPr>
        <w:fldChar w:fldCharType="separate"/>
      </w:r>
      <w:r w:rsidR="005C1EEF">
        <w:rPr>
          <w:noProof/>
        </w:rPr>
        <w:t>34</w:t>
      </w:r>
      <w:r>
        <w:rPr>
          <w:noProof/>
        </w:rPr>
        <w:fldChar w:fldCharType="end"/>
      </w:r>
    </w:p>
    <w:p w:rsidR="00165947" w:rsidRDefault="00165947">
      <w:pPr>
        <w:pStyle w:val="TDC3"/>
        <w:tabs>
          <w:tab w:val="right" w:leader="dot" w:pos="8267"/>
        </w:tabs>
        <w:rPr>
          <w:rFonts w:eastAsia="Times New Roman"/>
          <w:noProof/>
          <w:sz w:val="24"/>
          <w:szCs w:val="24"/>
        </w:rPr>
      </w:pPr>
      <w:r>
        <w:rPr>
          <w:noProof/>
        </w:rPr>
        <w:t>2.3.2 Análisis de las diferencias individuales de las compañías entre los saldos de las conciliaciones bancarias y los saldos de libros del primer semestre del año 2007 mediante diagrama de pastel. Compañía M.O. Banco Produbanco.</w:t>
      </w:r>
      <w:r>
        <w:rPr>
          <w:noProof/>
        </w:rPr>
        <w:tab/>
      </w:r>
      <w:r>
        <w:rPr>
          <w:noProof/>
        </w:rPr>
        <w:fldChar w:fldCharType="begin"/>
      </w:r>
      <w:r>
        <w:rPr>
          <w:noProof/>
        </w:rPr>
        <w:instrText xml:space="preserve"> PAGEREF _Toc183697501 \h </w:instrText>
      </w:r>
      <w:r>
        <w:rPr>
          <w:noProof/>
        </w:rPr>
      </w:r>
      <w:r>
        <w:rPr>
          <w:noProof/>
        </w:rPr>
        <w:fldChar w:fldCharType="separate"/>
      </w:r>
      <w:r w:rsidR="005C1EEF">
        <w:rPr>
          <w:noProof/>
        </w:rPr>
        <w:t>35</w:t>
      </w:r>
      <w:r>
        <w:rPr>
          <w:noProof/>
        </w:rPr>
        <w:fldChar w:fldCharType="end"/>
      </w:r>
    </w:p>
    <w:p w:rsidR="00165947" w:rsidRDefault="00165947">
      <w:pPr>
        <w:pStyle w:val="TDC3"/>
        <w:tabs>
          <w:tab w:val="right" w:leader="dot" w:pos="8267"/>
        </w:tabs>
        <w:rPr>
          <w:rFonts w:eastAsia="Times New Roman"/>
          <w:noProof/>
          <w:sz w:val="24"/>
          <w:szCs w:val="24"/>
        </w:rPr>
      </w:pPr>
      <w:r>
        <w:rPr>
          <w:noProof/>
        </w:rPr>
        <w:t>2.3.3 Análisis de las diferencias entre los saldos de las conciliaciones bancarias y los saldos de libros del primer semestre del año 2007 que se encuentran en el 25%, 50% y 75% mediante cuartiles.  Compañía M.O. Banco Produbanco.</w:t>
      </w:r>
      <w:r>
        <w:rPr>
          <w:noProof/>
        </w:rPr>
        <w:tab/>
      </w:r>
      <w:r>
        <w:rPr>
          <w:noProof/>
        </w:rPr>
        <w:fldChar w:fldCharType="begin"/>
      </w:r>
      <w:r>
        <w:rPr>
          <w:noProof/>
        </w:rPr>
        <w:instrText xml:space="preserve"> PAGEREF _Toc183697503 \h </w:instrText>
      </w:r>
      <w:r>
        <w:rPr>
          <w:noProof/>
        </w:rPr>
      </w:r>
      <w:r>
        <w:rPr>
          <w:noProof/>
        </w:rPr>
        <w:fldChar w:fldCharType="separate"/>
      </w:r>
      <w:r w:rsidR="005C1EEF">
        <w:rPr>
          <w:noProof/>
        </w:rPr>
        <w:t>36</w:t>
      </w:r>
      <w:r>
        <w:rPr>
          <w:noProof/>
        </w:rPr>
        <w:fldChar w:fldCharType="end"/>
      </w:r>
    </w:p>
    <w:p w:rsidR="00165947" w:rsidRDefault="00165947">
      <w:pPr>
        <w:pStyle w:val="TDC3"/>
        <w:tabs>
          <w:tab w:val="right" w:leader="dot" w:pos="8267"/>
        </w:tabs>
        <w:rPr>
          <w:rFonts w:eastAsia="Times New Roman"/>
          <w:noProof/>
          <w:sz w:val="24"/>
          <w:szCs w:val="24"/>
        </w:rPr>
      </w:pPr>
      <w:r>
        <w:rPr>
          <w:noProof/>
        </w:rPr>
        <w:t>2.3.4 Análisis de los valores de  las diferencias entre los saldos de las conciliaciones bancarias y los saldos de libros del primer semestre del año 2007 mediante series de tiempo. Compañía M.O.</w:t>
      </w:r>
      <w:r>
        <w:rPr>
          <w:noProof/>
        </w:rPr>
        <w:tab/>
      </w:r>
      <w:r>
        <w:rPr>
          <w:noProof/>
        </w:rPr>
        <w:fldChar w:fldCharType="begin"/>
      </w:r>
      <w:r>
        <w:rPr>
          <w:noProof/>
        </w:rPr>
        <w:instrText xml:space="preserve"> PAGEREF _Toc183697505 \h </w:instrText>
      </w:r>
      <w:r>
        <w:rPr>
          <w:noProof/>
        </w:rPr>
      </w:r>
      <w:r>
        <w:rPr>
          <w:noProof/>
        </w:rPr>
        <w:fldChar w:fldCharType="separate"/>
      </w:r>
      <w:r w:rsidR="005C1EEF">
        <w:rPr>
          <w:noProof/>
        </w:rPr>
        <w:t>37</w:t>
      </w:r>
      <w:r>
        <w:rPr>
          <w:noProof/>
        </w:rPr>
        <w:fldChar w:fldCharType="end"/>
      </w:r>
    </w:p>
    <w:p w:rsidR="00165947" w:rsidRDefault="00165947">
      <w:pPr>
        <w:pStyle w:val="TDC3"/>
        <w:tabs>
          <w:tab w:val="right" w:leader="dot" w:pos="8267"/>
        </w:tabs>
        <w:rPr>
          <w:rFonts w:eastAsia="Times New Roman"/>
          <w:noProof/>
          <w:sz w:val="24"/>
          <w:szCs w:val="24"/>
        </w:rPr>
      </w:pPr>
      <w:r>
        <w:rPr>
          <w:noProof/>
        </w:rPr>
        <w:t>2.3.5 Análisis de los saldos de las conciliaciones bancarias con los saldos de libros del primer semestre del año 2007 mediante diagramas de barras. Compañía M.O. Banco Pichincha.</w:t>
      </w:r>
      <w:r>
        <w:rPr>
          <w:noProof/>
        </w:rPr>
        <w:tab/>
      </w:r>
      <w:r>
        <w:rPr>
          <w:noProof/>
        </w:rPr>
        <w:fldChar w:fldCharType="begin"/>
      </w:r>
      <w:r>
        <w:rPr>
          <w:noProof/>
        </w:rPr>
        <w:instrText xml:space="preserve"> PAGEREF _Toc183697508 \h </w:instrText>
      </w:r>
      <w:r>
        <w:rPr>
          <w:noProof/>
        </w:rPr>
      </w:r>
      <w:r>
        <w:rPr>
          <w:noProof/>
        </w:rPr>
        <w:fldChar w:fldCharType="separate"/>
      </w:r>
      <w:r w:rsidR="005C1EEF">
        <w:rPr>
          <w:noProof/>
        </w:rPr>
        <w:t>38</w:t>
      </w:r>
      <w:r>
        <w:rPr>
          <w:noProof/>
        </w:rPr>
        <w:fldChar w:fldCharType="end"/>
      </w:r>
    </w:p>
    <w:p w:rsidR="00165947" w:rsidRDefault="00165947">
      <w:pPr>
        <w:pStyle w:val="TDC3"/>
        <w:tabs>
          <w:tab w:val="right" w:leader="dot" w:pos="8267"/>
        </w:tabs>
        <w:rPr>
          <w:rFonts w:eastAsia="Times New Roman"/>
          <w:noProof/>
          <w:sz w:val="24"/>
          <w:szCs w:val="24"/>
        </w:rPr>
      </w:pPr>
      <w:r>
        <w:rPr>
          <w:noProof/>
        </w:rPr>
        <w:t>2.3.6 Análisis de las diferencias individuales de las compañías entre los saldos de las conciliaciones bancarias y los saldos de libros del primer semestre del año 2007 mediante diagrama de pastel. Compañía M.O. Banco Pichincha.</w:t>
      </w:r>
      <w:r>
        <w:rPr>
          <w:noProof/>
        </w:rPr>
        <w:tab/>
      </w:r>
      <w:r>
        <w:rPr>
          <w:noProof/>
        </w:rPr>
        <w:fldChar w:fldCharType="begin"/>
      </w:r>
      <w:r>
        <w:rPr>
          <w:noProof/>
        </w:rPr>
        <w:instrText xml:space="preserve"> PAGEREF _Toc183697509 \h </w:instrText>
      </w:r>
      <w:r>
        <w:rPr>
          <w:noProof/>
        </w:rPr>
      </w:r>
      <w:r>
        <w:rPr>
          <w:noProof/>
        </w:rPr>
        <w:fldChar w:fldCharType="separate"/>
      </w:r>
      <w:r w:rsidR="005C1EEF">
        <w:rPr>
          <w:noProof/>
        </w:rPr>
        <w:t>40</w:t>
      </w:r>
      <w:r>
        <w:rPr>
          <w:noProof/>
        </w:rPr>
        <w:fldChar w:fldCharType="end"/>
      </w:r>
    </w:p>
    <w:p w:rsidR="00165947" w:rsidRDefault="00165947">
      <w:pPr>
        <w:pStyle w:val="TDC3"/>
        <w:tabs>
          <w:tab w:val="right" w:leader="dot" w:pos="8267"/>
        </w:tabs>
        <w:rPr>
          <w:rFonts w:eastAsia="Times New Roman"/>
          <w:noProof/>
          <w:sz w:val="24"/>
          <w:szCs w:val="24"/>
        </w:rPr>
      </w:pPr>
      <w:r>
        <w:rPr>
          <w:noProof/>
        </w:rPr>
        <w:t>2.3.7 Análisis de las diferencias entre los saldos de las conciliaciones bancarias y los saldos de libros del primer semestre del año 2007 que se encuentran en el 25%, 50% y 75% mediante cuartiles.  Compañía M.O. Banco Pichincha.</w:t>
      </w:r>
      <w:r>
        <w:rPr>
          <w:noProof/>
        </w:rPr>
        <w:tab/>
      </w:r>
      <w:r>
        <w:rPr>
          <w:noProof/>
        </w:rPr>
        <w:fldChar w:fldCharType="begin"/>
      </w:r>
      <w:r>
        <w:rPr>
          <w:noProof/>
        </w:rPr>
        <w:instrText xml:space="preserve"> PAGEREF _Toc183697511 \h </w:instrText>
      </w:r>
      <w:r>
        <w:rPr>
          <w:noProof/>
        </w:rPr>
      </w:r>
      <w:r>
        <w:rPr>
          <w:noProof/>
        </w:rPr>
        <w:fldChar w:fldCharType="separate"/>
      </w:r>
      <w:r w:rsidR="005C1EEF">
        <w:rPr>
          <w:noProof/>
        </w:rPr>
        <w:t>41</w:t>
      </w:r>
      <w:r>
        <w:rPr>
          <w:noProof/>
        </w:rPr>
        <w:fldChar w:fldCharType="end"/>
      </w:r>
    </w:p>
    <w:p w:rsidR="00165947" w:rsidRDefault="00165947">
      <w:pPr>
        <w:pStyle w:val="TDC3"/>
        <w:tabs>
          <w:tab w:val="right" w:leader="dot" w:pos="8267"/>
        </w:tabs>
        <w:rPr>
          <w:rFonts w:eastAsia="Times New Roman"/>
          <w:noProof/>
          <w:sz w:val="24"/>
          <w:szCs w:val="24"/>
        </w:rPr>
      </w:pPr>
      <w:r>
        <w:rPr>
          <w:noProof/>
        </w:rPr>
        <w:t>2.3.8 Análisis de los saldos de las conciliaciones bancarias con los saldos de libros del primer semestre del año 2007 mediante diagramas de barras. Compañía SER Banco Produbanco.</w:t>
      </w:r>
      <w:r>
        <w:rPr>
          <w:noProof/>
        </w:rPr>
        <w:tab/>
      </w:r>
      <w:r>
        <w:rPr>
          <w:noProof/>
        </w:rPr>
        <w:fldChar w:fldCharType="begin"/>
      </w:r>
      <w:r>
        <w:rPr>
          <w:noProof/>
        </w:rPr>
        <w:instrText xml:space="preserve"> PAGEREF _Toc183697513 \h </w:instrText>
      </w:r>
      <w:r>
        <w:rPr>
          <w:noProof/>
        </w:rPr>
      </w:r>
      <w:r>
        <w:rPr>
          <w:noProof/>
        </w:rPr>
        <w:fldChar w:fldCharType="separate"/>
      </w:r>
      <w:r w:rsidR="005C1EEF">
        <w:rPr>
          <w:noProof/>
        </w:rPr>
        <w:t>42</w:t>
      </w:r>
      <w:r>
        <w:rPr>
          <w:noProof/>
        </w:rPr>
        <w:fldChar w:fldCharType="end"/>
      </w:r>
    </w:p>
    <w:p w:rsidR="00165947" w:rsidRDefault="00165947">
      <w:pPr>
        <w:pStyle w:val="TDC3"/>
        <w:tabs>
          <w:tab w:val="right" w:leader="dot" w:pos="8267"/>
        </w:tabs>
        <w:rPr>
          <w:rFonts w:eastAsia="Times New Roman"/>
          <w:noProof/>
          <w:sz w:val="24"/>
          <w:szCs w:val="24"/>
        </w:rPr>
      </w:pPr>
      <w:r>
        <w:rPr>
          <w:noProof/>
        </w:rPr>
        <w:t>2.3.9 Análisis de las diferencias individuales de las compañías entre los saldos de las conciliaciones bancarias y los saldos de libros del primer semestre del año 2007 mediante diagrama de pastel. Compañía SER Banco Produbanco.</w:t>
      </w:r>
      <w:r>
        <w:rPr>
          <w:noProof/>
        </w:rPr>
        <w:tab/>
      </w:r>
      <w:r>
        <w:rPr>
          <w:noProof/>
        </w:rPr>
        <w:fldChar w:fldCharType="begin"/>
      </w:r>
      <w:r>
        <w:rPr>
          <w:noProof/>
        </w:rPr>
        <w:instrText xml:space="preserve"> PAGEREF _Toc183697514 \h </w:instrText>
      </w:r>
      <w:r>
        <w:rPr>
          <w:noProof/>
        </w:rPr>
      </w:r>
      <w:r>
        <w:rPr>
          <w:noProof/>
        </w:rPr>
        <w:fldChar w:fldCharType="separate"/>
      </w:r>
      <w:r w:rsidR="005C1EEF">
        <w:rPr>
          <w:noProof/>
        </w:rPr>
        <w:t>43</w:t>
      </w:r>
      <w:r>
        <w:rPr>
          <w:noProof/>
        </w:rPr>
        <w:fldChar w:fldCharType="end"/>
      </w:r>
    </w:p>
    <w:p w:rsidR="00165947" w:rsidRDefault="00165947">
      <w:pPr>
        <w:pStyle w:val="TDC3"/>
        <w:tabs>
          <w:tab w:val="right" w:leader="dot" w:pos="8267"/>
        </w:tabs>
        <w:rPr>
          <w:rFonts w:eastAsia="Times New Roman"/>
          <w:noProof/>
          <w:sz w:val="24"/>
          <w:szCs w:val="24"/>
        </w:rPr>
      </w:pPr>
      <w:r>
        <w:rPr>
          <w:noProof/>
        </w:rPr>
        <w:t>2.3.10 Análisis de las diferencias entre los saldos de las conciliaciones bancarias y los saldos de libros del primer semestre del año 2007 que se encuentran en el 25%, 50% y 75% mediante cuartiles.  Compañía SER Banco Produbanco.</w:t>
      </w:r>
      <w:r>
        <w:rPr>
          <w:noProof/>
        </w:rPr>
        <w:tab/>
      </w:r>
      <w:r>
        <w:rPr>
          <w:noProof/>
        </w:rPr>
        <w:fldChar w:fldCharType="begin"/>
      </w:r>
      <w:r>
        <w:rPr>
          <w:noProof/>
        </w:rPr>
        <w:instrText xml:space="preserve"> PAGEREF _Toc183697516 \h </w:instrText>
      </w:r>
      <w:r>
        <w:rPr>
          <w:noProof/>
        </w:rPr>
      </w:r>
      <w:r>
        <w:rPr>
          <w:noProof/>
        </w:rPr>
        <w:fldChar w:fldCharType="separate"/>
      </w:r>
      <w:r w:rsidR="005C1EEF">
        <w:rPr>
          <w:noProof/>
        </w:rPr>
        <w:t>44</w:t>
      </w:r>
      <w:r>
        <w:rPr>
          <w:noProof/>
        </w:rPr>
        <w:fldChar w:fldCharType="end"/>
      </w:r>
    </w:p>
    <w:p w:rsidR="00165947" w:rsidRDefault="00165947">
      <w:pPr>
        <w:pStyle w:val="TDC3"/>
        <w:tabs>
          <w:tab w:val="right" w:leader="dot" w:pos="8267"/>
        </w:tabs>
        <w:rPr>
          <w:rFonts w:eastAsia="Times New Roman"/>
          <w:noProof/>
          <w:sz w:val="24"/>
          <w:szCs w:val="24"/>
        </w:rPr>
      </w:pPr>
      <w:r>
        <w:rPr>
          <w:noProof/>
        </w:rPr>
        <w:t>2.3.11 Análisis de los valores de  las diferencias entre los saldos de las conciliaciones bancarias y los saldos de libros del primer semestre del año 2007 mediante series de tiempo. Compañía SER.</w:t>
      </w:r>
      <w:r>
        <w:rPr>
          <w:noProof/>
        </w:rPr>
        <w:tab/>
      </w:r>
      <w:r>
        <w:rPr>
          <w:noProof/>
        </w:rPr>
        <w:fldChar w:fldCharType="begin"/>
      </w:r>
      <w:r>
        <w:rPr>
          <w:noProof/>
        </w:rPr>
        <w:instrText xml:space="preserve"> PAGEREF _Toc183697518 \h </w:instrText>
      </w:r>
      <w:r>
        <w:rPr>
          <w:noProof/>
        </w:rPr>
      </w:r>
      <w:r>
        <w:rPr>
          <w:noProof/>
        </w:rPr>
        <w:fldChar w:fldCharType="separate"/>
      </w:r>
      <w:r w:rsidR="005C1EEF">
        <w:rPr>
          <w:noProof/>
        </w:rPr>
        <w:t>45</w:t>
      </w:r>
      <w:r>
        <w:rPr>
          <w:noProof/>
        </w:rPr>
        <w:fldChar w:fldCharType="end"/>
      </w:r>
    </w:p>
    <w:p w:rsidR="00165947" w:rsidRDefault="00165947">
      <w:pPr>
        <w:pStyle w:val="TDC3"/>
        <w:tabs>
          <w:tab w:val="right" w:leader="dot" w:pos="8267"/>
        </w:tabs>
        <w:rPr>
          <w:rFonts w:eastAsia="Times New Roman"/>
          <w:noProof/>
          <w:sz w:val="24"/>
          <w:szCs w:val="24"/>
        </w:rPr>
      </w:pPr>
      <w:r>
        <w:rPr>
          <w:noProof/>
        </w:rPr>
        <w:t>2.3.12 Análisis de los saldos de las conciliaciones bancarias con los saldos de libros del primer semestre del año 2007 mediante diagramas de barras. Compañía D.U. Banco Produfondos.</w:t>
      </w:r>
      <w:r>
        <w:rPr>
          <w:noProof/>
        </w:rPr>
        <w:tab/>
      </w:r>
      <w:r>
        <w:rPr>
          <w:noProof/>
        </w:rPr>
        <w:fldChar w:fldCharType="begin"/>
      </w:r>
      <w:r>
        <w:rPr>
          <w:noProof/>
        </w:rPr>
        <w:instrText xml:space="preserve"> PAGEREF _Toc183697521 \h </w:instrText>
      </w:r>
      <w:r>
        <w:rPr>
          <w:noProof/>
        </w:rPr>
      </w:r>
      <w:r>
        <w:rPr>
          <w:noProof/>
        </w:rPr>
        <w:fldChar w:fldCharType="separate"/>
      </w:r>
      <w:r w:rsidR="005C1EEF">
        <w:rPr>
          <w:noProof/>
        </w:rPr>
        <w:t>46</w:t>
      </w:r>
      <w:r>
        <w:rPr>
          <w:noProof/>
        </w:rPr>
        <w:fldChar w:fldCharType="end"/>
      </w:r>
    </w:p>
    <w:p w:rsidR="00165947" w:rsidRDefault="00165947">
      <w:pPr>
        <w:pStyle w:val="TDC3"/>
        <w:tabs>
          <w:tab w:val="right" w:leader="dot" w:pos="8267"/>
        </w:tabs>
        <w:rPr>
          <w:rFonts w:eastAsia="Times New Roman"/>
          <w:noProof/>
          <w:sz w:val="24"/>
          <w:szCs w:val="24"/>
        </w:rPr>
      </w:pPr>
      <w:r>
        <w:rPr>
          <w:noProof/>
        </w:rPr>
        <w:t>2.3.13 Análisis de las diferencias individuales de las compañías entre los saldos de las conciliaciones bancarias y los saldos de libros del primer semestre del año 2007 mediante diagrama de pastel. Compañía D.U. Banco Produfondos.</w:t>
      </w:r>
      <w:r>
        <w:rPr>
          <w:noProof/>
        </w:rPr>
        <w:tab/>
      </w:r>
      <w:r>
        <w:rPr>
          <w:noProof/>
        </w:rPr>
        <w:fldChar w:fldCharType="begin"/>
      </w:r>
      <w:r>
        <w:rPr>
          <w:noProof/>
        </w:rPr>
        <w:instrText xml:space="preserve"> PAGEREF _Toc183697523 \h </w:instrText>
      </w:r>
      <w:r>
        <w:rPr>
          <w:noProof/>
        </w:rPr>
      </w:r>
      <w:r>
        <w:rPr>
          <w:noProof/>
        </w:rPr>
        <w:fldChar w:fldCharType="separate"/>
      </w:r>
      <w:r w:rsidR="005C1EEF">
        <w:rPr>
          <w:noProof/>
        </w:rPr>
        <w:t>48</w:t>
      </w:r>
      <w:r>
        <w:rPr>
          <w:noProof/>
        </w:rPr>
        <w:fldChar w:fldCharType="end"/>
      </w:r>
    </w:p>
    <w:p w:rsidR="00165947" w:rsidRDefault="00165947">
      <w:pPr>
        <w:pStyle w:val="TDC3"/>
        <w:tabs>
          <w:tab w:val="right" w:leader="dot" w:pos="8267"/>
        </w:tabs>
        <w:rPr>
          <w:rFonts w:eastAsia="Times New Roman"/>
          <w:noProof/>
          <w:sz w:val="24"/>
          <w:szCs w:val="24"/>
        </w:rPr>
      </w:pPr>
      <w:r>
        <w:rPr>
          <w:noProof/>
        </w:rPr>
        <w:t>2.3.14 Análisis de las diferencias entre los saldos de las conciliaciones bancarias y los saldos de libros del primer semestre del año 2007 que se encuentran en el 25%, 50% y 75% mediante cuartiles.  Compañía D.U. Banco Produfondos.</w:t>
      </w:r>
      <w:r>
        <w:rPr>
          <w:noProof/>
        </w:rPr>
        <w:tab/>
      </w:r>
      <w:r>
        <w:rPr>
          <w:noProof/>
        </w:rPr>
        <w:fldChar w:fldCharType="begin"/>
      </w:r>
      <w:r>
        <w:rPr>
          <w:noProof/>
        </w:rPr>
        <w:instrText xml:space="preserve"> PAGEREF _Toc183697525 \h </w:instrText>
      </w:r>
      <w:r>
        <w:rPr>
          <w:noProof/>
        </w:rPr>
      </w:r>
      <w:r>
        <w:rPr>
          <w:noProof/>
        </w:rPr>
        <w:fldChar w:fldCharType="separate"/>
      </w:r>
      <w:r w:rsidR="005C1EEF">
        <w:rPr>
          <w:noProof/>
        </w:rPr>
        <w:t>49</w:t>
      </w:r>
      <w:r>
        <w:rPr>
          <w:noProof/>
        </w:rPr>
        <w:fldChar w:fldCharType="end"/>
      </w:r>
    </w:p>
    <w:p w:rsidR="00165947" w:rsidRDefault="00165947">
      <w:pPr>
        <w:pStyle w:val="TDC3"/>
        <w:tabs>
          <w:tab w:val="right" w:leader="dot" w:pos="8267"/>
        </w:tabs>
        <w:rPr>
          <w:rFonts w:eastAsia="Times New Roman"/>
          <w:noProof/>
          <w:sz w:val="24"/>
          <w:szCs w:val="24"/>
        </w:rPr>
      </w:pPr>
      <w:r>
        <w:rPr>
          <w:noProof/>
        </w:rPr>
        <w:t>2.3.15 Análisis de los valores de  las diferencias entre los saldos de las conciliaciones bancarias y los saldos de libros del primer semestre del año 2007 mediante series de tiempo. Compañía D.U.</w:t>
      </w:r>
      <w:r>
        <w:rPr>
          <w:noProof/>
        </w:rPr>
        <w:tab/>
      </w:r>
      <w:r>
        <w:rPr>
          <w:noProof/>
        </w:rPr>
        <w:fldChar w:fldCharType="begin"/>
      </w:r>
      <w:r>
        <w:rPr>
          <w:noProof/>
        </w:rPr>
        <w:instrText xml:space="preserve"> PAGEREF _Toc183697527 \h </w:instrText>
      </w:r>
      <w:r>
        <w:rPr>
          <w:noProof/>
        </w:rPr>
      </w:r>
      <w:r>
        <w:rPr>
          <w:noProof/>
        </w:rPr>
        <w:fldChar w:fldCharType="separate"/>
      </w:r>
      <w:r w:rsidR="005C1EEF">
        <w:rPr>
          <w:noProof/>
        </w:rPr>
        <w:t>50</w:t>
      </w:r>
      <w:r>
        <w:rPr>
          <w:noProof/>
        </w:rPr>
        <w:fldChar w:fldCharType="end"/>
      </w:r>
    </w:p>
    <w:p w:rsidR="00165947" w:rsidRDefault="00165947">
      <w:pPr>
        <w:pStyle w:val="TDC3"/>
        <w:tabs>
          <w:tab w:val="right" w:leader="dot" w:pos="8267"/>
        </w:tabs>
        <w:rPr>
          <w:rFonts w:eastAsia="Times New Roman"/>
          <w:noProof/>
          <w:sz w:val="24"/>
          <w:szCs w:val="24"/>
        </w:rPr>
      </w:pPr>
      <w:r>
        <w:rPr>
          <w:noProof/>
        </w:rPr>
        <w:t>2.3.16 Análisis de los saldos de las conciliaciones bancarias con los saldos de libros del primer semestre del año 2007 mediante diagramas de barras. Compañía M.I. Banco Produbanco.</w:t>
      </w:r>
      <w:r>
        <w:rPr>
          <w:noProof/>
        </w:rPr>
        <w:tab/>
      </w:r>
      <w:r>
        <w:rPr>
          <w:noProof/>
        </w:rPr>
        <w:fldChar w:fldCharType="begin"/>
      </w:r>
      <w:r>
        <w:rPr>
          <w:noProof/>
        </w:rPr>
        <w:instrText xml:space="preserve"> PAGEREF _Toc183697529 \h </w:instrText>
      </w:r>
      <w:r>
        <w:rPr>
          <w:noProof/>
        </w:rPr>
      </w:r>
      <w:r>
        <w:rPr>
          <w:noProof/>
        </w:rPr>
        <w:fldChar w:fldCharType="separate"/>
      </w:r>
      <w:r w:rsidR="005C1EEF">
        <w:rPr>
          <w:noProof/>
        </w:rPr>
        <w:t>51</w:t>
      </w:r>
      <w:r>
        <w:rPr>
          <w:noProof/>
        </w:rPr>
        <w:fldChar w:fldCharType="end"/>
      </w:r>
    </w:p>
    <w:p w:rsidR="00165947" w:rsidRDefault="00165947">
      <w:pPr>
        <w:pStyle w:val="TDC3"/>
        <w:tabs>
          <w:tab w:val="right" w:leader="dot" w:pos="8267"/>
        </w:tabs>
        <w:rPr>
          <w:rFonts w:eastAsia="Times New Roman"/>
          <w:noProof/>
          <w:sz w:val="24"/>
          <w:szCs w:val="24"/>
        </w:rPr>
      </w:pPr>
      <w:r>
        <w:rPr>
          <w:noProof/>
        </w:rPr>
        <w:t>2.3.17 Análisis de las diferencias individuales de las compañías entre los saldos de las conciliaciones bancarias y los saldos de libros del primer semestre del año 2007 mediante diagrama de pastel. Compañía M.I. Banco Produbanco.</w:t>
      </w:r>
      <w:r>
        <w:rPr>
          <w:noProof/>
        </w:rPr>
        <w:tab/>
      </w:r>
      <w:r>
        <w:rPr>
          <w:noProof/>
        </w:rPr>
        <w:fldChar w:fldCharType="begin"/>
      </w:r>
      <w:r>
        <w:rPr>
          <w:noProof/>
        </w:rPr>
        <w:instrText xml:space="preserve"> PAGEREF _Toc183697531 \h </w:instrText>
      </w:r>
      <w:r>
        <w:rPr>
          <w:noProof/>
        </w:rPr>
      </w:r>
      <w:r>
        <w:rPr>
          <w:noProof/>
        </w:rPr>
        <w:fldChar w:fldCharType="separate"/>
      </w:r>
      <w:r w:rsidR="005C1EEF">
        <w:rPr>
          <w:noProof/>
        </w:rPr>
        <w:t>52</w:t>
      </w:r>
      <w:r>
        <w:rPr>
          <w:noProof/>
        </w:rPr>
        <w:fldChar w:fldCharType="end"/>
      </w:r>
    </w:p>
    <w:p w:rsidR="00165947" w:rsidRDefault="00165947">
      <w:pPr>
        <w:pStyle w:val="TDC3"/>
        <w:tabs>
          <w:tab w:val="right" w:leader="dot" w:pos="8267"/>
        </w:tabs>
        <w:rPr>
          <w:rFonts w:eastAsia="Times New Roman"/>
          <w:noProof/>
          <w:sz w:val="24"/>
          <w:szCs w:val="24"/>
        </w:rPr>
      </w:pPr>
      <w:r>
        <w:rPr>
          <w:noProof/>
        </w:rPr>
        <w:t>2.3.18 Análisis de las diferencias entre los saldos de las conciliaciones bancarias y los saldos de libros del primer semestre del año 2007 que se encuentran en el 25%, 50% y 75% mediante cuartiles.  Compañía M.I. Banco Produbanco.</w:t>
      </w:r>
      <w:r>
        <w:rPr>
          <w:noProof/>
        </w:rPr>
        <w:tab/>
      </w:r>
      <w:r>
        <w:rPr>
          <w:noProof/>
        </w:rPr>
        <w:fldChar w:fldCharType="begin"/>
      </w:r>
      <w:r>
        <w:rPr>
          <w:noProof/>
        </w:rPr>
        <w:instrText xml:space="preserve"> PAGEREF _Toc183697533 \h </w:instrText>
      </w:r>
      <w:r>
        <w:rPr>
          <w:noProof/>
        </w:rPr>
      </w:r>
      <w:r>
        <w:rPr>
          <w:noProof/>
        </w:rPr>
        <w:fldChar w:fldCharType="separate"/>
      </w:r>
      <w:r w:rsidR="005C1EEF">
        <w:rPr>
          <w:noProof/>
        </w:rPr>
        <w:t>53</w:t>
      </w:r>
      <w:r>
        <w:rPr>
          <w:noProof/>
        </w:rPr>
        <w:fldChar w:fldCharType="end"/>
      </w:r>
    </w:p>
    <w:p w:rsidR="00165947" w:rsidRDefault="00165947">
      <w:pPr>
        <w:pStyle w:val="TDC3"/>
        <w:tabs>
          <w:tab w:val="right" w:leader="dot" w:pos="8267"/>
        </w:tabs>
        <w:rPr>
          <w:rFonts w:eastAsia="Times New Roman"/>
          <w:noProof/>
          <w:sz w:val="24"/>
          <w:szCs w:val="24"/>
        </w:rPr>
      </w:pPr>
      <w:r>
        <w:rPr>
          <w:noProof/>
        </w:rPr>
        <w:t>2.3.19 Análisis de los saldos de las conciliaciones bancarias con los saldos de libros del primer semestre del año 2007 mediante diagramas de barras. Compañía M.I. Banco Produfondos.</w:t>
      </w:r>
      <w:r>
        <w:rPr>
          <w:noProof/>
        </w:rPr>
        <w:tab/>
      </w:r>
      <w:r>
        <w:rPr>
          <w:noProof/>
        </w:rPr>
        <w:fldChar w:fldCharType="begin"/>
      </w:r>
      <w:r>
        <w:rPr>
          <w:noProof/>
        </w:rPr>
        <w:instrText xml:space="preserve"> PAGEREF _Toc183697535 \h </w:instrText>
      </w:r>
      <w:r>
        <w:rPr>
          <w:noProof/>
        </w:rPr>
      </w:r>
      <w:r>
        <w:rPr>
          <w:noProof/>
        </w:rPr>
        <w:fldChar w:fldCharType="separate"/>
      </w:r>
      <w:r w:rsidR="005C1EEF">
        <w:rPr>
          <w:noProof/>
        </w:rPr>
        <w:t>54</w:t>
      </w:r>
      <w:r>
        <w:rPr>
          <w:noProof/>
        </w:rPr>
        <w:fldChar w:fldCharType="end"/>
      </w:r>
    </w:p>
    <w:p w:rsidR="00165947" w:rsidRPr="005D5F9B" w:rsidRDefault="00165947" w:rsidP="005D5F9B">
      <w:pPr>
        <w:pStyle w:val="TDC3"/>
        <w:tabs>
          <w:tab w:val="right" w:leader="dot" w:pos="8267"/>
        </w:tabs>
        <w:rPr>
          <w:rFonts w:eastAsia="Times New Roman"/>
          <w:noProof/>
          <w:sz w:val="24"/>
          <w:szCs w:val="24"/>
        </w:rPr>
      </w:pPr>
      <w:r>
        <w:rPr>
          <w:noProof/>
        </w:rPr>
        <w:lastRenderedPageBreak/>
        <w:t>2.3.20 Análisis de las diferencias individuales de las compañías entre los saldos de las conciliaciones bancarias y los saldos de libros del primer semestre del año 2007 mediante diagrama de pastel. Compañía M.I. Banco Produfondos.</w:t>
      </w:r>
      <w:r>
        <w:rPr>
          <w:noProof/>
        </w:rPr>
        <w:tab/>
      </w:r>
      <w:r>
        <w:rPr>
          <w:noProof/>
        </w:rPr>
        <w:fldChar w:fldCharType="begin"/>
      </w:r>
      <w:r>
        <w:rPr>
          <w:noProof/>
        </w:rPr>
        <w:instrText xml:space="preserve"> PAGEREF _Toc183697537 \h </w:instrText>
      </w:r>
      <w:r>
        <w:rPr>
          <w:noProof/>
        </w:rPr>
      </w:r>
      <w:r>
        <w:rPr>
          <w:noProof/>
        </w:rPr>
        <w:fldChar w:fldCharType="separate"/>
      </w:r>
      <w:r w:rsidR="005C1EEF">
        <w:rPr>
          <w:noProof/>
        </w:rPr>
        <w:t>56</w:t>
      </w:r>
      <w:r>
        <w:rPr>
          <w:noProof/>
        </w:rPr>
        <w:fldChar w:fldCharType="end"/>
      </w:r>
    </w:p>
    <w:p w:rsidR="00165947" w:rsidRDefault="00165947">
      <w:pPr>
        <w:pStyle w:val="TDC3"/>
        <w:tabs>
          <w:tab w:val="right" w:leader="dot" w:pos="8267"/>
        </w:tabs>
        <w:rPr>
          <w:rFonts w:eastAsia="Times New Roman"/>
          <w:noProof/>
          <w:sz w:val="24"/>
          <w:szCs w:val="24"/>
        </w:rPr>
      </w:pPr>
      <w:r>
        <w:rPr>
          <w:noProof/>
        </w:rPr>
        <w:t>2.3.21 Análisis de las diferencias entre los saldos de las conciliaciones bancarias y los saldos de libros del primer semestre del año 2007 que se encuentran en el 25%, 50% y 75% mediante cuartiles.  Compañía M.I. Banco Produfondos.</w:t>
      </w:r>
      <w:r>
        <w:rPr>
          <w:noProof/>
        </w:rPr>
        <w:tab/>
      </w:r>
      <w:r>
        <w:rPr>
          <w:noProof/>
        </w:rPr>
        <w:fldChar w:fldCharType="begin"/>
      </w:r>
      <w:r>
        <w:rPr>
          <w:noProof/>
        </w:rPr>
        <w:instrText xml:space="preserve"> PAGEREF _Toc183697539 \h </w:instrText>
      </w:r>
      <w:r>
        <w:rPr>
          <w:noProof/>
        </w:rPr>
      </w:r>
      <w:r>
        <w:rPr>
          <w:noProof/>
        </w:rPr>
        <w:fldChar w:fldCharType="separate"/>
      </w:r>
      <w:r w:rsidR="005C1EEF">
        <w:rPr>
          <w:noProof/>
        </w:rPr>
        <w:t>57</w:t>
      </w:r>
      <w:r>
        <w:rPr>
          <w:noProof/>
        </w:rPr>
        <w:fldChar w:fldCharType="end"/>
      </w:r>
    </w:p>
    <w:p w:rsidR="00165947" w:rsidRDefault="00165947">
      <w:pPr>
        <w:pStyle w:val="TDC3"/>
        <w:tabs>
          <w:tab w:val="right" w:leader="dot" w:pos="8267"/>
        </w:tabs>
        <w:rPr>
          <w:rFonts w:eastAsia="Times New Roman"/>
          <w:noProof/>
          <w:sz w:val="24"/>
          <w:szCs w:val="24"/>
        </w:rPr>
      </w:pPr>
      <w:r>
        <w:rPr>
          <w:noProof/>
        </w:rPr>
        <w:t>2.3.22 Análisis de los valores de  las diferencias entre los saldos de las conciliaciones bancarias y los saldos de libros del primer semestre del año 2007 mediante series de tiempo. Compañía M.I.</w:t>
      </w:r>
      <w:r>
        <w:rPr>
          <w:noProof/>
        </w:rPr>
        <w:tab/>
      </w:r>
      <w:r>
        <w:rPr>
          <w:noProof/>
        </w:rPr>
        <w:fldChar w:fldCharType="begin"/>
      </w:r>
      <w:r>
        <w:rPr>
          <w:noProof/>
        </w:rPr>
        <w:instrText xml:space="preserve"> PAGEREF _Toc183697541 \h </w:instrText>
      </w:r>
      <w:r>
        <w:rPr>
          <w:noProof/>
        </w:rPr>
      </w:r>
      <w:r>
        <w:rPr>
          <w:noProof/>
        </w:rPr>
        <w:fldChar w:fldCharType="separate"/>
      </w:r>
      <w:r w:rsidR="005C1EEF">
        <w:rPr>
          <w:noProof/>
        </w:rPr>
        <w:t>58</w:t>
      </w:r>
      <w:r>
        <w:rPr>
          <w:noProof/>
        </w:rPr>
        <w:fldChar w:fldCharType="end"/>
      </w:r>
    </w:p>
    <w:p w:rsidR="00165947" w:rsidRDefault="00165947">
      <w:pPr>
        <w:pStyle w:val="TDC3"/>
        <w:tabs>
          <w:tab w:val="right" w:leader="dot" w:pos="8267"/>
        </w:tabs>
        <w:rPr>
          <w:rFonts w:eastAsia="Times New Roman"/>
          <w:noProof/>
          <w:sz w:val="24"/>
          <w:szCs w:val="24"/>
        </w:rPr>
      </w:pPr>
      <w:r>
        <w:rPr>
          <w:noProof/>
        </w:rPr>
        <w:t>2.3.23 Análisis de los saldos de las conciliaciones bancarias con los saldos de libros del primer semestre del año 2007 mediante diagramas de barras. Compañía F.A. Banco Produbanco.</w:t>
      </w:r>
      <w:r>
        <w:rPr>
          <w:noProof/>
        </w:rPr>
        <w:tab/>
      </w:r>
      <w:r>
        <w:rPr>
          <w:noProof/>
        </w:rPr>
        <w:fldChar w:fldCharType="begin"/>
      </w:r>
      <w:r>
        <w:rPr>
          <w:noProof/>
        </w:rPr>
        <w:instrText xml:space="preserve"> PAGEREF _Toc183697544 \h </w:instrText>
      </w:r>
      <w:r>
        <w:rPr>
          <w:noProof/>
        </w:rPr>
      </w:r>
      <w:r>
        <w:rPr>
          <w:noProof/>
        </w:rPr>
        <w:fldChar w:fldCharType="separate"/>
      </w:r>
      <w:r w:rsidR="005C1EEF">
        <w:rPr>
          <w:noProof/>
        </w:rPr>
        <w:t>59</w:t>
      </w:r>
      <w:r>
        <w:rPr>
          <w:noProof/>
        </w:rPr>
        <w:fldChar w:fldCharType="end"/>
      </w:r>
    </w:p>
    <w:p w:rsidR="00165947" w:rsidRDefault="00165947">
      <w:pPr>
        <w:pStyle w:val="TDC3"/>
        <w:tabs>
          <w:tab w:val="right" w:leader="dot" w:pos="8267"/>
        </w:tabs>
        <w:rPr>
          <w:rFonts w:eastAsia="Times New Roman"/>
          <w:noProof/>
          <w:sz w:val="24"/>
          <w:szCs w:val="24"/>
        </w:rPr>
      </w:pPr>
      <w:r>
        <w:rPr>
          <w:noProof/>
        </w:rPr>
        <w:t>2.3.24 Análisis de las diferencias individuales de las compañías entre los saldos de las conciliaciones bancarias y los saldos de libros del primer semestre del año 2007 mediante diagrama de pastel. Compañía F.A. Banco Produbanco.</w:t>
      </w:r>
      <w:r>
        <w:rPr>
          <w:noProof/>
        </w:rPr>
        <w:tab/>
      </w:r>
      <w:r>
        <w:rPr>
          <w:noProof/>
        </w:rPr>
        <w:fldChar w:fldCharType="begin"/>
      </w:r>
      <w:r>
        <w:rPr>
          <w:noProof/>
        </w:rPr>
        <w:instrText xml:space="preserve"> PAGEREF _Toc183697546 \h </w:instrText>
      </w:r>
      <w:r>
        <w:rPr>
          <w:noProof/>
        </w:rPr>
      </w:r>
      <w:r>
        <w:rPr>
          <w:noProof/>
        </w:rPr>
        <w:fldChar w:fldCharType="separate"/>
      </w:r>
      <w:r w:rsidR="005C1EEF">
        <w:rPr>
          <w:noProof/>
        </w:rPr>
        <w:t>60</w:t>
      </w:r>
      <w:r>
        <w:rPr>
          <w:noProof/>
        </w:rPr>
        <w:fldChar w:fldCharType="end"/>
      </w:r>
    </w:p>
    <w:p w:rsidR="00165947" w:rsidRDefault="00165947">
      <w:pPr>
        <w:pStyle w:val="TDC3"/>
        <w:tabs>
          <w:tab w:val="right" w:leader="dot" w:pos="8267"/>
        </w:tabs>
        <w:rPr>
          <w:rFonts w:eastAsia="Times New Roman"/>
          <w:noProof/>
          <w:sz w:val="24"/>
          <w:szCs w:val="24"/>
        </w:rPr>
      </w:pPr>
      <w:r>
        <w:rPr>
          <w:noProof/>
        </w:rPr>
        <w:t>2.3.25 Análisis de las diferencias entre los saldos de las conciliaciones bancarias y los saldos de libros del primer semestre del año 2007 que se encuentran en el 25%, 50% y 75% mediante cuartiles.  Compañía F.A.  Banco Produbanco.</w:t>
      </w:r>
      <w:r>
        <w:rPr>
          <w:noProof/>
        </w:rPr>
        <w:tab/>
      </w:r>
      <w:r>
        <w:rPr>
          <w:noProof/>
        </w:rPr>
        <w:fldChar w:fldCharType="begin"/>
      </w:r>
      <w:r>
        <w:rPr>
          <w:noProof/>
        </w:rPr>
        <w:instrText xml:space="preserve"> PAGEREF _Toc183697548 \h </w:instrText>
      </w:r>
      <w:r>
        <w:rPr>
          <w:noProof/>
        </w:rPr>
      </w:r>
      <w:r>
        <w:rPr>
          <w:noProof/>
        </w:rPr>
        <w:fldChar w:fldCharType="separate"/>
      </w:r>
      <w:r w:rsidR="005C1EEF">
        <w:rPr>
          <w:noProof/>
        </w:rPr>
        <w:t>61</w:t>
      </w:r>
      <w:r>
        <w:rPr>
          <w:noProof/>
        </w:rPr>
        <w:fldChar w:fldCharType="end"/>
      </w:r>
    </w:p>
    <w:p w:rsidR="00165947" w:rsidRDefault="00165947">
      <w:pPr>
        <w:pStyle w:val="TDC3"/>
        <w:tabs>
          <w:tab w:val="right" w:leader="dot" w:pos="8267"/>
        </w:tabs>
        <w:rPr>
          <w:rFonts w:eastAsia="Times New Roman"/>
          <w:noProof/>
          <w:sz w:val="24"/>
          <w:szCs w:val="24"/>
        </w:rPr>
      </w:pPr>
      <w:r>
        <w:rPr>
          <w:noProof/>
        </w:rPr>
        <w:t>2.3.26 Análisis de los saldos de las conciliaciones bancarias con los saldos de libros del primer semestre del año 2007 mediante diagramas de barras. Compañía F.A. Banco Produfondos.</w:t>
      </w:r>
      <w:r>
        <w:rPr>
          <w:noProof/>
        </w:rPr>
        <w:tab/>
      </w:r>
      <w:r>
        <w:rPr>
          <w:noProof/>
        </w:rPr>
        <w:fldChar w:fldCharType="begin"/>
      </w:r>
      <w:r>
        <w:rPr>
          <w:noProof/>
        </w:rPr>
        <w:instrText xml:space="preserve"> PAGEREF _Toc183697550 \h </w:instrText>
      </w:r>
      <w:r>
        <w:rPr>
          <w:noProof/>
        </w:rPr>
      </w:r>
      <w:r>
        <w:rPr>
          <w:noProof/>
        </w:rPr>
        <w:fldChar w:fldCharType="separate"/>
      </w:r>
      <w:r w:rsidR="005C1EEF">
        <w:rPr>
          <w:noProof/>
        </w:rPr>
        <w:t>62</w:t>
      </w:r>
      <w:r>
        <w:rPr>
          <w:noProof/>
        </w:rPr>
        <w:fldChar w:fldCharType="end"/>
      </w:r>
    </w:p>
    <w:p w:rsidR="00165947" w:rsidRDefault="00165947">
      <w:pPr>
        <w:pStyle w:val="TDC3"/>
        <w:tabs>
          <w:tab w:val="right" w:leader="dot" w:pos="8267"/>
        </w:tabs>
        <w:rPr>
          <w:rFonts w:eastAsia="Times New Roman"/>
          <w:noProof/>
          <w:sz w:val="24"/>
          <w:szCs w:val="24"/>
        </w:rPr>
      </w:pPr>
      <w:r>
        <w:rPr>
          <w:noProof/>
        </w:rPr>
        <w:t>2.3.27 Análisis de las diferencias individuales de las compañías entre los saldos de las conciliaciones bancarias y los saldos de libros del primer semestre del año 2007 mediante diagrama de pastel. Compañía F.A. Banco Produfondos.</w:t>
      </w:r>
      <w:r>
        <w:rPr>
          <w:noProof/>
        </w:rPr>
        <w:tab/>
      </w:r>
      <w:r>
        <w:rPr>
          <w:noProof/>
        </w:rPr>
        <w:fldChar w:fldCharType="begin"/>
      </w:r>
      <w:r>
        <w:rPr>
          <w:noProof/>
        </w:rPr>
        <w:instrText xml:space="preserve"> PAGEREF _Toc183697552 \h </w:instrText>
      </w:r>
      <w:r>
        <w:rPr>
          <w:noProof/>
        </w:rPr>
      </w:r>
      <w:r>
        <w:rPr>
          <w:noProof/>
        </w:rPr>
        <w:fldChar w:fldCharType="separate"/>
      </w:r>
      <w:r w:rsidR="005C1EEF">
        <w:rPr>
          <w:noProof/>
        </w:rPr>
        <w:t>63</w:t>
      </w:r>
      <w:r>
        <w:rPr>
          <w:noProof/>
        </w:rPr>
        <w:fldChar w:fldCharType="end"/>
      </w:r>
    </w:p>
    <w:p w:rsidR="00165947" w:rsidRDefault="00165947">
      <w:pPr>
        <w:pStyle w:val="TDC3"/>
        <w:tabs>
          <w:tab w:val="right" w:leader="dot" w:pos="8267"/>
        </w:tabs>
        <w:rPr>
          <w:rFonts w:eastAsia="Times New Roman"/>
          <w:noProof/>
          <w:sz w:val="24"/>
          <w:szCs w:val="24"/>
        </w:rPr>
      </w:pPr>
      <w:r>
        <w:rPr>
          <w:noProof/>
        </w:rPr>
        <w:t>2.3.28 Análisis de las diferencias entre los saldos de las conciliaciones bancarias y los saldos de libros del primer semestre del año 2007 que se encuentran en el 25%, 50% y 75% mediante cuartiles.  Compañía F.A. Banco Produfondos.</w:t>
      </w:r>
      <w:r>
        <w:rPr>
          <w:noProof/>
        </w:rPr>
        <w:tab/>
      </w:r>
      <w:r>
        <w:rPr>
          <w:noProof/>
        </w:rPr>
        <w:fldChar w:fldCharType="begin"/>
      </w:r>
      <w:r>
        <w:rPr>
          <w:noProof/>
        </w:rPr>
        <w:instrText xml:space="preserve"> PAGEREF _Toc183697554 \h </w:instrText>
      </w:r>
      <w:r>
        <w:rPr>
          <w:noProof/>
        </w:rPr>
      </w:r>
      <w:r>
        <w:rPr>
          <w:noProof/>
        </w:rPr>
        <w:fldChar w:fldCharType="separate"/>
      </w:r>
      <w:r w:rsidR="005C1EEF">
        <w:rPr>
          <w:noProof/>
        </w:rPr>
        <w:t>64</w:t>
      </w:r>
      <w:r>
        <w:rPr>
          <w:noProof/>
        </w:rPr>
        <w:fldChar w:fldCharType="end"/>
      </w:r>
    </w:p>
    <w:p w:rsidR="00165947" w:rsidRDefault="00165947">
      <w:pPr>
        <w:pStyle w:val="TDC3"/>
        <w:tabs>
          <w:tab w:val="right" w:leader="dot" w:pos="8267"/>
        </w:tabs>
        <w:rPr>
          <w:rFonts w:eastAsia="Times New Roman"/>
          <w:noProof/>
          <w:sz w:val="24"/>
          <w:szCs w:val="24"/>
        </w:rPr>
      </w:pPr>
      <w:r>
        <w:rPr>
          <w:noProof/>
        </w:rPr>
        <w:t>2.3.29 Análisis de los valores de  las diferencias entre los saldos de las conciliaciones bancarias y los saldos de libros del primer semestre del año 2007 mediante series de tiempo. Compañía F.A.</w:t>
      </w:r>
      <w:r>
        <w:rPr>
          <w:noProof/>
        </w:rPr>
        <w:tab/>
      </w:r>
      <w:r>
        <w:rPr>
          <w:noProof/>
        </w:rPr>
        <w:fldChar w:fldCharType="begin"/>
      </w:r>
      <w:r>
        <w:rPr>
          <w:noProof/>
        </w:rPr>
        <w:instrText xml:space="preserve"> PAGEREF _Toc183697556 \h </w:instrText>
      </w:r>
      <w:r>
        <w:rPr>
          <w:noProof/>
        </w:rPr>
      </w:r>
      <w:r>
        <w:rPr>
          <w:noProof/>
        </w:rPr>
        <w:fldChar w:fldCharType="separate"/>
      </w:r>
      <w:r w:rsidR="005C1EEF">
        <w:rPr>
          <w:noProof/>
        </w:rPr>
        <w:t>65</w:t>
      </w:r>
      <w:r>
        <w:rPr>
          <w:noProof/>
        </w:rPr>
        <w:fldChar w:fldCharType="end"/>
      </w:r>
    </w:p>
    <w:p w:rsidR="00165947" w:rsidRDefault="00165947">
      <w:pPr>
        <w:pStyle w:val="TDC2"/>
        <w:tabs>
          <w:tab w:val="right" w:leader="dot" w:pos="8267"/>
        </w:tabs>
        <w:rPr>
          <w:rFonts w:eastAsia="Times New Roman"/>
          <w:b w:val="0"/>
          <w:bCs w:val="0"/>
          <w:noProof/>
          <w:sz w:val="24"/>
          <w:szCs w:val="24"/>
        </w:rPr>
      </w:pPr>
      <w:r w:rsidRPr="002C08AB">
        <w:rPr>
          <w:bCs w:val="0"/>
          <w:noProof/>
        </w:rPr>
        <w:t>2.4 Análisis de los saldos de las conciliaciones bancarias con los saldos de libros del primer semestre del año 2007 mediante diagramas de barras. Todas las Compañías.</w:t>
      </w:r>
      <w:r>
        <w:rPr>
          <w:noProof/>
        </w:rPr>
        <w:tab/>
      </w:r>
      <w:r>
        <w:rPr>
          <w:noProof/>
        </w:rPr>
        <w:fldChar w:fldCharType="begin"/>
      </w:r>
      <w:r>
        <w:rPr>
          <w:noProof/>
        </w:rPr>
        <w:instrText xml:space="preserve"> PAGEREF _Toc183697559 \h </w:instrText>
      </w:r>
      <w:r>
        <w:rPr>
          <w:noProof/>
        </w:rPr>
      </w:r>
      <w:r>
        <w:rPr>
          <w:noProof/>
        </w:rPr>
        <w:fldChar w:fldCharType="separate"/>
      </w:r>
      <w:r w:rsidR="005C1EEF">
        <w:rPr>
          <w:noProof/>
        </w:rPr>
        <w:t>66</w:t>
      </w:r>
      <w:r>
        <w:rPr>
          <w:noProof/>
        </w:rPr>
        <w:fldChar w:fldCharType="end"/>
      </w:r>
    </w:p>
    <w:p w:rsidR="00165947" w:rsidRDefault="00165947">
      <w:pPr>
        <w:pStyle w:val="TDC2"/>
        <w:tabs>
          <w:tab w:val="right" w:leader="dot" w:pos="8267"/>
        </w:tabs>
        <w:rPr>
          <w:rFonts w:eastAsia="Times New Roman"/>
          <w:b w:val="0"/>
          <w:bCs w:val="0"/>
          <w:noProof/>
          <w:sz w:val="24"/>
          <w:szCs w:val="24"/>
        </w:rPr>
      </w:pPr>
      <w:r w:rsidRPr="002C08AB">
        <w:rPr>
          <w:bCs w:val="0"/>
          <w:noProof/>
        </w:rPr>
        <w:t>2.5 Análisis aplicado de las diferencias generales de las compañías entre los saldos de las conciliaciones bancarias y los saldos de libros del primer semestre del año 2007 mediante diagrama de pastel.</w:t>
      </w:r>
      <w:r>
        <w:rPr>
          <w:noProof/>
        </w:rPr>
        <w:tab/>
      </w:r>
      <w:r>
        <w:rPr>
          <w:noProof/>
        </w:rPr>
        <w:fldChar w:fldCharType="begin"/>
      </w:r>
      <w:r>
        <w:rPr>
          <w:noProof/>
        </w:rPr>
        <w:instrText xml:space="preserve"> PAGEREF _Toc183697561 \h </w:instrText>
      </w:r>
      <w:r>
        <w:rPr>
          <w:noProof/>
        </w:rPr>
      </w:r>
      <w:r>
        <w:rPr>
          <w:noProof/>
        </w:rPr>
        <w:fldChar w:fldCharType="separate"/>
      </w:r>
      <w:r w:rsidR="005C1EEF">
        <w:rPr>
          <w:noProof/>
        </w:rPr>
        <w:t>68</w:t>
      </w:r>
      <w:r>
        <w:rPr>
          <w:noProof/>
        </w:rPr>
        <w:fldChar w:fldCharType="end"/>
      </w:r>
    </w:p>
    <w:p w:rsidR="00165947" w:rsidRDefault="00165947">
      <w:pPr>
        <w:pStyle w:val="TDC2"/>
        <w:tabs>
          <w:tab w:val="right" w:leader="dot" w:pos="8267"/>
        </w:tabs>
        <w:rPr>
          <w:rFonts w:eastAsia="Times New Roman"/>
          <w:b w:val="0"/>
          <w:bCs w:val="0"/>
          <w:noProof/>
          <w:sz w:val="24"/>
          <w:szCs w:val="24"/>
        </w:rPr>
      </w:pPr>
      <w:r w:rsidRPr="002C08AB">
        <w:rPr>
          <w:noProof/>
        </w:rPr>
        <w:t>2.6 Análisis de las diferencias entre los saldos de las conciliaciones bancarias y los saldos de libros del primer semestre del año 2007 que se encuentran en el 25%, 50% y 75% mediante cuartiles.  Todas las compañías seleccionadas.</w:t>
      </w:r>
      <w:r>
        <w:rPr>
          <w:noProof/>
        </w:rPr>
        <w:tab/>
      </w:r>
      <w:r>
        <w:rPr>
          <w:noProof/>
        </w:rPr>
        <w:fldChar w:fldCharType="begin"/>
      </w:r>
      <w:r>
        <w:rPr>
          <w:noProof/>
        </w:rPr>
        <w:instrText xml:space="preserve"> PAGEREF _Toc183697565 \h </w:instrText>
      </w:r>
      <w:r>
        <w:rPr>
          <w:noProof/>
        </w:rPr>
      </w:r>
      <w:r>
        <w:rPr>
          <w:noProof/>
        </w:rPr>
        <w:fldChar w:fldCharType="separate"/>
      </w:r>
      <w:r w:rsidR="005C1EEF">
        <w:rPr>
          <w:noProof/>
        </w:rPr>
        <w:t>70</w:t>
      </w:r>
      <w:r>
        <w:rPr>
          <w:noProof/>
        </w:rPr>
        <w:fldChar w:fldCharType="end"/>
      </w:r>
    </w:p>
    <w:p w:rsidR="00165947" w:rsidRDefault="00165947">
      <w:pPr>
        <w:pStyle w:val="TDC2"/>
        <w:tabs>
          <w:tab w:val="right" w:leader="dot" w:pos="8267"/>
        </w:tabs>
        <w:rPr>
          <w:rFonts w:eastAsia="Times New Roman"/>
          <w:b w:val="0"/>
          <w:bCs w:val="0"/>
          <w:noProof/>
          <w:sz w:val="24"/>
          <w:szCs w:val="24"/>
        </w:rPr>
      </w:pPr>
      <w:r w:rsidRPr="002C08AB">
        <w:rPr>
          <w:noProof/>
        </w:rPr>
        <w:t>2.7 Análisis de los valores de  las diferencias entre los saldos de las conciliaciones bancarias y los saldos de libros del primer semestre del año 2007 mediante series de tiempo. Todas las Compañía seleccionadas.</w:t>
      </w:r>
      <w:r>
        <w:rPr>
          <w:noProof/>
        </w:rPr>
        <w:tab/>
      </w:r>
      <w:r>
        <w:rPr>
          <w:noProof/>
        </w:rPr>
        <w:fldChar w:fldCharType="begin"/>
      </w:r>
      <w:r>
        <w:rPr>
          <w:noProof/>
        </w:rPr>
        <w:instrText xml:space="preserve"> PAGEREF _Toc183697566 \h </w:instrText>
      </w:r>
      <w:r>
        <w:rPr>
          <w:noProof/>
        </w:rPr>
      </w:r>
      <w:r>
        <w:rPr>
          <w:noProof/>
        </w:rPr>
        <w:fldChar w:fldCharType="separate"/>
      </w:r>
      <w:r w:rsidR="005C1EEF">
        <w:rPr>
          <w:noProof/>
        </w:rPr>
        <w:t>70</w:t>
      </w:r>
      <w:r>
        <w:rPr>
          <w:noProof/>
        </w:rPr>
        <w:fldChar w:fldCharType="end"/>
      </w:r>
    </w:p>
    <w:p w:rsidR="00165947" w:rsidRDefault="00165947">
      <w:pPr>
        <w:pStyle w:val="TDC2"/>
        <w:tabs>
          <w:tab w:val="right" w:leader="dot" w:pos="8267"/>
        </w:tabs>
        <w:rPr>
          <w:rFonts w:eastAsia="Times New Roman"/>
          <w:b w:val="0"/>
          <w:bCs w:val="0"/>
          <w:noProof/>
          <w:sz w:val="24"/>
          <w:szCs w:val="24"/>
        </w:rPr>
      </w:pPr>
      <w:r w:rsidRPr="002C08AB">
        <w:rPr>
          <w:noProof/>
        </w:rPr>
        <w:t>2.8 Análisis de los valores de  las diferencias entre los saldos de las conciliaciones bancarias y los saldos de libros del primer semestre del año 2007 mediante diagrama de dispersión.</w:t>
      </w:r>
      <w:r>
        <w:rPr>
          <w:noProof/>
        </w:rPr>
        <w:tab/>
      </w:r>
      <w:r>
        <w:rPr>
          <w:noProof/>
        </w:rPr>
        <w:fldChar w:fldCharType="begin"/>
      </w:r>
      <w:r>
        <w:rPr>
          <w:noProof/>
        </w:rPr>
        <w:instrText xml:space="preserve"> PAGEREF _Toc183697568 \h </w:instrText>
      </w:r>
      <w:r>
        <w:rPr>
          <w:noProof/>
        </w:rPr>
      </w:r>
      <w:r>
        <w:rPr>
          <w:noProof/>
        </w:rPr>
        <w:fldChar w:fldCharType="separate"/>
      </w:r>
      <w:r w:rsidR="005C1EEF">
        <w:rPr>
          <w:noProof/>
        </w:rPr>
        <w:t>72</w:t>
      </w:r>
      <w:r>
        <w:rPr>
          <w:noProof/>
        </w:rPr>
        <w:fldChar w:fldCharType="end"/>
      </w:r>
    </w:p>
    <w:p w:rsidR="00165947" w:rsidRDefault="00165947">
      <w:pPr>
        <w:pStyle w:val="TDC2"/>
        <w:tabs>
          <w:tab w:val="right" w:leader="dot" w:pos="8267"/>
        </w:tabs>
        <w:rPr>
          <w:noProof/>
        </w:rPr>
      </w:pPr>
      <w:r w:rsidRPr="002C08AB">
        <w:rPr>
          <w:noProof/>
        </w:rPr>
        <w:t>2.9 Análisis del coeficiente de correlación de los valores de  las diferencias entre los saldos de las conciliaciones bancarias y los saldos de libros del primer semestre del año 2007.</w:t>
      </w:r>
      <w:r>
        <w:rPr>
          <w:noProof/>
        </w:rPr>
        <w:tab/>
      </w:r>
      <w:r>
        <w:rPr>
          <w:noProof/>
        </w:rPr>
        <w:fldChar w:fldCharType="begin"/>
      </w:r>
      <w:r>
        <w:rPr>
          <w:noProof/>
        </w:rPr>
        <w:instrText xml:space="preserve"> PAGEREF _Toc183697571 \h </w:instrText>
      </w:r>
      <w:r>
        <w:rPr>
          <w:noProof/>
        </w:rPr>
      </w:r>
      <w:r>
        <w:rPr>
          <w:noProof/>
        </w:rPr>
        <w:fldChar w:fldCharType="separate"/>
      </w:r>
      <w:r w:rsidR="005C1EEF">
        <w:rPr>
          <w:noProof/>
        </w:rPr>
        <w:t>73</w:t>
      </w:r>
      <w:r>
        <w:rPr>
          <w:noProof/>
        </w:rPr>
        <w:fldChar w:fldCharType="end"/>
      </w:r>
    </w:p>
    <w:p w:rsidR="00361741" w:rsidRPr="00361741" w:rsidRDefault="00361741" w:rsidP="00361741">
      <w:pPr>
        <w:rPr>
          <w:noProof/>
        </w:rPr>
      </w:pPr>
    </w:p>
    <w:p w:rsidR="00673ADA" w:rsidRDefault="00673ADA" w:rsidP="00361741">
      <w:pPr>
        <w:pStyle w:val="TDC1"/>
        <w:rPr>
          <w:noProof/>
        </w:rPr>
      </w:pPr>
    </w:p>
    <w:p w:rsidR="00673ADA" w:rsidRDefault="00673ADA" w:rsidP="00361741">
      <w:pPr>
        <w:pStyle w:val="TDC1"/>
        <w:rPr>
          <w:noProof/>
        </w:rPr>
      </w:pPr>
    </w:p>
    <w:p w:rsidR="00165947" w:rsidRPr="005D5F9B" w:rsidRDefault="00165947" w:rsidP="00361741">
      <w:pPr>
        <w:pStyle w:val="TDC1"/>
        <w:rPr>
          <w:rFonts w:eastAsia="Times New Roman"/>
          <w:i w:val="0"/>
          <w:noProof/>
        </w:rPr>
      </w:pPr>
      <w:r w:rsidRPr="005D5F9B">
        <w:rPr>
          <w:i w:val="0"/>
          <w:noProof/>
        </w:rPr>
        <w:t>CONCLUSIONES</w:t>
      </w:r>
    </w:p>
    <w:p w:rsidR="00165947" w:rsidRDefault="00361741" w:rsidP="00361741">
      <w:pPr>
        <w:pStyle w:val="TDC1"/>
        <w:rPr>
          <w:rFonts w:eastAsia="Times New Roman"/>
          <w:noProof/>
        </w:rPr>
      </w:pPr>
      <w:r w:rsidRPr="005D5F9B">
        <w:rPr>
          <w:i w:val="0"/>
          <w:noProof/>
        </w:rPr>
        <w:t>RECOMENDACIONES</w:t>
      </w:r>
    </w:p>
    <w:p w:rsidR="00165947" w:rsidRDefault="00165947" w:rsidP="00361741">
      <w:pPr>
        <w:pStyle w:val="TDC1"/>
        <w:rPr>
          <w:rFonts w:eastAsia="Times New Roman"/>
          <w:noProof/>
        </w:rPr>
      </w:pPr>
      <w:r w:rsidRPr="005D5F9B">
        <w:rPr>
          <w:i w:val="0"/>
          <w:noProof/>
        </w:rPr>
        <w:t>ANEXOS</w:t>
      </w:r>
    </w:p>
    <w:p w:rsidR="00165947" w:rsidRDefault="00165947" w:rsidP="00361741">
      <w:pPr>
        <w:pStyle w:val="TDC1"/>
        <w:rPr>
          <w:rFonts w:eastAsia="Times New Roman"/>
          <w:noProof/>
        </w:rPr>
      </w:pPr>
      <w:r w:rsidRPr="005D5F9B">
        <w:rPr>
          <w:i w:val="0"/>
          <w:noProof/>
        </w:rPr>
        <w:t>BIBLIOGRAFÍA</w:t>
      </w:r>
    </w:p>
    <w:p w:rsidR="00546489" w:rsidRDefault="00165947" w:rsidP="00165947">
      <w:r>
        <w:fldChar w:fldCharType="end"/>
      </w:r>
    </w:p>
    <w:p w:rsidR="00546489" w:rsidRDefault="00546489" w:rsidP="00546489">
      <w:pPr>
        <w:jc w:val="right"/>
      </w:pPr>
    </w:p>
    <w:p w:rsidR="00546489" w:rsidRPr="005D5F9B" w:rsidRDefault="00546489" w:rsidP="005D5F9B">
      <w:pPr>
        <w:pStyle w:val="TDC1"/>
        <w:rPr>
          <w:i w:val="0"/>
          <w:noProof/>
        </w:rPr>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jc w:val="right"/>
      </w:pPr>
    </w:p>
    <w:p w:rsidR="00546489" w:rsidRDefault="00546489" w:rsidP="00546489">
      <w:pPr>
        <w:tabs>
          <w:tab w:val="right" w:leader="dot" w:pos="6804"/>
        </w:tabs>
        <w:spacing w:line="480" w:lineRule="auto"/>
        <w:jc w:val="both"/>
        <w:rPr>
          <w:rFonts w:ascii="Arial" w:hAnsi="Arial" w:cs="Arial"/>
        </w:rPr>
      </w:pPr>
    </w:p>
    <w:p w:rsidR="00546489" w:rsidRDefault="00546489" w:rsidP="00546489">
      <w:pPr>
        <w:tabs>
          <w:tab w:val="right" w:leader="dot" w:pos="6804"/>
        </w:tabs>
        <w:spacing w:line="480" w:lineRule="auto"/>
        <w:jc w:val="both"/>
        <w:rPr>
          <w:rFonts w:ascii="Arial" w:hAnsi="Arial" w:cs="Arial"/>
        </w:rPr>
      </w:pPr>
    </w:p>
    <w:p w:rsidR="00673ADA" w:rsidRDefault="00673ADA" w:rsidP="00546489">
      <w:pPr>
        <w:tabs>
          <w:tab w:val="right" w:leader="dot" w:pos="6804"/>
        </w:tabs>
        <w:spacing w:line="480" w:lineRule="auto"/>
        <w:jc w:val="both"/>
        <w:rPr>
          <w:rFonts w:ascii="Arial" w:hAnsi="Arial" w:cs="Arial"/>
        </w:rPr>
      </w:pPr>
    </w:p>
    <w:p w:rsidR="00673ADA" w:rsidRDefault="00673ADA" w:rsidP="00546489">
      <w:pPr>
        <w:tabs>
          <w:tab w:val="right" w:leader="dot" w:pos="6804"/>
        </w:tabs>
        <w:spacing w:line="480" w:lineRule="auto"/>
        <w:jc w:val="both"/>
        <w:rPr>
          <w:rFonts w:ascii="Arial" w:hAnsi="Arial" w:cs="Arial"/>
        </w:rPr>
      </w:pPr>
    </w:p>
    <w:p w:rsidR="00673ADA" w:rsidRDefault="00673ADA" w:rsidP="005D5F9B">
      <w:pPr>
        <w:pStyle w:val="TDC1"/>
        <w:rPr>
          <w:rFonts w:ascii="Arial" w:hAnsi="Arial" w:cs="Arial"/>
        </w:rPr>
      </w:pPr>
    </w:p>
    <w:p w:rsidR="005D5F9B" w:rsidRDefault="005D5F9B" w:rsidP="005D5F9B"/>
    <w:p w:rsidR="005D5F9B" w:rsidRDefault="005D5F9B" w:rsidP="005D5F9B"/>
    <w:p w:rsidR="005D5F9B" w:rsidRPr="005D5F9B" w:rsidRDefault="005D5F9B" w:rsidP="005D5F9B"/>
    <w:p w:rsidR="00673ADA" w:rsidRDefault="00673ADA" w:rsidP="00546489">
      <w:pPr>
        <w:tabs>
          <w:tab w:val="right" w:leader="dot" w:pos="6804"/>
        </w:tabs>
        <w:spacing w:line="480" w:lineRule="auto"/>
        <w:jc w:val="both"/>
        <w:rPr>
          <w:rFonts w:ascii="Arial" w:hAnsi="Arial" w:cs="Arial"/>
        </w:rPr>
      </w:pPr>
    </w:p>
    <w:p w:rsidR="00546489" w:rsidRPr="00CA7B0C" w:rsidRDefault="006A1EAF" w:rsidP="006A1EAF">
      <w:pPr>
        <w:pStyle w:val="Ttulo1"/>
        <w:jc w:val="center"/>
        <w:rPr>
          <w:rFonts w:ascii="Arial" w:hAnsi="Arial" w:cs="Arial"/>
          <w:sz w:val="32"/>
          <w:szCs w:val="32"/>
        </w:rPr>
      </w:pPr>
      <w:bookmarkStart w:id="140" w:name="_Toc183697471"/>
      <w:bookmarkStart w:id="141" w:name="_Toc183698801"/>
      <w:bookmarkStart w:id="142" w:name="_Toc183699142"/>
      <w:bookmarkStart w:id="143" w:name="_Toc183699354"/>
      <w:bookmarkStart w:id="144" w:name="_Toc183699525"/>
      <w:bookmarkStart w:id="145" w:name="_Toc183699824"/>
      <w:bookmarkStart w:id="146" w:name="_Toc183700097"/>
      <w:bookmarkStart w:id="147" w:name="_Toc183700314"/>
      <w:bookmarkStart w:id="148" w:name="_Toc183700606"/>
      <w:bookmarkStart w:id="149" w:name="_Toc183700857"/>
      <w:r w:rsidRPr="00CA7B0C">
        <w:rPr>
          <w:rFonts w:ascii="Arial" w:hAnsi="Arial" w:cs="Arial"/>
          <w:sz w:val="32"/>
          <w:szCs w:val="32"/>
        </w:rPr>
        <w:lastRenderedPageBreak/>
        <w:t>SIMBOLOGÍA</w:t>
      </w:r>
      <w:bookmarkEnd w:id="140"/>
      <w:bookmarkEnd w:id="141"/>
      <w:bookmarkEnd w:id="142"/>
      <w:bookmarkEnd w:id="143"/>
      <w:bookmarkEnd w:id="144"/>
      <w:bookmarkEnd w:id="145"/>
      <w:bookmarkEnd w:id="146"/>
      <w:bookmarkEnd w:id="147"/>
      <w:bookmarkEnd w:id="148"/>
      <w:bookmarkEnd w:id="149"/>
    </w:p>
    <w:p w:rsidR="00546489" w:rsidRPr="00CA7B0C" w:rsidRDefault="00546489" w:rsidP="00546489">
      <w:pPr>
        <w:tabs>
          <w:tab w:val="decimal" w:pos="720"/>
          <w:tab w:val="decimal" w:pos="1080"/>
          <w:tab w:val="right" w:leader="dot" w:pos="2835"/>
          <w:tab w:val="right" w:leader="dot" w:pos="5103"/>
          <w:tab w:val="right" w:leader="dot" w:pos="6804"/>
        </w:tabs>
        <w:spacing w:line="480" w:lineRule="auto"/>
        <w:ind w:left="360"/>
        <w:jc w:val="center"/>
        <w:outlineLvl w:val="0"/>
        <w:rPr>
          <w:rFonts w:ascii="Arial" w:hAnsi="Arial" w:cs="Arial"/>
          <w:b/>
          <w:caps/>
          <w:sz w:val="32"/>
          <w:szCs w:val="32"/>
        </w:rPr>
      </w:pPr>
    </w:p>
    <w:p w:rsidR="00546489" w:rsidRPr="001002ED" w:rsidRDefault="00546489" w:rsidP="00546489">
      <w:pPr>
        <w:tabs>
          <w:tab w:val="left" w:pos="600"/>
        </w:tabs>
        <w:spacing w:line="480" w:lineRule="auto"/>
        <w:rPr>
          <w:rFonts w:ascii="Arial" w:hAnsi="Arial" w:cs="Arial"/>
        </w:rPr>
      </w:pPr>
      <w:r w:rsidRPr="001002ED">
        <w:rPr>
          <w:rFonts w:ascii="Arial" w:hAnsi="Arial" w:cs="Arial"/>
        </w:rPr>
        <w:t>CI</w:t>
      </w:r>
      <w:r w:rsidRPr="001002ED">
        <w:rPr>
          <w:rFonts w:ascii="Arial" w:hAnsi="Arial" w:cs="Arial"/>
        </w:rPr>
        <w:tab/>
      </w:r>
      <w:r w:rsidRPr="001002ED">
        <w:rPr>
          <w:rFonts w:ascii="Arial" w:hAnsi="Arial" w:cs="Arial"/>
        </w:rPr>
        <w:tab/>
      </w:r>
      <w:r w:rsidRPr="001002ED">
        <w:rPr>
          <w:rFonts w:ascii="Arial" w:hAnsi="Arial" w:cs="Arial"/>
        </w:rPr>
        <w:tab/>
      </w:r>
      <w:r w:rsidRPr="001002ED">
        <w:rPr>
          <w:rFonts w:ascii="Arial" w:hAnsi="Arial" w:cs="Arial"/>
        </w:rPr>
        <w:tab/>
      </w:r>
      <w:r w:rsidRPr="001002ED">
        <w:rPr>
          <w:rFonts w:ascii="Arial" w:hAnsi="Arial" w:cs="Arial"/>
        </w:rPr>
        <w:tab/>
        <w:t>Control Interno</w:t>
      </w:r>
      <w:r w:rsidRPr="001002ED">
        <w:rPr>
          <w:rFonts w:ascii="Arial" w:hAnsi="Arial" w:cs="Arial"/>
        </w:rPr>
        <w:tab/>
      </w:r>
      <w:r w:rsidRPr="001002ED">
        <w:rPr>
          <w:rFonts w:ascii="Arial" w:hAnsi="Arial" w:cs="Arial"/>
        </w:rPr>
        <w:tab/>
      </w:r>
      <w:r w:rsidRPr="001002ED">
        <w:rPr>
          <w:rFonts w:ascii="Arial" w:hAnsi="Arial" w:cs="Arial"/>
        </w:rPr>
        <w:tab/>
      </w:r>
      <w:r w:rsidRPr="001002ED">
        <w:rPr>
          <w:rFonts w:ascii="Arial" w:hAnsi="Arial" w:cs="Arial"/>
        </w:rPr>
        <w:tab/>
      </w:r>
      <w:r w:rsidRPr="001002ED">
        <w:rPr>
          <w:rFonts w:ascii="Arial" w:hAnsi="Arial" w:cs="Arial"/>
        </w:rPr>
        <w:tab/>
      </w:r>
    </w:p>
    <w:p w:rsidR="00546489" w:rsidRPr="0044707A" w:rsidRDefault="00546489" w:rsidP="00546489">
      <w:pPr>
        <w:tabs>
          <w:tab w:val="left" w:pos="600"/>
        </w:tabs>
        <w:spacing w:line="480" w:lineRule="auto"/>
        <w:rPr>
          <w:rFonts w:ascii="Arial" w:hAnsi="Arial" w:cs="Arial"/>
          <w:lang w:val="en-US"/>
        </w:rPr>
      </w:pPr>
      <w:r w:rsidRPr="0044707A">
        <w:rPr>
          <w:rFonts w:ascii="Arial" w:hAnsi="Arial" w:cs="Arial"/>
          <w:lang w:val="en-US"/>
        </w:rPr>
        <w:t>COSO</w:t>
      </w:r>
      <w:r w:rsidRPr="0044707A">
        <w:rPr>
          <w:rFonts w:ascii="Arial" w:hAnsi="Arial" w:cs="Arial"/>
          <w:lang w:val="en-US"/>
        </w:rPr>
        <w:tab/>
      </w:r>
      <w:r w:rsidRPr="0044707A">
        <w:rPr>
          <w:rFonts w:ascii="Arial" w:hAnsi="Arial" w:cs="Arial"/>
          <w:lang w:val="en-US"/>
        </w:rPr>
        <w:tab/>
      </w:r>
      <w:r w:rsidRPr="0044707A">
        <w:rPr>
          <w:rFonts w:ascii="Arial" w:hAnsi="Arial" w:cs="Arial"/>
          <w:lang w:val="en-US"/>
        </w:rPr>
        <w:tab/>
      </w:r>
      <w:r w:rsidRPr="0044707A">
        <w:rPr>
          <w:rFonts w:ascii="Arial" w:hAnsi="Arial" w:cs="Arial"/>
          <w:lang w:val="en-US"/>
        </w:rPr>
        <w:tab/>
        <w:t>Committee of Sponsoring Organizations</w:t>
      </w:r>
    </w:p>
    <w:p w:rsidR="00546489" w:rsidRPr="001002ED" w:rsidRDefault="00546489" w:rsidP="00546489">
      <w:pPr>
        <w:tabs>
          <w:tab w:val="left" w:pos="600"/>
        </w:tabs>
        <w:spacing w:line="480" w:lineRule="auto"/>
        <w:rPr>
          <w:rFonts w:ascii="Arial" w:hAnsi="Arial" w:cs="Arial"/>
          <w:lang w:val="en-US"/>
        </w:rPr>
      </w:pPr>
      <w:r w:rsidRPr="001002ED">
        <w:rPr>
          <w:rFonts w:ascii="Arial" w:hAnsi="Arial" w:cs="Arial"/>
          <w:i/>
          <w:lang w:val="en-US"/>
        </w:rPr>
        <w:t>r</w:t>
      </w:r>
      <w:r w:rsidRPr="001002ED">
        <w:rPr>
          <w:rFonts w:ascii="Arial" w:hAnsi="Arial" w:cs="Arial"/>
          <w:i/>
          <w:lang w:val="en-US"/>
        </w:rPr>
        <w:tab/>
      </w:r>
      <w:r w:rsidRPr="001002ED">
        <w:rPr>
          <w:rFonts w:ascii="Arial" w:hAnsi="Arial" w:cs="Arial"/>
          <w:i/>
          <w:lang w:val="en-US"/>
        </w:rPr>
        <w:tab/>
      </w:r>
      <w:r w:rsidRPr="001002ED">
        <w:rPr>
          <w:rFonts w:ascii="Arial" w:hAnsi="Arial" w:cs="Arial"/>
          <w:i/>
          <w:lang w:val="en-US"/>
        </w:rPr>
        <w:tab/>
      </w:r>
      <w:r w:rsidRPr="001002ED">
        <w:rPr>
          <w:rFonts w:ascii="Arial" w:hAnsi="Arial" w:cs="Arial"/>
          <w:i/>
          <w:lang w:val="en-US"/>
        </w:rPr>
        <w:tab/>
      </w:r>
      <w:r w:rsidRPr="001002ED">
        <w:rPr>
          <w:rFonts w:ascii="Arial" w:hAnsi="Arial" w:cs="Arial"/>
          <w:i/>
          <w:lang w:val="en-US"/>
        </w:rPr>
        <w:tab/>
      </w:r>
      <w:r w:rsidRPr="001002ED">
        <w:rPr>
          <w:rFonts w:ascii="Arial" w:hAnsi="Arial" w:cs="Arial"/>
          <w:lang w:val="en-US"/>
        </w:rPr>
        <w:t>Coeficiente de correlación</w:t>
      </w:r>
    </w:p>
    <w:p w:rsidR="00546489" w:rsidRDefault="00546489" w:rsidP="00546489">
      <w:pPr>
        <w:tabs>
          <w:tab w:val="left" w:pos="600"/>
        </w:tabs>
        <w:spacing w:line="480" w:lineRule="auto"/>
        <w:rPr>
          <w:rFonts w:ascii="Arial" w:hAnsi="Arial" w:cs="Arial"/>
        </w:rPr>
      </w:pPr>
      <w:r>
        <w:rPr>
          <w:rFonts w:ascii="Arial" w:hAnsi="Arial" w:cs="Arial"/>
        </w:rPr>
        <w:t>E/C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Estado de Cuenta</w:t>
      </w:r>
    </w:p>
    <w:p w:rsidR="00546489" w:rsidRPr="003656A7" w:rsidRDefault="00546489" w:rsidP="00546489">
      <w:pPr>
        <w:tabs>
          <w:tab w:val="left" w:pos="600"/>
        </w:tabs>
        <w:spacing w:line="480" w:lineRule="auto"/>
        <w:rPr>
          <w:rFonts w:ascii="Arial" w:hAnsi="Arial" w:cs="Arial"/>
        </w:rPr>
      </w:pPr>
      <w:r w:rsidRPr="003656A7">
        <w:rPr>
          <w:rFonts w:ascii="Arial" w:hAnsi="Arial" w:cs="Arial"/>
        </w:rPr>
        <w:t>EF´s</w:t>
      </w:r>
      <w:r w:rsidRPr="003656A7">
        <w:rPr>
          <w:rFonts w:ascii="Arial" w:hAnsi="Arial" w:cs="Arial"/>
        </w:rPr>
        <w:tab/>
      </w:r>
      <w:r w:rsidRPr="003656A7">
        <w:rPr>
          <w:rFonts w:ascii="Arial" w:hAnsi="Arial" w:cs="Arial"/>
        </w:rPr>
        <w:tab/>
      </w:r>
      <w:r w:rsidRPr="003656A7">
        <w:rPr>
          <w:rFonts w:ascii="Arial" w:hAnsi="Arial" w:cs="Arial"/>
        </w:rPr>
        <w:tab/>
      </w:r>
      <w:r w:rsidRPr="003656A7">
        <w:rPr>
          <w:rFonts w:ascii="Arial" w:hAnsi="Arial" w:cs="Arial"/>
        </w:rPr>
        <w:tab/>
      </w:r>
      <w:r w:rsidRPr="003656A7">
        <w:rPr>
          <w:rFonts w:ascii="Arial" w:hAnsi="Arial" w:cs="Arial"/>
        </w:rPr>
        <w:tab/>
        <w:t>Estados financieros</w:t>
      </w:r>
    </w:p>
    <w:p w:rsidR="00546489" w:rsidRPr="003656A7" w:rsidRDefault="00546489" w:rsidP="00546489">
      <w:pPr>
        <w:tabs>
          <w:tab w:val="left" w:pos="600"/>
        </w:tabs>
        <w:spacing w:line="480" w:lineRule="auto"/>
        <w:rPr>
          <w:rFonts w:ascii="Arial" w:hAnsi="Arial" w:cs="Arial"/>
        </w:rPr>
      </w:pPr>
      <w:r>
        <w:rPr>
          <w:rFonts w:ascii="Arial" w:hAnsi="Arial" w:cs="Arial"/>
        </w:rPr>
        <w:t>N/D</w:t>
      </w:r>
      <w:r w:rsidRPr="003656A7">
        <w:rPr>
          <w:rFonts w:ascii="Arial" w:hAnsi="Arial" w:cs="Arial"/>
        </w:rPr>
        <w:tab/>
      </w:r>
      <w:r w:rsidRPr="003656A7">
        <w:rPr>
          <w:rFonts w:ascii="Arial" w:hAnsi="Arial" w:cs="Arial"/>
        </w:rPr>
        <w:tab/>
      </w:r>
      <w:r w:rsidRPr="003656A7">
        <w:rPr>
          <w:rFonts w:ascii="Arial" w:hAnsi="Arial" w:cs="Arial"/>
        </w:rPr>
        <w:tab/>
      </w:r>
      <w:r w:rsidRPr="003656A7">
        <w:rPr>
          <w:rFonts w:ascii="Arial" w:hAnsi="Arial" w:cs="Arial"/>
        </w:rPr>
        <w:tab/>
      </w:r>
      <w:r w:rsidRPr="003656A7">
        <w:rPr>
          <w:rFonts w:ascii="Arial" w:hAnsi="Arial" w:cs="Arial"/>
        </w:rPr>
        <w:tab/>
      </w:r>
      <w:r>
        <w:rPr>
          <w:rFonts w:ascii="Arial" w:hAnsi="Arial" w:cs="Arial"/>
        </w:rPr>
        <w:t>Nota de Débito</w:t>
      </w:r>
    </w:p>
    <w:p w:rsidR="00546489" w:rsidRPr="003656A7" w:rsidRDefault="00546489" w:rsidP="00546489">
      <w:pPr>
        <w:tabs>
          <w:tab w:val="left" w:pos="600"/>
        </w:tabs>
        <w:spacing w:line="480" w:lineRule="auto"/>
        <w:rPr>
          <w:rFonts w:ascii="Arial" w:hAnsi="Arial" w:cs="Arial"/>
        </w:rPr>
      </w:pPr>
      <w:r>
        <w:rPr>
          <w:rFonts w:ascii="Arial" w:hAnsi="Arial" w:cs="Arial"/>
        </w:rPr>
        <w:t>N/C</w:t>
      </w:r>
      <w:r w:rsidRPr="003656A7">
        <w:rPr>
          <w:rFonts w:ascii="Arial" w:hAnsi="Arial" w:cs="Arial"/>
        </w:rPr>
        <w:tab/>
      </w:r>
      <w:r w:rsidRPr="003656A7">
        <w:rPr>
          <w:rFonts w:ascii="Arial" w:hAnsi="Arial" w:cs="Arial"/>
        </w:rPr>
        <w:tab/>
      </w:r>
      <w:r w:rsidRPr="003656A7">
        <w:rPr>
          <w:rFonts w:ascii="Arial" w:hAnsi="Arial" w:cs="Arial"/>
        </w:rPr>
        <w:tab/>
      </w:r>
      <w:r w:rsidRPr="003656A7">
        <w:rPr>
          <w:rFonts w:ascii="Arial" w:hAnsi="Arial" w:cs="Arial"/>
        </w:rPr>
        <w:tab/>
      </w:r>
      <w:r>
        <w:rPr>
          <w:rFonts w:ascii="Arial" w:hAnsi="Arial" w:cs="Arial"/>
        </w:rPr>
        <w:tab/>
        <w:t>Nota de Crédito</w:t>
      </w:r>
    </w:p>
    <w:p w:rsidR="00546489" w:rsidRPr="003656A7" w:rsidRDefault="00546489" w:rsidP="00546489">
      <w:pPr>
        <w:tabs>
          <w:tab w:val="left" w:pos="600"/>
        </w:tabs>
        <w:spacing w:line="480" w:lineRule="auto"/>
        <w:rPr>
          <w:rFonts w:ascii="Arial" w:hAnsi="Arial" w:cs="Arial"/>
        </w:rPr>
      </w:pPr>
      <w:r>
        <w:rPr>
          <w:rFonts w:ascii="Arial" w:hAnsi="Arial" w:cs="Arial"/>
        </w:rPr>
        <w:t>VS</w:t>
      </w:r>
      <w:r w:rsidRPr="003656A7">
        <w:rPr>
          <w:rFonts w:ascii="Arial" w:hAnsi="Arial" w:cs="Arial"/>
        </w:rPr>
        <w:tab/>
      </w:r>
      <w:r w:rsidRPr="003656A7">
        <w:rPr>
          <w:rFonts w:ascii="Arial" w:hAnsi="Arial" w:cs="Arial"/>
        </w:rPr>
        <w:tab/>
      </w:r>
      <w:r w:rsidRPr="003656A7">
        <w:rPr>
          <w:rFonts w:ascii="Arial" w:hAnsi="Arial" w:cs="Arial"/>
        </w:rPr>
        <w:tab/>
      </w:r>
      <w:r w:rsidRPr="003656A7">
        <w:rPr>
          <w:rFonts w:ascii="Arial" w:hAnsi="Arial" w:cs="Arial"/>
        </w:rPr>
        <w:tab/>
      </w:r>
      <w:r>
        <w:rPr>
          <w:rFonts w:ascii="Arial" w:hAnsi="Arial" w:cs="Arial"/>
        </w:rPr>
        <w:tab/>
        <w:t>Versus</w:t>
      </w:r>
    </w:p>
    <w:p w:rsidR="00546489" w:rsidRPr="003656A7" w:rsidRDefault="00546489" w:rsidP="00546489">
      <w:pPr>
        <w:tabs>
          <w:tab w:val="left" w:pos="600"/>
        </w:tabs>
        <w:spacing w:line="480" w:lineRule="auto"/>
        <w:rPr>
          <w:rFonts w:ascii="Arial" w:hAnsi="Arial" w:cs="Arial"/>
        </w:rPr>
      </w:pPr>
    </w:p>
    <w:p w:rsidR="00546489" w:rsidRDefault="00546489" w:rsidP="00546489">
      <w:pPr>
        <w:tabs>
          <w:tab w:val="right" w:leader="dot" w:pos="6804"/>
        </w:tabs>
        <w:spacing w:line="480" w:lineRule="auto"/>
        <w:jc w:val="both"/>
        <w:rPr>
          <w:rFonts w:ascii="Arial" w:hAnsi="Arial" w:cs="Arial"/>
        </w:rPr>
      </w:pPr>
    </w:p>
    <w:p w:rsidR="00546489" w:rsidRDefault="00546489" w:rsidP="00546489">
      <w:pPr>
        <w:tabs>
          <w:tab w:val="right" w:leader="dot" w:pos="6804"/>
        </w:tabs>
        <w:spacing w:line="480" w:lineRule="auto"/>
        <w:jc w:val="both"/>
        <w:rPr>
          <w:rFonts w:ascii="Arial" w:hAnsi="Arial" w:cs="Arial"/>
        </w:rPr>
      </w:pPr>
    </w:p>
    <w:p w:rsidR="00546489" w:rsidRDefault="00546489" w:rsidP="00546489">
      <w:pPr>
        <w:tabs>
          <w:tab w:val="right" w:leader="dot" w:pos="6804"/>
        </w:tabs>
        <w:spacing w:line="480" w:lineRule="auto"/>
        <w:jc w:val="both"/>
        <w:rPr>
          <w:rFonts w:ascii="Arial" w:hAnsi="Arial" w:cs="Arial"/>
        </w:rPr>
      </w:pPr>
    </w:p>
    <w:p w:rsidR="00546489" w:rsidRDefault="00546489" w:rsidP="00546489">
      <w:pPr>
        <w:tabs>
          <w:tab w:val="right" w:leader="dot" w:pos="6804"/>
        </w:tabs>
        <w:spacing w:line="480" w:lineRule="auto"/>
        <w:jc w:val="both"/>
        <w:rPr>
          <w:rFonts w:ascii="Arial" w:hAnsi="Arial" w:cs="Arial"/>
        </w:rPr>
      </w:pPr>
    </w:p>
    <w:p w:rsidR="00546489" w:rsidRDefault="00546489" w:rsidP="00546489">
      <w:pPr>
        <w:tabs>
          <w:tab w:val="right" w:leader="dot" w:pos="6804"/>
        </w:tabs>
        <w:spacing w:line="480" w:lineRule="auto"/>
        <w:jc w:val="both"/>
        <w:rPr>
          <w:rFonts w:ascii="Arial" w:hAnsi="Arial" w:cs="Arial"/>
        </w:rPr>
      </w:pPr>
    </w:p>
    <w:p w:rsidR="00546489" w:rsidRDefault="00546489" w:rsidP="00546489">
      <w:pPr>
        <w:tabs>
          <w:tab w:val="right" w:leader="dot" w:pos="6804"/>
        </w:tabs>
        <w:spacing w:line="480" w:lineRule="auto"/>
        <w:jc w:val="both"/>
        <w:rPr>
          <w:rFonts w:ascii="Arial" w:hAnsi="Arial" w:cs="Arial"/>
        </w:rPr>
      </w:pPr>
    </w:p>
    <w:p w:rsidR="00546489" w:rsidRDefault="00546489" w:rsidP="00546489">
      <w:pPr>
        <w:tabs>
          <w:tab w:val="right" w:leader="dot" w:pos="6804"/>
        </w:tabs>
        <w:spacing w:line="480" w:lineRule="auto"/>
        <w:jc w:val="both"/>
        <w:rPr>
          <w:rFonts w:ascii="Arial" w:hAnsi="Arial" w:cs="Arial"/>
        </w:rPr>
      </w:pPr>
    </w:p>
    <w:p w:rsidR="00863043" w:rsidRDefault="00863043" w:rsidP="00546489">
      <w:pPr>
        <w:tabs>
          <w:tab w:val="right" w:leader="dot" w:pos="6804"/>
        </w:tabs>
        <w:spacing w:line="480" w:lineRule="auto"/>
        <w:jc w:val="both"/>
        <w:rPr>
          <w:rFonts w:ascii="Arial" w:hAnsi="Arial" w:cs="Arial"/>
        </w:rPr>
      </w:pPr>
    </w:p>
    <w:p w:rsidR="00863043" w:rsidRDefault="00863043" w:rsidP="00546489">
      <w:pPr>
        <w:tabs>
          <w:tab w:val="right" w:leader="dot" w:pos="6804"/>
        </w:tabs>
        <w:spacing w:line="480" w:lineRule="auto"/>
        <w:jc w:val="both"/>
        <w:rPr>
          <w:rFonts w:ascii="Arial" w:hAnsi="Arial" w:cs="Arial"/>
        </w:rPr>
      </w:pPr>
    </w:p>
    <w:p w:rsidR="00863043" w:rsidRDefault="00863043" w:rsidP="00546489">
      <w:pPr>
        <w:tabs>
          <w:tab w:val="right" w:leader="dot" w:pos="6804"/>
        </w:tabs>
        <w:spacing w:line="480" w:lineRule="auto"/>
        <w:jc w:val="both"/>
        <w:rPr>
          <w:rFonts w:ascii="Arial" w:hAnsi="Arial" w:cs="Arial"/>
        </w:rPr>
      </w:pPr>
    </w:p>
    <w:p w:rsidR="00AE3B5B" w:rsidRDefault="00AE3B5B" w:rsidP="00546489">
      <w:pPr>
        <w:tabs>
          <w:tab w:val="right" w:leader="dot" w:pos="6804"/>
        </w:tabs>
        <w:spacing w:line="480" w:lineRule="auto"/>
        <w:jc w:val="both"/>
        <w:rPr>
          <w:rFonts w:ascii="Arial" w:hAnsi="Arial" w:cs="Arial"/>
        </w:rPr>
      </w:pPr>
    </w:p>
    <w:p w:rsidR="00546489" w:rsidRDefault="00546489" w:rsidP="00AE3B5B">
      <w:pPr>
        <w:tabs>
          <w:tab w:val="right" w:leader="dot" w:pos="6804"/>
        </w:tabs>
        <w:spacing w:line="480" w:lineRule="auto"/>
        <w:jc w:val="both"/>
        <w:rPr>
          <w:rFonts w:ascii="Arial" w:hAnsi="Arial" w:cs="Arial"/>
        </w:rPr>
      </w:pPr>
    </w:p>
    <w:p w:rsidR="00AE3B5B" w:rsidRDefault="00AE3B5B" w:rsidP="005D5F9B">
      <w:pPr>
        <w:tabs>
          <w:tab w:val="right" w:leader="dot" w:pos="6804"/>
        </w:tabs>
        <w:spacing w:line="480" w:lineRule="auto"/>
        <w:jc w:val="both"/>
        <w:rPr>
          <w:rFonts w:ascii="Arial" w:hAnsi="Arial" w:cs="Arial"/>
        </w:rPr>
      </w:pPr>
    </w:p>
    <w:p w:rsidR="00214AD5" w:rsidRPr="00214AD5" w:rsidRDefault="00546489" w:rsidP="00214AD5">
      <w:pPr>
        <w:tabs>
          <w:tab w:val="left" w:pos="1020"/>
          <w:tab w:val="right" w:leader="dot" w:pos="6804"/>
        </w:tabs>
        <w:spacing w:line="480" w:lineRule="auto"/>
        <w:jc w:val="center"/>
        <w:rPr>
          <w:rFonts w:ascii="Arial" w:hAnsi="Arial" w:cs="Arial"/>
          <w:b/>
          <w:sz w:val="32"/>
          <w:szCs w:val="32"/>
        </w:rPr>
      </w:pPr>
      <w:bookmarkStart w:id="150" w:name="_Toc183697472"/>
      <w:bookmarkStart w:id="151" w:name="_Toc183698802"/>
      <w:bookmarkStart w:id="152" w:name="_Toc183699143"/>
      <w:bookmarkStart w:id="153" w:name="_Toc183699355"/>
      <w:bookmarkStart w:id="154" w:name="_Toc183699526"/>
      <w:bookmarkStart w:id="155" w:name="_Toc183699825"/>
      <w:bookmarkStart w:id="156" w:name="_Toc183700098"/>
      <w:r w:rsidRPr="00214AD5">
        <w:rPr>
          <w:rFonts w:ascii="Arial" w:hAnsi="Arial" w:cs="Arial"/>
          <w:b/>
          <w:sz w:val="32"/>
          <w:szCs w:val="32"/>
        </w:rPr>
        <w:t>ÍNDICE DE TABLAS</w:t>
      </w:r>
      <w:bookmarkEnd w:id="150"/>
      <w:bookmarkEnd w:id="151"/>
      <w:bookmarkEnd w:id="152"/>
      <w:bookmarkEnd w:id="153"/>
      <w:bookmarkEnd w:id="154"/>
      <w:bookmarkEnd w:id="155"/>
      <w:bookmarkEnd w:id="156"/>
    </w:p>
    <w:p w:rsidR="0029289A" w:rsidRDefault="00214AD5">
      <w:pPr>
        <w:pStyle w:val="TDC2"/>
        <w:tabs>
          <w:tab w:val="right" w:leader="dot" w:pos="8267"/>
        </w:tabs>
        <w:rPr>
          <w:rFonts w:eastAsia="Times New Roman"/>
          <w:b w:val="0"/>
          <w:bCs w:val="0"/>
          <w:noProof/>
          <w:sz w:val="24"/>
          <w:szCs w:val="24"/>
        </w:rPr>
      </w:pPr>
      <w:r>
        <w:rPr>
          <w:rFonts w:ascii="Arial" w:hAnsi="Arial" w:cs="Arial"/>
          <w:sz w:val="32"/>
          <w:szCs w:val="32"/>
        </w:rPr>
        <w:fldChar w:fldCharType="begin"/>
      </w:r>
      <w:r>
        <w:rPr>
          <w:rFonts w:ascii="Arial" w:hAnsi="Arial" w:cs="Arial"/>
          <w:sz w:val="32"/>
          <w:szCs w:val="32"/>
        </w:rPr>
        <w:instrText xml:space="preserve"> TOC \o "1-5" \u </w:instrText>
      </w:r>
      <w:r>
        <w:rPr>
          <w:rFonts w:ascii="Arial" w:hAnsi="Arial" w:cs="Arial"/>
          <w:sz w:val="32"/>
          <w:szCs w:val="32"/>
        </w:rPr>
        <w:fldChar w:fldCharType="separate"/>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I. </w:t>
      </w:r>
      <w:r w:rsidRPr="00BF646E">
        <w:rPr>
          <w:rFonts w:ascii="Arial" w:hAnsi="Arial" w:cs="Arial"/>
          <w:b w:val="0"/>
          <w:noProof/>
        </w:rPr>
        <w:t>Compañías y bancos seleccionados.</w:t>
      </w:r>
      <w:r>
        <w:rPr>
          <w:noProof/>
        </w:rPr>
        <w:tab/>
      </w:r>
      <w:r>
        <w:rPr>
          <w:noProof/>
        </w:rPr>
        <w:fldChar w:fldCharType="begin"/>
      </w:r>
      <w:r>
        <w:rPr>
          <w:noProof/>
        </w:rPr>
        <w:instrText xml:space="preserve"> PAGEREF _Toc183700626 \h </w:instrText>
      </w:r>
      <w:r w:rsidR="00EB6F73">
        <w:rPr>
          <w:noProof/>
        </w:rPr>
      </w:r>
      <w:r>
        <w:rPr>
          <w:noProof/>
        </w:rPr>
        <w:fldChar w:fldCharType="separate"/>
      </w:r>
      <w:r w:rsidR="005C1EEF">
        <w:rPr>
          <w:noProof/>
        </w:rPr>
        <w:t>28</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II. </w:t>
      </w:r>
      <w:r w:rsidRPr="00BF646E">
        <w:rPr>
          <w:rFonts w:ascii="Arial" w:hAnsi="Arial" w:cs="Arial"/>
          <w:b w:val="0"/>
          <w:noProof/>
        </w:rPr>
        <w:t>Valores de los cuartiles de las compañías seleccionadas</w:t>
      </w:r>
      <w:r>
        <w:rPr>
          <w:noProof/>
        </w:rPr>
        <w:tab/>
      </w:r>
      <w:r>
        <w:rPr>
          <w:noProof/>
        </w:rPr>
        <w:fldChar w:fldCharType="begin"/>
      </w:r>
      <w:r>
        <w:rPr>
          <w:noProof/>
        </w:rPr>
        <w:instrText xml:space="preserve"> PAGEREF _Toc183700634 \h </w:instrText>
      </w:r>
      <w:r w:rsidR="00EB6F73">
        <w:rPr>
          <w:noProof/>
        </w:rPr>
      </w:r>
      <w:r>
        <w:rPr>
          <w:noProof/>
        </w:rPr>
        <w:fldChar w:fldCharType="separate"/>
      </w:r>
      <w:r w:rsidR="005C1EEF">
        <w:rPr>
          <w:noProof/>
        </w:rPr>
        <w:t>33</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III. </w:t>
      </w:r>
      <w:r w:rsidRPr="00BF646E">
        <w:rPr>
          <w:rFonts w:ascii="Arial" w:hAnsi="Arial" w:cs="Arial"/>
          <w:b w:val="0"/>
          <w:noProof/>
        </w:rPr>
        <w:t>Valores de los cuartiles de M.O. Banco Produbanco.</w:t>
      </w:r>
      <w:r>
        <w:rPr>
          <w:noProof/>
        </w:rPr>
        <w:tab/>
      </w:r>
      <w:r>
        <w:rPr>
          <w:noProof/>
        </w:rPr>
        <w:fldChar w:fldCharType="begin"/>
      </w:r>
      <w:r>
        <w:rPr>
          <w:noProof/>
        </w:rPr>
        <w:instrText xml:space="preserve"> PAGEREF _Toc183700640 \h </w:instrText>
      </w:r>
      <w:r w:rsidR="00EB6F73">
        <w:rPr>
          <w:noProof/>
        </w:rPr>
      </w:r>
      <w:r>
        <w:rPr>
          <w:noProof/>
        </w:rPr>
        <w:fldChar w:fldCharType="separate"/>
      </w:r>
      <w:r w:rsidR="005C1EEF">
        <w:rPr>
          <w:noProof/>
        </w:rPr>
        <w:t>36</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IV. </w:t>
      </w:r>
      <w:r w:rsidRPr="00BF646E">
        <w:rPr>
          <w:rFonts w:ascii="Arial" w:hAnsi="Arial" w:cs="Arial"/>
          <w:b w:val="0"/>
          <w:noProof/>
        </w:rPr>
        <w:t>Diferencias de la compañía M.O.</w:t>
      </w:r>
      <w:r>
        <w:rPr>
          <w:noProof/>
        </w:rPr>
        <w:tab/>
      </w:r>
      <w:r>
        <w:rPr>
          <w:noProof/>
        </w:rPr>
        <w:fldChar w:fldCharType="begin"/>
      </w:r>
      <w:r>
        <w:rPr>
          <w:noProof/>
        </w:rPr>
        <w:instrText xml:space="preserve"> PAGEREF _Toc183700642 \h </w:instrText>
      </w:r>
      <w:r w:rsidR="00EB6F73">
        <w:rPr>
          <w:noProof/>
        </w:rPr>
      </w:r>
      <w:r>
        <w:rPr>
          <w:noProof/>
        </w:rPr>
        <w:fldChar w:fldCharType="separate"/>
      </w:r>
      <w:r w:rsidR="005C1EEF">
        <w:rPr>
          <w:noProof/>
        </w:rPr>
        <w:t>37</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V. </w:t>
      </w:r>
      <w:r w:rsidRPr="00BF646E">
        <w:rPr>
          <w:rFonts w:ascii="Arial" w:hAnsi="Arial" w:cs="Arial"/>
          <w:b w:val="0"/>
          <w:noProof/>
        </w:rPr>
        <w:t>Valores de los cuartiles de M.O. Banco Pichincha</w:t>
      </w:r>
      <w:r>
        <w:rPr>
          <w:noProof/>
        </w:rPr>
        <w:tab/>
      </w:r>
      <w:r>
        <w:rPr>
          <w:noProof/>
        </w:rPr>
        <w:fldChar w:fldCharType="begin"/>
      </w:r>
      <w:r>
        <w:rPr>
          <w:noProof/>
        </w:rPr>
        <w:instrText xml:space="preserve"> PAGEREF _Toc183700649 \h </w:instrText>
      </w:r>
      <w:r w:rsidR="00EB6F73">
        <w:rPr>
          <w:noProof/>
        </w:rPr>
      </w:r>
      <w:r>
        <w:rPr>
          <w:noProof/>
        </w:rPr>
        <w:fldChar w:fldCharType="separate"/>
      </w:r>
      <w:r w:rsidR="005C1EEF">
        <w:rPr>
          <w:noProof/>
        </w:rPr>
        <w:t>41</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VI. </w:t>
      </w:r>
      <w:r w:rsidRPr="00BF646E">
        <w:rPr>
          <w:rFonts w:ascii="Arial" w:hAnsi="Arial" w:cs="Arial"/>
          <w:b w:val="0"/>
          <w:noProof/>
        </w:rPr>
        <w:t>Valores de los cuartiles de SER Banco Produbanco</w:t>
      </w:r>
      <w:r>
        <w:rPr>
          <w:noProof/>
        </w:rPr>
        <w:tab/>
      </w:r>
      <w:r>
        <w:rPr>
          <w:noProof/>
        </w:rPr>
        <w:fldChar w:fldCharType="begin"/>
      </w:r>
      <w:r>
        <w:rPr>
          <w:noProof/>
        </w:rPr>
        <w:instrText xml:space="preserve"> PAGEREF _Toc183700655 \h </w:instrText>
      </w:r>
      <w:r w:rsidR="00EB6F73">
        <w:rPr>
          <w:noProof/>
        </w:rPr>
      </w:r>
      <w:r>
        <w:rPr>
          <w:noProof/>
        </w:rPr>
        <w:fldChar w:fldCharType="separate"/>
      </w:r>
      <w:r w:rsidR="005C1EEF">
        <w:rPr>
          <w:noProof/>
        </w:rPr>
        <w:t>44</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VII. </w:t>
      </w:r>
      <w:r w:rsidRPr="00BF646E">
        <w:rPr>
          <w:rFonts w:ascii="Arial" w:hAnsi="Arial" w:cs="Arial"/>
          <w:b w:val="0"/>
          <w:noProof/>
        </w:rPr>
        <w:t>Diferencias de la compañía SER.</w:t>
      </w:r>
      <w:r>
        <w:rPr>
          <w:noProof/>
        </w:rPr>
        <w:tab/>
      </w:r>
      <w:r>
        <w:rPr>
          <w:noProof/>
        </w:rPr>
        <w:fldChar w:fldCharType="begin"/>
      </w:r>
      <w:r>
        <w:rPr>
          <w:noProof/>
        </w:rPr>
        <w:instrText xml:space="preserve"> PAGEREF _Toc183700657 \h </w:instrText>
      </w:r>
      <w:r w:rsidR="00EB6F73">
        <w:rPr>
          <w:noProof/>
        </w:rPr>
      </w:r>
      <w:r>
        <w:rPr>
          <w:noProof/>
        </w:rPr>
        <w:fldChar w:fldCharType="separate"/>
      </w:r>
      <w:r w:rsidR="005C1EEF">
        <w:rPr>
          <w:noProof/>
        </w:rPr>
        <w:t>45</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Tabla VIII.</w:t>
      </w:r>
      <w:r w:rsidRPr="00BF646E">
        <w:rPr>
          <w:rFonts w:ascii="Arial" w:hAnsi="Arial" w:cs="Arial"/>
          <w:b w:val="0"/>
          <w:noProof/>
        </w:rPr>
        <w:t xml:space="preserve"> Valores de los cuartiles de D.U. Banco Produfondos.</w:t>
      </w:r>
      <w:r>
        <w:rPr>
          <w:noProof/>
        </w:rPr>
        <w:tab/>
      </w:r>
      <w:r>
        <w:rPr>
          <w:noProof/>
        </w:rPr>
        <w:fldChar w:fldCharType="begin"/>
      </w:r>
      <w:r>
        <w:rPr>
          <w:noProof/>
        </w:rPr>
        <w:instrText xml:space="preserve"> PAGEREF _Toc183700664 \h </w:instrText>
      </w:r>
      <w:r w:rsidR="00EB6F73">
        <w:rPr>
          <w:noProof/>
        </w:rPr>
      </w:r>
      <w:r>
        <w:rPr>
          <w:noProof/>
        </w:rPr>
        <w:fldChar w:fldCharType="separate"/>
      </w:r>
      <w:r w:rsidR="005C1EEF">
        <w:rPr>
          <w:noProof/>
        </w:rPr>
        <w:t>49</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IX. </w:t>
      </w:r>
      <w:r w:rsidRPr="00BF646E">
        <w:rPr>
          <w:rFonts w:ascii="Arial" w:hAnsi="Arial" w:cs="Arial"/>
          <w:b w:val="0"/>
          <w:noProof/>
        </w:rPr>
        <w:t>Diferencias de la compañía D.U.</w:t>
      </w:r>
      <w:r>
        <w:rPr>
          <w:noProof/>
        </w:rPr>
        <w:tab/>
      </w:r>
      <w:r>
        <w:rPr>
          <w:noProof/>
        </w:rPr>
        <w:fldChar w:fldCharType="begin"/>
      </w:r>
      <w:r>
        <w:rPr>
          <w:noProof/>
        </w:rPr>
        <w:instrText xml:space="preserve"> PAGEREF _Toc183700666 \h </w:instrText>
      </w:r>
      <w:r w:rsidR="00EB6F73">
        <w:rPr>
          <w:noProof/>
        </w:rPr>
      </w:r>
      <w:r>
        <w:rPr>
          <w:noProof/>
        </w:rPr>
        <w:fldChar w:fldCharType="separate"/>
      </w:r>
      <w:r w:rsidR="005C1EEF">
        <w:rPr>
          <w:noProof/>
        </w:rPr>
        <w:t>50</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X. </w:t>
      </w:r>
      <w:r w:rsidRPr="00BF646E">
        <w:rPr>
          <w:rFonts w:ascii="Arial" w:hAnsi="Arial" w:cs="Arial"/>
          <w:b w:val="0"/>
          <w:noProof/>
        </w:rPr>
        <w:t>Valores de los cuartiles de M.I. Banco Produbanco.</w:t>
      </w:r>
      <w:r>
        <w:rPr>
          <w:noProof/>
        </w:rPr>
        <w:tab/>
      </w:r>
      <w:r>
        <w:rPr>
          <w:noProof/>
        </w:rPr>
        <w:fldChar w:fldCharType="begin"/>
      </w:r>
      <w:r>
        <w:rPr>
          <w:noProof/>
        </w:rPr>
        <w:instrText xml:space="preserve"> PAGEREF _Toc183700673 \h </w:instrText>
      </w:r>
      <w:r w:rsidR="00EB6F73">
        <w:rPr>
          <w:noProof/>
        </w:rPr>
      </w:r>
      <w:r>
        <w:rPr>
          <w:noProof/>
        </w:rPr>
        <w:fldChar w:fldCharType="separate"/>
      </w:r>
      <w:r w:rsidR="005C1EEF">
        <w:rPr>
          <w:noProof/>
        </w:rPr>
        <w:t>53</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XI. </w:t>
      </w:r>
      <w:r w:rsidRPr="00BF646E">
        <w:rPr>
          <w:rFonts w:ascii="Arial" w:hAnsi="Arial" w:cs="Arial"/>
          <w:b w:val="0"/>
          <w:noProof/>
        </w:rPr>
        <w:t>Valores de los cuartiles de M.I. Banco Produfondos.</w:t>
      </w:r>
      <w:r>
        <w:rPr>
          <w:noProof/>
        </w:rPr>
        <w:tab/>
      </w:r>
      <w:r>
        <w:rPr>
          <w:noProof/>
        </w:rPr>
        <w:fldChar w:fldCharType="begin"/>
      </w:r>
      <w:r>
        <w:rPr>
          <w:noProof/>
        </w:rPr>
        <w:instrText xml:space="preserve"> PAGEREF _Toc183700679 \h </w:instrText>
      </w:r>
      <w:r w:rsidR="00EB6F73">
        <w:rPr>
          <w:noProof/>
        </w:rPr>
      </w:r>
      <w:r>
        <w:rPr>
          <w:noProof/>
        </w:rPr>
        <w:fldChar w:fldCharType="separate"/>
      </w:r>
      <w:r w:rsidR="005C1EEF">
        <w:rPr>
          <w:noProof/>
        </w:rPr>
        <w:t>57</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XII. </w:t>
      </w:r>
      <w:r w:rsidRPr="00BF646E">
        <w:rPr>
          <w:rFonts w:ascii="Arial" w:hAnsi="Arial" w:cs="Arial"/>
          <w:b w:val="0"/>
          <w:noProof/>
        </w:rPr>
        <w:t>Diferencias de la compañía M.I.</w:t>
      </w:r>
      <w:r>
        <w:rPr>
          <w:noProof/>
        </w:rPr>
        <w:tab/>
      </w:r>
      <w:r>
        <w:rPr>
          <w:noProof/>
        </w:rPr>
        <w:fldChar w:fldCharType="begin"/>
      </w:r>
      <w:r>
        <w:rPr>
          <w:noProof/>
        </w:rPr>
        <w:instrText xml:space="preserve"> PAGEREF _Toc183700681 \h </w:instrText>
      </w:r>
      <w:r w:rsidR="00EB6F73">
        <w:rPr>
          <w:noProof/>
        </w:rPr>
      </w:r>
      <w:r>
        <w:rPr>
          <w:noProof/>
        </w:rPr>
        <w:fldChar w:fldCharType="separate"/>
      </w:r>
      <w:r w:rsidR="005C1EEF">
        <w:rPr>
          <w:noProof/>
        </w:rPr>
        <w:t>58</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XIII. </w:t>
      </w:r>
      <w:r w:rsidRPr="00BF646E">
        <w:rPr>
          <w:rFonts w:ascii="Arial" w:hAnsi="Arial" w:cs="Arial"/>
          <w:b w:val="0"/>
          <w:noProof/>
        </w:rPr>
        <w:t>Valores de los cuartiles de F.A. Banco Produbanco.</w:t>
      </w:r>
      <w:r>
        <w:rPr>
          <w:noProof/>
        </w:rPr>
        <w:tab/>
      </w:r>
      <w:r>
        <w:rPr>
          <w:noProof/>
        </w:rPr>
        <w:fldChar w:fldCharType="begin"/>
      </w:r>
      <w:r>
        <w:rPr>
          <w:noProof/>
        </w:rPr>
        <w:instrText xml:space="preserve"> PAGEREF _Toc183700688 \h </w:instrText>
      </w:r>
      <w:r w:rsidR="00EB6F73">
        <w:rPr>
          <w:noProof/>
        </w:rPr>
      </w:r>
      <w:r>
        <w:rPr>
          <w:noProof/>
        </w:rPr>
        <w:fldChar w:fldCharType="separate"/>
      </w:r>
      <w:r w:rsidR="005C1EEF">
        <w:rPr>
          <w:noProof/>
        </w:rPr>
        <w:t>61</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noProof/>
        </w:rPr>
        <w:t xml:space="preserve">Tabla XIV. </w:t>
      </w:r>
      <w:r w:rsidRPr="00BF646E">
        <w:rPr>
          <w:rFonts w:ascii="Arial" w:hAnsi="Arial"/>
          <w:b w:val="0"/>
          <w:noProof/>
        </w:rPr>
        <w:t>Valores de los cuartiles de F.A. Banco Produfondos</w:t>
      </w:r>
      <w:r>
        <w:rPr>
          <w:noProof/>
        </w:rPr>
        <w:tab/>
      </w:r>
      <w:r>
        <w:rPr>
          <w:noProof/>
        </w:rPr>
        <w:fldChar w:fldCharType="begin"/>
      </w:r>
      <w:r>
        <w:rPr>
          <w:noProof/>
        </w:rPr>
        <w:instrText xml:space="preserve"> PAGEREF _Toc183700694 \h </w:instrText>
      </w:r>
      <w:r w:rsidR="00EB6F73">
        <w:rPr>
          <w:noProof/>
        </w:rPr>
      </w:r>
      <w:r>
        <w:rPr>
          <w:noProof/>
        </w:rPr>
        <w:fldChar w:fldCharType="separate"/>
      </w:r>
      <w:r w:rsidR="005C1EEF">
        <w:rPr>
          <w:noProof/>
        </w:rPr>
        <w:t>64</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XV. </w:t>
      </w:r>
      <w:r w:rsidRPr="00BF646E">
        <w:rPr>
          <w:rFonts w:ascii="Arial" w:hAnsi="Arial" w:cs="Arial"/>
          <w:b w:val="0"/>
          <w:noProof/>
        </w:rPr>
        <w:t>Diferencias de la compañía F.A.</w:t>
      </w:r>
      <w:r>
        <w:rPr>
          <w:noProof/>
        </w:rPr>
        <w:tab/>
      </w:r>
      <w:r>
        <w:rPr>
          <w:noProof/>
        </w:rPr>
        <w:fldChar w:fldCharType="begin"/>
      </w:r>
      <w:r>
        <w:rPr>
          <w:noProof/>
        </w:rPr>
        <w:instrText xml:space="preserve"> PAGEREF _Toc183700696 \h </w:instrText>
      </w:r>
      <w:r w:rsidR="00EB6F73">
        <w:rPr>
          <w:noProof/>
        </w:rPr>
      </w:r>
      <w:r>
        <w:rPr>
          <w:noProof/>
        </w:rPr>
        <w:fldChar w:fldCharType="separate"/>
      </w:r>
      <w:r w:rsidR="005C1EEF">
        <w:rPr>
          <w:noProof/>
        </w:rPr>
        <w:t>65</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XVI. </w:t>
      </w:r>
      <w:r w:rsidRPr="00BF646E">
        <w:rPr>
          <w:rFonts w:ascii="Arial" w:hAnsi="Arial" w:cs="Arial"/>
          <w:b w:val="0"/>
          <w:noProof/>
        </w:rPr>
        <w:t>Compañías seleccionadas con sus diferencias totales.</w:t>
      </w:r>
      <w:r>
        <w:rPr>
          <w:noProof/>
        </w:rPr>
        <w:tab/>
      </w:r>
      <w:r>
        <w:rPr>
          <w:noProof/>
        </w:rPr>
        <w:fldChar w:fldCharType="begin"/>
      </w:r>
      <w:r>
        <w:rPr>
          <w:noProof/>
        </w:rPr>
        <w:instrText xml:space="preserve"> PAGEREF _Toc183700701 \h </w:instrText>
      </w:r>
      <w:r w:rsidR="00EB6F73">
        <w:rPr>
          <w:noProof/>
        </w:rPr>
      </w:r>
      <w:r>
        <w:rPr>
          <w:noProof/>
        </w:rPr>
        <w:fldChar w:fldCharType="separate"/>
      </w:r>
      <w:r w:rsidR="005C1EEF">
        <w:rPr>
          <w:noProof/>
        </w:rPr>
        <w:t>68</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noProof/>
        </w:rPr>
        <w:t xml:space="preserve">Tabla XVII. </w:t>
      </w:r>
      <w:r w:rsidRPr="00BF646E">
        <w:rPr>
          <w:rFonts w:ascii="Arial" w:hAnsi="Arial"/>
          <w:b w:val="0"/>
          <w:noProof/>
        </w:rPr>
        <w:t>Diferencias de las compañías seleccionadas con sus bancos respectivos.</w:t>
      </w:r>
      <w:r>
        <w:rPr>
          <w:noProof/>
        </w:rPr>
        <w:tab/>
      </w:r>
      <w:r>
        <w:rPr>
          <w:noProof/>
        </w:rPr>
        <w:fldChar w:fldCharType="begin"/>
      </w:r>
      <w:r>
        <w:rPr>
          <w:noProof/>
        </w:rPr>
        <w:instrText xml:space="preserve"> PAGEREF _Toc183700706 \h </w:instrText>
      </w:r>
      <w:r w:rsidR="00EB6F73">
        <w:rPr>
          <w:noProof/>
        </w:rPr>
      </w:r>
      <w:r>
        <w:rPr>
          <w:noProof/>
        </w:rPr>
        <w:fldChar w:fldCharType="separate"/>
      </w:r>
      <w:r w:rsidR="005C1EEF">
        <w:rPr>
          <w:noProof/>
        </w:rPr>
        <w:t>71</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XVIII. </w:t>
      </w:r>
      <w:r w:rsidRPr="00BF646E">
        <w:rPr>
          <w:rFonts w:ascii="Arial" w:hAnsi="Arial" w:cs="Arial"/>
          <w:b w:val="0"/>
          <w:noProof/>
        </w:rPr>
        <w:t>Datos para el diagrama de dispersión.</w:t>
      </w:r>
      <w:r>
        <w:rPr>
          <w:noProof/>
        </w:rPr>
        <w:tab/>
      </w:r>
      <w:r>
        <w:rPr>
          <w:noProof/>
        </w:rPr>
        <w:fldChar w:fldCharType="begin"/>
      </w:r>
      <w:r>
        <w:rPr>
          <w:noProof/>
        </w:rPr>
        <w:instrText xml:space="preserve"> PAGEREF _Toc183700709 \h </w:instrText>
      </w:r>
      <w:r w:rsidR="00EB6F73">
        <w:rPr>
          <w:noProof/>
        </w:rPr>
      </w:r>
      <w:r>
        <w:rPr>
          <w:noProof/>
        </w:rPr>
        <w:fldChar w:fldCharType="separate"/>
      </w:r>
      <w:r w:rsidR="005C1EEF">
        <w:rPr>
          <w:noProof/>
        </w:rPr>
        <w:t>72</w:t>
      </w:r>
      <w:r>
        <w:rPr>
          <w:noProof/>
        </w:rPr>
        <w:fldChar w:fldCharType="end"/>
      </w:r>
    </w:p>
    <w:p w:rsidR="0029289A" w:rsidRDefault="0029289A">
      <w:pPr>
        <w:pStyle w:val="TDC1"/>
        <w:tabs>
          <w:tab w:val="right" w:leader="dot" w:pos="8267"/>
        </w:tabs>
        <w:rPr>
          <w:rFonts w:eastAsia="Times New Roman"/>
          <w:b w:val="0"/>
          <w:bCs w:val="0"/>
          <w:i w:val="0"/>
          <w:iCs w:val="0"/>
          <w:noProof/>
        </w:rPr>
      </w:pPr>
      <w:r w:rsidRPr="00BF646E">
        <w:rPr>
          <w:rFonts w:ascii="Arial" w:hAnsi="Arial" w:cs="Arial"/>
          <w:noProof/>
        </w:rPr>
        <w:t xml:space="preserve">Tabla XIX. </w:t>
      </w:r>
      <w:r w:rsidRPr="00BF646E">
        <w:rPr>
          <w:rFonts w:ascii="Arial" w:hAnsi="Arial" w:cs="Arial"/>
          <w:b w:val="0"/>
          <w:noProof/>
        </w:rPr>
        <w:t>Valor obtenido del coeficiente de correlación.</w:t>
      </w:r>
      <w:r>
        <w:rPr>
          <w:noProof/>
        </w:rPr>
        <w:tab/>
      </w:r>
      <w:r>
        <w:rPr>
          <w:noProof/>
        </w:rPr>
        <w:fldChar w:fldCharType="begin"/>
      </w:r>
      <w:r>
        <w:rPr>
          <w:noProof/>
        </w:rPr>
        <w:instrText xml:space="preserve"> PAGEREF _Toc183700712 \h </w:instrText>
      </w:r>
      <w:r w:rsidR="00EB6F73">
        <w:rPr>
          <w:noProof/>
        </w:rPr>
      </w:r>
      <w:r>
        <w:rPr>
          <w:noProof/>
        </w:rPr>
        <w:fldChar w:fldCharType="separate"/>
      </w:r>
      <w:r w:rsidR="005C1EEF">
        <w:rPr>
          <w:noProof/>
        </w:rPr>
        <w:t>73</w:t>
      </w:r>
      <w:r>
        <w:rPr>
          <w:noProof/>
        </w:rPr>
        <w:fldChar w:fldCharType="end"/>
      </w:r>
    </w:p>
    <w:p w:rsidR="0029289A" w:rsidRDefault="0029289A">
      <w:pPr>
        <w:pStyle w:val="TDC1"/>
        <w:tabs>
          <w:tab w:val="right" w:leader="dot" w:pos="8267"/>
        </w:tabs>
        <w:rPr>
          <w:rFonts w:eastAsia="Times New Roman"/>
          <w:b w:val="0"/>
          <w:bCs w:val="0"/>
          <w:i w:val="0"/>
          <w:iCs w:val="0"/>
          <w:noProof/>
        </w:rPr>
      </w:pPr>
    </w:p>
    <w:p w:rsidR="000C1C97" w:rsidRDefault="00214AD5" w:rsidP="009244AF">
      <w:pPr>
        <w:tabs>
          <w:tab w:val="left" w:pos="1020"/>
          <w:tab w:val="right" w:leader="dot" w:pos="6804"/>
        </w:tabs>
        <w:spacing w:line="480" w:lineRule="auto"/>
        <w:rPr>
          <w:rFonts w:ascii="Arial" w:hAnsi="Arial" w:cs="Arial"/>
          <w:sz w:val="32"/>
          <w:szCs w:val="32"/>
        </w:rPr>
      </w:pPr>
      <w:r>
        <w:rPr>
          <w:rFonts w:ascii="Arial" w:hAnsi="Arial" w:cs="Arial"/>
          <w:sz w:val="32"/>
          <w:szCs w:val="32"/>
        </w:rPr>
        <w:fldChar w:fldCharType="end"/>
      </w:r>
    </w:p>
    <w:p w:rsidR="009244AF" w:rsidRPr="009244AF" w:rsidRDefault="009244AF" w:rsidP="009244AF">
      <w:pPr>
        <w:tabs>
          <w:tab w:val="left" w:pos="1020"/>
          <w:tab w:val="right" w:leader="dot" w:pos="6804"/>
        </w:tabs>
        <w:spacing w:line="480" w:lineRule="auto"/>
        <w:rPr>
          <w:rFonts w:ascii="Arial" w:hAnsi="Arial" w:cs="Arial"/>
          <w:sz w:val="32"/>
          <w:szCs w:val="32"/>
        </w:rPr>
      </w:pPr>
    </w:p>
    <w:p w:rsidR="000C1C97" w:rsidRDefault="000C1C97" w:rsidP="00546489">
      <w:pPr>
        <w:tabs>
          <w:tab w:val="right" w:leader="dot" w:pos="6804"/>
        </w:tabs>
        <w:spacing w:line="480" w:lineRule="auto"/>
        <w:jc w:val="center"/>
        <w:rPr>
          <w:rFonts w:ascii="Arial" w:hAnsi="Arial" w:cs="Arial"/>
          <w:b/>
          <w:sz w:val="32"/>
          <w:szCs w:val="32"/>
        </w:rPr>
      </w:pPr>
    </w:p>
    <w:p w:rsidR="009244AF" w:rsidRDefault="009244AF" w:rsidP="00546489">
      <w:pPr>
        <w:tabs>
          <w:tab w:val="right" w:leader="dot" w:pos="6804"/>
        </w:tabs>
        <w:spacing w:line="480" w:lineRule="auto"/>
        <w:jc w:val="center"/>
        <w:rPr>
          <w:rFonts w:ascii="Arial" w:hAnsi="Arial" w:cs="Arial"/>
          <w:b/>
          <w:sz w:val="32"/>
          <w:szCs w:val="32"/>
        </w:rPr>
      </w:pPr>
    </w:p>
    <w:p w:rsidR="00546489" w:rsidRPr="006A1EAF" w:rsidRDefault="00546489" w:rsidP="00936EED">
      <w:pPr>
        <w:pStyle w:val="Ttulo1"/>
        <w:spacing w:line="480" w:lineRule="auto"/>
        <w:jc w:val="center"/>
        <w:rPr>
          <w:rFonts w:ascii="Arial" w:hAnsi="Arial" w:cs="Arial"/>
          <w:sz w:val="32"/>
          <w:szCs w:val="32"/>
        </w:rPr>
      </w:pPr>
      <w:bookmarkStart w:id="157" w:name="_Toc183697473"/>
      <w:bookmarkStart w:id="158" w:name="_Toc183698803"/>
      <w:bookmarkStart w:id="159" w:name="_Toc183699144"/>
      <w:bookmarkStart w:id="160" w:name="_Toc183699356"/>
      <w:bookmarkStart w:id="161" w:name="_Toc183699527"/>
      <w:bookmarkStart w:id="162" w:name="_Toc183699826"/>
      <w:bookmarkStart w:id="163" w:name="_Toc183700099"/>
      <w:bookmarkStart w:id="164" w:name="_Toc183700315"/>
      <w:bookmarkStart w:id="165" w:name="_Toc183700607"/>
      <w:bookmarkStart w:id="166" w:name="_Toc183700858"/>
      <w:r w:rsidRPr="006A1EAF">
        <w:rPr>
          <w:rFonts w:ascii="Arial" w:hAnsi="Arial" w:cs="Arial"/>
          <w:sz w:val="32"/>
          <w:szCs w:val="32"/>
        </w:rPr>
        <w:lastRenderedPageBreak/>
        <w:t>ÍNDICE DE DIBUJOS</w:t>
      </w:r>
      <w:bookmarkEnd w:id="157"/>
      <w:bookmarkEnd w:id="158"/>
      <w:bookmarkEnd w:id="159"/>
      <w:bookmarkEnd w:id="160"/>
      <w:bookmarkEnd w:id="161"/>
      <w:bookmarkEnd w:id="162"/>
      <w:bookmarkEnd w:id="163"/>
      <w:bookmarkEnd w:id="164"/>
      <w:bookmarkEnd w:id="165"/>
      <w:bookmarkEnd w:id="166"/>
    </w:p>
    <w:p w:rsidR="00803C9E" w:rsidRDefault="00803C9E">
      <w:pPr>
        <w:pStyle w:val="TDC3"/>
        <w:tabs>
          <w:tab w:val="right" w:leader="dot" w:pos="8267"/>
        </w:tabs>
        <w:rPr>
          <w:rFonts w:eastAsia="Times New Roman"/>
          <w:noProof/>
          <w:sz w:val="24"/>
          <w:szCs w:val="24"/>
        </w:rPr>
      </w:pPr>
      <w:r>
        <w:rPr>
          <w:rFonts w:ascii="Arial" w:hAnsi="Arial" w:cs="Arial"/>
        </w:rPr>
        <w:fldChar w:fldCharType="begin"/>
      </w:r>
      <w:r>
        <w:rPr>
          <w:rFonts w:ascii="Arial" w:hAnsi="Arial" w:cs="Arial"/>
        </w:rPr>
        <w:instrText xml:space="preserve"> TOC \o "1-5" \u </w:instrText>
      </w:r>
      <w:r>
        <w:rPr>
          <w:rFonts w:ascii="Arial" w:hAnsi="Arial" w:cs="Arial"/>
        </w:rPr>
        <w:fldChar w:fldCharType="separate"/>
      </w:r>
    </w:p>
    <w:p w:rsidR="00803C9E" w:rsidRDefault="00803C9E">
      <w:pPr>
        <w:pStyle w:val="TDC1"/>
        <w:tabs>
          <w:tab w:val="right" w:leader="dot" w:pos="8267"/>
        </w:tabs>
        <w:rPr>
          <w:rFonts w:eastAsia="Times New Roman"/>
          <w:b w:val="0"/>
          <w:bCs w:val="0"/>
          <w:i w:val="0"/>
          <w:iCs w:val="0"/>
          <w:noProof/>
        </w:rPr>
      </w:pPr>
      <w:r w:rsidRPr="00FB4D80">
        <w:rPr>
          <w:rFonts w:ascii="Arial" w:hAnsi="Arial" w:cs="Arial"/>
          <w:noProof/>
        </w:rPr>
        <w:t xml:space="preserve">Dibujo I: </w:t>
      </w:r>
      <w:r w:rsidRPr="00FB4D80">
        <w:rPr>
          <w:rFonts w:ascii="Arial" w:hAnsi="Arial" w:cs="Arial"/>
          <w:b w:val="0"/>
          <w:noProof/>
        </w:rPr>
        <w:t>Estructura COSO</w:t>
      </w:r>
      <w:r>
        <w:rPr>
          <w:noProof/>
        </w:rPr>
        <w:tab/>
      </w:r>
      <w:r>
        <w:rPr>
          <w:noProof/>
        </w:rPr>
        <w:fldChar w:fldCharType="begin"/>
      </w:r>
      <w:r>
        <w:rPr>
          <w:noProof/>
        </w:rPr>
        <w:instrText xml:space="preserve"> PAGEREF _Toc183700866 \h </w:instrText>
      </w:r>
      <w:r w:rsidR="00EB6F73">
        <w:rPr>
          <w:noProof/>
        </w:rPr>
      </w:r>
      <w:r>
        <w:rPr>
          <w:noProof/>
        </w:rPr>
        <w:fldChar w:fldCharType="separate"/>
      </w:r>
      <w:r w:rsidR="005C1EEF">
        <w:rPr>
          <w:noProof/>
        </w:rPr>
        <w:t>22</w:t>
      </w:r>
      <w:r>
        <w:rPr>
          <w:noProof/>
        </w:rPr>
        <w:fldChar w:fldCharType="end"/>
      </w:r>
    </w:p>
    <w:p w:rsidR="00803C9E" w:rsidRDefault="00803C9E">
      <w:pPr>
        <w:pStyle w:val="TDC1"/>
        <w:tabs>
          <w:tab w:val="right" w:leader="dot" w:pos="8267"/>
        </w:tabs>
        <w:rPr>
          <w:rFonts w:eastAsia="Times New Roman"/>
          <w:b w:val="0"/>
          <w:bCs w:val="0"/>
          <w:i w:val="0"/>
          <w:iCs w:val="0"/>
          <w:noProof/>
        </w:rPr>
      </w:pPr>
    </w:p>
    <w:p w:rsidR="00546489" w:rsidRDefault="00803C9E" w:rsidP="00546489">
      <w:pPr>
        <w:tabs>
          <w:tab w:val="right" w:leader="dot" w:pos="6804"/>
        </w:tabs>
        <w:spacing w:line="480" w:lineRule="auto"/>
        <w:rPr>
          <w:rFonts w:ascii="Arial" w:hAnsi="Arial" w:cs="Arial"/>
        </w:rPr>
      </w:pPr>
      <w:r>
        <w:rPr>
          <w:rFonts w:ascii="Arial" w:hAnsi="Arial" w:cs="Arial"/>
        </w:rPr>
        <w:fldChar w:fldCharType="end"/>
      </w: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tabs>
          <w:tab w:val="right" w:leader="dot" w:pos="6804"/>
        </w:tabs>
        <w:spacing w:line="480" w:lineRule="auto"/>
        <w:jc w:val="center"/>
        <w:rPr>
          <w:rFonts w:ascii="Arial" w:hAnsi="Arial" w:cs="Arial"/>
          <w:b/>
          <w:sz w:val="32"/>
          <w:szCs w:val="32"/>
        </w:rPr>
      </w:pPr>
    </w:p>
    <w:p w:rsidR="00546489" w:rsidRDefault="00546489" w:rsidP="00546489">
      <w:pPr>
        <w:jc w:val="right"/>
      </w:pPr>
    </w:p>
    <w:p w:rsidR="00AE3B5B" w:rsidRDefault="00AE3B5B" w:rsidP="00546489">
      <w:pPr>
        <w:jc w:val="right"/>
      </w:pPr>
    </w:p>
    <w:p w:rsidR="00AE3B5B" w:rsidRDefault="00AE3B5B" w:rsidP="00546489">
      <w:pPr>
        <w:jc w:val="right"/>
      </w:pPr>
    </w:p>
    <w:p w:rsidR="00AE3B5B" w:rsidRDefault="00AE3B5B" w:rsidP="00546489">
      <w:pPr>
        <w:jc w:val="right"/>
      </w:pPr>
    </w:p>
    <w:p w:rsidR="00AE3B5B" w:rsidRDefault="00AE3B5B" w:rsidP="00546489">
      <w:pPr>
        <w:jc w:val="right"/>
      </w:pPr>
    </w:p>
    <w:p w:rsidR="00AE3B5B" w:rsidRDefault="00AE3B5B" w:rsidP="00546489">
      <w:pPr>
        <w:jc w:val="right"/>
      </w:pPr>
    </w:p>
    <w:p w:rsidR="00AE3B5B" w:rsidRDefault="00AE3B5B" w:rsidP="00546489">
      <w:pPr>
        <w:jc w:val="right"/>
      </w:pPr>
    </w:p>
    <w:p w:rsidR="00546489" w:rsidRDefault="00546489" w:rsidP="00546489">
      <w:pPr>
        <w:jc w:val="right"/>
      </w:pPr>
    </w:p>
    <w:p w:rsidR="00546489" w:rsidRDefault="00546489" w:rsidP="00546489"/>
    <w:p w:rsidR="006A1EAF" w:rsidRDefault="006A1EAF" w:rsidP="00546489"/>
    <w:p w:rsidR="006A1EAF" w:rsidRDefault="006A1EAF" w:rsidP="00546489"/>
    <w:p w:rsidR="006A1EAF" w:rsidRDefault="006A1EAF" w:rsidP="00546489"/>
    <w:p w:rsidR="006A1EAF" w:rsidRDefault="006A1EAF" w:rsidP="00546489"/>
    <w:p w:rsidR="00546489" w:rsidRDefault="00546489" w:rsidP="00AE3B5B">
      <w:pPr>
        <w:tabs>
          <w:tab w:val="right" w:leader="dot" w:pos="6804"/>
        </w:tabs>
        <w:spacing w:line="480" w:lineRule="auto"/>
        <w:outlineLvl w:val="0"/>
        <w:rPr>
          <w:rFonts w:ascii="Arial" w:hAnsi="Arial" w:cs="Arial"/>
          <w:b/>
          <w:sz w:val="32"/>
          <w:szCs w:val="32"/>
        </w:rPr>
      </w:pPr>
    </w:p>
    <w:p w:rsidR="00000C6C" w:rsidRDefault="00546489" w:rsidP="00737252">
      <w:pPr>
        <w:pStyle w:val="Ttulo1"/>
        <w:tabs>
          <w:tab w:val="left" w:pos="460"/>
        </w:tabs>
        <w:spacing w:line="480" w:lineRule="auto"/>
        <w:jc w:val="center"/>
        <w:rPr>
          <w:rFonts w:ascii="Arial" w:hAnsi="Arial" w:cs="Arial"/>
          <w:sz w:val="32"/>
          <w:szCs w:val="32"/>
        </w:rPr>
      </w:pPr>
      <w:bookmarkStart w:id="167" w:name="_Toc183697474"/>
      <w:bookmarkStart w:id="168" w:name="_Toc183698804"/>
      <w:bookmarkStart w:id="169" w:name="_Toc183699145"/>
      <w:bookmarkStart w:id="170" w:name="_Toc183699357"/>
      <w:bookmarkStart w:id="171" w:name="_Toc183699528"/>
      <w:bookmarkStart w:id="172" w:name="_Toc183699827"/>
      <w:bookmarkStart w:id="173" w:name="_Toc183700100"/>
      <w:bookmarkStart w:id="174" w:name="_Toc183700316"/>
      <w:bookmarkStart w:id="175" w:name="_Toc183700608"/>
      <w:bookmarkStart w:id="176" w:name="_Toc183700859"/>
      <w:r w:rsidRPr="006A1EAF">
        <w:rPr>
          <w:rFonts w:ascii="Arial" w:hAnsi="Arial" w:cs="Arial"/>
          <w:sz w:val="32"/>
          <w:szCs w:val="32"/>
        </w:rPr>
        <w:t>ÍNDICE DE GRÁFICOS</w:t>
      </w:r>
      <w:bookmarkStart w:id="177" w:name="_Toc183697475"/>
      <w:bookmarkStart w:id="178" w:name="_Toc183698805"/>
      <w:bookmarkStart w:id="179" w:name="_Toc183699146"/>
      <w:bookmarkStart w:id="180" w:name="_Toc183699358"/>
      <w:bookmarkEnd w:id="167"/>
      <w:bookmarkEnd w:id="168"/>
      <w:bookmarkEnd w:id="169"/>
      <w:bookmarkEnd w:id="170"/>
      <w:bookmarkEnd w:id="171"/>
      <w:bookmarkEnd w:id="172"/>
      <w:bookmarkEnd w:id="173"/>
      <w:bookmarkEnd w:id="174"/>
      <w:bookmarkEnd w:id="175"/>
      <w:bookmarkEnd w:id="176"/>
    </w:p>
    <w:p w:rsidR="00737252" w:rsidRDefault="00737252">
      <w:pPr>
        <w:pStyle w:val="TDC3"/>
        <w:tabs>
          <w:tab w:val="right" w:leader="dot" w:pos="8267"/>
        </w:tabs>
        <w:rPr>
          <w:rFonts w:eastAsia="Times New Roman"/>
          <w:noProof/>
          <w:sz w:val="24"/>
          <w:szCs w:val="24"/>
        </w:rPr>
      </w:pPr>
      <w:r>
        <w:fldChar w:fldCharType="begin"/>
      </w:r>
      <w:r>
        <w:instrText xml:space="preserve"> TOC \o "1-5" \u </w:instrText>
      </w:r>
      <w:r>
        <w:fldChar w:fldCharType="separate"/>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2.1. </w:t>
      </w:r>
      <w:r w:rsidRPr="00B73A1B">
        <w:rPr>
          <w:rFonts w:ascii="Arial" w:hAnsi="Arial" w:cs="Arial"/>
          <w:b w:val="0"/>
          <w:noProof/>
        </w:rPr>
        <w:t>Diagrama de barra. Compañía M.O. Banco Produbanco.</w:t>
      </w:r>
      <w:r>
        <w:rPr>
          <w:noProof/>
        </w:rPr>
        <w:tab/>
      </w:r>
      <w:r>
        <w:rPr>
          <w:noProof/>
        </w:rPr>
        <w:fldChar w:fldCharType="begin"/>
      </w:r>
      <w:r>
        <w:rPr>
          <w:noProof/>
        </w:rPr>
        <w:instrText xml:space="preserve"> PAGEREF _Toc183700127 \h </w:instrText>
      </w:r>
      <w:r w:rsidR="00214AD5">
        <w:rPr>
          <w:noProof/>
        </w:rPr>
      </w:r>
      <w:r>
        <w:rPr>
          <w:noProof/>
        </w:rPr>
        <w:fldChar w:fldCharType="separate"/>
      </w:r>
      <w:r w:rsidR="005C1EEF">
        <w:rPr>
          <w:noProof/>
        </w:rPr>
        <w:t>34</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2.2. </w:t>
      </w:r>
      <w:r w:rsidRPr="00B73A1B">
        <w:rPr>
          <w:rFonts w:ascii="Arial" w:hAnsi="Arial" w:cs="Arial"/>
          <w:b w:val="0"/>
          <w:noProof/>
        </w:rPr>
        <w:t>Diagrama de pastel. Compañía M.O.Banco Produbanco.</w:t>
      </w:r>
      <w:r>
        <w:rPr>
          <w:noProof/>
        </w:rPr>
        <w:tab/>
      </w:r>
      <w:r>
        <w:rPr>
          <w:noProof/>
        </w:rPr>
        <w:fldChar w:fldCharType="begin"/>
      </w:r>
      <w:r>
        <w:rPr>
          <w:noProof/>
        </w:rPr>
        <w:instrText xml:space="preserve"> PAGEREF _Toc183700129 \h </w:instrText>
      </w:r>
      <w:r w:rsidR="00214AD5">
        <w:rPr>
          <w:noProof/>
        </w:rPr>
      </w:r>
      <w:r>
        <w:rPr>
          <w:noProof/>
        </w:rPr>
        <w:fldChar w:fldCharType="separate"/>
      </w:r>
      <w:r w:rsidR="005C1EEF">
        <w:rPr>
          <w:noProof/>
        </w:rPr>
        <w:t>35</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2.3 </w:t>
      </w:r>
      <w:r w:rsidRPr="00B73A1B">
        <w:rPr>
          <w:rFonts w:ascii="Arial" w:hAnsi="Arial" w:cs="Arial"/>
          <w:b w:val="0"/>
          <w:noProof/>
        </w:rPr>
        <w:t>Gráfica temporal de la compañía M.O.</w:t>
      </w:r>
      <w:r>
        <w:rPr>
          <w:noProof/>
        </w:rPr>
        <w:tab/>
      </w:r>
      <w:r>
        <w:rPr>
          <w:noProof/>
        </w:rPr>
        <w:fldChar w:fldCharType="begin"/>
      </w:r>
      <w:r>
        <w:rPr>
          <w:noProof/>
        </w:rPr>
        <w:instrText xml:space="preserve"> PAGEREF _Toc183700134 \h </w:instrText>
      </w:r>
      <w:r w:rsidR="00214AD5">
        <w:rPr>
          <w:noProof/>
        </w:rPr>
      </w:r>
      <w:r>
        <w:rPr>
          <w:noProof/>
        </w:rPr>
        <w:fldChar w:fldCharType="separate"/>
      </w:r>
      <w:r w:rsidR="005C1EEF">
        <w:rPr>
          <w:noProof/>
        </w:rPr>
        <w:t>37</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2.4. </w:t>
      </w:r>
      <w:r w:rsidRPr="00B73A1B">
        <w:rPr>
          <w:rFonts w:ascii="Arial" w:hAnsi="Arial" w:cs="Arial"/>
          <w:b w:val="0"/>
          <w:noProof/>
        </w:rPr>
        <w:t>Diagrama de barra. Compañía M.O. Banco Pichincha.</w:t>
      </w:r>
      <w:r>
        <w:rPr>
          <w:noProof/>
        </w:rPr>
        <w:tab/>
      </w:r>
      <w:r>
        <w:rPr>
          <w:noProof/>
        </w:rPr>
        <w:fldChar w:fldCharType="begin"/>
      </w:r>
      <w:r>
        <w:rPr>
          <w:noProof/>
        </w:rPr>
        <w:instrText xml:space="preserve"> PAGEREF _Toc183700136 \h </w:instrText>
      </w:r>
      <w:r w:rsidR="00214AD5">
        <w:rPr>
          <w:noProof/>
        </w:rPr>
      </w:r>
      <w:r>
        <w:rPr>
          <w:noProof/>
        </w:rPr>
        <w:fldChar w:fldCharType="separate"/>
      </w:r>
      <w:r w:rsidR="005C1EEF">
        <w:rPr>
          <w:noProof/>
        </w:rPr>
        <w:t>39</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2.5. </w:t>
      </w:r>
      <w:r w:rsidRPr="00B73A1B">
        <w:rPr>
          <w:rFonts w:ascii="Arial" w:hAnsi="Arial" w:cs="Arial"/>
          <w:b w:val="0"/>
          <w:noProof/>
        </w:rPr>
        <w:t>Diagrama de pastel. Compañía M.O. Banco Pichincha.</w:t>
      </w:r>
      <w:r>
        <w:rPr>
          <w:noProof/>
        </w:rPr>
        <w:tab/>
      </w:r>
      <w:r>
        <w:rPr>
          <w:noProof/>
        </w:rPr>
        <w:fldChar w:fldCharType="begin"/>
      </w:r>
      <w:r>
        <w:rPr>
          <w:noProof/>
        </w:rPr>
        <w:instrText xml:space="preserve"> PAGEREF _Toc183700138 \h </w:instrText>
      </w:r>
      <w:r w:rsidR="00214AD5">
        <w:rPr>
          <w:noProof/>
        </w:rPr>
      </w:r>
      <w:r>
        <w:rPr>
          <w:noProof/>
        </w:rPr>
        <w:fldChar w:fldCharType="separate"/>
      </w:r>
      <w:r w:rsidR="005C1EEF">
        <w:rPr>
          <w:noProof/>
        </w:rPr>
        <w:t>40</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2.6. </w:t>
      </w:r>
      <w:r w:rsidRPr="00B73A1B">
        <w:rPr>
          <w:rFonts w:ascii="Arial" w:hAnsi="Arial" w:cs="Arial"/>
          <w:b w:val="0"/>
          <w:noProof/>
        </w:rPr>
        <w:t>Diagrama de barra. Compañía SER. Banco Produbanco.</w:t>
      </w:r>
      <w:r>
        <w:rPr>
          <w:noProof/>
        </w:rPr>
        <w:tab/>
      </w:r>
      <w:r>
        <w:rPr>
          <w:noProof/>
        </w:rPr>
        <w:fldChar w:fldCharType="begin"/>
      </w:r>
      <w:r>
        <w:rPr>
          <w:noProof/>
        </w:rPr>
        <w:instrText xml:space="preserve"> PAGEREF _Toc183700142 \h </w:instrText>
      </w:r>
      <w:r w:rsidR="00214AD5">
        <w:rPr>
          <w:noProof/>
        </w:rPr>
      </w:r>
      <w:r>
        <w:rPr>
          <w:noProof/>
        </w:rPr>
        <w:fldChar w:fldCharType="separate"/>
      </w:r>
      <w:r w:rsidR="005C1EEF">
        <w:rPr>
          <w:noProof/>
        </w:rPr>
        <w:t>42</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2.7. </w:t>
      </w:r>
      <w:r w:rsidRPr="00B73A1B">
        <w:rPr>
          <w:rFonts w:ascii="Arial" w:hAnsi="Arial" w:cs="Arial"/>
          <w:b w:val="0"/>
          <w:noProof/>
        </w:rPr>
        <w:t>Diagrama de pastel. Compañía SER Banco Produbanco.</w:t>
      </w:r>
      <w:r>
        <w:rPr>
          <w:noProof/>
        </w:rPr>
        <w:tab/>
      </w:r>
      <w:r>
        <w:rPr>
          <w:noProof/>
        </w:rPr>
        <w:fldChar w:fldCharType="begin"/>
      </w:r>
      <w:r>
        <w:rPr>
          <w:noProof/>
        </w:rPr>
        <w:instrText xml:space="preserve"> PAGEREF _Toc183700144 \h </w:instrText>
      </w:r>
      <w:r w:rsidR="00214AD5">
        <w:rPr>
          <w:noProof/>
        </w:rPr>
      </w:r>
      <w:r>
        <w:rPr>
          <w:noProof/>
        </w:rPr>
        <w:fldChar w:fldCharType="separate"/>
      </w:r>
      <w:r w:rsidR="005C1EEF">
        <w:rPr>
          <w:noProof/>
        </w:rPr>
        <w:t>43</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2.8 </w:t>
      </w:r>
      <w:r w:rsidRPr="00B73A1B">
        <w:rPr>
          <w:rFonts w:ascii="Arial" w:hAnsi="Arial" w:cs="Arial"/>
          <w:b w:val="0"/>
          <w:noProof/>
        </w:rPr>
        <w:t>Gráfica temporal de la compañía SER.</w:t>
      </w:r>
      <w:r>
        <w:rPr>
          <w:noProof/>
        </w:rPr>
        <w:tab/>
      </w:r>
      <w:r>
        <w:rPr>
          <w:noProof/>
        </w:rPr>
        <w:fldChar w:fldCharType="begin"/>
      </w:r>
      <w:r>
        <w:rPr>
          <w:noProof/>
        </w:rPr>
        <w:instrText xml:space="preserve"> PAGEREF _Toc183700149 \h </w:instrText>
      </w:r>
      <w:r w:rsidR="00214AD5">
        <w:rPr>
          <w:noProof/>
        </w:rPr>
      </w:r>
      <w:r>
        <w:rPr>
          <w:noProof/>
        </w:rPr>
        <w:fldChar w:fldCharType="separate"/>
      </w:r>
      <w:r w:rsidR="005C1EEF">
        <w:rPr>
          <w:noProof/>
        </w:rPr>
        <w:t>46</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2.9. </w:t>
      </w:r>
      <w:r w:rsidRPr="00B73A1B">
        <w:rPr>
          <w:rFonts w:ascii="Arial" w:hAnsi="Arial" w:cs="Arial"/>
          <w:b w:val="0"/>
          <w:noProof/>
        </w:rPr>
        <w:t>Diagrama de barra. Compañía D.U. Banco Produfondos.</w:t>
      </w:r>
      <w:r>
        <w:rPr>
          <w:noProof/>
        </w:rPr>
        <w:tab/>
      </w:r>
      <w:r>
        <w:rPr>
          <w:noProof/>
        </w:rPr>
        <w:fldChar w:fldCharType="begin"/>
      </w:r>
      <w:r>
        <w:rPr>
          <w:noProof/>
        </w:rPr>
        <w:instrText xml:space="preserve"> PAGEREF _Toc183700151 \h </w:instrText>
      </w:r>
      <w:r w:rsidR="00214AD5">
        <w:rPr>
          <w:noProof/>
        </w:rPr>
      </w:r>
      <w:r>
        <w:rPr>
          <w:noProof/>
        </w:rPr>
        <w:fldChar w:fldCharType="separate"/>
      </w:r>
      <w:r w:rsidR="005C1EEF">
        <w:rPr>
          <w:noProof/>
        </w:rPr>
        <w:t>47</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2.10. </w:t>
      </w:r>
      <w:r w:rsidRPr="00B73A1B">
        <w:rPr>
          <w:rFonts w:ascii="Arial" w:hAnsi="Arial" w:cs="Arial"/>
          <w:b w:val="0"/>
          <w:noProof/>
        </w:rPr>
        <w:t>Diagrama de pastel. Compañía D.U.Banco Produfondos.</w:t>
      </w:r>
      <w:r>
        <w:rPr>
          <w:noProof/>
        </w:rPr>
        <w:tab/>
      </w:r>
      <w:r>
        <w:rPr>
          <w:noProof/>
        </w:rPr>
        <w:fldChar w:fldCharType="begin"/>
      </w:r>
      <w:r>
        <w:rPr>
          <w:noProof/>
        </w:rPr>
        <w:instrText xml:space="preserve"> PAGEREF _Toc183700153 \h </w:instrText>
      </w:r>
      <w:r w:rsidR="00214AD5">
        <w:rPr>
          <w:noProof/>
        </w:rPr>
      </w:r>
      <w:r>
        <w:rPr>
          <w:noProof/>
        </w:rPr>
        <w:fldChar w:fldCharType="separate"/>
      </w:r>
      <w:r w:rsidR="005C1EEF">
        <w:rPr>
          <w:noProof/>
        </w:rPr>
        <w:t>48</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2.11 </w:t>
      </w:r>
      <w:r w:rsidRPr="00B73A1B">
        <w:rPr>
          <w:rFonts w:ascii="Arial" w:hAnsi="Arial" w:cs="Arial"/>
          <w:b w:val="0"/>
          <w:noProof/>
        </w:rPr>
        <w:t>Gráfica temporal de la compañía D.U.</w:t>
      </w:r>
      <w:r>
        <w:rPr>
          <w:noProof/>
        </w:rPr>
        <w:tab/>
      </w:r>
      <w:r>
        <w:rPr>
          <w:noProof/>
        </w:rPr>
        <w:fldChar w:fldCharType="begin"/>
      </w:r>
      <w:r>
        <w:rPr>
          <w:noProof/>
        </w:rPr>
        <w:instrText xml:space="preserve"> PAGEREF _Toc183700157 \h </w:instrText>
      </w:r>
      <w:r w:rsidR="00214AD5">
        <w:rPr>
          <w:noProof/>
        </w:rPr>
      </w:r>
      <w:r>
        <w:rPr>
          <w:noProof/>
        </w:rPr>
        <w:fldChar w:fldCharType="separate"/>
      </w:r>
      <w:r w:rsidR="005C1EEF">
        <w:rPr>
          <w:noProof/>
        </w:rPr>
        <w:t>50</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2.12. </w:t>
      </w:r>
      <w:r w:rsidRPr="00B73A1B">
        <w:rPr>
          <w:rFonts w:ascii="Arial" w:hAnsi="Arial" w:cs="Arial"/>
          <w:b w:val="0"/>
          <w:noProof/>
        </w:rPr>
        <w:t>Diagrama de barra. Compañía M.I. Banco Produbanco.</w:t>
      </w:r>
      <w:r>
        <w:rPr>
          <w:noProof/>
        </w:rPr>
        <w:tab/>
      </w:r>
      <w:r>
        <w:rPr>
          <w:noProof/>
        </w:rPr>
        <w:fldChar w:fldCharType="begin"/>
      </w:r>
      <w:r>
        <w:rPr>
          <w:noProof/>
        </w:rPr>
        <w:instrText xml:space="preserve"> PAGEREF _Toc183700159 \h </w:instrText>
      </w:r>
      <w:r w:rsidR="00214AD5">
        <w:rPr>
          <w:noProof/>
        </w:rPr>
      </w:r>
      <w:r>
        <w:rPr>
          <w:noProof/>
        </w:rPr>
        <w:fldChar w:fldCharType="separate"/>
      </w:r>
      <w:r w:rsidR="005C1EEF">
        <w:rPr>
          <w:noProof/>
        </w:rPr>
        <w:t>51</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2.13. </w:t>
      </w:r>
      <w:r w:rsidRPr="00B73A1B">
        <w:rPr>
          <w:rFonts w:ascii="Arial" w:hAnsi="Arial" w:cs="Arial"/>
          <w:b w:val="0"/>
          <w:noProof/>
        </w:rPr>
        <w:t>Diagrama de pastel. Compañía M.I. Banco Produbanco.</w:t>
      </w:r>
      <w:r>
        <w:rPr>
          <w:noProof/>
        </w:rPr>
        <w:tab/>
      </w:r>
      <w:r>
        <w:rPr>
          <w:noProof/>
        </w:rPr>
        <w:fldChar w:fldCharType="begin"/>
      </w:r>
      <w:r>
        <w:rPr>
          <w:noProof/>
        </w:rPr>
        <w:instrText xml:space="preserve"> PAGEREF _Toc183700161 \h </w:instrText>
      </w:r>
      <w:r w:rsidR="00214AD5">
        <w:rPr>
          <w:noProof/>
        </w:rPr>
      </w:r>
      <w:r>
        <w:rPr>
          <w:noProof/>
        </w:rPr>
        <w:fldChar w:fldCharType="separate"/>
      </w:r>
      <w:r w:rsidR="005C1EEF">
        <w:rPr>
          <w:noProof/>
        </w:rPr>
        <w:t>52</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2.14. </w:t>
      </w:r>
      <w:r w:rsidRPr="00B73A1B">
        <w:rPr>
          <w:rFonts w:ascii="Arial" w:hAnsi="Arial" w:cs="Arial"/>
          <w:b w:val="0"/>
          <w:noProof/>
        </w:rPr>
        <w:t>Diagrama de barra. Compañía M.I. Banco Produfondos.</w:t>
      </w:r>
      <w:r>
        <w:rPr>
          <w:noProof/>
        </w:rPr>
        <w:tab/>
      </w:r>
      <w:r>
        <w:rPr>
          <w:noProof/>
        </w:rPr>
        <w:fldChar w:fldCharType="begin"/>
      </w:r>
      <w:r>
        <w:rPr>
          <w:noProof/>
        </w:rPr>
        <w:instrText xml:space="preserve"> PAGEREF _Toc183700165 \h </w:instrText>
      </w:r>
      <w:r w:rsidR="00214AD5">
        <w:rPr>
          <w:noProof/>
        </w:rPr>
      </w:r>
      <w:r>
        <w:rPr>
          <w:noProof/>
        </w:rPr>
        <w:fldChar w:fldCharType="separate"/>
      </w:r>
      <w:r w:rsidR="005C1EEF">
        <w:rPr>
          <w:noProof/>
        </w:rPr>
        <w:t>55</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2.15. </w:t>
      </w:r>
      <w:r w:rsidRPr="00B73A1B">
        <w:rPr>
          <w:rFonts w:ascii="Arial" w:hAnsi="Arial" w:cs="Arial"/>
          <w:b w:val="0"/>
          <w:noProof/>
        </w:rPr>
        <w:t>Diagrama de pastel. Compañía M.I. Banco Produfondos.</w:t>
      </w:r>
      <w:r>
        <w:rPr>
          <w:noProof/>
        </w:rPr>
        <w:tab/>
      </w:r>
      <w:r>
        <w:rPr>
          <w:noProof/>
        </w:rPr>
        <w:fldChar w:fldCharType="begin"/>
      </w:r>
      <w:r>
        <w:rPr>
          <w:noProof/>
        </w:rPr>
        <w:instrText xml:space="preserve"> PAGEREF _Toc183700167 \h </w:instrText>
      </w:r>
      <w:r w:rsidR="00214AD5">
        <w:rPr>
          <w:noProof/>
        </w:rPr>
      </w:r>
      <w:r>
        <w:rPr>
          <w:noProof/>
        </w:rPr>
        <w:fldChar w:fldCharType="separate"/>
      </w:r>
      <w:r w:rsidR="005C1EEF">
        <w:rPr>
          <w:noProof/>
        </w:rPr>
        <w:t>56</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bCs w:val="0"/>
          <w:noProof/>
        </w:rPr>
        <w:t>Gráfico 2.16</w:t>
      </w:r>
      <w:r w:rsidRPr="00B73A1B">
        <w:rPr>
          <w:rFonts w:ascii="Arial" w:hAnsi="Arial"/>
          <w:b w:val="0"/>
          <w:bCs w:val="0"/>
          <w:noProof/>
        </w:rPr>
        <w:t xml:space="preserve"> </w:t>
      </w:r>
      <w:r w:rsidRPr="00B73A1B">
        <w:rPr>
          <w:rFonts w:ascii="Arial" w:hAnsi="Arial"/>
          <w:b w:val="0"/>
          <w:noProof/>
        </w:rPr>
        <w:t>Gráfica temporal de la compañía M.I.</w:t>
      </w:r>
      <w:r>
        <w:rPr>
          <w:noProof/>
        </w:rPr>
        <w:tab/>
      </w:r>
      <w:r>
        <w:rPr>
          <w:noProof/>
        </w:rPr>
        <w:fldChar w:fldCharType="begin"/>
      </w:r>
      <w:r>
        <w:rPr>
          <w:noProof/>
        </w:rPr>
        <w:instrText xml:space="preserve"> PAGEREF _Toc183700172 \h </w:instrText>
      </w:r>
      <w:r w:rsidR="00214AD5">
        <w:rPr>
          <w:noProof/>
        </w:rPr>
      </w:r>
      <w:r>
        <w:rPr>
          <w:noProof/>
        </w:rPr>
        <w:fldChar w:fldCharType="separate"/>
      </w:r>
      <w:r w:rsidR="005C1EEF">
        <w:rPr>
          <w:noProof/>
        </w:rPr>
        <w:t>58</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2.17 </w:t>
      </w:r>
      <w:r w:rsidRPr="00B73A1B">
        <w:rPr>
          <w:rFonts w:ascii="Arial" w:hAnsi="Arial" w:cs="Arial"/>
          <w:b w:val="0"/>
          <w:noProof/>
        </w:rPr>
        <w:t>Diagrama de barra. Compañía F.A. Banco Produbanco.</w:t>
      </w:r>
      <w:r>
        <w:rPr>
          <w:noProof/>
        </w:rPr>
        <w:tab/>
      </w:r>
      <w:r>
        <w:rPr>
          <w:noProof/>
        </w:rPr>
        <w:fldChar w:fldCharType="begin"/>
      </w:r>
      <w:r>
        <w:rPr>
          <w:noProof/>
        </w:rPr>
        <w:instrText xml:space="preserve"> PAGEREF _Toc183700174 \h </w:instrText>
      </w:r>
      <w:r w:rsidR="00214AD5">
        <w:rPr>
          <w:noProof/>
        </w:rPr>
      </w:r>
      <w:r>
        <w:rPr>
          <w:noProof/>
        </w:rPr>
        <w:fldChar w:fldCharType="separate"/>
      </w:r>
      <w:r w:rsidR="005C1EEF">
        <w:rPr>
          <w:noProof/>
        </w:rPr>
        <w:t>59</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Gráfico 2.18</w:t>
      </w:r>
      <w:r w:rsidRPr="00B73A1B">
        <w:rPr>
          <w:rFonts w:ascii="Arial" w:hAnsi="Arial" w:cs="Arial"/>
          <w:b w:val="0"/>
          <w:noProof/>
        </w:rPr>
        <w:t>. Diagrama de pastel. Compañía F.A. Banco Produbanco.</w:t>
      </w:r>
      <w:r>
        <w:rPr>
          <w:noProof/>
        </w:rPr>
        <w:tab/>
      </w:r>
      <w:r>
        <w:rPr>
          <w:noProof/>
        </w:rPr>
        <w:fldChar w:fldCharType="begin"/>
      </w:r>
      <w:r>
        <w:rPr>
          <w:noProof/>
        </w:rPr>
        <w:instrText xml:space="preserve"> PAGEREF _Toc183700176 \h </w:instrText>
      </w:r>
      <w:r w:rsidR="00214AD5">
        <w:rPr>
          <w:noProof/>
        </w:rPr>
      </w:r>
      <w:r>
        <w:rPr>
          <w:noProof/>
        </w:rPr>
        <w:fldChar w:fldCharType="separate"/>
      </w:r>
      <w:r w:rsidR="005C1EEF">
        <w:rPr>
          <w:noProof/>
        </w:rPr>
        <w:t>60</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Gráfico 2.19.</w:t>
      </w:r>
      <w:r w:rsidRPr="00B73A1B">
        <w:rPr>
          <w:rFonts w:ascii="Arial" w:hAnsi="Arial" w:cs="Arial"/>
          <w:b w:val="0"/>
          <w:noProof/>
        </w:rPr>
        <w:t xml:space="preserve"> Diagrama de barra. Compañía F.A. Banco Produfondos.</w:t>
      </w:r>
      <w:r>
        <w:rPr>
          <w:noProof/>
        </w:rPr>
        <w:tab/>
      </w:r>
      <w:r>
        <w:rPr>
          <w:noProof/>
        </w:rPr>
        <w:fldChar w:fldCharType="begin"/>
      </w:r>
      <w:r>
        <w:rPr>
          <w:noProof/>
        </w:rPr>
        <w:instrText xml:space="preserve"> PAGEREF _Toc183700180 \h </w:instrText>
      </w:r>
      <w:r w:rsidR="00214AD5">
        <w:rPr>
          <w:noProof/>
        </w:rPr>
      </w:r>
      <w:r>
        <w:rPr>
          <w:noProof/>
        </w:rPr>
        <w:fldChar w:fldCharType="separate"/>
      </w:r>
      <w:r w:rsidR="005C1EEF">
        <w:rPr>
          <w:noProof/>
        </w:rPr>
        <w:t>62</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2.20. </w:t>
      </w:r>
      <w:r w:rsidRPr="00B73A1B">
        <w:rPr>
          <w:rFonts w:ascii="Arial" w:hAnsi="Arial" w:cs="Arial"/>
          <w:b w:val="0"/>
          <w:noProof/>
        </w:rPr>
        <w:t>Diagrama de pastel. Compañía F.A. Banco Produfondos.</w:t>
      </w:r>
      <w:r>
        <w:rPr>
          <w:noProof/>
        </w:rPr>
        <w:tab/>
      </w:r>
      <w:r>
        <w:rPr>
          <w:noProof/>
        </w:rPr>
        <w:fldChar w:fldCharType="begin"/>
      </w:r>
      <w:r>
        <w:rPr>
          <w:noProof/>
        </w:rPr>
        <w:instrText xml:space="preserve"> PAGEREF _Toc183700182 \h </w:instrText>
      </w:r>
      <w:r w:rsidR="00214AD5">
        <w:rPr>
          <w:noProof/>
        </w:rPr>
      </w:r>
      <w:r>
        <w:rPr>
          <w:noProof/>
        </w:rPr>
        <w:fldChar w:fldCharType="separate"/>
      </w:r>
      <w:r w:rsidR="005C1EEF">
        <w:rPr>
          <w:noProof/>
        </w:rPr>
        <w:t>63</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2.21 </w:t>
      </w:r>
      <w:r w:rsidRPr="00B73A1B">
        <w:rPr>
          <w:rFonts w:ascii="Arial" w:hAnsi="Arial" w:cs="Arial"/>
          <w:b w:val="0"/>
          <w:noProof/>
        </w:rPr>
        <w:t>Gráfica temporal de la compañía F.A.</w:t>
      </w:r>
      <w:r>
        <w:rPr>
          <w:noProof/>
        </w:rPr>
        <w:tab/>
      </w:r>
      <w:r>
        <w:rPr>
          <w:noProof/>
        </w:rPr>
        <w:fldChar w:fldCharType="begin"/>
      </w:r>
      <w:r>
        <w:rPr>
          <w:noProof/>
        </w:rPr>
        <w:instrText xml:space="preserve"> PAGEREF _Toc183700187 \h </w:instrText>
      </w:r>
      <w:r w:rsidR="00214AD5">
        <w:rPr>
          <w:noProof/>
        </w:rPr>
      </w:r>
      <w:r>
        <w:rPr>
          <w:noProof/>
        </w:rPr>
        <w:fldChar w:fldCharType="separate"/>
      </w:r>
      <w:r w:rsidR="005C1EEF">
        <w:rPr>
          <w:noProof/>
        </w:rPr>
        <w:t>65</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bCs w:val="0"/>
          <w:noProof/>
        </w:rPr>
        <w:t>Gráfico 2.22</w:t>
      </w:r>
      <w:r w:rsidRPr="00B73A1B">
        <w:rPr>
          <w:rFonts w:ascii="Arial" w:hAnsi="Arial" w:cs="Arial"/>
          <w:noProof/>
        </w:rPr>
        <w:t xml:space="preserve"> </w:t>
      </w:r>
      <w:r w:rsidRPr="00B73A1B">
        <w:rPr>
          <w:rFonts w:ascii="Arial" w:hAnsi="Arial" w:cs="Arial"/>
          <w:b w:val="0"/>
          <w:noProof/>
        </w:rPr>
        <w:t>Diagrama de barra. Compañías seleccionadas con sus diferencias.</w:t>
      </w:r>
      <w:r>
        <w:rPr>
          <w:noProof/>
        </w:rPr>
        <w:tab/>
      </w:r>
      <w:r>
        <w:rPr>
          <w:noProof/>
        </w:rPr>
        <w:fldChar w:fldCharType="begin"/>
      </w:r>
      <w:r>
        <w:rPr>
          <w:noProof/>
        </w:rPr>
        <w:instrText xml:space="preserve"> PAGEREF _Toc183700189 \h </w:instrText>
      </w:r>
      <w:r w:rsidR="00214AD5">
        <w:rPr>
          <w:noProof/>
        </w:rPr>
      </w:r>
      <w:r>
        <w:rPr>
          <w:noProof/>
        </w:rPr>
        <w:fldChar w:fldCharType="separate"/>
      </w:r>
      <w:r w:rsidR="005C1EEF">
        <w:rPr>
          <w:noProof/>
        </w:rPr>
        <w:t>67</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noProof/>
        </w:rPr>
        <w:t xml:space="preserve">Gráfico 2.23. </w:t>
      </w:r>
      <w:r w:rsidRPr="00B73A1B">
        <w:rPr>
          <w:rFonts w:ascii="Arial" w:hAnsi="Arial"/>
          <w:b w:val="0"/>
          <w:noProof/>
        </w:rPr>
        <w:t>Diagrama de pastel de las diferencias generales de todas las Compañías.</w:t>
      </w:r>
      <w:r>
        <w:rPr>
          <w:noProof/>
        </w:rPr>
        <w:tab/>
      </w:r>
      <w:r>
        <w:rPr>
          <w:noProof/>
        </w:rPr>
        <w:fldChar w:fldCharType="begin"/>
      </w:r>
      <w:r>
        <w:rPr>
          <w:noProof/>
        </w:rPr>
        <w:instrText xml:space="preserve"> PAGEREF _Toc183700193 \h </w:instrText>
      </w:r>
      <w:r w:rsidR="00214AD5">
        <w:rPr>
          <w:noProof/>
        </w:rPr>
      </w:r>
      <w:r>
        <w:rPr>
          <w:noProof/>
        </w:rPr>
        <w:fldChar w:fldCharType="separate"/>
      </w:r>
      <w:r w:rsidR="005C1EEF">
        <w:rPr>
          <w:noProof/>
        </w:rPr>
        <w:t>69</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2.24 </w:t>
      </w:r>
      <w:r w:rsidRPr="00B73A1B">
        <w:rPr>
          <w:rFonts w:ascii="Arial" w:hAnsi="Arial" w:cs="Arial"/>
          <w:b w:val="0"/>
          <w:noProof/>
        </w:rPr>
        <w:t>Gráfica temporal de las compañías seleccionadas.</w:t>
      </w:r>
      <w:r>
        <w:rPr>
          <w:noProof/>
        </w:rPr>
        <w:tab/>
      </w:r>
      <w:r>
        <w:rPr>
          <w:noProof/>
        </w:rPr>
        <w:fldChar w:fldCharType="begin"/>
      </w:r>
      <w:r>
        <w:rPr>
          <w:noProof/>
        </w:rPr>
        <w:instrText xml:space="preserve"> PAGEREF _Toc183700197 \h </w:instrText>
      </w:r>
      <w:r w:rsidR="00214AD5">
        <w:rPr>
          <w:noProof/>
        </w:rPr>
      </w:r>
      <w:r>
        <w:rPr>
          <w:noProof/>
        </w:rPr>
        <w:fldChar w:fldCharType="separate"/>
      </w:r>
      <w:r w:rsidR="005C1EEF">
        <w:rPr>
          <w:noProof/>
        </w:rPr>
        <w:t>71</w:t>
      </w:r>
      <w:r>
        <w:rPr>
          <w:noProof/>
        </w:rPr>
        <w:fldChar w:fldCharType="end"/>
      </w:r>
    </w:p>
    <w:p w:rsidR="00737252" w:rsidRDefault="00737252">
      <w:pPr>
        <w:pStyle w:val="TDC1"/>
        <w:tabs>
          <w:tab w:val="right" w:leader="dot" w:pos="8267"/>
        </w:tabs>
        <w:rPr>
          <w:rFonts w:eastAsia="Times New Roman"/>
          <w:b w:val="0"/>
          <w:bCs w:val="0"/>
          <w:i w:val="0"/>
          <w:iCs w:val="0"/>
          <w:noProof/>
        </w:rPr>
      </w:pPr>
      <w:r w:rsidRPr="00B73A1B">
        <w:rPr>
          <w:rFonts w:ascii="Arial" w:hAnsi="Arial" w:cs="Arial"/>
          <w:noProof/>
        </w:rPr>
        <w:t xml:space="preserve">Gráfico 2.25.  </w:t>
      </w:r>
      <w:r w:rsidRPr="00B73A1B">
        <w:rPr>
          <w:rFonts w:ascii="Arial" w:hAnsi="Arial" w:cs="Arial"/>
          <w:b w:val="0"/>
          <w:noProof/>
        </w:rPr>
        <w:t>Gráfico del diagrama de dispersión.</w:t>
      </w:r>
      <w:r>
        <w:rPr>
          <w:noProof/>
        </w:rPr>
        <w:tab/>
      </w:r>
      <w:r>
        <w:rPr>
          <w:noProof/>
        </w:rPr>
        <w:fldChar w:fldCharType="begin"/>
      </w:r>
      <w:r>
        <w:rPr>
          <w:noProof/>
        </w:rPr>
        <w:instrText xml:space="preserve"> PAGEREF _Toc183700200 \h </w:instrText>
      </w:r>
      <w:r w:rsidR="00214AD5">
        <w:rPr>
          <w:noProof/>
        </w:rPr>
      </w:r>
      <w:r>
        <w:rPr>
          <w:noProof/>
        </w:rPr>
        <w:fldChar w:fldCharType="separate"/>
      </w:r>
      <w:r w:rsidR="005C1EEF">
        <w:rPr>
          <w:noProof/>
        </w:rPr>
        <w:t>73</w:t>
      </w:r>
      <w:r>
        <w:rPr>
          <w:noProof/>
        </w:rPr>
        <w:fldChar w:fldCharType="end"/>
      </w:r>
    </w:p>
    <w:p w:rsidR="00B642EF" w:rsidRPr="0094103F" w:rsidRDefault="00737252" w:rsidP="003E6D18">
      <w:pPr>
        <w:pStyle w:val="Ttulo1"/>
        <w:spacing w:line="480" w:lineRule="auto"/>
        <w:jc w:val="center"/>
        <w:rPr>
          <w:rFonts w:ascii="Arial" w:hAnsi="Arial" w:cs="Arial"/>
          <w:sz w:val="32"/>
          <w:szCs w:val="32"/>
          <w:u w:val="single"/>
        </w:rPr>
      </w:pPr>
      <w:r>
        <w:fldChar w:fldCharType="end"/>
      </w:r>
      <w:r w:rsidR="00973C80" w:rsidRPr="00000C6C">
        <w:br w:type="page"/>
      </w:r>
      <w:bookmarkStart w:id="181" w:name="_Toc183699529"/>
      <w:bookmarkStart w:id="182" w:name="_Toc183699828"/>
      <w:bookmarkStart w:id="183" w:name="_Toc183700101"/>
      <w:bookmarkStart w:id="184" w:name="_Toc183700317"/>
      <w:bookmarkStart w:id="185" w:name="_Toc183700318"/>
      <w:bookmarkStart w:id="186" w:name="_Toc183700609"/>
      <w:bookmarkStart w:id="187" w:name="_Toc183700610"/>
      <w:bookmarkStart w:id="188" w:name="_Toc183700860"/>
      <w:bookmarkStart w:id="189" w:name="_Toc183700861"/>
      <w:r w:rsidR="00B642EF" w:rsidRPr="0094103F">
        <w:rPr>
          <w:rFonts w:ascii="Arial" w:hAnsi="Arial" w:cs="Arial"/>
          <w:sz w:val="32"/>
          <w:szCs w:val="32"/>
          <w:u w:val="single"/>
        </w:rPr>
        <w:lastRenderedPageBreak/>
        <w:t>INTRODUCCIÓN</w:t>
      </w:r>
      <w:bookmarkEnd w:id="177"/>
      <w:bookmarkEnd w:id="178"/>
      <w:bookmarkEnd w:id="179"/>
      <w:bookmarkEnd w:id="180"/>
      <w:bookmarkEnd w:id="181"/>
      <w:bookmarkEnd w:id="182"/>
      <w:bookmarkEnd w:id="183"/>
      <w:bookmarkEnd w:id="184"/>
      <w:bookmarkEnd w:id="185"/>
      <w:bookmarkEnd w:id="186"/>
      <w:bookmarkEnd w:id="187"/>
      <w:bookmarkEnd w:id="188"/>
      <w:bookmarkEnd w:id="189"/>
    </w:p>
    <w:p w:rsidR="00B642EF" w:rsidRDefault="00B642EF" w:rsidP="00B642EF">
      <w:pPr>
        <w:spacing w:line="480" w:lineRule="auto"/>
        <w:jc w:val="both"/>
        <w:rPr>
          <w:rFonts w:ascii="Arial" w:hAnsi="Arial" w:cs="Arial"/>
        </w:rPr>
      </w:pPr>
    </w:p>
    <w:p w:rsidR="00B642EF" w:rsidRPr="00B1569E" w:rsidRDefault="00B642EF" w:rsidP="00B642EF">
      <w:pPr>
        <w:spacing w:line="480" w:lineRule="auto"/>
        <w:jc w:val="both"/>
        <w:rPr>
          <w:rFonts w:ascii="Arial" w:hAnsi="Arial" w:cs="Arial"/>
          <w:lang w:val="es-EC"/>
        </w:rPr>
      </w:pPr>
      <w:r>
        <w:rPr>
          <w:rFonts w:ascii="Arial" w:hAnsi="Arial" w:cs="Arial"/>
        </w:rPr>
        <w:t>Este trabajo</w:t>
      </w:r>
      <w:r>
        <w:rPr>
          <w:rFonts w:ascii="Arial" w:hAnsi="Arial" w:cs="Arial"/>
          <w:lang w:val="es-EC"/>
        </w:rPr>
        <w:t xml:space="preserve"> consiste </w:t>
      </w:r>
      <w:r w:rsidRPr="00B1569E">
        <w:rPr>
          <w:rFonts w:ascii="Arial" w:hAnsi="Arial" w:cs="Arial"/>
          <w:lang w:val="es-EC"/>
        </w:rPr>
        <w:t>en realizar un análisis téc</w:t>
      </w:r>
      <w:r>
        <w:rPr>
          <w:rFonts w:ascii="Arial" w:hAnsi="Arial" w:cs="Arial"/>
          <w:lang w:val="es-EC"/>
        </w:rPr>
        <w:t>nico de los saldos de los balances generales</w:t>
      </w:r>
      <w:r w:rsidRPr="00B1569E">
        <w:rPr>
          <w:rFonts w:ascii="Arial" w:hAnsi="Arial" w:cs="Arial"/>
          <w:lang w:val="es-EC"/>
        </w:rPr>
        <w:t xml:space="preserve"> y de los</w:t>
      </w:r>
      <w:r>
        <w:rPr>
          <w:rFonts w:ascii="Arial" w:hAnsi="Arial" w:cs="Arial"/>
          <w:lang w:val="es-EC"/>
        </w:rPr>
        <w:t xml:space="preserve"> saldos </w:t>
      </w:r>
      <w:r w:rsidRPr="00B1569E">
        <w:rPr>
          <w:rFonts w:ascii="Arial" w:hAnsi="Arial" w:cs="Arial"/>
          <w:lang w:val="es-EC"/>
        </w:rPr>
        <w:t>de las conciliaciones bancarias</w:t>
      </w:r>
      <w:r>
        <w:rPr>
          <w:rFonts w:ascii="Arial" w:hAnsi="Arial" w:cs="Arial"/>
          <w:lang w:val="es-EC"/>
        </w:rPr>
        <w:t>, que se efectúa con los</w:t>
      </w:r>
      <w:r w:rsidRPr="00B1569E">
        <w:rPr>
          <w:rFonts w:ascii="Arial" w:hAnsi="Arial" w:cs="Arial"/>
          <w:lang w:val="es-EC"/>
        </w:rPr>
        <w:t xml:space="preserve"> estados de cuenta </w:t>
      </w:r>
      <w:r>
        <w:rPr>
          <w:rFonts w:ascii="Arial" w:hAnsi="Arial" w:cs="Arial"/>
          <w:lang w:val="es-EC"/>
        </w:rPr>
        <w:t xml:space="preserve">de los </w:t>
      </w:r>
      <w:r w:rsidRPr="00B1569E">
        <w:rPr>
          <w:rFonts w:ascii="Arial" w:hAnsi="Arial" w:cs="Arial"/>
          <w:lang w:val="es-EC"/>
        </w:rPr>
        <w:t xml:space="preserve">distintos bancos </w:t>
      </w:r>
      <w:r>
        <w:rPr>
          <w:rFonts w:ascii="Arial" w:hAnsi="Arial" w:cs="Arial"/>
          <w:lang w:val="es-EC"/>
        </w:rPr>
        <w:t>en los que ejecuta sus transacciones la</w:t>
      </w:r>
      <w:r w:rsidRPr="00B1569E">
        <w:rPr>
          <w:rFonts w:ascii="Arial" w:hAnsi="Arial" w:cs="Arial"/>
          <w:lang w:val="es-EC"/>
        </w:rPr>
        <w:t xml:space="preserve"> empresa seleccionada</w:t>
      </w:r>
      <w:r>
        <w:rPr>
          <w:rFonts w:ascii="Arial" w:hAnsi="Arial" w:cs="Arial"/>
          <w:lang w:val="es-EC"/>
        </w:rPr>
        <w:t xml:space="preserve">. Para realizar </w:t>
      </w:r>
      <w:r w:rsidRPr="00B1569E">
        <w:rPr>
          <w:rFonts w:ascii="Arial" w:hAnsi="Arial" w:cs="Arial"/>
          <w:lang w:val="es-EC"/>
        </w:rPr>
        <w:t xml:space="preserve">este trabajo de  tesis </w:t>
      </w:r>
      <w:r>
        <w:rPr>
          <w:rFonts w:ascii="Arial" w:hAnsi="Arial" w:cs="Arial"/>
          <w:lang w:val="es-EC"/>
        </w:rPr>
        <w:t xml:space="preserve">debemos mencionar que se trata de </w:t>
      </w:r>
      <w:r w:rsidRPr="00B1569E">
        <w:rPr>
          <w:rFonts w:ascii="Arial" w:hAnsi="Arial" w:cs="Arial"/>
          <w:lang w:val="es-EC"/>
        </w:rPr>
        <w:t xml:space="preserve">una inmobiliaria que </w:t>
      </w:r>
      <w:r>
        <w:rPr>
          <w:rFonts w:ascii="Arial" w:hAnsi="Arial" w:cs="Arial"/>
          <w:lang w:val="es-EC"/>
        </w:rPr>
        <w:t xml:space="preserve">realiza distintos proyectos </w:t>
      </w:r>
      <w:r w:rsidRPr="00B1569E">
        <w:rPr>
          <w:rFonts w:ascii="Arial" w:hAnsi="Arial" w:cs="Arial"/>
          <w:lang w:val="es-EC"/>
        </w:rPr>
        <w:t xml:space="preserve">que son administrados por un grupo </w:t>
      </w:r>
      <w:r>
        <w:rPr>
          <w:rFonts w:ascii="Arial" w:hAnsi="Arial" w:cs="Arial"/>
          <w:lang w:val="es-EC"/>
        </w:rPr>
        <w:t xml:space="preserve">de compañías, es considerada </w:t>
      </w:r>
      <w:r w:rsidRPr="00B1569E">
        <w:rPr>
          <w:rFonts w:ascii="Arial" w:hAnsi="Arial" w:cs="Arial"/>
          <w:lang w:val="es-EC"/>
        </w:rPr>
        <w:t>mediana</w:t>
      </w:r>
      <w:r>
        <w:rPr>
          <w:rFonts w:ascii="Arial" w:hAnsi="Arial" w:cs="Arial"/>
          <w:lang w:val="es-EC"/>
        </w:rPr>
        <w:t xml:space="preserve"> con oportunidades de convertirse en una empresa</w:t>
      </w:r>
      <w:r w:rsidRPr="00B1569E">
        <w:rPr>
          <w:rFonts w:ascii="Arial" w:hAnsi="Arial" w:cs="Arial"/>
          <w:lang w:val="es-EC"/>
        </w:rPr>
        <w:t xml:space="preserve"> grande, por lo cual es dirigida</w:t>
      </w:r>
      <w:r>
        <w:rPr>
          <w:rFonts w:ascii="Arial" w:hAnsi="Arial" w:cs="Arial"/>
          <w:lang w:val="es-EC"/>
        </w:rPr>
        <w:t xml:space="preserve"> a personas de clase media alta. </w:t>
      </w:r>
      <w:r w:rsidRPr="00B1569E">
        <w:rPr>
          <w:rFonts w:ascii="Arial" w:hAnsi="Arial" w:cs="Arial"/>
          <w:lang w:val="es-EC"/>
        </w:rPr>
        <w:t>Como la mayoría de las empresas</w:t>
      </w:r>
      <w:r>
        <w:rPr>
          <w:rFonts w:ascii="Arial" w:hAnsi="Arial" w:cs="Arial"/>
          <w:lang w:val="es-EC"/>
        </w:rPr>
        <w:t>, está</w:t>
      </w:r>
      <w:r w:rsidRPr="00B1569E">
        <w:rPr>
          <w:rFonts w:ascii="Arial" w:hAnsi="Arial" w:cs="Arial"/>
          <w:lang w:val="es-EC"/>
        </w:rPr>
        <w:t xml:space="preserve"> también tiene sus competencias</w:t>
      </w:r>
      <w:r>
        <w:rPr>
          <w:rFonts w:ascii="Arial" w:hAnsi="Arial" w:cs="Arial"/>
          <w:lang w:val="es-EC"/>
        </w:rPr>
        <w:t>,</w:t>
      </w:r>
      <w:r w:rsidRPr="00B1569E">
        <w:rPr>
          <w:rFonts w:ascii="Arial" w:hAnsi="Arial" w:cs="Arial"/>
          <w:lang w:val="es-EC"/>
        </w:rPr>
        <w:t xml:space="preserve"> por lo que realiza promociones</w:t>
      </w:r>
      <w:r>
        <w:rPr>
          <w:rFonts w:ascii="Arial" w:hAnsi="Arial" w:cs="Arial"/>
          <w:lang w:val="es-EC"/>
        </w:rPr>
        <w:t>,</w:t>
      </w:r>
      <w:r w:rsidRPr="00B1569E">
        <w:rPr>
          <w:rFonts w:ascii="Arial" w:hAnsi="Arial" w:cs="Arial"/>
          <w:lang w:val="es-EC"/>
        </w:rPr>
        <w:t xml:space="preserve"> entre o</w:t>
      </w:r>
      <w:r>
        <w:rPr>
          <w:rFonts w:ascii="Arial" w:hAnsi="Arial" w:cs="Arial"/>
          <w:lang w:val="es-EC"/>
        </w:rPr>
        <w:t>t</w:t>
      </w:r>
      <w:r w:rsidRPr="00B1569E">
        <w:rPr>
          <w:rFonts w:ascii="Arial" w:hAnsi="Arial" w:cs="Arial"/>
          <w:lang w:val="es-EC"/>
        </w:rPr>
        <w:t>ras actividades</w:t>
      </w:r>
      <w:r>
        <w:rPr>
          <w:rFonts w:ascii="Arial" w:hAnsi="Arial" w:cs="Arial"/>
          <w:lang w:val="es-EC"/>
        </w:rPr>
        <w:t>,</w:t>
      </w:r>
      <w:r w:rsidRPr="00B1569E">
        <w:rPr>
          <w:rFonts w:ascii="Arial" w:hAnsi="Arial" w:cs="Arial"/>
          <w:lang w:val="es-EC"/>
        </w:rPr>
        <w:t xml:space="preserve"> para atraer más a sus clientes.</w:t>
      </w:r>
    </w:p>
    <w:p w:rsidR="00B642EF" w:rsidRDefault="00B642EF" w:rsidP="00B642EF">
      <w:pPr>
        <w:spacing w:line="480" w:lineRule="auto"/>
        <w:jc w:val="both"/>
        <w:rPr>
          <w:rFonts w:ascii="Arial" w:hAnsi="Arial" w:cs="Arial"/>
          <w:lang w:val="es-EC"/>
        </w:rPr>
      </w:pPr>
      <w:r w:rsidRPr="00B1569E">
        <w:rPr>
          <w:rFonts w:ascii="Arial" w:hAnsi="Arial" w:cs="Arial"/>
          <w:lang w:val="es-EC"/>
        </w:rPr>
        <w:t>El objetivo es verificar que ambos saldos</w:t>
      </w:r>
      <w:r>
        <w:rPr>
          <w:rFonts w:ascii="Arial" w:hAnsi="Arial" w:cs="Arial"/>
          <w:lang w:val="es-EC"/>
        </w:rPr>
        <w:t xml:space="preserve"> tanto el de los balances generales como el que aparece en las conciliaciones</w:t>
      </w:r>
      <w:r w:rsidRPr="00B1569E">
        <w:rPr>
          <w:rFonts w:ascii="Arial" w:hAnsi="Arial" w:cs="Arial"/>
          <w:lang w:val="es-EC"/>
        </w:rPr>
        <w:t xml:space="preserve"> </w:t>
      </w:r>
      <w:r>
        <w:rPr>
          <w:rFonts w:ascii="Arial" w:hAnsi="Arial" w:cs="Arial"/>
          <w:lang w:val="es-EC"/>
        </w:rPr>
        <w:t xml:space="preserve">bancarias </w:t>
      </w:r>
      <w:r w:rsidRPr="00B1569E">
        <w:rPr>
          <w:rFonts w:ascii="Arial" w:hAnsi="Arial" w:cs="Arial"/>
          <w:lang w:val="es-EC"/>
        </w:rPr>
        <w:t>sean iguales y si no lo son</w:t>
      </w:r>
      <w:r>
        <w:rPr>
          <w:rFonts w:ascii="Arial" w:hAnsi="Arial" w:cs="Arial"/>
          <w:lang w:val="es-EC"/>
        </w:rPr>
        <w:t xml:space="preserve">, </w:t>
      </w:r>
      <w:r w:rsidRPr="00B1569E">
        <w:rPr>
          <w:rFonts w:ascii="Arial" w:hAnsi="Arial" w:cs="Arial"/>
          <w:lang w:val="es-EC"/>
        </w:rPr>
        <w:t xml:space="preserve">comprobar los motivos por el cual </w:t>
      </w:r>
      <w:r>
        <w:rPr>
          <w:rFonts w:ascii="Arial" w:hAnsi="Arial" w:cs="Arial"/>
          <w:lang w:val="es-EC"/>
        </w:rPr>
        <w:t>esto no ocurre, se revisará</w:t>
      </w:r>
      <w:r w:rsidRPr="00B1569E">
        <w:rPr>
          <w:rFonts w:ascii="Arial" w:hAnsi="Arial" w:cs="Arial"/>
          <w:lang w:val="es-EC"/>
        </w:rPr>
        <w:t xml:space="preserve">n los saldos de las empresas que tienen mayores movimientos </w:t>
      </w:r>
      <w:r>
        <w:rPr>
          <w:rFonts w:ascii="Arial" w:hAnsi="Arial" w:cs="Arial"/>
          <w:lang w:val="es-EC"/>
        </w:rPr>
        <w:t>y que tienen</w:t>
      </w:r>
      <w:r w:rsidRPr="00B1569E">
        <w:rPr>
          <w:rFonts w:ascii="Arial" w:hAnsi="Arial" w:cs="Arial"/>
          <w:lang w:val="es-EC"/>
        </w:rPr>
        <w:t xml:space="preserve"> irregular</w:t>
      </w:r>
      <w:r>
        <w:rPr>
          <w:rFonts w:ascii="Arial" w:hAnsi="Arial" w:cs="Arial"/>
          <w:lang w:val="es-EC"/>
        </w:rPr>
        <w:t>idades bancaria</w:t>
      </w:r>
      <w:r w:rsidRPr="00B1569E">
        <w:rPr>
          <w:rFonts w:ascii="Arial" w:hAnsi="Arial" w:cs="Arial"/>
          <w:lang w:val="es-EC"/>
        </w:rPr>
        <w:t>s</w:t>
      </w:r>
      <w:r>
        <w:rPr>
          <w:rFonts w:ascii="Arial" w:hAnsi="Arial" w:cs="Arial"/>
          <w:lang w:val="es-EC"/>
        </w:rPr>
        <w:t xml:space="preserve"> para lo cual han sido seleccionada las conciliaciones que se han realizado</w:t>
      </w:r>
      <w:r w:rsidRPr="00B1569E">
        <w:rPr>
          <w:rFonts w:ascii="Arial" w:hAnsi="Arial" w:cs="Arial"/>
          <w:lang w:val="es-EC"/>
        </w:rPr>
        <w:t xml:space="preserve"> durante el primer semestre del año 2007</w:t>
      </w:r>
      <w:r>
        <w:rPr>
          <w:rFonts w:ascii="Arial" w:hAnsi="Arial" w:cs="Arial"/>
          <w:lang w:val="es-EC"/>
        </w:rPr>
        <w:t xml:space="preserve"> ya que se pudo observar que durantes los tres años anteriores éste es el que presenta mayores diferencias y con mayor frecuencia.</w:t>
      </w:r>
      <w:r w:rsidRPr="00B1569E">
        <w:rPr>
          <w:rFonts w:ascii="Arial" w:hAnsi="Arial" w:cs="Arial"/>
          <w:lang w:val="es-EC"/>
        </w:rPr>
        <w:t xml:space="preserve"> </w:t>
      </w:r>
    </w:p>
    <w:p w:rsidR="006E1A13" w:rsidRDefault="006E1A13" w:rsidP="00B642EF">
      <w:pPr>
        <w:spacing w:line="480" w:lineRule="auto"/>
        <w:jc w:val="both"/>
        <w:rPr>
          <w:rFonts w:ascii="Arial" w:hAnsi="Arial" w:cs="Arial"/>
          <w:lang w:val="es-EC"/>
        </w:rPr>
      </w:pPr>
    </w:p>
    <w:p w:rsidR="00B642EF" w:rsidRPr="0015136B" w:rsidRDefault="00B642EF" w:rsidP="00B642EF">
      <w:pPr>
        <w:spacing w:line="480" w:lineRule="auto"/>
        <w:jc w:val="both"/>
        <w:rPr>
          <w:rFonts w:ascii="Arial" w:hAnsi="Arial" w:cs="Arial"/>
        </w:rPr>
      </w:pPr>
      <w:r>
        <w:rPr>
          <w:rFonts w:ascii="Arial" w:hAnsi="Arial" w:cs="Arial"/>
        </w:rPr>
        <w:lastRenderedPageBreak/>
        <w:t>Esta empresa señala como significativo los valores que pasan los 100 dólares y esto se lo ha tomado mediante juicio profesional.</w:t>
      </w:r>
    </w:p>
    <w:p w:rsidR="00B642EF" w:rsidRPr="00B1569E" w:rsidRDefault="00B642EF" w:rsidP="00B642EF">
      <w:pPr>
        <w:spacing w:line="480" w:lineRule="auto"/>
        <w:jc w:val="both"/>
        <w:rPr>
          <w:rFonts w:ascii="Arial" w:hAnsi="Arial" w:cs="Arial"/>
          <w:lang w:val="es-EC"/>
        </w:rPr>
      </w:pPr>
      <w:r w:rsidRPr="00B1569E">
        <w:rPr>
          <w:rFonts w:ascii="Arial" w:hAnsi="Arial" w:cs="Arial"/>
          <w:lang w:val="es-EC"/>
        </w:rPr>
        <w:t>Entre los procedimien</w:t>
      </w:r>
      <w:r>
        <w:rPr>
          <w:rFonts w:ascii="Arial" w:hAnsi="Arial" w:cs="Arial"/>
          <w:lang w:val="es-EC"/>
        </w:rPr>
        <w:t xml:space="preserve">tos a seguir se ha considerado </w:t>
      </w:r>
      <w:r w:rsidRPr="00B1569E">
        <w:rPr>
          <w:rFonts w:ascii="Arial" w:hAnsi="Arial" w:cs="Arial"/>
          <w:lang w:val="es-EC"/>
        </w:rPr>
        <w:t>constatar que las conciliaciones bancarias tienen sus estados de cuentas originales, firmas de revisión, que el detalle de cheques girados y no cobrados concilie con la hoja principal</w:t>
      </w:r>
      <w:r>
        <w:rPr>
          <w:rFonts w:ascii="Arial" w:hAnsi="Arial" w:cs="Arial"/>
          <w:lang w:val="es-EC"/>
        </w:rPr>
        <w:t xml:space="preserve"> y que sea verificada </w:t>
      </w:r>
      <w:r w:rsidRPr="00B1569E">
        <w:rPr>
          <w:rFonts w:ascii="Arial" w:hAnsi="Arial" w:cs="Arial"/>
          <w:lang w:val="es-EC"/>
        </w:rPr>
        <w:t>la entrega de todas las conciliaciones.</w:t>
      </w:r>
      <w:r>
        <w:rPr>
          <w:rFonts w:ascii="Arial" w:hAnsi="Arial" w:cs="Arial"/>
          <w:lang w:val="es-EC"/>
        </w:rPr>
        <w:t xml:space="preserve"> Se realizará la evaluación del control interno y analizará los componentes del COSO. Para constatar si existe relación entre las diferentes situaciones la cual pueda afectar en las diferencias de las conciliaciones se realizará un </w:t>
      </w:r>
      <w:r w:rsidRPr="00766088">
        <w:rPr>
          <w:rFonts w:ascii="Arial" w:hAnsi="Arial" w:cs="Arial"/>
          <w:lang w:val="es-EC"/>
        </w:rPr>
        <w:t xml:space="preserve">análisis de correlación. </w:t>
      </w:r>
    </w:p>
    <w:p w:rsidR="00B642EF" w:rsidRDefault="00B642EF" w:rsidP="00B642EF">
      <w:pPr>
        <w:spacing w:line="480" w:lineRule="auto"/>
        <w:jc w:val="both"/>
        <w:rPr>
          <w:rFonts w:ascii="Arial" w:hAnsi="Arial" w:cs="Arial"/>
          <w:lang w:val="es-EC"/>
        </w:rPr>
      </w:pPr>
    </w:p>
    <w:p w:rsidR="00B642EF" w:rsidRPr="00BA38DE" w:rsidRDefault="00B642EF" w:rsidP="00B642EF">
      <w:pPr>
        <w:spacing w:line="480" w:lineRule="auto"/>
        <w:jc w:val="both"/>
        <w:rPr>
          <w:rFonts w:ascii="Arial" w:hAnsi="Arial" w:cs="Arial"/>
        </w:rPr>
      </w:pPr>
      <w:r w:rsidRPr="00B1569E">
        <w:rPr>
          <w:rFonts w:ascii="Arial" w:hAnsi="Arial" w:cs="Arial"/>
          <w:lang w:val="es-EC"/>
        </w:rPr>
        <w:t xml:space="preserve">Obtendremos un informe en el cual se </w:t>
      </w:r>
      <w:r>
        <w:rPr>
          <w:rFonts w:ascii="Arial" w:hAnsi="Arial" w:cs="Arial"/>
          <w:lang w:val="es-EC"/>
        </w:rPr>
        <w:t xml:space="preserve">podrá observar mediante tablas y gráficos, </w:t>
      </w:r>
      <w:r w:rsidRPr="00B1569E">
        <w:rPr>
          <w:rFonts w:ascii="Arial" w:hAnsi="Arial" w:cs="Arial"/>
          <w:lang w:val="es-EC"/>
        </w:rPr>
        <w:t>las variaciones existentes del primer semestre del año</w:t>
      </w:r>
      <w:r>
        <w:rPr>
          <w:rFonts w:ascii="Arial" w:hAnsi="Arial" w:cs="Arial"/>
          <w:lang w:val="es-EC"/>
        </w:rPr>
        <w:t xml:space="preserve"> 2007, </w:t>
      </w:r>
      <w:r w:rsidRPr="00B1569E">
        <w:rPr>
          <w:rFonts w:ascii="Arial" w:hAnsi="Arial" w:cs="Arial"/>
          <w:lang w:val="es-EC"/>
        </w:rPr>
        <w:t xml:space="preserve"> para el cual se dará las recomendaciones respectivas acorde a sus resultados. </w:t>
      </w:r>
    </w:p>
    <w:p w:rsidR="00B642EF" w:rsidRPr="00BA38DE" w:rsidRDefault="00B642EF" w:rsidP="00B642EF">
      <w:pPr>
        <w:spacing w:line="480" w:lineRule="auto"/>
        <w:jc w:val="both"/>
        <w:rPr>
          <w:rFonts w:ascii="Arial" w:hAnsi="Arial" w:cs="Arial"/>
        </w:rPr>
      </w:pPr>
    </w:p>
    <w:p w:rsidR="00B642EF" w:rsidRDefault="00B642EF" w:rsidP="00B642EF">
      <w:pPr>
        <w:spacing w:line="480" w:lineRule="auto"/>
        <w:jc w:val="both"/>
        <w:rPr>
          <w:rFonts w:ascii="Arial" w:hAnsi="Arial" w:cs="Arial"/>
        </w:rPr>
      </w:pPr>
    </w:p>
    <w:p w:rsidR="00B642EF" w:rsidRDefault="00B642EF" w:rsidP="00B642EF">
      <w:pPr>
        <w:spacing w:line="480" w:lineRule="auto"/>
        <w:jc w:val="both"/>
        <w:rPr>
          <w:rFonts w:ascii="Arial" w:hAnsi="Arial" w:cs="Arial"/>
        </w:rPr>
      </w:pPr>
    </w:p>
    <w:p w:rsidR="00B642EF" w:rsidRDefault="00B642EF" w:rsidP="00B642EF">
      <w:pPr>
        <w:spacing w:line="480" w:lineRule="auto"/>
        <w:jc w:val="both"/>
        <w:rPr>
          <w:rFonts w:ascii="Arial" w:hAnsi="Arial" w:cs="Arial"/>
        </w:rPr>
      </w:pPr>
    </w:p>
    <w:p w:rsidR="00B642EF" w:rsidRDefault="00B642EF" w:rsidP="00B642EF">
      <w:pPr>
        <w:spacing w:line="480" w:lineRule="auto"/>
        <w:jc w:val="both"/>
        <w:rPr>
          <w:rFonts w:ascii="Arial" w:hAnsi="Arial" w:cs="Arial"/>
        </w:rPr>
      </w:pPr>
    </w:p>
    <w:p w:rsidR="00B642EF" w:rsidRDefault="00B642EF" w:rsidP="00B642EF">
      <w:pPr>
        <w:spacing w:line="480" w:lineRule="auto"/>
        <w:jc w:val="both"/>
        <w:rPr>
          <w:rFonts w:ascii="Arial" w:hAnsi="Arial" w:cs="Arial"/>
        </w:rPr>
      </w:pPr>
    </w:p>
    <w:p w:rsidR="00B642EF" w:rsidRDefault="00B642EF" w:rsidP="00B642EF">
      <w:pPr>
        <w:spacing w:line="480" w:lineRule="auto"/>
        <w:jc w:val="both"/>
        <w:rPr>
          <w:rFonts w:ascii="Arial" w:hAnsi="Arial" w:cs="Arial"/>
        </w:rPr>
      </w:pPr>
    </w:p>
    <w:p w:rsidR="00B642EF" w:rsidRDefault="00B642EF" w:rsidP="00B642EF">
      <w:pPr>
        <w:spacing w:line="480" w:lineRule="auto"/>
        <w:rPr>
          <w:rFonts w:ascii="Arial" w:hAnsi="Arial" w:cs="Arial"/>
          <w:b/>
          <w:sz w:val="48"/>
          <w:szCs w:val="48"/>
        </w:rPr>
      </w:pPr>
    </w:p>
    <w:p w:rsidR="00863043" w:rsidRDefault="00863043" w:rsidP="006A1EAF">
      <w:pPr>
        <w:pStyle w:val="Ttulo1"/>
        <w:jc w:val="center"/>
        <w:rPr>
          <w:sz w:val="48"/>
          <w:szCs w:val="48"/>
        </w:rPr>
        <w:sectPr w:rsidR="00863043" w:rsidSect="0044707A">
          <w:headerReference w:type="default" r:id="rId8"/>
          <w:pgSz w:w="11906" w:h="16838"/>
          <w:pgMar w:top="2268" w:right="1361" w:bottom="1985" w:left="2268" w:header="709" w:footer="709" w:gutter="0"/>
          <w:pgNumType w:fmt="upperRoman" w:start="1"/>
          <w:cols w:space="708"/>
          <w:docGrid w:linePitch="360"/>
        </w:sectPr>
      </w:pPr>
      <w:bookmarkStart w:id="190" w:name="_Toc183697476"/>
    </w:p>
    <w:p w:rsidR="00BE1556" w:rsidRDefault="00BE1556" w:rsidP="006A1EAF">
      <w:pPr>
        <w:pStyle w:val="Ttulo1"/>
        <w:jc w:val="center"/>
        <w:rPr>
          <w:sz w:val="48"/>
          <w:szCs w:val="48"/>
        </w:rPr>
      </w:pPr>
      <w:bookmarkStart w:id="191" w:name="_Toc183698806"/>
      <w:bookmarkStart w:id="192" w:name="_Toc183699147"/>
      <w:bookmarkStart w:id="193" w:name="_Toc183699359"/>
      <w:bookmarkStart w:id="194" w:name="_Toc183699530"/>
      <w:bookmarkStart w:id="195" w:name="_Toc183699829"/>
      <w:bookmarkStart w:id="196" w:name="_Toc183700102"/>
      <w:bookmarkStart w:id="197" w:name="_Toc183700319"/>
      <w:bookmarkStart w:id="198" w:name="_Toc183700611"/>
      <w:bookmarkStart w:id="199" w:name="_Toc183700862"/>
      <w:r w:rsidRPr="006A1EAF">
        <w:rPr>
          <w:sz w:val="48"/>
          <w:szCs w:val="48"/>
        </w:rPr>
        <w:lastRenderedPageBreak/>
        <w:t>Capítulo I</w:t>
      </w:r>
      <w:bookmarkEnd w:id="190"/>
      <w:bookmarkEnd w:id="191"/>
      <w:bookmarkEnd w:id="192"/>
      <w:bookmarkEnd w:id="193"/>
      <w:bookmarkEnd w:id="194"/>
      <w:bookmarkEnd w:id="195"/>
      <w:bookmarkEnd w:id="196"/>
      <w:bookmarkEnd w:id="197"/>
      <w:bookmarkEnd w:id="198"/>
      <w:bookmarkEnd w:id="199"/>
    </w:p>
    <w:p w:rsidR="006E1A13" w:rsidRPr="006E1A13" w:rsidRDefault="006E1A13" w:rsidP="006E1A13"/>
    <w:p w:rsidR="00BE1556" w:rsidRPr="009278E3" w:rsidRDefault="00BE1556" w:rsidP="009278E3">
      <w:pPr>
        <w:pStyle w:val="Ttulo1"/>
        <w:spacing w:line="480" w:lineRule="auto"/>
        <w:rPr>
          <w:rFonts w:ascii="Arial" w:hAnsi="Arial" w:cs="Arial"/>
          <w:sz w:val="32"/>
          <w:szCs w:val="32"/>
          <w:u w:val="single"/>
        </w:rPr>
      </w:pPr>
      <w:bookmarkStart w:id="200" w:name="_Toc183697477"/>
      <w:bookmarkStart w:id="201" w:name="_Toc183698807"/>
      <w:bookmarkStart w:id="202" w:name="_Toc183699148"/>
      <w:bookmarkStart w:id="203" w:name="_Toc183699360"/>
      <w:bookmarkStart w:id="204" w:name="_Toc183699531"/>
      <w:bookmarkStart w:id="205" w:name="_Toc183699830"/>
      <w:bookmarkStart w:id="206" w:name="_Toc183700103"/>
      <w:bookmarkStart w:id="207" w:name="_Toc183700320"/>
      <w:bookmarkStart w:id="208" w:name="_Toc183700612"/>
      <w:bookmarkStart w:id="209" w:name="_Toc183700863"/>
      <w:r w:rsidRPr="009278E3">
        <w:rPr>
          <w:rFonts w:ascii="Arial" w:hAnsi="Arial" w:cs="Arial"/>
          <w:sz w:val="32"/>
          <w:szCs w:val="32"/>
        </w:rPr>
        <w:t>1. MARCO TEÓRICO</w:t>
      </w:r>
      <w:bookmarkEnd w:id="200"/>
      <w:bookmarkEnd w:id="201"/>
      <w:bookmarkEnd w:id="202"/>
      <w:bookmarkEnd w:id="203"/>
      <w:bookmarkEnd w:id="204"/>
      <w:bookmarkEnd w:id="205"/>
      <w:bookmarkEnd w:id="206"/>
      <w:bookmarkEnd w:id="207"/>
      <w:bookmarkEnd w:id="208"/>
      <w:bookmarkEnd w:id="209"/>
    </w:p>
    <w:p w:rsidR="00BE1556" w:rsidRPr="009278E3" w:rsidRDefault="00BE1556" w:rsidP="009278E3">
      <w:pPr>
        <w:pStyle w:val="Ttulo2"/>
        <w:spacing w:before="0" w:after="0" w:line="480" w:lineRule="auto"/>
        <w:ind w:left="357"/>
        <w:rPr>
          <w:i w:val="0"/>
          <w:sz w:val="24"/>
          <w:szCs w:val="24"/>
        </w:rPr>
      </w:pPr>
      <w:bookmarkStart w:id="210" w:name="_Toc183697478"/>
      <w:bookmarkStart w:id="211" w:name="_Toc183698808"/>
      <w:bookmarkStart w:id="212" w:name="_Toc183699149"/>
      <w:bookmarkStart w:id="213" w:name="_Toc183699361"/>
      <w:bookmarkStart w:id="214" w:name="_Toc183699532"/>
      <w:bookmarkStart w:id="215" w:name="_Toc183699831"/>
      <w:bookmarkStart w:id="216" w:name="_Toc183700104"/>
      <w:bookmarkStart w:id="217" w:name="_Toc183700321"/>
      <w:bookmarkStart w:id="218" w:name="_Toc183700613"/>
      <w:bookmarkStart w:id="219" w:name="_Toc183700864"/>
      <w:r w:rsidRPr="009278E3">
        <w:rPr>
          <w:i w:val="0"/>
          <w:sz w:val="24"/>
          <w:szCs w:val="24"/>
        </w:rPr>
        <w:t>1.1 Control Interno</w:t>
      </w:r>
      <w:bookmarkEnd w:id="210"/>
      <w:bookmarkEnd w:id="211"/>
      <w:bookmarkEnd w:id="212"/>
      <w:bookmarkEnd w:id="213"/>
      <w:bookmarkEnd w:id="214"/>
      <w:bookmarkEnd w:id="215"/>
      <w:bookmarkEnd w:id="216"/>
      <w:bookmarkEnd w:id="217"/>
      <w:bookmarkEnd w:id="218"/>
      <w:bookmarkEnd w:id="219"/>
    </w:p>
    <w:p w:rsidR="00BE1556" w:rsidRDefault="00BE1556" w:rsidP="00227A37">
      <w:pPr>
        <w:spacing w:line="480" w:lineRule="auto"/>
        <w:ind w:left="709"/>
        <w:jc w:val="both"/>
        <w:rPr>
          <w:rFonts w:ascii="Arial" w:hAnsi="Arial" w:cs="Arial"/>
        </w:rPr>
      </w:pPr>
      <w:r>
        <w:rPr>
          <w:rFonts w:ascii="Arial" w:hAnsi="Arial" w:cs="Arial"/>
        </w:rPr>
        <w:t>Es necesario que las empresas lleven un C</w:t>
      </w:r>
      <w:r w:rsidR="00DA4EFF">
        <w:rPr>
          <w:rFonts w:ascii="Arial" w:hAnsi="Arial" w:cs="Arial"/>
        </w:rPr>
        <w:t xml:space="preserve">ontrol </w:t>
      </w:r>
      <w:r>
        <w:rPr>
          <w:rFonts w:ascii="Arial" w:hAnsi="Arial" w:cs="Arial"/>
        </w:rPr>
        <w:t>I</w:t>
      </w:r>
      <w:r w:rsidR="006E4401">
        <w:rPr>
          <w:rFonts w:ascii="Arial" w:hAnsi="Arial" w:cs="Arial"/>
        </w:rPr>
        <w:t>nterno (CI)</w:t>
      </w:r>
      <w:r>
        <w:rPr>
          <w:rFonts w:ascii="Arial" w:hAnsi="Arial" w:cs="Arial"/>
        </w:rPr>
        <w:t xml:space="preserve"> para el buen desempeño de la misma. En las empresas se sabe producir situaciones que no se desea tener ya que son indebidas como es el caso de los fraudes</w:t>
      </w:r>
      <w:r w:rsidR="00763E13">
        <w:rPr>
          <w:rFonts w:ascii="Arial" w:hAnsi="Arial" w:cs="Arial"/>
        </w:rPr>
        <w:t xml:space="preserve">, </w:t>
      </w:r>
      <w:r>
        <w:rPr>
          <w:rFonts w:ascii="Arial" w:hAnsi="Arial" w:cs="Arial"/>
        </w:rPr>
        <w:t>para tratar de evitar esto es necesario contar con un CI efectivo. El CI es un proceso efectuado por personas las cuales pueden ser dire</w:t>
      </w:r>
      <w:r w:rsidR="00763E13">
        <w:rPr>
          <w:rFonts w:ascii="Arial" w:hAnsi="Arial" w:cs="Arial"/>
        </w:rPr>
        <w:t xml:space="preserve">ctores de una empresa, gerentes, </w:t>
      </w:r>
      <w:r>
        <w:rPr>
          <w:rFonts w:ascii="Arial" w:hAnsi="Arial" w:cs="Arial"/>
        </w:rPr>
        <w:t>entre otros integrantes del personal diseñado para proporcionar una seguridad razonable acerca del logro de los objetivos, lo que se quiere conseguir mediante este control es tener una información contable confiable, que los recursos existentes en la empresa se los estén utilizando de una forma eficaz y eficiente así como también cumplir las leyes y reglamentos aplicables.</w:t>
      </w:r>
    </w:p>
    <w:p w:rsidR="0044707A" w:rsidRDefault="00BE1556" w:rsidP="00BE1556">
      <w:pPr>
        <w:pStyle w:val="NormalWeb1"/>
        <w:spacing w:line="480" w:lineRule="auto"/>
        <w:ind w:left="709"/>
        <w:jc w:val="both"/>
        <w:rPr>
          <w:rFonts w:ascii="Arial" w:hAnsi="Arial" w:cs="Arial"/>
        </w:rPr>
        <w:sectPr w:rsidR="0044707A" w:rsidSect="007A37F6">
          <w:headerReference w:type="default" r:id="rId9"/>
          <w:pgSz w:w="11906" w:h="16838"/>
          <w:pgMar w:top="2268" w:right="1361" w:bottom="1985" w:left="2268" w:header="709" w:footer="709" w:gutter="0"/>
          <w:pgNumType w:start="18"/>
          <w:cols w:space="708"/>
          <w:docGrid w:linePitch="360"/>
        </w:sectPr>
      </w:pPr>
      <w:r>
        <w:rPr>
          <w:rFonts w:ascii="Arial" w:hAnsi="Arial" w:cs="Arial"/>
        </w:rPr>
        <w:t>Existen diversos riesgos por la cual la empresa puede verse afectada</w:t>
      </w:r>
      <w:r w:rsidR="00763E13">
        <w:rPr>
          <w:rFonts w:ascii="Arial" w:hAnsi="Arial" w:cs="Arial"/>
        </w:rPr>
        <w:t>, é</w:t>
      </w:r>
      <w:r>
        <w:rPr>
          <w:rFonts w:ascii="Arial" w:hAnsi="Arial" w:cs="Arial"/>
        </w:rPr>
        <w:t>stos pueden ser por equivocaciones en las decisiones, colusión</w:t>
      </w:r>
      <w:r w:rsidR="00763E13">
        <w:rPr>
          <w:rFonts w:ascii="Arial" w:hAnsi="Arial" w:cs="Arial"/>
        </w:rPr>
        <w:t>,</w:t>
      </w:r>
      <w:r>
        <w:rPr>
          <w:rFonts w:ascii="Arial" w:hAnsi="Arial" w:cs="Arial"/>
        </w:rPr>
        <w:t xml:space="preserve"> entre otros</w:t>
      </w:r>
      <w:r w:rsidR="00763E13">
        <w:rPr>
          <w:rFonts w:ascii="Arial" w:hAnsi="Arial" w:cs="Arial"/>
        </w:rPr>
        <w:t xml:space="preserve">, </w:t>
      </w:r>
      <w:r>
        <w:rPr>
          <w:rFonts w:ascii="Arial" w:hAnsi="Arial" w:cs="Arial"/>
        </w:rPr>
        <w:t>por tal motivo las empresas debería</w:t>
      </w:r>
      <w:r w:rsidR="00763E13">
        <w:rPr>
          <w:rFonts w:ascii="Arial" w:hAnsi="Arial" w:cs="Arial"/>
        </w:rPr>
        <w:t xml:space="preserve">n saber a qué personal </w:t>
      </w:r>
      <w:r>
        <w:rPr>
          <w:rFonts w:ascii="Arial" w:hAnsi="Arial" w:cs="Arial"/>
        </w:rPr>
        <w:t>contrata, no se debería contratar por simple cuota política</w:t>
      </w:r>
      <w:r w:rsidR="00763E13">
        <w:rPr>
          <w:rFonts w:ascii="Arial" w:hAnsi="Arial" w:cs="Arial"/>
        </w:rPr>
        <w:t xml:space="preserve">, </w:t>
      </w:r>
      <w:r>
        <w:rPr>
          <w:rFonts w:ascii="Arial" w:hAnsi="Arial" w:cs="Arial"/>
        </w:rPr>
        <w:t>ya que ciertas veces estas personas que son contratadas por este medio no son competentes y les impide</w:t>
      </w:r>
      <w:r w:rsidR="00763E13">
        <w:rPr>
          <w:rFonts w:ascii="Arial" w:hAnsi="Arial" w:cs="Arial"/>
        </w:rPr>
        <w:t xml:space="preserve"> el puesto a las personas que sí</w:t>
      </w:r>
      <w:r>
        <w:rPr>
          <w:rFonts w:ascii="Arial" w:hAnsi="Arial" w:cs="Arial"/>
        </w:rPr>
        <w:t xml:space="preserve"> se </w:t>
      </w:r>
    </w:p>
    <w:p w:rsidR="00BE1556" w:rsidRDefault="00BE1556" w:rsidP="00BE1556">
      <w:pPr>
        <w:pStyle w:val="NormalWeb1"/>
        <w:spacing w:line="480" w:lineRule="auto"/>
        <w:ind w:left="709"/>
        <w:jc w:val="both"/>
        <w:rPr>
          <w:rFonts w:ascii="Georgia" w:hAnsi="Georgia" w:cs="Arial"/>
          <w:color w:val="445555"/>
          <w:sz w:val="21"/>
          <w:szCs w:val="21"/>
          <w:lang w:val="es-ES"/>
        </w:rPr>
      </w:pPr>
      <w:r w:rsidRPr="00BA1145">
        <w:rPr>
          <w:rFonts w:ascii="Arial" w:hAnsi="Arial" w:cs="Arial"/>
        </w:rPr>
        <w:lastRenderedPageBreak/>
        <w:t>encuentran altamente capacitadas y que podrían llevar a situaciones de beneficios para la empresa</w:t>
      </w:r>
      <w:r w:rsidR="006E4401">
        <w:rPr>
          <w:rFonts w:ascii="Arial" w:hAnsi="Arial" w:cs="Arial"/>
        </w:rPr>
        <w:t xml:space="preserve">, lo cual es lo que se busca. </w:t>
      </w:r>
      <w:r w:rsidRPr="00BA1145">
        <w:rPr>
          <w:rFonts w:ascii="Arial" w:hAnsi="Arial" w:cs="Arial"/>
        </w:rPr>
        <w:t xml:space="preserve">Cabe recalcar que </w:t>
      </w:r>
      <w:r w:rsidR="006E4401">
        <w:rPr>
          <w:rFonts w:ascii="Arial" w:hAnsi="Arial" w:cs="Arial"/>
        </w:rPr>
        <w:t>el CI</w:t>
      </w:r>
      <w:r w:rsidR="004F3FDA">
        <w:rPr>
          <w:rFonts w:ascii="Arial" w:hAnsi="Arial" w:cs="Arial"/>
        </w:rPr>
        <w:t xml:space="preserve"> </w:t>
      </w:r>
      <w:r w:rsidR="004F3FDA" w:rsidRPr="00BA1145">
        <w:rPr>
          <w:rFonts w:ascii="Arial" w:hAnsi="Arial" w:cs="Arial"/>
        </w:rPr>
        <w:t>no garantiza la seguridad total al manejo</w:t>
      </w:r>
      <w:r w:rsidR="004F3FDA">
        <w:rPr>
          <w:rFonts w:ascii="Arial" w:hAnsi="Arial" w:cs="Arial"/>
        </w:rPr>
        <w:t>, por lo que se puede decir que solo es razonable</w:t>
      </w:r>
      <w:r w:rsidRPr="00BA1145">
        <w:rPr>
          <w:rFonts w:ascii="Arial" w:hAnsi="Arial" w:cs="Arial"/>
        </w:rPr>
        <w:t xml:space="preserve"> en la seguridad con la que ayuda en su control</w:t>
      </w:r>
      <w:r w:rsidR="004F3FDA">
        <w:rPr>
          <w:rFonts w:ascii="Arial" w:hAnsi="Arial" w:cs="Arial"/>
        </w:rPr>
        <w:t>.</w:t>
      </w:r>
    </w:p>
    <w:p w:rsidR="00BE1556" w:rsidRPr="009476E7" w:rsidRDefault="00BE1556" w:rsidP="00FD4A53">
      <w:pPr>
        <w:jc w:val="both"/>
        <w:rPr>
          <w:rFonts w:ascii="Arial" w:hAnsi="Arial" w:cs="Arial"/>
          <w:b/>
        </w:rPr>
      </w:pPr>
    </w:p>
    <w:p w:rsidR="00BE1556" w:rsidRPr="009278E3" w:rsidRDefault="009278E3" w:rsidP="00BD06D2">
      <w:pPr>
        <w:pStyle w:val="Ttulo3"/>
        <w:ind w:left="720"/>
        <w:rPr>
          <w:sz w:val="24"/>
          <w:szCs w:val="24"/>
        </w:rPr>
      </w:pPr>
      <w:bookmarkStart w:id="220" w:name="_Toc183697479"/>
      <w:bookmarkStart w:id="221" w:name="_Toc183698809"/>
      <w:bookmarkStart w:id="222" w:name="_Toc183699150"/>
      <w:bookmarkStart w:id="223" w:name="_Toc183699362"/>
      <w:bookmarkStart w:id="224" w:name="_Toc183699533"/>
      <w:bookmarkStart w:id="225" w:name="_Toc183699832"/>
      <w:bookmarkStart w:id="226" w:name="_Toc183700105"/>
      <w:bookmarkStart w:id="227" w:name="_Toc183700322"/>
      <w:bookmarkStart w:id="228" w:name="_Toc183700614"/>
      <w:bookmarkStart w:id="229" w:name="_Toc183700865"/>
      <w:r>
        <w:rPr>
          <w:sz w:val="24"/>
          <w:szCs w:val="24"/>
        </w:rPr>
        <w:t xml:space="preserve">1.1.1 </w:t>
      </w:r>
      <w:r w:rsidR="00BE1556" w:rsidRPr="009278E3">
        <w:rPr>
          <w:sz w:val="24"/>
          <w:szCs w:val="24"/>
        </w:rPr>
        <w:t>Evaluación del control interno</w:t>
      </w:r>
      <w:bookmarkEnd w:id="220"/>
      <w:bookmarkEnd w:id="221"/>
      <w:bookmarkEnd w:id="222"/>
      <w:bookmarkEnd w:id="223"/>
      <w:bookmarkEnd w:id="224"/>
      <w:bookmarkEnd w:id="225"/>
      <w:bookmarkEnd w:id="226"/>
      <w:bookmarkEnd w:id="227"/>
      <w:bookmarkEnd w:id="228"/>
      <w:bookmarkEnd w:id="229"/>
    </w:p>
    <w:p w:rsidR="00BE1556" w:rsidRDefault="00BE1556" w:rsidP="00BE1556">
      <w:pPr>
        <w:spacing w:line="480" w:lineRule="auto"/>
        <w:jc w:val="both"/>
        <w:rPr>
          <w:rFonts w:ascii="Arial" w:hAnsi="Arial" w:cs="Arial"/>
          <w:b/>
        </w:rPr>
      </w:pPr>
    </w:p>
    <w:p w:rsidR="00BE1556" w:rsidRPr="00075785" w:rsidRDefault="00BE1556" w:rsidP="00BD06D2">
      <w:pPr>
        <w:spacing w:line="480" w:lineRule="auto"/>
        <w:ind w:left="720"/>
        <w:jc w:val="both"/>
        <w:rPr>
          <w:rFonts w:ascii="Arial" w:hAnsi="Arial" w:cs="Arial"/>
        </w:rPr>
      </w:pPr>
      <w:r w:rsidRPr="00075785">
        <w:rPr>
          <w:rFonts w:ascii="Arial" w:hAnsi="Arial" w:cs="Arial"/>
        </w:rPr>
        <w:t>El COSO es la estructura de control interno ideal que deberían tener las empresas y basadas en estas pautas se define las</w:t>
      </w:r>
      <w:r>
        <w:rPr>
          <w:rFonts w:ascii="Arial" w:hAnsi="Arial" w:cs="Arial"/>
        </w:rPr>
        <w:t xml:space="preserve"> estructuras de control interno, sin embargo este no es obligación de utilizar en las empresas. Lo podrían utilizar </w:t>
      </w:r>
      <w:r w:rsidRPr="00FF4844">
        <w:rPr>
          <w:rFonts w:ascii="Arial" w:hAnsi="Arial" w:cs="Arial"/>
        </w:rPr>
        <w:t xml:space="preserve">tanto </w:t>
      </w:r>
      <w:r w:rsidRPr="004F3FDA">
        <w:rPr>
          <w:rFonts w:ascii="Arial" w:hAnsi="Arial" w:cs="Arial"/>
        </w:rPr>
        <w:t xml:space="preserve">las </w:t>
      </w:r>
      <w:r w:rsidRPr="00FF4844">
        <w:rPr>
          <w:rFonts w:ascii="Arial" w:hAnsi="Arial" w:cs="Arial"/>
        </w:rPr>
        <w:t>organizaciones públicas o privadas.</w:t>
      </w:r>
    </w:p>
    <w:p w:rsidR="00BE1556" w:rsidRPr="00075785" w:rsidRDefault="00BE1556" w:rsidP="00BD06D2">
      <w:pPr>
        <w:spacing w:line="480" w:lineRule="auto"/>
        <w:ind w:left="720"/>
        <w:jc w:val="both"/>
        <w:rPr>
          <w:rFonts w:ascii="Arial" w:hAnsi="Arial" w:cs="Arial"/>
        </w:rPr>
      </w:pPr>
      <w:r w:rsidRPr="00075785">
        <w:rPr>
          <w:rFonts w:ascii="Arial" w:hAnsi="Arial" w:cs="Arial"/>
        </w:rPr>
        <w:t>Los niveles del marco COSO son los siguientes:</w:t>
      </w:r>
    </w:p>
    <w:p w:rsidR="00BE1556" w:rsidRPr="006A7EDF" w:rsidRDefault="00BE1556" w:rsidP="00BE1556">
      <w:pPr>
        <w:numPr>
          <w:ilvl w:val="0"/>
          <w:numId w:val="2"/>
        </w:numPr>
        <w:spacing w:line="480" w:lineRule="auto"/>
        <w:jc w:val="both"/>
        <w:rPr>
          <w:rFonts w:ascii="Arial" w:hAnsi="Arial" w:cs="Arial"/>
          <w:b/>
        </w:rPr>
      </w:pPr>
      <w:r w:rsidRPr="006A7EDF">
        <w:rPr>
          <w:rFonts w:ascii="Arial" w:hAnsi="Arial" w:cs="Arial"/>
          <w:b/>
        </w:rPr>
        <w:t>Ambiente de control</w:t>
      </w:r>
    </w:p>
    <w:p w:rsidR="00BE1556" w:rsidRPr="006A7EDF" w:rsidRDefault="00BE1556" w:rsidP="00BE1556">
      <w:pPr>
        <w:pStyle w:val="NormalWeb1"/>
        <w:spacing w:line="480" w:lineRule="auto"/>
        <w:ind w:left="737"/>
        <w:jc w:val="both"/>
        <w:rPr>
          <w:rFonts w:ascii="Arial" w:hAnsi="Arial" w:cs="Arial"/>
          <w:bCs/>
          <w:lang w:val="es-ES"/>
        </w:rPr>
      </w:pPr>
      <w:r w:rsidRPr="006A7EDF">
        <w:rPr>
          <w:rFonts w:ascii="Arial" w:hAnsi="Arial" w:cs="Arial"/>
          <w:bCs/>
          <w:lang w:val="es-ES"/>
        </w:rPr>
        <w:t>Para que todo proceso sea realizado de forma efectiva</w:t>
      </w:r>
      <w:r w:rsidR="004F3FDA">
        <w:rPr>
          <w:rFonts w:ascii="Arial" w:hAnsi="Arial" w:cs="Arial"/>
          <w:bCs/>
          <w:lang w:val="es-ES"/>
        </w:rPr>
        <w:t>, é</w:t>
      </w:r>
      <w:r w:rsidRPr="006A7EDF">
        <w:rPr>
          <w:rFonts w:ascii="Arial" w:hAnsi="Arial" w:cs="Arial"/>
          <w:bCs/>
          <w:lang w:val="es-ES"/>
        </w:rPr>
        <w:t>sta debe de empezar con una buena base y la encargada en este caso es la etap</w:t>
      </w:r>
      <w:r w:rsidR="004F3FDA">
        <w:rPr>
          <w:rFonts w:ascii="Arial" w:hAnsi="Arial" w:cs="Arial"/>
          <w:bCs/>
          <w:lang w:val="es-ES"/>
        </w:rPr>
        <w:t>a de ambiente de control lo cual</w:t>
      </w:r>
      <w:r w:rsidRPr="006A7EDF">
        <w:rPr>
          <w:rFonts w:ascii="Arial" w:hAnsi="Arial" w:cs="Arial"/>
          <w:bCs/>
          <w:lang w:val="es-ES"/>
        </w:rPr>
        <w:t xml:space="preserve"> incluye los valores que todos debemos tener que son los éticos, así también como la idoneidad e integridad.  En esta etapa también se deben de tener claramente definidos  la autoridad y las respe</w:t>
      </w:r>
      <w:r w:rsidR="004F3FDA">
        <w:rPr>
          <w:rFonts w:ascii="Arial" w:hAnsi="Arial" w:cs="Arial"/>
          <w:bCs/>
          <w:lang w:val="es-ES"/>
        </w:rPr>
        <w:t>ctivas responsabilidades. Como é</w:t>
      </w:r>
      <w:r w:rsidRPr="006A7EDF">
        <w:rPr>
          <w:rFonts w:ascii="Arial" w:hAnsi="Arial" w:cs="Arial"/>
          <w:bCs/>
          <w:lang w:val="es-ES"/>
        </w:rPr>
        <w:t xml:space="preserve">sta es el soporte de los demás procesos o componentes que siguen este debe de contar con la </w:t>
      </w:r>
      <w:r w:rsidRPr="006A7EDF">
        <w:rPr>
          <w:rFonts w:ascii="Arial" w:hAnsi="Arial" w:cs="Arial"/>
          <w:lang w:val="es-ES"/>
        </w:rPr>
        <w:t xml:space="preserve"> documentación de políticas y decisiones pertinentes </w:t>
      </w:r>
      <w:r w:rsidRPr="006A7EDF">
        <w:rPr>
          <w:rFonts w:ascii="Arial" w:hAnsi="Arial" w:cs="Arial"/>
          <w:lang w:val="es-ES"/>
        </w:rPr>
        <w:lastRenderedPageBreak/>
        <w:t xml:space="preserve">así como </w:t>
      </w:r>
      <w:r>
        <w:rPr>
          <w:rFonts w:ascii="Arial" w:hAnsi="Arial" w:cs="Arial"/>
          <w:lang w:val="es-ES"/>
        </w:rPr>
        <w:t>la</w:t>
      </w:r>
      <w:r w:rsidRPr="006A7EDF">
        <w:rPr>
          <w:rFonts w:ascii="Arial" w:hAnsi="Arial" w:cs="Arial"/>
          <w:lang w:val="es-ES"/>
        </w:rPr>
        <w:t xml:space="preserve"> </w:t>
      </w:r>
      <w:r w:rsidRPr="00227A37">
        <w:rPr>
          <w:rFonts w:ascii="Arial" w:hAnsi="Arial" w:cs="Arial"/>
          <w:lang w:val="es-ES"/>
        </w:rPr>
        <w:t xml:space="preserve">creación de </w:t>
      </w:r>
      <w:hyperlink r:id="rId10" w:history="1">
        <w:r w:rsidRPr="00227A37">
          <w:rPr>
            <w:rStyle w:val="Hipervnculo"/>
            <w:rFonts w:ascii="Arial" w:hAnsi="Arial" w:cs="Arial"/>
            <w:color w:val="auto"/>
            <w:u w:val="none"/>
            <w:shd w:val="clear" w:color="auto" w:fill="FFFFFF"/>
            <w:lang w:val="es-ES"/>
          </w:rPr>
          <w:t>programas</w:t>
        </w:r>
      </w:hyperlink>
      <w:r w:rsidRPr="00227A37">
        <w:rPr>
          <w:rFonts w:ascii="Arial" w:hAnsi="Arial" w:cs="Arial"/>
          <w:lang w:val="es-ES"/>
        </w:rPr>
        <w:t xml:space="preserve"> los cuales se pla</w:t>
      </w:r>
      <w:r w:rsidR="004F3FDA">
        <w:rPr>
          <w:rFonts w:ascii="Arial" w:hAnsi="Arial" w:cs="Arial"/>
          <w:lang w:val="es-ES"/>
        </w:rPr>
        <w:t xml:space="preserve">nteen las  metas y </w:t>
      </w:r>
      <w:r w:rsidRPr="00227A37">
        <w:rPr>
          <w:rFonts w:ascii="Arial" w:hAnsi="Arial" w:cs="Arial"/>
          <w:lang w:val="es-ES"/>
        </w:rPr>
        <w:t>objetivos que queremos lograr.</w:t>
      </w:r>
    </w:p>
    <w:p w:rsidR="00BE1556" w:rsidRPr="006A7EDF" w:rsidRDefault="00BE1556" w:rsidP="00BE1556">
      <w:pPr>
        <w:spacing w:line="480" w:lineRule="auto"/>
        <w:jc w:val="both"/>
        <w:rPr>
          <w:rFonts w:ascii="Arial" w:hAnsi="Arial" w:cs="Arial"/>
          <w:b/>
        </w:rPr>
      </w:pPr>
    </w:p>
    <w:p w:rsidR="00BE1556" w:rsidRPr="006A7EDF" w:rsidRDefault="00BE1556" w:rsidP="00BE1556">
      <w:pPr>
        <w:numPr>
          <w:ilvl w:val="0"/>
          <w:numId w:val="2"/>
        </w:numPr>
        <w:spacing w:line="480" w:lineRule="auto"/>
        <w:jc w:val="both"/>
        <w:rPr>
          <w:rFonts w:ascii="Arial" w:hAnsi="Arial" w:cs="Arial"/>
          <w:b/>
        </w:rPr>
      </w:pPr>
      <w:r w:rsidRPr="006A7EDF">
        <w:rPr>
          <w:rFonts w:ascii="Arial" w:hAnsi="Arial" w:cs="Arial"/>
          <w:b/>
        </w:rPr>
        <w:t>Evaluación de riesgo</w:t>
      </w:r>
    </w:p>
    <w:p w:rsidR="00BE1556" w:rsidRDefault="00BE1556" w:rsidP="00227A37">
      <w:pPr>
        <w:pStyle w:val="NormalWeb1"/>
        <w:spacing w:line="480" w:lineRule="auto"/>
        <w:ind w:left="780"/>
        <w:jc w:val="both"/>
        <w:rPr>
          <w:rFonts w:ascii="Georgia" w:hAnsi="Georgia" w:cs="Arial"/>
          <w:color w:val="445555"/>
          <w:sz w:val="21"/>
          <w:szCs w:val="21"/>
          <w:lang w:val="es-ES"/>
        </w:rPr>
      </w:pPr>
      <w:r w:rsidRPr="00F47A34">
        <w:rPr>
          <w:rFonts w:ascii="Arial" w:hAnsi="Arial" w:cs="Arial"/>
        </w:rPr>
        <w:t>Una vez que ya se han definido los objetivos acorde a las necesidades de la empresa se procede a la evaluación de riesgo en l</w:t>
      </w:r>
      <w:r w:rsidR="004F3FDA">
        <w:rPr>
          <w:rFonts w:ascii="Arial" w:hAnsi="Arial" w:cs="Arial"/>
        </w:rPr>
        <w:t>a</w:t>
      </w:r>
      <w:r w:rsidRPr="00F47A34">
        <w:rPr>
          <w:rFonts w:ascii="Arial" w:hAnsi="Arial" w:cs="Arial"/>
        </w:rPr>
        <w:t xml:space="preserve"> cual se analizará cuales pueden ser los hechos que pueden ser factores tanto internos como externos que impidan a la empresa a lograr los objetivos propuestos, si se han definido correctamente cuales son estos</w:t>
      </w:r>
      <w:r w:rsidR="004F3FDA">
        <w:rPr>
          <w:rFonts w:ascii="Arial" w:hAnsi="Arial" w:cs="Arial"/>
        </w:rPr>
        <w:t xml:space="preserve">, </w:t>
      </w:r>
      <w:r w:rsidRPr="00F47A34">
        <w:rPr>
          <w:rFonts w:ascii="Arial" w:hAnsi="Arial" w:cs="Arial"/>
        </w:rPr>
        <w:t>entonces se podría evitar que estos riesgos ocurran. Lo que deberá incluir este análisis debe se</w:t>
      </w:r>
      <w:r w:rsidR="004F3FDA">
        <w:rPr>
          <w:rFonts w:ascii="Arial" w:hAnsi="Arial" w:cs="Arial"/>
        </w:rPr>
        <w:t>r</w:t>
      </w:r>
      <w:r w:rsidRPr="00F47A34">
        <w:rPr>
          <w:rFonts w:ascii="Arial" w:hAnsi="Arial" w:cs="Arial"/>
        </w:rPr>
        <w:t xml:space="preserve">: </w:t>
      </w:r>
      <w:r w:rsidRPr="00F47A34">
        <w:rPr>
          <w:rFonts w:ascii="Arial" w:hAnsi="Arial" w:cs="Arial"/>
          <w:lang w:val="es-ES"/>
        </w:rPr>
        <w:t xml:space="preserve"> Una estimación </w:t>
      </w:r>
      <w:r w:rsidRPr="004819C2">
        <w:rPr>
          <w:rFonts w:ascii="Arial" w:hAnsi="Arial" w:cs="Arial"/>
          <w:lang w:val="es-ES"/>
        </w:rPr>
        <w:t xml:space="preserve">de la importancia de riesgo, una evaluación de la </w:t>
      </w:r>
      <w:hyperlink r:id="rId11" w:history="1">
        <w:r w:rsidRPr="00227A37">
          <w:rPr>
            <w:rStyle w:val="Hipervnculo"/>
            <w:rFonts w:ascii="Arial" w:hAnsi="Arial" w:cs="Arial"/>
            <w:color w:val="auto"/>
            <w:u w:val="none"/>
            <w:shd w:val="clear" w:color="auto" w:fill="FFFFFF"/>
            <w:lang w:val="es-ES"/>
          </w:rPr>
          <w:t>probabilidad</w:t>
        </w:r>
      </w:hyperlink>
      <w:r w:rsidRPr="00227A37">
        <w:rPr>
          <w:rFonts w:ascii="Arial" w:hAnsi="Arial" w:cs="Arial"/>
          <w:lang w:val="es-ES"/>
        </w:rPr>
        <w:t xml:space="preserve"> </w:t>
      </w:r>
      <w:r w:rsidRPr="004819C2">
        <w:rPr>
          <w:rFonts w:ascii="Arial" w:hAnsi="Arial" w:cs="Arial"/>
          <w:lang w:val="es-ES"/>
        </w:rPr>
        <w:t xml:space="preserve"> o frecuencia en que ocurren</w:t>
      </w:r>
      <w:r w:rsidR="004F3FDA">
        <w:rPr>
          <w:rFonts w:ascii="Arial" w:hAnsi="Arial" w:cs="Arial"/>
          <w:lang w:val="es-ES"/>
        </w:rPr>
        <w:t xml:space="preserve">, </w:t>
      </w:r>
      <w:r w:rsidRPr="004819C2">
        <w:rPr>
          <w:rFonts w:ascii="Arial" w:hAnsi="Arial" w:cs="Arial"/>
          <w:lang w:val="es-ES"/>
        </w:rPr>
        <w:t>así como una forma del modo en que tendrán que manejarse. Es aconsejable que los medios para anunciar, identificar y administrar los cambios deben estar encaminados  hacia el futuro.</w:t>
      </w:r>
    </w:p>
    <w:p w:rsidR="00BE1556" w:rsidRPr="00075785" w:rsidRDefault="00BE1556" w:rsidP="00BE1556">
      <w:pPr>
        <w:spacing w:line="480" w:lineRule="auto"/>
        <w:jc w:val="both"/>
        <w:rPr>
          <w:rFonts w:ascii="Arial" w:hAnsi="Arial" w:cs="Arial"/>
        </w:rPr>
      </w:pPr>
    </w:p>
    <w:p w:rsidR="00BE1556" w:rsidRPr="004819C2" w:rsidRDefault="00BE1556" w:rsidP="00BE1556">
      <w:pPr>
        <w:numPr>
          <w:ilvl w:val="0"/>
          <w:numId w:val="2"/>
        </w:numPr>
        <w:spacing w:line="480" w:lineRule="auto"/>
        <w:jc w:val="both"/>
        <w:rPr>
          <w:rFonts w:ascii="Arial" w:hAnsi="Arial" w:cs="Arial"/>
          <w:b/>
        </w:rPr>
      </w:pPr>
      <w:r w:rsidRPr="004819C2">
        <w:rPr>
          <w:rFonts w:ascii="Arial" w:hAnsi="Arial" w:cs="Arial"/>
          <w:b/>
        </w:rPr>
        <w:t xml:space="preserve">Actividades de Control </w:t>
      </w:r>
      <w:r w:rsidRPr="00227A37">
        <w:rPr>
          <w:rFonts w:ascii="Arial" w:hAnsi="Arial" w:cs="Arial"/>
          <w:b/>
        </w:rPr>
        <w:t xml:space="preserve">(políticas y </w:t>
      </w:r>
      <w:hyperlink r:id="rId12" w:history="1">
        <w:r w:rsidRPr="00227A37">
          <w:rPr>
            <w:rStyle w:val="Hipervnculo"/>
            <w:rFonts w:ascii="Arial" w:hAnsi="Arial" w:cs="Arial"/>
            <w:b/>
            <w:color w:val="auto"/>
            <w:u w:val="none"/>
            <w:shd w:val="clear" w:color="auto" w:fill="FFFFFF"/>
          </w:rPr>
          <w:t>procedimientos</w:t>
        </w:r>
      </w:hyperlink>
      <w:r w:rsidRPr="00227A37">
        <w:rPr>
          <w:rFonts w:ascii="Arial" w:hAnsi="Arial" w:cs="Arial"/>
          <w:b/>
        </w:rPr>
        <w:t>)</w:t>
      </w:r>
    </w:p>
    <w:p w:rsidR="00BE1556" w:rsidRDefault="00BE1556" w:rsidP="00BE1556">
      <w:pPr>
        <w:spacing w:line="480" w:lineRule="auto"/>
        <w:ind w:left="737"/>
        <w:jc w:val="both"/>
        <w:rPr>
          <w:rFonts w:ascii="Arial" w:hAnsi="Arial" w:cs="Arial"/>
        </w:rPr>
      </w:pPr>
      <w:r w:rsidRPr="00586B65">
        <w:rPr>
          <w:rFonts w:ascii="Arial" w:hAnsi="Arial" w:cs="Arial"/>
        </w:rPr>
        <w:t xml:space="preserve">Son todas las políticas y procedimientos que permitan a </w:t>
      </w:r>
      <w:smartTag w:uri="urn:schemas-microsoft-com:office:smarttags" w:element="PersonName">
        <w:smartTagPr>
          <w:attr w:name="ProductID" w:val="la Administraci￳n"/>
        </w:smartTagPr>
        <w:r w:rsidRPr="00586B65">
          <w:rPr>
            <w:rFonts w:ascii="Arial" w:hAnsi="Arial" w:cs="Arial"/>
          </w:rPr>
          <w:t>la Administración</w:t>
        </w:r>
      </w:smartTag>
      <w:r w:rsidRPr="00586B65">
        <w:rPr>
          <w:rFonts w:ascii="Arial" w:hAnsi="Arial" w:cs="Arial"/>
        </w:rPr>
        <w:t xml:space="preserve"> afirmarse sobre el cumplimiento de sus objetivos</w:t>
      </w:r>
      <w:r w:rsidR="004F3FDA">
        <w:rPr>
          <w:rFonts w:ascii="Arial" w:hAnsi="Arial" w:cs="Arial"/>
        </w:rPr>
        <w:t>.</w:t>
      </w:r>
    </w:p>
    <w:p w:rsidR="00BE1556" w:rsidRDefault="00BE1556" w:rsidP="00BE1556">
      <w:pPr>
        <w:spacing w:line="480" w:lineRule="auto"/>
        <w:ind w:left="737"/>
        <w:jc w:val="both"/>
        <w:rPr>
          <w:rFonts w:ascii="Arial" w:hAnsi="Arial" w:cs="Arial"/>
        </w:rPr>
      </w:pPr>
      <w:r>
        <w:rPr>
          <w:rFonts w:ascii="Arial" w:hAnsi="Arial" w:cs="Arial"/>
        </w:rPr>
        <w:t xml:space="preserve">Los 4 tipos de actividades de control son: Revisiones del desempeño del negocio, procesamiento de información (Controles de aplicación, </w:t>
      </w:r>
      <w:r>
        <w:rPr>
          <w:rFonts w:ascii="Arial" w:hAnsi="Arial" w:cs="Arial"/>
        </w:rPr>
        <w:lastRenderedPageBreak/>
        <w:t>controles generales de la</w:t>
      </w:r>
      <w:r w:rsidR="004F3FDA">
        <w:rPr>
          <w:rFonts w:ascii="Arial" w:hAnsi="Arial" w:cs="Arial"/>
        </w:rPr>
        <w:t xml:space="preserve"> tecnología de la información), controles físicos, </w:t>
      </w:r>
      <w:r>
        <w:rPr>
          <w:rFonts w:ascii="Arial" w:hAnsi="Arial" w:cs="Arial"/>
        </w:rPr>
        <w:t xml:space="preserve">segregación de funciones. </w:t>
      </w:r>
      <w:r w:rsidR="009E2334" w:rsidRPr="00686391">
        <w:rPr>
          <w:rFonts w:ascii="Arial" w:hAnsi="Arial" w:cs="Arial"/>
          <w:position w:val="-10"/>
          <w:sz w:val="16"/>
          <w:szCs w:val="16"/>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0pt" o:ole="">
            <v:imagedata r:id="rId13" o:title=""/>
          </v:shape>
          <o:OLEObject Type="Embed" ProgID="Equation.3" ShapeID="_x0000_i1025" DrawAspect="Content" ObjectID="_1338016110" r:id="rId14"/>
        </w:object>
      </w:r>
      <w:r>
        <w:rPr>
          <w:rFonts w:ascii="Arial" w:hAnsi="Arial" w:cs="Arial"/>
        </w:rPr>
        <w:tab/>
      </w:r>
    </w:p>
    <w:p w:rsidR="00BE1556" w:rsidRPr="00075785" w:rsidRDefault="00BE1556" w:rsidP="00BE1556">
      <w:pPr>
        <w:spacing w:line="480" w:lineRule="auto"/>
        <w:jc w:val="both"/>
        <w:rPr>
          <w:rFonts w:ascii="Arial" w:hAnsi="Arial" w:cs="Arial"/>
        </w:rPr>
      </w:pPr>
    </w:p>
    <w:p w:rsidR="00BE1556" w:rsidRPr="00586B65" w:rsidRDefault="00BE1556" w:rsidP="00BE1556">
      <w:pPr>
        <w:numPr>
          <w:ilvl w:val="0"/>
          <w:numId w:val="2"/>
        </w:numPr>
        <w:spacing w:line="480" w:lineRule="auto"/>
        <w:jc w:val="both"/>
        <w:rPr>
          <w:rFonts w:ascii="Arial" w:hAnsi="Arial" w:cs="Arial"/>
          <w:b/>
        </w:rPr>
      </w:pPr>
      <w:r w:rsidRPr="00586B65">
        <w:rPr>
          <w:rFonts w:ascii="Arial" w:hAnsi="Arial" w:cs="Arial"/>
          <w:b/>
        </w:rPr>
        <w:t>Información y Comunicación</w:t>
      </w:r>
    </w:p>
    <w:p w:rsidR="00BE1556" w:rsidRPr="002F6CEC" w:rsidRDefault="00BE1556" w:rsidP="00BE1556">
      <w:pPr>
        <w:pStyle w:val="NormalWeb1"/>
        <w:spacing w:line="480" w:lineRule="auto"/>
        <w:ind w:left="737"/>
        <w:jc w:val="both"/>
        <w:rPr>
          <w:rFonts w:ascii="Arial" w:hAnsi="Arial" w:cs="Arial"/>
          <w:sz w:val="21"/>
          <w:szCs w:val="21"/>
          <w:lang w:val="es-ES"/>
        </w:rPr>
      </w:pPr>
      <w:r w:rsidRPr="002F6CEC">
        <w:rPr>
          <w:rFonts w:ascii="Arial" w:hAnsi="Arial" w:cs="Arial"/>
          <w:lang w:val="es-ES"/>
        </w:rPr>
        <w:t>Se debe hacer conocer a todos los trabajadores sus funciones</w:t>
      </w:r>
      <w:r w:rsidR="004F3FDA">
        <w:rPr>
          <w:rFonts w:ascii="Arial" w:hAnsi="Arial" w:cs="Arial"/>
          <w:lang w:val="es-ES"/>
        </w:rPr>
        <w:t>,</w:t>
      </w:r>
      <w:r w:rsidRPr="002F6CEC">
        <w:rPr>
          <w:rFonts w:ascii="Arial" w:hAnsi="Arial" w:cs="Arial"/>
          <w:lang w:val="es-ES"/>
        </w:rPr>
        <w:t xml:space="preserve"> es por eso que tambié</w:t>
      </w:r>
      <w:r w:rsidR="004F3FDA">
        <w:rPr>
          <w:rFonts w:ascii="Arial" w:hAnsi="Arial" w:cs="Arial"/>
          <w:lang w:val="es-ES"/>
        </w:rPr>
        <w:t xml:space="preserve">n se hace </w:t>
      </w:r>
      <w:r w:rsidRPr="002F6CEC">
        <w:rPr>
          <w:rFonts w:ascii="Arial" w:hAnsi="Arial" w:cs="Arial"/>
          <w:lang w:val="es-ES"/>
        </w:rPr>
        <w:t>n</w:t>
      </w:r>
      <w:r w:rsidR="004F3FDA">
        <w:rPr>
          <w:rFonts w:ascii="Arial" w:hAnsi="Arial" w:cs="Arial"/>
          <w:lang w:val="es-ES"/>
        </w:rPr>
        <w:t xml:space="preserve">ecesario que tengan al alcance </w:t>
      </w:r>
      <w:r w:rsidRPr="002F6CEC">
        <w:rPr>
          <w:rFonts w:ascii="Arial" w:hAnsi="Arial" w:cs="Arial"/>
          <w:lang w:val="es-ES"/>
        </w:rPr>
        <w:t>la información habitual de forma actual, precisa, adecuada, accesible y oportuna que d</w:t>
      </w:r>
      <w:r w:rsidR="004F3FDA">
        <w:rPr>
          <w:rFonts w:ascii="Arial" w:hAnsi="Arial" w:cs="Arial"/>
          <w:lang w:val="es-ES"/>
        </w:rPr>
        <w:t xml:space="preserve">eben manejar para encaminar sus </w:t>
      </w:r>
      <w:r w:rsidRPr="002F6CEC">
        <w:rPr>
          <w:rFonts w:ascii="Arial" w:hAnsi="Arial" w:cs="Arial"/>
          <w:lang w:val="es-ES"/>
        </w:rPr>
        <w:t>acciones en concordancia con los demás hacia el correcto logro de los objetivos.</w:t>
      </w:r>
    </w:p>
    <w:p w:rsidR="00BE1556" w:rsidRPr="002F6CEC" w:rsidRDefault="00BE1556" w:rsidP="00BE1556">
      <w:pPr>
        <w:pStyle w:val="NormalWeb1"/>
        <w:spacing w:line="480" w:lineRule="auto"/>
        <w:ind w:left="737"/>
        <w:jc w:val="both"/>
        <w:rPr>
          <w:rFonts w:ascii="Arial" w:hAnsi="Arial" w:cs="Arial"/>
          <w:sz w:val="21"/>
          <w:szCs w:val="21"/>
          <w:lang w:val="es-ES"/>
        </w:rPr>
      </w:pPr>
      <w:r w:rsidRPr="002F6CEC">
        <w:rPr>
          <w:rFonts w:ascii="Arial" w:hAnsi="Arial" w:cs="Arial"/>
          <w:lang w:val="es-ES"/>
        </w:rPr>
        <w:t xml:space="preserve">La información relevante está conformada no sólo por datos generados internamente sino por aquellos que vienen de forma externas las cuales son útiles para la toma de decisiones. </w:t>
      </w:r>
    </w:p>
    <w:p w:rsidR="009E2334" w:rsidRPr="002F6CEC" w:rsidRDefault="009E2334" w:rsidP="009E2334">
      <w:pPr>
        <w:numPr>
          <w:ilvl w:val="0"/>
          <w:numId w:val="2"/>
        </w:numPr>
        <w:spacing w:line="480" w:lineRule="auto"/>
        <w:jc w:val="both"/>
        <w:rPr>
          <w:rFonts w:ascii="Arial" w:hAnsi="Arial" w:cs="Arial"/>
          <w:b/>
        </w:rPr>
      </w:pPr>
      <w:r w:rsidRPr="002F6CEC">
        <w:rPr>
          <w:rFonts w:ascii="Arial" w:hAnsi="Arial" w:cs="Arial"/>
          <w:b/>
        </w:rPr>
        <w:t>Monitoreo de controles (Supervisión)</w:t>
      </w:r>
    </w:p>
    <w:p w:rsidR="009E2334" w:rsidRPr="00586B65" w:rsidRDefault="009E2334" w:rsidP="009E2334">
      <w:pPr>
        <w:pStyle w:val="NormalWeb1"/>
        <w:spacing w:line="480" w:lineRule="auto"/>
        <w:ind w:left="708"/>
        <w:jc w:val="both"/>
        <w:rPr>
          <w:rFonts w:ascii="Arial" w:hAnsi="Arial" w:cs="Arial"/>
          <w:lang w:val="es-ES"/>
        </w:rPr>
      </w:pPr>
      <w:r w:rsidRPr="00586B65">
        <w:rPr>
          <w:rFonts w:ascii="Arial" w:hAnsi="Arial" w:cs="Arial"/>
          <w:lang w:val="es-ES"/>
        </w:rPr>
        <w:t>Consiste en la revisión y actualización periódica para mantener a la empresa hacia el horizonte adecuado. Lo que se quiere lograr con el monitoreo es saber que el control interno marcha adecuadamente.</w:t>
      </w:r>
    </w:p>
    <w:p w:rsidR="009E2334" w:rsidRDefault="009E2334" w:rsidP="009E2334">
      <w:pPr>
        <w:pStyle w:val="NormalWeb1"/>
        <w:spacing w:line="480" w:lineRule="auto"/>
        <w:ind w:left="708"/>
        <w:jc w:val="both"/>
        <w:rPr>
          <w:rFonts w:ascii="Georgia" w:hAnsi="Georgia" w:cs="Arial"/>
          <w:color w:val="445555"/>
          <w:sz w:val="21"/>
          <w:szCs w:val="21"/>
          <w:lang w:val="es-ES"/>
        </w:rPr>
      </w:pPr>
      <w:r w:rsidRPr="00586B65">
        <w:rPr>
          <w:rFonts w:ascii="Arial" w:hAnsi="Arial" w:cs="Arial"/>
          <w:lang w:val="es-ES"/>
        </w:rPr>
        <w:t>Se debe de  examinar el funcionamiento real del sistema, que los controles existan y estén determinados, que se utilicen habitualmente y que  se vean reflejados para el  logro de los objetivos</w:t>
      </w:r>
      <w:r>
        <w:rPr>
          <w:rFonts w:ascii="Georgia" w:hAnsi="Georgia" w:cs="Arial"/>
          <w:color w:val="445555"/>
          <w:lang w:val="es-ES"/>
        </w:rPr>
        <w:t>.</w:t>
      </w:r>
    </w:p>
    <w:p w:rsidR="00BE1556" w:rsidRDefault="009E2334" w:rsidP="00BE1556">
      <w:pPr>
        <w:spacing w:line="480" w:lineRule="auto"/>
        <w:jc w:val="both"/>
        <w:rPr>
          <w:rFonts w:ascii="Arial" w:hAnsi="Arial" w:cs="Arial"/>
          <w:b/>
        </w:rPr>
      </w:pPr>
      <w:r>
        <w:rPr>
          <w:noProof/>
          <w:vertAlign w:val="superscript"/>
        </w:rPr>
        <w:pict>
          <v:line id="_x0000_s1026" style="position:absolute;left:0;text-align:left;z-index:251655680" from="0,26.6pt" to="180pt,26.6pt"/>
        </w:pict>
      </w:r>
    </w:p>
    <w:p w:rsidR="00BE1556" w:rsidRPr="009E2334" w:rsidRDefault="00BE1556" w:rsidP="00BE1556">
      <w:pPr>
        <w:spacing w:line="480" w:lineRule="auto"/>
        <w:jc w:val="both"/>
        <w:rPr>
          <w:rFonts w:ascii="Arial" w:hAnsi="Arial" w:cs="Arial"/>
          <w:b/>
          <w:sz w:val="20"/>
          <w:szCs w:val="20"/>
        </w:rPr>
      </w:pPr>
      <w:r w:rsidRPr="009E2334">
        <w:rPr>
          <w:rStyle w:val="Refdenotaalpie"/>
          <w:sz w:val="20"/>
          <w:szCs w:val="20"/>
        </w:rPr>
        <w:t>(1)</w:t>
      </w:r>
      <w:r w:rsidRPr="009E2334">
        <w:rPr>
          <w:sz w:val="20"/>
          <w:szCs w:val="20"/>
        </w:rPr>
        <w:t xml:space="preserve"> </w:t>
      </w:r>
      <w:r w:rsidRPr="009E2334">
        <w:rPr>
          <w:sz w:val="20"/>
          <w:szCs w:val="20"/>
          <w:lang w:val="es-EC"/>
        </w:rPr>
        <w:t>Tomado de la referencia bibliográfica #</w:t>
      </w:r>
      <w:r w:rsidR="009E2334">
        <w:rPr>
          <w:sz w:val="20"/>
          <w:szCs w:val="20"/>
          <w:lang w:val="es-EC"/>
        </w:rPr>
        <w:t xml:space="preserve"> 1</w:t>
      </w:r>
    </w:p>
    <w:tbl>
      <w:tblPr>
        <w:tblW w:w="7312" w:type="dxa"/>
        <w:tblCellSpacing w:w="37" w:type="dxa"/>
        <w:tblCellMar>
          <w:left w:w="0" w:type="dxa"/>
          <w:bottom w:w="360" w:type="dxa"/>
          <w:right w:w="0" w:type="dxa"/>
        </w:tblCellMar>
        <w:tblLook w:val="0000"/>
      </w:tblPr>
      <w:tblGrid>
        <w:gridCol w:w="7312"/>
      </w:tblGrid>
      <w:tr w:rsidR="00BE1556" w:rsidRPr="00BE1556">
        <w:trPr>
          <w:trHeight w:val="214"/>
          <w:tblCellSpacing w:w="37" w:type="dxa"/>
        </w:trPr>
        <w:tc>
          <w:tcPr>
            <w:tcW w:w="0" w:type="auto"/>
            <w:tcMar>
              <w:top w:w="0" w:type="dxa"/>
              <w:left w:w="0" w:type="dxa"/>
              <w:bottom w:w="0" w:type="dxa"/>
              <w:right w:w="0" w:type="dxa"/>
            </w:tcMar>
          </w:tcPr>
          <w:p w:rsidR="00BE1556" w:rsidRPr="00BE1556" w:rsidRDefault="00BE1556" w:rsidP="00BE1556"/>
        </w:tc>
      </w:tr>
      <w:tr w:rsidR="00BE1556">
        <w:trPr>
          <w:trHeight w:val="4240"/>
          <w:tblCellSpacing w:w="37" w:type="dxa"/>
        </w:trPr>
        <w:tc>
          <w:tcPr>
            <w:tcW w:w="0" w:type="auto"/>
            <w:tcMar>
              <w:top w:w="0" w:type="dxa"/>
              <w:left w:w="0" w:type="dxa"/>
              <w:bottom w:w="0" w:type="dxa"/>
              <w:right w:w="0" w:type="dxa"/>
            </w:tcMar>
          </w:tcPr>
          <w:p w:rsidR="00BE1556" w:rsidRDefault="00BE1556" w:rsidP="00BE1556">
            <w:pPr>
              <w:pStyle w:val="cuerpo"/>
            </w:pPr>
          </w:p>
          <w:tbl>
            <w:tblPr>
              <w:tblW w:w="4489" w:type="pct"/>
              <w:jc w:val="center"/>
              <w:tblCellSpacing w:w="37" w:type="dxa"/>
              <w:tblCellMar>
                <w:left w:w="0" w:type="dxa"/>
                <w:right w:w="0" w:type="dxa"/>
              </w:tblCellMar>
              <w:tblLook w:val="0000"/>
            </w:tblPr>
            <w:tblGrid>
              <w:gridCol w:w="6432"/>
            </w:tblGrid>
            <w:tr w:rsidR="00BE1556">
              <w:trPr>
                <w:trHeight w:val="214"/>
                <w:tblCellSpacing w:w="37" w:type="dxa"/>
                <w:jc w:val="center"/>
              </w:trPr>
              <w:tc>
                <w:tcPr>
                  <w:tcW w:w="0" w:type="auto"/>
                  <w:vAlign w:val="center"/>
                </w:tcPr>
                <w:p w:rsidR="00BE1556" w:rsidRDefault="00BE1556" w:rsidP="00BE1556">
                  <w:pPr>
                    <w:pStyle w:val="NormalWeb"/>
                  </w:pPr>
                </w:p>
              </w:tc>
            </w:tr>
          </w:tbl>
          <w:p w:rsidR="00BE1556" w:rsidRDefault="00BE1556" w:rsidP="00BE1556">
            <w:pPr>
              <w:rPr>
                <w:vanish/>
              </w:rPr>
            </w:pPr>
          </w:p>
          <w:tbl>
            <w:tblPr>
              <w:tblpPr w:leftFromText="141" w:rightFromText="141" w:horzAnchor="page" w:tblpX="1444" w:tblpY="873"/>
              <w:tblOverlap w:val="never"/>
              <w:tblW w:w="4797" w:type="pct"/>
              <w:tblCellSpacing w:w="75" w:type="dxa"/>
              <w:tblCellMar>
                <w:left w:w="0" w:type="dxa"/>
                <w:right w:w="0" w:type="dxa"/>
              </w:tblCellMar>
              <w:tblLook w:val="0000"/>
            </w:tblPr>
            <w:tblGrid>
              <w:gridCol w:w="2303"/>
              <w:gridCol w:w="4570"/>
            </w:tblGrid>
            <w:tr w:rsidR="00BE1556">
              <w:trPr>
                <w:trHeight w:val="1167"/>
                <w:tblCellSpacing w:w="75" w:type="dxa"/>
              </w:trPr>
              <w:tc>
                <w:tcPr>
                  <w:tcW w:w="1512" w:type="pct"/>
                </w:tcPr>
                <w:p w:rsidR="00BE1556" w:rsidRDefault="00BE1556" w:rsidP="00BE1556">
                  <w:pPr>
                    <w:spacing w:line="285" w:lineRule="atLeast"/>
                    <w:textAlignment w:val="baseline"/>
                    <w:rPr>
                      <w:rFonts w:ascii="Arial" w:hAnsi="Arial" w:cs="Arial"/>
                      <w:color w:val="00349C"/>
                      <w:sz w:val="20"/>
                      <w:szCs w:val="20"/>
                    </w:rPr>
                  </w:pPr>
                </w:p>
              </w:tc>
              <w:tc>
                <w:tcPr>
                  <w:tcW w:w="3161" w:type="pct"/>
                </w:tcPr>
                <w:p w:rsidR="00BE1556" w:rsidRDefault="00B04CD6" w:rsidP="00BE1556">
                  <w:pPr>
                    <w:jc w:val="center"/>
                  </w:pPr>
                  <w:r>
                    <w:rPr>
                      <w:noProof/>
                    </w:rPr>
                    <w:drawing>
                      <wp:inline distT="0" distB="0" distL="0" distR="0">
                        <wp:extent cx="2374900" cy="2070100"/>
                        <wp:effectExtent l="19050" t="0" r="6350" b="0"/>
                        <wp:docPr id="3" name="Imagen 3" descr="c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bo"/>
                                <pic:cNvPicPr>
                                  <a:picLocks noChangeAspect="1" noChangeArrowheads="1"/>
                                </pic:cNvPicPr>
                              </pic:nvPicPr>
                              <pic:blipFill>
                                <a:blip r:embed="rId15">
                                  <a:lum bright="12000" contrast="-6000"/>
                                </a:blip>
                                <a:srcRect/>
                                <a:stretch>
                                  <a:fillRect/>
                                </a:stretch>
                              </pic:blipFill>
                              <pic:spPr bwMode="auto">
                                <a:xfrm>
                                  <a:off x="0" y="0"/>
                                  <a:ext cx="2374900" cy="2070100"/>
                                </a:xfrm>
                                <a:prstGeom prst="rect">
                                  <a:avLst/>
                                </a:prstGeom>
                                <a:noFill/>
                                <a:ln w="9525">
                                  <a:noFill/>
                                  <a:miter lim="800000"/>
                                  <a:headEnd/>
                                  <a:tailEnd/>
                                </a:ln>
                              </pic:spPr>
                            </pic:pic>
                          </a:graphicData>
                        </a:graphic>
                      </wp:inline>
                    </w:drawing>
                  </w:r>
                </w:p>
              </w:tc>
            </w:tr>
          </w:tbl>
          <w:p w:rsidR="00BE1556" w:rsidRDefault="00BE1556" w:rsidP="00BE1556"/>
        </w:tc>
      </w:tr>
    </w:tbl>
    <w:p w:rsidR="00D21F68" w:rsidRDefault="00D21F68" w:rsidP="008900F0">
      <w:pPr>
        <w:spacing w:line="360" w:lineRule="auto"/>
        <w:jc w:val="center"/>
        <w:rPr>
          <w:rFonts w:ascii="Arial" w:hAnsi="Arial" w:cs="Arial"/>
          <w:b/>
        </w:rPr>
      </w:pPr>
    </w:p>
    <w:p w:rsidR="00BE1556" w:rsidRPr="006E1A13" w:rsidRDefault="00BE1556" w:rsidP="006E1A13">
      <w:pPr>
        <w:pStyle w:val="Ttulo1"/>
        <w:spacing w:line="480" w:lineRule="auto"/>
        <w:ind w:left="357"/>
        <w:jc w:val="center"/>
        <w:rPr>
          <w:rFonts w:ascii="Arial" w:hAnsi="Arial" w:cs="Arial"/>
          <w:b w:val="0"/>
        </w:rPr>
      </w:pPr>
      <w:bookmarkStart w:id="230" w:name="_Toc183700866"/>
      <w:r w:rsidRPr="006E1A13">
        <w:rPr>
          <w:rFonts w:ascii="Arial" w:hAnsi="Arial" w:cs="Arial"/>
        </w:rPr>
        <w:t xml:space="preserve">Dibujo I: </w:t>
      </w:r>
      <w:r w:rsidRPr="006E1A13">
        <w:rPr>
          <w:rFonts w:ascii="Arial" w:hAnsi="Arial" w:cs="Arial"/>
          <w:b w:val="0"/>
        </w:rPr>
        <w:t>Estructura COSO</w:t>
      </w:r>
      <w:bookmarkEnd w:id="230"/>
    </w:p>
    <w:p w:rsidR="005B7CAB" w:rsidRPr="0027234D" w:rsidRDefault="005B7CAB" w:rsidP="008900F0">
      <w:pPr>
        <w:spacing w:line="360" w:lineRule="auto"/>
        <w:rPr>
          <w:rFonts w:ascii="Arial" w:hAnsi="Arial" w:cs="Arial"/>
        </w:rPr>
      </w:pPr>
    </w:p>
    <w:p w:rsidR="00DA4EFF" w:rsidRPr="009278E3" w:rsidRDefault="009278E3" w:rsidP="00FD4A53">
      <w:pPr>
        <w:pStyle w:val="Ttulo3"/>
        <w:spacing w:before="0" w:after="0" w:line="480" w:lineRule="auto"/>
        <w:ind w:left="720"/>
        <w:rPr>
          <w:sz w:val="24"/>
          <w:szCs w:val="24"/>
        </w:rPr>
      </w:pPr>
      <w:bookmarkStart w:id="231" w:name="_Toc183697480"/>
      <w:bookmarkStart w:id="232" w:name="_Toc183698810"/>
      <w:bookmarkStart w:id="233" w:name="_Toc183699151"/>
      <w:bookmarkStart w:id="234" w:name="_Toc183699363"/>
      <w:bookmarkStart w:id="235" w:name="_Toc183699534"/>
      <w:bookmarkStart w:id="236" w:name="_Toc183699833"/>
      <w:bookmarkStart w:id="237" w:name="_Toc183700106"/>
      <w:bookmarkStart w:id="238" w:name="_Toc183700323"/>
      <w:bookmarkStart w:id="239" w:name="_Toc183700615"/>
      <w:bookmarkStart w:id="240" w:name="_Toc183700867"/>
      <w:r>
        <w:rPr>
          <w:sz w:val="24"/>
          <w:szCs w:val="24"/>
        </w:rPr>
        <w:t xml:space="preserve">1.1.2 </w:t>
      </w:r>
      <w:r w:rsidR="00DA4EFF" w:rsidRPr="009278E3">
        <w:rPr>
          <w:sz w:val="24"/>
          <w:szCs w:val="24"/>
        </w:rPr>
        <w:t>Control interno de las conciliaciones bancarias</w:t>
      </w:r>
      <w:bookmarkEnd w:id="231"/>
      <w:bookmarkEnd w:id="232"/>
      <w:bookmarkEnd w:id="233"/>
      <w:bookmarkEnd w:id="234"/>
      <w:bookmarkEnd w:id="235"/>
      <w:bookmarkEnd w:id="236"/>
      <w:bookmarkEnd w:id="237"/>
      <w:bookmarkEnd w:id="238"/>
      <w:bookmarkEnd w:id="239"/>
      <w:bookmarkEnd w:id="240"/>
    </w:p>
    <w:p w:rsidR="0027234D" w:rsidRPr="005B7CAB" w:rsidRDefault="00E626A8" w:rsidP="00FD4A53">
      <w:pPr>
        <w:pStyle w:val="NormalWeb1"/>
        <w:spacing w:line="480" w:lineRule="auto"/>
        <w:ind w:left="720"/>
        <w:jc w:val="both"/>
        <w:rPr>
          <w:rFonts w:ascii="Arial" w:hAnsi="Arial" w:cs="Arial"/>
          <w:lang w:val="es-ES"/>
        </w:rPr>
      </w:pPr>
      <w:r w:rsidRPr="005B7CAB">
        <w:rPr>
          <w:rFonts w:ascii="Arial" w:hAnsi="Arial" w:cs="Arial"/>
        </w:rPr>
        <w:t xml:space="preserve">Uno </w:t>
      </w:r>
      <w:r w:rsidR="0027234D" w:rsidRPr="005B7CAB">
        <w:rPr>
          <w:rFonts w:ascii="Arial" w:hAnsi="Arial" w:cs="Arial"/>
        </w:rPr>
        <w:t xml:space="preserve">de los mayores problemas que se presentan durante la elaboración de una conciliación, es que a veces no se sabe que hacer con los ajustes hechos el mes anterior. “En el caso de no encontrar los ajustes de los errores asentados en los libros y/o estado de cuenta bancario (actuales) estas se deben tomar en cuenta para la conciliación actual o si estuviesen pero con diferencia en cantidad o mal ubicados, de igual forma se tomará en cuenta para su correspondiente ajuste en la conciliación actual, de darse el caso contrario en que sí se encuentren tales partidas ya registradas en los libros y/o estado de cuenta bancario (actuales) con montos </w:t>
      </w:r>
      <w:r w:rsidR="0027234D" w:rsidRPr="005B7CAB">
        <w:rPr>
          <w:rFonts w:ascii="Arial" w:hAnsi="Arial" w:cs="Arial"/>
        </w:rPr>
        <w:lastRenderedPageBreak/>
        <w:t xml:space="preserve">compatibles las mismas no se toman en cuenta para ningún tipo de ajuste”. </w:t>
      </w:r>
    </w:p>
    <w:p w:rsidR="00BE1556" w:rsidRPr="009278E3" w:rsidRDefault="008900F0" w:rsidP="009278E3">
      <w:pPr>
        <w:pStyle w:val="Ttulo2"/>
        <w:tabs>
          <w:tab w:val="clear" w:pos="1440"/>
        </w:tabs>
        <w:spacing w:before="0" w:after="0" w:line="480" w:lineRule="auto"/>
        <w:ind w:left="357"/>
        <w:rPr>
          <w:i w:val="0"/>
          <w:sz w:val="24"/>
          <w:szCs w:val="24"/>
        </w:rPr>
      </w:pPr>
      <w:bookmarkStart w:id="241" w:name="_Toc183697481"/>
      <w:bookmarkStart w:id="242" w:name="_Toc183698811"/>
      <w:bookmarkStart w:id="243" w:name="_Toc183699152"/>
      <w:bookmarkStart w:id="244" w:name="_Toc183699364"/>
      <w:bookmarkStart w:id="245" w:name="_Toc183699535"/>
      <w:bookmarkStart w:id="246" w:name="_Toc183699834"/>
      <w:bookmarkStart w:id="247" w:name="_Toc183700107"/>
      <w:bookmarkStart w:id="248" w:name="_Toc183700324"/>
      <w:bookmarkStart w:id="249" w:name="_Toc183700616"/>
      <w:bookmarkStart w:id="250" w:name="_Toc183700868"/>
      <w:r>
        <w:rPr>
          <w:noProof/>
        </w:rPr>
        <w:pict>
          <v:shapetype id="_x0000_t202" coordsize="21600,21600" o:spt="202" path="m,l,21600r21600,l21600,xe">
            <v:stroke joinstyle="miter"/>
            <v:path gradientshapeok="t" o:connecttype="rect"/>
          </v:shapetype>
          <v:shape id="_x0000_s1033" type="#_x0000_t202" style="position:absolute;left:0;text-align:left;margin-left:1in;margin-top:-34.95pt;width:27pt;height:18pt;z-index:251658752" stroked="f">
            <v:textbox style="mso-next-textbox:#_x0000_s1033">
              <w:txbxContent>
                <w:p w:rsidR="00C552B3" w:rsidRPr="00273186" w:rsidRDefault="00C552B3" w:rsidP="008900F0">
                  <w:pPr>
                    <w:rPr>
                      <w:sz w:val="16"/>
                      <w:szCs w:val="16"/>
                      <w:lang w:val="es-EC"/>
                    </w:rPr>
                  </w:pPr>
                  <w:r w:rsidRPr="00273186">
                    <w:rPr>
                      <w:sz w:val="16"/>
                      <w:szCs w:val="16"/>
                      <w:lang w:val="es-EC"/>
                    </w:rPr>
                    <w:t>(</w:t>
                  </w:r>
                  <w:r>
                    <w:rPr>
                      <w:sz w:val="16"/>
                      <w:szCs w:val="16"/>
                      <w:lang w:val="es-EC"/>
                    </w:rPr>
                    <w:t>2</w:t>
                  </w:r>
                  <w:r w:rsidRPr="00273186">
                    <w:rPr>
                      <w:sz w:val="16"/>
                      <w:szCs w:val="16"/>
                      <w:lang w:val="es-EC"/>
                    </w:rPr>
                    <w:t>)</w:t>
                  </w:r>
                </w:p>
              </w:txbxContent>
            </v:textbox>
          </v:shape>
        </w:pict>
      </w:r>
      <w:r w:rsidR="00BE1556" w:rsidRPr="009278E3">
        <w:rPr>
          <w:i w:val="0"/>
          <w:sz w:val="24"/>
          <w:szCs w:val="24"/>
        </w:rPr>
        <w:t>1.2</w:t>
      </w:r>
      <w:r w:rsidR="00BE1556" w:rsidRPr="009278E3">
        <w:rPr>
          <w:i w:val="0"/>
          <w:sz w:val="24"/>
          <w:szCs w:val="24"/>
        </w:rPr>
        <w:tab/>
        <w:t xml:space="preserve"> </w:t>
      </w:r>
      <w:r w:rsidR="009278E3">
        <w:rPr>
          <w:i w:val="0"/>
          <w:sz w:val="24"/>
          <w:szCs w:val="24"/>
        </w:rPr>
        <w:t xml:space="preserve"> </w:t>
      </w:r>
      <w:r w:rsidR="00BE1556" w:rsidRPr="009278E3">
        <w:rPr>
          <w:i w:val="0"/>
          <w:sz w:val="24"/>
          <w:szCs w:val="24"/>
        </w:rPr>
        <w:t>Diagrama de barras</w:t>
      </w:r>
      <w:bookmarkEnd w:id="241"/>
      <w:bookmarkEnd w:id="242"/>
      <w:bookmarkEnd w:id="243"/>
      <w:bookmarkEnd w:id="244"/>
      <w:bookmarkEnd w:id="245"/>
      <w:bookmarkEnd w:id="246"/>
      <w:bookmarkEnd w:id="247"/>
      <w:bookmarkEnd w:id="248"/>
      <w:bookmarkEnd w:id="249"/>
      <w:bookmarkEnd w:id="250"/>
    </w:p>
    <w:p w:rsidR="00BE1556" w:rsidRDefault="00BE1556" w:rsidP="00DC23AF">
      <w:pPr>
        <w:spacing w:line="480" w:lineRule="auto"/>
        <w:ind w:left="360"/>
        <w:jc w:val="both"/>
        <w:rPr>
          <w:rFonts w:ascii="Arial" w:hAnsi="Arial" w:cs="Arial"/>
        </w:rPr>
      </w:pPr>
      <w:r w:rsidRPr="00E7032C">
        <w:rPr>
          <w:rFonts w:ascii="Arial" w:hAnsi="Arial" w:cs="Arial"/>
        </w:rPr>
        <w:t xml:space="preserve">El diagrama de barras es </w:t>
      </w:r>
      <w:r>
        <w:rPr>
          <w:rFonts w:ascii="Arial" w:hAnsi="Arial" w:cs="Arial"/>
        </w:rPr>
        <w:t>un</w:t>
      </w:r>
      <w:r w:rsidRPr="00E7032C">
        <w:rPr>
          <w:rFonts w:ascii="Arial" w:hAnsi="Arial" w:cs="Arial"/>
        </w:rPr>
        <w:t xml:space="preserve"> método habitual de presentar en forma gráfica datos con escala nominal u ordinal. Cada barra representa la frecuencia de una categoría. La altura de la barra es proporcional al número de elementos en esa categoría. En general las barras se colocan en posición vertical con la base en el eje horizontal de la gráfica. Las barras se separan y a ello se debe que se utilice con tanta frecuencia para datos nominales y ordinales</w:t>
      </w:r>
      <w:r>
        <w:rPr>
          <w:rFonts w:ascii="Arial" w:hAnsi="Arial" w:cs="Arial"/>
        </w:rPr>
        <w:t>, la separación coloca de manifiesto que se están dibujando frecuencias de categorías distintas.</w:t>
      </w:r>
    </w:p>
    <w:p w:rsidR="00FB48C9" w:rsidRPr="005B7CAB" w:rsidRDefault="00BE1556" w:rsidP="00DC23AF">
      <w:pPr>
        <w:spacing w:line="480" w:lineRule="auto"/>
        <w:ind w:left="360"/>
        <w:jc w:val="both"/>
        <w:rPr>
          <w:rFonts w:ascii="Arial" w:hAnsi="Arial" w:cs="Arial"/>
        </w:rPr>
      </w:pPr>
      <w:r>
        <w:rPr>
          <w:rFonts w:ascii="Arial" w:hAnsi="Arial" w:cs="Arial"/>
        </w:rPr>
        <w:t xml:space="preserve">Con frecuencia los diagramas de barras se utilizan para comparar los valores de una variable de un período a otro. </w:t>
      </w:r>
    </w:p>
    <w:p w:rsidR="00BE1556" w:rsidRDefault="00BE1556" w:rsidP="009278E3">
      <w:pPr>
        <w:pStyle w:val="Ttulo2"/>
        <w:tabs>
          <w:tab w:val="clear" w:pos="1440"/>
          <w:tab w:val="num" w:pos="360"/>
        </w:tabs>
        <w:ind w:left="0"/>
        <w:rPr>
          <w:i w:val="0"/>
          <w:sz w:val="24"/>
          <w:szCs w:val="24"/>
        </w:rPr>
      </w:pPr>
      <w:r w:rsidRPr="009278E3">
        <w:rPr>
          <w:i w:val="0"/>
          <w:sz w:val="24"/>
          <w:szCs w:val="24"/>
        </w:rPr>
        <w:t xml:space="preserve">   </w:t>
      </w:r>
      <w:r w:rsidR="009278E3">
        <w:rPr>
          <w:i w:val="0"/>
          <w:sz w:val="24"/>
          <w:szCs w:val="24"/>
        </w:rPr>
        <w:t xml:space="preserve">  </w:t>
      </w:r>
      <w:bookmarkStart w:id="251" w:name="_Toc183697482"/>
      <w:bookmarkStart w:id="252" w:name="_Toc183698812"/>
      <w:bookmarkStart w:id="253" w:name="_Toc183699153"/>
      <w:bookmarkStart w:id="254" w:name="_Toc183699365"/>
      <w:bookmarkStart w:id="255" w:name="_Toc183699536"/>
      <w:bookmarkStart w:id="256" w:name="_Toc183699835"/>
      <w:bookmarkStart w:id="257" w:name="_Toc183700108"/>
      <w:bookmarkStart w:id="258" w:name="_Toc183700325"/>
      <w:bookmarkStart w:id="259" w:name="_Toc183700617"/>
      <w:bookmarkStart w:id="260" w:name="_Toc183700869"/>
      <w:r w:rsidRPr="009278E3">
        <w:rPr>
          <w:i w:val="0"/>
          <w:sz w:val="24"/>
          <w:szCs w:val="24"/>
        </w:rPr>
        <w:t>1.3 Diagrama de pastel</w:t>
      </w:r>
      <w:bookmarkEnd w:id="251"/>
      <w:bookmarkEnd w:id="252"/>
      <w:bookmarkEnd w:id="253"/>
      <w:bookmarkEnd w:id="254"/>
      <w:bookmarkEnd w:id="255"/>
      <w:bookmarkEnd w:id="256"/>
      <w:bookmarkEnd w:id="257"/>
      <w:bookmarkEnd w:id="258"/>
      <w:bookmarkEnd w:id="259"/>
      <w:bookmarkEnd w:id="260"/>
    </w:p>
    <w:p w:rsidR="008900F0" w:rsidRPr="008900F0" w:rsidRDefault="008900F0" w:rsidP="008900F0"/>
    <w:p w:rsidR="00BE1556" w:rsidRPr="006E1B42" w:rsidRDefault="00B77518" w:rsidP="00DC23AF">
      <w:pPr>
        <w:tabs>
          <w:tab w:val="left" w:pos="0"/>
          <w:tab w:val="left" w:pos="142"/>
          <w:tab w:val="left" w:pos="360"/>
          <w:tab w:val="left" w:pos="426"/>
          <w:tab w:val="left" w:pos="851"/>
        </w:tabs>
        <w:spacing w:line="480" w:lineRule="auto"/>
        <w:ind w:left="360"/>
        <w:jc w:val="both"/>
        <w:rPr>
          <w:rFonts w:ascii="Arial" w:hAnsi="Arial" w:cs="Arial"/>
        </w:rPr>
      </w:pPr>
      <w:r>
        <w:rPr>
          <w:rFonts w:ascii="Arial" w:hAnsi="Arial" w:cs="Arial"/>
        </w:rPr>
        <w:t>El d</w:t>
      </w:r>
      <w:r w:rsidR="00BE1556" w:rsidRPr="006E1B42">
        <w:rPr>
          <w:rFonts w:ascii="Arial" w:hAnsi="Arial" w:cs="Arial"/>
        </w:rPr>
        <w:t>iagrama de pastel es una forma efectiva de desplegar los porcentajes en que se dividen los datos. Este tipo de diagrama particularmente útil si se quiere hacer hincapié en los tamaños relativos de las componentes de los datos. Los presupues</w:t>
      </w:r>
      <w:r>
        <w:rPr>
          <w:rFonts w:ascii="Arial" w:hAnsi="Arial" w:cs="Arial"/>
        </w:rPr>
        <w:t xml:space="preserve">tos y la información económica se </w:t>
      </w:r>
      <w:r w:rsidR="00BE1556" w:rsidRPr="006E1B42">
        <w:rPr>
          <w:rFonts w:ascii="Arial" w:hAnsi="Arial" w:cs="Arial"/>
        </w:rPr>
        <w:t>describen con frecuencia mediante un diagrama de pastel. Un círculo completo 360° representa el número total de observaciones. El tamaño de las porciones es proporcional a la frecuencia relativa de cada categoría.</w:t>
      </w:r>
    </w:p>
    <w:p w:rsidR="005B7CAB" w:rsidRPr="005B7CAB" w:rsidRDefault="00BE1556" w:rsidP="00DC23AF">
      <w:pPr>
        <w:tabs>
          <w:tab w:val="left" w:pos="0"/>
          <w:tab w:val="left" w:pos="142"/>
          <w:tab w:val="left" w:pos="360"/>
          <w:tab w:val="left" w:pos="426"/>
          <w:tab w:val="left" w:pos="851"/>
        </w:tabs>
        <w:spacing w:line="480" w:lineRule="auto"/>
        <w:ind w:left="360"/>
        <w:jc w:val="both"/>
        <w:rPr>
          <w:rFonts w:ascii="Arial" w:hAnsi="Arial" w:cs="Arial"/>
        </w:rPr>
      </w:pPr>
      <w:r w:rsidRPr="006E1B42">
        <w:rPr>
          <w:rFonts w:ascii="Arial" w:hAnsi="Arial" w:cs="Arial"/>
        </w:rPr>
        <w:lastRenderedPageBreak/>
        <w:t xml:space="preserve">Los diagramas de pastel pueden representar de manera efectiva datos cuantitativos una vez que han sido organizados en categorías. </w:t>
      </w:r>
      <w:r>
        <w:rPr>
          <w:rFonts w:ascii="Arial" w:hAnsi="Arial" w:cs="Arial"/>
          <w:b/>
        </w:rPr>
        <w:tab/>
        <w:t xml:space="preserve">   </w:t>
      </w:r>
    </w:p>
    <w:p w:rsidR="00BE1556" w:rsidRPr="005B7CAB" w:rsidRDefault="005B7CAB" w:rsidP="00652E74">
      <w:pPr>
        <w:tabs>
          <w:tab w:val="left" w:pos="1080"/>
          <w:tab w:val="left" w:pos="1260"/>
        </w:tabs>
        <w:spacing w:line="480" w:lineRule="auto"/>
        <w:jc w:val="both"/>
        <w:rPr>
          <w:rFonts w:ascii="Arial" w:hAnsi="Arial" w:cs="Arial"/>
          <w:b/>
          <w:sz w:val="20"/>
          <w:szCs w:val="20"/>
          <w:lang w:val="es-EC"/>
        </w:rPr>
      </w:pPr>
      <w:r w:rsidRPr="009E2334">
        <w:rPr>
          <w:sz w:val="20"/>
          <w:szCs w:val="20"/>
        </w:rPr>
        <w:t xml:space="preserve"> </w:t>
      </w:r>
    </w:p>
    <w:p w:rsidR="00BE1556" w:rsidRPr="009278E3" w:rsidRDefault="00DC23AF" w:rsidP="00DC23AF">
      <w:pPr>
        <w:pStyle w:val="Ttulo2"/>
        <w:tabs>
          <w:tab w:val="clear" w:pos="1440"/>
          <w:tab w:val="num" w:pos="360"/>
        </w:tabs>
        <w:spacing w:before="0" w:after="0" w:line="480" w:lineRule="auto"/>
        <w:ind w:left="0"/>
        <w:rPr>
          <w:i w:val="0"/>
          <w:sz w:val="24"/>
          <w:szCs w:val="24"/>
        </w:rPr>
      </w:pPr>
      <w:bookmarkStart w:id="261" w:name="_Toc183697483"/>
      <w:bookmarkStart w:id="262" w:name="_Toc183698813"/>
      <w:bookmarkStart w:id="263" w:name="_Toc183699154"/>
      <w:bookmarkStart w:id="264" w:name="_Toc183699366"/>
      <w:bookmarkStart w:id="265" w:name="_Toc183699537"/>
      <w:bookmarkStart w:id="266" w:name="_Toc183699836"/>
      <w:bookmarkStart w:id="267" w:name="_Toc183700109"/>
      <w:bookmarkStart w:id="268" w:name="_Toc183700326"/>
      <w:bookmarkStart w:id="269" w:name="_Toc183700618"/>
      <w:bookmarkStart w:id="270" w:name="_Toc183700870"/>
      <w:r>
        <w:rPr>
          <w:i w:val="0"/>
          <w:sz w:val="24"/>
          <w:szCs w:val="24"/>
        </w:rPr>
        <w:t xml:space="preserve">     </w:t>
      </w:r>
      <w:r w:rsidR="00BE1556" w:rsidRPr="009278E3">
        <w:rPr>
          <w:i w:val="0"/>
          <w:sz w:val="24"/>
          <w:szCs w:val="24"/>
        </w:rPr>
        <w:t>1.4 Medidas de posición de datos (Cuartiles).</w:t>
      </w:r>
      <w:bookmarkEnd w:id="261"/>
      <w:bookmarkEnd w:id="262"/>
      <w:bookmarkEnd w:id="263"/>
      <w:bookmarkEnd w:id="264"/>
      <w:bookmarkEnd w:id="265"/>
      <w:bookmarkEnd w:id="266"/>
      <w:bookmarkEnd w:id="267"/>
      <w:bookmarkEnd w:id="268"/>
      <w:bookmarkEnd w:id="269"/>
      <w:bookmarkEnd w:id="270"/>
    </w:p>
    <w:p w:rsidR="00BE1556" w:rsidRDefault="00BE1556" w:rsidP="00DC23AF">
      <w:pPr>
        <w:spacing w:line="480" w:lineRule="auto"/>
        <w:ind w:left="360"/>
        <w:jc w:val="both"/>
        <w:rPr>
          <w:rFonts w:ascii="Arial" w:hAnsi="Arial" w:cs="Arial"/>
        </w:rPr>
      </w:pPr>
      <w:r>
        <w:rPr>
          <w:rFonts w:ascii="Arial" w:hAnsi="Arial" w:cs="Arial"/>
          <w:b/>
        </w:rPr>
        <w:t xml:space="preserve">Los cuartiles </w:t>
      </w:r>
      <w:r w:rsidRPr="00DF225F">
        <w:rPr>
          <w:rFonts w:ascii="Arial" w:hAnsi="Arial" w:cs="Arial"/>
        </w:rPr>
        <w:t>son</w:t>
      </w:r>
      <w:r>
        <w:rPr>
          <w:rFonts w:ascii="Arial" w:hAnsi="Arial" w:cs="Arial"/>
          <w:b/>
        </w:rPr>
        <w:t xml:space="preserve"> </w:t>
      </w:r>
      <w:r w:rsidRPr="00BA38DE">
        <w:rPr>
          <w:rFonts w:ascii="Arial" w:hAnsi="Arial" w:cs="Arial"/>
        </w:rPr>
        <w:t xml:space="preserve">medidas adicionales de dispersión. Cada conjunto de datos tiene </w:t>
      </w:r>
      <w:r w:rsidRPr="00DF225F">
        <w:rPr>
          <w:rFonts w:ascii="Arial" w:hAnsi="Arial" w:cs="Arial"/>
        </w:rPr>
        <w:t>tres cuartiles</w:t>
      </w:r>
      <w:r w:rsidRPr="00BA38DE">
        <w:rPr>
          <w:rFonts w:ascii="Arial" w:hAnsi="Arial" w:cs="Arial"/>
        </w:rPr>
        <w:t xml:space="preserve"> que lo dividen en cuatro partes iguales. </w:t>
      </w:r>
      <w:r w:rsidRPr="00BA38DE">
        <w:rPr>
          <w:rFonts w:ascii="Arial" w:hAnsi="Arial" w:cs="Arial"/>
          <w:b/>
        </w:rPr>
        <w:t xml:space="preserve">El primer </w:t>
      </w:r>
      <w:r w:rsidRPr="00DF225F">
        <w:rPr>
          <w:rFonts w:ascii="Arial" w:hAnsi="Arial" w:cs="Arial"/>
        </w:rPr>
        <w:t xml:space="preserve">cuartil </w:t>
      </w:r>
      <w:r w:rsidRPr="00BA38DE">
        <w:rPr>
          <w:rFonts w:ascii="Arial" w:hAnsi="Arial" w:cs="Arial"/>
        </w:rPr>
        <w:t xml:space="preserve">es ese valor debajo del cual clasifica el 25% de las observaciones, y sobre el cual puede encontrarse el 75% restante. </w:t>
      </w:r>
      <w:r w:rsidRPr="00BA38DE">
        <w:rPr>
          <w:rFonts w:ascii="Arial" w:hAnsi="Arial" w:cs="Arial"/>
          <w:b/>
        </w:rPr>
        <w:t xml:space="preserve">El segundo </w:t>
      </w:r>
      <w:r w:rsidRPr="00DF225F">
        <w:rPr>
          <w:rFonts w:ascii="Arial" w:hAnsi="Arial" w:cs="Arial"/>
        </w:rPr>
        <w:t>cuartil</w:t>
      </w:r>
      <w:r w:rsidRPr="00BA38DE">
        <w:rPr>
          <w:rFonts w:ascii="Arial" w:hAnsi="Arial" w:cs="Arial"/>
        </w:rPr>
        <w:t xml:space="preserve"> es justo la mitad. La mitad de las observaciones están por debajo y la mitad por encima; en este sentido, es lo mismo que la mediana. </w:t>
      </w:r>
      <w:r w:rsidRPr="00BA38DE">
        <w:rPr>
          <w:rFonts w:ascii="Arial" w:hAnsi="Arial" w:cs="Arial"/>
          <w:b/>
        </w:rPr>
        <w:t xml:space="preserve">El tercer </w:t>
      </w:r>
      <w:r w:rsidRPr="00DF225F">
        <w:rPr>
          <w:rFonts w:ascii="Arial" w:hAnsi="Arial" w:cs="Arial"/>
        </w:rPr>
        <w:t xml:space="preserve">cuartil </w:t>
      </w:r>
      <w:r w:rsidRPr="00BA38DE">
        <w:rPr>
          <w:rFonts w:ascii="Arial" w:hAnsi="Arial" w:cs="Arial"/>
        </w:rPr>
        <w:t>es el valor debajo del cual está el 75% de las observaciones y encima del cual puede encontrarse el 25% restante.</w:t>
      </w:r>
    </w:p>
    <w:p w:rsidR="00BE1556" w:rsidRDefault="00BE1556" w:rsidP="00DC23AF">
      <w:pPr>
        <w:spacing w:line="480" w:lineRule="auto"/>
        <w:ind w:left="360"/>
        <w:jc w:val="both"/>
        <w:rPr>
          <w:rFonts w:ascii="Arial" w:hAnsi="Arial" w:cs="Arial"/>
        </w:rPr>
      </w:pPr>
      <w:r>
        <w:rPr>
          <w:rFonts w:ascii="Arial" w:hAnsi="Arial" w:cs="Arial"/>
        </w:rPr>
        <w:t xml:space="preserve">Cabe recalcar que son </w:t>
      </w:r>
      <w:r w:rsidRPr="00BA38DE">
        <w:rPr>
          <w:rFonts w:ascii="Arial" w:hAnsi="Arial" w:cs="Arial"/>
        </w:rPr>
        <w:t xml:space="preserve"> medidas de dispers</w:t>
      </w:r>
      <w:r>
        <w:rPr>
          <w:rFonts w:ascii="Arial" w:hAnsi="Arial" w:cs="Arial"/>
        </w:rPr>
        <w:t xml:space="preserve">ión también </w:t>
      </w:r>
      <w:r w:rsidRPr="00BA38DE">
        <w:rPr>
          <w:rFonts w:ascii="Arial" w:hAnsi="Arial" w:cs="Arial"/>
        </w:rPr>
        <w:t xml:space="preserve">la varianza y la desviación estándar </w:t>
      </w:r>
      <w:r>
        <w:rPr>
          <w:rFonts w:ascii="Arial" w:hAnsi="Arial" w:cs="Arial"/>
        </w:rPr>
        <w:t>las cuales son consideradas las</w:t>
      </w:r>
      <w:r w:rsidRPr="00BA38DE">
        <w:rPr>
          <w:rFonts w:ascii="Arial" w:hAnsi="Arial" w:cs="Arial"/>
        </w:rPr>
        <w:t xml:space="preserve"> más</w:t>
      </w:r>
      <w:r>
        <w:rPr>
          <w:rFonts w:ascii="Arial" w:hAnsi="Arial" w:cs="Arial"/>
        </w:rPr>
        <w:t xml:space="preserve"> útiles en análisis estadístico.</w:t>
      </w:r>
    </w:p>
    <w:p w:rsidR="008900F0" w:rsidRPr="00BA38DE" w:rsidRDefault="008900F0" w:rsidP="00DC23AF">
      <w:pPr>
        <w:spacing w:line="480" w:lineRule="auto"/>
        <w:ind w:left="360"/>
        <w:jc w:val="both"/>
        <w:rPr>
          <w:rFonts w:ascii="Arial" w:hAnsi="Arial" w:cs="Arial"/>
        </w:rPr>
      </w:pPr>
    </w:p>
    <w:p w:rsidR="00BE1556" w:rsidRPr="009278E3" w:rsidRDefault="00BE1556" w:rsidP="009278E3">
      <w:pPr>
        <w:pStyle w:val="Ttulo2"/>
        <w:spacing w:before="0" w:after="0" w:line="480" w:lineRule="auto"/>
        <w:ind w:left="357"/>
        <w:rPr>
          <w:i w:val="0"/>
          <w:sz w:val="24"/>
          <w:szCs w:val="24"/>
        </w:rPr>
      </w:pPr>
      <w:bookmarkStart w:id="271" w:name="_Toc183697484"/>
      <w:bookmarkStart w:id="272" w:name="_Toc183698814"/>
      <w:bookmarkStart w:id="273" w:name="_Toc183699155"/>
      <w:bookmarkStart w:id="274" w:name="_Toc183699367"/>
      <w:bookmarkStart w:id="275" w:name="_Toc183699538"/>
      <w:bookmarkStart w:id="276" w:name="_Toc183699837"/>
      <w:bookmarkStart w:id="277" w:name="_Toc183700110"/>
      <w:bookmarkStart w:id="278" w:name="_Toc183700327"/>
      <w:bookmarkStart w:id="279" w:name="_Toc183700619"/>
      <w:bookmarkStart w:id="280" w:name="_Toc183700871"/>
      <w:r w:rsidRPr="009278E3">
        <w:rPr>
          <w:i w:val="0"/>
          <w:sz w:val="24"/>
          <w:szCs w:val="24"/>
        </w:rPr>
        <w:t>1.5 Diagrama de dispersión</w:t>
      </w:r>
      <w:bookmarkEnd w:id="271"/>
      <w:bookmarkEnd w:id="272"/>
      <w:bookmarkEnd w:id="273"/>
      <w:bookmarkEnd w:id="274"/>
      <w:bookmarkEnd w:id="275"/>
      <w:bookmarkEnd w:id="276"/>
      <w:bookmarkEnd w:id="277"/>
      <w:bookmarkEnd w:id="278"/>
      <w:bookmarkEnd w:id="279"/>
      <w:bookmarkEnd w:id="280"/>
    </w:p>
    <w:p w:rsidR="00BE1556" w:rsidRDefault="00BE1556" w:rsidP="00DC23AF">
      <w:pPr>
        <w:tabs>
          <w:tab w:val="left" w:pos="0"/>
          <w:tab w:val="left" w:pos="142"/>
          <w:tab w:val="left" w:pos="360"/>
          <w:tab w:val="left" w:pos="426"/>
        </w:tabs>
        <w:spacing w:line="480" w:lineRule="auto"/>
        <w:ind w:left="360"/>
        <w:jc w:val="both"/>
        <w:rPr>
          <w:rFonts w:ascii="Arial" w:hAnsi="Arial" w:cs="Arial"/>
        </w:rPr>
      </w:pPr>
      <w:r w:rsidRPr="00AF2FBA">
        <w:rPr>
          <w:rFonts w:ascii="Arial" w:hAnsi="Arial" w:cs="Arial"/>
        </w:rPr>
        <w:t>Es una gráfica de pares de datos x-y en un e</w:t>
      </w:r>
      <w:r>
        <w:rPr>
          <w:rFonts w:ascii="Arial" w:hAnsi="Arial" w:cs="Arial"/>
        </w:rPr>
        <w:t>spacio bidimensional. Una maner</w:t>
      </w:r>
      <w:r w:rsidRPr="00AF2FBA">
        <w:rPr>
          <w:rFonts w:ascii="Arial" w:hAnsi="Arial" w:cs="Arial"/>
        </w:rPr>
        <w:t>a útil de examina</w:t>
      </w:r>
      <w:r w:rsidR="00B77518">
        <w:rPr>
          <w:rFonts w:ascii="Arial" w:hAnsi="Arial" w:cs="Arial"/>
        </w:rPr>
        <w:t>r</w:t>
      </w:r>
      <w:r w:rsidRPr="00AF2FBA">
        <w:rPr>
          <w:rFonts w:ascii="Arial" w:hAnsi="Arial" w:cs="Arial"/>
        </w:rPr>
        <w:t xml:space="preserve"> la relación</w:t>
      </w:r>
      <w:r w:rsidR="00B77518">
        <w:rPr>
          <w:rFonts w:ascii="Arial" w:hAnsi="Arial" w:cs="Arial"/>
        </w:rPr>
        <w:t xml:space="preserve"> x-y es ver los datos en una grá</w:t>
      </w:r>
      <w:r w:rsidRPr="00AF2FBA">
        <w:rPr>
          <w:rFonts w:ascii="Arial" w:hAnsi="Arial" w:cs="Arial"/>
        </w:rPr>
        <w:t>fica. Para esto se utiliza un sistema de coordenadas x-y. La escala del eje x contiene el rango de valores necesarios para la variable</w:t>
      </w:r>
      <w:r>
        <w:rPr>
          <w:rFonts w:ascii="Arial" w:hAnsi="Arial" w:cs="Arial"/>
          <w:b/>
        </w:rPr>
        <w:t xml:space="preserve"> x, </w:t>
      </w:r>
      <w:r w:rsidRPr="00AF2FBA">
        <w:rPr>
          <w:rFonts w:ascii="Arial" w:hAnsi="Arial" w:cs="Arial"/>
        </w:rPr>
        <w:t xml:space="preserve">y el eje y tiene una escala adecuada para los valores de </w:t>
      </w:r>
      <w:r>
        <w:rPr>
          <w:rFonts w:ascii="Arial" w:hAnsi="Arial" w:cs="Arial"/>
          <w:b/>
        </w:rPr>
        <w:t xml:space="preserve">y. </w:t>
      </w:r>
      <w:r w:rsidRPr="00AF2FBA">
        <w:rPr>
          <w:rFonts w:ascii="Arial" w:hAnsi="Arial" w:cs="Arial"/>
        </w:rPr>
        <w:t>Los pares de datos se representan gráficamente después en el espacio de dos dimensiones.</w:t>
      </w:r>
    </w:p>
    <w:p w:rsidR="00BE1556" w:rsidRDefault="00BE1556" w:rsidP="008900F0">
      <w:pPr>
        <w:tabs>
          <w:tab w:val="left" w:pos="0"/>
          <w:tab w:val="left" w:pos="142"/>
          <w:tab w:val="left" w:pos="426"/>
          <w:tab w:val="left" w:pos="709"/>
          <w:tab w:val="left" w:pos="851"/>
        </w:tabs>
        <w:spacing w:line="480" w:lineRule="auto"/>
        <w:ind w:left="360"/>
        <w:jc w:val="both"/>
        <w:rPr>
          <w:rFonts w:ascii="Arial" w:hAnsi="Arial" w:cs="Arial"/>
        </w:rPr>
      </w:pPr>
      <w:r>
        <w:rPr>
          <w:rFonts w:ascii="Arial" w:hAnsi="Arial" w:cs="Arial"/>
        </w:rPr>
        <w:lastRenderedPageBreak/>
        <w:t>La ventaja del diagrama de dispersión es que permite v</w:t>
      </w:r>
      <w:r w:rsidR="00B77518">
        <w:rPr>
          <w:rFonts w:ascii="Arial" w:hAnsi="Arial" w:cs="Arial"/>
        </w:rPr>
        <w:t>isualizar la relación entre x-y.</w:t>
      </w:r>
    </w:p>
    <w:p w:rsidR="008900F0" w:rsidRPr="008900F0" w:rsidRDefault="008900F0" w:rsidP="008900F0">
      <w:pPr>
        <w:tabs>
          <w:tab w:val="left" w:pos="0"/>
          <w:tab w:val="left" w:pos="142"/>
          <w:tab w:val="left" w:pos="426"/>
          <w:tab w:val="left" w:pos="709"/>
          <w:tab w:val="left" w:pos="851"/>
        </w:tabs>
        <w:spacing w:line="480" w:lineRule="auto"/>
        <w:ind w:left="360"/>
        <w:jc w:val="both"/>
        <w:rPr>
          <w:rFonts w:ascii="Arial" w:hAnsi="Arial" w:cs="Arial"/>
        </w:rPr>
      </w:pPr>
    </w:p>
    <w:p w:rsidR="00BE1556" w:rsidRPr="00525A96" w:rsidRDefault="00BE1556" w:rsidP="00525A96">
      <w:pPr>
        <w:pStyle w:val="Ttulo2"/>
        <w:spacing w:before="0" w:after="0" w:line="480" w:lineRule="auto"/>
        <w:ind w:left="360"/>
        <w:rPr>
          <w:i w:val="0"/>
          <w:sz w:val="24"/>
          <w:szCs w:val="24"/>
        </w:rPr>
      </w:pPr>
      <w:bookmarkStart w:id="281" w:name="_Toc183697485"/>
      <w:bookmarkStart w:id="282" w:name="_Toc183698815"/>
      <w:bookmarkStart w:id="283" w:name="_Toc183699156"/>
      <w:bookmarkStart w:id="284" w:name="_Toc183699368"/>
      <w:bookmarkStart w:id="285" w:name="_Toc183699539"/>
      <w:bookmarkStart w:id="286" w:name="_Toc183699838"/>
      <w:bookmarkStart w:id="287" w:name="_Toc183700111"/>
      <w:bookmarkStart w:id="288" w:name="_Toc183700328"/>
      <w:bookmarkStart w:id="289" w:name="_Toc183700620"/>
      <w:bookmarkStart w:id="290" w:name="_Toc183700872"/>
      <w:r w:rsidRPr="00525A96">
        <w:rPr>
          <w:i w:val="0"/>
          <w:sz w:val="24"/>
          <w:szCs w:val="24"/>
        </w:rPr>
        <w:t>1.6 Coeficiente de correlación.</w:t>
      </w:r>
      <w:bookmarkEnd w:id="281"/>
      <w:bookmarkEnd w:id="282"/>
      <w:bookmarkEnd w:id="283"/>
      <w:bookmarkEnd w:id="284"/>
      <w:bookmarkEnd w:id="285"/>
      <w:bookmarkEnd w:id="286"/>
      <w:bookmarkEnd w:id="287"/>
      <w:bookmarkEnd w:id="288"/>
      <w:bookmarkEnd w:id="289"/>
      <w:bookmarkEnd w:id="290"/>
    </w:p>
    <w:p w:rsidR="00BE1556" w:rsidRDefault="00BE1556" w:rsidP="00DC23AF">
      <w:pPr>
        <w:tabs>
          <w:tab w:val="left" w:pos="0"/>
          <w:tab w:val="left" w:pos="142"/>
          <w:tab w:val="left" w:pos="360"/>
          <w:tab w:val="left" w:pos="426"/>
        </w:tabs>
        <w:spacing w:line="480" w:lineRule="auto"/>
        <w:ind w:left="360"/>
        <w:jc w:val="both"/>
        <w:rPr>
          <w:rFonts w:ascii="Arial" w:hAnsi="Arial" w:cs="Arial"/>
        </w:rPr>
      </w:pPr>
      <w:r w:rsidRPr="00F5518A">
        <w:rPr>
          <w:rFonts w:ascii="Arial" w:hAnsi="Arial" w:cs="Arial"/>
        </w:rPr>
        <w:t xml:space="preserve">El </w:t>
      </w:r>
      <w:r w:rsidR="00B77518">
        <w:rPr>
          <w:rFonts w:ascii="Arial" w:hAnsi="Arial" w:cs="Arial"/>
        </w:rPr>
        <w:t>c</w:t>
      </w:r>
      <w:r>
        <w:rPr>
          <w:rFonts w:ascii="Arial" w:hAnsi="Arial" w:cs="Arial"/>
        </w:rPr>
        <w:t>oeficiente de correlación es un valor entre -1 y +1 que indica la fuerza de la relación lineal entre dos variables cuantitativas.</w:t>
      </w:r>
    </w:p>
    <w:p w:rsidR="00BE1556" w:rsidRDefault="00BE1556" w:rsidP="00DC23AF">
      <w:pPr>
        <w:tabs>
          <w:tab w:val="left" w:pos="0"/>
          <w:tab w:val="left" w:pos="142"/>
          <w:tab w:val="left" w:pos="360"/>
          <w:tab w:val="left" w:pos="426"/>
        </w:tabs>
        <w:spacing w:line="480" w:lineRule="auto"/>
        <w:ind w:left="360"/>
        <w:jc w:val="both"/>
        <w:rPr>
          <w:rFonts w:ascii="Arial" w:hAnsi="Arial" w:cs="Arial"/>
        </w:rPr>
      </w:pPr>
      <w:r>
        <w:rPr>
          <w:rFonts w:ascii="Arial" w:hAnsi="Arial" w:cs="Arial"/>
        </w:rPr>
        <w:t xml:space="preserve">Por lo general se desea medir el grado de la relación entre </w:t>
      </w:r>
      <w:r w:rsidRPr="004C277F">
        <w:rPr>
          <w:rFonts w:ascii="Arial" w:hAnsi="Arial" w:cs="Arial"/>
          <w:b/>
        </w:rPr>
        <w:t>x</w:t>
      </w:r>
      <w:r>
        <w:rPr>
          <w:rFonts w:ascii="Arial" w:hAnsi="Arial" w:cs="Arial"/>
        </w:rPr>
        <w:t xml:space="preserve"> e </w:t>
      </w:r>
      <w:r w:rsidRPr="004C277F">
        <w:rPr>
          <w:rFonts w:ascii="Arial" w:hAnsi="Arial" w:cs="Arial"/>
          <w:b/>
        </w:rPr>
        <w:t>y</w:t>
      </w:r>
      <w:r>
        <w:rPr>
          <w:rFonts w:ascii="Arial" w:hAnsi="Arial" w:cs="Arial"/>
          <w:b/>
        </w:rPr>
        <w:t xml:space="preserve"> </w:t>
      </w:r>
      <w:r w:rsidRPr="004C277F">
        <w:rPr>
          <w:rFonts w:ascii="Arial" w:hAnsi="Arial" w:cs="Arial"/>
        </w:rPr>
        <w:t>al igual que observarla en un diagrama de dispersi</w:t>
      </w:r>
      <w:r>
        <w:rPr>
          <w:rFonts w:ascii="Arial" w:hAnsi="Arial" w:cs="Arial"/>
        </w:rPr>
        <w:t>ón. La medida</w:t>
      </w:r>
      <w:r w:rsidRPr="004C277F">
        <w:rPr>
          <w:rFonts w:ascii="Arial" w:hAnsi="Arial" w:cs="Arial"/>
        </w:rPr>
        <w:t xml:space="preserve"> que se utiliza para este propósito es el </w:t>
      </w:r>
      <w:r>
        <w:rPr>
          <w:rFonts w:ascii="Arial" w:hAnsi="Arial" w:cs="Arial"/>
          <w:b/>
        </w:rPr>
        <w:t>coeficiente de correlación,</w:t>
      </w:r>
      <w:r>
        <w:rPr>
          <w:rFonts w:ascii="Arial" w:hAnsi="Arial" w:cs="Arial"/>
        </w:rPr>
        <w:t xml:space="preserve"> que es un valor numérico entre -1 y +1 y que mide la fuerza de la relación lineal entre dos variables cuantitativas. </w:t>
      </w:r>
    </w:p>
    <w:p w:rsidR="00BE1556" w:rsidRDefault="00BE1556" w:rsidP="00DC23AF">
      <w:pPr>
        <w:tabs>
          <w:tab w:val="left" w:pos="0"/>
          <w:tab w:val="left" w:pos="142"/>
          <w:tab w:val="left" w:pos="180"/>
          <w:tab w:val="left" w:pos="360"/>
          <w:tab w:val="left" w:pos="426"/>
        </w:tabs>
        <w:spacing w:line="480" w:lineRule="auto"/>
        <w:ind w:left="360"/>
        <w:jc w:val="both"/>
        <w:rPr>
          <w:rFonts w:ascii="Arial" w:hAnsi="Arial" w:cs="Arial"/>
        </w:rPr>
      </w:pPr>
      <w:r>
        <w:rPr>
          <w:rFonts w:ascii="Arial" w:hAnsi="Arial" w:cs="Arial"/>
        </w:rPr>
        <w:t xml:space="preserve">Los coeficientes de correlación existen para una población de valores y para cada muestra que se extrae de ella. El símbolo para el coeficiente de correlación de una población es </w:t>
      </w:r>
      <w:r w:rsidRPr="00517D58">
        <w:rPr>
          <w:rFonts w:ascii="Arial" w:hAnsi="Arial" w:cs="Arial"/>
          <w:position w:val="-10"/>
        </w:rPr>
        <w:object w:dxaOrig="240" w:dyaOrig="260">
          <v:shape id="_x0000_i1026" type="#_x0000_t75" style="width:12pt;height:13pt" o:ole="">
            <v:imagedata r:id="rId16" o:title=""/>
          </v:shape>
          <o:OLEObject Type="Embed" ProgID="Equation.3" ShapeID="_x0000_i1026" DrawAspect="Content" ObjectID="_1338016111" r:id="rId17"/>
        </w:object>
      </w:r>
      <w:r>
        <w:rPr>
          <w:rFonts w:ascii="Arial" w:hAnsi="Arial" w:cs="Arial"/>
        </w:rPr>
        <w:t>, la letra griega rho. Para la muestra, el coeficiente de correlación se representa con la letra r</w:t>
      </w:r>
      <w:r w:rsidR="00B77518">
        <w:rPr>
          <w:rFonts w:ascii="Arial" w:hAnsi="Arial" w:cs="Arial"/>
        </w:rPr>
        <w:t>.</w:t>
      </w:r>
      <w:r>
        <w:rPr>
          <w:rFonts w:ascii="Arial" w:hAnsi="Arial" w:cs="Arial"/>
        </w:rPr>
        <w:t xml:space="preserve"> </w:t>
      </w:r>
    </w:p>
    <w:p w:rsidR="00BE1556" w:rsidRPr="00BA38DE" w:rsidRDefault="00BE1556" w:rsidP="00DC23AF">
      <w:pPr>
        <w:spacing w:line="480" w:lineRule="auto"/>
        <w:ind w:left="360"/>
        <w:jc w:val="both"/>
        <w:rPr>
          <w:rFonts w:ascii="Arial" w:hAnsi="Arial" w:cs="Arial"/>
        </w:rPr>
      </w:pPr>
      <w:r w:rsidRPr="00BA38DE">
        <w:rPr>
          <w:rFonts w:ascii="Arial" w:hAnsi="Arial" w:cs="Arial"/>
        </w:rPr>
        <w:t>El coeficiente de correlación fue desarrollado por Carl Pearson a finales de siglo, y algunas veces se les llama el coeficiente de correlación producto-momento de Pearson</w:t>
      </w:r>
      <w:r w:rsidR="00B77518">
        <w:rPr>
          <w:rFonts w:ascii="Arial" w:hAnsi="Arial" w:cs="Arial"/>
        </w:rPr>
        <w:t>.</w:t>
      </w:r>
    </w:p>
    <w:p w:rsidR="00BE1556" w:rsidRPr="00BA38DE" w:rsidRDefault="00BE1556" w:rsidP="008900F0">
      <w:pPr>
        <w:tabs>
          <w:tab w:val="left" w:pos="360"/>
        </w:tabs>
        <w:spacing w:line="480" w:lineRule="auto"/>
        <w:ind w:left="360"/>
        <w:jc w:val="both"/>
        <w:rPr>
          <w:rFonts w:ascii="Arial" w:hAnsi="Arial" w:cs="Arial"/>
        </w:rPr>
      </w:pPr>
      <w:r w:rsidRPr="00BA38DE">
        <w:rPr>
          <w:rFonts w:ascii="Arial" w:hAnsi="Arial" w:cs="Arial"/>
        </w:rPr>
        <w:t xml:space="preserve">Un valor de r= -1 indica una relación perfecta entre </w:t>
      </w:r>
      <w:r w:rsidR="00B77518">
        <w:rPr>
          <w:rFonts w:ascii="Arial" w:hAnsi="Arial" w:cs="Arial"/>
        </w:rPr>
        <w:t>x-y</w:t>
      </w:r>
      <w:r w:rsidRPr="00BA38DE">
        <w:rPr>
          <w:rFonts w:ascii="Arial" w:hAnsi="Arial" w:cs="Arial"/>
        </w:rPr>
        <w:t>. Todas las observaciones quedan en una línea recta perfecta con una</w:t>
      </w:r>
      <w:r w:rsidR="00B77518">
        <w:rPr>
          <w:rFonts w:ascii="Arial" w:hAnsi="Arial" w:cs="Arial"/>
        </w:rPr>
        <w:t xml:space="preserve"> pendiente negativa. Por tanto, x-y </w:t>
      </w:r>
      <w:r w:rsidRPr="00BA38DE">
        <w:rPr>
          <w:rFonts w:ascii="Arial" w:hAnsi="Arial" w:cs="Arial"/>
        </w:rPr>
        <w:t xml:space="preserve">se </w:t>
      </w:r>
      <w:r>
        <w:rPr>
          <w:rFonts w:ascii="Arial" w:hAnsi="Arial" w:cs="Arial"/>
        </w:rPr>
        <w:t>moverán en direcciones opuestas, en cambio si r=1 la relación entre</w:t>
      </w:r>
      <w:r w:rsidR="00B77518" w:rsidRPr="00B77518">
        <w:rPr>
          <w:rFonts w:ascii="Arial" w:hAnsi="Arial" w:cs="Arial"/>
        </w:rPr>
        <w:t xml:space="preserve"> </w:t>
      </w:r>
      <w:r w:rsidR="00B77518">
        <w:rPr>
          <w:rFonts w:ascii="Arial" w:hAnsi="Arial" w:cs="Arial"/>
        </w:rPr>
        <w:t xml:space="preserve">x-y </w:t>
      </w:r>
      <w:r>
        <w:rPr>
          <w:rFonts w:ascii="Arial" w:hAnsi="Arial" w:cs="Arial"/>
        </w:rPr>
        <w:t>será positiva perfecta.</w:t>
      </w:r>
      <w:r w:rsidRPr="00BA38DE">
        <w:rPr>
          <w:rFonts w:ascii="Arial" w:hAnsi="Arial" w:cs="Arial"/>
        </w:rPr>
        <w:t xml:space="preserve"> Por el contrario, si se muestra muy poca o ninguna relación entre</w:t>
      </w:r>
      <w:r w:rsidR="00B77518" w:rsidRPr="00B77518">
        <w:rPr>
          <w:rFonts w:ascii="Arial" w:hAnsi="Arial" w:cs="Arial"/>
        </w:rPr>
        <w:t xml:space="preserve"> </w:t>
      </w:r>
      <w:r w:rsidR="00B77518">
        <w:rPr>
          <w:rFonts w:ascii="Arial" w:hAnsi="Arial" w:cs="Arial"/>
        </w:rPr>
        <w:t>x-y</w:t>
      </w:r>
      <w:r w:rsidRPr="00BA38DE">
        <w:rPr>
          <w:rFonts w:ascii="Arial" w:hAnsi="Arial" w:cs="Arial"/>
        </w:rPr>
        <w:t xml:space="preserve">, r se aproxima a cero. En </w:t>
      </w:r>
      <w:r w:rsidRPr="00BA38DE">
        <w:rPr>
          <w:rFonts w:ascii="Arial" w:hAnsi="Arial" w:cs="Arial"/>
        </w:rPr>
        <w:lastRenderedPageBreak/>
        <w:t xml:space="preserve">general, entre mayor sea el valor absoluto de r, más fuerte será la relación entre </w:t>
      </w:r>
      <w:r w:rsidR="00B77518">
        <w:rPr>
          <w:rFonts w:ascii="Arial" w:hAnsi="Arial" w:cs="Arial"/>
        </w:rPr>
        <w:t>x-y</w:t>
      </w:r>
      <w:r w:rsidRPr="00BA38DE">
        <w:rPr>
          <w:rFonts w:ascii="Arial" w:hAnsi="Arial" w:cs="Arial"/>
        </w:rPr>
        <w:t>.</w:t>
      </w:r>
    </w:p>
    <w:p w:rsidR="00BE1556" w:rsidRDefault="00BE1556" w:rsidP="00BE1556">
      <w:pPr>
        <w:tabs>
          <w:tab w:val="left" w:pos="709"/>
        </w:tabs>
        <w:spacing w:line="480" w:lineRule="auto"/>
        <w:ind w:left="851"/>
        <w:jc w:val="both"/>
        <w:rPr>
          <w:rFonts w:ascii="Arial" w:hAnsi="Arial" w:cs="Arial"/>
        </w:rPr>
      </w:pPr>
      <w:r w:rsidRPr="00BA38DE">
        <w:rPr>
          <w:rFonts w:ascii="Arial" w:hAnsi="Arial" w:cs="Arial"/>
          <w:position w:val="-4"/>
        </w:rPr>
        <w:object w:dxaOrig="1180" w:dyaOrig="260">
          <v:shape id="_x0000_i1027" type="#_x0000_t75" style="width:59pt;height:13pt" o:ole="">
            <v:imagedata r:id="rId18" o:title=""/>
          </v:shape>
          <o:OLEObject Type="Embed" ProgID="Equation.3" ShapeID="_x0000_i1027" DrawAspect="Content" ObjectID="_1338016112" r:id="rId19"/>
        </w:object>
      </w:r>
    </w:p>
    <w:p w:rsidR="00525A96" w:rsidRDefault="00525A96" w:rsidP="00525A96">
      <w:pPr>
        <w:pStyle w:val="Ttulo2"/>
        <w:spacing w:before="0" w:after="0" w:line="480" w:lineRule="auto"/>
        <w:ind w:left="0"/>
        <w:rPr>
          <w:rFonts w:eastAsia="MS Mincho"/>
          <w:b w:val="0"/>
          <w:bCs w:val="0"/>
          <w:i w:val="0"/>
          <w:iCs w:val="0"/>
          <w:sz w:val="24"/>
          <w:szCs w:val="24"/>
        </w:rPr>
      </w:pPr>
    </w:p>
    <w:p w:rsidR="00D15C66" w:rsidRPr="00525A96" w:rsidRDefault="00D15C66" w:rsidP="00DC23AF">
      <w:pPr>
        <w:pStyle w:val="Ttulo2"/>
        <w:tabs>
          <w:tab w:val="left" w:pos="360"/>
          <w:tab w:val="left" w:pos="540"/>
        </w:tabs>
        <w:spacing w:before="0" w:after="0" w:line="480" w:lineRule="auto"/>
        <w:ind w:left="360"/>
        <w:rPr>
          <w:i w:val="0"/>
          <w:sz w:val="24"/>
          <w:szCs w:val="24"/>
        </w:rPr>
      </w:pPr>
      <w:bookmarkStart w:id="291" w:name="_Toc183697486"/>
      <w:bookmarkStart w:id="292" w:name="_Toc183698816"/>
      <w:bookmarkStart w:id="293" w:name="_Toc183699157"/>
      <w:bookmarkStart w:id="294" w:name="_Toc183699369"/>
      <w:bookmarkStart w:id="295" w:name="_Toc183699540"/>
      <w:bookmarkStart w:id="296" w:name="_Toc183699839"/>
      <w:bookmarkStart w:id="297" w:name="_Toc183700112"/>
      <w:bookmarkStart w:id="298" w:name="_Toc183700329"/>
      <w:bookmarkStart w:id="299" w:name="_Toc183700621"/>
      <w:bookmarkStart w:id="300" w:name="_Toc183700873"/>
      <w:r w:rsidRPr="00525A96">
        <w:rPr>
          <w:i w:val="0"/>
          <w:sz w:val="24"/>
          <w:szCs w:val="24"/>
        </w:rPr>
        <w:t>1.7 Series de tiempo.</w:t>
      </w:r>
      <w:bookmarkEnd w:id="291"/>
      <w:bookmarkEnd w:id="292"/>
      <w:bookmarkEnd w:id="293"/>
      <w:bookmarkEnd w:id="294"/>
      <w:bookmarkEnd w:id="295"/>
      <w:bookmarkEnd w:id="296"/>
      <w:bookmarkEnd w:id="297"/>
      <w:bookmarkEnd w:id="298"/>
      <w:bookmarkEnd w:id="299"/>
      <w:bookmarkEnd w:id="300"/>
    </w:p>
    <w:p w:rsidR="00AC4061" w:rsidRPr="0019682E" w:rsidRDefault="00AC4061" w:rsidP="00DC23AF">
      <w:pPr>
        <w:spacing w:line="480" w:lineRule="auto"/>
        <w:ind w:left="360"/>
        <w:jc w:val="both"/>
        <w:rPr>
          <w:rFonts w:ascii="Arial" w:hAnsi="Arial" w:cs="Arial"/>
        </w:rPr>
      </w:pPr>
      <w:r w:rsidRPr="0019682E">
        <w:rPr>
          <w:rFonts w:ascii="Arial" w:hAnsi="Arial" w:cs="Arial"/>
        </w:rPr>
        <w:t>La serie temporal que ta</w:t>
      </w:r>
      <w:r w:rsidR="00B77518">
        <w:rPr>
          <w:rFonts w:ascii="Arial" w:hAnsi="Arial" w:cs="Arial"/>
        </w:rPr>
        <w:t>mbien se la conoce como  cronoló</w:t>
      </w:r>
      <w:r w:rsidRPr="0019682E">
        <w:rPr>
          <w:rFonts w:ascii="Arial" w:hAnsi="Arial" w:cs="Arial"/>
        </w:rPr>
        <w:t xml:space="preserve">gica, </w:t>
      </w:r>
      <w:r w:rsidR="00B77518" w:rsidRPr="0019682E">
        <w:rPr>
          <w:rFonts w:ascii="Arial" w:hAnsi="Arial" w:cs="Arial"/>
        </w:rPr>
        <w:t>histórica</w:t>
      </w:r>
      <w:r w:rsidRPr="0019682E">
        <w:rPr>
          <w:rFonts w:ascii="Arial" w:hAnsi="Arial" w:cs="Arial"/>
        </w:rPr>
        <w:t xml:space="preserve"> o de tiempo es un conjunto de observaciones de una variable ordenadas acorde a como acontece en el tiempo.</w:t>
      </w:r>
    </w:p>
    <w:p w:rsidR="00AC4061" w:rsidRPr="0019682E" w:rsidRDefault="00AC4061" w:rsidP="00DC23AF">
      <w:pPr>
        <w:spacing w:line="480" w:lineRule="auto"/>
        <w:ind w:left="360"/>
        <w:jc w:val="both"/>
        <w:rPr>
          <w:rFonts w:ascii="Arial" w:hAnsi="Arial" w:cs="Arial"/>
        </w:rPr>
      </w:pPr>
      <w:r w:rsidRPr="0019682E">
        <w:rPr>
          <w:rFonts w:ascii="Arial" w:hAnsi="Arial" w:cs="Arial"/>
        </w:rPr>
        <w:t xml:space="preserve">En las series temporales lo que se quiere conseguir es </w:t>
      </w:r>
      <w:r w:rsidR="0019682E" w:rsidRPr="0019682E">
        <w:rPr>
          <w:rFonts w:ascii="Arial" w:hAnsi="Arial" w:cs="Arial"/>
        </w:rPr>
        <w:t>pronosticar</w:t>
      </w:r>
      <w:r w:rsidRPr="0019682E">
        <w:rPr>
          <w:rFonts w:ascii="Arial" w:hAnsi="Arial" w:cs="Arial"/>
        </w:rPr>
        <w:t xml:space="preserve"> lo que se tiene considerando los datos ya obtenidos y de esta forma poder prever las distintas situaciones que pueden presentarse.</w:t>
      </w:r>
    </w:p>
    <w:p w:rsidR="00D15C66" w:rsidRPr="0019682E" w:rsidRDefault="00AC4061" w:rsidP="00DC23AF">
      <w:pPr>
        <w:spacing w:line="480" w:lineRule="auto"/>
        <w:ind w:left="360"/>
        <w:jc w:val="both"/>
        <w:rPr>
          <w:rFonts w:ascii="Arial" w:hAnsi="Arial" w:cs="Arial"/>
        </w:rPr>
      </w:pPr>
      <w:r w:rsidRPr="0019682E">
        <w:rPr>
          <w:rFonts w:ascii="Arial" w:hAnsi="Arial" w:cs="Arial"/>
        </w:rPr>
        <w:t>Es aconsejable que e</w:t>
      </w:r>
      <w:r w:rsidR="00D15C66" w:rsidRPr="0019682E">
        <w:rPr>
          <w:rFonts w:ascii="Arial" w:hAnsi="Arial" w:cs="Arial"/>
        </w:rPr>
        <w:t xml:space="preserve">n una serie de tiempo </w:t>
      </w:r>
      <w:r w:rsidRPr="0019682E">
        <w:rPr>
          <w:rFonts w:ascii="Arial" w:hAnsi="Arial" w:cs="Arial"/>
        </w:rPr>
        <w:t xml:space="preserve">no se </w:t>
      </w:r>
      <w:r w:rsidR="00D15C66" w:rsidRPr="0019682E">
        <w:rPr>
          <w:rFonts w:ascii="Arial" w:hAnsi="Arial" w:cs="Arial"/>
        </w:rPr>
        <w:t>las</w:t>
      </w:r>
      <w:r w:rsidRPr="0019682E">
        <w:rPr>
          <w:rFonts w:ascii="Arial" w:hAnsi="Arial" w:cs="Arial"/>
        </w:rPr>
        <w:t xml:space="preserve"> coloquen de una forma ordenada a las</w:t>
      </w:r>
      <w:r w:rsidR="00D15C66" w:rsidRPr="0019682E">
        <w:rPr>
          <w:rFonts w:ascii="Arial" w:hAnsi="Arial" w:cs="Arial"/>
        </w:rPr>
        <w:t xml:space="preserve"> observaciones </w:t>
      </w:r>
      <w:r w:rsidRPr="0019682E">
        <w:rPr>
          <w:rFonts w:ascii="Arial" w:hAnsi="Arial" w:cs="Arial"/>
        </w:rPr>
        <w:t>ya que de esta for</w:t>
      </w:r>
      <w:r w:rsidR="00B77518">
        <w:rPr>
          <w:rFonts w:ascii="Arial" w:hAnsi="Arial" w:cs="Arial"/>
        </w:rPr>
        <w:t>ma no tendríamos la información</w:t>
      </w:r>
      <w:r w:rsidRPr="0019682E">
        <w:rPr>
          <w:rFonts w:ascii="Arial" w:hAnsi="Arial" w:cs="Arial"/>
        </w:rPr>
        <w:t xml:space="preserve"> precisa para</w:t>
      </w:r>
      <w:r w:rsidR="00D15C66" w:rsidRPr="0019682E">
        <w:rPr>
          <w:rFonts w:ascii="Arial" w:hAnsi="Arial" w:cs="Arial"/>
        </w:rPr>
        <w:t xml:space="preserve"> </w:t>
      </w:r>
      <w:r w:rsidRPr="0019682E">
        <w:rPr>
          <w:rFonts w:ascii="Arial" w:hAnsi="Arial" w:cs="Arial"/>
        </w:rPr>
        <w:t>descubrir</w:t>
      </w:r>
      <w:r w:rsidR="00D15C66" w:rsidRPr="0019682E">
        <w:rPr>
          <w:rFonts w:ascii="Arial" w:hAnsi="Arial" w:cs="Arial"/>
        </w:rPr>
        <w:t xml:space="preserve"> como se </w:t>
      </w:r>
      <w:r w:rsidRPr="0019682E">
        <w:rPr>
          <w:rFonts w:ascii="Arial" w:hAnsi="Arial" w:cs="Arial"/>
        </w:rPr>
        <w:t>comporta</w:t>
      </w:r>
      <w:r w:rsidR="00D15C66" w:rsidRPr="0019682E">
        <w:rPr>
          <w:rFonts w:ascii="Arial" w:hAnsi="Arial" w:cs="Arial"/>
        </w:rPr>
        <w:t xml:space="preserve"> la variable en el tiempo. </w:t>
      </w:r>
      <w:r w:rsidRPr="0019682E">
        <w:rPr>
          <w:rFonts w:ascii="Arial" w:hAnsi="Arial" w:cs="Arial"/>
        </w:rPr>
        <w:t>Entre los componentes que se presentan son los siguientes:</w:t>
      </w:r>
      <w:r w:rsidR="00B77518">
        <w:rPr>
          <w:rFonts w:ascii="Arial" w:hAnsi="Arial" w:cs="Arial"/>
        </w:rPr>
        <w:t xml:space="preserve"> </w:t>
      </w:r>
      <w:r w:rsidR="00D15C66" w:rsidRPr="0019682E">
        <w:rPr>
          <w:rFonts w:ascii="Arial" w:hAnsi="Arial" w:cs="Arial"/>
        </w:rPr>
        <w:t>Tendencia</w:t>
      </w:r>
      <w:r w:rsidRPr="0019682E">
        <w:rPr>
          <w:rFonts w:ascii="Arial" w:hAnsi="Arial" w:cs="Arial"/>
        </w:rPr>
        <w:t xml:space="preserve"> </w:t>
      </w:r>
      <w:r w:rsidR="00D15C66" w:rsidRPr="0019682E">
        <w:rPr>
          <w:rFonts w:ascii="Arial" w:hAnsi="Arial" w:cs="Arial"/>
        </w:rPr>
        <w:t>(ascendente, estacionaria y descendente), Variaciones esta</w:t>
      </w:r>
      <w:r w:rsidR="00B77518">
        <w:rPr>
          <w:rFonts w:ascii="Arial" w:hAnsi="Arial" w:cs="Arial"/>
        </w:rPr>
        <w:t>cionales (perí</w:t>
      </w:r>
      <w:r w:rsidR="00D15C66" w:rsidRPr="0019682E">
        <w:rPr>
          <w:rFonts w:ascii="Arial" w:hAnsi="Arial" w:cs="Arial"/>
        </w:rPr>
        <w:t xml:space="preserve">odo esta relacionado con la época), Variaciones </w:t>
      </w:r>
      <w:r w:rsidR="00B77518">
        <w:rPr>
          <w:rFonts w:ascii="Arial" w:hAnsi="Arial" w:cs="Arial"/>
        </w:rPr>
        <w:t xml:space="preserve">cíclicas </w:t>
      </w:r>
      <w:r w:rsidR="00B77518" w:rsidRPr="0019682E">
        <w:rPr>
          <w:rFonts w:ascii="Arial" w:hAnsi="Arial" w:cs="Arial"/>
        </w:rPr>
        <w:t>(</w:t>
      </w:r>
      <w:r w:rsidRPr="0019682E">
        <w:rPr>
          <w:rFonts w:ascii="Arial" w:hAnsi="Arial" w:cs="Arial"/>
        </w:rPr>
        <w:t>superior</w:t>
      </w:r>
      <w:r w:rsidR="00D15C66" w:rsidRPr="0019682E">
        <w:rPr>
          <w:rFonts w:ascii="Arial" w:hAnsi="Arial" w:cs="Arial"/>
        </w:rPr>
        <w:t xml:space="preserve"> al año), Variaciones residuales</w:t>
      </w:r>
      <w:r w:rsidR="00B77518">
        <w:rPr>
          <w:rFonts w:ascii="Arial" w:hAnsi="Arial" w:cs="Arial"/>
        </w:rPr>
        <w:t xml:space="preserve"> </w:t>
      </w:r>
      <w:r w:rsidR="00D15C66" w:rsidRPr="0019682E">
        <w:rPr>
          <w:rFonts w:ascii="Arial" w:hAnsi="Arial" w:cs="Arial"/>
        </w:rPr>
        <w:t>(</w:t>
      </w:r>
      <w:r w:rsidRPr="0019682E">
        <w:rPr>
          <w:rFonts w:ascii="Arial" w:hAnsi="Arial" w:cs="Arial"/>
        </w:rPr>
        <w:t xml:space="preserve">se encuentran en </w:t>
      </w:r>
      <w:r w:rsidR="00D15C66" w:rsidRPr="0019682E">
        <w:rPr>
          <w:rFonts w:ascii="Arial" w:hAnsi="Arial" w:cs="Arial"/>
        </w:rPr>
        <w:t>hechos imprevistos)</w:t>
      </w:r>
      <w:r w:rsidR="00430812">
        <w:rPr>
          <w:rFonts w:ascii="Arial" w:hAnsi="Arial" w:cs="Arial"/>
        </w:rPr>
        <w:t>.</w:t>
      </w:r>
    </w:p>
    <w:p w:rsidR="008900F0" w:rsidRDefault="008900F0" w:rsidP="0019682E">
      <w:pPr>
        <w:spacing w:line="480" w:lineRule="auto"/>
        <w:ind w:left="720"/>
        <w:jc w:val="both"/>
        <w:rPr>
          <w:rFonts w:ascii="Arial" w:hAnsi="Arial" w:cs="Arial"/>
        </w:rPr>
      </w:pPr>
    </w:p>
    <w:p w:rsidR="008900F0" w:rsidRPr="008900F0" w:rsidRDefault="008900F0" w:rsidP="008900F0">
      <w:pPr>
        <w:rPr>
          <w:rFonts w:ascii="Arial" w:hAnsi="Arial" w:cs="Arial"/>
        </w:rPr>
      </w:pPr>
    </w:p>
    <w:p w:rsidR="008900F0" w:rsidRPr="008900F0" w:rsidRDefault="008900F0" w:rsidP="008900F0">
      <w:pPr>
        <w:rPr>
          <w:rFonts w:ascii="Arial" w:hAnsi="Arial" w:cs="Arial"/>
        </w:rPr>
      </w:pPr>
    </w:p>
    <w:p w:rsidR="008900F0" w:rsidRPr="008900F0" w:rsidRDefault="008900F0" w:rsidP="008900F0">
      <w:pPr>
        <w:rPr>
          <w:rFonts w:ascii="Arial" w:hAnsi="Arial" w:cs="Arial"/>
        </w:rPr>
      </w:pPr>
    </w:p>
    <w:p w:rsidR="008900F0" w:rsidRPr="008900F0" w:rsidRDefault="008900F0" w:rsidP="008900F0">
      <w:pPr>
        <w:rPr>
          <w:rFonts w:ascii="Arial" w:hAnsi="Arial" w:cs="Arial"/>
        </w:rPr>
      </w:pPr>
      <w:r>
        <w:rPr>
          <w:rFonts w:ascii="Arial" w:hAnsi="Arial" w:cs="Arial"/>
          <w:noProof/>
        </w:rPr>
        <w:pict>
          <v:shape id="_x0000_s1034" type="#_x0000_t202" style="position:absolute;margin-left:18pt;margin-top:9.65pt;width:27pt;height:18pt;z-index:251659776" stroked="f">
            <v:textbox style="mso-next-textbox:#_x0000_s1034">
              <w:txbxContent>
                <w:p w:rsidR="00C552B3" w:rsidRPr="00273186" w:rsidRDefault="00C552B3" w:rsidP="008900F0">
                  <w:pPr>
                    <w:rPr>
                      <w:sz w:val="16"/>
                      <w:szCs w:val="16"/>
                      <w:lang w:val="es-EC"/>
                    </w:rPr>
                  </w:pPr>
                  <w:r w:rsidRPr="00273186">
                    <w:rPr>
                      <w:sz w:val="16"/>
                      <w:szCs w:val="16"/>
                      <w:lang w:val="es-EC"/>
                    </w:rPr>
                    <w:t>(</w:t>
                  </w:r>
                  <w:r>
                    <w:rPr>
                      <w:sz w:val="16"/>
                      <w:szCs w:val="16"/>
                      <w:lang w:val="es-EC"/>
                    </w:rPr>
                    <w:t>2</w:t>
                  </w:r>
                  <w:r w:rsidRPr="00273186">
                    <w:rPr>
                      <w:sz w:val="16"/>
                      <w:szCs w:val="16"/>
                      <w:lang w:val="es-EC"/>
                    </w:rPr>
                    <w:t>)</w:t>
                  </w:r>
                </w:p>
              </w:txbxContent>
            </v:textbox>
          </v:shape>
        </w:pict>
      </w:r>
    </w:p>
    <w:p w:rsidR="008900F0" w:rsidRPr="005B7CAB" w:rsidRDefault="008900F0" w:rsidP="008900F0">
      <w:pPr>
        <w:tabs>
          <w:tab w:val="left" w:pos="1080"/>
          <w:tab w:val="left" w:pos="1260"/>
        </w:tabs>
        <w:spacing w:line="480" w:lineRule="auto"/>
        <w:jc w:val="both"/>
        <w:rPr>
          <w:rFonts w:ascii="Arial" w:hAnsi="Arial" w:cs="Arial"/>
          <w:b/>
          <w:sz w:val="20"/>
          <w:szCs w:val="20"/>
          <w:lang w:val="es-EC"/>
        </w:rPr>
      </w:pPr>
      <w:r>
        <w:rPr>
          <w:rFonts w:ascii="Arial" w:hAnsi="Arial" w:cs="Arial"/>
        </w:rPr>
        <w:tab/>
      </w:r>
      <w:r w:rsidRPr="009E2334">
        <w:rPr>
          <w:sz w:val="20"/>
          <w:szCs w:val="20"/>
          <w:lang w:val="es-EC"/>
        </w:rPr>
        <w:t>Tomado de la referencia bibliográfica #</w:t>
      </w:r>
      <w:r>
        <w:rPr>
          <w:sz w:val="20"/>
          <w:szCs w:val="20"/>
          <w:lang w:val="es-EC"/>
        </w:rPr>
        <w:t xml:space="preserve"> 9</w:t>
      </w:r>
    </w:p>
    <w:p w:rsidR="00E47651" w:rsidRDefault="00E47651" w:rsidP="008900F0">
      <w:pPr>
        <w:tabs>
          <w:tab w:val="left" w:pos="1760"/>
        </w:tabs>
        <w:rPr>
          <w:rFonts w:ascii="Arial" w:hAnsi="Arial" w:cs="Arial"/>
          <w:lang w:val="es-EC"/>
        </w:rPr>
        <w:sectPr w:rsidR="00E47651" w:rsidSect="00756590">
          <w:headerReference w:type="default" r:id="rId20"/>
          <w:pgSz w:w="11906" w:h="16838"/>
          <w:pgMar w:top="2268" w:right="1361" w:bottom="1985" w:left="2268" w:header="709" w:footer="709" w:gutter="0"/>
          <w:pgNumType w:start="19"/>
          <w:cols w:space="708"/>
          <w:docGrid w:linePitch="360"/>
        </w:sectPr>
      </w:pPr>
    </w:p>
    <w:p w:rsidR="008900F0" w:rsidRPr="008900F0" w:rsidRDefault="008900F0" w:rsidP="008900F0">
      <w:pPr>
        <w:tabs>
          <w:tab w:val="left" w:pos="1760"/>
        </w:tabs>
        <w:rPr>
          <w:rFonts w:ascii="Arial" w:hAnsi="Arial" w:cs="Arial"/>
          <w:lang w:val="es-EC"/>
        </w:rPr>
      </w:pPr>
    </w:p>
    <w:p w:rsidR="008900F0" w:rsidRDefault="008900F0" w:rsidP="008900F0">
      <w:pPr>
        <w:rPr>
          <w:rFonts w:ascii="Arial" w:hAnsi="Arial" w:cs="Arial"/>
        </w:rPr>
      </w:pPr>
    </w:p>
    <w:p w:rsidR="00BE1556" w:rsidRPr="00F5518A" w:rsidRDefault="00BE1556" w:rsidP="0019682E">
      <w:pPr>
        <w:tabs>
          <w:tab w:val="left" w:pos="0"/>
          <w:tab w:val="left" w:pos="142"/>
          <w:tab w:val="left" w:pos="426"/>
          <w:tab w:val="left" w:pos="709"/>
          <w:tab w:val="left" w:pos="851"/>
        </w:tabs>
        <w:spacing w:line="480" w:lineRule="auto"/>
        <w:ind w:left="709"/>
        <w:jc w:val="both"/>
        <w:rPr>
          <w:rFonts w:ascii="Arial" w:hAnsi="Arial" w:cs="Arial"/>
        </w:rPr>
      </w:pPr>
    </w:p>
    <w:p w:rsidR="00CC1C75" w:rsidRPr="002E107F" w:rsidRDefault="00CC1C75" w:rsidP="00CC1C75">
      <w:pPr>
        <w:spacing w:line="480" w:lineRule="auto"/>
        <w:ind w:left="360"/>
        <w:jc w:val="center"/>
        <w:rPr>
          <w:rFonts w:ascii="Arial" w:hAnsi="Arial" w:cs="Arial"/>
          <w:b/>
          <w:sz w:val="48"/>
          <w:szCs w:val="48"/>
        </w:rPr>
      </w:pPr>
      <w:r w:rsidRPr="002E107F">
        <w:rPr>
          <w:rFonts w:ascii="Arial" w:hAnsi="Arial" w:cs="Arial"/>
          <w:b/>
          <w:sz w:val="48"/>
          <w:szCs w:val="48"/>
        </w:rPr>
        <w:t>Capítulo II</w:t>
      </w:r>
    </w:p>
    <w:p w:rsidR="00CC1C75" w:rsidRDefault="00CC1C75" w:rsidP="00CC1C75">
      <w:pPr>
        <w:tabs>
          <w:tab w:val="left" w:pos="3060"/>
        </w:tabs>
        <w:spacing w:line="480" w:lineRule="auto"/>
        <w:ind w:left="360"/>
        <w:rPr>
          <w:rFonts w:ascii="Arial" w:hAnsi="Arial" w:cs="Arial"/>
        </w:rPr>
      </w:pPr>
    </w:p>
    <w:p w:rsidR="00CC1C75" w:rsidRPr="00552283" w:rsidRDefault="00CC1C75" w:rsidP="00552283">
      <w:pPr>
        <w:pStyle w:val="Ttulo1"/>
        <w:spacing w:line="480" w:lineRule="auto"/>
        <w:rPr>
          <w:rFonts w:ascii="Arial" w:hAnsi="Arial" w:cs="Arial"/>
          <w:sz w:val="32"/>
          <w:szCs w:val="32"/>
        </w:rPr>
      </w:pPr>
      <w:bookmarkStart w:id="301" w:name="_Toc183697487"/>
      <w:bookmarkStart w:id="302" w:name="_Toc183698817"/>
      <w:bookmarkStart w:id="303" w:name="_Toc183699158"/>
      <w:bookmarkStart w:id="304" w:name="_Toc183699370"/>
      <w:bookmarkStart w:id="305" w:name="_Toc183699541"/>
      <w:bookmarkStart w:id="306" w:name="_Toc183699840"/>
      <w:bookmarkStart w:id="307" w:name="_Toc183700113"/>
      <w:bookmarkStart w:id="308" w:name="_Toc183700330"/>
      <w:bookmarkStart w:id="309" w:name="_Toc183700622"/>
      <w:bookmarkStart w:id="310" w:name="_Toc183700874"/>
      <w:r w:rsidRPr="00552283">
        <w:rPr>
          <w:rFonts w:ascii="Arial" w:hAnsi="Arial" w:cs="Arial"/>
          <w:sz w:val="32"/>
          <w:szCs w:val="32"/>
        </w:rPr>
        <w:t>2.  TRATAMIENTO DE LOS DATOS</w:t>
      </w:r>
      <w:bookmarkEnd w:id="301"/>
      <w:bookmarkEnd w:id="302"/>
      <w:bookmarkEnd w:id="303"/>
      <w:bookmarkEnd w:id="304"/>
      <w:bookmarkEnd w:id="305"/>
      <w:bookmarkEnd w:id="306"/>
      <w:bookmarkEnd w:id="307"/>
      <w:bookmarkEnd w:id="308"/>
      <w:bookmarkEnd w:id="309"/>
      <w:bookmarkEnd w:id="310"/>
    </w:p>
    <w:p w:rsidR="00CC1C75" w:rsidRPr="0079343F" w:rsidRDefault="00CC1C75" w:rsidP="0079343F">
      <w:pPr>
        <w:pStyle w:val="Ttulo2"/>
        <w:spacing w:before="0" w:after="0" w:line="480" w:lineRule="auto"/>
        <w:ind w:left="357"/>
        <w:rPr>
          <w:i w:val="0"/>
          <w:sz w:val="24"/>
          <w:szCs w:val="24"/>
        </w:rPr>
      </w:pPr>
      <w:bookmarkStart w:id="311" w:name="_Toc183697488"/>
      <w:bookmarkStart w:id="312" w:name="_Toc183698818"/>
      <w:bookmarkStart w:id="313" w:name="_Toc183699159"/>
      <w:bookmarkStart w:id="314" w:name="_Toc183699371"/>
      <w:bookmarkStart w:id="315" w:name="_Toc183699542"/>
      <w:bookmarkStart w:id="316" w:name="_Toc183699841"/>
      <w:bookmarkStart w:id="317" w:name="_Toc183700114"/>
      <w:bookmarkStart w:id="318" w:name="_Toc183700331"/>
      <w:bookmarkStart w:id="319" w:name="_Toc183700623"/>
      <w:bookmarkStart w:id="320" w:name="_Toc183700875"/>
      <w:r w:rsidRPr="0079343F">
        <w:rPr>
          <w:i w:val="0"/>
          <w:sz w:val="24"/>
          <w:szCs w:val="24"/>
        </w:rPr>
        <w:t>2.1 Introducción</w:t>
      </w:r>
      <w:bookmarkEnd w:id="311"/>
      <w:bookmarkEnd w:id="312"/>
      <w:bookmarkEnd w:id="313"/>
      <w:bookmarkEnd w:id="314"/>
      <w:bookmarkEnd w:id="315"/>
      <w:bookmarkEnd w:id="316"/>
      <w:bookmarkEnd w:id="317"/>
      <w:bookmarkEnd w:id="318"/>
      <w:bookmarkEnd w:id="319"/>
      <w:bookmarkEnd w:id="320"/>
    </w:p>
    <w:p w:rsidR="00CC1C75" w:rsidRDefault="00CC1C75" w:rsidP="00CC1C75">
      <w:pPr>
        <w:spacing w:line="480" w:lineRule="auto"/>
        <w:ind w:left="360"/>
        <w:jc w:val="both"/>
        <w:rPr>
          <w:rFonts w:ascii="Arial" w:hAnsi="Arial" w:cs="Arial"/>
        </w:rPr>
      </w:pPr>
      <w:r>
        <w:rPr>
          <w:rFonts w:ascii="Arial" w:hAnsi="Arial" w:cs="Arial"/>
        </w:rPr>
        <w:t xml:space="preserve">La empresa seleccionada en este trabajo durante los últimos años, especialmente en el presente, ha intensificado sus controles debido a las mayores diferencias encontradas en lo que se refiere a las conciliaciones bancarias, por lo que su administración es más eficaz que antes aunque sigue presentando inconvenientes, su mayor control hace que realicen una adecuada logística en sus actividades lo cual implica que la empresa sea más llamativa hacia sus clientes por los resultados obtenidos. </w:t>
      </w:r>
    </w:p>
    <w:p w:rsidR="00CC1C75" w:rsidRDefault="00CC1C75" w:rsidP="00CC1C75">
      <w:pPr>
        <w:spacing w:line="480" w:lineRule="auto"/>
        <w:ind w:left="360"/>
        <w:jc w:val="both"/>
        <w:rPr>
          <w:rFonts w:ascii="Arial" w:hAnsi="Arial" w:cs="Arial"/>
        </w:rPr>
      </w:pPr>
      <w:r>
        <w:rPr>
          <w:rFonts w:ascii="Arial" w:hAnsi="Arial" w:cs="Arial"/>
        </w:rPr>
        <w:t>En el análisis que se realizará podremos visualizar de una forma clara las diferencias detectadas mediante gráficos, así como también el control interno que lleva al momento la empresa con sus diferentes proyectos. Mediante una tabla podremos observar cuales son las no conformidades existentes en la realización de las conciliaciones bancarias y a partir de ésta y los gráficos existentes se podrá emitir las recomendaciones respectivas.</w:t>
      </w:r>
    </w:p>
    <w:p w:rsidR="00800498" w:rsidRDefault="00800498" w:rsidP="00CC1C75">
      <w:pPr>
        <w:spacing w:line="480" w:lineRule="auto"/>
        <w:ind w:left="360"/>
        <w:jc w:val="both"/>
        <w:rPr>
          <w:rFonts w:ascii="Arial" w:hAnsi="Arial" w:cs="Arial"/>
        </w:rPr>
        <w:sectPr w:rsidR="00800498" w:rsidSect="00756590">
          <w:headerReference w:type="default" r:id="rId21"/>
          <w:pgSz w:w="11906" w:h="16838"/>
          <w:pgMar w:top="2268" w:right="1361" w:bottom="1985" w:left="2268" w:header="709" w:footer="709" w:gutter="0"/>
          <w:pgNumType w:start="27"/>
          <w:cols w:space="708"/>
          <w:docGrid w:linePitch="360"/>
        </w:sectPr>
      </w:pPr>
    </w:p>
    <w:p w:rsidR="00CC1C75" w:rsidRDefault="00CC1C75" w:rsidP="00CC1C75">
      <w:pPr>
        <w:spacing w:line="480" w:lineRule="auto"/>
        <w:ind w:left="360"/>
        <w:jc w:val="both"/>
        <w:rPr>
          <w:rFonts w:ascii="Arial" w:hAnsi="Arial" w:cs="Arial"/>
          <w:lang w:eastAsia="ja-JP"/>
        </w:rPr>
      </w:pPr>
      <w:r>
        <w:rPr>
          <w:rFonts w:ascii="Arial" w:hAnsi="Arial" w:cs="Arial"/>
        </w:rPr>
        <w:lastRenderedPageBreak/>
        <w:t>Se evaluará el control interno para este caso mediante la estructura del modelo COSO, así como también se determinará los cuartiles de las diferencias existentes entre los saldos del libro banco reflejado en las conciliaciones bancarias con los saldos de los balances generales, para de esta forma poder apreciar cuales son los valores que se encuentran superiores o inferiores al 25</w:t>
      </w:r>
      <w:r>
        <w:rPr>
          <w:rFonts w:ascii="Arial" w:hAnsi="Arial" w:cs="Arial" w:hint="eastAsia"/>
          <w:lang w:eastAsia="ja-JP"/>
        </w:rPr>
        <w:t>%,</w:t>
      </w:r>
      <w:r>
        <w:rPr>
          <w:rFonts w:ascii="Arial" w:hAnsi="Arial" w:cs="Arial"/>
          <w:lang w:eastAsia="ja-JP"/>
        </w:rPr>
        <w:t xml:space="preserve"> </w:t>
      </w:r>
      <w:r>
        <w:rPr>
          <w:rFonts w:ascii="Arial" w:hAnsi="Arial" w:cs="Arial" w:hint="eastAsia"/>
          <w:lang w:eastAsia="ja-JP"/>
        </w:rPr>
        <w:t>50% y 75%</w:t>
      </w:r>
      <w:r>
        <w:rPr>
          <w:rFonts w:ascii="Arial" w:hAnsi="Arial" w:cs="Arial"/>
          <w:lang w:eastAsia="ja-JP"/>
        </w:rPr>
        <w:t xml:space="preserve"> que nos indicará el primer, segundo y tercer cuartil respectivamente.</w:t>
      </w:r>
    </w:p>
    <w:p w:rsidR="00CC1C75" w:rsidRPr="00FA5F16" w:rsidRDefault="00CC1C75" w:rsidP="00CC1C75">
      <w:pPr>
        <w:spacing w:line="480" w:lineRule="auto"/>
        <w:ind w:left="709"/>
        <w:jc w:val="both"/>
        <w:rPr>
          <w:rFonts w:ascii="Arial" w:hAnsi="Arial" w:cs="Arial"/>
          <w:b/>
        </w:rPr>
      </w:pPr>
    </w:p>
    <w:p w:rsidR="00CC1C75" w:rsidRPr="0079343F" w:rsidRDefault="00CC1C75" w:rsidP="0079343F">
      <w:pPr>
        <w:pStyle w:val="Ttulo2"/>
        <w:spacing w:before="0" w:after="0" w:line="480" w:lineRule="auto"/>
        <w:ind w:left="360"/>
        <w:rPr>
          <w:i w:val="0"/>
          <w:sz w:val="24"/>
          <w:szCs w:val="24"/>
        </w:rPr>
      </w:pPr>
      <w:r w:rsidRPr="0079343F">
        <w:rPr>
          <w:i w:val="0"/>
          <w:sz w:val="24"/>
          <w:szCs w:val="24"/>
        </w:rPr>
        <w:t xml:space="preserve"> </w:t>
      </w:r>
      <w:bookmarkStart w:id="321" w:name="_Toc183697489"/>
      <w:bookmarkStart w:id="322" w:name="_Toc183698819"/>
      <w:bookmarkStart w:id="323" w:name="_Toc183699160"/>
      <w:bookmarkStart w:id="324" w:name="_Toc183699372"/>
      <w:bookmarkStart w:id="325" w:name="_Toc183699543"/>
      <w:bookmarkStart w:id="326" w:name="_Toc183699842"/>
      <w:bookmarkStart w:id="327" w:name="_Toc183700115"/>
      <w:bookmarkStart w:id="328" w:name="_Toc183700332"/>
      <w:bookmarkStart w:id="329" w:name="_Toc183700624"/>
      <w:bookmarkStart w:id="330" w:name="_Toc183700876"/>
      <w:r w:rsidR="0079343F">
        <w:rPr>
          <w:i w:val="0"/>
          <w:sz w:val="24"/>
          <w:szCs w:val="24"/>
        </w:rPr>
        <w:t xml:space="preserve">2.2 </w:t>
      </w:r>
      <w:r w:rsidRPr="0079343F">
        <w:rPr>
          <w:i w:val="0"/>
          <w:sz w:val="24"/>
          <w:szCs w:val="24"/>
        </w:rPr>
        <w:t>Control interno de la empresa inmobiliaria que realiza proyectos.</w:t>
      </w:r>
      <w:bookmarkEnd w:id="321"/>
      <w:bookmarkEnd w:id="322"/>
      <w:bookmarkEnd w:id="323"/>
      <w:bookmarkEnd w:id="324"/>
      <w:bookmarkEnd w:id="325"/>
      <w:bookmarkEnd w:id="326"/>
      <w:bookmarkEnd w:id="327"/>
      <w:bookmarkEnd w:id="328"/>
      <w:bookmarkEnd w:id="329"/>
      <w:bookmarkEnd w:id="330"/>
    </w:p>
    <w:p w:rsidR="00CC1C75" w:rsidRPr="0079343F" w:rsidRDefault="00CC1C75" w:rsidP="0079343F">
      <w:pPr>
        <w:pStyle w:val="Ttulo3"/>
        <w:tabs>
          <w:tab w:val="clear" w:pos="2160"/>
          <w:tab w:val="left" w:pos="720"/>
        </w:tabs>
        <w:spacing w:before="0" w:after="0" w:line="480" w:lineRule="auto"/>
        <w:ind w:left="720"/>
        <w:rPr>
          <w:sz w:val="24"/>
          <w:szCs w:val="24"/>
        </w:rPr>
      </w:pPr>
      <w:bookmarkStart w:id="331" w:name="_Toc183697490"/>
      <w:bookmarkStart w:id="332" w:name="_Toc183698820"/>
      <w:bookmarkStart w:id="333" w:name="_Toc183699161"/>
      <w:bookmarkStart w:id="334" w:name="_Toc183699373"/>
      <w:bookmarkStart w:id="335" w:name="_Toc183699544"/>
      <w:bookmarkStart w:id="336" w:name="_Toc183699843"/>
      <w:bookmarkStart w:id="337" w:name="_Toc183700116"/>
      <w:bookmarkStart w:id="338" w:name="_Toc183700333"/>
      <w:bookmarkStart w:id="339" w:name="_Toc183700625"/>
      <w:bookmarkStart w:id="340" w:name="_Toc183700877"/>
      <w:r w:rsidRPr="0079343F">
        <w:rPr>
          <w:sz w:val="24"/>
          <w:szCs w:val="24"/>
        </w:rPr>
        <w:t>2.2.1</w:t>
      </w:r>
      <w:r w:rsidRPr="0079343F">
        <w:rPr>
          <w:sz w:val="24"/>
          <w:szCs w:val="24"/>
        </w:rPr>
        <w:tab/>
        <w:t>Descripción de la empresa y departamento.</w:t>
      </w:r>
      <w:bookmarkEnd w:id="331"/>
      <w:bookmarkEnd w:id="332"/>
      <w:bookmarkEnd w:id="333"/>
      <w:bookmarkEnd w:id="334"/>
      <w:bookmarkEnd w:id="335"/>
      <w:bookmarkEnd w:id="336"/>
      <w:bookmarkEnd w:id="337"/>
      <w:bookmarkEnd w:id="338"/>
      <w:bookmarkEnd w:id="339"/>
      <w:bookmarkEnd w:id="340"/>
    </w:p>
    <w:p w:rsidR="00CC1C75" w:rsidRPr="00982B7C" w:rsidRDefault="00CC1C75" w:rsidP="00CC1C75">
      <w:pPr>
        <w:spacing w:line="480" w:lineRule="auto"/>
        <w:ind w:left="737"/>
        <w:jc w:val="both"/>
        <w:rPr>
          <w:rFonts w:ascii="Arial" w:hAnsi="Arial" w:cs="Arial"/>
        </w:rPr>
      </w:pPr>
      <w:r w:rsidRPr="00982B7C">
        <w:rPr>
          <w:rFonts w:ascii="Arial" w:hAnsi="Arial" w:cs="Arial"/>
        </w:rPr>
        <w:t>Esta es una empresa que realiza proyectos y lleva la administración de aproximadamente 15 compañías</w:t>
      </w:r>
      <w:r>
        <w:rPr>
          <w:rFonts w:ascii="Arial" w:hAnsi="Arial" w:cs="Arial"/>
        </w:rPr>
        <w:t>,</w:t>
      </w:r>
      <w:r w:rsidRPr="00982B7C">
        <w:rPr>
          <w:rFonts w:ascii="Arial" w:hAnsi="Arial" w:cs="Arial"/>
        </w:rPr>
        <w:t xml:space="preserve"> el t</w:t>
      </w:r>
      <w:r>
        <w:rPr>
          <w:rFonts w:ascii="Arial" w:hAnsi="Arial" w:cs="Arial"/>
        </w:rPr>
        <w:t>é</w:t>
      </w:r>
      <w:r w:rsidRPr="00982B7C">
        <w:rPr>
          <w:rFonts w:ascii="Arial" w:hAnsi="Arial" w:cs="Arial"/>
        </w:rPr>
        <w:t xml:space="preserve">rmino aproximado se debe a que existen compañías que se cierran y otras que se aperturan. </w:t>
      </w:r>
    </w:p>
    <w:p w:rsidR="00CC1C75" w:rsidRDefault="00CC1C75" w:rsidP="00CC1C75">
      <w:pPr>
        <w:spacing w:line="480" w:lineRule="auto"/>
        <w:ind w:left="737"/>
        <w:jc w:val="both"/>
        <w:rPr>
          <w:rFonts w:ascii="Arial" w:hAnsi="Arial" w:cs="Arial"/>
        </w:rPr>
      </w:pPr>
      <w:r w:rsidRPr="00982B7C">
        <w:rPr>
          <w:rFonts w:ascii="Arial" w:hAnsi="Arial" w:cs="Arial"/>
        </w:rPr>
        <w:t>Para este trabajo se han seleccionados 5 de todas las compañías con sus respectivos bancos</w:t>
      </w:r>
      <w:r>
        <w:rPr>
          <w:rFonts w:ascii="Arial" w:hAnsi="Arial" w:cs="Arial"/>
        </w:rPr>
        <w:t xml:space="preserve"> como se puede apreciar en la siguiente tabla:</w:t>
      </w:r>
    </w:p>
    <w:p w:rsidR="00984E48" w:rsidRDefault="00984E48" w:rsidP="00CC1C75">
      <w:pPr>
        <w:spacing w:line="480" w:lineRule="auto"/>
        <w:ind w:left="737"/>
        <w:jc w:val="both"/>
        <w:rPr>
          <w:rFonts w:ascii="Arial" w:hAnsi="Arial" w:cs="Arial"/>
        </w:rPr>
      </w:pPr>
    </w:p>
    <w:p w:rsidR="00CC1C75" w:rsidRPr="00984E48" w:rsidRDefault="00984E48" w:rsidP="00984E48">
      <w:pPr>
        <w:pStyle w:val="Ttulo1"/>
        <w:spacing w:line="480" w:lineRule="auto"/>
        <w:ind w:left="720"/>
        <w:jc w:val="center"/>
        <w:rPr>
          <w:rFonts w:ascii="Arial" w:hAnsi="Arial" w:cs="Arial"/>
          <w:b w:val="0"/>
        </w:rPr>
      </w:pPr>
      <w:bookmarkStart w:id="341" w:name="_Toc183697491"/>
      <w:bookmarkStart w:id="342" w:name="_Toc183698821"/>
      <w:bookmarkStart w:id="343" w:name="_Toc183699162"/>
      <w:bookmarkStart w:id="344" w:name="_Toc183699374"/>
      <w:bookmarkStart w:id="345" w:name="_Toc183699545"/>
      <w:bookmarkStart w:id="346" w:name="_Toc183699844"/>
      <w:bookmarkStart w:id="347" w:name="_Toc183700117"/>
      <w:bookmarkStart w:id="348" w:name="_Toc183700626"/>
      <w:bookmarkStart w:id="349" w:name="_Toc183700878"/>
      <w:r w:rsidRPr="00984E48">
        <w:rPr>
          <w:rFonts w:ascii="Arial" w:hAnsi="Arial" w:cs="Arial"/>
        </w:rPr>
        <w:t xml:space="preserve">Tabla  I. </w:t>
      </w:r>
      <w:r w:rsidRPr="00984E48">
        <w:rPr>
          <w:rFonts w:ascii="Arial" w:hAnsi="Arial" w:cs="Arial"/>
          <w:b w:val="0"/>
        </w:rPr>
        <w:t>Compañías y bancos seleccionados.</w:t>
      </w:r>
      <w:bookmarkEnd w:id="341"/>
      <w:bookmarkEnd w:id="342"/>
      <w:bookmarkEnd w:id="343"/>
      <w:bookmarkEnd w:id="344"/>
      <w:bookmarkEnd w:id="345"/>
      <w:bookmarkEnd w:id="346"/>
      <w:bookmarkEnd w:id="347"/>
      <w:bookmarkEnd w:id="348"/>
      <w:bookmarkEnd w:id="349"/>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2"/>
        <w:gridCol w:w="2577"/>
      </w:tblGrid>
      <w:tr w:rsidR="00CC1C75">
        <w:tblPrEx>
          <w:tblCellMar>
            <w:top w:w="0" w:type="dxa"/>
            <w:bottom w:w="0" w:type="dxa"/>
          </w:tblCellMar>
        </w:tblPrEx>
        <w:trPr>
          <w:trHeight w:val="451"/>
        </w:trPr>
        <w:tc>
          <w:tcPr>
            <w:tcW w:w="2572" w:type="dxa"/>
          </w:tcPr>
          <w:p w:rsidR="00CC1C75" w:rsidRPr="00973E5E" w:rsidRDefault="00CC1C75" w:rsidP="00CC1C75">
            <w:pPr>
              <w:jc w:val="both"/>
              <w:rPr>
                <w:b/>
              </w:rPr>
            </w:pPr>
            <w:r w:rsidRPr="00973E5E">
              <w:rPr>
                <w:b/>
              </w:rPr>
              <w:t>Compañía</w:t>
            </w:r>
          </w:p>
        </w:tc>
        <w:tc>
          <w:tcPr>
            <w:tcW w:w="2577" w:type="dxa"/>
          </w:tcPr>
          <w:p w:rsidR="00CC1C75" w:rsidRPr="00973E5E" w:rsidRDefault="00CC1C75" w:rsidP="00CC1C75">
            <w:pPr>
              <w:jc w:val="both"/>
              <w:rPr>
                <w:b/>
              </w:rPr>
            </w:pPr>
            <w:r w:rsidRPr="00973E5E">
              <w:rPr>
                <w:b/>
              </w:rPr>
              <w:t>Bancos</w:t>
            </w:r>
          </w:p>
          <w:p w:rsidR="00CC1C75" w:rsidRPr="00973E5E" w:rsidRDefault="00CC1C75" w:rsidP="00CC1C75">
            <w:pPr>
              <w:jc w:val="both"/>
              <w:rPr>
                <w:b/>
              </w:rPr>
            </w:pPr>
          </w:p>
        </w:tc>
      </w:tr>
      <w:tr w:rsidR="00CC1C75">
        <w:tblPrEx>
          <w:tblCellMar>
            <w:top w:w="0" w:type="dxa"/>
            <w:bottom w:w="0" w:type="dxa"/>
          </w:tblCellMar>
        </w:tblPrEx>
        <w:trPr>
          <w:trHeight w:val="219"/>
        </w:trPr>
        <w:tc>
          <w:tcPr>
            <w:tcW w:w="2572" w:type="dxa"/>
          </w:tcPr>
          <w:p w:rsidR="00CC1C75" w:rsidRDefault="00CC1C75" w:rsidP="00CC1C75">
            <w:pPr>
              <w:jc w:val="both"/>
            </w:pPr>
            <w:r>
              <w:t>M.O.</w:t>
            </w:r>
          </w:p>
        </w:tc>
        <w:tc>
          <w:tcPr>
            <w:tcW w:w="2577" w:type="dxa"/>
          </w:tcPr>
          <w:p w:rsidR="00CC1C75" w:rsidRDefault="00CC1C75" w:rsidP="00CC1C75">
            <w:pPr>
              <w:jc w:val="both"/>
            </w:pPr>
            <w:r>
              <w:t>Produbanco , Pichincha</w:t>
            </w:r>
          </w:p>
        </w:tc>
      </w:tr>
      <w:tr w:rsidR="00CC1C75">
        <w:tblPrEx>
          <w:tblCellMar>
            <w:top w:w="0" w:type="dxa"/>
            <w:bottom w:w="0" w:type="dxa"/>
          </w:tblCellMar>
        </w:tblPrEx>
        <w:trPr>
          <w:trHeight w:val="219"/>
        </w:trPr>
        <w:tc>
          <w:tcPr>
            <w:tcW w:w="2572" w:type="dxa"/>
          </w:tcPr>
          <w:p w:rsidR="00CC1C75" w:rsidRDefault="00CC1C75" w:rsidP="00CC1C75">
            <w:pPr>
              <w:jc w:val="both"/>
            </w:pPr>
            <w:r>
              <w:t>SER</w:t>
            </w:r>
          </w:p>
        </w:tc>
        <w:tc>
          <w:tcPr>
            <w:tcW w:w="2577" w:type="dxa"/>
          </w:tcPr>
          <w:p w:rsidR="00CC1C75" w:rsidRDefault="00CC1C75" w:rsidP="00CC1C75">
            <w:pPr>
              <w:jc w:val="both"/>
            </w:pPr>
            <w:r>
              <w:t>Produbanco</w:t>
            </w:r>
          </w:p>
        </w:tc>
      </w:tr>
      <w:tr w:rsidR="00CC1C75">
        <w:tblPrEx>
          <w:tblCellMar>
            <w:top w:w="0" w:type="dxa"/>
            <w:bottom w:w="0" w:type="dxa"/>
          </w:tblCellMar>
        </w:tblPrEx>
        <w:trPr>
          <w:trHeight w:val="219"/>
        </w:trPr>
        <w:tc>
          <w:tcPr>
            <w:tcW w:w="2572" w:type="dxa"/>
          </w:tcPr>
          <w:p w:rsidR="00CC1C75" w:rsidRDefault="00CC1C75" w:rsidP="00CC1C75">
            <w:pPr>
              <w:jc w:val="both"/>
            </w:pPr>
            <w:r>
              <w:t>D.U.</w:t>
            </w:r>
          </w:p>
        </w:tc>
        <w:tc>
          <w:tcPr>
            <w:tcW w:w="2577" w:type="dxa"/>
          </w:tcPr>
          <w:p w:rsidR="00CC1C75" w:rsidRDefault="00CC1C75" w:rsidP="00CC1C75">
            <w:pPr>
              <w:jc w:val="both"/>
            </w:pPr>
            <w:r>
              <w:t>Produfondos</w:t>
            </w:r>
          </w:p>
        </w:tc>
      </w:tr>
      <w:tr w:rsidR="00CC1C75">
        <w:tblPrEx>
          <w:tblCellMar>
            <w:top w:w="0" w:type="dxa"/>
            <w:bottom w:w="0" w:type="dxa"/>
          </w:tblCellMar>
        </w:tblPrEx>
        <w:trPr>
          <w:trHeight w:val="219"/>
        </w:trPr>
        <w:tc>
          <w:tcPr>
            <w:tcW w:w="2572" w:type="dxa"/>
          </w:tcPr>
          <w:p w:rsidR="00CC1C75" w:rsidRDefault="00CC1C75" w:rsidP="00CC1C75">
            <w:pPr>
              <w:jc w:val="both"/>
            </w:pPr>
            <w:r>
              <w:t>M.I.</w:t>
            </w:r>
          </w:p>
        </w:tc>
        <w:tc>
          <w:tcPr>
            <w:tcW w:w="2577" w:type="dxa"/>
          </w:tcPr>
          <w:p w:rsidR="00CC1C75" w:rsidRDefault="00CC1C75" w:rsidP="00CC1C75">
            <w:pPr>
              <w:jc w:val="both"/>
            </w:pPr>
            <w:r>
              <w:t>Produbanco,Produfondos</w:t>
            </w:r>
          </w:p>
        </w:tc>
      </w:tr>
      <w:tr w:rsidR="00CC1C75">
        <w:tblPrEx>
          <w:tblCellMar>
            <w:top w:w="0" w:type="dxa"/>
            <w:bottom w:w="0" w:type="dxa"/>
          </w:tblCellMar>
        </w:tblPrEx>
        <w:trPr>
          <w:trHeight w:val="231"/>
        </w:trPr>
        <w:tc>
          <w:tcPr>
            <w:tcW w:w="2572" w:type="dxa"/>
          </w:tcPr>
          <w:p w:rsidR="00CC1C75" w:rsidRDefault="00CC1C75" w:rsidP="00CC1C75">
            <w:pPr>
              <w:jc w:val="both"/>
            </w:pPr>
            <w:r>
              <w:t>F.A.</w:t>
            </w:r>
          </w:p>
        </w:tc>
        <w:tc>
          <w:tcPr>
            <w:tcW w:w="2577" w:type="dxa"/>
          </w:tcPr>
          <w:p w:rsidR="00CC1C75" w:rsidRDefault="00CC1C75" w:rsidP="00CC1C75">
            <w:pPr>
              <w:jc w:val="both"/>
            </w:pPr>
            <w:r>
              <w:t>Produbanco,Produfondos</w:t>
            </w:r>
          </w:p>
        </w:tc>
      </w:tr>
    </w:tbl>
    <w:p w:rsidR="00CC1C75" w:rsidRDefault="00CC1C75" w:rsidP="0079343F">
      <w:pPr>
        <w:spacing w:line="480" w:lineRule="auto"/>
        <w:rPr>
          <w:rFonts w:ascii="Arial" w:hAnsi="Arial" w:cs="Arial"/>
        </w:rPr>
      </w:pPr>
    </w:p>
    <w:p w:rsidR="00CC1C75" w:rsidRDefault="00CC1C75" w:rsidP="00CC1C75">
      <w:pPr>
        <w:ind w:left="737"/>
        <w:jc w:val="center"/>
        <w:rPr>
          <w:rFonts w:ascii="Arial" w:hAnsi="Arial" w:cs="Arial"/>
        </w:rPr>
      </w:pPr>
    </w:p>
    <w:p w:rsidR="00CC1C75" w:rsidRDefault="00CC1C75" w:rsidP="00CC1C75">
      <w:pPr>
        <w:spacing w:line="480" w:lineRule="auto"/>
        <w:ind w:left="737"/>
        <w:jc w:val="both"/>
        <w:rPr>
          <w:rFonts w:ascii="Arial" w:hAnsi="Arial" w:cs="Arial"/>
        </w:rPr>
      </w:pPr>
      <w:r>
        <w:rPr>
          <w:rFonts w:ascii="Arial" w:hAnsi="Arial" w:cs="Arial"/>
        </w:rPr>
        <w:lastRenderedPageBreak/>
        <w:t xml:space="preserve">Este trabajo </w:t>
      </w:r>
      <w:r w:rsidRPr="00982B7C">
        <w:rPr>
          <w:rFonts w:ascii="Arial" w:hAnsi="Arial" w:cs="Arial"/>
        </w:rPr>
        <w:t xml:space="preserve">fue realizado en el departamento de contraloría para el </w:t>
      </w:r>
      <w:r w:rsidRPr="00A80962">
        <w:rPr>
          <w:rFonts w:ascii="Arial" w:hAnsi="Arial" w:cs="Arial"/>
        </w:rPr>
        <w:t>componente de las conciliaciones bancarias durante el primer semestre del año 2007.</w:t>
      </w:r>
    </w:p>
    <w:p w:rsidR="00AE3B5B" w:rsidRPr="00A80962" w:rsidRDefault="00AE3B5B" w:rsidP="00800498">
      <w:pPr>
        <w:spacing w:line="480" w:lineRule="auto"/>
        <w:jc w:val="both"/>
        <w:rPr>
          <w:rFonts w:ascii="Arial" w:hAnsi="Arial" w:cs="Arial"/>
        </w:rPr>
      </w:pPr>
    </w:p>
    <w:p w:rsidR="00CC1C75" w:rsidRPr="00A80962" w:rsidRDefault="00CC1C75" w:rsidP="00CC1C75">
      <w:pPr>
        <w:jc w:val="both"/>
        <w:rPr>
          <w:rFonts w:ascii="Arial" w:hAnsi="Arial" w:cs="Arial"/>
        </w:rPr>
      </w:pPr>
    </w:p>
    <w:p w:rsidR="00CC1C75" w:rsidRPr="00984E48" w:rsidRDefault="00CC1C75" w:rsidP="00984E48">
      <w:pPr>
        <w:pStyle w:val="Ttulo3"/>
        <w:spacing w:before="0" w:after="0" w:line="480" w:lineRule="auto"/>
        <w:ind w:left="720"/>
        <w:rPr>
          <w:sz w:val="24"/>
          <w:szCs w:val="24"/>
        </w:rPr>
      </w:pPr>
      <w:bookmarkStart w:id="350" w:name="_Toc183697492"/>
      <w:bookmarkStart w:id="351" w:name="_Toc183698822"/>
      <w:bookmarkStart w:id="352" w:name="_Toc183699163"/>
      <w:bookmarkStart w:id="353" w:name="_Toc183699375"/>
      <w:bookmarkStart w:id="354" w:name="_Toc183699546"/>
      <w:bookmarkStart w:id="355" w:name="_Toc183699845"/>
      <w:bookmarkStart w:id="356" w:name="_Toc183700118"/>
      <w:bookmarkStart w:id="357" w:name="_Toc183700335"/>
      <w:bookmarkStart w:id="358" w:name="_Toc183700627"/>
      <w:bookmarkStart w:id="359" w:name="_Toc183700879"/>
      <w:r w:rsidRPr="00984E48">
        <w:rPr>
          <w:sz w:val="24"/>
          <w:szCs w:val="24"/>
        </w:rPr>
        <w:t>2.2.2 Evaluación Del Control Interno Aplicado.</w:t>
      </w:r>
      <w:bookmarkEnd w:id="350"/>
      <w:bookmarkEnd w:id="351"/>
      <w:bookmarkEnd w:id="352"/>
      <w:bookmarkEnd w:id="353"/>
      <w:bookmarkEnd w:id="354"/>
      <w:bookmarkEnd w:id="355"/>
      <w:bookmarkEnd w:id="356"/>
      <w:bookmarkEnd w:id="357"/>
      <w:bookmarkEnd w:id="358"/>
      <w:bookmarkEnd w:id="359"/>
    </w:p>
    <w:p w:rsidR="00CC1C75" w:rsidRPr="00A80962" w:rsidRDefault="00CC1C75" w:rsidP="00CC1C75">
      <w:pPr>
        <w:jc w:val="both"/>
        <w:rPr>
          <w:rFonts w:ascii="Arial" w:hAnsi="Arial" w:cs="Arial"/>
        </w:rPr>
      </w:pPr>
    </w:p>
    <w:p w:rsidR="00CC1C75" w:rsidRPr="001E58D8" w:rsidRDefault="00CC1C75" w:rsidP="00CC1C75">
      <w:pPr>
        <w:spacing w:line="480" w:lineRule="auto"/>
        <w:ind w:left="737"/>
        <w:jc w:val="both"/>
        <w:rPr>
          <w:rFonts w:ascii="Arial" w:hAnsi="Arial" w:cs="Arial"/>
        </w:rPr>
      </w:pPr>
      <w:r w:rsidRPr="00A80962">
        <w:rPr>
          <w:rFonts w:ascii="Arial" w:hAnsi="Arial" w:cs="Arial"/>
        </w:rPr>
        <w:t xml:space="preserve">Esta evaluación se la realizó exclusivamente al control de las conciliaciones bancarias de las cinco compañías mencionadas en la tabla I. Se procederá a describir cada uno de los componentes de COSO ya aplicado en esta empresa y departamento que es el de Contraloría. </w:t>
      </w:r>
    </w:p>
    <w:p w:rsidR="00CC1C75" w:rsidRPr="00A80962" w:rsidRDefault="00CC1C75" w:rsidP="00CC1C75">
      <w:pPr>
        <w:spacing w:line="480" w:lineRule="auto"/>
        <w:ind w:firstLine="737"/>
        <w:jc w:val="both"/>
        <w:rPr>
          <w:rFonts w:ascii="Arial" w:hAnsi="Arial" w:cs="Arial"/>
          <w:b/>
          <w:bCs/>
        </w:rPr>
      </w:pPr>
    </w:p>
    <w:p w:rsidR="00CC1C75" w:rsidRPr="001002ED" w:rsidRDefault="00CC1C75" w:rsidP="00FD4A53">
      <w:pPr>
        <w:pStyle w:val="Ttulo4"/>
        <w:spacing w:before="0" w:after="0" w:line="480" w:lineRule="auto"/>
        <w:ind w:left="1080"/>
        <w:rPr>
          <w:rFonts w:ascii="Arial" w:hAnsi="Arial" w:cs="Arial"/>
          <w:sz w:val="24"/>
          <w:szCs w:val="24"/>
        </w:rPr>
      </w:pPr>
      <w:bookmarkStart w:id="360" w:name="_Toc183697493"/>
      <w:bookmarkStart w:id="361" w:name="_Toc183698823"/>
      <w:bookmarkStart w:id="362" w:name="_Toc183699164"/>
      <w:bookmarkStart w:id="363" w:name="_Toc183699376"/>
      <w:bookmarkStart w:id="364" w:name="_Toc183699547"/>
      <w:bookmarkStart w:id="365" w:name="_Toc183699846"/>
      <w:bookmarkStart w:id="366" w:name="_Toc183700119"/>
      <w:bookmarkStart w:id="367" w:name="_Toc183700336"/>
      <w:bookmarkStart w:id="368" w:name="_Toc183700628"/>
      <w:bookmarkStart w:id="369" w:name="_Toc183700880"/>
      <w:r w:rsidRPr="001002ED">
        <w:rPr>
          <w:rFonts w:ascii="Arial" w:hAnsi="Arial" w:cs="Arial"/>
          <w:sz w:val="24"/>
          <w:szCs w:val="24"/>
        </w:rPr>
        <w:t>2.2.2.1 Ambiente de control.</w:t>
      </w:r>
      <w:bookmarkEnd w:id="360"/>
      <w:bookmarkEnd w:id="361"/>
      <w:bookmarkEnd w:id="362"/>
      <w:bookmarkEnd w:id="363"/>
      <w:bookmarkEnd w:id="364"/>
      <w:bookmarkEnd w:id="365"/>
      <w:bookmarkEnd w:id="366"/>
      <w:bookmarkEnd w:id="367"/>
      <w:bookmarkEnd w:id="368"/>
      <w:bookmarkEnd w:id="369"/>
    </w:p>
    <w:p w:rsidR="00CC1C75" w:rsidRPr="005E1487" w:rsidRDefault="00CC1C75" w:rsidP="00FD4A53">
      <w:pPr>
        <w:pStyle w:val="Textoindependiente"/>
        <w:spacing w:line="480" w:lineRule="auto"/>
        <w:ind w:left="1080"/>
        <w:jc w:val="both"/>
        <w:rPr>
          <w:rFonts w:ascii="Arial" w:hAnsi="Arial" w:cs="Arial"/>
        </w:rPr>
      </w:pPr>
      <w:r w:rsidRPr="005E1487">
        <w:rPr>
          <w:rFonts w:ascii="Arial" w:hAnsi="Arial" w:cs="Arial"/>
        </w:rPr>
        <w:t>En el departamento de contraloría la pers</w:t>
      </w:r>
      <w:r>
        <w:rPr>
          <w:rFonts w:ascii="Arial" w:hAnsi="Arial" w:cs="Arial"/>
        </w:rPr>
        <w:t>ona que se encuentra a su cargo sí</w:t>
      </w:r>
      <w:r w:rsidRPr="005E1487">
        <w:rPr>
          <w:rFonts w:ascii="Arial" w:hAnsi="Arial" w:cs="Arial"/>
        </w:rPr>
        <w:t xml:space="preserve"> posee un</w:t>
      </w:r>
      <w:r>
        <w:rPr>
          <w:rFonts w:ascii="Arial" w:hAnsi="Arial" w:cs="Arial"/>
        </w:rPr>
        <w:t xml:space="preserve"> perfil acorde a su cargo lo cual</w:t>
      </w:r>
      <w:r w:rsidRPr="005E1487">
        <w:rPr>
          <w:rFonts w:ascii="Arial" w:hAnsi="Arial" w:cs="Arial"/>
        </w:rPr>
        <w:t xml:space="preserve"> indica que se tiene la confiabilidad en la realización de sus actividades; sin embargo para este departamento se contratan asistentes que no siempre están acorde a este perfil y el control de las conciliaciones bancarias en su mayoría son revisadas por sus asistentes debido a que la persona encargada de este departamento posee múltiples actividades adicionales. Lo que se confirma que existen estas situaciones de no competencia como se lo indicó en el punto 1.1</w:t>
      </w:r>
      <w:r>
        <w:rPr>
          <w:rFonts w:ascii="Arial" w:hAnsi="Arial" w:cs="Arial"/>
        </w:rPr>
        <w:t>.</w:t>
      </w:r>
    </w:p>
    <w:p w:rsidR="00CC1C75" w:rsidRPr="00D5368B" w:rsidRDefault="00CC1C75" w:rsidP="00CC1C75">
      <w:pPr>
        <w:pStyle w:val="Textoindependiente"/>
        <w:spacing w:line="480" w:lineRule="auto"/>
        <w:ind w:left="737"/>
        <w:rPr>
          <w:rFonts w:ascii="Arial" w:hAnsi="Arial" w:cs="Arial"/>
        </w:rPr>
      </w:pPr>
    </w:p>
    <w:p w:rsidR="00CC1C75" w:rsidRPr="00984E48" w:rsidRDefault="00CC1C75" w:rsidP="00FD4A53">
      <w:pPr>
        <w:pStyle w:val="Ttulo4"/>
        <w:spacing w:before="0" w:after="0" w:line="480" w:lineRule="auto"/>
        <w:ind w:left="1080"/>
        <w:rPr>
          <w:rFonts w:ascii="Arial" w:hAnsi="Arial" w:cs="Arial"/>
          <w:sz w:val="24"/>
          <w:szCs w:val="24"/>
        </w:rPr>
      </w:pPr>
      <w:bookmarkStart w:id="370" w:name="_Toc183697494"/>
      <w:bookmarkStart w:id="371" w:name="_Toc183698824"/>
      <w:bookmarkStart w:id="372" w:name="_Toc183699165"/>
      <w:bookmarkStart w:id="373" w:name="_Toc183699377"/>
      <w:bookmarkStart w:id="374" w:name="_Toc183699548"/>
      <w:bookmarkStart w:id="375" w:name="_Toc183699847"/>
      <w:bookmarkStart w:id="376" w:name="_Toc183700120"/>
      <w:bookmarkStart w:id="377" w:name="_Toc183700337"/>
      <w:bookmarkStart w:id="378" w:name="_Toc183700629"/>
      <w:bookmarkStart w:id="379" w:name="_Toc183700881"/>
      <w:r w:rsidRPr="00984E48">
        <w:rPr>
          <w:rFonts w:ascii="Arial" w:hAnsi="Arial" w:cs="Arial"/>
          <w:sz w:val="24"/>
          <w:szCs w:val="24"/>
        </w:rPr>
        <w:lastRenderedPageBreak/>
        <w:t>2.2.2.2 Evaluación de riesgo.</w:t>
      </w:r>
      <w:bookmarkEnd w:id="370"/>
      <w:bookmarkEnd w:id="371"/>
      <w:bookmarkEnd w:id="372"/>
      <w:bookmarkEnd w:id="373"/>
      <w:bookmarkEnd w:id="374"/>
      <w:bookmarkEnd w:id="375"/>
      <w:bookmarkEnd w:id="376"/>
      <w:bookmarkEnd w:id="377"/>
      <w:bookmarkEnd w:id="378"/>
      <w:bookmarkEnd w:id="379"/>
    </w:p>
    <w:p w:rsidR="00CC1C75" w:rsidRPr="00A80962" w:rsidRDefault="00CC1C75" w:rsidP="00FD4A53">
      <w:pPr>
        <w:spacing w:line="480" w:lineRule="auto"/>
        <w:ind w:left="1080"/>
        <w:jc w:val="both"/>
        <w:rPr>
          <w:rFonts w:ascii="Arial" w:hAnsi="Arial" w:cs="Arial"/>
        </w:rPr>
      </w:pPr>
      <w:r w:rsidRPr="00A80962">
        <w:rPr>
          <w:rFonts w:ascii="Arial" w:hAnsi="Arial" w:cs="Arial"/>
        </w:rPr>
        <w:t xml:space="preserve">Un riesgo es que en este departamento cambian de software cada vez que ellos piensan que es oportuno, normalmente lo hacen por uno más actualizado lo </w:t>
      </w:r>
      <w:r>
        <w:rPr>
          <w:rFonts w:ascii="Arial" w:hAnsi="Arial" w:cs="Arial"/>
        </w:rPr>
        <w:t>cual</w:t>
      </w:r>
      <w:r w:rsidRPr="00A80962">
        <w:rPr>
          <w:rFonts w:ascii="Arial" w:hAnsi="Arial" w:cs="Arial"/>
        </w:rPr>
        <w:t xml:space="preserve"> hace</w:t>
      </w:r>
      <w:r>
        <w:rPr>
          <w:rFonts w:ascii="Arial" w:hAnsi="Arial" w:cs="Arial"/>
        </w:rPr>
        <w:t xml:space="preserve"> que</w:t>
      </w:r>
      <w:r w:rsidRPr="00A80962">
        <w:rPr>
          <w:rFonts w:ascii="Arial" w:hAnsi="Arial" w:cs="Arial"/>
        </w:rPr>
        <w:t xml:space="preserve"> el personal se tenga que adaptar al mismo y no siempre lo podrían hacer con facilidad por lo que se podría producir errores. </w:t>
      </w:r>
    </w:p>
    <w:p w:rsidR="00CC1C75" w:rsidRPr="00A80962" w:rsidRDefault="00CC1C75" w:rsidP="00CC1C75">
      <w:pPr>
        <w:spacing w:line="480" w:lineRule="auto"/>
        <w:ind w:left="737"/>
        <w:jc w:val="both"/>
        <w:rPr>
          <w:rFonts w:ascii="Arial" w:hAnsi="Arial" w:cs="Arial"/>
        </w:rPr>
      </w:pPr>
    </w:p>
    <w:p w:rsidR="00CC1C75" w:rsidRPr="00A80962" w:rsidRDefault="00CC1C75" w:rsidP="00FD4A53">
      <w:pPr>
        <w:spacing w:line="480" w:lineRule="auto"/>
        <w:ind w:left="1080"/>
        <w:jc w:val="both"/>
        <w:rPr>
          <w:rFonts w:ascii="Arial" w:hAnsi="Arial" w:cs="Arial"/>
        </w:rPr>
      </w:pPr>
      <w:r w:rsidRPr="00A80962">
        <w:rPr>
          <w:rFonts w:ascii="Arial" w:hAnsi="Arial" w:cs="Arial"/>
        </w:rPr>
        <w:t>Debido a que se contratan asistentes para el departamento de contraloría y de una forma periódica</w:t>
      </w:r>
      <w:r>
        <w:rPr>
          <w:rFonts w:ascii="Arial" w:hAnsi="Arial" w:cs="Arial"/>
        </w:rPr>
        <w:t xml:space="preserve">, </w:t>
      </w:r>
      <w:r w:rsidRPr="00A80962">
        <w:rPr>
          <w:rFonts w:ascii="Arial" w:hAnsi="Arial" w:cs="Arial"/>
        </w:rPr>
        <w:t>es decir</w:t>
      </w:r>
      <w:r>
        <w:rPr>
          <w:rFonts w:ascii="Arial" w:hAnsi="Arial" w:cs="Arial"/>
        </w:rPr>
        <w:t xml:space="preserve">, existe mucha rotación de personal </w:t>
      </w:r>
      <w:r w:rsidRPr="00A80962">
        <w:rPr>
          <w:rFonts w:ascii="Arial" w:hAnsi="Arial" w:cs="Arial"/>
        </w:rPr>
        <w:t>y a pesar de que su jefe sea competente esto no implica que su asistente lo sea también</w:t>
      </w:r>
      <w:r>
        <w:rPr>
          <w:rFonts w:ascii="Arial" w:hAnsi="Arial" w:cs="Arial"/>
        </w:rPr>
        <w:t>,</w:t>
      </w:r>
      <w:r w:rsidRPr="00A80962">
        <w:rPr>
          <w:rFonts w:ascii="Arial" w:hAnsi="Arial" w:cs="Arial"/>
        </w:rPr>
        <w:t xml:space="preserve"> por lo que existe el riesgo de que las asistentes no podrían realizar sus actividades con la confiabilidad que se necesita para estos controles y en especial en lo referente </w:t>
      </w:r>
      <w:r>
        <w:rPr>
          <w:rFonts w:ascii="Arial" w:hAnsi="Arial" w:cs="Arial"/>
        </w:rPr>
        <w:t xml:space="preserve">al </w:t>
      </w:r>
      <w:r w:rsidRPr="00A80962">
        <w:rPr>
          <w:rFonts w:ascii="Arial" w:hAnsi="Arial" w:cs="Arial"/>
        </w:rPr>
        <w:t>de las conciliaciones bancarias ya que generalmente ellas son las encargadas de este control.</w:t>
      </w:r>
    </w:p>
    <w:p w:rsidR="00CC1C75" w:rsidRPr="00A80962" w:rsidRDefault="00CC1C75" w:rsidP="00CC1C75">
      <w:pPr>
        <w:jc w:val="both"/>
        <w:rPr>
          <w:rFonts w:ascii="Arial" w:hAnsi="Arial" w:cs="Arial"/>
        </w:rPr>
      </w:pPr>
    </w:p>
    <w:p w:rsidR="00CC1C75" w:rsidRPr="00984E48" w:rsidRDefault="00CC1C75" w:rsidP="00FD4A53">
      <w:pPr>
        <w:pStyle w:val="Ttulo4"/>
        <w:spacing w:before="0" w:after="0" w:line="480" w:lineRule="auto"/>
        <w:ind w:left="1080"/>
        <w:rPr>
          <w:rFonts w:ascii="Arial" w:hAnsi="Arial" w:cs="Arial"/>
          <w:sz w:val="24"/>
          <w:szCs w:val="24"/>
        </w:rPr>
      </w:pPr>
      <w:bookmarkStart w:id="380" w:name="_Toc183697495"/>
      <w:bookmarkStart w:id="381" w:name="_Toc183698825"/>
      <w:bookmarkStart w:id="382" w:name="_Toc183699166"/>
      <w:bookmarkStart w:id="383" w:name="_Toc183699378"/>
      <w:bookmarkStart w:id="384" w:name="_Toc183699549"/>
      <w:bookmarkStart w:id="385" w:name="_Toc183699848"/>
      <w:bookmarkStart w:id="386" w:name="_Toc183700121"/>
      <w:bookmarkStart w:id="387" w:name="_Toc183700338"/>
      <w:bookmarkStart w:id="388" w:name="_Toc183700630"/>
      <w:bookmarkStart w:id="389" w:name="_Toc183700882"/>
      <w:r w:rsidRPr="00984E48">
        <w:rPr>
          <w:rFonts w:ascii="Arial" w:hAnsi="Arial" w:cs="Arial"/>
          <w:sz w:val="24"/>
          <w:szCs w:val="24"/>
        </w:rPr>
        <w:t>2.2.2.3 Actividades de control.</w:t>
      </w:r>
      <w:bookmarkEnd w:id="380"/>
      <w:bookmarkEnd w:id="381"/>
      <w:bookmarkEnd w:id="382"/>
      <w:bookmarkEnd w:id="383"/>
      <w:bookmarkEnd w:id="384"/>
      <w:bookmarkEnd w:id="385"/>
      <w:bookmarkEnd w:id="386"/>
      <w:bookmarkEnd w:id="387"/>
      <w:bookmarkEnd w:id="388"/>
      <w:bookmarkEnd w:id="389"/>
    </w:p>
    <w:p w:rsidR="00CC1C75" w:rsidRPr="00A80962" w:rsidRDefault="00CC1C75" w:rsidP="00CC1C75">
      <w:pPr>
        <w:ind w:firstLine="737"/>
        <w:jc w:val="both"/>
        <w:rPr>
          <w:rFonts w:ascii="Arial" w:hAnsi="Arial" w:cs="Arial"/>
          <w:bCs/>
        </w:rPr>
      </w:pPr>
    </w:p>
    <w:p w:rsidR="00CC1C75" w:rsidRDefault="00CC1C75" w:rsidP="00FD4A53">
      <w:pPr>
        <w:spacing w:line="480" w:lineRule="auto"/>
        <w:ind w:left="1080"/>
        <w:jc w:val="both"/>
        <w:rPr>
          <w:rFonts w:ascii="Arial" w:hAnsi="Arial" w:cs="Arial"/>
          <w:b/>
          <w:bCs/>
        </w:rPr>
      </w:pPr>
      <w:r w:rsidRPr="00A80962">
        <w:rPr>
          <w:rFonts w:ascii="Arial" w:hAnsi="Arial" w:cs="Arial"/>
          <w:bCs/>
        </w:rPr>
        <w:t>En este departamento para las conciliaciones bancarias llevan control referente a las revisiones de las mismas, aunque no continuamente</w:t>
      </w:r>
      <w:r>
        <w:rPr>
          <w:rFonts w:ascii="Arial" w:hAnsi="Arial" w:cs="Arial"/>
          <w:bCs/>
        </w:rPr>
        <w:t>.</w:t>
      </w:r>
      <w:r w:rsidRPr="00A80962">
        <w:rPr>
          <w:rFonts w:ascii="Arial" w:hAnsi="Arial" w:cs="Arial"/>
          <w:b/>
          <w:bCs/>
        </w:rPr>
        <w:t xml:space="preserve"> </w:t>
      </w:r>
    </w:p>
    <w:p w:rsidR="001002ED" w:rsidRPr="00A80962" w:rsidRDefault="001002ED" w:rsidP="00FD4A53">
      <w:pPr>
        <w:spacing w:line="480" w:lineRule="auto"/>
        <w:ind w:left="1080"/>
        <w:jc w:val="both"/>
        <w:rPr>
          <w:rFonts w:ascii="Arial" w:hAnsi="Arial" w:cs="Arial"/>
          <w:b/>
          <w:bCs/>
        </w:rPr>
      </w:pPr>
    </w:p>
    <w:p w:rsidR="00CC1C75" w:rsidRPr="00A80962" w:rsidRDefault="00CC1C75" w:rsidP="00CC1C75">
      <w:pPr>
        <w:jc w:val="both"/>
        <w:rPr>
          <w:rFonts w:ascii="Arial" w:hAnsi="Arial" w:cs="Arial"/>
          <w:b/>
          <w:bCs/>
        </w:rPr>
      </w:pPr>
    </w:p>
    <w:p w:rsidR="00CC1C75" w:rsidRPr="00984E48" w:rsidRDefault="00CC1C75" w:rsidP="00FD4A53">
      <w:pPr>
        <w:pStyle w:val="Ttulo4"/>
        <w:spacing w:before="0" w:after="0" w:line="480" w:lineRule="auto"/>
        <w:ind w:left="1080"/>
        <w:rPr>
          <w:rFonts w:ascii="Arial" w:hAnsi="Arial" w:cs="Arial"/>
          <w:sz w:val="24"/>
          <w:szCs w:val="24"/>
        </w:rPr>
      </w:pPr>
      <w:bookmarkStart w:id="390" w:name="_Toc183697496"/>
      <w:bookmarkStart w:id="391" w:name="_Toc183698826"/>
      <w:bookmarkStart w:id="392" w:name="_Toc183699167"/>
      <w:bookmarkStart w:id="393" w:name="_Toc183699379"/>
      <w:bookmarkStart w:id="394" w:name="_Toc183699550"/>
      <w:bookmarkStart w:id="395" w:name="_Toc183699849"/>
      <w:bookmarkStart w:id="396" w:name="_Toc183700122"/>
      <w:bookmarkStart w:id="397" w:name="_Toc183700339"/>
      <w:bookmarkStart w:id="398" w:name="_Toc183700631"/>
      <w:bookmarkStart w:id="399" w:name="_Toc183700883"/>
      <w:r w:rsidRPr="00984E48">
        <w:rPr>
          <w:rFonts w:ascii="Arial" w:hAnsi="Arial" w:cs="Arial"/>
          <w:sz w:val="24"/>
          <w:szCs w:val="24"/>
        </w:rPr>
        <w:lastRenderedPageBreak/>
        <w:t>2.2.2.4 Información y comunicación.</w:t>
      </w:r>
      <w:bookmarkEnd w:id="390"/>
      <w:bookmarkEnd w:id="391"/>
      <w:bookmarkEnd w:id="392"/>
      <w:bookmarkEnd w:id="393"/>
      <w:bookmarkEnd w:id="394"/>
      <w:bookmarkEnd w:id="395"/>
      <w:bookmarkEnd w:id="396"/>
      <w:bookmarkEnd w:id="397"/>
      <w:bookmarkEnd w:id="398"/>
      <w:bookmarkEnd w:id="399"/>
    </w:p>
    <w:p w:rsidR="00CC1C75" w:rsidRPr="00A80962" w:rsidRDefault="00CC1C75" w:rsidP="00CC1C75">
      <w:pPr>
        <w:ind w:firstLine="737"/>
        <w:jc w:val="both"/>
        <w:rPr>
          <w:rFonts w:ascii="Arial" w:hAnsi="Arial" w:cs="Arial"/>
          <w:b/>
          <w:bCs/>
        </w:rPr>
      </w:pPr>
    </w:p>
    <w:p w:rsidR="00CC1C75" w:rsidRPr="00A80962" w:rsidRDefault="00CC1C75" w:rsidP="00FD4A53">
      <w:pPr>
        <w:spacing w:line="480" w:lineRule="auto"/>
        <w:ind w:left="1080"/>
        <w:jc w:val="both"/>
        <w:rPr>
          <w:rFonts w:ascii="Arial" w:hAnsi="Arial" w:cs="Arial"/>
          <w:bCs/>
        </w:rPr>
      </w:pPr>
      <w:r w:rsidRPr="00A80962">
        <w:rPr>
          <w:rFonts w:ascii="Arial" w:hAnsi="Arial" w:cs="Arial"/>
          <w:bCs/>
        </w:rPr>
        <w:t>Para poder interpretar correctamente los datos necesitamos que la información de las conciliaciones bancarias sea</w:t>
      </w:r>
      <w:r>
        <w:rPr>
          <w:rFonts w:ascii="Arial" w:hAnsi="Arial" w:cs="Arial"/>
          <w:bCs/>
        </w:rPr>
        <w:t>n</w:t>
      </w:r>
      <w:r w:rsidRPr="00A80962">
        <w:rPr>
          <w:rFonts w:ascii="Arial" w:hAnsi="Arial" w:cs="Arial"/>
          <w:bCs/>
        </w:rPr>
        <w:t xml:space="preserve"> precisas para poder comunicar la veracidad de los datos, en este departamento si se presentan información </w:t>
      </w:r>
      <w:r>
        <w:rPr>
          <w:rFonts w:ascii="Arial" w:hAnsi="Arial" w:cs="Arial"/>
          <w:bCs/>
        </w:rPr>
        <w:t xml:space="preserve">incorrecta se les da </w:t>
      </w:r>
      <w:r w:rsidRPr="00A80962">
        <w:rPr>
          <w:rFonts w:ascii="Arial" w:hAnsi="Arial" w:cs="Arial"/>
          <w:bCs/>
        </w:rPr>
        <w:t>un seguimiento si son de cantidades elevadas en el caso de las conciliaciones bancarias.</w:t>
      </w:r>
    </w:p>
    <w:p w:rsidR="00CC1C75" w:rsidRPr="00A80962" w:rsidRDefault="00CC1C75" w:rsidP="00CC1C75">
      <w:pPr>
        <w:jc w:val="both"/>
        <w:rPr>
          <w:rFonts w:ascii="Arial" w:hAnsi="Arial" w:cs="Arial"/>
          <w:b/>
          <w:bCs/>
        </w:rPr>
      </w:pPr>
    </w:p>
    <w:p w:rsidR="00CC1C75" w:rsidRPr="00984E48" w:rsidRDefault="00CC1C75" w:rsidP="00FD4A53">
      <w:pPr>
        <w:pStyle w:val="Ttulo4"/>
        <w:spacing w:before="0" w:after="0" w:line="480" w:lineRule="auto"/>
        <w:ind w:left="1080"/>
        <w:rPr>
          <w:rFonts w:ascii="Arial" w:hAnsi="Arial" w:cs="Arial"/>
          <w:sz w:val="24"/>
          <w:szCs w:val="24"/>
        </w:rPr>
      </w:pPr>
      <w:bookmarkStart w:id="400" w:name="_Toc183697497"/>
      <w:bookmarkStart w:id="401" w:name="_Toc183698827"/>
      <w:bookmarkStart w:id="402" w:name="_Toc183699168"/>
      <w:bookmarkStart w:id="403" w:name="_Toc183699380"/>
      <w:bookmarkStart w:id="404" w:name="_Toc183699551"/>
      <w:bookmarkStart w:id="405" w:name="_Toc183699850"/>
      <w:bookmarkStart w:id="406" w:name="_Toc183700123"/>
      <w:bookmarkStart w:id="407" w:name="_Toc183700340"/>
      <w:bookmarkStart w:id="408" w:name="_Toc183700632"/>
      <w:bookmarkStart w:id="409" w:name="_Toc183700884"/>
      <w:r w:rsidRPr="00984E48">
        <w:rPr>
          <w:rFonts w:ascii="Arial" w:hAnsi="Arial" w:cs="Arial"/>
          <w:sz w:val="24"/>
          <w:szCs w:val="24"/>
        </w:rPr>
        <w:t>2.2.2.5 Monitoreo.</w:t>
      </w:r>
      <w:bookmarkEnd w:id="400"/>
      <w:bookmarkEnd w:id="401"/>
      <w:bookmarkEnd w:id="402"/>
      <w:bookmarkEnd w:id="403"/>
      <w:bookmarkEnd w:id="404"/>
      <w:bookmarkEnd w:id="405"/>
      <w:bookmarkEnd w:id="406"/>
      <w:bookmarkEnd w:id="407"/>
      <w:bookmarkEnd w:id="408"/>
      <w:bookmarkEnd w:id="409"/>
    </w:p>
    <w:p w:rsidR="00CC1C75" w:rsidRPr="00A80962" w:rsidRDefault="00CC1C75" w:rsidP="00CC1C75">
      <w:pPr>
        <w:ind w:firstLine="737"/>
        <w:jc w:val="both"/>
        <w:rPr>
          <w:rFonts w:ascii="Arial" w:hAnsi="Arial" w:cs="Arial"/>
          <w:b/>
          <w:bCs/>
        </w:rPr>
      </w:pPr>
    </w:p>
    <w:p w:rsidR="00CC1C75" w:rsidRPr="00767167" w:rsidRDefault="00CC1C75" w:rsidP="00FD4A53">
      <w:pPr>
        <w:spacing w:line="480" w:lineRule="auto"/>
        <w:ind w:left="1080"/>
        <w:jc w:val="both"/>
        <w:rPr>
          <w:rFonts w:ascii="Arial" w:hAnsi="Arial" w:cs="Arial"/>
          <w:bCs/>
        </w:rPr>
      </w:pPr>
      <w:r w:rsidRPr="00A80962">
        <w:rPr>
          <w:rFonts w:ascii="Arial" w:hAnsi="Arial" w:cs="Arial"/>
          <w:bCs/>
        </w:rPr>
        <w:t>La empresa específicamente en el departamento de contraloría realiza controles</w:t>
      </w:r>
      <w:r>
        <w:rPr>
          <w:rFonts w:ascii="Arial" w:hAnsi="Arial" w:cs="Arial"/>
          <w:bCs/>
        </w:rPr>
        <w:t xml:space="preserve">, </w:t>
      </w:r>
      <w:r w:rsidRPr="00A80962">
        <w:rPr>
          <w:rFonts w:ascii="Arial" w:hAnsi="Arial" w:cs="Arial"/>
          <w:bCs/>
        </w:rPr>
        <w:t>sin embargo</w:t>
      </w:r>
      <w:r>
        <w:rPr>
          <w:rFonts w:ascii="Arial" w:hAnsi="Arial" w:cs="Arial"/>
          <w:bCs/>
        </w:rPr>
        <w:t xml:space="preserve">, </w:t>
      </w:r>
      <w:r w:rsidRPr="00A80962">
        <w:rPr>
          <w:rFonts w:ascii="Arial" w:hAnsi="Arial" w:cs="Arial"/>
          <w:bCs/>
        </w:rPr>
        <w:t>no siempre le</w:t>
      </w:r>
      <w:r>
        <w:rPr>
          <w:rFonts w:ascii="Arial" w:hAnsi="Arial" w:cs="Arial"/>
          <w:bCs/>
        </w:rPr>
        <w:t xml:space="preserve"> dan el seguimiento prudencial </w:t>
      </w:r>
      <w:r w:rsidRPr="00A80962">
        <w:rPr>
          <w:rFonts w:ascii="Arial" w:hAnsi="Arial" w:cs="Arial"/>
          <w:bCs/>
        </w:rPr>
        <w:t>al control de las conciliaciones bancarias, ya qu</w:t>
      </w:r>
      <w:r>
        <w:rPr>
          <w:rFonts w:ascii="Arial" w:hAnsi="Arial" w:cs="Arial"/>
          <w:bCs/>
        </w:rPr>
        <w:t>e a pesar de que las controla, é</w:t>
      </w:r>
      <w:r w:rsidRPr="00A80962">
        <w:rPr>
          <w:rFonts w:ascii="Arial" w:hAnsi="Arial" w:cs="Arial"/>
          <w:bCs/>
        </w:rPr>
        <w:t xml:space="preserve">stas las hacen cada 2 o 3 meses. </w:t>
      </w:r>
    </w:p>
    <w:p w:rsidR="00CC1C75" w:rsidRPr="00EC6FFE" w:rsidRDefault="00CC1C75" w:rsidP="00CC1C75"/>
    <w:p w:rsidR="00CC1C75" w:rsidRPr="00F63A60" w:rsidRDefault="00CC1C75" w:rsidP="00FD4A53">
      <w:pPr>
        <w:spacing w:line="480" w:lineRule="auto"/>
        <w:ind w:firstLine="1080"/>
        <w:rPr>
          <w:rFonts w:ascii="Arial" w:hAnsi="Arial" w:cs="Arial"/>
          <w:b/>
        </w:rPr>
      </w:pPr>
      <w:r w:rsidRPr="0060663A">
        <w:rPr>
          <w:rFonts w:ascii="Arial" w:hAnsi="Arial" w:cs="Arial"/>
          <w:b/>
        </w:rPr>
        <w:t>CALIFICACIÓN</w:t>
      </w:r>
    </w:p>
    <w:p w:rsidR="00CC1C75" w:rsidRPr="0060663A" w:rsidRDefault="00CC1C75" w:rsidP="00FD4A53">
      <w:pPr>
        <w:spacing w:line="480" w:lineRule="auto"/>
        <w:ind w:left="1080"/>
        <w:jc w:val="both"/>
        <w:rPr>
          <w:rFonts w:ascii="Arial" w:hAnsi="Arial" w:cs="Arial"/>
        </w:rPr>
      </w:pPr>
      <w:r w:rsidRPr="00C42D20">
        <w:rPr>
          <w:rFonts w:ascii="Arial" w:hAnsi="Arial" w:cs="Arial"/>
          <w:b/>
        </w:rPr>
        <w:t>AMBIENTE DE CONTROL:</w:t>
      </w:r>
      <w:r w:rsidRPr="0060663A">
        <w:rPr>
          <w:rFonts w:ascii="Arial" w:hAnsi="Arial" w:cs="Arial"/>
        </w:rPr>
        <w:t xml:space="preserve"> No hay adecuada </w:t>
      </w:r>
      <w:r>
        <w:rPr>
          <w:rFonts w:ascii="Arial" w:hAnsi="Arial" w:cs="Arial"/>
        </w:rPr>
        <w:t>competencia de la persona que realiza el control de las conciliaciones bancarias.</w:t>
      </w:r>
    </w:p>
    <w:p w:rsidR="00CC1C75" w:rsidRPr="0060663A" w:rsidRDefault="00CC1C75" w:rsidP="00FD4A53">
      <w:pPr>
        <w:spacing w:line="480" w:lineRule="auto"/>
        <w:ind w:left="1080"/>
        <w:jc w:val="both"/>
        <w:rPr>
          <w:rFonts w:ascii="Arial" w:hAnsi="Arial" w:cs="Arial"/>
        </w:rPr>
      </w:pPr>
      <w:r w:rsidRPr="009C3DCD">
        <w:rPr>
          <w:rFonts w:ascii="Arial" w:hAnsi="Arial" w:cs="Arial"/>
          <w:b/>
        </w:rPr>
        <w:t>EVALUACIÓN DE RIESGO:</w:t>
      </w:r>
      <w:r>
        <w:rPr>
          <w:rFonts w:ascii="Arial" w:hAnsi="Arial" w:cs="Arial"/>
        </w:rPr>
        <w:t xml:space="preserve"> La c</w:t>
      </w:r>
      <w:r w:rsidRPr="0060663A">
        <w:rPr>
          <w:rFonts w:ascii="Arial" w:hAnsi="Arial" w:cs="Arial"/>
        </w:rPr>
        <w:t>ompañía no administra adecuadamente los riesgos</w:t>
      </w:r>
      <w:r>
        <w:rPr>
          <w:rFonts w:ascii="Arial" w:hAnsi="Arial" w:cs="Arial"/>
        </w:rPr>
        <w:t xml:space="preserve"> en su totalidad</w:t>
      </w:r>
      <w:r w:rsidRPr="0060663A">
        <w:rPr>
          <w:rFonts w:ascii="Arial" w:hAnsi="Arial" w:cs="Arial"/>
        </w:rPr>
        <w:t>.</w:t>
      </w:r>
    </w:p>
    <w:p w:rsidR="00CC1C75" w:rsidRPr="0060663A" w:rsidRDefault="00CC1C75" w:rsidP="00FD4A53">
      <w:pPr>
        <w:spacing w:line="480" w:lineRule="auto"/>
        <w:ind w:left="1080"/>
        <w:jc w:val="both"/>
        <w:rPr>
          <w:rFonts w:ascii="Arial" w:hAnsi="Arial" w:cs="Arial"/>
        </w:rPr>
      </w:pPr>
      <w:r w:rsidRPr="009C3DCD">
        <w:rPr>
          <w:rFonts w:ascii="Arial" w:hAnsi="Arial" w:cs="Arial"/>
          <w:b/>
        </w:rPr>
        <w:t>ACTIVIDADES DE CONTROL:</w:t>
      </w:r>
      <w:r w:rsidRPr="0060663A">
        <w:rPr>
          <w:rFonts w:ascii="Arial" w:hAnsi="Arial" w:cs="Arial"/>
        </w:rPr>
        <w:t xml:space="preserve"> No hay revisión</w:t>
      </w:r>
      <w:r>
        <w:rPr>
          <w:rFonts w:ascii="Arial" w:hAnsi="Arial" w:cs="Arial"/>
        </w:rPr>
        <w:t xml:space="preserve"> frecuente de desempeño de las actividades</w:t>
      </w:r>
      <w:r w:rsidRPr="0060663A">
        <w:rPr>
          <w:rFonts w:ascii="Arial" w:hAnsi="Arial" w:cs="Arial"/>
        </w:rPr>
        <w:t>.</w:t>
      </w:r>
    </w:p>
    <w:p w:rsidR="00CC1C75" w:rsidRPr="0060663A" w:rsidRDefault="00CC1C75" w:rsidP="00FD4A53">
      <w:pPr>
        <w:spacing w:line="480" w:lineRule="auto"/>
        <w:ind w:left="1080"/>
        <w:jc w:val="both"/>
        <w:rPr>
          <w:rFonts w:ascii="Arial" w:hAnsi="Arial" w:cs="Arial"/>
        </w:rPr>
      </w:pPr>
      <w:r w:rsidRPr="009C3DCD">
        <w:rPr>
          <w:rFonts w:ascii="Arial" w:hAnsi="Arial" w:cs="Arial"/>
          <w:b/>
        </w:rPr>
        <w:t>INFORMACIÓN Y COMUNICACIÓN:</w:t>
      </w:r>
      <w:r w:rsidRPr="0060663A">
        <w:rPr>
          <w:rFonts w:ascii="Arial" w:hAnsi="Arial" w:cs="Arial"/>
        </w:rPr>
        <w:t xml:space="preserve"> No es correcta</w:t>
      </w:r>
      <w:r>
        <w:rPr>
          <w:rFonts w:ascii="Arial" w:hAnsi="Arial" w:cs="Arial"/>
        </w:rPr>
        <w:t xml:space="preserve"> en su   totalidad.</w:t>
      </w:r>
    </w:p>
    <w:p w:rsidR="00CC1C75" w:rsidRPr="0060663A" w:rsidRDefault="00CC1C75" w:rsidP="00FD4A53">
      <w:pPr>
        <w:spacing w:line="480" w:lineRule="auto"/>
        <w:ind w:firstLine="1080"/>
        <w:jc w:val="both"/>
        <w:rPr>
          <w:rFonts w:ascii="Arial" w:hAnsi="Arial" w:cs="Arial"/>
        </w:rPr>
      </w:pPr>
      <w:r w:rsidRPr="009C3DCD">
        <w:rPr>
          <w:rFonts w:ascii="Arial" w:hAnsi="Arial" w:cs="Arial"/>
          <w:b/>
        </w:rPr>
        <w:lastRenderedPageBreak/>
        <w:t>MONITOREO DE CONTROLES</w:t>
      </w:r>
      <w:r w:rsidRPr="0060663A">
        <w:rPr>
          <w:rFonts w:ascii="Arial" w:hAnsi="Arial" w:cs="Arial"/>
        </w:rPr>
        <w:t xml:space="preserve">: </w:t>
      </w:r>
      <w:r>
        <w:rPr>
          <w:rFonts w:ascii="Arial" w:hAnsi="Arial" w:cs="Arial"/>
        </w:rPr>
        <w:t>Falta de monitoreo continuo</w:t>
      </w:r>
      <w:r w:rsidRPr="0060663A">
        <w:rPr>
          <w:rFonts w:ascii="Arial" w:hAnsi="Arial" w:cs="Arial"/>
        </w:rPr>
        <w:t>.</w:t>
      </w:r>
    </w:p>
    <w:p w:rsidR="00CC1C75" w:rsidRDefault="00CC1C75" w:rsidP="00FD4A53">
      <w:pPr>
        <w:spacing w:line="480" w:lineRule="auto"/>
        <w:ind w:firstLine="1080"/>
        <w:jc w:val="both"/>
        <w:rPr>
          <w:rFonts w:ascii="Arial" w:hAnsi="Arial" w:cs="Arial"/>
        </w:rPr>
      </w:pPr>
      <w:r w:rsidRPr="0060663A">
        <w:rPr>
          <w:rFonts w:ascii="Arial" w:hAnsi="Arial" w:cs="Arial"/>
        </w:rPr>
        <w:t>L</w:t>
      </w:r>
      <w:r>
        <w:rPr>
          <w:rFonts w:ascii="Arial" w:hAnsi="Arial" w:cs="Arial"/>
        </w:rPr>
        <w:t>a calificación de riesgo es medio</w:t>
      </w:r>
      <w:r w:rsidRPr="0060663A">
        <w:rPr>
          <w:rFonts w:ascii="Arial" w:hAnsi="Arial" w:cs="Arial"/>
        </w:rPr>
        <w:t>.</w:t>
      </w:r>
    </w:p>
    <w:p w:rsidR="00CC1C75" w:rsidRPr="0060663A" w:rsidRDefault="00CC1C75" w:rsidP="00CC1C75">
      <w:pPr>
        <w:spacing w:line="480" w:lineRule="auto"/>
        <w:ind w:firstLine="709"/>
        <w:jc w:val="both"/>
        <w:rPr>
          <w:rFonts w:ascii="Arial" w:hAnsi="Arial" w:cs="Arial"/>
        </w:rPr>
      </w:pPr>
    </w:p>
    <w:p w:rsidR="00CC1C75" w:rsidRDefault="00CC1C75" w:rsidP="00FD4A53">
      <w:pPr>
        <w:spacing w:line="480" w:lineRule="auto"/>
        <w:ind w:left="1080"/>
        <w:jc w:val="both"/>
        <w:rPr>
          <w:rFonts w:ascii="Arial" w:hAnsi="Arial" w:cs="Arial"/>
        </w:rPr>
      </w:pPr>
      <w:r>
        <w:rPr>
          <w:rFonts w:ascii="Arial" w:hAnsi="Arial" w:cs="Arial"/>
          <w:b/>
        </w:rPr>
        <w:t xml:space="preserve">NOTA: </w:t>
      </w:r>
      <w:r w:rsidRPr="00F1101B">
        <w:rPr>
          <w:rFonts w:ascii="Arial" w:hAnsi="Arial" w:cs="Arial"/>
        </w:rPr>
        <w:t>Cuando se realice los gráficos respectivos se podrá visualizar mejor la situación referente a las conciliaciones bancarias y para la cual se realizará las mayores recomendaciones</w:t>
      </w:r>
      <w:r>
        <w:rPr>
          <w:rFonts w:ascii="Arial" w:hAnsi="Arial" w:cs="Arial"/>
        </w:rPr>
        <w:t>, acordes</w:t>
      </w:r>
      <w:r w:rsidRPr="00F1101B">
        <w:rPr>
          <w:rFonts w:ascii="Arial" w:hAnsi="Arial" w:cs="Arial"/>
        </w:rPr>
        <w:t xml:space="preserve"> a los datos numéricos.</w:t>
      </w:r>
    </w:p>
    <w:p w:rsidR="00CC1C75" w:rsidRPr="00D763CC" w:rsidRDefault="00CC1C75" w:rsidP="00984E48">
      <w:pPr>
        <w:spacing w:line="480" w:lineRule="auto"/>
        <w:ind w:left="360"/>
        <w:jc w:val="both"/>
        <w:rPr>
          <w:rFonts w:ascii="Arial" w:hAnsi="Arial" w:cs="Arial"/>
        </w:rPr>
      </w:pPr>
    </w:p>
    <w:p w:rsidR="00CC1C75" w:rsidRPr="00984E48" w:rsidRDefault="00CC1C75" w:rsidP="00984E48">
      <w:pPr>
        <w:pStyle w:val="Ttulo2"/>
        <w:spacing w:before="0" w:after="0" w:line="480" w:lineRule="auto"/>
        <w:ind w:left="360"/>
        <w:jc w:val="both"/>
        <w:rPr>
          <w:i w:val="0"/>
          <w:sz w:val="24"/>
          <w:szCs w:val="24"/>
        </w:rPr>
      </w:pPr>
      <w:bookmarkStart w:id="410" w:name="_Toc183697498"/>
      <w:bookmarkStart w:id="411" w:name="_Toc183698828"/>
      <w:bookmarkStart w:id="412" w:name="_Toc183699169"/>
      <w:bookmarkStart w:id="413" w:name="_Toc183699381"/>
      <w:bookmarkStart w:id="414" w:name="_Toc183699552"/>
      <w:bookmarkStart w:id="415" w:name="_Toc183699851"/>
      <w:bookmarkStart w:id="416" w:name="_Toc183700124"/>
      <w:bookmarkStart w:id="417" w:name="_Toc183700341"/>
      <w:bookmarkStart w:id="418" w:name="_Toc183700633"/>
      <w:bookmarkStart w:id="419" w:name="_Toc183700885"/>
      <w:r w:rsidRPr="00984E48">
        <w:rPr>
          <w:i w:val="0"/>
          <w:sz w:val="24"/>
          <w:szCs w:val="24"/>
        </w:rPr>
        <w:t>2.3 Análisis de los saldos de las conciliaciones bancarias con los saldos de libros del primer semestre del año 2007 mediante diagrama de barras, diagrama de pastel, cuartiles y series de tiempo.</w:t>
      </w:r>
      <w:bookmarkEnd w:id="410"/>
      <w:bookmarkEnd w:id="411"/>
      <w:bookmarkEnd w:id="412"/>
      <w:bookmarkEnd w:id="413"/>
      <w:bookmarkEnd w:id="414"/>
      <w:bookmarkEnd w:id="415"/>
      <w:bookmarkEnd w:id="416"/>
      <w:bookmarkEnd w:id="417"/>
      <w:bookmarkEnd w:id="418"/>
      <w:bookmarkEnd w:id="419"/>
    </w:p>
    <w:p w:rsidR="00CC1C75" w:rsidRPr="00D16A28" w:rsidRDefault="00CC1C75" w:rsidP="00CC1C75">
      <w:pPr>
        <w:tabs>
          <w:tab w:val="left" w:pos="360"/>
        </w:tabs>
        <w:spacing w:line="480" w:lineRule="auto"/>
        <w:ind w:left="360"/>
        <w:jc w:val="both"/>
        <w:rPr>
          <w:rFonts w:ascii="Arial" w:hAnsi="Arial" w:cs="Arial"/>
          <w:b/>
        </w:rPr>
      </w:pPr>
    </w:p>
    <w:p w:rsidR="00CC1C75" w:rsidRDefault="00CC1C75" w:rsidP="00CC1C75">
      <w:pPr>
        <w:spacing w:line="480" w:lineRule="auto"/>
        <w:ind w:left="360"/>
        <w:jc w:val="both"/>
        <w:rPr>
          <w:rFonts w:ascii="Arial" w:hAnsi="Arial" w:cs="Arial"/>
        </w:rPr>
      </w:pPr>
      <w:r>
        <w:rPr>
          <w:rFonts w:ascii="Arial" w:hAnsi="Arial" w:cs="Arial"/>
        </w:rPr>
        <w:t xml:space="preserve">Se analizará la diferencia existente entre los saldos del libro banco reflejado en las conciliaciones bancarias y los saldos de libros durante el primer semestre del año 2007 de las cincos compañías con sus respectivos bancos para lo cual normalmente debería de ser de cero. </w:t>
      </w:r>
    </w:p>
    <w:p w:rsidR="00CC1C75" w:rsidRDefault="00CC1C75" w:rsidP="00CC1C75">
      <w:pPr>
        <w:spacing w:line="480" w:lineRule="auto"/>
        <w:ind w:left="360"/>
        <w:jc w:val="both"/>
        <w:rPr>
          <w:rFonts w:ascii="Arial" w:hAnsi="Arial" w:cs="Arial"/>
        </w:rPr>
      </w:pPr>
      <w:r>
        <w:rPr>
          <w:rFonts w:ascii="Arial" w:hAnsi="Arial" w:cs="Arial"/>
        </w:rPr>
        <w:t xml:space="preserve">El objetivo es conocer los meses en los que ha tenido diferencias y donde se ha mantenido con normalidad, utilizaremos a continuación el diagrama de barras, ya que como se mencionó en el capítulo I éste sirve para comparar los valores de una variable de un período a otro, lo cual para este caso es desde el mes de enero a junio. </w:t>
      </w:r>
    </w:p>
    <w:p w:rsidR="00CC1C75" w:rsidRDefault="00CC1C75" w:rsidP="00CC1C75">
      <w:pPr>
        <w:spacing w:line="480" w:lineRule="auto"/>
        <w:ind w:left="360"/>
        <w:jc w:val="both"/>
        <w:rPr>
          <w:rFonts w:ascii="Arial" w:hAnsi="Arial" w:cs="Arial"/>
        </w:rPr>
      </w:pPr>
    </w:p>
    <w:p w:rsidR="00CC1C75" w:rsidRDefault="00CC1C75" w:rsidP="00FD4A53">
      <w:pPr>
        <w:pStyle w:val="Sangradetextonormal"/>
        <w:spacing w:line="480" w:lineRule="auto"/>
        <w:ind w:left="360"/>
        <w:jc w:val="both"/>
        <w:rPr>
          <w:rFonts w:ascii="Arial" w:hAnsi="Arial" w:cs="Arial"/>
        </w:rPr>
      </w:pPr>
      <w:r>
        <w:rPr>
          <w:rFonts w:ascii="Arial" w:hAnsi="Arial" w:cs="Arial"/>
        </w:rPr>
        <w:lastRenderedPageBreak/>
        <w:t>En los diagramas de pastel s</w:t>
      </w:r>
      <w:r w:rsidRPr="00644C11">
        <w:rPr>
          <w:rFonts w:ascii="Arial" w:hAnsi="Arial" w:cs="Arial"/>
        </w:rPr>
        <w:t>e analizará en que meses se ha presentado mayores diferencias entre los saldos de las conciliaciones bancarias y los saldos de libros durante el primer semestre del año 2007 de las cincos compañías con sus respectivos bancos. El objetivo es conocer los meses de las compañías en los que ha tenido mayores diferencias y con respecto a cual banco. Esto es con respecto a</w:t>
      </w:r>
      <w:r>
        <w:rPr>
          <w:rFonts w:ascii="Arial" w:hAnsi="Arial" w:cs="Arial"/>
        </w:rPr>
        <w:t>l</w:t>
      </w:r>
      <w:r w:rsidRPr="00644C11">
        <w:rPr>
          <w:rFonts w:ascii="Arial" w:hAnsi="Arial" w:cs="Arial"/>
        </w:rPr>
        <w:t xml:space="preserve"> porcentaje total de cada una de las empresas, ya que en el análisis que realizaremos en los diagramas de pastel se observará que  al asignar porcentajes por cada empresa estas tendrán porcentajes iguales pero tendrán valores diferentes es decir si una empresa tiene como total de diferencia  $7,300 y d</w:t>
      </w:r>
      <w:r>
        <w:rPr>
          <w:rFonts w:ascii="Arial" w:hAnsi="Arial" w:cs="Arial"/>
        </w:rPr>
        <w:t>urante el  mes de marzo presentó</w:t>
      </w:r>
      <w:r w:rsidRPr="00644C11">
        <w:rPr>
          <w:rFonts w:ascii="Arial" w:hAnsi="Arial" w:cs="Arial"/>
        </w:rPr>
        <w:t xml:space="preserve"> el valor de $3,000 para esta empresa esto equivale al 41%, mientras que si otra empresa tiene co</w:t>
      </w:r>
      <w:r>
        <w:rPr>
          <w:rFonts w:ascii="Arial" w:hAnsi="Arial" w:cs="Arial"/>
        </w:rPr>
        <w:t xml:space="preserve">mo total de diferencia $242.42 </w:t>
      </w:r>
      <w:r w:rsidRPr="00644C11">
        <w:rPr>
          <w:rFonts w:ascii="Arial" w:hAnsi="Arial" w:cs="Arial"/>
        </w:rPr>
        <w:t xml:space="preserve">y </w:t>
      </w:r>
      <w:r>
        <w:rPr>
          <w:rFonts w:ascii="Arial" w:hAnsi="Arial" w:cs="Arial"/>
        </w:rPr>
        <w:t>durante el mes de marzo presentó</w:t>
      </w:r>
      <w:r w:rsidRPr="00644C11">
        <w:rPr>
          <w:rFonts w:ascii="Arial" w:hAnsi="Arial" w:cs="Arial"/>
        </w:rPr>
        <w:t xml:space="preserve"> el valor de $100 para esta empresa esto equivale al 41% también.</w:t>
      </w:r>
    </w:p>
    <w:p w:rsidR="008A7DB5" w:rsidRDefault="00CC1C75" w:rsidP="00E47651">
      <w:pPr>
        <w:tabs>
          <w:tab w:val="left" w:pos="851"/>
        </w:tabs>
        <w:spacing w:line="480" w:lineRule="auto"/>
        <w:ind w:left="360"/>
        <w:jc w:val="both"/>
        <w:rPr>
          <w:rFonts w:ascii="Arial" w:hAnsi="Arial" w:cs="Arial"/>
        </w:rPr>
      </w:pPr>
      <w:r w:rsidRPr="004D2523">
        <w:rPr>
          <w:rFonts w:ascii="Arial" w:hAnsi="Arial" w:cs="Arial"/>
        </w:rPr>
        <w:t>A continuación se presenta la tabla de las 5 compañías con sus respectivos bancos y los valores de los cuartiles.</w:t>
      </w:r>
    </w:p>
    <w:p w:rsidR="00984E48" w:rsidRPr="00984E48" w:rsidRDefault="00984E48" w:rsidP="00984E48">
      <w:pPr>
        <w:pStyle w:val="Ttulo1"/>
        <w:spacing w:line="480" w:lineRule="auto"/>
        <w:jc w:val="center"/>
        <w:rPr>
          <w:rFonts w:ascii="Arial" w:hAnsi="Arial" w:cs="Arial"/>
          <w:b w:val="0"/>
        </w:rPr>
      </w:pPr>
      <w:bookmarkStart w:id="420" w:name="_Toc183697499"/>
      <w:bookmarkStart w:id="421" w:name="_Toc183698829"/>
      <w:bookmarkStart w:id="422" w:name="_Toc183699170"/>
      <w:bookmarkStart w:id="423" w:name="_Toc183699382"/>
      <w:bookmarkStart w:id="424" w:name="_Toc183699553"/>
      <w:bookmarkStart w:id="425" w:name="_Toc183699852"/>
      <w:bookmarkStart w:id="426" w:name="_Toc183700125"/>
      <w:bookmarkStart w:id="427" w:name="_Toc183700634"/>
      <w:bookmarkStart w:id="428" w:name="_Toc183700886"/>
      <w:r w:rsidRPr="00984E48">
        <w:rPr>
          <w:rFonts w:ascii="Arial" w:hAnsi="Arial" w:cs="Arial"/>
        </w:rPr>
        <w:t xml:space="preserve">Tabla II. </w:t>
      </w:r>
      <w:r w:rsidRPr="00984E48">
        <w:rPr>
          <w:rFonts w:ascii="Arial" w:hAnsi="Arial" w:cs="Arial"/>
          <w:b w:val="0"/>
        </w:rPr>
        <w:t>Valores de los cuartiles de las compañías seleccionadas</w:t>
      </w:r>
      <w:bookmarkEnd w:id="420"/>
      <w:bookmarkEnd w:id="421"/>
      <w:bookmarkEnd w:id="422"/>
      <w:bookmarkEnd w:id="423"/>
      <w:bookmarkEnd w:id="424"/>
      <w:bookmarkEnd w:id="425"/>
      <w:bookmarkEnd w:id="426"/>
      <w:bookmarkEnd w:id="427"/>
      <w:bookmarkEnd w:id="428"/>
    </w:p>
    <w:tbl>
      <w:tblPr>
        <w:tblW w:w="6441" w:type="dxa"/>
        <w:tblInd w:w="900" w:type="dxa"/>
        <w:tblCellMar>
          <w:left w:w="70" w:type="dxa"/>
          <w:right w:w="70" w:type="dxa"/>
        </w:tblCellMar>
        <w:tblLook w:val="0000"/>
      </w:tblPr>
      <w:tblGrid>
        <w:gridCol w:w="400"/>
        <w:gridCol w:w="820"/>
        <w:gridCol w:w="660"/>
        <w:gridCol w:w="620"/>
        <w:gridCol w:w="520"/>
        <w:gridCol w:w="660"/>
        <w:gridCol w:w="660"/>
        <w:gridCol w:w="580"/>
        <w:gridCol w:w="481"/>
        <w:gridCol w:w="481"/>
        <w:gridCol w:w="559"/>
      </w:tblGrid>
      <w:tr w:rsidR="001002ED" w:rsidRPr="001002ED">
        <w:trPr>
          <w:trHeight w:val="270"/>
        </w:trPr>
        <w:tc>
          <w:tcPr>
            <w:tcW w:w="400" w:type="dxa"/>
            <w:tcBorders>
              <w:top w:val="nil"/>
              <w:left w:val="nil"/>
              <w:bottom w:val="nil"/>
              <w:right w:val="nil"/>
            </w:tcBorders>
            <w:shd w:val="clear" w:color="auto" w:fill="auto"/>
            <w:noWrap/>
            <w:vAlign w:val="bottom"/>
          </w:tcPr>
          <w:p w:rsidR="001002ED" w:rsidRPr="001002ED" w:rsidRDefault="001002ED" w:rsidP="001002ED">
            <w:pPr>
              <w:rPr>
                <w:rFonts w:eastAsia="Times New Roman"/>
                <w:sz w:val="12"/>
                <w:szCs w:val="12"/>
              </w:rPr>
            </w:pPr>
          </w:p>
        </w:tc>
        <w:tc>
          <w:tcPr>
            <w:tcW w:w="820" w:type="dxa"/>
            <w:tcBorders>
              <w:top w:val="nil"/>
              <w:left w:val="nil"/>
              <w:bottom w:val="nil"/>
              <w:right w:val="nil"/>
            </w:tcBorders>
            <w:shd w:val="clear" w:color="auto" w:fill="auto"/>
            <w:noWrap/>
            <w:vAlign w:val="bottom"/>
          </w:tcPr>
          <w:p w:rsidR="001002ED" w:rsidRPr="001002ED" w:rsidRDefault="001002ED" w:rsidP="001002ED">
            <w:pPr>
              <w:rPr>
                <w:rFonts w:eastAsia="Times New Roman"/>
                <w:sz w:val="12"/>
                <w:szCs w:val="12"/>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002ED" w:rsidRPr="001002ED" w:rsidRDefault="001002ED" w:rsidP="001002ED">
            <w:pPr>
              <w:rPr>
                <w:rFonts w:eastAsia="Times New Roman"/>
                <w:b/>
                <w:bCs/>
                <w:sz w:val="12"/>
                <w:szCs w:val="12"/>
              </w:rPr>
            </w:pPr>
            <w:r w:rsidRPr="001002ED">
              <w:rPr>
                <w:rFonts w:eastAsia="Times New Roman"/>
                <w:b/>
                <w:bCs/>
                <w:sz w:val="12"/>
                <w:szCs w:val="12"/>
              </w:rPr>
              <w:t>Ene.</w:t>
            </w:r>
          </w:p>
        </w:tc>
        <w:tc>
          <w:tcPr>
            <w:tcW w:w="620" w:type="dxa"/>
            <w:tcBorders>
              <w:top w:val="single" w:sz="8" w:space="0" w:color="auto"/>
              <w:left w:val="single" w:sz="8" w:space="0" w:color="auto"/>
              <w:bottom w:val="single" w:sz="8" w:space="0" w:color="auto"/>
              <w:right w:val="nil"/>
            </w:tcBorders>
            <w:shd w:val="clear" w:color="auto" w:fill="auto"/>
            <w:noWrap/>
            <w:vAlign w:val="bottom"/>
          </w:tcPr>
          <w:p w:rsidR="001002ED" w:rsidRPr="001002ED" w:rsidRDefault="001002ED" w:rsidP="001002ED">
            <w:pPr>
              <w:rPr>
                <w:rFonts w:eastAsia="Times New Roman"/>
                <w:b/>
                <w:bCs/>
                <w:sz w:val="12"/>
                <w:szCs w:val="12"/>
              </w:rPr>
            </w:pPr>
            <w:r w:rsidRPr="001002ED">
              <w:rPr>
                <w:rFonts w:eastAsia="Times New Roman"/>
                <w:b/>
                <w:bCs/>
                <w:sz w:val="12"/>
                <w:szCs w:val="12"/>
              </w:rPr>
              <w:t>Feb.</w:t>
            </w:r>
          </w:p>
        </w:tc>
        <w:tc>
          <w:tcPr>
            <w:tcW w:w="520" w:type="dxa"/>
            <w:tcBorders>
              <w:top w:val="single" w:sz="8" w:space="0" w:color="auto"/>
              <w:left w:val="single" w:sz="8" w:space="0" w:color="auto"/>
              <w:bottom w:val="single" w:sz="8" w:space="0" w:color="auto"/>
              <w:right w:val="nil"/>
            </w:tcBorders>
            <w:shd w:val="clear" w:color="auto" w:fill="auto"/>
            <w:noWrap/>
            <w:vAlign w:val="bottom"/>
          </w:tcPr>
          <w:p w:rsidR="001002ED" w:rsidRPr="001002ED" w:rsidRDefault="001002ED" w:rsidP="001002ED">
            <w:pPr>
              <w:rPr>
                <w:rFonts w:eastAsia="Times New Roman"/>
                <w:b/>
                <w:bCs/>
                <w:sz w:val="12"/>
                <w:szCs w:val="12"/>
              </w:rPr>
            </w:pPr>
            <w:r w:rsidRPr="001002ED">
              <w:rPr>
                <w:rFonts w:eastAsia="Times New Roman"/>
                <w:b/>
                <w:bCs/>
                <w:sz w:val="12"/>
                <w:szCs w:val="12"/>
              </w:rPr>
              <w:t>Marz.</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002ED" w:rsidRPr="001002ED" w:rsidRDefault="001002ED" w:rsidP="001002ED">
            <w:pPr>
              <w:rPr>
                <w:rFonts w:eastAsia="Times New Roman"/>
                <w:b/>
                <w:bCs/>
                <w:sz w:val="12"/>
                <w:szCs w:val="12"/>
              </w:rPr>
            </w:pPr>
            <w:r w:rsidRPr="001002ED">
              <w:rPr>
                <w:rFonts w:eastAsia="Times New Roman"/>
                <w:b/>
                <w:bCs/>
                <w:sz w:val="12"/>
                <w:szCs w:val="12"/>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002ED" w:rsidRPr="001002ED" w:rsidRDefault="001002ED" w:rsidP="001002ED">
            <w:pPr>
              <w:rPr>
                <w:rFonts w:eastAsia="Times New Roman"/>
                <w:b/>
                <w:bCs/>
                <w:sz w:val="12"/>
                <w:szCs w:val="12"/>
              </w:rPr>
            </w:pPr>
            <w:r w:rsidRPr="001002ED">
              <w:rPr>
                <w:rFonts w:eastAsia="Times New Roman"/>
                <w:b/>
                <w:bCs/>
                <w:sz w:val="12"/>
                <w:szCs w:val="12"/>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1002ED" w:rsidRPr="001002ED" w:rsidRDefault="001002ED" w:rsidP="001002ED">
            <w:pPr>
              <w:rPr>
                <w:rFonts w:eastAsia="Times New Roman"/>
                <w:b/>
                <w:bCs/>
                <w:sz w:val="12"/>
                <w:szCs w:val="12"/>
              </w:rPr>
            </w:pPr>
            <w:r w:rsidRPr="001002ED">
              <w:rPr>
                <w:rFonts w:eastAsia="Times New Roman"/>
                <w:b/>
                <w:bCs/>
                <w:sz w:val="12"/>
                <w:szCs w:val="12"/>
              </w:rPr>
              <w:t>Jun.</w:t>
            </w:r>
          </w:p>
        </w:tc>
        <w:tc>
          <w:tcPr>
            <w:tcW w:w="152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Cuartiles</w:t>
            </w:r>
          </w:p>
        </w:tc>
      </w:tr>
      <w:tr w:rsidR="001002ED" w:rsidRPr="001002ED">
        <w:trPr>
          <w:trHeight w:val="270"/>
        </w:trPr>
        <w:tc>
          <w:tcPr>
            <w:tcW w:w="400" w:type="dxa"/>
            <w:tcBorders>
              <w:top w:val="single" w:sz="8" w:space="0" w:color="auto"/>
              <w:left w:val="single" w:sz="8" w:space="0" w:color="auto"/>
              <w:bottom w:val="nil"/>
              <w:right w:val="single" w:sz="4" w:space="0" w:color="auto"/>
            </w:tcBorders>
            <w:shd w:val="clear" w:color="auto" w:fill="auto"/>
            <w:noWrap/>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Cía.</w:t>
            </w:r>
          </w:p>
        </w:tc>
        <w:tc>
          <w:tcPr>
            <w:tcW w:w="820" w:type="dxa"/>
            <w:tcBorders>
              <w:top w:val="single" w:sz="8" w:space="0" w:color="auto"/>
              <w:left w:val="nil"/>
              <w:bottom w:val="nil"/>
              <w:right w:val="nil"/>
            </w:tcBorders>
            <w:shd w:val="clear" w:color="auto" w:fill="auto"/>
            <w:noWrap/>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BANCOS</w:t>
            </w:r>
          </w:p>
        </w:tc>
        <w:tc>
          <w:tcPr>
            <w:tcW w:w="660" w:type="dxa"/>
            <w:tcBorders>
              <w:top w:val="nil"/>
              <w:left w:val="single" w:sz="8" w:space="0" w:color="auto"/>
              <w:bottom w:val="nil"/>
              <w:right w:val="nil"/>
            </w:tcBorders>
            <w:shd w:val="clear" w:color="auto" w:fill="auto"/>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Dif</w:t>
            </w:r>
          </w:p>
        </w:tc>
        <w:tc>
          <w:tcPr>
            <w:tcW w:w="620" w:type="dxa"/>
            <w:tcBorders>
              <w:top w:val="nil"/>
              <w:left w:val="single" w:sz="8" w:space="0" w:color="auto"/>
              <w:bottom w:val="nil"/>
              <w:right w:val="nil"/>
            </w:tcBorders>
            <w:shd w:val="clear" w:color="auto" w:fill="auto"/>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Dif</w:t>
            </w:r>
          </w:p>
        </w:tc>
        <w:tc>
          <w:tcPr>
            <w:tcW w:w="520" w:type="dxa"/>
            <w:tcBorders>
              <w:top w:val="nil"/>
              <w:left w:val="single" w:sz="8" w:space="0" w:color="auto"/>
              <w:bottom w:val="nil"/>
              <w:right w:val="nil"/>
            </w:tcBorders>
            <w:shd w:val="clear" w:color="auto" w:fill="auto"/>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Dif</w:t>
            </w:r>
          </w:p>
        </w:tc>
        <w:tc>
          <w:tcPr>
            <w:tcW w:w="660" w:type="dxa"/>
            <w:tcBorders>
              <w:top w:val="nil"/>
              <w:left w:val="single" w:sz="8" w:space="0" w:color="auto"/>
              <w:bottom w:val="nil"/>
              <w:right w:val="nil"/>
            </w:tcBorders>
            <w:shd w:val="clear" w:color="auto" w:fill="auto"/>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Dif</w:t>
            </w:r>
          </w:p>
        </w:tc>
        <w:tc>
          <w:tcPr>
            <w:tcW w:w="660" w:type="dxa"/>
            <w:tcBorders>
              <w:top w:val="nil"/>
              <w:left w:val="single" w:sz="8" w:space="0" w:color="auto"/>
              <w:bottom w:val="nil"/>
              <w:right w:val="nil"/>
            </w:tcBorders>
            <w:shd w:val="clear" w:color="auto" w:fill="auto"/>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Dif</w:t>
            </w:r>
          </w:p>
        </w:tc>
        <w:tc>
          <w:tcPr>
            <w:tcW w:w="580" w:type="dxa"/>
            <w:tcBorders>
              <w:top w:val="nil"/>
              <w:left w:val="single" w:sz="8" w:space="0" w:color="auto"/>
              <w:bottom w:val="nil"/>
              <w:right w:val="nil"/>
            </w:tcBorders>
            <w:shd w:val="clear" w:color="auto" w:fill="auto"/>
            <w:vAlign w:val="bottom"/>
          </w:tcPr>
          <w:p w:rsidR="001002ED" w:rsidRPr="001002ED" w:rsidRDefault="001002ED" w:rsidP="001002ED">
            <w:pPr>
              <w:jc w:val="center"/>
              <w:rPr>
                <w:rFonts w:eastAsia="Times New Roman"/>
                <w:b/>
                <w:bCs/>
                <w:sz w:val="12"/>
                <w:szCs w:val="12"/>
              </w:rPr>
            </w:pPr>
            <w:r w:rsidRPr="001002ED">
              <w:rPr>
                <w:rFonts w:eastAsia="Times New Roman"/>
                <w:b/>
                <w:bCs/>
                <w:sz w:val="12"/>
                <w:szCs w:val="12"/>
              </w:rPr>
              <w:t>Dif</w:t>
            </w:r>
          </w:p>
        </w:tc>
        <w:tc>
          <w:tcPr>
            <w:tcW w:w="481" w:type="dxa"/>
            <w:tcBorders>
              <w:top w:val="nil"/>
              <w:left w:val="single" w:sz="8" w:space="0" w:color="auto"/>
              <w:bottom w:val="nil"/>
              <w:right w:val="single" w:sz="4" w:space="0" w:color="auto"/>
            </w:tcBorders>
            <w:shd w:val="clear" w:color="auto" w:fill="auto"/>
            <w:noWrap/>
            <w:vAlign w:val="bottom"/>
          </w:tcPr>
          <w:p w:rsidR="001002ED" w:rsidRPr="001002ED" w:rsidRDefault="001002ED" w:rsidP="001002ED">
            <w:pPr>
              <w:jc w:val="right"/>
              <w:rPr>
                <w:rFonts w:eastAsia="Times New Roman"/>
                <w:b/>
                <w:bCs/>
                <w:sz w:val="12"/>
                <w:szCs w:val="12"/>
              </w:rPr>
            </w:pPr>
            <w:r w:rsidRPr="001002ED">
              <w:rPr>
                <w:rFonts w:eastAsia="Times New Roman"/>
                <w:b/>
                <w:bCs/>
                <w:sz w:val="12"/>
                <w:szCs w:val="12"/>
              </w:rPr>
              <w:t>25%</w:t>
            </w:r>
          </w:p>
        </w:tc>
        <w:tc>
          <w:tcPr>
            <w:tcW w:w="481" w:type="dxa"/>
            <w:tcBorders>
              <w:top w:val="nil"/>
              <w:left w:val="nil"/>
              <w:bottom w:val="nil"/>
              <w:right w:val="single" w:sz="4" w:space="0" w:color="auto"/>
            </w:tcBorders>
            <w:shd w:val="clear" w:color="auto" w:fill="auto"/>
            <w:noWrap/>
            <w:vAlign w:val="bottom"/>
          </w:tcPr>
          <w:p w:rsidR="001002ED" w:rsidRPr="001002ED" w:rsidRDefault="001002ED" w:rsidP="001002ED">
            <w:pPr>
              <w:jc w:val="right"/>
              <w:rPr>
                <w:rFonts w:eastAsia="Times New Roman"/>
                <w:b/>
                <w:bCs/>
                <w:sz w:val="12"/>
                <w:szCs w:val="12"/>
              </w:rPr>
            </w:pPr>
            <w:r w:rsidRPr="001002ED">
              <w:rPr>
                <w:rFonts w:eastAsia="Times New Roman"/>
                <w:b/>
                <w:bCs/>
                <w:sz w:val="12"/>
                <w:szCs w:val="12"/>
              </w:rPr>
              <w:t>50%</w:t>
            </w:r>
          </w:p>
        </w:tc>
        <w:tc>
          <w:tcPr>
            <w:tcW w:w="559" w:type="dxa"/>
            <w:tcBorders>
              <w:top w:val="nil"/>
              <w:left w:val="nil"/>
              <w:bottom w:val="nil"/>
              <w:right w:val="single" w:sz="8" w:space="0" w:color="auto"/>
            </w:tcBorders>
            <w:shd w:val="clear" w:color="auto" w:fill="auto"/>
            <w:noWrap/>
            <w:vAlign w:val="bottom"/>
          </w:tcPr>
          <w:p w:rsidR="001002ED" w:rsidRPr="001002ED" w:rsidRDefault="001002ED" w:rsidP="001002ED">
            <w:pPr>
              <w:jc w:val="right"/>
              <w:rPr>
                <w:rFonts w:eastAsia="Times New Roman"/>
                <w:b/>
                <w:bCs/>
                <w:sz w:val="12"/>
                <w:szCs w:val="12"/>
              </w:rPr>
            </w:pPr>
            <w:r w:rsidRPr="001002ED">
              <w:rPr>
                <w:rFonts w:eastAsia="Times New Roman"/>
                <w:b/>
                <w:bCs/>
                <w:sz w:val="12"/>
                <w:szCs w:val="12"/>
              </w:rPr>
              <w:t>75%</w:t>
            </w:r>
          </w:p>
        </w:tc>
      </w:tr>
      <w:tr w:rsidR="001002ED" w:rsidRPr="001002ED">
        <w:trPr>
          <w:trHeight w:val="270"/>
        </w:trPr>
        <w:tc>
          <w:tcPr>
            <w:tcW w:w="40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1002ED" w:rsidRPr="001002ED" w:rsidRDefault="001002ED" w:rsidP="001002ED">
            <w:pPr>
              <w:jc w:val="center"/>
              <w:rPr>
                <w:rFonts w:eastAsia="Times New Roman"/>
                <w:sz w:val="12"/>
                <w:szCs w:val="12"/>
              </w:rPr>
            </w:pPr>
            <w:r w:rsidRPr="001002ED">
              <w:rPr>
                <w:rFonts w:eastAsia="Times New Roman"/>
                <w:sz w:val="12"/>
                <w:szCs w:val="12"/>
              </w:rPr>
              <w:t>M.O.</w:t>
            </w:r>
          </w:p>
        </w:tc>
        <w:tc>
          <w:tcPr>
            <w:tcW w:w="820" w:type="dxa"/>
            <w:tcBorders>
              <w:top w:val="single" w:sz="8" w:space="0" w:color="auto"/>
              <w:left w:val="nil"/>
              <w:bottom w:val="single" w:sz="4"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Produbanco</w:t>
            </w:r>
          </w:p>
        </w:tc>
        <w:tc>
          <w:tcPr>
            <w:tcW w:w="6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10.002,34</w:t>
            </w:r>
          </w:p>
        </w:tc>
        <w:tc>
          <w:tcPr>
            <w:tcW w:w="62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2,34</w:t>
            </w:r>
          </w:p>
        </w:tc>
        <w:tc>
          <w:tcPr>
            <w:tcW w:w="52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2,54</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5,54</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10.002,34</w:t>
            </w:r>
          </w:p>
        </w:tc>
        <w:tc>
          <w:tcPr>
            <w:tcW w:w="580" w:type="dxa"/>
            <w:tcBorders>
              <w:top w:val="single" w:sz="8" w:space="0" w:color="auto"/>
              <w:left w:val="nil"/>
              <w:bottom w:val="single" w:sz="4"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1.002,44</w:t>
            </w:r>
          </w:p>
        </w:tc>
        <w:tc>
          <w:tcPr>
            <w:tcW w:w="481" w:type="dxa"/>
            <w:tcBorders>
              <w:top w:val="single" w:sz="8" w:space="0" w:color="auto"/>
              <w:left w:val="single" w:sz="8" w:space="0" w:color="auto"/>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3,29</w:t>
            </w:r>
          </w:p>
        </w:tc>
        <w:tc>
          <w:tcPr>
            <w:tcW w:w="481"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503,99</w:t>
            </w:r>
          </w:p>
        </w:tc>
        <w:tc>
          <w:tcPr>
            <w:tcW w:w="559"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7752,36</w:t>
            </w:r>
          </w:p>
        </w:tc>
      </w:tr>
      <w:tr w:rsidR="001002ED" w:rsidRPr="001002ED">
        <w:trPr>
          <w:trHeight w:val="270"/>
        </w:trPr>
        <w:tc>
          <w:tcPr>
            <w:tcW w:w="400" w:type="dxa"/>
            <w:vMerge/>
            <w:tcBorders>
              <w:top w:val="single" w:sz="8" w:space="0" w:color="auto"/>
              <w:left w:val="single" w:sz="8" w:space="0" w:color="auto"/>
              <w:bottom w:val="single" w:sz="8" w:space="0" w:color="000000"/>
              <w:right w:val="single" w:sz="4" w:space="0" w:color="auto"/>
            </w:tcBorders>
            <w:vAlign w:val="center"/>
          </w:tcPr>
          <w:p w:rsidR="001002ED" w:rsidRPr="001002ED" w:rsidRDefault="001002ED" w:rsidP="001002ED">
            <w:pPr>
              <w:rPr>
                <w:rFonts w:eastAsia="Times New Roman"/>
                <w:sz w:val="12"/>
                <w:szCs w:val="12"/>
              </w:rPr>
            </w:pPr>
          </w:p>
        </w:tc>
        <w:tc>
          <w:tcPr>
            <w:tcW w:w="820" w:type="dxa"/>
            <w:tcBorders>
              <w:top w:val="nil"/>
              <w:left w:val="nil"/>
              <w:bottom w:val="single" w:sz="8"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Pichincha</w:t>
            </w:r>
          </w:p>
        </w:tc>
        <w:tc>
          <w:tcPr>
            <w:tcW w:w="660" w:type="dxa"/>
            <w:tcBorders>
              <w:top w:val="nil"/>
              <w:left w:val="single" w:sz="4" w:space="0" w:color="auto"/>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1.000,00</w:t>
            </w:r>
          </w:p>
        </w:tc>
        <w:tc>
          <w:tcPr>
            <w:tcW w:w="620" w:type="dxa"/>
            <w:tcBorders>
              <w:top w:val="nil"/>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520" w:type="dxa"/>
            <w:tcBorders>
              <w:top w:val="nil"/>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3000</w:t>
            </w:r>
          </w:p>
        </w:tc>
        <w:tc>
          <w:tcPr>
            <w:tcW w:w="660" w:type="dxa"/>
            <w:tcBorders>
              <w:top w:val="nil"/>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3.000,00</w:t>
            </w:r>
          </w:p>
        </w:tc>
        <w:tc>
          <w:tcPr>
            <w:tcW w:w="660" w:type="dxa"/>
            <w:tcBorders>
              <w:top w:val="nil"/>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300,00</w:t>
            </w:r>
          </w:p>
        </w:tc>
        <w:tc>
          <w:tcPr>
            <w:tcW w:w="580" w:type="dxa"/>
            <w:tcBorders>
              <w:top w:val="nil"/>
              <w:left w:val="nil"/>
              <w:bottom w:val="nil"/>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481" w:type="dxa"/>
            <w:tcBorders>
              <w:top w:val="single" w:sz="8" w:space="0" w:color="auto"/>
              <w:left w:val="single" w:sz="8" w:space="0" w:color="auto"/>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75,00</w:t>
            </w:r>
          </w:p>
        </w:tc>
        <w:tc>
          <w:tcPr>
            <w:tcW w:w="481"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650</w:t>
            </w:r>
          </w:p>
        </w:tc>
        <w:tc>
          <w:tcPr>
            <w:tcW w:w="559"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2500</w:t>
            </w:r>
          </w:p>
        </w:tc>
      </w:tr>
      <w:tr w:rsidR="001002ED" w:rsidRPr="001002ED">
        <w:trPr>
          <w:trHeight w:val="270"/>
        </w:trPr>
        <w:tc>
          <w:tcPr>
            <w:tcW w:w="400" w:type="dxa"/>
            <w:tcBorders>
              <w:top w:val="nil"/>
              <w:left w:val="single" w:sz="8" w:space="0" w:color="auto"/>
              <w:bottom w:val="single" w:sz="8"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SER</w:t>
            </w:r>
          </w:p>
        </w:tc>
        <w:tc>
          <w:tcPr>
            <w:tcW w:w="820" w:type="dxa"/>
            <w:tcBorders>
              <w:top w:val="nil"/>
              <w:left w:val="nil"/>
              <w:bottom w:val="single" w:sz="8"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Produbanco</w:t>
            </w:r>
          </w:p>
        </w:tc>
        <w:tc>
          <w:tcPr>
            <w:tcW w:w="660" w:type="dxa"/>
            <w:tcBorders>
              <w:top w:val="single" w:sz="8" w:space="0" w:color="auto"/>
              <w:left w:val="single" w:sz="8" w:space="0" w:color="auto"/>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6.002,92</w:t>
            </w:r>
          </w:p>
        </w:tc>
        <w:tc>
          <w:tcPr>
            <w:tcW w:w="620" w:type="dxa"/>
            <w:tcBorders>
              <w:top w:val="single" w:sz="8" w:space="0" w:color="auto"/>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35,80</w:t>
            </w:r>
          </w:p>
        </w:tc>
        <w:tc>
          <w:tcPr>
            <w:tcW w:w="520" w:type="dxa"/>
            <w:tcBorders>
              <w:top w:val="single" w:sz="8" w:space="0" w:color="auto"/>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302,39</w:t>
            </w:r>
          </w:p>
        </w:tc>
        <w:tc>
          <w:tcPr>
            <w:tcW w:w="660" w:type="dxa"/>
            <w:tcBorders>
              <w:top w:val="single" w:sz="8" w:space="0" w:color="auto"/>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10.002,34</w:t>
            </w:r>
          </w:p>
        </w:tc>
        <w:tc>
          <w:tcPr>
            <w:tcW w:w="660" w:type="dxa"/>
            <w:tcBorders>
              <w:top w:val="single" w:sz="8" w:space="0" w:color="auto"/>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802,34</w:t>
            </w:r>
          </w:p>
        </w:tc>
        <w:tc>
          <w:tcPr>
            <w:tcW w:w="580" w:type="dxa"/>
            <w:tcBorders>
              <w:top w:val="single" w:sz="8" w:space="0" w:color="auto"/>
              <w:left w:val="nil"/>
              <w:bottom w:val="nil"/>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2,34</w:t>
            </w:r>
          </w:p>
        </w:tc>
        <w:tc>
          <w:tcPr>
            <w:tcW w:w="481" w:type="dxa"/>
            <w:tcBorders>
              <w:top w:val="single" w:sz="8" w:space="0" w:color="auto"/>
              <w:left w:val="single" w:sz="8" w:space="0" w:color="auto"/>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102,45</w:t>
            </w:r>
          </w:p>
        </w:tc>
        <w:tc>
          <w:tcPr>
            <w:tcW w:w="481"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552,36</w:t>
            </w:r>
          </w:p>
        </w:tc>
        <w:tc>
          <w:tcPr>
            <w:tcW w:w="559"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4702,78</w:t>
            </w:r>
          </w:p>
        </w:tc>
      </w:tr>
      <w:tr w:rsidR="001002ED" w:rsidRPr="001002ED">
        <w:trPr>
          <w:trHeight w:val="270"/>
        </w:trPr>
        <w:tc>
          <w:tcPr>
            <w:tcW w:w="400" w:type="dxa"/>
            <w:tcBorders>
              <w:top w:val="nil"/>
              <w:left w:val="single" w:sz="8" w:space="0" w:color="auto"/>
              <w:bottom w:val="nil"/>
              <w:right w:val="single" w:sz="4" w:space="0" w:color="auto"/>
            </w:tcBorders>
            <w:shd w:val="clear" w:color="auto" w:fill="auto"/>
            <w:vAlign w:val="center"/>
          </w:tcPr>
          <w:p w:rsidR="001002ED" w:rsidRPr="001002ED" w:rsidRDefault="001002ED" w:rsidP="001002ED">
            <w:pPr>
              <w:jc w:val="center"/>
              <w:rPr>
                <w:rFonts w:eastAsia="Times New Roman"/>
                <w:sz w:val="12"/>
                <w:szCs w:val="12"/>
              </w:rPr>
            </w:pPr>
            <w:r w:rsidRPr="001002ED">
              <w:rPr>
                <w:rFonts w:eastAsia="Times New Roman"/>
                <w:sz w:val="12"/>
                <w:szCs w:val="12"/>
              </w:rPr>
              <w:t>D.U.</w:t>
            </w:r>
          </w:p>
        </w:tc>
        <w:tc>
          <w:tcPr>
            <w:tcW w:w="820" w:type="dxa"/>
            <w:tcBorders>
              <w:top w:val="single" w:sz="4" w:space="0" w:color="auto"/>
              <w:left w:val="nil"/>
              <w:bottom w:val="nil"/>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Produfondos</w:t>
            </w:r>
          </w:p>
        </w:tc>
        <w:tc>
          <w:tcPr>
            <w:tcW w:w="660" w:type="dxa"/>
            <w:tcBorders>
              <w:top w:val="single" w:sz="4" w:space="0" w:color="auto"/>
              <w:left w:val="single" w:sz="4" w:space="0" w:color="auto"/>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50,00</w:t>
            </w:r>
          </w:p>
        </w:tc>
        <w:tc>
          <w:tcPr>
            <w:tcW w:w="620" w:type="dxa"/>
            <w:tcBorders>
              <w:top w:val="single" w:sz="4" w:space="0" w:color="auto"/>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70,00</w:t>
            </w:r>
          </w:p>
        </w:tc>
        <w:tc>
          <w:tcPr>
            <w:tcW w:w="520" w:type="dxa"/>
            <w:tcBorders>
              <w:top w:val="single" w:sz="4" w:space="0" w:color="auto"/>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0,96</w:t>
            </w:r>
          </w:p>
        </w:tc>
        <w:tc>
          <w:tcPr>
            <w:tcW w:w="660" w:type="dxa"/>
            <w:tcBorders>
              <w:top w:val="single" w:sz="4" w:space="0" w:color="auto"/>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660" w:type="dxa"/>
            <w:tcBorders>
              <w:top w:val="single" w:sz="4" w:space="0" w:color="auto"/>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580" w:type="dxa"/>
            <w:tcBorders>
              <w:top w:val="single" w:sz="4" w:space="0" w:color="auto"/>
              <w:left w:val="nil"/>
              <w:bottom w:val="nil"/>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481" w:type="dxa"/>
            <w:tcBorders>
              <w:top w:val="single" w:sz="8" w:space="0" w:color="auto"/>
              <w:left w:val="single" w:sz="8" w:space="0" w:color="auto"/>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0,00</w:t>
            </w:r>
          </w:p>
        </w:tc>
        <w:tc>
          <w:tcPr>
            <w:tcW w:w="481"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0,48</w:t>
            </w:r>
          </w:p>
        </w:tc>
        <w:tc>
          <w:tcPr>
            <w:tcW w:w="559"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37,74</w:t>
            </w:r>
          </w:p>
        </w:tc>
      </w:tr>
      <w:tr w:rsidR="001002ED" w:rsidRPr="001002ED">
        <w:trPr>
          <w:trHeight w:val="270"/>
        </w:trPr>
        <w:tc>
          <w:tcPr>
            <w:tcW w:w="40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1002ED" w:rsidRPr="001002ED" w:rsidRDefault="001002ED" w:rsidP="001002ED">
            <w:pPr>
              <w:jc w:val="center"/>
              <w:rPr>
                <w:rFonts w:eastAsia="Times New Roman"/>
                <w:sz w:val="12"/>
                <w:szCs w:val="12"/>
              </w:rPr>
            </w:pPr>
            <w:r w:rsidRPr="001002ED">
              <w:rPr>
                <w:rFonts w:eastAsia="Times New Roman"/>
                <w:sz w:val="12"/>
                <w:szCs w:val="12"/>
              </w:rPr>
              <w:t>M.I.</w:t>
            </w:r>
          </w:p>
        </w:tc>
        <w:tc>
          <w:tcPr>
            <w:tcW w:w="820" w:type="dxa"/>
            <w:tcBorders>
              <w:top w:val="single" w:sz="8" w:space="0" w:color="auto"/>
              <w:left w:val="nil"/>
              <w:bottom w:val="single" w:sz="4"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Produbanco</w:t>
            </w:r>
          </w:p>
        </w:tc>
        <w:tc>
          <w:tcPr>
            <w:tcW w:w="6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6.000,00</w:t>
            </w:r>
          </w:p>
        </w:tc>
        <w:tc>
          <w:tcPr>
            <w:tcW w:w="62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8.928,03</w:t>
            </w:r>
          </w:p>
        </w:tc>
        <w:tc>
          <w:tcPr>
            <w:tcW w:w="52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102,49</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60,00</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1.000,90</w:t>
            </w:r>
          </w:p>
        </w:tc>
        <w:tc>
          <w:tcPr>
            <w:tcW w:w="580" w:type="dxa"/>
            <w:tcBorders>
              <w:top w:val="single" w:sz="8" w:space="0" w:color="auto"/>
              <w:left w:val="nil"/>
              <w:bottom w:val="single" w:sz="4"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481" w:type="dxa"/>
            <w:tcBorders>
              <w:top w:val="single" w:sz="8" w:space="0" w:color="auto"/>
              <w:left w:val="single" w:sz="8" w:space="0" w:color="auto"/>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70,62</w:t>
            </w:r>
          </w:p>
        </w:tc>
        <w:tc>
          <w:tcPr>
            <w:tcW w:w="481"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551,69</w:t>
            </w:r>
          </w:p>
        </w:tc>
        <w:tc>
          <w:tcPr>
            <w:tcW w:w="559"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4750,23</w:t>
            </w:r>
          </w:p>
        </w:tc>
      </w:tr>
      <w:tr w:rsidR="001002ED" w:rsidRPr="001002ED">
        <w:trPr>
          <w:trHeight w:val="270"/>
        </w:trPr>
        <w:tc>
          <w:tcPr>
            <w:tcW w:w="400" w:type="dxa"/>
            <w:vMerge/>
            <w:tcBorders>
              <w:top w:val="single" w:sz="8" w:space="0" w:color="auto"/>
              <w:left w:val="single" w:sz="8" w:space="0" w:color="auto"/>
              <w:bottom w:val="single" w:sz="8" w:space="0" w:color="000000"/>
              <w:right w:val="single" w:sz="4" w:space="0" w:color="auto"/>
            </w:tcBorders>
            <w:vAlign w:val="center"/>
          </w:tcPr>
          <w:p w:rsidR="001002ED" w:rsidRPr="001002ED" w:rsidRDefault="001002ED" w:rsidP="001002ED">
            <w:pPr>
              <w:rPr>
                <w:rFonts w:eastAsia="Times New Roman"/>
                <w:sz w:val="12"/>
                <w:szCs w:val="12"/>
              </w:rPr>
            </w:pPr>
          </w:p>
        </w:tc>
        <w:tc>
          <w:tcPr>
            <w:tcW w:w="820" w:type="dxa"/>
            <w:tcBorders>
              <w:top w:val="nil"/>
              <w:left w:val="nil"/>
              <w:bottom w:val="single" w:sz="8"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Produfondos</w:t>
            </w:r>
          </w:p>
        </w:tc>
        <w:tc>
          <w:tcPr>
            <w:tcW w:w="660" w:type="dxa"/>
            <w:tcBorders>
              <w:top w:val="nil"/>
              <w:left w:val="single" w:sz="4" w:space="0" w:color="auto"/>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7,49</w:t>
            </w:r>
          </w:p>
        </w:tc>
        <w:tc>
          <w:tcPr>
            <w:tcW w:w="620" w:type="dxa"/>
            <w:tcBorders>
              <w:top w:val="nil"/>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50,94</w:t>
            </w:r>
          </w:p>
        </w:tc>
        <w:tc>
          <w:tcPr>
            <w:tcW w:w="520" w:type="dxa"/>
            <w:tcBorders>
              <w:top w:val="nil"/>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100</w:t>
            </w:r>
          </w:p>
        </w:tc>
        <w:tc>
          <w:tcPr>
            <w:tcW w:w="660" w:type="dxa"/>
            <w:tcBorders>
              <w:top w:val="nil"/>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50,41</w:t>
            </w:r>
          </w:p>
        </w:tc>
        <w:tc>
          <w:tcPr>
            <w:tcW w:w="660" w:type="dxa"/>
            <w:tcBorders>
              <w:top w:val="nil"/>
              <w:left w:val="nil"/>
              <w:bottom w:val="nil"/>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33,58</w:t>
            </w:r>
          </w:p>
        </w:tc>
        <w:tc>
          <w:tcPr>
            <w:tcW w:w="580" w:type="dxa"/>
            <w:tcBorders>
              <w:top w:val="nil"/>
              <w:left w:val="nil"/>
              <w:bottom w:val="nil"/>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481" w:type="dxa"/>
            <w:tcBorders>
              <w:top w:val="single" w:sz="8" w:space="0" w:color="auto"/>
              <w:left w:val="single" w:sz="8" w:space="0" w:color="auto"/>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14,01</w:t>
            </w:r>
          </w:p>
        </w:tc>
        <w:tc>
          <w:tcPr>
            <w:tcW w:w="481"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41,99</w:t>
            </w:r>
          </w:p>
        </w:tc>
        <w:tc>
          <w:tcPr>
            <w:tcW w:w="559"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50,81</w:t>
            </w:r>
          </w:p>
        </w:tc>
      </w:tr>
      <w:tr w:rsidR="001002ED" w:rsidRPr="001002ED">
        <w:trPr>
          <w:trHeight w:val="270"/>
        </w:trPr>
        <w:tc>
          <w:tcPr>
            <w:tcW w:w="400" w:type="dxa"/>
            <w:vMerge w:val="restart"/>
            <w:tcBorders>
              <w:top w:val="nil"/>
              <w:left w:val="single" w:sz="8" w:space="0" w:color="auto"/>
              <w:bottom w:val="single" w:sz="8" w:space="0" w:color="000000"/>
              <w:right w:val="single" w:sz="4" w:space="0" w:color="auto"/>
            </w:tcBorders>
            <w:shd w:val="clear" w:color="auto" w:fill="auto"/>
            <w:vAlign w:val="center"/>
          </w:tcPr>
          <w:p w:rsidR="001002ED" w:rsidRPr="001002ED" w:rsidRDefault="001002ED" w:rsidP="001002ED">
            <w:pPr>
              <w:jc w:val="center"/>
              <w:rPr>
                <w:rFonts w:eastAsia="Times New Roman"/>
                <w:sz w:val="12"/>
                <w:szCs w:val="12"/>
              </w:rPr>
            </w:pPr>
            <w:r w:rsidRPr="001002ED">
              <w:rPr>
                <w:rFonts w:eastAsia="Times New Roman"/>
                <w:sz w:val="12"/>
                <w:szCs w:val="12"/>
              </w:rPr>
              <w:t>F.A.</w:t>
            </w:r>
          </w:p>
        </w:tc>
        <w:tc>
          <w:tcPr>
            <w:tcW w:w="820" w:type="dxa"/>
            <w:tcBorders>
              <w:top w:val="nil"/>
              <w:left w:val="nil"/>
              <w:bottom w:val="single" w:sz="4"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Produbanco</w:t>
            </w:r>
          </w:p>
        </w:tc>
        <w:tc>
          <w:tcPr>
            <w:tcW w:w="6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203,05</w:t>
            </w:r>
          </w:p>
        </w:tc>
        <w:tc>
          <w:tcPr>
            <w:tcW w:w="62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4,05</w:t>
            </w:r>
          </w:p>
        </w:tc>
        <w:tc>
          <w:tcPr>
            <w:tcW w:w="52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3,05</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3,05</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50,00</w:t>
            </w:r>
          </w:p>
        </w:tc>
        <w:tc>
          <w:tcPr>
            <w:tcW w:w="580" w:type="dxa"/>
            <w:tcBorders>
              <w:top w:val="single" w:sz="8" w:space="0" w:color="auto"/>
              <w:left w:val="nil"/>
              <w:bottom w:val="single" w:sz="4"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481" w:type="dxa"/>
            <w:tcBorders>
              <w:top w:val="single" w:sz="8" w:space="0" w:color="auto"/>
              <w:left w:val="single" w:sz="8" w:space="0" w:color="auto"/>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3,05</w:t>
            </w:r>
          </w:p>
        </w:tc>
        <w:tc>
          <w:tcPr>
            <w:tcW w:w="481"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3,55</w:t>
            </w:r>
          </w:p>
        </w:tc>
        <w:tc>
          <w:tcPr>
            <w:tcW w:w="559" w:type="dxa"/>
            <w:tcBorders>
              <w:top w:val="single" w:sz="8" w:space="0" w:color="auto"/>
              <w:left w:val="nil"/>
              <w:bottom w:val="single" w:sz="4"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38,51</w:t>
            </w:r>
          </w:p>
        </w:tc>
      </w:tr>
      <w:tr w:rsidR="001002ED" w:rsidRPr="001002ED">
        <w:trPr>
          <w:trHeight w:val="270"/>
        </w:trPr>
        <w:tc>
          <w:tcPr>
            <w:tcW w:w="400" w:type="dxa"/>
            <w:vMerge/>
            <w:tcBorders>
              <w:top w:val="nil"/>
              <w:left w:val="single" w:sz="8" w:space="0" w:color="auto"/>
              <w:bottom w:val="single" w:sz="8" w:space="0" w:color="000000"/>
              <w:right w:val="single" w:sz="4" w:space="0" w:color="auto"/>
            </w:tcBorders>
            <w:vAlign w:val="center"/>
          </w:tcPr>
          <w:p w:rsidR="001002ED" w:rsidRPr="001002ED" w:rsidRDefault="001002ED" w:rsidP="001002ED">
            <w:pPr>
              <w:rPr>
                <w:rFonts w:eastAsia="Times New Roman"/>
                <w:sz w:val="12"/>
                <w:szCs w:val="12"/>
              </w:rPr>
            </w:pPr>
          </w:p>
        </w:tc>
        <w:tc>
          <w:tcPr>
            <w:tcW w:w="820" w:type="dxa"/>
            <w:tcBorders>
              <w:top w:val="nil"/>
              <w:left w:val="nil"/>
              <w:bottom w:val="single" w:sz="8"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Produfondos</w:t>
            </w:r>
          </w:p>
        </w:tc>
        <w:tc>
          <w:tcPr>
            <w:tcW w:w="660" w:type="dxa"/>
            <w:tcBorders>
              <w:top w:val="nil"/>
              <w:left w:val="single" w:sz="4" w:space="0" w:color="auto"/>
              <w:bottom w:val="single" w:sz="8"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50,02</w:t>
            </w:r>
          </w:p>
        </w:tc>
        <w:tc>
          <w:tcPr>
            <w:tcW w:w="620" w:type="dxa"/>
            <w:tcBorders>
              <w:top w:val="nil"/>
              <w:left w:val="nil"/>
              <w:bottom w:val="single" w:sz="8"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51,99</w:t>
            </w:r>
          </w:p>
        </w:tc>
        <w:tc>
          <w:tcPr>
            <w:tcW w:w="520" w:type="dxa"/>
            <w:tcBorders>
              <w:top w:val="nil"/>
              <w:left w:val="nil"/>
              <w:bottom w:val="single" w:sz="8"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1,99</w:t>
            </w:r>
          </w:p>
        </w:tc>
        <w:tc>
          <w:tcPr>
            <w:tcW w:w="660" w:type="dxa"/>
            <w:tcBorders>
              <w:top w:val="nil"/>
              <w:left w:val="nil"/>
              <w:bottom w:val="single" w:sz="8"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660" w:type="dxa"/>
            <w:tcBorders>
              <w:top w:val="nil"/>
              <w:left w:val="nil"/>
              <w:bottom w:val="single" w:sz="8" w:space="0" w:color="auto"/>
              <w:right w:val="single" w:sz="4" w:space="0" w:color="auto"/>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45,57</w:t>
            </w:r>
          </w:p>
        </w:tc>
        <w:tc>
          <w:tcPr>
            <w:tcW w:w="580" w:type="dxa"/>
            <w:tcBorders>
              <w:top w:val="nil"/>
              <w:left w:val="nil"/>
              <w:bottom w:val="single" w:sz="8" w:space="0" w:color="auto"/>
              <w:right w:val="nil"/>
            </w:tcBorders>
            <w:shd w:val="clear" w:color="auto" w:fill="auto"/>
            <w:noWrap/>
            <w:vAlign w:val="bottom"/>
          </w:tcPr>
          <w:p w:rsidR="001002ED" w:rsidRPr="001002ED" w:rsidRDefault="001002ED" w:rsidP="001002ED">
            <w:pPr>
              <w:jc w:val="center"/>
              <w:rPr>
                <w:rFonts w:eastAsia="Times New Roman"/>
                <w:sz w:val="12"/>
                <w:szCs w:val="12"/>
              </w:rPr>
            </w:pPr>
            <w:r w:rsidRPr="001002ED">
              <w:rPr>
                <w:rFonts w:eastAsia="Times New Roman"/>
                <w:sz w:val="12"/>
                <w:szCs w:val="12"/>
              </w:rPr>
              <w:t>0,00</w:t>
            </w:r>
          </w:p>
        </w:tc>
        <w:tc>
          <w:tcPr>
            <w:tcW w:w="481" w:type="dxa"/>
            <w:tcBorders>
              <w:top w:val="single" w:sz="8" w:space="0" w:color="auto"/>
              <w:left w:val="single" w:sz="8" w:space="0" w:color="auto"/>
              <w:bottom w:val="single" w:sz="8"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0,50</w:t>
            </w:r>
          </w:p>
        </w:tc>
        <w:tc>
          <w:tcPr>
            <w:tcW w:w="481" w:type="dxa"/>
            <w:tcBorders>
              <w:top w:val="single" w:sz="8" w:space="0" w:color="auto"/>
              <w:left w:val="nil"/>
              <w:bottom w:val="single" w:sz="8"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23,78</w:t>
            </w:r>
          </w:p>
        </w:tc>
        <w:tc>
          <w:tcPr>
            <w:tcW w:w="559" w:type="dxa"/>
            <w:tcBorders>
              <w:top w:val="single" w:sz="8" w:space="0" w:color="auto"/>
              <w:left w:val="nil"/>
              <w:bottom w:val="single" w:sz="8" w:space="0" w:color="auto"/>
              <w:right w:val="single" w:sz="4" w:space="0" w:color="auto"/>
            </w:tcBorders>
            <w:shd w:val="clear" w:color="auto" w:fill="auto"/>
            <w:noWrap/>
            <w:vAlign w:val="bottom"/>
          </w:tcPr>
          <w:p w:rsidR="001002ED" w:rsidRPr="001002ED" w:rsidRDefault="001002ED" w:rsidP="001002ED">
            <w:pPr>
              <w:jc w:val="right"/>
              <w:rPr>
                <w:rFonts w:eastAsia="Times New Roman"/>
                <w:sz w:val="12"/>
                <w:szCs w:val="12"/>
              </w:rPr>
            </w:pPr>
            <w:r w:rsidRPr="001002ED">
              <w:rPr>
                <w:rFonts w:eastAsia="Times New Roman"/>
                <w:sz w:val="12"/>
                <w:szCs w:val="12"/>
              </w:rPr>
              <w:t>48,91</w:t>
            </w:r>
          </w:p>
        </w:tc>
      </w:tr>
    </w:tbl>
    <w:p w:rsidR="00CC1C75" w:rsidRDefault="00CC1C75" w:rsidP="00CC1C75">
      <w:pPr>
        <w:tabs>
          <w:tab w:val="left" w:pos="720"/>
        </w:tabs>
        <w:spacing w:line="480" w:lineRule="auto"/>
        <w:jc w:val="both"/>
        <w:rPr>
          <w:rFonts w:ascii="Arial" w:hAnsi="Arial" w:cs="Arial"/>
          <w:b/>
        </w:rPr>
      </w:pPr>
    </w:p>
    <w:p w:rsidR="00CC1C75" w:rsidRPr="00D5368B" w:rsidRDefault="00CC1C75" w:rsidP="00CC1C75">
      <w:pPr>
        <w:tabs>
          <w:tab w:val="left" w:pos="720"/>
        </w:tabs>
        <w:spacing w:line="480" w:lineRule="auto"/>
        <w:ind w:left="360"/>
        <w:jc w:val="both"/>
        <w:rPr>
          <w:rFonts w:ascii="Arial" w:hAnsi="Arial" w:cs="Arial"/>
        </w:rPr>
      </w:pPr>
      <w:r>
        <w:rPr>
          <w:rFonts w:ascii="Arial" w:hAnsi="Arial" w:cs="Arial"/>
        </w:rPr>
        <w:t>En las gráficas temporales lo que queremos es dar a conocer como se han movido los valores en los diferentes meses del primer semestre del año 2007.</w:t>
      </w:r>
    </w:p>
    <w:p w:rsidR="00CC1C75" w:rsidRPr="00490392" w:rsidRDefault="00CC1C75" w:rsidP="00CC1C75">
      <w:pPr>
        <w:spacing w:line="480" w:lineRule="auto"/>
        <w:ind w:left="360"/>
        <w:jc w:val="both"/>
        <w:rPr>
          <w:rFonts w:ascii="Arial" w:hAnsi="Arial" w:cs="Arial"/>
        </w:rPr>
      </w:pPr>
    </w:p>
    <w:p w:rsidR="00CC1C75" w:rsidRPr="008A7DB5" w:rsidRDefault="00CC1C75" w:rsidP="00FD4A53">
      <w:pPr>
        <w:pStyle w:val="Ttulo3"/>
        <w:spacing w:before="0" w:after="0" w:line="480" w:lineRule="auto"/>
        <w:ind w:left="540"/>
        <w:jc w:val="both"/>
        <w:rPr>
          <w:sz w:val="24"/>
          <w:szCs w:val="24"/>
        </w:rPr>
      </w:pPr>
      <w:bookmarkStart w:id="429" w:name="_Toc183697500"/>
      <w:bookmarkStart w:id="430" w:name="_Toc183698830"/>
      <w:bookmarkStart w:id="431" w:name="_Toc183699171"/>
      <w:bookmarkStart w:id="432" w:name="_Toc183699383"/>
      <w:bookmarkStart w:id="433" w:name="_Toc183699554"/>
      <w:bookmarkStart w:id="434" w:name="_Toc183699853"/>
      <w:bookmarkStart w:id="435" w:name="_Toc183700126"/>
      <w:bookmarkStart w:id="436" w:name="_Toc183700343"/>
      <w:bookmarkStart w:id="437" w:name="_Toc183700635"/>
      <w:bookmarkStart w:id="438" w:name="_Toc183700887"/>
      <w:r w:rsidRPr="008A7DB5">
        <w:rPr>
          <w:sz w:val="24"/>
          <w:szCs w:val="24"/>
        </w:rPr>
        <w:t>2.3.1 Análisis de los saldos de las conciliaciones bancarias con los saldos de libros del primer semestre del año 2007 mediante diagramas de barras. Compañía M.O. Banco Produbanco.</w:t>
      </w:r>
      <w:bookmarkEnd w:id="429"/>
      <w:bookmarkEnd w:id="430"/>
      <w:bookmarkEnd w:id="431"/>
      <w:bookmarkEnd w:id="432"/>
      <w:bookmarkEnd w:id="433"/>
      <w:bookmarkEnd w:id="434"/>
      <w:bookmarkEnd w:id="435"/>
      <w:bookmarkEnd w:id="436"/>
      <w:bookmarkEnd w:id="437"/>
      <w:bookmarkEnd w:id="438"/>
    </w:p>
    <w:p w:rsidR="008A7DB5" w:rsidRDefault="008A7DB5" w:rsidP="00CC1C75">
      <w:pPr>
        <w:spacing w:line="480" w:lineRule="auto"/>
        <w:ind w:left="360"/>
        <w:jc w:val="both"/>
        <w:rPr>
          <w:rFonts w:ascii="Arial" w:hAnsi="Arial" w:cs="Arial"/>
        </w:rPr>
      </w:pPr>
    </w:p>
    <w:p w:rsidR="00CC1C75" w:rsidRPr="00767167" w:rsidRDefault="00CC1C75" w:rsidP="00FD4A53">
      <w:pPr>
        <w:spacing w:line="480" w:lineRule="auto"/>
        <w:ind w:left="540"/>
        <w:jc w:val="both"/>
        <w:rPr>
          <w:rFonts w:ascii="Arial" w:hAnsi="Arial" w:cs="Arial"/>
        </w:rPr>
      </w:pPr>
      <w:r>
        <w:rPr>
          <w:rFonts w:ascii="Arial" w:hAnsi="Arial" w:cs="Arial"/>
        </w:rPr>
        <w:t>Para este caso, el gráfico es el siguiente:</w:t>
      </w:r>
    </w:p>
    <w:p w:rsidR="00CA7B0C" w:rsidRDefault="00B04CD6" w:rsidP="003113F3">
      <w:pPr>
        <w:spacing w:line="480" w:lineRule="auto"/>
        <w:ind w:left="357"/>
        <w:jc w:val="center"/>
        <w:rPr>
          <w:rFonts w:ascii="Arial" w:hAnsi="Arial" w:cs="Arial"/>
          <w:b/>
        </w:rPr>
      </w:pPr>
      <w:r>
        <w:rPr>
          <w:noProof/>
        </w:rPr>
        <w:drawing>
          <wp:inline distT="0" distB="0" distL="0" distR="0">
            <wp:extent cx="5245100" cy="28448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C1C75" w:rsidRPr="009B4554">
        <w:rPr>
          <w:rFonts w:ascii="Arial" w:hAnsi="Arial" w:cs="Arial"/>
          <w:b/>
        </w:rPr>
        <w:t xml:space="preserve"> </w:t>
      </w:r>
    </w:p>
    <w:p w:rsidR="00CC1C75" w:rsidRPr="00CA7B0C" w:rsidRDefault="00CC1C75" w:rsidP="00CA7B0C">
      <w:pPr>
        <w:pStyle w:val="Ttulo1"/>
        <w:spacing w:line="480" w:lineRule="auto"/>
        <w:ind w:left="357"/>
        <w:jc w:val="center"/>
        <w:rPr>
          <w:rFonts w:ascii="Arial" w:hAnsi="Arial" w:cs="Arial"/>
          <w:b w:val="0"/>
        </w:rPr>
      </w:pPr>
      <w:bookmarkStart w:id="439" w:name="_Toc183699854"/>
      <w:bookmarkStart w:id="440" w:name="_Toc183700127"/>
      <w:bookmarkStart w:id="441" w:name="_Toc183700344"/>
      <w:bookmarkStart w:id="442" w:name="_Toc183700636"/>
      <w:bookmarkStart w:id="443" w:name="_Toc183700888"/>
      <w:r w:rsidRPr="00CA7B0C">
        <w:rPr>
          <w:rFonts w:ascii="Arial" w:hAnsi="Arial" w:cs="Arial"/>
        </w:rPr>
        <w:t xml:space="preserve">Gráfico 2.1. </w:t>
      </w:r>
      <w:r w:rsidRPr="00CA7B0C">
        <w:rPr>
          <w:rFonts w:ascii="Arial" w:hAnsi="Arial" w:cs="Arial"/>
          <w:b w:val="0"/>
        </w:rPr>
        <w:t>Diagrama de barra. Compañía M.O. Banco Produbanco.</w:t>
      </w:r>
      <w:bookmarkEnd w:id="439"/>
      <w:bookmarkEnd w:id="440"/>
      <w:bookmarkEnd w:id="441"/>
      <w:bookmarkEnd w:id="442"/>
      <w:bookmarkEnd w:id="443"/>
    </w:p>
    <w:p w:rsidR="00CA7B0C" w:rsidRPr="00CA7B0C" w:rsidRDefault="00CA7B0C" w:rsidP="003113F3">
      <w:pPr>
        <w:spacing w:line="480" w:lineRule="auto"/>
        <w:ind w:left="357"/>
        <w:jc w:val="center"/>
        <w:rPr>
          <w:rStyle w:val="Ttulo1Car"/>
          <w:rFonts w:ascii="Arial" w:hAnsi="Arial" w:cs="Arial"/>
          <w:b w:val="0"/>
        </w:rPr>
      </w:pPr>
    </w:p>
    <w:p w:rsidR="00CC1C75" w:rsidRPr="00490392" w:rsidRDefault="00CC1C75" w:rsidP="00FD4A53">
      <w:pPr>
        <w:spacing w:line="480" w:lineRule="auto"/>
        <w:ind w:left="540"/>
        <w:jc w:val="both"/>
        <w:rPr>
          <w:rFonts w:ascii="Arial" w:hAnsi="Arial" w:cs="Arial"/>
        </w:rPr>
      </w:pPr>
      <w:r>
        <w:rPr>
          <w:rFonts w:ascii="Arial" w:hAnsi="Arial" w:cs="Arial"/>
        </w:rPr>
        <w:t xml:space="preserve">Se puede observar que esta empresa en este banco ha tenido diferencias en sus saldos en los meses de enero y mayo con valores </w:t>
      </w:r>
      <w:r>
        <w:rPr>
          <w:rFonts w:ascii="Arial" w:hAnsi="Arial" w:cs="Arial"/>
        </w:rPr>
        <w:lastRenderedPageBreak/>
        <w:t xml:space="preserve">elevados de $10,002.34 durante los dos meses, mientras que en los otros meses de febrero, marzo y abril también ha tenido diferencias pero esas han sido tolerables estas son de $2.34, $2.54, y $5.54 respectivamente como se puede observar el </w:t>
      </w:r>
      <w:r w:rsidRPr="008D04AF">
        <w:rPr>
          <w:rFonts w:ascii="Arial" w:hAnsi="Arial" w:cs="Arial"/>
          <w:b/>
        </w:rPr>
        <w:t>gráfico 2.1</w:t>
      </w:r>
      <w:r>
        <w:rPr>
          <w:rFonts w:ascii="Arial" w:hAnsi="Arial" w:cs="Arial"/>
        </w:rPr>
        <w:t xml:space="preserve"> aunque debido a su </w:t>
      </w:r>
      <w:r w:rsidRPr="009F7070">
        <w:rPr>
          <w:rFonts w:ascii="Arial" w:hAnsi="Arial" w:cs="Arial"/>
        </w:rPr>
        <w:t>escala y diferencia</w:t>
      </w:r>
      <w:r>
        <w:rPr>
          <w:rFonts w:ascii="Arial" w:hAnsi="Arial" w:cs="Arial"/>
        </w:rPr>
        <w:t>s</w:t>
      </w:r>
      <w:r w:rsidRPr="009F7070">
        <w:rPr>
          <w:rFonts w:ascii="Arial" w:hAnsi="Arial" w:cs="Arial"/>
        </w:rPr>
        <w:t xml:space="preserve"> pequeñas aparentemente se visualizan iguales. </w:t>
      </w:r>
      <w:r>
        <w:rPr>
          <w:rFonts w:ascii="Arial" w:hAnsi="Arial" w:cs="Arial"/>
        </w:rPr>
        <w:t xml:space="preserve">En junio tuvo una diferencia de $1,002.34. </w:t>
      </w:r>
      <w:r w:rsidRPr="009F7070">
        <w:rPr>
          <w:rFonts w:ascii="Arial" w:hAnsi="Arial" w:cs="Arial"/>
        </w:rPr>
        <w:t>Lo que quiere decir que el primer mes presenta diferencia elevada que en los tres meses siguientes se fueron regulariza</w:t>
      </w:r>
      <w:r>
        <w:rPr>
          <w:rFonts w:ascii="Arial" w:hAnsi="Arial" w:cs="Arial"/>
        </w:rPr>
        <w:t>n</w:t>
      </w:r>
      <w:r w:rsidRPr="009F7070">
        <w:rPr>
          <w:rFonts w:ascii="Arial" w:hAnsi="Arial" w:cs="Arial"/>
        </w:rPr>
        <w:t>do</w:t>
      </w:r>
      <w:r>
        <w:rPr>
          <w:rFonts w:ascii="Arial" w:hAnsi="Arial" w:cs="Arial"/>
        </w:rPr>
        <w:t>,</w:t>
      </w:r>
      <w:r w:rsidRPr="009F7070">
        <w:rPr>
          <w:rFonts w:ascii="Arial" w:hAnsi="Arial" w:cs="Arial"/>
        </w:rPr>
        <w:t xml:space="preserve"> sin embargo en el penúltimo mes de este semest</w:t>
      </w:r>
      <w:r>
        <w:rPr>
          <w:rFonts w:ascii="Arial" w:hAnsi="Arial" w:cs="Arial"/>
        </w:rPr>
        <w:t>re se volvió</w:t>
      </w:r>
      <w:r w:rsidRPr="009F7070">
        <w:rPr>
          <w:rFonts w:ascii="Arial" w:hAnsi="Arial" w:cs="Arial"/>
        </w:rPr>
        <w:t xml:space="preserve"> a elevar las diferencias quedado </w:t>
      </w:r>
      <w:r>
        <w:rPr>
          <w:rFonts w:ascii="Arial" w:hAnsi="Arial" w:cs="Arial"/>
        </w:rPr>
        <w:t>al final del mes con una menor diferencia pero alta</w:t>
      </w:r>
      <w:r w:rsidRPr="009F7070">
        <w:rPr>
          <w:rFonts w:ascii="Arial" w:hAnsi="Arial" w:cs="Arial"/>
        </w:rPr>
        <w:t>.</w:t>
      </w:r>
    </w:p>
    <w:p w:rsidR="00CC1C75" w:rsidRPr="008A7DB5" w:rsidRDefault="00CC1C75" w:rsidP="00FD4A53">
      <w:pPr>
        <w:pStyle w:val="Ttulo3"/>
        <w:spacing w:before="0" w:after="0" w:line="480" w:lineRule="auto"/>
        <w:ind w:left="540"/>
        <w:jc w:val="both"/>
        <w:rPr>
          <w:sz w:val="24"/>
          <w:szCs w:val="24"/>
        </w:rPr>
      </w:pPr>
      <w:bookmarkStart w:id="444" w:name="_Toc183697501"/>
      <w:bookmarkStart w:id="445" w:name="_Toc183698831"/>
      <w:bookmarkStart w:id="446" w:name="_Toc183699172"/>
      <w:bookmarkStart w:id="447" w:name="_Toc183699384"/>
      <w:bookmarkStart w:id="448" w:name="_Toc183699556"/>
      <w:bookmarkStart w:id="449" w:name="_Toc183699855"/>
      <w:bookmarkStart w:id="450" w:name="_Toc183700128"/>
      <w:bookmarkStart w:id="451" w:name="_Toc183700345"/>
      <w:bookmarkStart w:id="452" w:name="_Toc183700637"/>
      <w:bookmarkStart w:id="453" w:name="_Toc183700889"/>
      <w:r w:rsidRPr="008A7DB5">
        <w:rPr>
          <w:sz w:val="24"/>
          <w:szCs w:val="24"/>
        </w:rPr>
        <w:t>2.3.2 Análisis de las diferencias individuales de las compañías entre los saldos de las conciliaciones bancarias y los saldos de libros del primer semestre del año 2007 mediante diagrama de pastel. Compañía M.O. Banco Produbanco.</w:t>
      </w:r>
      <w:bookmarkEnd w:id="444"/>
      <w:bookmarkEnd w:id="445"/>
      <w:bookmarkEnd w:id="446"/>
      <w:bookmarkEnd w:id="447"/>
      <w:bookmarkEnd w:id="448"/>
      <w:bookmarkEnd w:id="449"/>
      <w:bookmarkEnd w:id="450"/>
      <w:bookmarkEnd w:id="451"/>
      <w:bookmarkEnd w:id="452"/>
      <w:bookmarkEnd w:id="453"/>
      <w:r w:rsidRPr="008A7DB5">
        <w:rPr>
          <w:sz w:val="24"/>
          <w:szCs w:val="24"/>
        </w:rPr>
        <w:t xml:space="preserve"> </w:t>
      </w:r>
    </w:p>
    <w:p w:rsidR="00CC1C75" w:rsidRDefault="00B04CD6" w:rsidP="00596B08">
      <w:pPr>
        <w:tabs>
          <w:tab w:val="left" w:pos="851"/>
        </w:tabs>
        <w:spacing w:line="480" w:lineRule="auto"/>
        <w:ind w:left="851"/>
        <w:jc w:val="center"/>
        <w:rPr>
          <w:rFonts w:ascii="Arial" w:hAnsi="Arial" w:cs="Arial"/>
          <w:b/>
        </w:rPr>
      </w:pPr>
      <w:r>
        <w:rPr>
          <w:noProof/>
        </w:rPr>
        <w:drawing>
          <wp:inline distT="0" distB="0" distL="0" distR="0">
            <wp:extent cx="3556000" cy="17018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1C75" w:rsidRPr="008A7DB5" w:rsidRDefault="00596B08" w:rsidP="00596B08">
      <w:pPr>
        <w:pStyle w:val="Ttulo1"/>
        <w:spacing w:line="480" w:lineRule="auto"/>
        <w:jc w:val="center"/>
        <w:rPr>
          <w:rFonts w:ascii="Arial" w:hAnsi="Arial" w:cs="Arial"/>
          <w:b w:val="0"/>
        </w:rPr>
      </w:pPr>
      <w:r>
        <w:rPr>
          <w:rFonts w:ascii="Arial" w:hAnsi="Arial" w:cs="Arial"/>
        </w:rPr>
        <w:t xml:space="preserve">  </w:t>
      </w:r>
      <w:bookmarkStart w:id="454" w:name="_Toc183697502"/>
      <w:bookmarkStart w:id="455" w:name="_Toc183698832"/>
      <w:bookmarkStart w:id="456" w:name="_Toc183699173"/>
      <w:bookmarkStart w:id="457" w:name="_Toc183699385"/>
      <w:bookmarkStart w:id="458" w:name="_Toc183699856"/>
      <w:bookmarkStart w:id="459" w:name="_Toc183700129"/>
      <w:bookmarkStart w:id="460" w:name="_Toc183700346"/>
      <w:bookmarkStart w:id="461" w:name="_Toc183700638"/>
      <w:bookmarkStart w:id="462" w:name="_Toc183700890"/>
      <w:r w:rsidR="00CC1C75" w:rsidRPr="008A7DB5">
        <w:rPr>
          <w:rFonts w:ascii="Arial" w:hAnsi="Arial" w:cs="Arial"/>
        </w:rPr>
        <w:t xml:space="preserve">Gráfico 2.2. </w:t>
      </w:r>
      <w:r w:rsidR="00CC1C75" w:rsidRPr="008A7DB5">
        <w:rPr>
          <w:rFonts w:ascii="Arial" w:hAnsi="Arial" w:cs="Arial"/>
          <w:b w:val="0"/>
        </w:rPr>
        <w:t>Diagrama de pastel. Compañía M.O.Banco Produbanco.</w:t>
      </w:r>
      <w:bookmarkEnd w:id="454"/>
      <w:bookmarkEnd w:id="455"/>
      <w:bookmarkEnd w:id="456"/>
      <w:bookmarkEnd w:id="457"/>
      <w:bookmarkEnd w:id="458"/>
      <w:bookmarkEnd w:id="459"/>
      <w:bookmarkEnd w:id="460"/>
      <w:bookmarkEnd w:id="461"/>
      <w:bookmarkEnd w:id="462"/>
    </w:p>
    <w:p w:rsidR="00CC1C75" w:rsidRPr="00D5368B" w:rsidRDefault="00CC1C75" w:rsidP="00FD4A53">
      <w:pPr>
        <w:tabs>
          <w:tab w:val="left" w:pos="540"/>
        </w:tabs>
        <w:spacing w:line="480" w:lineRule="auto"/>
        <w:ind w:left="540"/>
        <w:jc w:val="both"/>
        <w:rPr>
          <w:rFonts w:ascii="Arial" w:hAnsi="Arial" w:cs="Arial"/>
        </w:rPr>
      </w:pPr>
      <w:r>
        <w:rPr>
          <w:rFonts w:ascii="Arial" w:hAnsi="Arial" w:cs="Arial"/>
        </w:rPr>
        <w:t xml:space="preserve">Se puede observar que esta compañía en este banco ha tenido mayores diferencias en sus saldos en los meses de enero y mayo con </w:t>
      </w:r>
      <w:r>
        <w:rPr>
          <w:rFonts w:ascii="Arial" w:hAnsi="Arial" w:cs="Arial"/>
        </w:rPr>
        <w:lastRenderedPageBreak/>
        <w:t xml:space="preserve">48% lo que equivale en valores de $10,002.34 en cada mes, con solo un 5 % presenta de diferencia en el mes de junio lo que equivale a $1,002.44 mientras que en los meses de febrero, marzo, abril  también ha tenido diferencia pero ha sido mínima por lo que son consideradas en porcentajes de cero como se puede observar el </w:t>
      </w:r>
      <w:r>
        <w:rPr>
          <w:rFonts w:ascii="Arial" w:hAnsi="Arial" w:cs="Arial"/>
          <w:b/>
        </w:rPr>
        <w:t>gráfico 2.2</w:t>
      </w:r>
      <w:r>
        <w:rPr>
          <w:rFonts w:ascii="Arial" w:hAnsi="Arial" w:cs="Arial"/>
        </w:rPr>
        <w:t>. Lo que quiere decir es que mediante este diagrama de pastel confirmamos la situación que reflejamos en los diagramas de barras.</w:t>
      </w:r>
    </w:p>
    <w:p w:rsidR="00CC1C75" w:rsidRPr="00596B08" w:rsidRDefault="00CC1C75" w:rsidP="00FD4A53">
      <w:pPr>
        <w:pStyle w:val="Ttulo3"/>
        <w:spacing w:before="0" w:after="0" w:line="480" w:lineRule="auto"/>
        <w:ind w:left="540"/>
        <w:jc w:val="both"/>
        <w:rPr>
          <w:sz w:val="24"/>
          <w:szCs w:val="24"/>
        </w:rPr>
      </w:pPr>
      <w:bookmarkStart w:id="463" w:name="_Toc183697503"/>
      <w:bookmarkStart w:id="464" w:name="_Toc183698833"/>
      <w:bookmarkStart w:id="465" w:name="_Toc183699174"/>
      <w:bookmarkStart w:id="466" w:name="_Toc183699386"/>
      <w:bookmarkStart w:id="467" w:name="_Toc183699558"/>
      <w:bookmarkStart w:id="468" w:name="_Toc183699857"/>
      <w:bookmarkStart w:id="469" w:name="_Toc183700130"/>
      <w:bookmarkStart w:id="470" w:name="_Toc183700347"/>
      <w:bookmarkStart w:id="471" w:name="_Toc183700639"/>
      <w:bookmarkStart w:id="472" w:name="_Toc183700891"/>
      <w:r w:rsidRPr="00596B08">
        <w:rPr>
          <w:sz w:val="24"/>
          <w:szCs w:val="24"/>
        </w:rPr>
        <w:t>2.3.3 Análisis de las diferencias entre los saldos de las conciliaciones bancarias y los saldos de libros del primer semestre del año 2007 que se encuentran en el 25%, 50% y 75% mediante cuartiles.  Compañía M.O. Banco Produbanco.</w:t>
      </w:r>
      <w:bookmarkEnd w:id="463"/>
      <w:bookmarkEnd w:id="464"/>
      <w:bookmarkEnd w:id="465"/>
      <w:bookmarkEnd w:id="466"/>
      <w:bookmarkEnd w:id="467"/>
      <w:bookmarkEnd w:id="468"/>
      <w:bookmarkEnd w:id="469"/>
      <w:bookmarkEnd w:id="470"/>
      <w:bookmarkEnd w:id="471"/>
      <w:bookmarkEnd w:id="472"/>
    </w:p>
    <w:p w:rsidR="00CC1C75" w:rsidRPr="00596B08" w:rsidRDefault="00596B08" w:rsidP="00596B08">
      <w:pPr>
        <w:pStyle w:val="Ttulo1"/>
        <w:spacing w:line="480" w:lineRule="auto"/>
        <w:jc w:val="center"/>
        <w:rPr>
          <w:rFonts w:ascii="Arial" w:hAnsi="Arial" w:cs="Arial"/>
          <w:b w:val="0"/>
        </w:rPr>
      </w:pPr>
      <w:r>
        <w:rPr>
          <w:rFonts w:ascii="Arial" w:hAnsi="Arial" w:cs="Arial"/>
        </w:rPr>
        <w:t xml:space="preserve">           </w:t>
      </w:r>
      <w:bookmarkStart w:id="473" w:name="_Toc183697504"/>
      <w:bookmarkStart w:id="474" w:name="_Toc183698834"/>
      <w:bookmarkStart w:id="475" w:name="_Toc183699175"/>
      <w:bookmarkStart w:id="476" w:name="_Toc183699387"/>
      <w:bookmarkStart w:id="477" w:name="_Toc183699559"/>
      <w:bookmarkStart w:id="478" w:name="_Toc183699858"/>
      <w:bookmarkStart w:id="479" w:name="_Toc183700131"/>
      <w:bookmarkStart w:id="480" w:name="_Toc183700640"/>
      <w:bookmarkStart w:id="481" w:name="_Toc183700892"/>
      <w:r w:rsidRPr="00596B08">
        <w:rPr>
          <w:rFonts w:ascii="Arial" w:hAnsi="Arial" w:cs="Arial"/>
        </w:rPr>
        <w:t xml:space="preserve">Tabla III. </w:t>
      </w:r>
      <w:r w:rsidRPr="00596B08">
        <w:rPr>
          <w:rFonts w:ascii="Arial" w:hAnsi="Arial" w:cs="Arial"/>
          <w:b w:val="0"/>
        </w:rPr>
        <w:t>Valores de los cuartiles de M.O. Banco Produbanco.</w:t>
      </w:r>
      <w:bookmarkEnd w:id="473"/>
      <w:bookmarkEnd w:id="474"/>
      <w:bookmarkEnd w:id="475"/>
      <w:bookmarkEnd w:id="476"/>
      <w:bookmarkEnd w:id="477"/>
      <w:bookmarkEnd w:id="478"/>
      <w:bookmarkEnd w:id="479"/>
      <w:bookmarkEnd w:id="480"/>
      <w:bookmarkEnd w:id="481"/>
    </w:p>
    <w:tbl>
      <w:tblPr>
        <w:tblW w:w="6440" w:type="dxa"/>
        <w:tblInd w:w="1080" w:type="dxa"/>
        <w:tblCellMar>
          <w:left w:w="70" w:type="dxa"/>
          <w:right w:w="70" w:type="dxa"/>
        </w:tblCellMar>
        <w:tblLook w:val="0000"/>
      </w:tblPr>
      <w:tblGrid>
        <w:gridCol w:w="400"/>
        <w:gridCol w:w="820"/>
        <w:gridCol w:w="660"/>
        <w:gridCol w:w="620"/>
        <w:gridCol w:w="520"/>
        <w:gridCol w:w="660"/>
        <w:gridCol w:w="660"/>
        <w:gridCol w:w="580"/>
        <w:gridCol w:w="394"/>
        <w:gridCol w:w="521"/>
        <w:gridCol w:w="605"/>
      </w:tblGrid>
      <w:tr w:rsidR="00173426" w:rsidRPr="00173426">
        <w:trPr>
          <w:trHeight w:val="270"/>
        </w:trPr>
        <w:tc>
          <w:tcPr>
            <w:tcW w:w="40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2"/>
                <w:szCs w:val="12"/>
              </w:rPr>
            </w:pPr>
          </w:p>
        </w:tc>
        <w:tc>
          <w:tcPr>
            <w:tcW w:w="82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2"/>
                <w:szCs w:val="12"/>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2"/>
                <w:szCs w:val="12"/>
              </w:rPr>
            </w:pPr>
            <w:r w:rsidRPr="00173426">
              <w:rPr>
                <w:rFonts w:eastAsia="Times New Roman"/>
                <w:b/>
                <w:bCs/>
                <w:sz w:val="12"/>
                <w:szCs w:val="12"/>
              </w:rPr>
              <w:t>Ene.</w:t>
            </w:r>
          </w:p>
        </w:tc>
        <w:tc>
          <w:tcPr>
            <w:tcW w:w="62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2"/>
                <w:szCs w:val="12"/>
              </w:rPr>
            </w:pPr>
            <w:r w:rsidRPr="00173426">
              <w:rPr>
                <w:rFonts w:eastAsia="Times New Roman"/>
                <w:b/>
                <w:bCs/>
                <w:sz w:val="12"/>
                <w:szCs w:val="12"/>
              </w:rPr>
              <w:t>Feb.</w:t>
            </w:r>
          </w:p>
        </w:tc>
        <w:tc>
          <w:tcPr>
            <w:tcW w:w="52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2"/>
                <w:szCs w:val="12"/>
              </w:rPr>
            </w:pPr>
            <w:r w:rsidRPr="00173426">
              <w:rPr>
                <w:rFonts w:eastAsia="Times New Roman"/>
                <w:b/>
                <w:bCs/>
                <w:sz w:val="12"/>
                <w:szCs w:val="12"/>
              </w:rPr>
              <w:t>Marz.</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2"/>
                <w:szCs w:val="12"/>
              </w:rPr>
            </w:pPr>
            <w:r w:rsidRPr="00173426">
              <w:rPr>
                <w:rFonts w:eastAsia="Times New Roman"/>
                <w:b/>
                <w:bCs/>
                <w:sz w:val="12"/>
                <w:szCs w:val="12"/>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2"/>
                <w:szCs w:val="12"/>
              </w:rPr>
            </w:pPr>
            <w:r w:rsidRPr="00173426">
              <w:rPr>
                <w:rFonts w:eastAsia="Times New Roman"/>
                <w:b/>
                <w:bCs/>
                <w:sz w:val="12"/>
                <w:szCs w:val="12"/>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2"/>
                <w:szCs w:val="12"/>
              </w:rPr>
            </w:pPr>
            <w:r w:rsidRPr="00173426">
              <w:rPr>
                <w:rFonts w:eastAsia="Times New Roman"/>
                <w:b/>
                <w:bCs/>
                <w:sz w:val="12"/>
                <w:szCs w:val="12"/>
              </w:rPr>
              <w:t>Jun.</w:t>
            </w:r>
          </w:p>
        </w:tc>
        <w:tc>
          <w:tcPr>
            <w:tcW w:w="152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Cuartiles</w:t>
            </w:r>
          </w:p>
        </w:tc>
      </w:tr>
      <w:tr w:rsidR="00173426" w:rsidRPr="00173426">
        <w:trPr>
          <w:trHeight w:val="270"/>
        </w:trPr>
        <w:tc>
          <w:tcPr>
            <w:tcW w:w="4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Cía.</w:t>
            </w:r>
          </w:p>
        </w:tc>
        <w:tc>
          <w:tcPr>
            <w:tcW w:w="820" w:type="dxa"/>
            <w:tcBorders>
              <w:top w:val="single" w:sz="8" w:space="0" w:color="auto"/>
              <w:left w:val="nil"/>
              <w:bottom w:val="nil"/>
              <w:right w:val="nil"/>
            </w:tcBorders>
            <w:shd w:val="clear" w:color="auto" w:fill="auto"/>
            <w:noWrap/>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BANCOS</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Dif</w:t>
            </w:r>
          </w:p>
        </w:tc>
        <w:tc>
          <w:tcPr>
            <w:tcW w:w="62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Dif</w:t>
            </w:r>
          </w:p>
        </w:tc>
        <w:tc>
          <w:tcPr>
            <w:tcW w:w="52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Dif</w:t>
            </w:r>
          </w:p>
        </w:tc>
        <w:tc>
          <w:tcPr>
            <w:tcW w:w="58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2"/>
                <w:szCs w:val="12"/>
              </w:rPr>
            </w:pPr>
            <w:r w:rsidRPr="00173426">
              <w:rPr>
                <w:rFonts w:eastAsia="Times New Roman"/>
                <w:b/>
                <w:bCs/>
                <w:sz w:val="12"/>
                <w:szCs w:val="12"/>
              </w:rPr>
              <w:t>Dif</w:t>
            </w:r>
          </w:p>
        </w:tc>
        <w:tc>
          <w:tcPr>
            <w:tcW w:w="394" w:type="dxa"/>
            <w:tcBorders>
              <w:top w:val="nil"/>
              <w:left w:val="single" w:sz="8" w:space="0" w:color="auto"/>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2"/>
                <w:szCs w:val="12"/>
              </w:rPr>
            </w:pPr>
            <w:r w:rsidRPr="00173426">
              <w:rPr>
                <w:rFonts w:eastAsia="Times New Roman"/>
                <w:b/>
                <w:bCs/>
                <w:sz w:val="12"/>
                <w:szCs w:val="12"/>
              </w:rPr>
              <w:t>25%</w:t>
            </w:r>
          </w:p>
        </w:tc>
        <w:tc>
          <w:tcPr>
            <w:tcW w:w="521" w:type="dxa"/>
            <w:tcBorders>
              <w:top w:val="nil"/>
              <w:left w:val="nil"/>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2"/>
                <w:szCs w:val="12"/>
              </w:rPr>
            </w:pPr>
            <w:r w:rsidRPr="00173426">
              <w:rPr>
                <w:rFonts w:eastAsia="Times New Roman"/>
                <w:b/>
                <w:bCs/>
                <w:sz w:val="12"/>
                <w:szCs w:val="12"/>
              </w:rPr>
              <w:t>50%</w:t>
            </w:r>
          </w:p>
        </w:tc>
        <w:tc>
          <w:tcPr>
            <w:tcW w:w="605" w:type="dxa"/>
            <w:tcBorders>
              <w:top w:val="nil"/>
              <w:left w:val="nil"/>
              <w:bottom w:val="nil"/>
              <w:right w:val="single" w:sz="8" w:space="0" w:color="auto"/>
            </w:tcBorders>
            <w:shd w:val="clear" w:color="auto" w:fill="auto"/>
            <w:noWrap/>
            <w:vAlign w:val="bottom"/>
          </w:tcPr>
          <w:p w:rsidR="00173426" w:rsidRPr="00173426" w:rsidRDefault="00173426" w:rsidP="00173426">
            <w:pPr>
              <w:jc w:val="right"/>
              <w:rPr>
                <w:rFonts w:eastAsia="Times New Roman"/>
                <w:b/>
                <w:bCs/>
                <w:sz w:val="12"/>
                <w:szCs w:val="12"/>
              </w:rPr>
            </w:pPr>
            <w:r w:rsidRPr="00173426">
              <w:rPr>
                <w:rFonts w:eastAsia="Times New Roman"/>
                <w:b/>
                <w:bCs/>
                <w:sz w:val="12"/>
                <w:szCs w:val="12"/>
              </w:rPr>
              <w:t>75%</w:t>
            </w:r>
          </w:p>
        </w:tc>
      </w:tr>
      <w:tr w:rsidR="00173426" w:rsidRPr="00173426">
        <w:trPr>
          <w:trHeight w:val="27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173426" w:rsidRDefault="00173426" w:rsidP="00173426">
            <w:pPr>
              <w:rPr>
                <w:rFonts w:eastAsia="Times New Roman"/>
                <w:sz w:val="12"/>
                <w:szCs w:val="12"/>
              </w:rPr>
            </w:pPr>
          </w:p>
          <w:p w:rsidR="00173426" w:rsidRPr="00173426" w:rsidRDefault="00173426" w:rsidP="00173426">
            <w:pPr>
              <w:rPr>
                <w:rFonts w:eastAsia="Times New Roman"/>
                <w:sz w:val="12"/>
                <w:szCs w:val="12"/>
              </w:rPr>
            </w:pPr>
            <w:r w:rsidRPr="00173426">
              <w:rPr>
                <w:rFonts w:eastAsia="Times New Roman"/>
                <w:sz w:val="12"/>
                <w:szCs w:val="12"/>
              </w:rPr>
              <w:t>M.O.</w:t>
            </w:r>
          </w:p>
        </w:tc>
        <w:tc>
          <w:tcPr>
            <w:tcW w:w="820" w:type="dxa"/>
            <w:tcBorders>
              <w:top w:val="single" w:sz="8" w:space="0" w:color="auto"/>
              <w:left w:val="nil"/>
              <w:bottom w:val="single" w:sz="4" w:space="0" w:color="auto"/>
              <w:right w:val="nil"/>
            </w:tcBorders>
            <w:shd w:val="clear" w:color="auto" w:fill="auto"/>
            <w:noWrap/>
            <w:vAlign w:val="bottom"/>
          </w:tcPr>
          <w:p w:rsidR="00173426" w:rsidRPr="00173426" w:rsidRDefault="00173426" w:rsidP="00173426">
            <w:pPr>
              <w:jc w:val="center"/>
              <w:rPr>
                <w:rFonts w:eastAsia="Times New Roman"/>
                <w:sz w:val="12"/>
                <w:szCs w:val="12"/>
              </w:rPr>
            </w:pPr>
            <w:r w:rsidRPr="00173426">
              <w:rPr>
                <w:rFonts w:eastAsia="Times New Roman"/>
                <w:sz w:val="12"/>
                <w:szCs w:val="12"/>
              </w:rPr>
              <w:t>Produbanco</w:t>
            </w:r>
          </w:p>
        </w:tc>
        <w:tc>
          <w:tcPr>
            <w:tcW w:w="6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2"/>
                <w:szCs w:val="12"/>
              </w:rPr>
            </w:pPr>
            <w:r w:rsidRPr="00173426">
              <w:rPr>
                <w:rFonts w:eastAsia="Times New Roman"/>
                <w:sz w:val="12"/>
                <w:szCs w:val="12"/>
              </w:rPr>
              <w:t>10.002,34</w:t>
            </w:r>
          </w:p>
        </w:tc>
        <w:tc>
          <w:tcPr>
            <w:tcW w:w="62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2"/>
                <w:szCs w:val="12"/>
              </w:rPr>
            </w:pPr>
            <w:r w:rsidRPr="00173426">
              <w:rPr>
                <w:rFonts w:eastAsia="Times New Roman"/>
                <w:sz w:val="12"/>
                <w:szCs w:val="12"/>
              </w:rPr>
              <w:t>2,34</w:t>
            </w:r>
          </w:p>
        </w:tc>
        <w:tc>
          <w:tcPr>
            <w:tcW w:w="52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2"/>
                <w:szCs w:val="12"/>
              </w:rPr>
            </w:pPr>
            <w:r w:rsidRPr="00173426">
              <w:rPr>
                <w:rFonts w:eastAsia="Times New Roman"/>
                <w:sz w:val="12"/>
                <w:szCs w:val="12"/>
              </w:rPr>
              <w:t>2,54</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2"/>
                <w:szCs w:val="12"/>
              </w:rPr>
            </w:pPr>
            <w:r w:rsidRPr="00173426">
              <w:rPr>
                <w:rFonts w:eastAsia="Times New Roman"/>
                <w:sz w:val="12"/>
                <w:szCs w:val="12"/>
              </w:rPr>
              <w:t>5,54</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2"/>
                <w:szCs w:val="12"/>
              </w:rPr>
            </w:pPr>
            <w:r w:rsidRPr="00173426">
              <w:rPr>
                <w:rFonts w:eastAsia="Times New Roman"/>
                <w:sz w:val="12"/>
                <w:szCs w:val="12"/>
              </w:rPr>
              <w:t>10.002,34</w:t>
            </w:r>
          </w:p>
        </w:tc>
        <w:tc>
          <w:tcPr>
            <w:tcW w:w="580" w:type="dxa"/>
            <w:tcBorders>
              <w:top w:val="single" w:sz="8" w:space="0" w:color="auto"/>
              <w:left w:val="nil"/>
              <w:bottom w:val="single" w:sz="4" w:space="0" w:color="auto"/>
              <w:right w:val="nil"/>
            </w:tcBorders>
            <w:shd w:val="clear" w:color="auto" w:fill="auto"/>
            <w:noWrap/>
            <w:vAlign w:val="bottom"/>
          </w:tcPr>
          <w:p w:rsidR="00173426" w:rsidRPr="00173426" w:rsidRDefault="00173426" w:rsidP="00173426">
            <w:pPr>
              <w:jc w:val="center"/>
              <w:rPr>
                <w:rFonts w:eastAsia="Times New Roman"/>
                <w:sz w:val="12"/>
                <w:szCs w:val="12"/>
              </w:rPr>
            </w:pPr>
            <w:r w:rsidRPr="00173426">
              <w:rPr>
                <w:rFonts w:eastAsia="Times New Roman"/>
                <w:sz w:val="12"/>
                <w:szCs w:val="12"/>
              </w:rPr>
              <w:t>1.002,44</w:t>
            </w:r>
          </w:p>
        </w:tc>
        <w:tc>
          <w:tcPr>
            <w:tcW w:w="394" w:type="dxa"/>
            <w:tcBorders>
              <w:top w:val="single" w:sz="8" w:space="0" w:color="auto"/>
              <w:left w:val="single" w:sz="8" w:space="0" w:color="auto"/>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2"/>
                <w:szCs w:val="12"/>
              </w:rPr>
            </w:pPr>
            <w:r w:rsidRPr="00173426">
              <w:rPr>
                <w:rFonts w:eastAsia="Times New Roman"/>
                <w:sz w:val="12"/>
                <w:szCs w:val="12"/>
              </w:rPr>
              <w:t>3,29</w:t>
            </w:r>
          </w:p>
        </w:tc>
        <w:tc>
          <w:tcPr>
            <w:tcW w:w="521"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2"/>
                <w:szCs w:val="12"/>
              </w:rPr>
            </w:pPr>
            <w:r w:rsidRPr="00173426">
              <w:rPr>
                <w:rFonts w:eastAsia="Times New Roman"/>
                <w:sz w:val="12"/>
                <w:szCs w:val="12"/>
              </w:rPr>
              <w:t>503,99</w:t>
            </w:r>
          </w:p>
        </w:tc>
        <w:tc>
          <w:tcPr>
            <w:tcW w:w="605"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2"/>
                <w:szCs w:val="12"/>
              </w:rPr>
            </w:pPr>
            <w:r w:rsidRPr="00173426">
              <w:rPr>
                <w:rFonts w:eastAsia="Times New Roman"/>
                <w:sz w:val="12"/>
                <w:szCs w:val="12"/>
              </w:rPr>
              <w:t>7752,36</w:t>
            </w:r>
          </w:p>
        </w:tc>
      </w:tr>
    </w:tbl>
    <w:p w:rsidR="00CC1C75" w:rsidRDefault="00CC1C75" w:rsidP="00E47651">
      <w:pPr>
        <w:autoSpaceDE w:val="0"/>
        <w:autoSpaceDN w:val="0"/>
        <w:adjustRightInd w:val="0"/>
        <w:spacing w:line="480" w:lineRule="auto"/>
        <w:jc w:val="both"/>
        <w:rPr>
          <w:rFonts w:ascii="Arial" w:hAnsi="Arial" w:cs="Arial"/>
          <w:color w:val="000000"/>
        </w:rPr>
      </w:pPr>
    </w:p>
    <w:p w:rsidR="00CC1C75" w:rsidRDefault="00CC1C75" w:rsidP="00CC1C75">
      <w:pPr>
        <w:autoSpaceDE w:val="0"/>
        <w:autoSpaceDN w:val="0"/>
        <w:adjustRightInd w:val="0"/>
        <w:spacing w:line="480" w:lineRule="auto"/>
        <w:ind w:left="540"/>
        <w:jc w:val="both"/>
        <w:rPr>
          <w:rFonts w:ascii="Arial" w:hAnsi="Arial" w:cs="Arial"/>
          <w:color w:val="000000"/>
        </w:rPr>
      </w:pPr>
      <w:r>
        <w:rPr>
          <w:rFonts w:ascii="Arial" w:hAnsi="Arial" w:cs="Arial"/>
          <w:color w:val="000000"/>
        </w:rPr>
        <w:t>El primer cuartil nos indica que el 25% de las diferencias de las conciliaciones bancarias  durante los primeros 6 meses de la compañía  son inferiores a $3.29; lo que quiere decir que el 75% de las diferencias, son superiores al valor antes mencionado.</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CC1C75">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En el segundo cuartil podemos observar que la mitad de los valores  están por debajo de $ 503.99. </w:t>
      </w:r>
    </w:p>
    <w:p w:rsidR="00CC1C75" w:rsidRDefault="00CC1C75" w:rsidP="00CC1C75">
      <w:pPr>
        <w:autoSpaceDE w:val="0"/>
        <w:autoSpaceDN w:val="0"/>
        <w:adjustRightInd w:val="0"/>
        <w:spacing w:line="480" w:lineRule="auto"/>
        <w:ind w:left="540"/>
        <w:jc w:val="both"/>
        <w:rPr>
          <w:rFonts w:ascii="Arial" w:hAnsi="Arial" w:cs="Arial"/>
          <w:color w:val="000000"/>
        </w:rPr>
      </w:pPr>
      <w:r>
        <w:rPr>
          <w:rFonts w:ascii="Arial" w:hAnsi="Arial" w:cs="Arial"/>
          <w:color w:val="000000"/>
        </w:rPr>
        <w:lastRenderedPageBreak/>
        <w:t>El tercer cuartil nos indica que el 75% de las diferencias de las conciliaciones bancarias son inferiores a $7752.36; es decir que el 25% restante son superiores a ese valor.</w:t>
      </w:r>
    </w:p>
    <w:p w:rsidR="00CC1C75" w:rsidRPr="005E251C" w:rsidRDefault="00CC1C75" w:rsidP="005E251C">
      <w:pPr>
        <w:pStyle w:val="Ttulo3"/>
        <w:spacing w:before="0" w:after="0" w:line="480" w:lineRule="auto"/>
        <w:ind w:left="540"/>
        <w:jc w:val="both"/>
        <w:rPr>
          <w:sz w:val="24"/>
          <w:szCs w:val="24"/>
        </w:rPr>
      </w:pPr>
    </w:p>
    <w:p w:rsidR="00CC1C75" w:rsidRDefault="00CC1C75" w:rsidP="00FD4A53">
      <w:pPr>
        <w:pStyle w:val="Ttulo3"/>
        <w:spacing w:before="0" w:after="0" w:line="480" w:lineRule="auto"/>
        <w:ind w:left="540"/>
        <w:jc w:val="both"/>
        <w:rPr>
          <w:sz w:val="24"/>
          <w:szCs w:val="24"/>
        </w:rPr>
      </w:pPr>
      <w:bookmarkStart w:id="482" w:name="_Toc183697505"/>
      <w:bookmarkStart w:id="483" w:name="_Toc183698835"/>
      <w:bookmarkStart w:id="484" w:name="_Toc183699176"/>
      <w:bookmarkStart w:id="485" w:name="_Toc183699388"/>
      <w:bookmarkStart w:id="486" w:name="_Toc183699560"/>
      <w:bookmarkStart w:id="487" w:name="_Toc183699859"/>
      <w:bookmarkStart w:id="488" w:name="_Toc183700132"/>
      <w:bookmarkStart w:id="489" w:name="_Toc183700349"/>
      <w:bookmarkStart w:id="490" w:name="_Toc183700641"/>
      <w:bookmarkStart w:id="491" w:name="_Toc183700893"/>
      <w:r w:rsidRPr="005E251C">
        <w:rPr>
          <w:sz w:val="24"/>
          <w:szCs w:val="24"/>
        </w:rPr>
        <w:t>2.3.4 Análisis de los valores de  las diferencias entre los saldos de las conciliaciones bancarias y los saldos de libros del primer semestre del año 2007 mediante series de tiempo. Compañía M.O.</w:t>
      </w:r>
      <w:bookmarkEnd w:id="482"/>
      <w:bookmarkEnd w:id="483"/>
      <w:bookmarkEnd w:id="484"/>
      <w:bookmarkEnd w:id="485"/>
      <w:bookmarkEnd w:id="486"/>
      <w:bookmarkEnd w:id="487"/>
      <w:bookmarkEnd w:id="488"/>
      <w:bookmarkEnd w:id="489"/>
      <w:bookmarkEnd w:id="490"/>
      <w:bookmarkEnd w:id="491"/>
    </w:p>
    <w:p w:rsidR="005E251C" w:rsidRPr="005E251C" w:rsidRDefault="005E251C" w:rsidP="005E251C"/>
    <w:p w:rsidR="00CC1C75" w:rsidRPr="005E251C" w:rsidRDefault="005E251C" w:rsidP="005E251C">
      <w:pPr>
        <w:pStyle w:val="Ttulo1"/>
        <w:spacing w:line="480" w:lineRule="auto"/>
        <w:jc w:val="center"/>
        <w:rPr>
          <w:rFonts w:ascii="Arial" w:hAnsi="Arial" w:cs="Arial"/>
          <w:b w:val="0"/>
        </w:rPr>
      </w:pPr>
      <w:r>
        <w:rPr>
          <w:rFonts w:ascii="Arial" w:hAnsi="Arial" w:cs="Arial"/>
        </w:rPr>
        <w:t xml:space="preserve">   </w:t>
      </w:r>
      <w:bookmarkStart w:id="492" w:name="_Toc183697506"/>
      <w:bookmarkStart w:id="493" w:name="_Toc183698836"/>
      <w:bookmarkStart w:id="494" w:name="_Toc183699177"/>
      <w:bookmarkStart w:id="495" w:name="_Toc183699389"/>
      <w:bookmarkStart w:id="496" w:name="_Toc183699561"/>
      <w:bookmarkStart w:id="497" w:name="_Toc183699860"/>
      <w:bookmarkStart w:id="498" w:name="_Toc183700133"/>
      <w:bookmarkStart w:id="499" w:name="_Toc183700642"/>
      <w:bookmarkStart w:id="500" w:name="_Toc183700894"/>
      <w:r w:rsidRPr="005E251C">
        <w:rPr>
          <w:rFonts w:ascii="Arial" w:hAnsi="Arial" w:cs="Arial"/>
        </w:rPr>
        <w:t xml:space="preserve">Tabla IV. </w:t>
      </w:r>
      <w:r w:rsidRPr="005E251C">
        <w:rPr>
          <w:rFonts w:ascii="Arial" w:hAnsi="Arial" w:cs="Arial"/>
          <w:b w:val="0"/>
        </w:rPr>
        <w:t>Diferencias de la compañía M.O.</w:t>
      </w:r>
      <w:bookmarkEnd w:id="492"/>
      <w:bookmarkEnd w:id="493"/>
      <w:bookmarkEnd w:id="494"/>
      <w:bookmarkEnd w:id="495"/>
      <w:bookmarkEnd w:id="496"/>
      <w:bookmarkEnd w:id="497"/>
      <w:bookmarkEnd w:id="498"/>
      <w:bookmarkEnd w:id="499"/>
      <w:bookmarkEnd w:id="500"/>
    </w:p>
    <w:tbl>
      <w:tblPr>
        <w:tblpPr w:leftFromText="141" w:rightFromText="141" w:vertAnchor="text" w:horzAnchor="margin" w:tblpXSpec="center" w:tblpY="174"/>
        <w:tblOverlap w:val="never"/>
        <w:tblW w:w="3600" w:type="dxa"/>
        <w:tblCellMar>
          <w:left w:w="0" w:type="dxa"/>
          <w:right w:w="0" w:type="dxa"/>
        </w:tblCellMar>
        <w:tblLook w:val="0000"/>
      </w:tblPr>
      <w:tblGrid>
        <w:gridCol w:w="1200"/>
        <w:gridCol w:w="1279"/>
        <w:gridCol w:w="1121"/>
      </w:tblGrid>
      <w:tr w:rsidR="005E251C">
        <w:trPr>
          <w:trHeight w:val="255"/>
        </w:trPr>
        <w:tc>
          <w:tcPr>
            <w:tcW w:w="1200" w:type="dxa"/>
            <w:tcBorders>
              <w:top w:val="single" w:sz="4" w:space="0" w:color="auto"/>
              <w:left w:val="single" w:sz="4" w:space="0" w:color="auto"/>
              <w:bottom w:val="nil"/>
              <w:right w:val="nil"/>
            </w:tcBorders>
            <w:noWrap/>
            <w:vAlign w:val="bottom"/>
          </w:tcPr>
          <w:p w:rsidR="005E251C" w:rsidRDefault="005E251C" w:rsidP="005E251C">
            <w:pPr>
              <w:rPr>
                <w:rFonts w:ascii="Arial" w:eastAsia="Arial Unicode MS" w:hAnsi="Arial" w:cs="Arial"/>
                <w:sz w:val="20"/>
                <w:szCs w:val="20"/>
              </w:rPr>
            </w:pPr>
            <w:r>
              <w:rPr>
                <w:rFonts w:ascii="Arial" w:hAnsi="Arial" w:cs="Arial"/>
                <w:sz w:val="20"/>
                <w:szCs w:val="20"/>
              </w:rPr>
              <w:t> </w:t>
            </w: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5E251C" w:rsidRDefault="005E251C" w:rsidP="005E251C">
            <w:pPr>
              <w:jc w:val="center"/>
              <w:rPr>
                <w:rFonts w:eastAsia="Arial Unicode MS"/>
                <w:sz w:val="16"/>
                <w:szCs w:val="16"/>
              </w:rPr>
            </w:pPr>
            <w:r>
              <w:rPr>
                <w:sz w:val="16"/>
                <w:szCs w:val="16"/>
              </w:rPr>
              <w:t>M.O.</w:t>
            </w:r>
          </w:p>
        </w:tc>
      </w:tr>
      <w:tr w:rsidR="005E251C">
        <w:trPr>
          <w:trHeight w:val="255"/>
        </w:trPr>
        <w:tc>
          <w:tcPr>
            <w:tcW w:w="0" w:type="auto"/>
            <w:tcBorders>
              <w:top w:val="nil"/>
              <w:left w:val="single" w:sz="4" w:space="0" w:color="auto"/>
              <w:bottom w:val="nil"/>
              <w:right w:val="nil"/>
            </w:tcBorders>
            <w:noWrap/>
            <w:vAlign w:val="bottom"/>
          </w:tcPr>
          <w:p w:rsidR="005E251C" w:rsidRDefault="005E251C" w:rsidP="005E251C">
            <w:pPr>
              <w:rPr>
                <w:rFonts w:ascii="Arial" w:eastAsia="Arial Unicode MS"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vAlign w:val="bottom"/>
          </w:tcPr>
          <w:p w:rsidR="005E251C" w:rsidRDefault="005E251C" w:rsidP="005E251C">
            <w:pPr>
              <w:jc w:val="center"/>
              <w:rPr>
                <w:rFonts w:eastAsia="Arial Unicode MS"/>
                <w:sz w:val="16"/>
                <w:szCs w:val="16"/>
              </w:rPr>
            </w:pPr>
            <w:r>
              <w:rPr>
                <w:sz w:val="16"/>
                <w:szCs w:val="16"/>
              </w:rPr>
              <w:t>Produbanco</w:t>
            </w:r>
          </w:p>
        </w:tc>
        <w:tc>
          <w:tcPr>
            <w:tcW w:w="0" w:type="auto"/>
            <w:tcBorders>
              <w:top w:val="nil"/>
              <w:left w:val="nil"/>
              <w:bottom w:val="single" w:sz="4" w:space="0" w:color="auto"/>
              <w:right w:val="single" w:sz="4" w:space="0" w:color="auto"/>
            </w:tcBorders>
            <w:noWrap/>
            <w:vAlign w:val="bottom"/>
          </w:tcPr>
          <w:p w:rsidR="005E251C" w:rsidRDefault="005E251C" w:rsidP="005E251C">
            <w:pPr>
              <w:jc w:val="center"/>
              <w:rPr>
                <w:rFonts w:eastAsia="Arial Unicode MS"/>
                <w:sz w:val="16"/>
                <w:szCs w:val="16"/>
              </w:rPr>
            </w:pPr>
            <w:r>
              <w:rPr>
                <w:sz w:val="16"/>
                <w:szCs w:val="16"/>
              </w:rPr>
              <w:t>Pichincha</w:t>
            </w:r>
          </w:p>
        </w:tc>
      </w:tr>
      <w:tr w:rsidR="005E251C">
        <w:trPr>
          <w:trHeight w:val="255"/>
        </w:trPr>
        <w:tc>
          <w:tcPr>
            <w:tcW w:w="0" w:type="auto"/>
            <w:tcBorders>
              <w:top w:val="nil"/>
              <w:left w:val="single" w:sz="4" w:space="0" w:color="auto"/>
              <w:bottom w:val="nil"/>
              <w:right w:val="nil"/>
            </w:tcBorders>
            <w:noWrap/>
            <w:vAlign w:val="bottom"/>
          </w:tcPr>
          <w:p w:rsidR="005E251C" w:rsidRDefault="005E251C" w:rsidP="005E251C">
            <w:pPr>
              <w:rPr>
                <w:rFonts w:ascii="Arial" w:eastAsia="Arial Unicode MS" w:hAnsi="Arial" w:cs="Arial"/>
                <w:sz w:val="20"/>
                <w:szCs w:val="20"/>
              </w:rPr>
            </w:pPr>
            <w:r>
              <w:rPr>
                <w:rFonts w:ascii="Arial" w:hAnsi="Arial" w:cs="Arial"/>
                <w:sz w:val="20"/>
                <w:szCs w:val="20"/>
              </w:rPr>
              <w:t>ENERO</w:t>
            </w:r>
          </w:p>
        </w:tc>
        <w:tc>
          <w:tcPr>
            <w:tcW w:w="0" w:type="auto"/>
            <w:tcBorders>
              <w:top w:val="nil"/>
              <w:left w:val="single" w:sz="4" w:space="0" w:color="auto"/>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10.002,34</w:t>
            </w:r>
          </w:p>
        </w:tc>
        <w:tc>
          <w:tcPr>
            <w:tcW w:w="0" w:type="auto"/>
            <w:tcBorders>
              <w:top w:val="nil"/>
              <w:left w:val="nil"/>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1.000,00</w:t>
            </w:r>
          </w:p>
        </w:tc>
      </w:tr>
      <w:tr w:rsidR="005E251C">
        <w:trPr>
          <w:trHeight w:val="255"/>
        </w:trPr>
        <w:tc>
          <w:tcPr>
            <w:tcW w:w="0" w:type="auto"/>
            <w:tcBorders>
              <w:top w:val="nil"/>
              <w:left w:val="single" w:sz="4" w:space="0" w:color="auto"/>
              <w:bottom w:val="nil"/>
              <w:right w:val="nil"/>
            </w:tcBorders>
            <w:noWrap/>
            <w:vAlign w:val="bottom"/>
          </w:tcPr>
          <w:p w:rsidR="005E251C" w:rsidRDefault="005E251C" w:rsidP="005E251C">
            <w:pPr>
              <w:rPr>
                <w:rFonts w:ascii="Arial" w:eastAsia="Arial Unicode MS" w:hAnsi="Arial" w:cs="Arial"/>
                <w:sz w:val="20"/>
                <w:szCs w:val="20"/>
              </w:rPr>
            </w:pPr>
            <w:r>
              <w:rPr>
                <w:rFonts w:ascii="Arial" w:hAnsi="Arial" w:cs="Arial"/>
                <w:sz w:val="20"/>
                <w:szCs w:val="20"/>
              </w:rPr>
              <w:t>FEBRERO</w:t>
            </w:r>
          </w:p>
        </w:tc>
        <w:tc>
          <w:tcPr>
            <w:tcW w:w="0" w:type="auto"/>
            <w:tcBorders>
              <w:top w:val="nil"/>
              <w:left w:val="single" w:sz="4" w:space="0" w:color="auto"/>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2,34</w:t>
            </w:r>
          </w:p>
        </w:tc>
        <w:tc>
          <w:tcPr>
            <w:tcW w:w="0" w:type="auto"/>
            <w:tcBorders>
              <w:top w:val="nil"/>
              <w:left w:val="nil"/>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0,00</w:t>
            </w:r>
          </w:p>
        </w:tc>
      </w:tr>
      <w:tr w:rsidR="005E251C">
        <w:trPr>
          <w:trHeight w:val="255"/>
        </w:trPr>
        <w:tc>
          <w:tcPr>
            <w:tcW w:w="0" w:type="auto"/>
            <w:tcBorders>
              <w:top w:val="nil"/>
              <w:left w:val="single" w:sz="4" w:space="0" w:color="auto"/>
              <w:bottom w:val="nil"/>
              <w:right w:val="nil"/>
            </w:tcBorders>
            <w:noWrap/>
            <w:vAlign w:val="bottom"/>
          </w:tcPr>
          <w:p w:rsidR="005E251C" w:rsidRDefault="005E251C" w:rsidP="005E251C">
            <w:pPr>
              <w:rPr>
                <w:rFonts w:ascii="Arial" w:eastAsia="Arial Unicode MS" w:hAnsi="Arial" w:cs="Arial"/>
                <w:sz w:val="20"/>
                <w:szCs w:val="20"/>
              </w:rPr>
            </w:pPr>
            <w:r>
              <w:rPr>
                <w:rFonts w:ascii="Arial" w:hAnsi="Arial" w:cs="Arial"/>
                <w:sz w:val="20"/>
                <w:szCs w:val="20"/>
              </w:rPr>
              <w:t>MARZO</w:t>
            </w:r>
          </w:p>
        </w:tc>
        <w:tc>
          <w:tcPr>
            <w:tcW w:w="0" w:type="auto"/>
            <w:tcBorders>
              <w:top w:val="nil"/>
              <w:left w:val="single" w:sz="4" w:space="0" w:color="auto"/>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2,54</w:t>
            </w:r>
          </w:p>
        </w:tc>
        <w:tc>
          <w:tcPr>
            <w:tcW w:w="0" w:type="auto"/>
            <w:tcBorders>
              <w:top w:val="nil"/>
              <w:left w:val="nil"/>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3.000,00</w:t>
            </w:r>
          </w:p>
        </w:tc>
      </w:tr>
      <w:tr w:rsidR="005E251C">
        <w:trPr>
          <w:trHeight w:val="255"/>
        </w:trPr>
        <w:tc>
          <w:tcPr>
            <w:tcW w:w="0" w:type="auto"/>
            <w:tcBorders>
              <w:top w:val="nil"/>
              <w:left w:val="single" w:sz="4" w:space="0" w:color="auto"/>
              <w:bottom w:val="nil"/>
              <w:right w:val="nil"/>
            </w:tcBorders>
            <w:noWrap/>
            <w:vAlign w:val="bottom"/>
          </w:tcPr>
          <w:p w:rsidR="005E251C" w:rsidRDefault="005E251C" w:rsidP="005E251C">
            <w:pPr>
              <w:rPr>
                <w:rFonts w:ascii="Arial" w:eastAsia="Arial Unicode MS" w:hAnsi="Arial" w:cs="Arial"/>
                <w:sz w:val="20"/>
                <w:szCs w:val="20"/>
              </w:rPr>
            </w:pPr>
            <w:r>
              <w:rPr>
                <w:rFonts w:ascii="Arial" w:hAnsi="Arial" w:cs="Arial"/>
                <w:sz w:val="20"/>
                <w:szCs w:val="20"/>
              </w:rPr>
              <w:t>ABRIL</w:t>
            </w:r>
          </w:p>
        </w:tc>
        <w:tc>
          <w:tcPr>
            <w:tcW w:w="0" w:type="auto"/>
            <w:tcBorders>
              <w:top w:val="nil"/>
              <w:left w:val="single" w:sz="4" w:space="0" w:color="auto"/>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5,54</w:t>
            </w:r>
          </w:p>
        </w:tc>
        <w:tc>
          <w:tcPr>
            <w:tcW w:w="0" w:type="auto"/>
            <w:tcBorders>
              <w:top w:val="nil"/>
              <w:left w:val="nil"/>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3.000,00</w:t>
            </w:r>
          </w:p>
        </w:tc>
      </w:tr>
      <w:tr w:rsidR="005E251C">
        <w:trPr>
          <w:trHeight w:val="255"/>
        </w:trPr>
        <w:tc>
          <w:tcPr>
            <w:tcW w:w="0" w:type="auto"/>
            <w:tcBorders>
              <w:top w:val="nil"/>
              <w:left w:val="single" w:sz="4" w:space="0" w:color="auto"/>
              <w:bottom w:val="nil"/>
              <w:right w:val="nil"/>
            </w:tcBorders>
            <w:noWrap/>
            <w:vAlign w:val="bottom"/>
          </w:tcPr>
          <w:p w:rsidR="005E251C" w:rsidRDefault="005E251C" w:rsidP="005E251C">
            <w:pPr>
              <w:rPr>
                <w:rFonts w:ascii="Arial" w:eastAsia="Arial Unicode MS" w:hAnsi="Arial" w:cs="Arial"/>
                <w:sz w:val="20"/>
                <w:szCs w:val="20"/>
              </w:rPr>
            </w:pPr>
            <w:r>
              <w:rPr>
                <w:rFonts w:ascii="Arial" w:hAnsi="Arial" w:cs="Arial"/>
                <w:sz w:val="20"/>
                <w:szCs w:val="20"/>
              </w:rPr>
              <w:t>MAYO</w:t>
            </w:r>
          </w:p>
        </w:tc>
        <w:tc>
          <w:tcPr>
            <w:tcW w:w="0" w:type="auto"/>
            <w:tcBorders>
              <w:top w:val="nil"/>
              <w:left w:val="single" w:sz="4" w:space="0" w:color="auto"/>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10.002,34</w:t>
            </w:r>
          </w:p>
        </w:tc>
        <w:tc>
          <w:tcPr>
            <w:tcW w:w="0" w:type="auto"/>
            <w:tcBorders>
              <w:top w:val="nil"/>
              <w:left w:val="nil"/>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300,00</w:t>
            </w:r>
          </w:p>
        </w:tc>
      </w:tr>
      <w:tr w:rsidR="005E251C">
        <w:trPr>
          <w:trHeight w:val="255"/>
        </w:trPr>
        <w:tc>
          <w:tcPr>
            <w:tcW w:w="0" w:type="auto"/>
            <w:tcBorders>
              <w:top w:val="nil"/>
              <w:left w:val="single" w:sz="4" w:space="0" w:color="auto"/>
              <w:bottom w:val="single" w:sz="4" w:space="0" w:color="auto"/>
              <w:right w:val="nil"/>
            </w:tcBorders>
            <w:noWrap/>
            <w:vAlign w:val="bottom"/>
          </w:tcPr>
          <w:p w:rsidR="005E251C" w:rsidRDefault="005E251C" w:rsidP="005E251C">
            <w:pPr>
              <w:rPr>
                <w:rFonts w:ascii="Arial" w:eastAsia="Arial Unicode MS" w:hAnsi="Arial" w:cs="Arial"/>
                <w:sz w:val="20"/>
                <w:szCs w:val="20"/>
              </w:rPr>
            </w:pPr>
            <w:r>
              <w:rPr>
                <w:rFonts w:ascii="Arial" w:hAnsi="Arial" w:cs="Arial"/>
                <w:sz w:val="20"/>
                <w:szCs w:val="20"/>
              </w:rPr>
              <w:t>JUNIO</w:t>
            </w:r>
          </w:p>
        </w:tc>
        <w:tc>
          <w:tcPr>
            <w:tcW w:w="0" w:type="auto"/>
            <w:tcBorders>
              <w:top w:val="nil"/>
              <w:left w:val="single" w:sz="4" w:space="0" w:color="auto"/>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1.002,44</w:t>
            </w:r>
          </w:p>
        </w:tc>
        <w:tc>
          <w:tcPr>
            <w:tcW w:w="0" w:type="auto"/>
            <w:tcBorders>
              <w:top w:val="nil"/>
              <w:left w:val="nil"/>
              <w:bottom w:val="single" w:sz="4" w:space="0" w:color="auto"/>
              <w:right w:val="single" w:sz="4" w:space="0" w:color="auto"/>
            </w:tcBorders>
            <w:noWrap/>
            <w:vAlign w:val="bottom"/>
          </w:tcPr>
          <w:p w:rsidR="005E251C" w:rsidRDefault="005E251C" w:rsidP="005E251C">
            <w:pPr>
              <w:jc w:val="center"/>
              <w:rPr>
                <w:rFonts w:eastAsia="Arial Unicode MS"/>
                <w:sz w:val="20"/>
                <w:szCs w:val="20"/>
              </w:rPr>
            </w:pPr>
            <w:r>
              <w:rPr>
                <w:sz w:val="20"/>
                <w:szCs w:val="20"/>
              </w:rPr>
              <w:t>0,00</w:t>
            </w:r>
          </w:p>
        </w:tc>
      </w:tr>
    </w:tbl>
    <w:p w:rsidR="00CC1C75" w:rsidRDefault="00CC1C75" w:rsidP="00CC1C75">
      <w:pPr>
        <w:tabs>
          <w:tab w:val="left" w:pos="3200"/>
        </w:tabs>
        <w:rPr>
          <w:b/>
          <w:bCs/>
        </w:rPr>
      </w:pPr>
    </w:p>
    <w:p w:rsidR="00CC1C75" w:rsidRDefault="00CC1C75" w:rsidP="00CC1C75">
      <w:pPr>
        <w:ind w:left="8496"/>
        <w:jc w:val="center"/>
        <w:rPr>
          <w:b/>
          <w:bCs/>
        </w:rPr>
      </w:pPr>
    </w:p>
    <w:p w:rsidR="00CC1C75" w:rsidRDefault="00CC1C75" w:rsidP="00CC1C75">
      <w:pPr>
        <w:ind w:left="8496"/>
        <w:jc w:val="center"/>
        <w:rPr>
          <w:b/>
          <w:bCs/>
        </w:rPr>
      </w:pPr>
    </w:p>
    <w:p w:rsidR="00CC1C75" w:rsidRDefault="00CC1C75" w:rsidP="00CC1C75">
      <w:pPr>
        <w:ind w:left="8496"/>
        <w:jc w:val="center"/>
        <w:rPr>
          <w:b/>
          <w:bCs/>
        </w:rPr>
      </w:pPr>
    </w:p>
    <w:p w:rsidR="00CC1C75" w:rsidRDefault="00CC1C75" w:rsidP="00CC1C75">
      <w:pPr>
        <w:ind w:left="8496"/>
        <w:jc w:val="center"/>
        <w:rPr>
          <w:b/>
          <w:bCs/>
        </w:rPr>
      </w:pPr>
    </w:p>
    <w:p w:rsidR="00CC1C75" w:rsidRDefault="00CC1C75" w:rsidP="00CC1C75">
      <w:pPr>
        <w:ind w:left="8496"/>
        <w:jc w:val="center"/>
        <w:rPr>
          <w:b/>
          <w:bCs/>
        </w:rPr>
      </w:pPr>
    </w:p>
    <w:p w:rsidR="00CC1C75" w:rsidRDefault="00CC1C75" w:rsidP="005E251C">
      <w:pPr>
        <w:spacing w:line="480" w:lineRule="auto"/>
        <w:rPr>
          <w:rFonts w:ascii="Arial" w:hAnsi="Arial" w:cs="Arial"/>
        </w:rPr>
      </w:pPr>
    </w:p>
    <w:p w:rsidR="005E251C" w:rsidRPr="005E251C" w:rsidRDefault="005E251C" w:rsidP="005E251C">
      <w:pPr>
        <w:spacing w:line="480" w:lineRule="auto"/>
        <w:rPr>
          <w:rFonts w:ascii="Arial" w:hAnsi="Arial" w:cs="Arial"/>
        </w:rPr>
      </w:pPr>
    </w:p>
    <w:p w:rsidR="00CC1C75" w:rsidRPr="005E251C" w:rsidRDefault="00CC1C75" w:rsidP="005E251C">
      <w:pPr>
        <w:jc w:val="center"/>
      </w:pPr>
      <w:r>
        <w:br w:type="textWrapping" w:clear="all"/>
      </w:r>
      <w:r w:rsidR="00B04CD6">
        <w:rPr>
          <w:noProof/>
        </w:rPr>
        <w:drawing>
          <wp:inline distT="0" distB="0" distL="0" distR="0">
            <wp:extent cx="3822700" cy="23114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251C" w:rsidRPr="005E251C" w:rsidRDefault="005E251C" w:rsidP="005E251C">
      <w:pPr>
        <w:pStyle w:val="Ttulo1"/>
        <w:spacing w:line="480" w:lineRule="auto"/>
        <w:jc w:val="center"/>
        <w:rPr>
          <w:rFonts w:ascii="Arial" w:hAnsi="Arial" w:cs="Arial"/>
          <w:b w:val="0"/>
        </w:rPr>
      </w:pPr>
      <w:bookmarkStart w:id="501" w:name="_Toc183697507"/>
      <w:bookmarkStart w:id="502" w:name="_Toc183698837"/>
      <w:bookmarkStart w:id="503" w:name="_Toc183699178"/>
      <w:bookmarkStart w:id="504" w:name="_Toc183699390"/>
      <w:bookmarkStart w:id="505" w:name="_Toc183699861"/>
      <w:bookmarkStart w:id="506" w:name="_Toc183700134"/>
      <w:bookmarkStart w:id="507" w:name="_Toc183700351"/>
      <w:bookmarkStart w:id="508" w:name="_Toc183700643"/>
      <w:bookmarkStart w:id="509" w:name="_Toc183700895"/>
      <w:r w:rsidRPr="005E251C">
        <w:rPr>
          <w:rFonts w:ascii="Arial" w:hAnsi="Arial" w:cs="Arial"/>
        </w:rPr>
        <w:t>Gráfico 2.3</w:t>
      </w:r>
      <w:r w:rsidR="00C552B3">
        <w:rPr>
          <w:rFonts w:ascii="Arial" w:hAnsi="Arial" w:cs="Arial"/>
        </w:rPr>
        <w:t>.</w:t>
      </w:r>
      <w:r w:rsidRPr="005E251C">
        <w:rPr>
          <w:rFonts w:ascii="Arial" w:hAnsi="Arial" w:cs="Arial"/>
        </w:rPr>
        <w:t xml:space="preserve"> </w:t>
      </w:r>
      <w:r w:rsidRPr="005E251C">
        <w:rPr>
          <w:rFonts w:ascii="Arial" w:hAnsi="Arial" w:cs="Arial"/>
          <w:b w:val="0"/>
        </w:rPr>
        <w:t>Gráfica temporal de la compañía M.O.</w:t>
      </w:r>
      <w:bookmarkEnd w:id="501"/>
      <w:bookmarkEnd w:id="502"/>
      <w:bookmarkEnd w:id="503"/>
      <w:bookmarkEnd w:id="504"/>
      <w:bookmarkEnd w:id="505"/>
      <w:bookmarkEnd w:id="506"/>
      <w:bookmarkEnd w:id="507"/>
      <w:bookmarkEnd w:id="508"/>
      <w:bookmarkEnd w:id="509"/>
    </w:p>
    <w:p w:rsidR="005E251C" w:rsidRDefault="005E251C" w:rsidP="005E251C"/>
    <w:p w:rsidR="005E251C" w:rsidRPr="005E251C" w:rsidRDefault="005E251C" w:rsidP="005E251C"/>
    <w:p w:rsidR="00CC1C75" w:rsidRPr="0087122D" w:rsidRDefault="00CC1C75" w:rsidP="00FD4A53">
      <w:pPr>
        <w:spacing w:line="480" w:lineRule="auto"/>
        <w:ind w:left="540"/>
        <w:jc w:val="both"/>
      </w:pPr>
      <w:r>
        <w:rPr>
          <w:rFonts w:ascii="Arial" w:hAnsi="Arial" w:cs="Arial"/>
        </w:rPr>
        <w:lastRenderedPageBreak/>
        <w:t xml:space="preserve">Con esta gráfica se quería demostrar si el mes tiene que ver con las diferencias que se presentan pero como podemos observar en esta compañía en el mes de enero y mayo son los que tienen mayores diferencias y esto no ocurre con las diferencias del banco del Pichincha por lo que descartamos que el mes tenga que ver con las diferencias obtenidas, más adelante en el gráfico </w:t>
      </w:r>
      <w:r w:rsidRPr="001A0675">
        <w:rPr>
          <w:rFonts w:ascii="Arial" w:hAnsi="Arial" w:cs="Arial"/>
        </w:rPr>
        <w:t>2.25</w:t>
      </w:r>
      <w:r>
        <w:rPr>
          <w:rFonts w:ascii="Arial" w:hAnsi="Arial" w:cs="Arial"/>
        </w:rPr>
        <w:t xml:space="preserve"> podremos observar la gráfica de serie temporal para todas las compañías y así podremos observar de una forma global.</w:t>
      </w:r>
    </w:p>
    <w:p w:rsidR="00CC1C75" w:rsidRPr="00767167" w:rsidRDefault="00CC1C75" w:rsidP="00CC1C75">
      <w:pPr>
        <w:spacing w:line="480" w:lineRule="auto"/>
        <w:ind w:left="708"/>
        <w:jc w:val="both"/>
        <w:rPr>
          <w:rFonts w:ascii="Arial" w:hAnsi="Arial" w:cs="Arial"/>
        </w:rPr>
      </w:pPr>
    </w:p>
    <w:p w:rsidR="00CC1C75" w:rsidRPr="005E251C" w:rsidRDefault="00CC1C75" w:rsidP="00FD4A53">
      <w:pPr>
        <w:pStyle w:val="Ttulo3"/>
        <w:spacing w:before="0" w:after="0" w:line="480" w:lineRule="auto"/>
        <w:ind w:left="540"/>
        <w:jc w:val="both"/>
        <w:rPr>
          <w:sz w:val="24"/>
          <w:szCs w:val="24"/>
        </w:rPr>
      </w:pPr>
      <w:bookmarkStart w:id="510" w:name="_Toc183697508"/>
      <w:bookmarkStart w:id="511" w:name="_Toc183698838"/>
      <w:bookmarkStart w:id="512" w:name="_Toc183699179"/>
      <w:bookmarkStart w:id="513" w:name="_Toc183699391"/>
      <w:bookmarkStart w:id="514" w:name="_Toc183699563"/>
      <w:bookmarkStart w:id="515" w:name="_Toc183699862"/>
      <w:bookmarkStart w:id="516" w:name="_Toc183700135"/>
      <w:bookmarkStart w:id="517" w:name="_Toc183700352"/>
      <w:bookmarkStart w:id="518" w:name="_Toc183700644"/>
      <w:bookmarkStart w:id="519" w:name="_Toc183700896"/>
      <w:r w:rsidRPr="005E251C">
        <w:rPr>
          <w:sz w:val="24"/>
          <w:szCs w:val="24"/>
        </w:rPr>
        <w:t>2.3.5 Análisis de los saldos de las conciliaciones bancarias con los saldos de libros del primer semestre del año 2007 mediante diagramas de barras. Compañía M.O. Banco Pichincha.</w:t>
      </w:r>
      <w:bookmarkEnd w:id="510"/>
      <w:bookmarkEnd w:id="511"/>
      <w:bookmarkEnd w:id="512"/>
      <w:bookmarkEnd w:id="513"/>
      <w:bookmarkEnd w:id="514"/>
      <w:bookmarkEnd w:id="515"/>
      <w:bookmarkEnd w:id="516"/>
      <w:bookmarkEnd w:id="517"/>
      <w:bookmarkEnd w:id="518"/>
      <w:bookmarkEnd w:id="519"/>
    </w:p>
    <w:p w:rsidR="00CC1C75" w:rsidRDefault="00CC1C75" w:rsidP="00FD4A53">
      <w:pPr>
        <w:spacing w:line="480" w:lineRule="auto"/>
        <w:ind w:firstLine="540"/>
        <w:jc w:val="both"/>
        <w:rPr>
          <w:rFonts w:ascii="Arial" w:hAnsi="Arial" w:cs="Arial"/>
        </w:rPr>
      </w:pPr>
      <w:r>
        <w:rPr>
          <w:rFonts w:ascii="Arial" w:hAnsi="Arial" w:cs="Arial"/>
        </w:rPr>
        <w:t>Para este caso, el gráfico es el siguiente:</w:t>
      </w:r>
    </w:p>
    <w:p w:rsidR="00CC1C75" w:rsidRDefault="00CC1C75" w:rsidP="00CC1C75">
      <w:pPr>
        <w:spacing w:line="480" w:lineRule="auto"/>
        <w:ind w:left="709"/>
        <w:jc w:val="both"/>
        <w:rPr>
          <w:rFonts w:ascii="Arial" w:hAnsi="Arial" w:cs="Arial"/>
        </w:rPr>
      </w:pPr>
    </w:p>
    <w:p w:rsidR="00000C6C" w:rsidRDefault="00B04CD6" w:rsidP="005E251C">
      <w:pPr>
        <w:spacing w:line="480" w:lineRule="auto"/>
        <w:ind w:left="720"/>
        <w:jc w:val="both"/>
      </w:pPr>
      <w:r>
        <w:rPr>
          <w:noProof/>
        </w:rPr>
        <w:lastRenderedPageBreak/>
        <w:drawing>
          <wp:inline distT="0" distB="0" distL="0" distR="0">
            <wp:extent cx="4800600" cy="31877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1C75" w:rsidRPr="00000C6C" w:rsidRDefault="00CC1C75" w:rsidP="00000C6C">
      <w:pPr>
        <w:pStyle w:val="Ttulo1"/>
        <w:spacing w:line="480" w:lineRule="auto"/>
        <w:ind w:left="357"/>
        <w:jc w:val="center"/>
        <w:rPr>
          <w:rFonts w:ascii="Arial" w:hAnsi="Arial" w:cs="Arial"/>
        </w:rPr>
      </w:pPr>
      <w:bookmarkStart w:id="520" w:name="_Toc183699863"/>
      <w:bookmarkStart w:id="521" w:name="_Toc183700136"/>
      <w:bookmarkStart w:id="522" w:name="_Toc183700353"/>
      <w:bookmarkStart w:id="523" w:name="_Toc183700645"/>
      <w:bookmarkStart w:id="524" w:name="_Toc183700897"/>
      <w:r w:rsidRPr="00000C6C">
        <w:rPr>
          <w:rFonts w:ascii="Arial" w:hAnsi="Arial" w:cs="Arial"/>
        </w:rPr>
        <w:t xml:space="preserve">Gráfico 2.4. </w:t>
      </w:r>
      <w:r w:rsidRPr="00000C6C">
        <w:rPr>
          <w:rFonts w:ascii="Arial" w:hAnsi="Arial" w:cs="Arial"/>
          <w:b w:val="0"/>
        </w:rPr>
        <w:t>Diagrama de barra. Compañía M.O. Banco Pichincha.</w:t>
      </w:r>
      <w:bookmarkEnd w:id="520"/>
      <w:bookmarkEnd w:id="521"/>
      <w:bookmarkEnd w:id="522"/>
      <w:bookmarkEnd w:id="523"/>
      <w:bookmarkEnd w:id="524"/>
    </w:p>
    <w:p w:rsidR="00CC1C75" w:rsidRDefault="00CC1C75" w:rsidP="00CC1C75">
      <w:pPr>
        <w:spacing w:line="480" w:lineRule="auto"/>
        <w:ind w:left="360"/>
        <w:jc w:val="both"/>
        <w:rPr>
          <w:rFonts w:ascii="Arial" w:hAnsi="Arial" w:cs="Arial"/>
          <w:b/>
        </w:rPr>
      </w:pPr>
    </w:p>
    <w:p w:rsidR="00CC1C75" w:rsidRDefault="00CC1C75" w:rsidP="00FD4A53">
      <w:pPr>
        <w:spacing w:line="480" w:lineRule="auto"/>
        <w:ind w:left="540"/>
        <w:jc w:val="both"/>
        <w:rPr>
          <w:rFonts w:ascii="Arial" w:hAnsi="Arial" w:cs="Arial"/>
        </w:rPr>
      </w:pPr>
      <w:r>
        <w:rPr>
          <w:rFonts w:ascii="Arial" w:hAnsi="Arial" w:cs="Arial"/>
        </w:rPr>
        <w:t xml:space="preserve">Se puede observar que esta compañía en este banco ha tenido diferencias en sus saldos en los meses de enero, marzo, abril y mayo con valores elevados de $1,000, $3,000, $3,000, $300 respectivamente, mientras que en los otros meses de febrero y junio no han tenido diferencias como se puede observar el </w:t>
      </w:r>
      <w:r w:rsidRPr="008D04AF">
        <w:rPr>
          <w:rFonts w:ascii="Arial" w:hAnsi="Arial" w:cs="Arial"/>
          <w:b/>
        </w:rPr>
        <w:t>gráfico 2.</w:t>
      </w:r>
      <w:r>
        <w:rPr>
          <w:rFonts w:ascii="Arial" w:hAnsi="Arial" w:cs="Arial"/>
          <w:b/>
        </w:rPr>
        <w:t>4</w:t>
      </w:r>
      <w:r w:rsidRPr="009F7070">
        <w:rPr>
          <w:rFonts w:ascii="Arial" w:hAnsi="Arial" w:cs="Arial"/>
        </w:rPr>
        <w:t>.</w:t>
      </w:r>
    </w:p>
    <w:p w:rsidR="00CC1C75" w:rsidRDefault="00CC1C75" w:rsidP="00FD4A53">
      <w:pPr>
        <w:spacing w:line="480" w:lineRule="auto"/>
        <w:ind w:left="540"/>
        <w:jc w:val="both"/>
        <w:rPr>
          <w:rFonts w:ascii="Arial" w:hAnsi="Arial" w:cs="Arial"/>
        </w:rPr>
      </w:pPr>
      <w:r w:rsidRPr="009F7070">
        <w:rPr>
          <w:rFonts w:ascii="Arial" w:hAnsi="Arial" w:cs="Arial"/>
        </w:rPr>
        <w:t xml:space="preserve">Lo que quiere decir que </w:t>
      </w:r>
      <w:r>
        <w:rPr>
          <w:rFonts w:ascii="Arial" w:hAnsi="Arial" w:cs="Arial"/>
        </w:rPr>
        <w:t>solo en dos meses han tenido diferencia cero entre esos 2 meses incluye el de junio lo que nos dice que al finalizar este semestre si se realizó con normalidad sin embargo sería adecuado darle un seguimiento.</w:t>
      </w:r>
    </w:p>
    <w:p w:rsidR="00CC1C75" w:rsidRDefault="00CC1C75" w:rsidP="00CC1C75">
      <w:pPr>
        <w:spacing w:line="480" w:lineRule="auto"/>
        <w:ind w:left="708"/>
        <w:jc w:val="both"/>
        <w:rPr>
          <w:rFonts w:ascii="Arial" w:hAnsi="Arial" w:cs="Arial"/>
        </w:rPr>
      </w:pPr>
    </w:p>
    <w:p w:rsidR="00CC1C75" w:rsidRDefault="00CC1C75" w:rsidP="00CC1C75">
      <w:pPr>
        <w:spacing w:line="480" w:lineRule="auto"/>
        <w:ind w:left="708"/>
        <w:jc w:val="both"/>
        <w:rPr>
          <w:rFonts w:ascii="Arial" w:hAnsi="Arial" w:cs="Arial"/>
        </w:rPr>
      </w:pPr>
    </w:p>
    <w:p w:rsidR="00CC1C75" w:rsidRDefault="00CC1C75" w:rsidP="00CC1C75">
      <w:pPr>
        <w:tabs>
          <w:tab w:val="left" w:pos="851"/>
        </w:tabs>
        <w:spacing w:line="480" w:lineRule="auto"/>
        <w:ind w:left="851"/>
        <w:jc w:val="both"/>
        <w:rPr>
          <w:rFonts w:ascii="Arial" w:hAnsi="Arial" w:cs="Arial"/>
          <w:b/>
        </w:rPr>
      </w:pPr>
    </w:p>
    <w:p w:rsidR="00CC1C75" w:rsidRPr="005E251C" w:rsidRDefault="00CC1C75" w:rsidP="00FD4A53">
      <w:pPr>
        <w:pStyle w:val="Ttulo3"/>
        <w:tabs>
          <w:tab w:val="clear" w:pos="2160"/>
          <w:tab w:val="num" w:pos="360"/>
        </w:tabs>
        <w:spacing w:before="0" w:after="0" w:line="480" w:lineRule="auto"/>
        <w:ind w:left="540"/>
        <w:jc w:val="both"/>
        <w:rPr>
          <w:sz w:val="24"/>
          <w:szCs w:val="24"/>
        </w:rPr>
      </w:pPr>
      <w:bookmarkStart w:id="525" w:name="_Toc183697509"/>
      <w:bookmarkStart w:id="526" w:name="_Toc183698839"/>
      <w:bookmarkStart w:id="527" w:name="_Toc183699180"/>
      <w:bookmarkStart w:id="528" w:name="_Toc183699392"/>
      <w:bookmarkStart w:id="529" w:name="_Toc183699564"/>
      <w:bookmarkStart w:id="530" w:name="_Toc183699864"/>
      <w:bookmarkStart w:id="531" w:name="_Toc183700137"/>
      <w:bookmarkStart w:id="532" w:name="_Toc183700354"/>
      <w:bookmarkStart w:id="533" w:name="_Toc183700646"/>
      <w:bookmarkStart w:id="534" w:name="_Toc183700898"/>
      <w:r w:rsidRPr="005E251C">
        <w:rPr>
          <w:sz w:val="24"/>
          <w:szCs w:val="24"/>
        </w:rPr>
        <w:t>2.3.6 Análisis de las diferencias individuales de las compañías entre los saldos de las conciliaciones bancarias y los saldos de libros del primer semestre del año 2007 mediante diagrama de pastel. Compañía M.O. Banco Pichincha.</w:t>
      </w:r>
      <w:bookmarkEnd w:id="525"/>
      <w:bookmarkEnd w:id="526"/>
      <w:bookmarkEnd w:id="527"/>
      <w:bookmarkEnd w:id="528"/>
      <w:bookmarkEnd w:id="529"/>
      <w:bookmarkEnd w:id="530"/>
      <w:bookmarkEnd w:id="531"/>
      <w:bookmarkEnd w:id="532"/>
      <w:bookmarkEnd w:id="533"/>
      <w:bookmarkEnd w:id="534"/>
      <w:r w:rsidRPr="005E251C">
        <w:rPr>
          <w:sz w:val="24"/>
          <w:szCs w:val="24"/>
        </w:rPr>
        <w:t xml:space="preserve"> </w:t>
      </w:r>
    </w:p>
    <w:p w:rsidR="00CC1C75" w:rsidRPr="00CD3603" w:rsidRDefault="00CC1C75" w:rsidP="00CC1C75">
      <w:pPr>
        <w:rPr>
          <w:rFonts w:ascii="Arial" w:hAnsi="Arial" w:cs="Arial"/>
        </w:rPr>
      </w:pPr>
    </w:p>
    <w:p w:rsidR="00CC1C75" w:rsidRPr="00CD3603" w:rsidRDefault="00CC1C75" w:rsidP="00CC1C75">
      <w:pPr>
        <w:ind w:firstLine="737"/>
        <w:rPr>
          <w:rFonts w:ascii="Arial" w:hAnsi="Arial" w:cs="Arial"/>
        </w:rPr>
      </w:pPr>
    </w:p>
    <w:p w:rsidR="00CC1C75" w:rsidRDefault="00B04CD6" w:rsidP="005E251C">
      <w:pPr>
        <w:tabs>
          <w:tab w:val="left" w:pos="851"/>
        </w:tabs>
        <w:spacing w:line="480" w:lineRule="auto"/>
        <w:ind w:left="851"/>
        <w:jc w:val="center"/>
      </w:pPr>
      <w:r>
        <w:rPr>
          <w:noProof/>
        </w:rPr>
        <w:drawing>
          <wp:inline distT="0" distB="0" distL="0" distR="0">
            <wp:extent cx="3556000" cy="17018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1C75" w:rsidRPr="005E251C" w:rsidRDefault="005E251C" w:rsidP="005E251C">
      <w:pPr>
        <w:pStyle w:val="Ttulo1"/>
        <w:spacing w:line="480" w:lineRule="auto"/>
        <w:jc w:val="center"/>
        <w:rPr>
          <w:rFonts w:ascii="Arial" w:hAnsi="Arial" w:cs="Arial"/>
          <w:b w:val="0"/>
        </w:rPr>
      </w:pPr>
      <w:r>
        <w:rPr>
          <w:rFonts w:ascii="Arial" w:hAnsi="Arial" w:cs="Arial"/>
        </w:rPr>
        <w:t xml:space="preserve">        </w:t>
      </w:r>
      <w:bookmarkStart w:id="535" w:name="_Toc183697510"/>
      <w:bookmarkStart w:id="536" w:name="_Toc183698840"/>
      <w:bookmarkStart w:id="537" w:name="_Toc183699181"/>
      <w:bookmarkStart w:id="538" w:name="_Toc183699393"/>
      <w:bookmarkStart w:id="539" w:name="_Toc183699865"/>
      <w:bookmarkStart w:id="540" w:name="_Toc183700138"/>
      <w:bookmarkStart w:id="541" w:name="_Toc183700355"/>
      <w:bookmarkStart w:id="542" w:name="_Toc183700647"/>
      <w:bookmarkStart w:id="543" w:name="_Toc183700899"/>
      <w:r w:rsidR="00CC1C75" w:rsidRPr="005E251C">
        <w:rPr>
          <w:rFonts w:ascii="Arial" w:hAnsi="Arial" w:cs="Arial"/>
        </w:rPr>
        <w:t xml:space="preserve">Gráfico 2.5. </w:t>
      </w:r>
      <w:r w:rsidR="00CC1C75" w:rsidRPr="005E251C">
        <w:rPr>
          <w:rFonts w:ascii="Arial" w:hAnsi="Arial" w:cs="Arial"/>
          <w:b w:val="0"/>
        </w:rPr>
        <w:t>Diagrama de pastel. Compañía M.O. Banco Pichincha.</w:t>
      </w:r>
      <w:bookmarkEnd w:id="535"/>
      <w:bookmarkEnd w:id="536"/>
      <w:bookmarkEnd w:id="537"/>
      <w:bookmarkEnd w:id="538"/>
      <w:bookmarkEnd w:id="539"/>
      <w:bookmarkEnd w:id="540"/>
      <w:bookmarkEnd w:id="541"/>
      <w:bookmarkEnd w:id="542"/>
      <w:bookmarkEnd w:id="543"/>
    </w:p>
    <w:p w:rsidR="00CC1C75" w:rsidRDefault="00CC1C75" w:rsidP="00CC1C75">
      <w:pPr>
        <w:tabs>
          <w:tab w:val="left" w:pos="851"/>
        </w:tabs>
        <w:spacing w:line="480" w:lineRule="auto"/>
        <w:ind w:left="851"/>
        <w:jc w:val="both"/>
        <w:rPr>
          <w:rFonts w:ascii="Arial" w:hAnsi="Arial" w:cs="Arial"/>
          <w:b/>
        </w:rPr>
      </w:pPr>
    </w:p>
    <w:p w:rsidR="00CC1C75" w:rsidRDefault="00CC1C75" w:rsidP="00FD4A53">
      <w:pPr>
        <w:spacing w:line="480" w:lineRule="auto"/>
        <w:ind w:left="540" w:hanging="18"/>
        <w:jc w:val="both"/>
        <w:rPr>
          <w:rFonts w:ascii="Arial" w:hAnsi="Arial" w:cs="Arial"/>
        </w:rPr>
      </w:pPr>
      <w:r>
        <w:rPr>
          <w:rFonts w:ascii="Arial" w:hAnsi="Arial" w:cs="Arial"/>
        </w:rPr>
        <w:t xml:space="preserve">Se puede observar que esta compañía en este banco ha tenido mayores diferencias en sus saldos en los meses de marzo y abril con 41% lo que equivale en valores de $3,000 en cada mes; en enero y mayo tienen menores porcentajes de 14% y 4% con valores de $1,000 y $300 respectivamente mientras que en los meses  restantes del primer semestre del año 2007 los cuales son febrero y junio no tienen diferencia lo que representan cero por ciento, como se puede observar el </w:t>
      </w:r>
      <w:r>
        <w:rPr>
          <w:rFonts w:ascii="Arial" w:hAnsi="Arial" w:cs="Arial"/>
          <w:b/>
        </w:rPr>
        <w:t>gráfico 2.5</w:t>
      </w:r>
      <w:r>
        <w:rPr>
          <w:rFonts w:ascii="Arial" w:hAnsi="Arial" w:cs="Arial"/>
        </w:rPr>
        <w:t xml:space="preserve">. Lo que quiere decir que esta compañía empezó el semestre con diferencia mínima y en los meses siguientes aumentaron </w:t>
      </w:r>
      <w:r>
        <w:rPr>
          <w:rFonts w:ascii="Arial" w:hAnsi="Arial" w:cs="Arial"/>
        </w:rPr>
        <w:lastRenderedPageBreak/>
        <w:t>y disminuyeron  tales diferencias  pero al finalizar el semestre se fueron regularizando ya que terminó con cero diferencias.</w:t>
      </w:r>
    </w:p>
    <w:p w:rsidR="00CC1C75" w:rsidRDefault="00CC1C75" w:rsidP="00CC1C75">
      <w:pPr>
        <w:tabs>
          <w:tab w:val="left" w:pos="851"/>
        </w:tabs>
        <w:spacing w:line="480" w:lineRule="auto"/>
        <w:ind w:left="851"/>
        <w:jc w:val="both"/>
        <w:rPr>
          <w:rFonts w:ascii="Arial" w:hAnsi="Arial" w:cs="Arial"/>
          <w:b/>
        </w:rPr>
      </w:pPr>
    </w:p>
    <w:p w:rsidR="00CC1C75" w:rsidRDefault="00CC1C75" w:rsidP="00FD4A53">
      <w:pPr>
        <w:pStyle w:val="Ttulo3"/>
        <w:spacing w:before="0" w:after="0" w:line="480" w:lineRule="auto"/>
        <w:ind w:left="540"/>
        <w:jc w:val="both"/>
        <w:rPr>
          <w:sz w:val="24"/>
          <w:szCs w:val="24"/>
        </w:rPr>
      </w:pPr>
      <w:bookmarkStart w:id="544" w:name="_Toc183697511"/>
      <w:bookmarkStart w:id="545" w:name="_Toc183698841"/>
      <w:bookmarkStart w:id="546" w:name="_Toc183699182"/>
      <w:bookmarkStart w:id="547" w:name="_Toc183699394"/>
      <w:bookmarkStart w:id="548" w:name="_Toc183699866"/>
      <w:bookmarkStart w:id="549" w:name="_Toc183700139"/>
      <w:bookmarkStart w:id="550" w:name="_Toc183700356"/>
      <w:bookmarkStart w:id="551" w:name="_Toc183700648"/>
      <w:bookmarkStart w:id="552" w:name="_Toc183700900"/>
      <w:r w:rsidRPr="00830EBC">
        <w:rPr>
          <w:sz w:val="24"/>
          <w:szCs w:val="24"/>
        </w:rPr>
        <w:t>2.3.7 Análisis de las diferencias entre los saldos de las conciliaciones bancarias y los saldos de libros del primer semestre del año 2007 que se encuentran en el 25%, 50% y 75% mediante cuartiles.  Compañía M.O. Banco Pichincha.</w:t>
      </w:r>
      <w:bookmarkEnd w:id="544"/>
      <w:bookmarkEnd w:id="545"/>
      <w:bookmarkEnd w:id="546"/>
      <w:bookmarkEnd w:id="547"/>
      <w:bookmarkEnd w:id="548"/>
      <w:bookmarkEnd w:id="549"/>
      <w:bookmarkEnd w:id="550"/>
      <w:bookmarkEnd w:id="551"/>
      <w:bookmarkEnd w:id="552"/>
    </w:p>
    <w:p w:rsidR="00830EBC" w:rsidRPr="00830EBC" w:rsidRDefault="00830EBC" w:rsidP="00830EBC"/>
    <w:p w:rsidR="00830EBC" w:rsidRPr="00830EBC" w:rsidRDefault="00830EBC" w:rsidP="00830EBC">
      <w:pPr>
        <w:pStyle w:val="Ttulo1"/>
        <w:spacing w:line="480" w:lineRule="auto"/>
        <w:jc w:val="center"/>
        <w:rPr>
          <w:rFonts w:ascii="Arial" w:hAnsi="Arial" w:cs="Arial"/>
          <w:b w:val="0"/>
        </w:rPr>
      </w:pPr>
      <w:bookmarkStart w:id="553" w:name="_Toc183697512"/>
      <w:bookmarkStart w:id="554" w:name="_Toc183698842"/>
      <w:bookmarkStart w:id="555" w:name="_Toc183699183"/>
      <w:bookmarkStart w:id="556" w:name="_Toc183699395"/>
      <w:bookmarkStart w:id="557" w:name="_Toc183699867"/>
      <w:bookmarkStart w:id="558" w:name="_Toc183700140"/>
      <w:bookmarkStart w:id="559" w:name="_Toc183700649"/>
      <w:bookmarkStart w:id="560" w:name="_Toc183700901"/>
      <w:r w:rsidRPr="00830EBC">
        <w:rPr>
          <w:rFonts w:ascii="Arial" w:hAnsi="Arial" w:cs="Arial"/>
        </w:rPr>
        <w:t xml:space="preserve">Tabla V. </w:t>
      </w:r>
      <w:r w:rsidRPr="00830EBC">
        <w:rPr>
          <w:rFonts w:ascii="Arial" w:hAnsi="Arial" w:cs="Arial"/>
          <w:b w:val="0"/>
        </w:rPr>
        <w:t>Valores de los cuartiles de M.O. Banco Pichincha</w:t>
      </w:r>
      <w:bookmarkEnd w:id="553"/>
      <w:bookmarkEnd w:id="554"/>
      <w:bookmarkEnd w:id="555"/>
      <w:bookmarkEnd w:id="556"/>
      <w:bookmarkEnd w:id="557"/>
      <w:bookmarkEnd w:id="558"/>
      <w:bookmarkEnd w:id="559"/>
      <w:bookmarkEnd w:id="560"/>
    </w:p>
    <w:tbl>
      <w:tblPr>
        <w:tblW w:w="6700" w:type="dxa"/>
        <w:tblInd w:w="900" w:type="dxa"/>
        <w:tblCellMar>
          <w:left w:w="70" w:type="dxa"/>
          <w:right w:w="70" w:type="dxa"/>
        </w:tblCellMar>
        <w:tblLook w:val="0000"/>
      </w:tblPr>
      <w:tblGrid>
        <w:gridCol w:w="440"/>
        <w:gridCol w:w="940"/>
        <w:gridCol w:w="660"/>
        <w:gridCol w:w="620"/>
        <w:gridCol w:w="560"/>
        <w:gridCol w:w="660"/>
        <w:gridCol w:w="660"/>
        <w:gridCol w:w="580"/>
        <w:gridCol w:w="564"/>
        <w:gridCol w:w="508"/>
        <w:gridCol w:w="508"/>
      </w:tblGrid>
      <w:tr w:rsidR="00173426" w:rsidRPr="00173426">
        <w:trPr>
          <w:trHeight w:val="270"/>
        </w:trPr>
        <w:tc>
          <w:tcPr>
            <w:tcW w:w="4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9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Ene.</w:t>
            </w:r>
          </w:p>
        </w:tc>
        <w:tc>
          <w:tcPr>
            <w:tcW w:w="62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Feb.</w:t>
            </w:r>
          </w:p>
        </w:tc>
        <w:tc>
          <w:tcPr>
            <w:tcW w:w="5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Marz.</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Jun.</w:t>
            </w:r>
          </w:p>
        </w:tc>
        <w:tc>
          <w:tcPr>
            <w:tcW w:w="15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Cuartiles</w:t>
            </w:r>
          </w:p>
        </w:tc>
      </w:tr>
      <w:tr w:rsidR="00173426" w:rsidRPr="00173426">
        <w:trPr>
          <w:trHeight w:val="270"/>
        </w:trPr>
        <w:tc>
          <w:tcPr>
            <w:tcW w:w="440" w:type="dxa"/>
            <w:tcBorders>
              <w:top w:val="single" w:sz="8" w:space="0" w:color="auto"/>
              <w:left w:val="single" w:sz="8" w:space="0" w:color="auto"/>
              <w:bottom w:val="nil"/>
              <w:right w:val="single" w:sz="4" w:space="0" w:color="auto"/>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Cía.</w:t>
            </w:r>
          </w:p>
        </w:tc>
        <w:tc>
          <w:tcPr>
            <w:tcW w:w="940" w:type="dxa"/>
            <w:tcBorders>
              <w:top w:val="single" w:sz="8" w:space="0" w:color="auto"/>
              <w:left w:val="nil"/>
              <w:bottom w:val="nil"/>
              <w:right w:val="nil"/>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BANCOS</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2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8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64" w:type="dxa"/>
            <w:tcBorders>
              <w:top w:val="nil"/>
              <w:left w:val="single" w:sz="8" w:space="0" w:color="auto"/>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25%</w:t>
            </w:r>
          </w:p>
        </w:tc>
        <w:tc>
          <w:tcPr>
            <w:tcW w:w="508" w:type="dxa"/>
            <w:tcBorders>
              <w:top w:val="nil"/>
              <w:left w:val="nil"/>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50%</w:t>
            </w:r>
          </w:p>
        </w:tc>
        <w:tc>
          <w:tcPr>
            <w:tcW w:w="508" w:type="dxa"/>
            <w:tcBorders>
              <w:top w:val="nil"/>
              <w:left w:val="nil"/>
              <w:bottom w:val="nil"/>
              <w:right w:val="single" w:sz="8"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75%</w:t>
            </w:r>
          </w:p>
        </w:tc>
      </w:tr>
      <w:tr w:rsidR="00173426" w:rsidRPr="00173426">
        <w:trPr>
          <w:trHeight w:val="270"/>
        </w:trPr>
        <w:tc>
          <w:tcPr>
            <w:tcW w:w="440" w:type="dxa"/>
            <w:tcBorders>
              <w:top w:val="single" w:sz="4" w:space="0" w:color="auto"/>
              <w:left w:val="single" w:sz="8" w:space="0" w:color="auto"/>
              <w:bottom w:val="nil"/>
              <w:right w:val="single" w:sz="8" w:space="0" w:color="auto"/>
            </w:tcBorders>
            <w:shd w:val="clear" w:color="auto" w:fill="auto"/>
            <w:vAlign w:val="center"/>
          </w:tcPr>
          <w:p w:rsidR="00173426" w:rsidRDefault="00173426" w:rsidP="00173426">
            <w:pPr>
              <w:jc w:val="center"/>
              <w:rPr>
                <w:rFonts w:eastAsia="Times New Roman"/>
                <w:sz w:val="14"/>
                <w:szCs w:val="14"/>
              </w:rPr>
            </w:pPr>
          </w:p>
          <w:p w:rsidR="00173426" w:rsidRPr="00173426" w:rsidRDefault="00173426" w:rsidP="00173426">
            <w:pPr>
              <w:jc w:val="center"/>
              <w:rPr>
                <w:rFonts w:eastAsia="Times New Roman"/>
                <w:sz w:val="14"/>
                <w:szCs w:val="14"/>
              </w:rPr>
            </w:pPr>
            <w:r w:rsidRPr="00173426">
              <w:rPr>
                <w:rFonts w:eastAsia="Times New Roman"/>
                <w:sz w:val="14"/>
                <w:szCs w:val="14"/>
              </w:rPr>
              <w:t>M.O.</w:t>
            </w:r>
          </w:p>
        </w:tc>
        <w:tc>
          <w:tcPr>
            <w:tcW w:w="940" w:type="dxa"/>
            <w:tcBorders>
              <w:top w:val="nil"/>
              <w:left w:val="nil"/>
              <w:bottom w:val="nil"/>
              <w:right w:val="nil"/>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Pichincha</w:t>
            </w:r>
          </w:p>
        </w:tc>
        <w:tc>
          <w:tcPr>
            <w:tcW w:w="660" w:type="dxa"/>
            <w:tcBorders>
              <w:top w:val="nil"/>
              <w:left w:val="single" w:sz="4" w:space="0" w:color="auto"/>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1.000,00</w:t>
            </w:r>
          </w:p>
        </w:tc>
        <w:tc>
          <w:tcPr>
            <w:tcW w:w="62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0,00</w:t>
            </w:r>
          </w:p>
        </w:tc>
        <w:tc>
          <w:tcPr>
            <w:tcW w:w="56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3000</w:t>
            </w:r>
          </w:p>
        </w:tc>
        <w:tc>
          <w:tcPr>
            <w:tcW w:w="66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3.000,00</w:t>
            </w:r>
          </w:p>
        </w:tc>
        <w:tc>
          <w:tcPr>
            <w:tcW w:w="66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300,00</w:t>
            </w:r>
          </w:p>
        </w:tc>
        <w:tc>
          <w:tcPr>
            <w:tcW w:w="580" w:type="dxa"/>
            <w:tcBorders>
              <w:top w:val="nil"/>
              <w:left w:val="nil"/>
              <w:bottom w:val="nil"/>
              <w:right w:val="nil"/>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0,00</w:t>
            </w:r>
          </w:p>
        </w:tc>
        <w:tc>
          <w:tcPr>
            <w:tcW w:w="564" w:type="dxa"/>
            <w:tcBorders>
              <w:top w:val="single" w:sz="8" w:space="0" w:color="auto"/>
              <w:left w:val="single" w:sz="8" w:space="0" w:color="auto"/>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75,00</w:t>
            </w:r>
          </w:p>
        </w:tc>
        <w:tc>
          <w:tcPr>
            <w:tcW w:w="508"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650</w:t>
            </w:r>
          </w:p>
        </w:tc>
        <w:tc>
          <w:tcPr>
            <w:tcW w:w="508"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2500</w:t>
            </w:r>
          </w:p>
        </w:tc>
      </w:tr>
    </w:tbl>
    <w:p w:rsidR="00CC1C75" w:rsidRDefault="00CC1C75" w:rsidP="00CC1C75">
      <w:pPr>
        <w:autoSpaceDE w:val="0"/>
        <w:autoSpaceDN w:val="0"/>
        <w:adjustRightInd w:val="0"/>
        <w:spacing w:line="480" w:lineRule="auto"/>
        <w:ind w:left="567"/>
        <w:jc w:val="both"/>
        <w:rPr>
          <w:rFonts w:ascii="Arial" w:hAnsi="Arial" w:cs="Arial"/>
          <w:color w:val="000000"/>
        </w:rPr>
      </w:pPr>
    </w:p>
    <w:p w:rsidR="00CC1C75" w:rsidRDefault="00CC1C75" w:rsidP="00FD4A53">
      <w:pPr>
        <w:autoSpaceDE w:val="0"/>
        <w:autoSpaceDN w:val="0"/>
        <w:adjustRightInd w:val="0"/>
        <w:spacing w:line="480" w:lineRule="auto"/>
        <w:ind w:left="540"/>
        <w:jc w:val="both"/>
        <w:rPr>
          <w:rFonts w:ascii="Arial" w:hAnsi="Arial" w:cs="Arial"/>
          <w:color w:val="000000"/>
        </w:rPr>
      </w:pPr>
      <w:r>
        <w:rPr>
          <w:rFonts w:ascii="Arial" w:hAnsi="Arial" w:cs="Arial"/>
          <w:color w:val="000000"/>
        </w:rPr>
        <w:t>El primer cuartil nos indica que el 25% de las diferencias de las conciliaciones bancarias  durante los primeros 6 meses de la compañía  son inferiores a $75.00; lo que quiere decir que 75% de las diferencias, son superiores al valor antes mencionado.</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FD4A53">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En el segundo cuartil podemos observar que la mitad de los valores  están por debajo de $ 650.00. </w:t>
      </w:r>
    </w:p>
    <w:p w:rsidR="00CC1C75" w:rsidRDefault="00CC1C75" w:rsidP="00FD4A53">
      <w:pPr>
        <w:autoSpaceDE w:val="0"/>
        <w:autoSpaceDN w:val="0"/>
        <w:adjustRightInd w:val="0"/>
        <w:spacing w:line="480" w:lineRule="auto"/>
        <w:ind w:left="540"/>
        <w:jc w:val="both"/>
        <w:rPr>
          <w:rFonts w:ascii="Arial" w:hAnsi="Arial" w:cs="Arial"/>
          <w:color w:val="000000"/>
        </w:rPr>
      </w:pPr>
      <w:r>
        <w:rPr>
          <w:rFonts w:ascii="Arial" w:hAnsi="Arial" w:cs="Arial"/>
          <w:color w:val="000000"/>
        </w:rPr>
        <w:t>El tercer cuartil nos indica que el 75% de las diferencias de las conciliaciones bancarias son inferiores a $2,500.00; es decir que el 25% restante son superiores a ese valor.</w:t>
      </w:r>
    </w:p>
    <w:p w:rsidR="00CC1C75" w:rsidRPr="00D16A28" w:rsidRDefault="00CC1C75" w:rsidP="00CC1C75">
      <w:pPr>
        <w:spacing w:line="480" w:lineRule="auto"/>
        <w:ind w:left="708"/>
        <w:jc w:val="both"/>
        <w:rPr>
          <w:rFonts w:ascii="Arial" w:hAnsi="Arial" w:cs="Arial"/>
          <w:b/>
        </w:rPr>
      </w:pPr>
    </w:p>
    <w:p w:rsidR="00CC1C75" w:rsidRPr="00830EBC" w:rsidRDefault="00CC1C75" w:rsidP="00FD4A53">
      <w:pPr>
        <w:pStyle w:val="Ttulo3"/>
        <w:spacing w:before="0" w:after="0" w:line="480" w:lineRule="auto"/>
        <w:ind w:left="540"/>
        <w:jc w:val="both"/>
        <w:rPr>
          <w:sz w:val="24"/>
          <w:szCs w:val="24"/>
        </w:rPr>
      </w:pPr>
      <w:bookmarkStart w:id="561" w:name="_Toc183697513"/>
      <w:bookmarkStart w:id="562" w:name="_Toc183698843"/>
      <w:bookmarkStart w:id="563" w:name="_Toc183699184"/>
      <w:bookmarkStart w:id="564" w:name="_Toc183699396"/>
      <w:bookmarkStart w:id="565" w:name="_Toc183699868"/>
      <w:bookmarkStart w:id="566" w:name="_Toc183700141"/>
      <w:bookmarkStart w:id="567" w:name="_Toc183700358"/>
      <w:bookmarkStart w:id="568" w:name="_Toc183700650"/>
      <w:bookmarkStart w:id="569" w:name="_Toc183700902"/>
      <w:r w:rsidRPr="00830EBC">
        <w:rPr>
          <w:sz w:val="24"/>
          <w:szCs w:val="24"/>
        </w:rPr>
        <w:lastRenderedPageBreak/>
        <w:t>2.3.8 Análisis de los saldos de las conciliaciones bancarias con los saldos de libros del primer semestre del año 2007 mediante diagramas de barras. Compañía SER Banco Produbanco.</w:t>
      </w:r>
      <w:bookmarkEnd w:id="561"/>
      <w:bookmarkEnd w:id="562"/>
      <w:bookmarkEnd w:id="563"/>
      <w:bookmarkEnd w:id="564"/>
      <w:bookmarkEnd w:id="565"/>
      <w:bookmarkEnd w:id="566"/>
      <w:bookmarkEnd w:id="567"/>
      <w:bookmarkEnd w:id="568"/>
      <w:bookmarkEnd w:id="569"/>
    </w:p>
    <w:p w:rsidR="00CC1C75" w:rsidRDefault="00CC1C75" w:rsidP="00FD4A53">
      <w:pPr>
        <w:spacing w:line="480" w:lineRule="auto"/>
        <w:ind w:firstLine="540"/>
        <w:jc w:val="both"/>
        <w:rPr>
          <w:rFonts w:ascii="Arial" w:hAnsi="Arial" w:cs="Arial"/>
        </w:rPr>
      </w:pPr>
      <w:r>
        <w:rPr>
          <w:rFonts w:ascii="Arial" w:hAnsi="Arial" w:cs="Arial"/>
        </w:rPr>
        <w:t>Para este caso, el gráfico es el siguiente:</w:t>
      </w:r>
    </w:p>
    <w:p w:rsidR="00000C6C" w:rsidRDefault="00B04CD6" w:rsidP="00830EBC">
      <w:pPr>
        <w:spacing w:line="480" w:lineRule="auto"/>
        <w:ind w:left="709"/>
        <w:jc w:val="both"/>
      </w:pPr>
      <w:r>
        <w:rPr>
          <w:noProof/>
        </w:rPr>
        <w:drawing>
          <wp:inline distT="0" distB="0" distL="0" distR="0">
            <wp:extent cx="4902200" cy="37592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1C75" w:rsidRPr="00000C6C" w:rsidRDefault="00CC1C75" w:rsidP="00000C6C">
      <w:pPr>
        <w:pStyle w:val="Ttulo1"/>
        <w:spacing w:line="480" w:lineRule="auto"/>
        <w:ind w:left="357"/>
        <w:jc w:val="center"/>
        <w:rPr>
          <w:rFonts w:ascii="Arial" w:hAnsi="Arial" w:cs="Arial"/>
          <w:b w:val="0"/>
        </w:rPr>
      </w:pPr>
      <w:bookmarkStart w:id="570" w:name="_Toc183699869"/>
      <w:bookmarkStart w:id="571" w:name="_Toc183700142"/>
      <w:bookmarkStart w:id="572" w:name="_Toc183700359"/>
      <w:bookmarkStart w:id="573" w:name="_Toc183700651"/>
      <w:bookmarkStart w:id="574" w:name="_Toc183700903"/>
      <w:r w:rsidRPr="00000C6C">
        <w:rPr>
          <w:rFonts w:ascii="Arial" w:hAnsi="Arial" w:cs="Arial"/>
        </w:rPr>
        <w:t xml:space="preserve">Gráfico 2.6. </w:t>
      </w:r>
      <w:r w:rsidRPr="00000C6C">
        <w:rPr>
          <w:rFonts w:ascii="Arial" w:hAnsi="Arial" w:cs="Arial"/>
          <w:b w:val="0"/>
        </w:rPr>
        <w:t>Diagrama de barra. Compañía SER. Banco Produbanco.</w:t>
      </w:r>
      <w:bookmarkEnd w:id="570"/>
      <w:bookmarkEnd w:id="571"/>
      <w:bookmarkEnd w:id="572"/>
      <w:bookmarkEnd w:id="573"/>
      <w:bookmarkEnd w:id="574"/>
    </w:p>
    <w:p w:rsidR="00CC1C75" w:rsidRDefault="00CC1C75" w:rsidP="00CC1C75">
      <w:pPr>
        <w:spacing w:line="480" w:lineRule="auto"/>
        <w:jc w:val="both"/>
        <w:rPr>
          <w:rFonts w:ascii="Arial" w:hAnsi="Arial" w:cs="Arial"/>
          <w:b/>
        </w:rPr>
      </w:pPr>
    </w:p>
    <w:p w:rsidR="00CC1C75" w:rsidRDefault="00CC1C75" w:rsidP="00FD4A53">
      <w:pPr>
        <w:spacing w:line="480" w:lineRule="auto"/>
        <w:ind w:left="540"/>
        <w:jc w:val="both"/>
        <w:rPr>
          <w:rFonts w:ascii="Arial" w:hAnsi="Arial" w:cs="Arial"/>
        </w:rPr>
      </w:pPr>
      <w:r>
        <w:rPr>
          <w:rFonts w:ascii="Arial" w:hAnsi="Arial" w:cs="Arial"/>
        </w:rPr>
        <w:t xml:space="preserve">Se puede observar que esta compañía en este banco ha tenido diferencias en sus saldos en los meses de enero, abril y mayo con valores elevados de $6,002.92, $10,002.34, $802.34 respectivamente, mientras que en los otros meses de febrero, marzo y junio también ha tenido diferencias pero esas han sido tolerables estas son de $35.80, </w:t>
      </w:r>
      <w:r>
        <w:rPr>
          <w:rFonts w:ascii="Arial" w:hAnsi="Arial" w:cs="Arial"/>
        </w:rPr>
        <w:lastRenderedPageBreak/>
        <w:t xml:space="preserve">$302.39, y $2.34 respectivamente como se puede observar el </w:t>
      </w:r>
      <w:r>
        <w:rPr>
          <w:rFonts w:ascii="Arial" w:hAnsi="Arial" w:cs="Arial"/>
          <w:b/>
        </w:rPr>
        <w:t>gráfico 2.6</w:t>
      </w:r>
      <w:r>
        <w:rPr>
          <w:rFonts w:ascii="Arial" w:hAnsi="Arial" w:cs="Arial"/>
        </w:rPr>
        <w:t xml:space="preserve"> aunque debido a su </w:t>
      </w:r>
      <w:r w:rsidRPr="009F7070">
        <w:rPr>
          <w:rFonts w:ascii="Arial" w:hAnsi="Arial" w:cs="Arial"/>
        </w:rPr>
        <w:t>escala y diferencia pequeñas aparentemente se visualizan iguales</w:t>
      </w:r>
      <w:r>
        <w:rPr>
          <w:rFonts w:ascii="Arial" w:hAnsi="Arial" w:cs="Arial"/>
        </w:rPr>
        <w:t xml:space="preserve"> y aunque también el mes de marzo  tiene una diferencia de </w:t>
      </w:r>
      <w:r>
        <w:rPr>
          <w:rFonts w:ascii="Arial" w:eastAsia="Batang" w:hAnsi="Arial" w:cs="Arial"/>
          <w:lang w:val="es-EC" w:eastAsia="ko-KR"/>
        </w:rPr>
        <w:t>$302.39 no es considerada tan alta como los otros valores que se pueden visualizar ampliamente</w:t>
      </w:r>
      <w:r w:rsidRPr="009F7070">
        <w:rPr>
          <w:rFonts w:ascii="Arial" w:hAnsi="Arial" w:cs="Arial"/>
        </w:rPr>
        <w:t xml:space="preserve">. Lo que quiere decir que </w:t>
      </w:r>
      <w:r>
        <w:rPr>
          <w:rFonts w:ascii="Arial" w:hAnsi="Arial" w:cs="Arial"/>
        </w:rPr>
        <w:t>a pesar que se han presentado diferencias elevadas al final de este semestre se regularizó las diferencias quedando $2.34 de la misma.</w:t>
      </w:r>
    </w:p>
    <w:p w:rsidR="00CC1C75" w:rsidRDefault="00CC1C75" w:rsidP="00CC1C75">
      <w:pPr>
        <w:spacing w:line="480" w:lineRule="auto"/>
        <w:ind w:left="708"/>
        <w:jc w:val="both"/>
        <w:rPr>
          <w:rFonts w:ascii="Arial" w:hAnsi="Arial" w:cs="Arial"/>
        </w:rPr>
      </w:pPr>
    </w:p>
    <w:p w:rsidR="007C49D9" w:rsidRDefault="00CC1C75" w:rsidP="00FD4A53">
      <w:pPr>
        <w:pStyle w:val="Ttulo3"/>
        <w:spacing w:before="0" w:after="0" w:line="480" w:lineRule="auto"/>
        <w:ind w:left="540"/>
        <w:jc w:val="both"/>
        <w:rPr>
          <w:sz w:val="24"/>
          <w:szCs w:val="24"/>
        </w:rPr>
      </w:pPr>
      <w:bookmarkStart w:id="575" w:name="_Toc183697514"/>
      <w:bookmarkStart w:id="576" w:name="_Toc183698844"/>
      <w:bookmarkStart w:id="577" w:name="_Toc183699185"/>
      <w:bookmarkStart w:id="578" w:name="_Toc183699397"/>
      <w:bookmarkStart w:id="579" w:name="_Toc183699870"/>
      <w:bookmarkStart w:id="580" w:name="_Toc183700143"/>
      <w:bookmarkStart w:id="581" w:name="_Toc183700360"/>
      <w:bookmarkStart w:id="582" w:name="_Toc183700652"/>
      <w:bookmarkStart w:id="583" w:name="_Toc183700904"/>
      <w:r w:rsidRPr="00830EBC">
        <w:rPr>
          <w:sz w:val="24"/>
          <w:szCs w:val="24"/>
        </w:rPr>
        <w:t>2.3.9 Análisis de las diferencias individuales de las compañías entre los saldos de las conciliaciones bancarias y los saldos de libros del primer semestre del año 2007 mediante diagrama de pastel. Compañía SER Banco Produbanco</w:t>
      </w:r>
      <w:r w:rsidR="007C49D9">
        <w:rPr>
          <w:sz w:val="24"/>
          <w:szCs w:val="24"/>
        </w:rPr>
        <w:t>.</w:t>
      </w:r>
      <w:bookmarkEnd w:id="575"/>
      <w:bookmarkEnd w:id="576"/>
      <w:bookmarkEnd w:id="577"/>
      <w:bookmarkEnd w:id="578"/>
      <w:bookmarkEnd w:id="579"/>
      <w:bookmarkEnd w:id="580"/>
      <w:bookmarkEnd w:id="581"/>
      <w:bookmarkEnd w:id="582"/>
      <w:bookmarkEnd w:id="583"/>
    </w:p>
    <w:p w:rsidR="00CC1C75" w:rsidRPr="00830EBC" w:rsidRDefault="00CC1C75" w:rsidP="00830EBC">
      <w:pPr>
        <w:pStyle w:val="Ttulo3"/>
        <w:spacing w:before="0" w:after="0" w:line="480" w:lineRule="auto"/>
        <w:ind w:left="360"/>
        <w:jc w:val="both"/>
        <w:rPr>
          <w:sz w:val="24"/>
          <w:szCs w:val="24"/>
        </w:rPr>
      </w:pPr>
      <w:r w:rsidRPr="00830EBC">
        <w:rPr>
          <w:sz w:val="24"/>
          <w:szCs w:val="24"/>
        </w:rPr>
        <w:t xml:space="preserve"> </w:t>
      </w:r>
    </w:p>
    <w:p w:rsidR="00CC1C75" w:rsidRDefault="00B04CD6" w:rsidP="007C49D9">
      <w:pPr>
        <w:tabs>
          <w:tab w:val="left" w:pos="851"/>
        </w:tabs>
        <w:spacing w:line="480" w:lineRule="auto"/>
        <w:ind w:left="851"/>
        <w:jc w:val="center"/>
      </w:pPr>
      <w:r>
        <w:rPr>
          <w:noProof/>
        </w:rPr>
        <w:drawing>
          <wp:inline distT="0" distB="0" distL="0" distR="0">
            <wp:extent cx="3568700" cy="17145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1C75" w:rsidRPr="007C49D9" w:rsidRDefault="007C49D9" w:rsidP="007C49D9">
      <w:pPr>
        <w:pStyle w:val="Ttulo1"/>
        <w:spacing w:line="480" w:lineRule="auto"/>
        <w:jc w:val="center"/>
        <w:rPr>
          <w:rFonts w:ascii="Arial" w:hAnsi="Arial" w:cs="Arial"/>
          <w:b w:val="0"/>
        </w:rPr>
      </w:pPr>
      <w:r>
        <w:rPr>
          <w:rFonts w:ascii="Arial" w:hAnsi="Arial" w:cs="Arial"/>
        </w:rPr>
        <w:t xml:space="preserve">      </w:t>
      </w:r>
      <w:bookmarkStart w:id="584" w:name="_Toc183697515"/>
      <w:bookmarkStart w:id="585" w:name="_Toc183698845"/>
      <w:bookmarkStart w:id="586" w:name="_Toc183699186"/>
      <w:bookmarkStart w:id="587" w:name="_Toc183699398"/>
      <w:bookmarkStart w:id="588" w:name="_Toc183699871"/>
      <w:bookmarkStart w:id="589" w:name="_Toc183700144"/>
      <w:bookmarkStart w:id="590" w:name="_Toc183700361"/>
      <w:bookmarkStart w:id="591" w:name="_Toc183700653"/>
      <w:bookmarkStart w:id="592" w:name="_Toc183700905"/>
      <w:r w:rsidR="00CC1C75" w:rsidRPr="00830EBC">
        <w:rPr>
          <w:rFonts w:ascii="Arial" w:hAnsi="Arial" w:cs="Arial"/>
        </w:rPr>
        <w:t xml:space="preserve">Gráfico 2.7. </w:t>
      </w:r>
      <w:r w:rsidR="00CC1C75" w:rsidRPr="007C49D9">
        <w:rPr>
          <w:rFonts w:ascii="Arial" w:hAnsi="Arial" w:cs="Arial"/>
          <w:b w:val="0"/>
        </w:rPr>
        <w:t>Diagrama de pastel. Compañía SER Banco Produbanco.</w:t>
      </w:r>
      <w:bookmarkEnd w:id="584"/>
      <w:bookmarkEnd w:id="585"/>
      <w:bookmarkEnd w:id="586"/>
      <w:bookmarkEnd w:id="587"/>
      <w:bookmarkEnd w:id="588"/>
      <w:bookmarkEnd w:id="589"/>
      <w:bookmarkEnd w:id="590"/>
      <w:bookmarkEnd w:id="591"/>
      <w:bookmarkEnd w:id="592"/>
    </w:p>
    <w:p w:rsidR="00CC1C75" w:rsidRDefault="00CC1C75" w:rsidP="00CC1C75">
      <w:pPr>
        <w:tabs>
          <w:tab w:val="left" w:pos="851"/>
        </w:tabs>
        <w:spacing w:line="480" w:lineRule="auto"/>
        <w:ind w:left="851"/>
        <w:jc w:val="both"/>
        <w:rPr>
          <w:rFonts w:ascii="Arial" w:hAnsi="Arial" w:cs="Arial"/>
          <w:b/>
        </w:rPr>
      </w:pPr>
    </w:p>
    <w:p w:rsidR="00CC1C75" w:rsidRPr="00337C5A" w:rsidRDefault="00CC1C75" w:rsidP="00FD4A53">
      <w:pPr>
        <w:spacing w:line="480" w:lineRule="auto"/>
        <w:ind w:left="540"/>
        <w:jc w:val="both"/>
        <w:rPr>
          <w:rFonts w:ascii="Arial" w:hAnsi="Arial" w:cs="Arial"/>
        </w:rPr>
      </w:pPr>
      <w:r>
        <w:rPr>
          <w:rFonts w:ascii="Arial" w:hAnsi="Arial" w:cs="Arial"/>
        </w:rPr>
        <w:t xml:space="preserve">Se puede observar que esta compañía en este banco ha tenido mayores diferencias en sus saldos en los meses de enero y abril con </w:t>
      </w:r>
      <w:r>
        <w:rPr>
          <w:rFonts w:ascii="Arial" w:hAnsi="Arial" w:cs="Arial"/>
        </w:rPr>
        <w:lastRenderedPageBreak/>
        <w:t xml:space="preserve">35% y 58% lo que equivale en valores de $6,002.92 y $10,002.34 en cada mes respectivo; en marzo y mayo tienen menores porcentajes de 2% y 5% con valores de $302.39 y $802.34 respectivamente mientras que en los meses  restantes del primer semestre del año 2007 los cuales son febrero y junio tienen diferencia mínima  lo que representan cero por ciento en el gráfico de pastel, como se puede observar el </w:t>
      </w:r>
      <w:r>
        <w:rPr>
          <w:rFonts w:ascii="Arial" w:hAnsi="Arial" w:cs="Arial"/>
          <w:b/>
        </w:rPr>
        <w:t>gráfico 2.7</w:t>
      </w:r>
      <w:r>
        <w:rPr>
          <w:rFonts w:ascii="Arial" w:hAnsi="Arial" w:cs="Arial"/>
        </w:rPr>
        <w:t>. Lo que quiere decir que  en el mes de abril se presentó su mayor diferencia y las diferencias en el gráfico aparecen de cero por ciento en los meses de febrero y junio debido a que son mínimas de $35.80 y $2.34 en comparación a los valores anteriores.</w:t>
      </w:r>
    </w:p>
    <w:p w:rsidR="00CC1C75" w:rsidRDefault="00CC1C75" w:rsidP="00CC1C75">
      <w:pPr>
        <w:spacing w:line="480" w:lineRule="auto"/>
        <w:ind w:left="708"/>
        <w:jc w:val="both"/>
        <w:rPr>
          <w:rFonts w:ascii="Arial" w:hAnsi="Arial" w:cs="Arial"/>
        </w:rPr>
      </w:pPr>
    </w:p>
    <w:p w:rsidR="00CC1C75" w:rsidRDefault="00CC1C75" w:rsidP="00FD4A53">
      <w:pPr>
        <w:pStyle w:val="Ttulo3"/>
        <w:spacing w:before="0" w:after="0" w:line="480" w:lineRule="auto"/>
        <w:ind w:left="540"/>
        <w:jc w:val="both"/>
        <w:rPr>
          <w:sz w:val="24"/>
          <w:szCs w:val="24"/>
        </w:rPr>
      </w:pPr>
      <w:bookmarkStart w:id="593" w:name="_Toc183697516"/>
      <w:bookmarkStart w:id="594" w:name="_Toc183698846"/>
      <w:bookmarkStart w:id="595" w:name="_Toc183699187"/>
      <w:bookmarkStart w:id="596" w:name="_Toc183699399"/>
      <w:bookmarkStart w:id="597" w:name="_Toc183699872"/>
      <w:bookmarkStart w:id="598" w:name="_Toc183700145"/>
      <w:bookmarkStart w:id="599" w:name="_Toc183700362"/>
      <w:bookmarkStart w:id="600" w:name="_Toc183700654"/>
      <w:bookmarkStart w:id="601" w:name="_Toc183700906"/>
      <w:r w:rsidRPr="00C8398E">
        <w:rPr>
          <w:sz w:val="24"/>
          <w:szCs w:val="24"/>
        </w:rPr>
        <w:t>2.3.10 Análisis de las diferencias entre los saldos de las conciliaciones bancarias y los saldos de libros del primer semestre del año 2007 que se encuentran en el 25%, 50% y 75% mediante cuartiles.  Compañía SER Banco Produbanco.</w:t>
      </w:r>
      <w:bookmarkEnd w:id="593"/>
      <w:bookmarkEnd w:id="594"/>
      <w:bookmarkEnd w:id="595"/>
      <w:bookmarkEnd w:id="596"/>
      <w:bookmarkEnd w:id="597"/>
      <w:bookmarkEnd w:id="598"/>
      <w:bookmarkEnd w:id="599"/>
      <w:bookmarkEnd w:id="600"/>
      <w:bookmarkEnd w:id="601"/>
    </w:p>
    <w:p w:rsidR="00C8398E" w:rsidRPr="00C8398E" w:rsidRDefault="00C8398E" w:rsidP="00C8398E"/>
    <w:p w:rsidR="00C8398E" w:rsidRPr="00C8398E" w:rsidRDefault="00C8398E" w:rsidP="00C8398E">
      <w:pPr>
        <w:pStyle w:val="Ttulo1"/>
        <w:spacing w:line="480" w:lineRule="auto"/>
        <w:jc w:val="center"/>
        <w:rPr>
          <w:rFonts w:ascii="Arial" w:hAnsi="Arial" w:cs="Arial"/>
          <w:b w:val="0"/>
        </w:rPr>
      </w:pPr>
      <w:bookmarkStart w:id="602" w:name="_Toc183697517"/>
      <w:bookmarkStart w:id="603" w:name="_Toc183698847"/>
      <w:bookmarkStart w:id="604" w:name="_Toc183699188"/>
      <w:bookmarkStart w:id="605" w:name="_Toc183699400"/>
      <w:bookmarkStart w:id="606" w:name="_Toc183699873"/>
      <w:bookmarkStart w:id="607" w:name="_Toc183700146"/>
      <w:bookmarkStart w:id="608" w:name="_Toc183700655"/>
      <w:bookmarkStart w:id="609" w:name="_Toc183700907"/>
      <w:r w:rsidRPr="00C8398E">
        <w:rPr>
          <w:rFonts w:ascii="Arial" w:hAnsi="Arial" w:cs="Arial"/>
        </w:rPr>
        <w:t xml:space="preserve">Tabla VI. </w:t>
      </w:r>
      <w:r w:rsidRPr="00C8398E">
        <w:rPr>
          <w:rFonts w:ascii="Arial" w:hAnsi="Arial" w:cs="Arial"/>
          <w:b w:val="0"/>
        </w:rPr>
        <w:t>Valores de los cuartiles de SER Banco Produbanco</w:t>
      </w:r>
      <w:bookmarkEnd w:id="602"/>
      <w:bookmarkEnd w:id="603"/>
      <w:bookmarkEnd w:id="604"/>
      <w:bookmarkEnd w:id="605"/>
      <w:bookmarkEnd w:id="606"/>
      <w:bookmarkEnd w:id="607"/>
      <w:bookmarkEnd w:id="608"/>
      <w:bookmarkEnd w:id="609"/>
    </w:p>
    <w:tbl>
      <w:tblPr>
        <w:tblW w:w="6805" w:type="dxa"/>
        <w:tblInd w:w="900" w:type="dxa"/>
        <w:tblCellMar>
          <w:left w:w="70" w:type="dxa"/>
          <w:right w:w="70" w:type="dxa"/>
        </w:tblCellMar>
        <w:tblLook w:val="0000"/>
      </w:tblPr>
      <w:tblGrid>
        <w:gridCol w:w="440"/>
        <w:gridCol w:w="940"/>
        <w:gridCol w:w="660"/>
        <w:gridCol w:w="620"/>
        <w:gridCol w:w="560"/>
        <w:gridCol w:w="700"/>
        <w:gridCol w:w="660"/>
        <w:gridCol w:w="580"/>
        <w:gridCol w:w="525"/>
        <w:gridCol w:w="525"/>
        <w:gridCol w:w="595"/>
      </w:tblGrid>
      <w:tr w:rsidR="00173426" w:rsidRPr="00173426">
        <w:trPr>
          <w:trHeight w:val="270"/>
        </w:trPr>
        <w:tc>
          <w:tcPr>
            <w:tcW w:w="4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9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Ene.</w:t>
            </w:r>
          </w:p>
        </w:tc>
        <w:tc>
          <w:tcPr>
            <w:tcW w:w="62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Feb.</w:t>
            </w:r>
          </w:p>
        </w:tc>
        <w:tc>
          <w:tcPr>
            <w:tcW w:w="5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Marz.</w:t>
            </w:r>
          </w:p>
        </w:tc>
        <w:tc>
          <w:tcPr>
            <w:tcW w:w="70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Jun.</w:t>
            </w:r>
          </w:p>
        </w:tc>
        <w:tc>
          <w:tcPr>
            <w:tcW w:w="164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Cuartiles</w:t>
            </w:r>
          </w:p>
        </w:tc>
      </w:tr>
      <w:tr w:rsidR="00173426" w:rsidRPr="00173426">
        <w:trPr>
          <w:trHeight w:val="270"/>
        </w:trPr>
        <w:tc>
          <w:tcPr>
            <w:tcW w:w="440" w:type="dxa"/>
            <w:tcBorders>
              <w:top w:val="single" w:sz="8" w:space="0" w:color="auto"/>
              <w:left w:val="single" w:sz="8" w:space="0" w:color="auto"/>
              <w:bottom w:val="nil"/>
              <w:right w:val="single" w:sz="4" w:space="0" w:color="auto"/>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Cía.</w:t>
            </w:r>
          </w:p>
        </w:tc>
        <w:tc>
          <w:tcPr>
            <w:tcW w:w="940" w:type="dxa"/>
            <w:tcBorders>
              <w:top w:val="single" w:sz="8" w:space="0" w:color="auto"/>
              <w:left w:val="nil"/>
              <w:bottom w:val="nil"/>
              <w:right w:val="nil"/>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BANCOS</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2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70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8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25" w:type="dxa"/>
            <w:tcBorders>
              <w:top w:val="nil"/>
              <w:left w:val="single" w:sz="8" w:space="0" w:color="auto"/>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25%</w:t>
            </w:r>
          </w:p>
        </w:tc>
        <w:tc>
          <w:tcPr>
            <w:tcW w:w="525" w:type="dxa"/>
            <w:tcBorders>
              <w:top w:val="nil"/>
              <w:left w:val="nil"/>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50%</w:t>
            </w:r>
          </w:p>
        </w:tc>
        <w:tc>
          <w:tcPr>
            <w:tcW w:w="595" w:type="dxa"/>
            <w:tcBorders>
              <w:top w:val="nil"/>
              <w:left w:val="nil"/>
              <w:bottom w:val="nil"/>
              <w:right w:val="single" w:sz="8"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75%</w:t>
            </w:r>
          </w:p>
        </w:tc>
      </w:tr>
      <w:tr w:rsidR="00173426" w:rsidRPr="00173426">
        <w:trPr>
          <w:trHeight w:val="270"/>
        </w:trPr>
        <w:tc>
          <w:tcPr>
            <w:tcW w:w="4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SER</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Produbanco</w:t>
            </w:r>
          </w:p>
        </w:tc>
        <w:tc>
          <w:tcPr>
            <w:tcW w:w="660" w:type="dxa"/>
            <w:tcBorders>
              <w:top w:val="single" w:sz="8"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6.002,92</w:t>
            </w:r>
          </w:p>
        </w:tc>
        <w:tc>
          <w:tcPr>
            <w:tcW w:w="620" w:type="dxa"/>
            <w:tcBorders>
              <w:top w:val="single" w:sz="8"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35,80</w:t>
            </w:r>
          </w:p>
        </w:tc>
        <w:tc>
          <w:tcPr>
            <w:tcW w:w="560" w:type="dxa"/>
            <w:tcBorders>
              <w:top w:val="single" w:sz="8"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302,39</w:t>
            </w:r>
          </w:p>
        </w:tc>
        <w:tc>
          <w:tcPr>
            <w:tcW w:w="700" w:type="dxa"/>
            <w:tcBorders>
              <w:top w:val="single" w:sz="8"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10.002,34</w:t>
            </w:r>
          </w:p>
        </w:tc>
        <w:tc>
          <w:tcPr>
            <w:tcW w:w="660" w:type="dxa"/>
            <w:tcBorders>
              <w:top w:val="single" w:sz="8"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802,34</w:t>
            </w:r>
          </w:p>
        </w:tc>
        <w:tc>
          <w:tcPr>
            <w:tcW w:w="580" w:type="dxa"/>
            <w:tcBorders>
              <w:top w:val="single" w:sz="8" w:space="0" w:color="auto"/>
              <w:left w:val="nil"/>
              <w:bottom w:val="nil"/>
              <w:right w:val="nil"/>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2,34</w:t>
            </w:r>
          </w:p>
        </w:tc>
        <w:tc>
          <w:tcPr>
            <w:tcW w:w="525" w:type="dxa"/>
            <w:tcBorders>
              <w:top w:val="single" w:sz="8" w:space="0" w:color="auto"/>
              <w:left w:val="single" w:sz="8" w:space="0" w:color="auto"/>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102,45</w:t>
            </w:r>
          </w:p>
        </w:tc>
        <w:tc>
          <w:tcPr>
            <w:tcW w:w="525"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552,36</w:t>
            </w:r>
          </w:p>
        </w:tc>
        <w:tc>
          <w:tcPr>
            <w:tcW w:w="595"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4702,78</w:t>
            </w:r>
          </w:p>
        </w:tc>
      </w:tr>
    </w:tbl>
    <w:p w:rsidR="00CC1C75" w:rsidRDefault="00CC1C75" w:rsidP="00CC1C75">
      <w:pPr>
        <w:tabs>
          <w:tab w:val="left" w:pos="851"/>
        </w:tabs>
        <w:spacing w:line="480" w:lineRule="auto"/>
        <w:ind w:left="851"/>
        <w:jc w:val="both"/>
        <w:rPr>
          <w:rFonts w:ascii="Arial" w:hAnsi="Arial" w:cs="Arial"/>
          <w:b/>
        </w:rPr>
      </w:pPr>
    </w:p>
    <w:p w:rsidR="00CC1C75" w:rsidRDefault="00CC1C75" w:rsidP="00CC1C75">
      <w:pPr>
        <w:tabs>
          <w:tab w:val="left" w:pos="851"/>
        </w:tabs>
        <w:spacing w:line="480" w:lineRule="auto"/>
        <w:ind w:left="851"/>
        <w:jc w:val="both"/>
        <w:rPr>
          <w:rFonts w:ascii="Arial" w:hAnsi="Arial" w:cs="Arial"/>
          <w:b/>
        </w:rPr>
      </w:pPr>
    </w:p>
    <w:p w:rsidR="00CC1C75" w:rsidRDefault="00CC1C75" w:rsidP="00E47651">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El primer cuartil nos indica que el 25% de las diferencias de las conciliaciones bancarias  durante los primeros 6 meses de la compañía </w:t>
      </w:r>
      <w:r>
        <w:rPr>
          <w:rFonts w:ascii="Arial" w:hAnsi="Arial" w:cs="Arial"/>
          <w:color w:val="000000"/>
        </w:rPr>
        <w:lastRenderedPageBreak/>
        <w:t>son inferiores a $102.45; lo que quiere decir que el 75% de las diferencias, son superiores al valor antes mencionado.</w:t>
      </w:r>
    </w:p>
    <w:p w:rsidR="00E47651" w:rsidRDefault="00E47651" w:rsidP="00E47651">
      <w:pPr>
        <w:autoSpaceDE w:val="0"/>
        <w:autoSpaceDN w:val="0"/>
        <w:adjustRightInd w:val="0"/>
        <w:spacing w:line="480" w:lineRule="auto"/>
        <w:ind w:left="540"/>
        <w:jc w:val="both"/>
        <w:rPr>
          <w:rFonts w:ascii="Arial" w:hAnsi="Arial" w:cs="Arial"/>
          <w:color w:val="000000"/>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En el segundo cuartil podemos observar que la mitad de los valores  están por debajo de $ 552.37. </w:t>
      </w:r>
    </w:p>
    <w:p w:rsidR="00E47651" w:rsidRDefault="00E47651" w:rsidP="000D7DC6">
      <w:pPr>
        <w:autoSpaceDE w:val="0"/>
        <w:autoSpaceDN w:val="0"/>
        <w:adjustRightInd w:val="0"/>
        <w:spacing w:line="480" w:lineRule="auto"/>
        <w:ind w:left="540"/>
        <w:jc w:val="both"/>
        <w:rPr>
          <w:rFonts w:ascii="Arial" w:hAnsi="Arial" w:cs="Arial"/>
          <w:color w:val="000000"/>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El tercer cuartil nos indica que el 75% de las diferencias de las conciliaciones bancarias son inferiores a $4702.78; es decir que el 25% restante son superiores a ese valor.</w:t>
      </w:r>
    </w:p>
    <w:p w:rsidR="00CC1C75" w:rsidRPr="00C8398E" w:rsidRDefault="00CC1C75" w:rsidP="00C8398E">
      <w:pPr>
        <w:pStyle w:val="Ttulo3"/>
        <w:spacing w:before="0" w:after="0" w:line="480" w:lineRule="auto"/>
        <w:ind w:left="360"/>
        <w:jc w:val="both"/>
        <w:rPr>
          <w:sz w:val="24"/>
          <w:szCs w:val="24"/>
        </w:rPr>
      </w:pPr>
    </w:p>
    <w:p w:rsidR="00CC1C75" w:rsidRDefault="00CC1C75" w:rsidP="000D7DC6">
      <w:pPr>
        <w:pStyle w:val="Ttulo3"/>
        <w:spacing w:before="0" w:after="0" w:line="480" w:lineRule="auto"/>
        <w:ind w:left="540"/>
        <w:jc w:val="both"/>
        <w:rPr>
          <w:sz w:val="24"/>
          <w:szCs w:val="24"/>
        </w:rPr>
      </w:pPr>
      <w:bookmarkStart w:id="610" w:name="_Toc183697518"/>
      <w:bookmarkStart w:id="611" w:name="_Toc183698848"/>
      <w:bookmarkStart w:id="612" w:name="_Toc183699189"/>
      <w:bookmarkStart w:id="613" w:name="_Toc183699401"/>
      <w:bookmarkStart w:id="614" w:name="_Toc183699874"/>
      <w:bookmarkStart w:id="615" w:name="_Toc183700147"/>
      <w:bookmarkStart w:id="616" w:name="_Toc183700364"/>
      <w:bookmarkStart w:id="617" w:name="_Toc183700656"/>
      <w:bookmarkStart w:id="618" w:name="_Toc183700908"/>
      <w:r w:rsidRPr="00C8398E">
        <w:rPr>
          <w:sz w:val="24"/>
          <w:szCs w:val="24"/>
        </w:rPr>
        <w:t>2.3.11 Análisis de los valores de  las diferencias entre los saldos de las conciliaciones bancarias y los saldos de libros del primer semestre del año 2007 mediante series de tiempo. Compañía SER.</w:t>
      </w:r>
      <w:bookmarkEnd w:id="610"/>
      <w:bookmarkEnd w:id="611"/>
      <w:bookmarkEnd w:id="612"/>
      <w:bookmarkEnd w:id="613"/>
      <w:bookmarkEnd w:id="614"/>
      <w:bookmarkEnd w:id="615"/>
      <w:bookmarkEnd w:id="616"/>
      <w:bookmarkEnd w:id="617"/>
      <w:bookmarkEnd w:id="618"/>
    </w:p>
    <w:p w:rsidR="00C8398E" w:rsidRDefault="00C8398E" w:rsidP="00C8398E"/>
    <w:p w:rsidR="00E47651" w:rsidRPr="00C8398E" w:rsidRDefault="00E47651" w:rsidP="00C8398E"/>
    <w:p w:rsidR="00CC1C75" w:rsidRPr="00C8398E" w:rsidRDefault="00C8398E" w:rsidP="00C8398E">
      <w:pPr>
        <w:pStyle w:val="Ttulo1"/>
        <w:spacing w:line="480" w:lineRule="auto"/>
        <w:jc w:val="center"/>
        <w:rPr>
          <w:rFonts w:ascii="Arial" w:hAnsi="Arial" w:cs="Arial"/>
          <w:b w:val="0"/>
        </w:rPr>
      </w:pPr>
      <w:bookmarkStart w:id="619" w:name="_Toc183697519"/>
      <w:bookmarkStart w:id="620" w:name="_Toc183698849"/>
      <w:bookmarkStart w:id="621" w:name="_Toc183699190"/>
      <w:bookmarkStart w:id="622" w:name="_Toc183699402"/>
      <w:bookmarkStart w:id="623" w:name="_Toc183699875"/>
      <w:bookmarkStart w:id="624" w:name="_Toc183700148"/>
      <w:bookmarkStart w:id="625" w:name="_Toc183700657"/>
      <w:bookmarkStart w:id="626" w:name="_Toc183700909"/>
      <w:r w:rsidRPr="00C8398E">
        <w:rPr>
          <w:rFonts w:ascii="Arial" w:hAnsi="Arial" w:cs="Arial"/>
        </w:rPr>
        <w:t xml:space="preserve">Tabla VII. </w:t>
      </w:r>
      <w:r w:rsidRPr="00C8398E">
        <w:rPr>
          <w:rFonts w:ascii="Arial" w:hAnsi="Arial" w:cs="Arial"/>
          <w:b w:val="0"/>
        </w:rPr>
        <w:t>Diferencias de la compañía SER.</w:t>
      </w:r>
      <w:bookmarkEnd w:id="619"/>
      <w:bookmarkEnd w:id="620"/>
      <w:bookmarkEnd w:id="621"/>
      <w:bookmarkEnd w:id="622"/>
      <w:bookmarkEnd w:id="623"/>
      <w:bookmarkEnd w:id="624"/>
      <w:bookmarkEnd w:id="625"/>
      <w:bookmarkEnd w:id="626"/>
    </w:p>
    <w:tbl>
      <w:tblPr>
        <w:tblW w:w="2400" w:type="dxa"/>
        <w:jc w:val="center"/>
        <w:tblCellMar>
          <w:left w:w="0" w:type="dxa"/>
          <w:right w:w="0" w:type="dxa"/>
        </w:tblCellMar>
        <w:tblLook w:val="0000"/>
      </w:tblPr>
      <w:tblGrid>
        <w:gridCol w:w="1200"/>
        <w:gridCol w:w="1200"/>
      </w:tblGrid>
      <w:tr w:rsidR="00CC1C75">
        <w:trPr>
          <w:trHeight w:val="255"/>
          <w:jc w:val="center"/>
        </w:trPr>
        <w:tc>
          <w:tcPr>
            <w:tcW w:w="1200" w:type="dxa"/>
            <w:tcBorders>
              <w:top w:val="single" w:sz="4" w:space="0" w:color="auto"/>
              <w:left w:val="single" w:sz="4" w:space="0" w:color="auto"/>
              <w:bottom w:val="nil"/>
              <w:right w:val="nil"/>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 F.A.</w:t>
            </w:r>
          </w:p>
        </w:tc>
        <w:tc>
          <w:tcPr>
            <w:tcW w:w="1200" w:type="dxa"/>
            <w:tcBorders>
              <w:top w:val="single" w:sz="4" w:space="0" w:color="auto"/>
              <w:left w:val="single" w:sz="4" w:space="0" w:color="auto"/>
              <w:bottom w:val="single" w:sz="4" w:space="0" w:color="auto"/>
              <w:right w:val="single" w:sz="4" w:space="0" w:color="auto"/>
            </w:tcBorders>
            <w:noWrap/>
            <w:vAlign w:val="bottom"/>
          </w:tcPr>
          <w:p w:rsidR="00CC1C75" w:rsidRDefault="00CC1C75" w:rsidP="00CC1C75">
            <w:pPr>
              <w:jc w:val="center"/>
              <w:rPr>
                <w:rFonts w:eastAsia="Arial Unicode MS"/>
                <w:sz w:val="16"/>
                <w:szCs w:val="16"/>
              </w:rPr>
            </w:pPr>
            <w:r>
              <w:rPr>
                <w:sz w:val="16"/>
                <w:szCs w:val="16"/>
              </w:rPr>
              <w:t>Produbanco</w:t>
            </w:r>
          </w:p>
        </w:tc>
      </w:tr>
      <w:tr w:rsidR="00CC1C75">
        <w:trPr>
          <w:trHeight w:val="255"/>
          <w:jc w:val="center"/>
        </w:trPr>
        <w:tc>
          <w:tcPr>
            <w:tcW w:w="0" w:type="auto"/>
            <w:tcBorders>
              <w:top w:val="nil"/>
              <w:left w:val="single" w:sz="4" w:space="0" w:color="auto"/>
              <w:bottom w:val="nil"/>
              <w:right w:val="nil"/>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ENERO</w:t>
            </w:r>
          </w:p>
        </w:tc>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6.002,92</w:t>
            </w:r>
          </w:p>
        </w:tc>
      </w:tr>
      <w:tr w:rsidR="00CC1C75">
        <w:trPr>
          <w:trHeight w:val="255"/>
          <w:jc w:val="center"/>
        </w:trPr>
        <w:tc>
          <w:tcPr>
            <w:tcW w:w="0" w:type="auto"/>
            <w:tcBorders>
              <w:top w:val="nil"/>
              <w:left w:val="single" w:sz="4" w:space="0" w:color="auto"/>
              <w:bottom w:val="nil"/>
              <w:right w:val="nil"/>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FEBRERO</w:t>
            </w:r>
          </w:p>
        </w:tc>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35,80</w:t>
            </w:r>
          </w:p>
        </w:tc>
      </w:tr>
      <w:tr w:rsidR="00CC1C75">
        <w:trPr>
          <w:trHeight w:val="255"/>
          <w:jc w:val="center"/>
        </w:trPr>
        <w:tc>
          <w:tcPr>
            <w:tcW w:w="0" w:type="auto"/>
            <w:tcBorders>
              <w:top w:val="nil"/>
              <w:left w:val="single" w:sz="4" w:space="0" w:color="auto"/>
              <w:bottom w:val="nil"/>
              <w:right w:val="nil"/>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MARZO</w:t>
            </w:r>
          </w:p>
        </w:tc>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302,39</w:t>
            </w:r>
          </w:p>
        </w:tc>
      </w:tr>
      <w:tr w:rsidR="00CC1C75">
        <w:trPr>
          <w:trHeight w:val="255"/>
          <w:jc w:val="center"/>
        </w:trPr>
        <w:tc>
          <w:tcPr>
            <w:tcW w:w="0" w:type="auto"/>
            <w:tcBorders>
              <w:top w:val="nil"/>
              <w:left w:val="single" w:sz="4" w:space="0" w:color="auto"/>
              <w:bottom w:val="nil"/>
              <w:right w:val="nil"/>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ABRIL</w:t>
            </w:r>
          </w:p>
        </w:tc>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10.002,34</w:t>
            </w:r>
          </w:p>
        </w:tc>
      </w:tr>
      <w:tr w:rsidR="00CC1C75">
        <w:trPr>
          <w:trHeight w:val="255"/>
          <w:jc w:val="center"/>
        </w:trPr>
        <w:tc>
          <w:tcPr>
            <w:tcW w:w="0" w:type="auto"/>
            <w:tcBorders>
              <w:top w:val="nil"/>
              <w:left w:val="single" w:sz="4" w:space="0" w:color="auto"/>
              <w:bottom w:val="nil"/>
              <w:right w:val="nil"/>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MAYO</w:t>
            </w:r>
          </w:p>
        </w:tc>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802,34</w:t>
            </w:r>
          </w:p>
        </w:tc>
      </w:tr>
      <w:tr w:rsidR="00CC1C75">
        <w:trPr>
          <w:trHeight w:val="255"/>
          <w:jc w:val="center"/>
        </w:trPr>
        <w:tc>
          <w:tcPr>
            <w:tcW w:w="0" w:type="auto"/>
            <w:tcBorders>
              <w:top w:val="nil"/>
              <w:left w:val="single" w:sz="4" w:space="0" w:color="auto"/>
              <w:bottom w:val="single" w:sz="4" w:space="0" w:color="auto"/>
              <w:right w:val="nil"/>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JUNIO</w:t>
            </w:r>
          </w:p>
        </w:tc>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2,34</w:t>
            </w:r>
          </w:p>
        </w:tc>
      </w:tr>
    </w:tbl>
    <w:p w:rsidR="00CC1C75" w:rsidRDefault="00CC1C75" w:rsidP="00CC1C75">
      <w:pPr>
        <w:jc w:val="center"/>
        <w:rPr>
          <w:b/>
          <w:bCs/>
        </w:rPr>
      </w:pPr>
    </w:p>
    <w:p w:rsidR="00CC1C75" w:rsidRDefault="00CC1C75" w:rsidP="00CC1C75">
      <w:pPr>
        <w:jc w:val="center"/>
      </w:pPr>
    </w:p>
    <w:p w:rsidR="00CC1C75" w:rsidRDefault="00CC1C75" w:rsidP="00CC1C75">
      <w:pPr>
        <w:jc w:val="center"/>
      </w:pPr>
    </w:p>
    <w:p w:rsidR="00CC1C75" w:rsidRDefault="00B04CD6" w:rsidP="00CC1C75">
      <w:pPr>
        <w:jc w:val="center"/>
      </w:pPr>
      <w:r>
        <w:rPr>
          <w:noProof/>
        </w:rPr>
        <w:lastRenderedPageBreak/>
        <w:drawing>
          <wp:inline distT="0" distB="0" distL="0" distR="0">
            <wp:extent cx="3797300" cy="23114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1C75" w:rsidRPr="00C8398E" w:rsidRDefault="00CC1C75" w:rsidP="00C8398E">
      <w:pPr>
        <w:pStyle w:val="Ttulo1"/>
        <w:spacing w:line="480" w:lineRule="auto"/>
        <w:jc w:val="center"/>
        <w:rPr>
          <w:rFonts w:ascii="Arial" w:hAnsi="Arial" w:cs="Arial"/>
          <w:b w:val="0"/>
        </w:rPr>
      </w:pPr>
      <w:bookmarkStart w:id="627" w:name="_Toc183697520"/>
      <w:bookmarkStart w:id="628" w:name="_Toc183698850"/>
      <w:bookmarkStart w:id="629" w:name="_Toc183699191"/>
      <w:bookmarkStart w:id="630" w:name="_Toc183699403"/>
      <w:bookmarkStart w:id="631" w:name="_Toc183699876"/>
      <w:bookmarkStart w:id="632" w:name="_Toc183700149"/>
      <w:bookmarkStart w:id="633" w:name="_Toc183700658"/>
      <w:bookmarkStart w:id="634" w:name="_Toc183700910"/>
      <w:r w:rsidRPr="00C8398E">
        <w:rPr>
          <w:rFonts w:ascii="Arial" w:hAnsi="Arial" w:cs="Arial"/>
        </w:rPr>
        <w:t>Gráfico 2.8</w:t>
      </w:r>
      <w:r w:rsidR="00C552B3">
        <w:rPr>
          <w:rFonts w:ascii="Arial" w:hAnsi="Arial" w:cs="Arial"/>
        </w:rPr>
        <w:t>.</w:t>
      </w:r>
      <w:r w:rsidRPr="00C8398E">
        <w:rPr>
          <w:rFonts w:ascii="Arial" w:hAnsi="Arial" w:cs="Arial"/>
        </w:rPr>
        <w:t xml:space="preserve"> </w:t>
      </w:r>
      <w:r w:rsidRPr="00C8398E">
        <w:rPr>
          <w:rFonts w:ascii="Arial" w:hAnsi="Arial" w:cs="Arial"/>
          <w:b w:val="0"/>
        </w:rPr>
        <w:t>Gráfica temporal de la compañía SER.</w:t>
      </w:r>
      <w:bookmarkEnd w:id="627"/>
      <w:bookmarkEnd w:id="628"/>
      <w:bookmarkEnd w:id="629"/>
      <w:bookmarkEnd w:id="630"/>
      <w:bookmarkEnd w:id="631"/>
      <w:bookmarkEnd w:id="632"/>
      <w:bookmarkEnd w:id="633"/>
      <w:bookmarkEnd w:id="634"/>
    </w:p>
    <w:p w:rsidR="00CC1C75" w:rsidRDefault="00CC1C75" w:rsidP="00CC1C75">
      <w:pPr>
        <w:jc w:val="both"/>
        <w:rPr>
          <w:rFonts w:ascii="Arial" w:hAnsi="Arial" w:cs="Arial"/>
        </w:rPr>
      </w:pPr>
    </w:p>
    <w:p w:rsidR="00CC1C75" w:rsidRDefault="00CC1C75" w:rsidP="00CC1C75">
      <w:pPr>
        <w:jc w:val="both"/>
        <w:rPr>
          <w:rFonts w:ascii="Arial" w:hAnsi="Arial" w:cs="Arial"/>
        </w:rPr>
      </w:pPr>
    </w:p>
    <w:p w:rsidR="00CC1C75" w:rsidRPr="005E1487" w:rsidRDefault="00CC1C75" w:rsidP="000D7DC6">
      <w:pPr>
        <w:spacing w:line="480" w:lineRule="auto"/>
        <w:ind w:left="540"/>
        <w:jc w:val="both"/>
      </w:pPr>
      <w:r>
        <w:rPr>
          <w:rFonts w:ascii="Arial" w:hAnsi="Arial" w:cs="Arial"/>
        </w:rPr>
        <w:t xml:space="preserve">Como esta compañía solo tiene un banco no podemos comparar si el mes ha influido por lo que observamos que en el mes de abril ha sido el que ha presentado diferencia alta, para observar y comparar con las demás compañías se realizará otro gráfico y así analizaremos su comportamiento este será en el gráfico </w:t>
      </w:r>
      <w:r w:rsidRPr="001A0675">
        <w:rPr>
          <w:rFonts w:ascii="Arial" w:hAnsi="Arial" w:cs="Arial"/>
        </w:rPr>
        <w:t>2.2</w:t>
      </w:r>
      <w:r>
        <w:rPr>
          <w:rFonts w:ascii="Arial" w:hAnsi="Arial" w:cs="Arial"/>
        </w:rPr>
        <w:t>4.</w:t>
      </w:r>
    </w:p>
    <w:p w:rsidR="00CC1C75" w:rsidRDefault="00CC1C75" w:rsidP="00CC1C75">
      <w:pPr>
        <w:spacing w:line="480" w:lineRule="auto"/>
        <w:ind w:left="360"/>
        <w:jc w:val="both"/>
        <w:rPr>
          <w:rFonts w:ascii="Arial" w:hAnsi="Arial" w:cs="Arial"/>
          <w:b/>
        </w:rPr>
      </w:pPr>
    </w:p>
    <w:p w:rsidR="00CC1C75" w:rsidRPr="00C8398E" w:rsidRDefault="00CC1C75" w:rsidP="000D7DC6">
      <w:pPr>
        <w:pStyle w:val="Ttulo3"/>
        <w:spacing w:before="0" w:after="0" w:line="480" w:lineRule="auto"/>
        <w:ind w:left="540"/>
        <w:jc w:val="both"/>
        <w:rPr>
          <w:sz w:val="24"/>
          <w:szCs w:val="24"/>
        </w:rPr>
      </w:pPr>
      <w:bookmarkStart w:id="635" w:name="_Toc183697521"/>
      <w:bookmarkStart w:id="636" w:name="_Toc183698851"/>
      <w:bookmarkStart w:id="637" w:name="_Toc183699192"/>
      <w:bookmarkStart w:id="638" w:name="_Toc183699404"/>
      <w:bookmarkStart w:id="639" w:name="_Toc183699877"/>
      <w:bookmarkStart w:id="640" w:name="_Toc183700150"/>
      <w:bookmarkStart w:id="641" w:name="_Toc183700659"/>
      <w:bookmarkStart w:id="642" w:name="_Toc183700911"/>
      <w:r w:rsidRPr="00C8398E">
        <w:rPr>
          <w:sz w:val="24"/>
          <w:szCs w:val="24"/>
        </w:rPr>
        <w:t>2.3.12 Análisis de los saldos de las conciliaciones bancarias con los saldos de libros del primer semestre del año 2007 mediante diagramas de barras. Compañía D.U. Banco Produfondos.</w:t>
      </w:r>
      <w:bookmarkEnd w:id="635"/>
      <w:bookmarkEnd w:id="636"/>
      <w:bookmarkEnd w:id="637"/>
      <w:bookmarkEnd w:id="638"/>
      <w:bookmarkEnd w:id="639"/>
      <w:bookmarkEnd w:id="640"/>
      <w:bookmarkEnd w:id="641"/>
      <w:bookmarkEnd w:id="642"/>
    </w:p>
    <w:p w:rsidR="00CC1C75" w:rsidRDefault="00CC1C75" w:rsidP="00CC1C75">
      <w:pPr>
        <w:spacing w:line="480" w:lineRule="auto"/>
        <w:ind w:left="709"/>
        <w:jc w:val="both"/>
        <w:rPr>
          <w:rFonts w:ascii="Arial" w:hAnsi="Arial" w:cs="Arial"/>
        </w:rPr>
      </w:pPr>
    </w:p>
    <w:p w:rsidR="00CC1C75" w:rsidRDefault="00CC1C75" w:rsidP="000D7DC6">
      <w:pPr>
        <w:spacing w:line="480" w:lineRule="auto"/>
        <w:ind w:left="540"/>
        <w:jc w:val="both"/>
        <w:rPr>
          <w:rFonts w:ascii="Arial" w:hAnsi="Arial" w:cs="Arial"/>
        </w:rPr>
      </w:pPr>
      <w:r>
        <w:rPr>
          <w:rFonts w:ascii="Arial" w:hAnsi="Arial" w:cs="Arial"/>
        </w:rPr>
        <w:t>Para este caso, el gráfico es el siguiente:</w:t>
      </w:r>
    </w:p>
    <w:p w:rsidR="00CC1C75" w:rsidRDefault="00B04CD6" w:rsidP="00CC1C75">
      <w:pPr>
        <w:spacing w:line="480" w:lineRule="auto"/>
        <w:ind w:left="709"/>
        <w:jc w:val="both"/>
        <w:rPr>
          <w:rFonts w:ascii="Arial" w:hAnsi="Arial" w:cs="Arial"/>
        </w:rPr>
      </w:pPr>
      <w:r>
        <w:rPr>
          <w:noProof/>
        </w:rPr>
        <w:lastRenderedPageBreak/>
        <w:drawing>
          <wp:inline distT="0" distB="0" distL="0" distR="0">
            <wp:extent cx="4622800" cy="32131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1C75" w:rsidRPr="00C8398E" w:rsidRDefault="000D7DC6" w:rsidP="000D7DC6">
      <w:pPr>
        <w:pStyle w:val="Ttulo1"/>
        <w:tabs>
          <w:tab w:val="left" w:pos="540"/>
        </w:tabs>
        <w:spacing w:line="480" w:lineRule="auto"/>
        <w:jc w:val="center"/>
        <w:rPr>
          <w:rFonts w:ascii="Arial" w:hAnsi="Arial" w:cs="Arial"/>
          <w:b w:val="0"/>
        </w:rPr>
      </w:pPr>
      <w:bookmarkStart w:id="643" w:name="_Toc183697522"/>
      <w:bookmarkStart w:id="644" w:name="_Toc183698852"/>
      <w:bookmarkStart w:id="645" w:name="_Toc183699193"/>
      <w:bookmarkStart w:id="646" w:name="_Toc183699405"/>
      <w:bookmarkStart w:id="647" w:name="_Toc183699878"/>
      <w:bookmarkStart w:id="648" w:name="_Toc183700151"/>
      <w:bookmarkStart w:id="649" w:name="_Toc183700660"/>
      <w:bookmarkStart w:id="650" w:name="_Toc183700912"/>
      <w:r>
        <w:rPr>
          <w:rFonts w:ascii="Arial" w:hAnsi="Arial" w:cs="Arial"/>
        </w:rPr>
        <w:t xml:space="preserve">     </w:t>
      </w:r>
      <w:r w:rsidR="00CC1C75" w:rsidRPr="00C8398E">
        <w:rPr>
          <w:rFonts w:ascii="Arial" w:hAnsi="Arial" w:cs="Arial"/>
        </w:rPr>
        <w:t xml:space="preserve">Gráfico 2.9. </w:t>
      </w:r>
      <w:r w:rsidR="00CC1C75" w:rsidRPr="00C8398E">
        <w:rPr>
          <w:rFonts w:ascii="Arial" w:hAnsi="Arial" w:cs="Arial"/>
          <w:b w:val="0"/>
        </w:rPr>
        <w:t>Diagrama de barra. Compañía D.U. Banco Produfondos.</w:t>
      </w:r>
      <w:bookmarkEnd w:id="643"/>
      <w:bookmarkEnd w:id="644"/>
      <w:bookmarkEnd w:id="645"/>
      <w:bookmarkEnd w:id="646"/>
      <w:bookmarkEnd w:id="647"/>
      <w:bookmarkEnd w:id="648"/>
      <w:bookmarkEnd w:id="649"/>
      <w:bookmarkEnd w:id="650"/>
    </w:p>
    <w:p w:rsidR="00CC1C75" w:rsidRDefault="00CC1C75" w:rsidP="00CC1C75">
      <w:pPr>
        <w:spacing w:line="480" w:lineRule="auto"/>
        <w:ind w:left="360"/>
        <w:jc w:val="both"/>
        <w:rPr>
          <w:rFonts w:ascii="Arial" w:hAnsi="Arial" w:cs="Arial"/>
        </w:rPr>
      </w:pPr>
    </w:p>
    <w:p w:rsidR="00CC1C75" w:rsidRDefault="00CC1C75" w:rsidP="000D7DC6">
      <w:pPr>
        <w:spacing w:line="480" w:lineRule="auto"/>
        <w:ind w:left="540"/>
        <w:jc w:val="both"/>
        <w:rPr>
          <w:rFonts w:ascii="Arial" w:hAnsi="Arial" w:cs="Arial"/>
        </w:rPr>
      </w:pPr>
      <w:r>
        <w:rPr>
          <w:rFonts w:ascii="Arial" w:hAnsi="Arial" w:cs="Arial"/>
        </w:rPr>
        <w:t xml:space="preserve">Se puede observar que esta compañía en este banco ha tenido diferencias en sus saldos en los meses de enero y febrero con valores de $50.00, $70.00 durante los dos meses, mientras que en marzo presenta una diferencia de $0.96, en los otros meses de abril, mayo y junio no presentan diferencias por lo que quiere decir que esta empresa con este banco se encuentran normales y a pesar que ha tenido diferencia en los primeros meses estas han sido bajas como se puede observar el </w:t>
      </w:r>
      <w:r w:rsidRPr="008D04AF">
        <w:rPr>
          <w:rFonts w:ascii="Arial" w:hAnsi="Arial" w:cs="Arial"/>
          <w:b/>
        </w:rPr>
        <w:t>gráfico 2.</w:t>
      </w:r>
      <w:r>
        <w:rPr>
          <w:rFonts w:ascii="Arial" w:hAnsi="Arial" w:cs="Arial"/>
          <w:b/>
        </w:rPr>
        <w:t>9</w:t>
      </w:r>
      <w:r>
        <w:rPr>
          <w:rFonts w:ascii="Arial" w:hAnsi="Arial" w:cs="Arial"/>
        </w:rPr>
        <w:t xml:space="preserve"> aunque debido a su escala e inexistencia de</w:t>
      </w:r>
      <w:r w:rsidRPr="009F7070">
        <w:rPr>
          <w:rFonts w:ascii="Arial" w:hAnsi="Arial" w:cs="Arial"/>
        </w:rPr>
        <w:t xml:space="preserve"> diferencia</w:t>
      </w:r>
      <w:r>
        <w:rPr>
          <w:rFonts w:ascii="Arial" w:hAnsi="Arial" w:cs="Arial"/>
        </w:rPr>
        <w:t>s</w:t>
      </w:r>
      <w:r w:rsidRPr="009F7070">
        <w:rPr>
          <w:rFonts w:ascii="Arial" w:hAnsi="Arial" w:cs="Arial"/>
        </w:rPr>
        <w:t xml:space="preserve"> </w:t>
      </w:r>
      <w:r>
        <w:rPr>
          <w:rFonts w:ascii="Arial" w:hAnsi="Arial" w:cs="Arial"/>
        </w:rPr>
        <w:t>en los dos últimos meses no</w:t>
      </w:r>
      <w:r w:rsidRPr="009F7070">
        <w:rPr>
          <w:rFonts w:ascii="Arial" w:hAnsi="Arial" w:cs="Arial"/>
        </w:rPr>
        <w:t xml:space="preserve"> se visualizan</w:t>
      </w:r>
      <w:r>
        <w:rPr>
          <w:rFonts w:ascii="Arial" w:hAnsi="Arial" w:cs="Arial"/>
        </w:rPr>
        <w:t xml:space="preserve"> con claridad.</w:t>
      </w:r>
    </w:p>
    <w:p w:rsidR="00C8398E" w:rsidRDefault="00C8398E" w:rsidP="00CC1C75">
      <w:pPr>
        <w:spacing w:line="480" w:lineRule="auto"/>
        <w:ind w:left="360"/>
        <w:jc w:val="both"/>
        <w:rPr>
          <w:rFonts w:ascii="Arial" w:hAnsi="Arial" w:cs="Arial"/>
        </w:rPr>
      </w:pPr>
    </w:p>
    <w:p w:rsidR="00CC1C75" w:rsidRDefault="00CC1C75" w:rsidP="000D7DC6">
      <w:pPr>
        <w:pStyle w:val="Ttulo3"/>
        <w:spacing w:before="0" w:after="0" w:line="480" w:lineRule="auto"/>
        <w:ind w:left="540"/>
        <w:jc w:val="both"/>
        <w:rPr>
          <w:sz w:val="24"/>
          <w:szCs w:val="24"/>
        </w:rPr>
      </w:pPr>
      <w:bookmarkStart w:id="651" w:name="_Toc183697523"/>
      <w:bookmarkStart w:id="652" w:name="_Toc183698853"/>
      <w:bookmarkStart w:id="653" w:name="_Toc183699194"/>
      <w:bookmarkStart w:id="654" w:name="_Toc183699406"/>
      <w:bookmarkStart w:id="655" w:name="_Toc183699879"/>
      <w:bookmarkStart w:id="656" w:name="_Toc183700152"/>
      <w:bookmarkStart w:id="657" w:name="_Toc183700661"/>
      <w:bookmarkStart w:id="658" w:name="_Toc183700913"/>
      <w:r w:rsidRPr="00C8398E">
        <w:rPr>
          <w:sz w:val="24"/>
          <w:szCs w:val="24"/>
        </w:rPr>
        <w:lastRenderedPageBreak/>
        <w:t>2.3.13 Análisis de las diferencias individuales de las compañías entre los saldos de las conciliaciones bancarias y los saldos de libros del primer semestre del año 2007 mediante diagrama de pastel. Compañía D.U. Banco Produfondos.</w:t>
      </w:r>
      <w:bookmarkEnd w:id="651"/>
      <w:bookmarkEnd w:id="652"/>
      <w:bookmarkEnd w:id="653"/>
      <w:bookmarkEnd w:id="654"/>
      <w:bookmarkEnd w:id="655"/>
      <w:bookmarkEnd w:id="656"/>
      <w:bookmarkEnd w:id="657"/>
      <w:bookmarkEnd w:id="658"/>
      <w:r w:rsidRPr="00C8398E">
        <w:rPr>
          <w:sz w:val="24"/>
          <w:szCs w:val="24"/>
        </w:rPr>
        <w:t xml:space="preserve"> </w:t>
      </w:r>
    </w:p>
    <w:p w:rsidR="00DE6CA5" w:rsidRPr="00DE6CA5" w:rsidRDefault="00DE6CA5" w:rsidP="00DE6CA5"/>
    <w:p w:rsidR="00CC1C75" w:rsidRDefault="00B04CD6" w:rsidP="00DE6CA5">
      <w:pPr>
        <w:tabs>
          <w:tab w:val="left" w:pos="851"/>
        </w:tabs>
        <w:spacing w:line="480" w:lineRule="auto"/>
        <w:ind w:left="851"/>
        <w:jc w:val="center"/>
      </w:pPr>
      <w:r>
        <w:rPr>
          <w:noProof/>
        </w:rPr>
        <w:drawing>
          <wp:inline distT="0" distB="0" distL="0" distR="0">
            <wp:extent cx="3581400" cy="17272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1C75" w:rsidRPr="00DE6CA5" w:rsidRDefault="00CC1C75" w:rsidP="00DE6CA5">
      <w:pPr>
        <w:pStyle w:val="Ttulo1"/>
        <w:spacing w:line="480" w:lineRule="auto"/>
        <w:ind w:left="539"/>
        <w:jc w:val="center"/>
        <w:rPr>
          <w:rFonts w:ascii="Arial" w:hAnsi="Arial" w:cs="Arial"/>
          <w:b w:val="0"/>
        </w:rPr>
      </w:pPr>
      <w:bookmarkStart w:id="659" w:name="_Toc183697524"/>
      <w:bookmarkStart w:id="660" w:name="_Toc183698854"/>
      <w:bookmarkStart w:id="661" w:name="_Toc183699195"/>
      <w:bookmarkStart w:id="662" w:name="_Toc183699407"/>
      <w:bookmarkStart w:id="663" w:name="_Toc183699880"/>
      <w:bookmarkStart w:id="664" w:name="_Toc183700153"/>
      <w:bookmarkStart w:id="665" w:name="_Toc183700662"/>
      <w:bookmarkStart w:id="666" w:name="_Toc183700914"/>
      <w:r w:rsidRPr="00DE6CA5">
        <w:rPr>
          <w:rFonts w:ascii="Arial" w:hAnsi="Arial" w:cs="Arial"/>
        </w:rPr>
        <w:t xml:space="preserve">Gráfico 2.10. </w:t>
      </w:r>
      <w:r w:rsidRPr="00DE6CA5">
        <w:rPr>
          <w:rFonts w:ascii="Arial" w:hAnsi="Arial" w:cs="Arial"/>
          <w:b w:val="0"/>
        </w:rPr>
        <w:t>Diagrama de pastel. Compañía D.U.Banco Produfondos.</w:t>
      </w:r>
      <w:bookmarkEnd w:id="659"/>
      <w:bookmarkEnd w:id="660"/>
      <w:bookmarkEnd w:id="661"/>
      <w:bookmarkEnd w:id="662"/>
      <w:bookmarkEnd w:id="663"/>
      <w:bookmarkEnd w:id="664"/>
      <w:bookmarkEnd w:id="665"/>
      <w:bookmarkEnd w:id="666"/>
    </w:p>
    <w:p w:rsidR="00CC1C75" w:rsidRDefault="00CC1C75" w:rsidP="00CC1C75">
      <w:pPr>
        <w:tabs>
          <w:tab w:val="left" w:pos="851"/>
        </w:tabs>
        <w:spacing w:line="480" w:lineRule="auto"/>
        <w:ind w:left="851"/>
        <w:jc w:val="both"/>
        <w:rPr>
          <w:rFonts w:ascii="Arial" w:hAnsi="Arial" w:cs="Arial"/>
          <w:b/>
        </w:rPr>
      </w:pPr>
    </w:p>
    <w:p w:rsidR="00CC1C75" w:rsidRDefault="00CC1C75" w:rsidP="00CC1C75">
      <w:pPr>
        <w:spacing w:line="480" w:lineRule="auto"/>
        <w:ind w:left="540"/>
        <w:jc w:val="both"/>
        <w:rPr>
          <w:rFonts w:ascii="Arial" w:hAnsi="Arial" w:cs="Arial"/>
        </w:rPr>
      </w:pPr>
      <w:r>
        <w:rPr>
          <w:rFonts w:ascii="Arial" w:hAnsi="Arial" w:cs="Arial"/>
        </w:rPr>
        <w:t xml:space="preserve">Se puede observar que esta compañía en este banco ha tenido mayores diferencias en sus saldos en los meses de enero y febrero con 41% y 58% lo que equivale en valores de $50 y $70 en cada mes; en marzo presenta solo uno por ciento de diferencia y en  los meses faltantes son consideradas como cero por ciento en sus diferencias, como se puede observar el </w:t>
      </w:r>
      <w:r>
        <w:rPr>
          <w:rFonts w:ascii="Arial" w:hAnsi="Arial" w:cs="Arial"/>
          <w:b/>
        </w:rPr>
        <w:t>gráfico 2.10</w:t>
      </w:r>
      <w:r>
        <w:rPr>
          <w:rFonts w:ascii="Arial" w:hAnsi="Arial" w:cs="Arial"/>
        </w:rPr>
        <w:t>. Lo que quiere decir que esta compañía empezó el semestre con diferencia elevadas y en los meses siguientes tales diferencias disminuyeron quedando finalmente en cero, cabe recalcar que esta empresa con este banco presento diferencias menores que en las otras compañías.</w:t>
      </w:r>
    </w:p>
    <w:p w:rsidR="00CC1C75" w:rsidRDefault="00CC1C75" w:rsidP="00DE6CA5">
      <w:pPr>
        <w:pStyle w:val="Ttulo3"/>
        <w:spacing w:before="0" w:after="0" w:line="480" w:lineRule="auto"/>
        <w:ind w:left="540"/>
        <w:jc w:val="both"/>
        <w:rPr>
          <w:sz w:val="24"/>
          <w:szCs w:val="24"/>
        </w:rPr>
      </w:pPr>
      <w:bookmarkStart w:id="667" w:name="_Toc183697525"/>
      <w:bookmarkStart w:id="668" w:name="_Toc183698855"/>
      <w:bookmarkStart w:id="669" w:name="_Toc183699196"/>
      <w:bookmarkStart w:id="670" w:name="_Toc183699408"/>
      <w:bookmarkStart w:id="671" w:name="_Toc183699881"/>
      <w:bookmarkStart w:id="672" w:name="_Toc183700154"/>
      <w:bookmarkStart w:id="673" w:name="_Toc183700663"/>
      <w:bookmarkStart w:id="674" w:name="_Toc183700915"/>
      <w:r w:rsidRPr="00DE6CA5">
        <w:rPr>
          <w:sz w:val="24"/>
          <w:szCs w:val="24"/>
        </w:rPr>
        <w:lastRenderedPageBreak/>
        <w:t>2.3.14 Análisis de las diferencias entre los saldos de las conciliaciones bancarias y los saldos de libros del primer semestre del año 2007 que se encuentran en el 25%, 50% y 75% mediante cuartiles.  Compañía D.U. Banco Produfondos.</w:t>
      </w:r>
      <w:bookmarkEnd w:id="667"/>
      <w:bookmarkEnd w:id="668"/>
      <w:bookmarkEnd w:id="669"/>
      <w:bookmarkEnd w:id="670"/>
      <w:bookmarkEnd w:id="671"/>
      <w:bookmarkEnd w:id="672"/>
      <w:bookmarkEnd w:id="673"/>
      <w:bookmarkEnd w:id="674"/>
    </w:p>
    <w:p w:rsidR="00DE6CA5" w:rsidRPr="00DE6CA5" w:rsidRDefault="00DE6CA5" w:rsidP="00DE6CA5"/>
    <w:p w:rsidR="00DE6CA5" w:rsidRPr="00DE6CA5" w:rsidRDefault="00DE6CA5" w:rsidP="00DE6CA5">
      <w:pPr>
        <w:pStyle w:val="Ttulo1"/>
        <w:spacing w:line="480" w:lineRule="auto"/>
        <w:ind w:left="720"/>
        <w:jc w:val="center"/>
        <w:rPr>
          <w:rFonts w:ascii="Arial" w:hAnsi="Arial" w:cs="Arial"/>
          <w:b w:val="0"/>
        </w:rPr>
      </w:pPr>
      <w:bookmarkStart w:id="675" w:name="_Toc183697526"/>
      <w:bookmarkStart w:id="676" w:name="_Toc183698856"/>
      <w:bookmarkStart w:id="677" w:name="_Toc183699197"/>
      <w:bookmarkStart w:id="678" w:name="_Toc183699409"/>
      <w:bookmarkStart w:id="679" w:name="_Toc183699882"/>
      <w:bookmarkStart w:id="680" w:name="_Toc183700155"/>
      <w:bookmarkStart w:id="681" w:name="_Toc183700664"/>
      <w:bookmarkStart w:id="682" w:name="_Toc183700916"/>
      <w:r w:rsidRPr="00DE6CA5">
        <w:rPr>
          <w:rFonts w:ascii="Arial" w:hAnsi="Arial" w:cs="Arial"/>
        </w:rPr>
        <w:t>Tabla VIII.</w:t>
      </w:r>
      <w:r w:rsidRPr="00DE6CA5">
        <w:rPr>
          <w:rFonts w:ascii="Arial" w:hAnsi="Arial" w:cs="Arial"/>
          <w:b w:val="0"/>
        </w:rPr>
        <w:t xml:space="preserve"> Valores de los cuartiles de D.U. Banco Produfondos.</w:t>
      </w:r>
      <w:bookmarkEnd w:id="675"/>
      <w:bookmarkEnd w:id="676"/>
      <w:bookmarkEnd w:id="677"/>
      <w:bookmarkEnd w:id="678"/>
      <w:bookmarkEnd w:id="679"/>
      <w:bookmarkEnd w:id="680"/>
      <w:bookmarkEnd w:id="681"/>
      <w:bookmarkEnd w:id="682"/>
    </w:p>
    <w:tbl>
      <w:tblPr>
        <w:tblW w:w="6700" w:type="dxa"/>
        <w:tblInd w:w="1080" w:type="dxa"/>
        <w:tblCellMar>
          <w:left w:w="70" w:type="dxa"/>
          <w:right w:w="70" w:type="dxa"/>
        </w:tblCellMar>
        <w:tblLook w:val="0000"/>
      </w:tblPr>
      <w:tblGrid>
        <w:gridCol w:w="440"/>
        <w:gridCol w:w="940"/>
        <w:gridCol w:w="660"/>
        <w:gridCol w:w="620"/>
        <w:gridCol w:w="560"/>
        <w:gridCol w:w="660"/>
        <w:gridCol w:w="660"/>
        <w:gridCol w:w="580"/>
        <w:gridCol w:w="508"/>
        <w:gridCol w:w="508"/>
        <w:gridCol w:w="564"/>
      </w:tblGrid>
      <w:tr w:rsidR="00173426" w:rsidRPr="00173426">
        <w:trPr>
          <w:trHeight w:val="270"/>
        </w:trPr>
        <w:tc>
          <w:tcPr>
            <w:tcW w:w="4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9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Ene.</w:t>
            </w:r>
          </w:p>
        </w:tc>
        <w:tc>
          <w:tcPr>
            <w:tcW w:w="62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Feb.</w:t>
            </w:r>
          </w:p>
        </w:tc>
        <w:tc>
          <w:tcPr>
            <w:tcW w:w="5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Marz.</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Jun.</w:t>
            </w:r>
          </w:p>
        </w:tc>
        <w:tc>
          <w:tcPr>
            <w:tcW w:w="15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Cuartiles</w:t>
            </w:r>
          </w:p>
        </w:tc>
      </w:tr>
      <w:tr w:rsidR="00173426" w:rsidRPr="00173426">
        <w:trPr>
          <w:trHeight w:val="270"/>
        </w:trPr>
        <w:tc>
          <w:tcPr>
            <w:tcW w:w="440" w:type="dxa"/>
            <w:tcBorders>
              <w:top w:val="single" w:sz="8" w:space="0" w:color="auto"/>
              <w:left w:val="single" w:sz="8" w:space="0" w:color="auto"/>
              <w:bottom w:val="nil"/>
              <w:right w:val="single" w:sz="4" w:space="0" w:color="auto"/>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Cía.</w:t>
            </w:r>
          </w:p>
        </w:tc>
        <w:tc>
          <w:tcPr>
            <w:tcW w:w="940" w:type="dxa"/>
            <w:tcBorders>
              <w:top w:val="single" w:sz="8" w:space="0" w:color="auto"/>
              <w:left w:val="nil"/>
              <w:bottom w:val="nil"/>
              <w:right w:val="nil"/>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BANCOS</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2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8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08" w:type="dxa"/>
            <w:tcBorders>
              <w:top w:val="nil"/>
              <w:left w:val="single" w:sz="8" w:space="0" w:color="auto"/>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25%</w:t>
            </w:r>
          </w:p>
        </w:tc>
        <w:tc>
          <w:tcPr>
            <w:tcW w:w="508" w:type="dxa"/>
            <w:tcBorders>
              <w:top w:val="nil"/>
              <w:left w:val="nil"/>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50%</w:t>
            </w:r>
          </w:p>
        </w:tc>
        <w:tc>
          <w:tcPr>
            <w:tcW w:w="564" w:type="dxa"/>
            <w:tcBorders>
              <w:top w:val="nil"/>
              <w:left w:val="nil"/>
              <w:bottom w:val="nil"/>
              <w:right w:val="single" w:sz="8"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75%</w:t>
            </w:r>
          </w:p>
        </w:tc>
      </w:tr>
      <w:tr w:rsidR="00173426" w:rsidRPr="00173426">
        <w:trPr>
          <w:trHeight w:val="270"/>
        </w:trPr>
        <w:tc>
          <w:tcPr>
            <w:tcW w:w="440" w:type="dxa"/>
            <w:tcBorders>
              <w:top w:val="nil"/>
              <w:left w:val="single" w:sz="8" w:space="0" w:color="auto"/>
              <w:bottom w:val="single" w:sz="8" w:space="0" w:color="auto"/>
              <w:right w:val="single" w:sz="8" w:space="0" w:color="auto"/>
            </w:tcBorders>
            <w:shd w:val="clear" w:color="auto" w:fill="auto"/>
            <w:vAlign w:val="center"/>
          </w:tcPr>
          <w:p w:rsidR="00173426" w:rsidRPr="00173426" w:rsidRDefault="00173426" w:rsidP="00173426">
            <w:pPr>
              <w:jc w:val="center"/>
              <w:rPr>
                <w:rFonts w:eastAsia="Times New Roman"/>
                <w:sz w:val="14"/>
                <w:szCs w:val="14"/>
              </w:rPr>
            </w:pPr>
            <w:r w:rsidRPr="00173426">
              <w:rPr>
                <w:rFonts w:eastAsia="Times New Roman"/>
                <w:sz w:val="14"/>
                <w:szCs w:val="14"/>
              </w:rPr>
              <w:t>D.U.</w:t>
            </w:r>
          </w:p>
        </w:tc>
        <w:tc>
          <w:tcPr>
            <w:tcW w:w="940" w:type="dxa"/>
            <w:tcBorders>
              <w:top w:val="nil"/>
              <w:left w:val="nil"/>
              <w:bottom w:val="single" w:sz="8"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Produfondos</w:t>
            </w:r>
          </w:p>
        </w:tc>
        <w:tc>
          <w:tcPr>
            <w:tcW w:w="660" w:type="dxa"/>
            <w:tcBorders>
              <w:top w:val="single" w:sz="4"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50,00</w:t>
            </w:r>
          </w:p>
        </w:tc>
        <w:tc>
          <w:tcPr>
            <w:tcW w:w="620" w:type="dxa"/>
            <w:tcBorders>
              <w:top w:val="single" w:sz="4"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70,00</w:t>
            </w:r>
          </w:p>
        </w:tc>
        <w:tc>
          <w:tcPr>
            <w:tcW w:w="560" w:type="dxa"/>
            <w:tcBorders>
              <w:top w:val="single" w:sz="4"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0,96</w:t>
            </w:r>
          </w:p>
        </w:tc>
        <w:tc>
          <w:tcPr>
            <w:tcW w:w="660" w:type="dxa"/>
            <w:tcBorders>
              <w:top w:val="single" w:sz="4"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0,00</w:t>
            </w:r>
          </w:p>
        </w:tc>
        <w:tc>
          <w:tcPr>
            <w:tcW w:w="660" w:type="dxa"/>
            <w:tcBorders>
              <w:top w:val="single" w:sz="4" w:space="0" w:color="auto"/>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0,00</w:t>
            </w:r>
          </w:p>
        </w:tc>
        <w:tc>
          <w:tcPr>
            <w:tcW w:w="580" w:type="dxa"/>
            <w:tcBorders>
              <w:top w:val="single" w:sz="4" w:space="0" w:color="auto"/>
              <w:left w:val="nil"/>
              <w:bottom w:val="nil"/>
              <w:right w:val="nil"/>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0,00</w:t>
            </w:r>
          </w:p>
        </w:tc>
        <w:tc>
          <w:tcPr>
            <w:tcW w:w="508" w:type="dxa"/>
            <w:tcBorders>
              <w:top w:val="single" w:sz="8" w:space="0" w:color="auto"/>
              <w:left w:val="single" w:sz="8" w:space="0" w:color="auto"/>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0,00</w:t>
            </w:r>
          </w:p>
        </w:tc>
        <w:tc>
          <w:tcPr>
            <w:tcW w:w="508"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0,48</w:t>
            </w:r>
          </w:p>
        </w:tc>
        <w:tc>
          <w:tcPr>
            <w:tcW w:w="564"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37,74</w:t>
            </w:r>
          </w:p>
        </w:tc>
      </w:tr>
    </w:tbl>
    <w:p w:rsidR="00CC1C75" w:rsidRDefault="00CC1C75" w:rsidP="00CC1C75">
      <w:pPr>
        <w:tabs>
          <w:tab w:val="left" w:pos="851"/>
        </w:tabs>
        <w:spacing w:line="480" w:lineRule="auto"/>
        <w:ind w:left="851"/>
        <w:jc w:val="both"/>
        <w:rPr>
          <w:rFonts w:ascii="Arial" w:hAnsi="Arial" w:cs="Arial"/>
          <w:b/>
        </w:rPr>
      </w:pPr>
    </w:p>
    <w:p w:rsidR="00CC1C75" w:rsidRDefault="00CC1C75" w:rsidP="00CC1C75">
      <w:pPr>
        <w:tabs>
          <w:tab w:val="left" w:pos="851"/>
        </w:tabs>
        <w:spacing w:line="480" w:lineRule="auto"/>
        <w:ind w:left="851"/>
        <w:jc w:val="both"/>
        <w:rPr>
          <w:rFonts w:ascii="Arial" w:hAnsi="Arial" w:cs="Arial"/>
          <w:b/>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El primer cuartil nos indica que el 25% de las diferencias de las conciliaciones bancarias durante los primeros 6 meses de la compañía  son inferiores a $0 esto se debe a que son valores muy pequeños; lo que quiere decir que el 75% de las diferencias, son superiores al valor antes mencionado.</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En el segundo cuartil podemos observar que la mitad de los valores  están por debajo de $ 0.48. </w:t>
      </w: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El tercer cuartil nos indica que el 75% de las diferencias de las conciliaciones bancarias son inferiores a $37.74; es decir que el 25% restante son superiores a ese valor.</w:t>
      </w:r>
    </w:p>
    <w:p w:rsidR="00CC1C75" w:rsidRDefault="00CC1C75" w:rsidP="00CC1C75">
      <w:pPr>
        <w:autoSpaceDE w:val="0"/>
        <w:autoSpaceDN w:val="0"/>
        <w:adjustRightInd w:val="0"/>
        <w:spacing w:line="480" w:lineRule="auto"/>
        <w:ind w:left="708"/>
        <w:jc w:val="both"/>
        <w:rPr>
          <w:rFonts w:ascii="Arial" w:hAnsi="Arial" w:cs="Arial"/>
          <w:color w:val="000000"/>
        </w:rPr>
      </w:pPr>
    </w:p>
    <w:p w:rsidR="00CC1C75" w:rsidRPr="005A22C7" w:rsidRDefault="00CC1C75" w:rsidP="005A22C7">
      <w:pPr>
        <w:pStyle w:val="Ttulo3"/>
        <w:tabs>
          <w:tab w:val="clear" w:pos="2160"/>
          <w:tab w:val="left" w:pos="540"/>
          <w:tab w:val="num" w:pos="900"/>
        </w:tabs>
        <w:spacing w:before="0" w:after="0" w:line="480" w:lineRule="auto"/>
        <w:ind w:left="540"/>
        <w:jc w:val="both"/>
        <w:rPr>
          <w:sz w:val="24"/>
          <w:szCs w:val="24"/>
        </w:rPr>
      </w:pPr>
      <w:bookmarkStart w:id="683" w:name="_Toc183697527"/>
      <w:bookmarkStart w:id="684" w:name="_Toc183698857"/>
      <w:bookmarkStart w:id="685" w:name="_Toc183699198"/>
      <w:bookmarkStart w:id="686" w:name="_Toc183699410"/>
      <w:bookmarkStart w:id="687" w:name="_Toc183699883"/>
      <w:bookmarkStart w:id="688" w:name="_Toc183700156"/>
      <w:bookmarkStart w:id="689" w:name="_Toc183700665"/>
      <w:bookmarkStart w:id="690" w:name="_Toc183700917"/>
      <w:r w:rsidRPr="005A22C7">
        <w:rPr>
          <w:sz w:val="24"/>
          <w:szCs w:val="24"/>
        </w:rPr>
        <w:lastRenderedPageBreak/>
        <w:t>2.3.15 Análisis de los valores de  las diferencias entre los saldos de las conciliaciones bancarias y los saldos de libros del primer semestre del año 2007 mediante series de tiempo. Compañía D.U.</w:t>
      </w:r>
      <w:bookmarkEnd w:id="683"/>
      <w:bookmarkEnd w:id="684"/>
      <w:bookmarkEnd w:id="685"/>
      <w:bookmarkEnd w:id="686"/>
      <w:bookmarkEnd w:id="687"/>
      <w:bookmarkEnd w:id="688"/>
      <w:bookmarkEnd w:id="689"/>
      <w:bookmarkEnd w:id="690"/>
    </w:p>
    <w:p w:rsidR="00CC1C75" w:rsidRPr="005A22C7" w:rsidRDefault="00CC1C75" w:rsidP="005A22C7">
      <w:pPr>
        <w:pStyle w:val="Ttulo3"/>
        <w:spacing w:before="0" w:after="0" w:line="480" w:lineRule="auto"/>
        <w:ind w:left="720"/>
        <w:jc w:val="both"/>
        <w:rPr>
          <w:sz w:val="24"/>
          <w:szCs w:val="24"/>
        </w:rPr>
      </w:pPr>
    </w:p>
    <w:p w:rsidR="00CB31EA" w:rsidRPr="00CB31EA" w:rsidRDefault="005A22C7" w:rsidP="00CB31EA">
      <w:pPr>
        <w:pStyle w:val="Ttulo1"/>
        <w:spacing w:line="480" w:lineRule="auto"/>
        <w:ind w:left="539"/>
        <w:jc w:val="center"/>
        <w:rPr>
          <w:rFonts w:ascii="Arial" w:hAnsi="Arial" w:cs="Arial"/>
          <w:b w:val="0"/>
        </w:rPr>
      </w:pPr>
      <w:bookmarkStart w:id="691" w:name="_Toc183700666"/>
      <w:bookmarkStart w:id="692" w:name="_Toc183700918"/>
      <w:r w:rsidRPr="00CB31EA">
        <w:rPr>
          <w:rFonts w:ascii="Arial" w:hAnsi="Arial" w:cs="Arial"/>
        </w:rPr>
        <w:t xml:space="preserve">Tabla IX. </w:t>
      </w:r>
      <w:r w:rsidRPr="00CB31EA">
        <w:rPr>
          <w:rFonts w:ascii="Arial" w:hAnsi="Arial" w:cs="Arial"/>
          <w:b w:val="0"/>
        </w:rPr>
        <w:t>Diferencias de la compañía D.U.</w:t>
      </w:r>
      <w:bookmarkEnd w:id="691"/>
      <w:bookmarkEnd w:id="692"/>
    </w:p>
    <w:tbl>
      <w:tblPr>
        <w:tblW w:w="3600" w:type="dxa"/>
        <w:jc w:val="center"/>
        <w:tblInd w:w="-5" w:type="dxa"/>
        <w:tblCellMar>
          <w:left w:w="0" w:type="dxa"/>
          <w:right w:w="0" w:type="dxa"/>
        </w:tblCellMar>
        <w:tblLook w:val="0000"/>
      </w:tblPr>
      <w:tblGrid>
        <w:gridCol w:w="1200"/>
        <w:gridCol w:w="1160"/>
        <w:gridCol w:w="1240"/>
      </w:tblGrid>
      <w:tr w:rsidR="00CC1C75">
        <w:trPr>
          <w:trHeight w:val="255"/>
          <w:jc w:val="center"/>
        </w:trPr>
        <w:tc>
          <w:tcPr>
            <w:tcW w:w="1200" w:type="dxa"/>
            <w:tcBorders>
              <w:top w:val="single" w:sz="4" w:space="0" w:color="auto"/>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 </w:t>
            </w:r>
          </w:p>
        </w:tc>
        <w:tc>
          <w:tcPr>
            <w:tcW w:w="2400" w:type="dxa"/>
            <w:gridSpan w:val="2"/>
            <w:tcBorders>
              <w:top w:val="single" w:sz="4" w:space="0" w:color="auto"/>
              <w:left w:val="nil"/>
              <w:bottom w:val="single" w:sz="4" w:space="0" w:color="auto"/>
              <w:right w:val="single" w:sz="4" w:space="0" w:color="auto"/>
            </w:tcBorders>
            <w:vAlign w:val="center"/>
          </w:tcPr>
          <w:p w:rsidR="00CC1C75" w:rsidRDefault="00CC1C75" w:rsidP="00CC1C75">
            <w:pPr>
              <w:jc w:val="center"/>
              <w:rPr>
                <w:rFonts w:eastAsia="Arial Unicode MS"/>
                <w:sz w:val="16"/>
                <w:szCs w:val="16"/>
              </w:rPr>
            </w:pPr>
            <w:r>
              <w:rPr>
                <w:sz w:val="16"/>
                <w:szCs w:val="16"/>
              </w:rPr>
              <w:t>D.U.</w:t>
            </w:r>
          </w:p>
        </w:tc>
      </w:tr>
      <w:tr w:rsidR="00CC1C75">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16"/>
                <w:szCs w:val="16"/>
              </w:rPr>
            </w:pPr>
            <w:r>
              <w:rPr>
                <w:sz w:val="16"/>
                <w:szCs w:val="16"/>
              </w:rPr>
              <w:t>Produbanco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16"/>
                <w:szCs w:val="16"/>
              </w:rPr>
            </w:pPr>
            <w:r>
              <w:rPr>
                <w:sz w:val="16"/>
                <w:szCs w:val="16"/>
              </w:rPr>
              <w:t>Produfondos</w:t>
            </w:r>
          </w:p>
        </w:tc>
      </w:tr>
      <w:tr w:rsidR="00CC1C75">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ENERO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50,00</w:t>
            </w:r>
          </w:p>
        </w:tc>
      </w:tr>
      <w:tr w:rsidR="00CC1C75">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FEBRERO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70,00</w:t>
            </w:r>
          </w:p>
        </w:tc>
      </w:tr>
      <w:tr w:rsidR="00CC1C75">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MARZO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0,96</w:t>
            </w:r>
          </w:p>
        </w:tc>
      </w:tr>
      <w:tr w:rsidR="00CC1C75">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ABRIL</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r>
      <w:tr w:rsidR="00CC1C75">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MAYO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r>
      <w:tr w:rsidR="00CC1C75">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JUNIO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r>
    </w:tbl>
    <w:p w:rsidR="00CC1C75" w:rsidRPr="005A22C7" w:rsidRDefault="00CC1C75" w:rsidP="005A22C7">
      <w:pPr>
        <w:pStyle w:val="Ttulo1"/>
      </w:pPr>
    </w:p>
    <w:p w:rsidR="00CC1C75" w:rsidRDefault="00CC1C75" w:rsidP="00CC1C75">
      <w:pPr>
        <w:jc w:val="center"/>
      </w:pPr>
    </w:p>
    <w:p w:rsidR="00CC1C75" w:rsidRDefault="00333D7A" w:rsidP="00333D7A">
      <w:pPr>
        <w:tabs>
          <w:tab w:val="left" w:pos="720"/>
        </w:tabs>
        <w:jc w:val="center"/>
      </w:pPr>
      <w:r>
        <w:t xml:space="preserve">             </w:t>
      </w:r>
      <w:r w:rsidR="00B04CD6">
        <w:rPr>
          <w:noProof/>
        </w:rPr>
        <w:drawing>
          <wp:inline distT="0" distB="0" distL="0" distR="0">
            <wp:extent cx="3835400" cy="23495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1C75" w:rsidRDefault="00CC1C75" w:rsidP="00CC1C75">
      <w:pPr>
        <w:jc w:val="center"/>
        <w:rPr>
          <w:b/>
          <w:bCs/>
        </w:rPr>
      </w:pPr>
    </w:p>
    <w:p w:rsidR="00CC1C75" w:rsidRPr="006D4618" w:rsidRDefault="00CC1C75" w:rsidP="006D4618">
      <w:pPr>
        <w:pStyle w:val="Ttulo1"/>
        <w:spacing w:line="480" w:lineRule="auto"/>
        <w:ind w:left="720"/>
        <w:jc w:val="center"/>
        <w:rPr>
          <w:rFonts w:ascii="Arial" w:hAnsi="Arial" w:cs="Arial"/>
          <w:b w:val="0"/>
        </w:rPr>
      </w:pPr>
      <w:bookmarkStart w:id="693" w:name="_Toc183697528"/>
      <w:bookmarkStart w:id="694" w:name="_Toc183698858"/>
      <w:bookmarkStart w:id="695" w:name="_Toc183699199"/>
      <w:bookmarkStart w:id="696" w:name="_Toc183699411"/>
      <w:bookmarkStart w:id="697" w:name="_Toc183699884"/>
      <w:bookmarkStart w:id="698" w:name="_Toc183700157"/>
      <w:bookmarkStart w:id="699" w:name="_Toc183700667"/>
      <w:bookmarkStart w:id="700" w:name="_Toc183700919"/>
      <w:r w:rsidRPr="006D4618">
        <w:rPr>
          <w:rFonts w:ascii="Arial" w:hAnsi="Arial" w:cs="Arial"/>
        </w:rPr>
        <w:t>Gráfico 2.11</w:t>
      </w:r>
      <w:r w:rsidR="00C552B3">
        <w:rPr>
          <w:rFonts w:ascii="Arial" w:hAnsi="Arial" w:cs="Arial"/>
        </w:rPr>
        <w:t>.</w:t>
      </w:r>
      <w:r w:rsidRPr="006D4618">
        <w:rPr>
          <w:rFonts w:ascii="Arial" w:hAnsi="Arial" w:cs="Arial"/>
        </w:rPr>
        <w:t xml:space="preserve"> </w:t>
      </w:r>
      <w:r w:rsidRPr="006D4618">
        <w:rPr>
          <w:rFonts w:ascii="Arial" w:hAnsi="Arial" w:cs="Arial"/>
          <w:b w:val="0"/>
        </w:rPr>
        <w:t>Gráfica temporal de la compañía D.U.</w:t>
      </w:r>
      <w:bookmarkEnd w:id="693"/>
      <w:bookmarkEnd w:id="694"/>
      <w:bookmarkEnd w:id="695"/>
      <w:bookmarkEnd w:id="696"/>
      <w:bookmarkEnd w:id="697"/>
      <w:bookmarkEnd w:id="698"/>
      <w:bookmarkEnd w:id="699"/>
      <w:bookmarkEnd w:id="700"/>
    </w:p>
    <w:p w:rsidR="00CC1C75" w:rsidRDefault="00CC1C75" w:rsidP="00CC1C75">
      <w:pPr>
        <w:jc w:val="center"/>
      </w:pPr>
    </w:p>
    <w:p w:rsidR="00CC1C75" w:rsidRDefault="00CC1C75" w:rsidP="00CC1C75">
      <w:pPr>
        <w:spacing w:line="480" w:lineRule="auto"/>
        <w:ind w:left="708"/>
        <w:jc w:val="both"/>
        <w:rPr>
          <w:rFonts w:ascii="Arial" w:hAnsi="Arial" w:cs="Arial"/>
        </w:rPr>
      </w:pPr>
    </w:p>
    <w:p w:rsidR="00CC1C75" w:rsidRDefault="00CC1C75" w:rsidP="000D7DC6">
      <w:pPr>
        <w:spacing w:line="480" w:lineRule="auto"/>
        <w:ind w:left="540"/>
        <w:jc w:val="both"/>
        <w:rPr>
          <w:rFonts w:ascii="Arial" w:hAnsi="Arial" w:cs="Arial"/>
        </w:rPr>
      </w:pPr>
      <w:r>
        <w:rPr>
          <w:rFonts w:ascii="Arial" w:hAnsi="Arial" w:cs="Arial"/>
        </w:rPr>
        <w:t xml:space="preserve">En el mes de febrero se ha presentado la mayor diferencia para el banco Produfondos sin embargo para el banco Produbanco no ocurre lo </w:t>
      </w:r>
      <w:r>
        <w:rPr>
          <w:rFonts w:ascii="Arial" w:hAnsi="Arial" w:cs="Arial"/>
        </w:rPr>
        <w:lastRenderedPageBreak/>
        <w:t>mismo en ese mes, pero podemos observar que desde marzo a junio si tienen relación pero con diferencias bajas.</w:t>
      </w:r>
    </w:p>
    <w:p w:rsidR="00CC1C75" w:rsidRPr="00490392" w:rsidRDefault="00CC1C75" w:rsidP="00A5559C">
      <w:pPr>
        <w:spacing w:line="480" w:lineRule="auto"/>
        <w:jc w:val="both"/>
        <w:rPr>
          <w:rFonts w:ascii="Arial" w:hAnsi="Arial" w:cs="Arial"/>
        </w:rPr>
      </w:pPr>
    </w:p>
    <w:p w:rsidR="00CC1C75" w:rsidRPr="00333D7A" w:rsidRDefault="00CC1C75" w:rsidP="000D7DC6">
      <w:pPr>
        <w:pStyle w:val="Ttulo3"/>
        <w:spacing w:before="0" w:after="0" w:line="480" w:lineRule="auto"/>
        <w:ind w:left="540"/>
        <w:jc w:val="both"/>
        <w:rPr>
          <w:sz w:val="24"/>
        </w:rPr>
      </w:pPr>
      <w:bookmarkStart w:id="701" w:name="_Toc183697529"/>
      <w:bookmarkStart w:id="702" w:name="_Toc183698859"/>
      <w:bookmarkStart w:id="703" w:name="_Toc183699200"/>
      <w:bookmarkStart w:id="704" w:name="_Toc183699412"/>
      <w:bookmarkStart w:id="705" w:name="_Toc183699885"/>
      <w:bookmarkStart w:id="706" w:name="_Toc183700158"/>
      <w:bookmarkStart w:id="707" w:name="_Toc183700668"/>
      <w:bookmarkStart w:id="708" w:name="_Toc183700920"/>
      <w:r w:rsidRPr="00333D7A">
        <w:rPr>
          <w:sz w:val="24"/>
        </w:rPr>
        <w:t>2.3.16 Análisis de los saldos de las conciliaciones bancarias con los saldos de libros del primer semestre del año 2007 mediante diagramas de barras. Compañía M.I. Banco Produbanco.</w:t>
      </w:r>
      <w:bookmarkEnd w:id="701"/>
      <w:bookmarkEnd w:id="702"/>
      <w:bookmarkEnd w:id="703"/>
      <w:bookmarkEnd w:id="704"/>
      <w:bookmarkEnd w:id="705"/>
      <w:bookmarkEnd w:id="706"/>
      <w:bookmarkEnd w:id="707"/>
      <w:bookmarkEnd w:id="708"/>
    </w:p>
    <w:p w:rsidR="00CC1C75" w:rsidRDefault="000D7DC6" w:rsidP="000D7DC6">
      <w:pPr>
        <w:spacing w:line="480" w:lineRule="auto"/>
        <w:jc w:val="both"/>
        <w:rPr>
          <w:rFonts w:ascii="Arial" w:hAnsi="Arial" w:cs="Arial"/>
        </w:rPr>
      </w:pPr>
      <w:r>
        <w:rPr>
          <w:rFonts w:ascii="Arial" w:hAnsi="Arial" w:cs="Arial"/>
        </w:rPr>
        <w:t xml:space="preserve">        </w:t>
      </w:r>
      <w:r w:rsidR="00CC1C75">
        <w:rPr>
          <w:rFonts w:ascii="Arial" w:hAnsi="Arial" w:cs="Arial"/>
        </w:rPr>
        <w:t>Para este caso, el gráfico es el siguiente:</w:t>
      </w:r>
    </w:p>
    <w:p w:rsidR="00CC1C75" w:rsidRPr="00490392" w:rsidRDefault="00B04CD6" w:rsidP="00CC1C75">
      <w:pPr>
        <w:spacing w:line="480" w:lineRule="auto"/>
        <w:ind w:left="709"/>
        <w:jc w:val="both"/>
        <w:rPr>
          <w:rFonts w:ascii="Arial" w:hAnsi="Arial" w:cs="Arial"/>
        </w:rPr>
      </w:pPr>
      <w:r>
        <w:rPr>
          <w:noProof/>
        </w:rPr>
        <w:drawing>
          <wp:inline distT="0" distB="0" distL="0" distR="0">
            <wp:extent cx="4584700" cy="35052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1C75" w:rsidRPr="00333D7A" w:rsidRDefault="00CC1C75" w:rsidP="00333D7A">
      <w:pPr>
        <w:pStyle w:val="Ttulo1"/>
        <w:spacing w:line="480" w:lineRule="auto"/>
        <w:ind w:left="720"/>
        <w:jc w:val="center"/>
        <w:rPr>
          <w:rFonts w:ascii="Arial" w:hAnsi="Arial" w:cs="Arial"/>
          <w:b w:val="0"/>
        </w:rPr>
      </w:pPr>
      <w:bookmarkStart w:id="709" w:name="_Toc183697530"/>
      <w:bookmarkStart w:id="710" w:name="_Toc183698860"/>
      <w:bookmarkStart w:id="711" w:name="_Toc183699201"/>
      <w:bookmarkStart w:id="712" w:name="_Toc183699413"/>
      <w:bookmarkStart w:id="713" w:name="_Toc183699886"/>
      <w:bookmarkStart w:id="714" w:name="_Toc183700159"/>
      <w:bookmarkStart w:id="715" w:name="_Toc183700669"/>
      <w:bookmarkStart w:id="716" w:name="_Toc183700921"/>
      <w:r w:rsidRPr="00333D7A">
        <w:rPr>
          <w:rFonts w:ascii="Arial" w:hAnsi="Arial" w:cs="Arial"/>
        </w:rPr>
        <w:t>Gráfico 2.12.</w:t>
      </w:r>
      <w:r w:rsidRPr="00255B48">
        <w:rPr>
          <w:rFonts w:ascii="Arial" w:hAnsi="Arial" w:cs="Arial"/>
        </w:rPr>
        <w:t xml:space="preserve"> </w:t>
      </w:r>
      <w:r w:rsidRPr="00333D7A">
        <w:rPr>
          <w:rFonts w:ascii="Arial" w:hAnsi="Arial" w:cs="Arial"/>
          <w:b w:val="0"/>
        </w:rPr>
        <w:t>Diagrama de barra. Compañía M.I. Banco Produbanco.</w:t>
      </w:r>
      <w:bookmarkEnd w:id="709"/>
      <w:bookmarkEnd w:id="710"/>
      <w:bookmarkEnd w:id="711"/>
      <w:bookmarkEnd w:id="712"/>
      <w:bookmarkEnd w:id="713"/>
      <w:bookmarkEnd w:id="714"/>
      <w:bookmarkEnd w:id="715"/>
      <w:bookmarkEnd w:id="716"/>
    </w:p>
    <w:p w:rsidR="00CC1C75" w:rsidRDefault="00CC1C75" w:rsidP="00CC1C75">
      <w:pPr>
        <w:spacing w:line="480" w:lineRule="auto"/>
        <w:ind w:left="360"/>
        <w:jc w:val="both"/>
        <w:rPr>
          <w:rFonts w:ascii="Arial" w:hAnsi="Arial" w:cs="Arial"/>
        </w:rPr>
      </w:pPr>
    </w:p>
    <w:p w:rsidR="00CC1C75" w:rsidRDefault="00CC1C75" w:rsidP="000D7DC6">
      <w:pPr>
        <w:spacing w:line="480" w:lineRule="auto"/>
        <w:ind w:left="540"/>
        <w:jc w:val="both"/>
        <w:rPr>
          <w:rFonts w:ascii="Arial" w:hAnsi="Arial" w:cs="Arial"/>
          <w:b/>
        </w:rPr>
      </w:pPr>
      <w:r>
        <w:rPr>
          <w:rFonts w:ascii="Arial" w:hAnsi="Arial" w:cs="Arial"/>
        </w:rPr>
        <w:t xml:space="preserve">Se puede observar que esta compañía en este banco ha tenido diferencias en sus saldos en los meses de enero, febrero y mayo con valores elevados de $6,002.00, </w:t>
      </w:r>
      <w:r>
        <w:rPr>
          <w:rFonts w:ascii="Arial" w:eastAsia="Batang" w:hAnsi="Arial" w:cs="Arial"/>
          <w:lang w:eastAsia="ko-KR"/>
        </w:rPr>
        <w:t>$8,928.03, $1,090.00</w:t>
      </w:r>
      <w:r>
        <w:rPr>
          <w:rFonts w:ascii="Arial" w:hAnsi="Arial" w:cs="Arial"/>
        </w:rPr>
        <w:t xml:space="preserve"> durante los tres </w:t>
      </w:r>
      <w:r>
        <w:rPr>
          <w:rFonts w:ascii="Arial" w:hAnsi="Arial" w:cs="Arial"/>
        </w:rPr>
        <w:lastRenderedPageBreak/>
        <w:t xml:space="preserve">meses, mientras que en los otros meses de marzo y abril también ha tenido diferencias pero ésas han sido tolerables estas son de $102.49, y $60.00 respectivamente, y finalizando con diferencia de cero en el mes de junio como se puede observar el </w:t>
      </w:r>
      <w:r w:rsidRPr="008D04AF">
        <w:rPr>
          <w:rFonts w:ascii="Arial" w:hAnsi="Arial" w:cs="Arial"/>
          <w:b/>
        </w:rPr>
        <w:t>gráfico 2.</w:t>
      </w:r>
      <w:r>
        <w:rPr>
          <w:rFonts w:ascii="Arial" w:hAnsi="Arial" w:cs="Arial"/>
          <w:b/>
        </w:rPr>
        <w:t>12</w:t>
      </w:r>
      <w:r>
        <w:rPr>
          <w:rFonts w:ascii="Arial" w:hAnsi="Arial" w:cs="Arial"/>
        </w:rPr>
        <w:t xml:space="preserve"> aunque debido a su </w:t>
      </w:r>
      <w:r w:rsidRPr="009F7070">
        <w:rPr>
          <w:rFonts w:ascii="Arial" w:hAnsi="Arial" w:cs="Arial"/>
        </w:rPr>
        <w:t xml:space="preserve">escala y diferencia pequeñas aparentemente </w:t>
      </w:r>
      <w:r>
        <w:rPr>
          <w:rFonts w:ascii="Arial" w:hAnsi="Arial" w:cs="Arial"/>
        </w:rPr>
        <w:t xml:space="preserve">los meses de marzo y abril </w:t>
      </w:r>
      <w:r w:rsidRPr="009F7070">
        <w:rPr>
          <w:rFonts w:ascii="Arial" w:hAnsi="Arial" w:cs="Arial"/>
        </w:rPr>
        <w:t xml:space="preserve">se visualizan iguales. Lo que quiere decir que </w:t>
      </w:r>
      <w:r>
        <w:rPr>
          <w:rFonts w:ascii="Arial" w:hAnsi="Arial" w:cs="Arial"/>
        </w:rPr>
        <w:t>a pesar de que esta compañía con este banco presentaron diferencias grandes en los primeros meses éstos se han regularizados en el último mes sin embargo sería considerable darle un seguimiento puesto que las diferencias anteriores fueron altas.</w:t>
      </w:r>
    </w:p>
    <w:p w:rsidR="00CC1C75" w:rsidRPr="00333D7A" w:rsidRDefault="00CC1C75" w:rsidP="000D7DC6">
      <w:pPr>
        <w:pStyle w:val="Ttulo3"/>
        <w:spacing w:before="0" w:after="0" w:line="480" w:lineRule="auto"/>
        <w:ind w:left="540"/>
        <w:jc w:val="both"/>
        <w:rPr>
          <w:sz w:val="24"/>
        </w:rPr>
      </w:pPr>
      <w:bookmarkStart w:id="717" w:name="_Toc183697531"/>
      <w:bookmarkStart w:id="718" w:name="_Toc183698861"/>
      <w:bookmarkStart w:id="719" w:name="_Toc183699202"/>
      <w:bookmarkStart w:id="720" w:name="_Toc183699414"/>
      <w:bookmarkStart w:id="721" w:name="_Toc183699887"/>
      <w:bookmarkStart w:id="722" w:name="_Toc183700160"/>
      <w:bookmarkStart w:id="723" w:name="_Toc183700670"/>
      <w:bookmarkStart w:id="724" w:name="_Toc183700922"/>
      <w:r w:rsidRPr="00333D7A">
        <w:rPr>
          <w:sz w:val="24"/>
        </w:rPr>
        <w:t>2.3.17 Análisis de las diferencias individuales de las compañías entre los saldos de las conciliaciones bancarias y los saldos de libros del primer semestre del año 2007 mediante diagrama de pastel. Compañía M.I. Banco Produbanco.</w:t>
      </w:r>
      <w:bookmarkEnd w:id="717"/>
      <w:bookmarkEnd w:id="718"/>
      <w:bookmarkEnd w:id="719"/>
      <w:bookmarkEnd w:id="720"/>
      <w:bookmarkEnd w:id="721"/>
      <w:bookmarkEnd w:id="722"/>
      <w:bookmarkEnd w:id="723"/>
      <w:bookmarkEnd w:id="724"/>
      <w:r w:rsidRPr="00333D7A">
        <w:rPr>
          <w:sz w:val="24"/>
        </w:rPr>
        <w:t xml:space="preserve"> </w:t>
      </w:r>
    </w:p>
    <w:p w:rsidR="00CC1C75" w:rsidRDefault="00B04CD6" w:rsidP="00333D7A">
      <w:pPr>
        <w:tabs>
          <w:tab w:val="left" w:pos="851"/>
        </w:tabs>
        <w:spacing w:line="480" w:lineRule="auto"/>
        <w:ind w:left="851"/>
        <w:jc w:val="center"/>
      </w:pPr>
      <w:r>
        <w:rPr>
          <w:noProof/>
        </w:rPr>
        <w:drawing>
          <wp:inline distT="0" distB="0" distL="0" distR="0">
            <wp:extent cx="3581400" cy="17272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1C75" w:rsidRDefault="00CC1C75" w:rsidP="00333D7A">
      <w:pPr>
        <w:pStyle w:val="Ttulo1"/>
        <w:spacing w:line="480" w:lineRule="auto"/>
        <w:ind w:left="720"/>
        <w:jc w:val="center"/>
        <w:rPr>
          <w:rFonts w:ascii="Arial" w:hAnsi="Arial" w:cs="Arial"/>
          <w:b w:val="0"/>
        </w:rPr>
      </w:pPr>
      <w:bookmarkStart w:id="725" w:name="_Toc183697532"/>
      <w:bookmarkStart w:id="726" w:name="_Toc183698862"/>
      <w:bookmarkStart w:id="727" w:name="_Toc183699203"/>
      <w:bookmarkStart w:id="728" w:name="_Toc183699415"/>
      <w:bookmarkStart w:id="729" w:name="_Toc183699888"/>
      <w:bookmarkStart w:id="730" w:name="_Toc183700161"/>
      <w:bookmarkStart w:id="731" w:name="_Toc183700671"/>
      <w:bookmarkStart w:id="732" w:name="_Toc183700923"/>
      <w:r w:rsidRPr="00333D7A">
        <w:rPr>
          <w:rFonts w:ascii="Arial" w:hAnsi="Arial" w:cs="Arial"/>
        </w:rPr>
        <w:t xml:space="preserve">Gráfico 2.13. </w:t>
      </w:r>
      <w:r w:rsidRPr="00333D7A">
        <w:rPr>
          <w:rFonts w:ascii="Arial" w:hAnsi="Arial" w:cs="Arial"/>
          <w:b w:val="0"/>
        </w:rPr>
        <w:t>Diagrama de pastel. Compañía M.I. Banco Produbanco.</w:t>
      </w:r>
      <w:bookmarkEnd w:id="725"/>
      <w:bookmarkEnd w:id="726"/>
      <w:bookmarkEnd w:id="727"/>
      <w:bookmarkEnd w:id="728"/>
      <w:bookmarkEnd w:id="729"/>
      <w:bookmarkEnd w:id="730"/>
      <w:bookmarkEnd w:id="731"/>
      <w:bookmarkEnd w:id="732"/>
    </w:p>
    <w:p w:rsidR="00333D7A" w:rsidRDefault="00333D7A" w:rsidP="00333D7A"/>
    <w:p w:rsidR="00333D7A" w:rsidRPr="00333D7A" w:rsidRDefault="00333D7A" w:rsidP="00333D7A"/>
    <w:p w:rsidR="00CC1C75" w:rsidRPr="00C42D20" w:rsidRDefault="00CC1C75" w:rsidP="000D7DC6">
      <w:pPr>
        <w:spacing w:line="480" w:lineRule="auto"/>
        <w:ind w:left="540"/>
        <w:jc w:val="both"/>
        <w:rPr>
          <w:rFonts w:ascii="Arial" w:hAnsi="Arial" w:cs="Arial"/>
        </w:rPr>
      </w:pPr>
      <w:r>
        <w:rPr>
          <w:rFonts w:ascii="Arial" w:hAnsi="Arial" w:cs="Arial"/>
        </w:rPr>
        <w:lastRenderedPageBreak/>
        <w:t xml:space="preserve">Se puede observar que esta compañía en este banco ha tenido mayores diferencias en sus saldos en los meses de enero y febrero con 37% y 55% lo que equivale en valores de $6,000 y $8,928.03 en cada mes; en marzo presenta solo uno por ciento de diferencia, el 6% representa el mes de mayo con valor de $1,000.9 y en  los meses faltantes son consideradas como cero por ciento en sus diferencias, como se puede observar el </w:t>
      </w:r>
      <w:r>
        <w:rPr>
          <w:rFonts w:ascii="Arial" w:hAnsi="Arial" w:cs="Arial"/>
          <w:b/>
        </w:rPr>
        <w:t>gráfico 2.13</w:t>
      </w:r>
      <w:r>
        <w:rPr>
          <w:rFonts w:ascii="Arial" w:hAnsi="Arial" w:cs="Arial"/>
        </w:rPr>
        <w:t>. Lo que quiere decir que esta compañía empezó el semestre con diferencias elevadas y en los meses siguientes tales diferencias disminuyeron quedando finalmente en cero.</w:t>
      </w:r>
    </w:p>
    <w:p w:rsidR="00CC1C75" w:rsidRDefault="00CC1C75" w:rsidP="00CC1C75">
      <w:pPr>
        <w:spacing w:line="480" w:lineRule="auto"/>
        <w:ind w:left="709"/>
        <w:jc w:val="both"/>
        <w:rPr>
          <w:rFonts w:ascii="Arial" w:hAnsi="Arial" w:cs="Arial"/>
          <w:b/>
        </w:rPr>
      </w:pPr>
    </w:p>
    <w:p w:rsidR="00CC1C75" w:rsidRDefault="00CC1C75" w:rsidP="000D7DC6">
      <w:pPr>
        <w:pStyle w:val="Ttulo3"/>
        <w:spacing w:before="0" w:after="0" w:line="480" w:lineRule="auto"/>
        <w:ind w:left="540"/>
        <w:jc w:val="both"/>
        <w:rPr>
          <w:sz w:val="24"/>
        </w:rPr>
      </w:pPr>
      <w:bookmarkStart w:id="733" w:name="_Toc183697533"/>
      <w:bookmarkStart w:id="734" w:name="_Toc183698863"/>
      <w:bookmarkStart w:id="735" w:name="_Toc183699204"/>
      <w:bookmarkStart w:id="736" w:name="_Toc183699416"/>
      <w:bookmarkStart w:id="737" w:name="_Toc183699889"/>
      <w:bookmarkStart w:id="738" w:name="_Toc183700162"/>
      <w:bookmarkStart w:id="739" w:name="_Toc183700672"/>
      <w:bookmarkStart w:id="740" w:name="_Toc183700924"/>
      <w:r w:rsidRPr="00333D7A">
        <w:rPr>
          <w:sz w:val="24"/>
        </w:rPr>
        <w:t>2.3.18 Análisis de las diferencias entre los saldos de las conciliaciones bancarias y los saldos de libros del primer semestre del año 2007 que se encuentran en el 25%, 50% y 75% mediante cuartiles.  Compañía M.I. Banco Produbanco.</w:t>
      </w:r>
      <w:bookmarkEnd w:id="733"/>
      <w:bookmarkEnd w:id="734"/>
      <w:bookmarkEnd w:id="735"/>
      <w:bookmarkEnd w:id="736"/>
      <w:bookmarkEnd w:id="737"/>
      <w:bookmarkEnd w:id="738"/>
      <w:bookmarkEnd w:id="739"/>
      <w:bookmarkEnd w:id="740"/>
    </w:p>
    <w:p w:rsidR="00333D7A" w:rsidRPr="00333D7A" w:rsidRDefault="00333D7A" w:rsidP="00333D7A"/>
    <w:p w:rsidR="00333D7A" w:rsidRPr="00333D7A" w:rsidRDefault="00333D7A" w:rsidP="00333D7A">
      <w:pPr>
        <w:pStyle w:val="Ttulo1"/>
        <w:spacing w:line="480" w:lineRule="auto"/>
        <w:ind w:left="720"/>
        <w:jc w:val="center"/>
        <w:rPr>
          <w:rFonts w:ascii="Arial" w:hAnsi="Arial" w:cs="Arial"/>
          <w:b w:val="0"/>
        </w:rPr>
      </w:pPr>
      <w:bookmarkStart w:id="741" w:name="_Toc183697534"/>
      <w:bookmarkStart w:id="742" w:name="_Toc183698864"/>
      <w:bookmarkStart w:id="743" w:name="_Toc183699205"/>
      <w:bookmarkStart w:id="744" w:name="_Toc183699417"/>
      <w:bookmarkStart w:id="745" w:name="_Toc183699890"/>
      <w:bookmarkStart w:id="746" w:name="_Toc183700163"/>
      <w:bookmarkStart w:id="747" w:name="_Toc183700673"/>
      <w:bookmarkStart w:id="748" w:name="_Toc183700925"/>
      <w:r w:rsidRPr="00333D7A">
        <w:rPr>
          <w:rFonts w:ascii="Arial" w:hAnsi="Arial" w:cs="Arial"/>
        </w:rPr>
        <w:t xml:space="preserve">Tabla X. </w:t>
      </w:r>
      <w:r w:rsidRPr="00333D7A">
        <w:rPr>
          <w:rFonts w:ascii="Arial" w:hAnsi="Arial" w:cs="Arial"/>
          <w:b w:val="0"/>
        </w:rPr>
        <w:t>Valores de los cuartiles de M.I. Banco Produbanco.</w:t>
      </w:r>
      <w:bookmarkEnd w:id="741"/>
      <w:bookmarkEnd w:id="742"/>
      <w:bookmarkEnd w:id="743"/>
      <w:bookmarkEnd w:id="744"/>
      <w:bookmarkEnd w:id="745"/>
      <w:bookmarkEnd w:id="746"/>
      <w:bookmarkEnd w:id="747"/>
      <w:bookmarkEnd w:id="748"/>
    </w:p>
    <w:tbl>
      <w:tblPr>
        <w:tblW w:w="6725" w:type="dxa"/>
        <w:tblInd w:w="1080" w:type="dxa"/>
        <w:tblCellMar>
          <w:left w:w="70" w:type="dxa"/>
          <w:right w:w="70" w:type="dxa"/>
        </w:tblCellMar>
        <w:tblLook w:val="0000"/>
      </w:tblPr>
      <w:tblGrid>
        <w:gridCol w:w="440"/>
        <w:gridCol w:w="940"/>
        <w:gridCol w:w="660"/>
        <w:gridCol w:w="630"/>
        <w:gridCol w:w="560"/>
        <w:gridCol w:w="660"/>
        <w:gridCol w:w="660"/>
        <w:gridCol w:w="580"/>
        <w:gridCol w:w="455"/>
        <w:gridCol w:w="527"/>
        <w:gridCol w:w="613"/>
      </w:tblGrid>
      <w:tr w:rsidR="00173426" w:rsidRPr="00173426">
        <w:trPr>
          <w:trHeight w:val="270"/>
        </w:trPr>
        <w:tc>
          <w:tcPr>
            <w:tcW w:w="4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9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Ene.</w:t>
            </w:r>
          </w:p>
        </w:tc>
        <w:tc>
          <w:tcPr>
            <w:tcW w:w="63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Feb.</w:t>
            </w:r>
          </w:p>
        </w:tc>
        <w:tc>
          <w:tcPr>
            <w:tcW w:w="5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Marz.</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Jun.</w:t>
            </w:r>
          </w:p>
        </w:tc>
        <w:tc>
          <w:tcPr>
            <w:tcW w:w="159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Cuartiles</w:t>
            </w:r>
          </w:p>
        </w:tc>
      </w:tr>
      <w:tr w:rsidR="00173426" w:rsidRPr="00173426">
        <w:trPr>
          <w:trHeight w:val="270"/>
        </w:trPr>
        <w:tc>
          <w:tcPr>
            <w:tcW w:w="440" w:type="dxa"/>
            <w:tcBorders>
              <w:top w:val="single" w:sz="8" w:space="0" w:color="auto"/>
              <w:left w:val="single" w:sz="8" w:space="0" w:color="auto"/>
              <w:bottom w:val="nil"/>
              <w:right w:val="single" w:sz="4" w:space="0" w:color="auto"/>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Cía.</w:t>
            </w:r>
          </w:p>
        </w:tc>
        <w:tc>
          <w:tcPr>
            <w:tcW w:w="940" w:type="dxa"/>
            <w:tcBorders>
              <w:top w:val="single" w:sz="8" w:space="0" w:color="auto"/>
              <w:left w:val="nil"/>
              <w:bottom w:val="nil"/>
              <w:right w:val="nil"/>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BANCOS</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3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8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455" w:type="dxa"/>
            <w:tcBorders>
              <w:top w:val="nil"/>
              <w:left w:val="single" w:sz="8" w:space="0" w:color="auto"/>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25%</w:t>
            </w:r>
          </w:p>
        </w:tc>
        <w:tc>
          <w:tcPr>
            <w:tcW w:w="527" w:type="dxa"/>
            <w:tcBorders>
              <w:top w:val="nil"/>
              <w:left w:val="nil"/>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50%</w:t>
            </w:r>
          </w:p>
        </w:tc>
        <w:tc>
          <w:tcPr>
            <w:tcW w:w="613" w:type="dxa"/>
            <w:tcBorders>
              <w:top w:val="nil"/>
              <w:left w:val="nil"/>
              <w:bottom w:val="nil"/>
              <w:right w:val="single" w:sz="8"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75%</w:t>
            </w:r>
          </w:p>
        </w:tc>
      </w:tr>
      <w:tr w:rsidR="00173426" w:rsidRPr="00173426">
        <w:trPr>
          <w:trHeight w:val="270"/>
        </w:trPr>
        <w:tc>
          <w:tcPr>
            <w:tcW w:w="440" w:type="dxa"/>
            <w:tcBorders>
              <w:top w:val="single" w:sz="4" w:space="0" w:color="auto"/>
              <w:left w:val="single" w:sz="8" w:space="0" w:color="auto"/>
              <w:bottom w:val="single" w:sz="8" w:space="0" w:color="auto"/>
              <w:right w:val="single" w:sz="8" w:space="0" w:color="auto"/>
            </w:tcBorders>
            <w:shd w:val="clear" w:color="auto" w:fill="auto"/>
            <w:vAlign w:val="center"/>
          </w:tcPr>
          <w:p w:rsidR="00173426" w:rsidRDefault="00173426" w:rsidP="00173426">
            <w:pPr>
              <w:jc w:val="center"/>
              <w:rPr>
                <w:rFonts w:eastAsia="Times New Roman"/>
                <w:sz w:val="14"/>
                <w:szCs w:val="14"/>
              </w:rPr>
            </w:pPr>
          </w:p>
          <w:p w:rsidR="00173426" w:rsidRPr="00173426" w:rsidRDefault="00173426" w:rsidP="00173426">
            <w:pPr>
              <w:jc w:val="center"/>
              <w:rPr>
                <w:rFonts w:eastAsia="Times New Roman"/>
                <w:sz w:val="14"/>
                <w:szCs w:val="14"/>
              </w:rPr>
            </w:pPr>
            <w:r w:rsidRPr="00173426">
              <w:rPr>
                <w:rFonts w:eastAsia="Times New Roman"/>
                <w:sz w:val="14"/>
                <w:szCs w:val="14"/>
              </w:rPr>
              <w:t>M.I.</w:t>
            </w:r>
          </w:p>
        </w:tc>
        <w:tc>
          <w:tcPr>
            <w:tcW w:w="940" w:type="dxa"/>
            <w:tcBorders>
              <w:top w:val="single" w:sz="4" w:space="0" w:color="auto"/>
              <w:left w:val="nil"/>
              <w:bottom w:val="single" w:sz="8"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Produbanco</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6.000,00</w:t>
            </w:r>
          </w:p>
        </w:tc>
        <w:tc>
          <w:tcPr>
            <w:tcW w:w="63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8.928,03</w:t>
            </w:r>
          </w:p>
        </w:tc>
        <w:tc>
          <w:tcPr>
            <w:tcW w:w="56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102,49</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60,00</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1.000,90</w:t>
            </w:r>
          </w:p>
        </w:tc>
        <w:tc>
          <w:tcPr>
            <w:tcW w:w="580" w:type="dxa"/>
            <w:tcBorders>
              <w:top w:val="single" w:sz="8" w:space="0" w:color="auto"/>
              <w:left w:val="nil"/>
              <w:bottom w:val="single" w:sz="4" w:space="0" w:color="auto"/>
              <w:right w:val="nil"/>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0,00</w:t>
            </w:r>
          </w:p>
        </w:tc>
        <w:tc>
          <w:tcPr>
            <w:tcW w:w="455" w:type="dxa"/>
            <w:tcBorders>
              <w:top w:val="single" w:sz="8" w:space="0" w:color="auto"/>
              <w:left w:val="single" w:sz="8" w:space="0" w:color="auto"/>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70,62</w:t>
            </w:r>
          </w:p>
        </w:tc>
        <w:tc>
          <w:tcPr>
            <w:tcW w:w="527"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551,69</w:t>
            </w:r>
          </w:p>
        </w:tc>
        <w:tc>
          <w:tcPr>
            <w:tcW w:w="613"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4750,23</w:t>
            </w:r>
          </w:p>
        </w:tc>
      </w:tr>
    </w:tbl>
    <w:p w:rsidR="00CC1C75" w:rsidRDefault="00CC1C75" w:rsidP="00CC1C75">
      <w:pPr>
        <w:tabs>
          <w:tab w:val="left" w:pos="851"/>
        </w:tabs>
        <w:spacing w:line="480" w:lineRule="auto"/>
        <w:ind w:left="851"/>
        <w:jc w:val="both"/>
        <w:rPr>
          <w:rFonts w:ascii="Arial" w:hAnsi="Arial" w:cs="Arial"/>
          <w:b/>
        </w:rPr>
      </w:pPr>
    </w:p>
    <w:p w:rsidR="00CC1C75" w:rsidRDefault="00CC1C75" w:rsidP="00CC1C75">
      <w:pPr>
        <w:tabs>
          <w:tab w:val="left" w:pos="851"/>
        </w:tabs>
        <w:spacing w:line="480" w:lineRule="auto"/>
        <w:ind w:left="851"/>
        <w:jc w:val="both"/>
        <w:rPr>
          <w:rFonts w:ascii="Arial" w:hAnsi="Arial" w:cs="Arial"/>
          <w:b/>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El primer cuartil nos indica que el 25% de las diferencias de las conciliaciones bancarias durante los primeros 6 meses de la compañía  son inferiores a $70.62; lo que quiere decir que el 75% de las diferencias, son superiores al valor antes mencionado.</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En el segundo cuartil podemos observar que la mitad de los valores  están por debajo de $ 551.69. </w:t>
      </w: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El tercer cuartil nos indica que el 75% de las diferencias de las conciliaciones bancarias son inferiores a $4750.23; es decir que el 25% restante son superiores a ese valor.</w:t>
      </w:r>
    </w:p>
    <w:p w:rsidR="00CC1C75" w:rsidRDefault="00CC1C75" w:rsidP="00CC1C75">
      <w:pPr>
        <w:spacing w:line="480" w:lineRule="auto"/>
        <w:ind w:left="709"/>
        <w:jc w:val="both"/>
        <w:rPr>
          <w:rFonts w:ascii="Arial" w:hAnsi="Arial" w:cs="Arial"/>
          <w:b/>
        </w:rPr>
      </w:pPr>
    </w:p>
    <w:p w:rsidR="00CC1C75" w:rsidRPr="0048120F" w:rsidRDefault="00CC1C75" w:rsidP="000D7DC6">
      <w:pPr>
        <w:pStyle w:val="Ttulo3"/>
        <w:spacing w:before="0" w:after="0" w:line="480" w:lineRule="auto"/>
        <w:ind w:left="540"/>
        <w:jc w:val="both"/>
        <w:rPr>
          <w:sz w:val="24"/>
        </w:rPr>
      </w:pPr>
      <w:bookmarkStart w:id="749" w:name="_Toc183697535"/>
      <w:bookmarkStart w:id="750" w:name="_Toc183698865"/>
      <w:bookmarkStart w:id="751" w:name="_Toc183699206"/>
      <w:bookmarkStart w:id="752" w:name="_Toc183699418"/>
      <w:bookmarkStart w:id="753" w:name="_Toc183699891"/>
      <w:bookmarkStart w:id="754" w:name="_Toc183700164"/>
      <w:bookmarkStart w:id="755" w:name="_Toc183700674"/>
      <w:bookmarkStart w:id="756" w:name="_Toc183700926"/>
      <w:r w:rsidRPr="0048120F">
        <w:rPr>
          <w:sz w:val="24"/>
        </w:rPr>
        <w:t>2.3.19 Análisis de los saldos de las conciliaciones bancarias con los saldos de libros del primer semestre del año 2007 mediante diagramas de barras. Compañía M.I. Banco Produfondos.</w:t>
      </w:r>
      <w:bookmarkEnd w:id="749"/>
      <w:bookmarkEnd w:id="750"/>
      <w:bookmarkEnd w:id="751"/>
      <w:bookmarkEnd w:id="752"/>
      <w:bookmarkEnd w:id="753"/>
      <w:bookmarkEnd w:id="754"/>
      <w:bookmarkEnd w:id="755"/>
      <w:bookmarkEnd w:id="756"/>
    </w:p>
    <w:p w:rsidR="00CC1C75" w:rsidRPr="0048120F" w:rsidRDefault="00CC1C75" w:rsidP="0048120F">
      <w:pPr>
        <w:pStyle w:val="Ttulo3"/>
        <w:spacing w:before="0" w:after="0" w:line="480" w:lineRule="auto"/>
        <w:ind w:left="720"/>
        <w:jc w:val="both"/>
        <w:rPr>
          <w:sz w:val="24"/>
        </w:rPr>
      </w:pPr>
    </w:p>
    <w:p w:rsidR="00CC1C75" w:rsidRDefault="00CC1C75" w:rsidP="000D7DC6">
      <w:pPr>
        <w:spacing w:line="480" w:lineRule="auto"/>
        <w:ind w:left="540"/>
        <w:jc w:val="both"/>
        <w:rPr>
          <w:rFonts w:ascii="Arial" w:hAnsi="Arial" w:cs="Arial"/>
        </w:rPr>
      </w:pPr>
      <w:r>
        <w:rPr>
          <w:rFonts w:ascii="Arial" w:hAnsi="Arial" w:cs="Arial"/>
        </w:rPr>
        <w:t>Para este caso, el gráfico es el siguiente:</w:t>
      </w:r>
    </w:p>
    <w:p w:rsidR="00CC1C75" w:rsidRDefault="00B04CD6" w:rsidP="0048120F">
      <w:pPr>
        <w:pStyle w:val="Ttulo1"/>
        <w:spacing w:line="480" w:lineRule="auto"/>
        <w:ind w:left="720"/>
        <w:jc w:val="center"/>
        <w:rPr>
          <w:rFonts w:ascii="Arial" w:hAnsi="Arial" w:cs="Arial"/>
          <w:b w:val="0"/>
        </w:rPr>
      </w:pPr>
      <w:bookmarkStart w:id="757" w:name="_Toc183697536"/>
      <w:bookmarkStart w:id="758" w:name="_Toc183698866"/>
      <w:bookmarkStart w:id="759" w:name="_Toc183699207"/>
      <w:bookmarkStart w:id="760" w:name="_Toc183699419"/>
      <w:bookmarkStart w:id="761" w:name="_Toc183699892"/>
      <w:bookmarkStart w:id="762" w:name="_Toc183700165"/>
      <w:bookmarkStart w:id="763" w:name="_Toc183700675"/>
      <w:bookmarkStart w:id="764" w:name="_Toc183700927"/>
      <w:r>
        <w:rPr>
          <w:noProof/>
        </w:rPr>
        <w:lastRenderedPageBreak/>
        <w:drawing>
          <wp:inline distT="0" distB="0" distL="0" distR="0">
            <wp:extent cx="5105400" cy="356870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CC1C75" w:rsidRPr="00D5795F">
        <w:rPr>
          <w:rFonts w:ascii="Arial" w:hAnsi="Arial" w:cs="Arial"/>
          <w:b w:val="0"/>
        </w:rPr>
        <w:t xml:space="preserve"> </w:t>
      </w:r>
      <w:r w:rsidR="00CC1C75" w:rsidRPr="0048120F">
        <w:rPr>
          <w:rFonts w:ascii="Arial" w:hAnsi="Arial" w:cs="Arial"/>
        </w:rPr>
        <w:t xml:space="preserve">Gráfico 2.14. </w:t>
      </w:r>
      <w:r w:rsidR="00CC1C75" w:rsidRPr="0048120F">
        <w:rPr>
          <w:rFonts w:ascii="Arial" w:hAnsi="Arial" w:cs="Arial"/>
          <w:b w:val="0"/>
        </w:rPr>
        <w:t>Diagrama de barra. Compañía M.I. Banco Produfondos.</w:t>
      </w:r>
      <w:bookmarkEnd w:id="757"/>
      <w:bookmarkEnd w:id="758"/>
      <w:bookmarkEnd w:id="759"/>
      <w:bookmarkEnd w:id="760"/>
      <w:bookmarkEnd w:id="761"/>
      <w:bookmarkEnd w:id="762"/>
      <w:bookmarkEnd w:id="763"/>
      <w:bookmarkEnd w:id="764"/>
    </w:p>
    <w:p w:rsidR="00E47651" w:rsidRPr="00E47651" w:rsidRDefault="00E47651" w:rsidP="00E47651"/>
    <w:p w:rsidR="00CC1C75" w:rsidRDefault="00CC1C75" w:rsidP="000D7DC6">
      <w:pPr>
        <w:spacing w:line="480" w:lineRule="auto"/>
        <w:ind w:left="540"/>
        <w:jc w:val="both"/>
        <w:rPr>
          <w:rFonts w:ascii="Arial" w:hAnsi="Arial" w:cs="Arial"/>
        </w:rPr>
      </w:pPr>
      <w:r>
        <w:rPr>
          <w:rFonts w:ascii="Arial" w:hAnsi="Arial" w:cs="Arial"/>
        </w:rPr>
        <w:t xml:space="preserve">Se puede observar que esta compañía en este banco ha tenido diferencias en sus saldos en los meses de febrero, marzo, abril y  mayo  con valores elevados de $50.94, $100.00, $50.41, $33.58 durante los cuatros meses, mientras que en el mes de enero  también ha tenido diferencia pero esa ha sido tolerable esta es de $7.49, y en junio no presentan diferencias. Como se puede observar el </w:t>
      </w:r>
      <w:r w:rsidRPr="008D04AF">
        <w:rPr>
          <w:rFonts w:ascii="Arial" w:hAnsi="Arial" w:cs="Arial"/>
          <w:b/>
        </w:rPr>
        <w:t>gráfico 2.</w:t>
      </w:r>
      <w:r>
        <w:rPr>
          <w:rFonts w:ascii="Arial" w:hAnsi="Arial" w:cs="Arial"/>
          <w:b/>
        </w:rPr>
        <w:t>14</w:t>
      </w:r>
      <w:r w:rsidRPr="009F7070">
        <w:rPr>
          <w:rFonts w:ascii="Arial" w:hAnsi="Arial" w:cs="Arial"/>
        </w:rPr>
        <w:t xml:space="preserve">. Lo que quiere decir que </w:t>
      </w:r>
      <w:r>
        <w:rPr>
          <w:rFonts w:ascii="Arial" w:hAnsi="Arial" w:cs="Arial"/>
        </w:rPr>
        <w:t>los primeros meses</w:t>
      </w:r>
      <w:r w:rsidRPr="009F7070">
        <w:rPr>
          <w:rFonts w:ascii="Arial" w:hAnsi="Arial" w:cs="Arial"/>
        </w:rPr>
        <w:t xml:space="preserve"> presenta</w:t>
      </w:r>
      <w:r>
        <w:rPr>
          <w:rFonts w:ascii="Arial" w:hAnsi="Arial" w:cs="Arial"/>
        </w:rPr>
        <w:t>n</w:t>
      </w:r>
      <w:r w:rsidRPr="009F7070">
        <w:rPr>
          <w:rFonts w:ascii="Arial" w:hAnsi="Arial" w:cs="Arial"/>
        </w:rPr>
        <w:t xml:space="preserve"> diferencia</w:t>
      </w:r>
      <w:r>
        <w:rPr>
          <w:rFonts w:ascii="Arial" w:hAnsi="Arial" w:cs="Arial"/>
        </w:rPr>
        <w:t>s</w:t>
      </w:r>
      <w:r w:rsidRPr="009F7070">
        <w:rPr>
          <w:rFonts w:ascii="Arial" w:hAnsi="Arial" w:cs="Arial"/>
        </w:rPr>
        <w:t xml:space="preserve"> elevada</w:t>
      </w:r>
      <w:r>
        <w:rPr>
          <w:rFonts w:ascii="Arial" w:hAnsi="Arial" w:cs="Arial"/>
        </w:rPr>
        <w:t>s</w:t>
      </w:r>
      <w:r w:rsidRPr="009F7070">
        <w:rPr>
          <w:rFonts w:ascii="Arial" w:hAnsi="Arial" w:cs="Arial"/>
        </w:rPr>
        <w:t xml:space="preserve"> </w:t>
      </w:r>
      <w:r>
        <w:rPr>
          <w:rFonts w:ascii="Arial" w:hAnsi="Arial" w:cs="Arial"/>
        </w:rPr>
        <w:t>sin embargo se regulariza en el último mes de junio.</w:t>
      </w:r>
    </w:p>
    <w:p w:rsidR="00CC1C75" w:rsidRDefault="00CC1C75" w:rsidP="00CC1C75">
      <w:pPr>
        <w:spacing w:line="480" w:lineRule="auto"/>
        <w:ind w:left="708"/>
        <w:jc w:val="both"/>
        <w:rPr>
          <w:rFonts w:ascii="Arial" w:hAnsi="Arial" w:cs="Arial"/>
          <w:b/>
        </w:rPr>
      </w:pPr>
    </w:p>
    <w:p w:rsidR="00E47651" w:rsidRDefault="00E47651" w:rsidP="00CC1C75">
      <w:pPr>
        <w:spacing w:line="480" w:lineRule="auto"/>
        <w:ind w:left="708"/>
        <w:jc w:val="both"/>
        <w:rPr>
          <w:rFonts w:ascii="Arial" w:hAnsi="Arial" w:cs="Arial"/>
          <w:b/>
        </w:rPr>
      </w:pPr>
    </w:p>
    <w:p w:rsidR="00CC1C75" w:rsidRDefault="00CC1C75" w:rsidP="000D7DC6">
      <w:pPr>
        <w:pStyle w:val="Ttulo3"/>
        <w:spacing w:before="0" w:after="0" w:line="480" w:lineRule="auto"/>
        <w:ind w:left="540"/>
        <w:jc w:val="both"/>
        <w:rPr>
          <w:sz w:val="24"/>
        </w:rPr>
      </w:pPr>
      <w:bookmarkStart w:id="765" w:name="_Toc183697537"/>
      <w:bookmarkStart w:id="766" w:name="_Toc183698867"/>
      <w:bookmarkStart w:id="767" w:name="_Toc183699208"/>
      <w:bookmarkStart w:id="768" w:name="_Toc183699420"/>
      <w:bookmarkStart w:id="769" w:name="_Toc183699893"/>
      <w:bookmarkStart w:id="770" w:name="_Toc183700166"/>
      <w:bookmarkStart w:id="771" w:name="_Toc183700676"/>
      <w:bookmarkStart w:id="772" w:name="_Toc183700928"/>
      <w:r w:rsidRPr="0048120F">
        <w:rPr>
          <w:sz w:val="24"/>
        </w:rPr>
        <w:lastRenderedPageBreak/>
        <w:t>2.3.20 Análisis de las diferencias individuales de las compañías entre los saldos de las conciliaciones bancarias y los saldos de libros del primer semestre del año 2007 mediante diagrama de pastel. Compañía M.I. Banco Produfondos.</w:t>
      </w:r>
      <w:bookmarkEnd w:id="765"/>
      <w:bookmarkEnd w:id="766"/>
      <w:bookmarkEnd w:id="767"/>
      <w:bookmarkEnd w:id="768"/>
      <w:bookmarkEnd w:id="769"/>
      <w:bookmarkEnd w:id="770"/>
      <w:bookmarkEnd w:id="771"/>
      <w:bookmarkEnd w:id="772"/>
      <w:r w:rsidRPr="0048120F">
        <w:rPr>
          <w:sz w:val="24"/>
        </w:rPr>
        <w:t xml:space="preserve"> </w:t>
      </w:r>
    </w:p>
    <w:p w:rsidR="0048120F" w:rsidRPr="0048120F" w:rsidRDefault="0048120F" w:rsidP="0048120F"/>
    <w:p w:rsidR="00CC1C75" w:rsidRDefault="00B04CD6" w:rsidP="0048120F">
      <w:pPr>
        <w:tabs>
          <w:tab w:val="left" w:pos="851"/>
        </w:tabs>
        <w:spacing w:line="480" w:lineRule="auto"/>
        <w:ind w:left="851"/>
        <w:jc w:val="center"/>
        <w:rPr>
          <w:rFonts w:ascii="Arial" w:hAnsi="Arial" w:cs="Arial"/>
          <w:b/>
        </w:rPr>
      </w:pPr>
      <w:r>
        <w:rPr>
          <w:noProof/>
        </w:rPr>
        <w:drawing>
          <wp:inline distT="0" distB="0" distL="0" distR="0">
            <wp:extent cx="3594100" cy="17399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C1C75" w:rsidRPr="0048120F" w:rsidRDefault="00CC1C75" w:rsidP="0048120F">
      <w:pPr>
        <w:pStyle w:val="Ttulo1"/>
        <w:spacing w:line="480" w:lineRule="auto"/>
        <w:ind w:left="900"/>
        <w:jc w:val="center"/>
        <w:rPr>
          <w:rFonts w:ascii="Arial" w:hAnsi="Arial" w:cs="Arial"/>
          <w:b w:val="0"/>
        </w:rPr>
      </w:pPr>
      <w:bookmarkStart w:id="773" w:name="_Toc183697538"/>
      <w:bookmarkStart w:id="774" w:name="_Toc183698868"/>
      <w:bookmarkStart w:id="775" w:name="_Toc183699209"/>
      <w:bookmarkStart w:id="776" w:name="_Toc183699421"/>
      <w:bookmarkStart w:id="777" w:name="_Toc183699894"/>
      <w:bookmarkStart w:id="778" w:name="_Toc183700167"/>
      <w:bookmarkStart w:id="779" w:name="_Toc183700677"/>
      <w:bookmarkStart w:id="780" w:name="_Toc183700929"/>
      <w:r w:rsidRPr="0048120F">
        <w:rPr>
          <w:rFonts w:ascii="Arial" w:hAnsi="Arial" w:cs="Arial"/>
        </w:rPr>
        <w:t>Gráfico 2.15.</w:t>
      </w:r>
      <w:r w:rsidRPr="00255B48">
        <w:rPr>
          <w:rFonts w:ascii="Arial" w:hAnsi="Arial" w:cs="Arial"/>
        </w:rPr>
        <w:t xml:space="preserve"> </w:t>
      </w:r>
      <w:r w:rsidRPr="0048120F">
        <w:rPr>
          <w:rFonts w:ascii="Arial" w:hAnsi="Arial" w:cs="Arial"/>
          <w:b w:val="0"/>
        </w:rPr>
        <w:t>Diagrama de pastel. Compañía M.I. Banco Produfondos.</w:t>
      </w:r>
      <w:bookmarkEnd w:id="773"/>
      <w:bookmarkEnd w:id="774"/>
      <w:bookmarkEnd w:id="775"/>
      <w:bookmarkEnd w:id="776"/>
      <w:bookmarkEnd w:id="777"/>
      <w:bookmarkEnd w:id="778"/>
      <w:bookmarkEnd w:id="779"/>
      <w:bookmarkEnd w:id="780"/>
    </w:p>
    <w:p w:rsidR="00CC1C75" w:rsidRPr="00CD3603" w:rsidRDefault="00CC1C75" w:rsidP="00CC1C75">
      <w:pPr>
        <w:rPr>
          <w:rFonts w:ascii="Arial" w:hAnsi="Arial" w:cs="Arial"/>
        </w:rPr>
      </w:pPr>
    </w:p>
    <w:p w:rsidR="00CC1C75" w:rsidRDefault="00CC1C75" w:rsidP="000D7DC6">
      <w:pPr>
        <w:spacing w:line="480" w:lineRule="auto"/>
        <w:ind w:left="540"/>
        <w:jc w:val="both"/>
        <w:rPr>
          <w:rFonts w:ascii="Arial" w:hAnsi="Arial" w:cs="Arial"/>
        </w:rPr>
      </w:pPr>
      <w:r>
        <w:rPr>
          <w:rFonts w:ascii="Arial" w:hAnsi="Arial" w:cs="Arial"/>
        </w:rPr>
        <w:t xml:space="preserve">Se puede observar que esta compañía en este banco ha tenido mayores diferencias en sus saldos en los meses de febrero, marzo y abril con 21%  41% y 21% respectivamente lo que equivale en valores de $50.94  $100 y $50.41 en cada mes; en enero y mayo presenta porcentajes menores de 3% y 14% y el mes final de este semestre quedó regularizadas las diferencias como cero por ciento en sus diferencias, como se puede observar el </w:t>
      </w:r>
      <w:r>
        <w:rPr>
          <w:rFonts w:ascii="Arial" w:hAnsi="Arial" w:cs="Arial"/>
          <w:b/>
        </w:rPr>
        <w:t>gráfico 2.15</w:t>
      </w:r>
      <w:r>
        <w:rPr>
          <w:rFonts w:ascii="Arial" w:hAnsi="Arial" w:cs="Arial"/>
        </w:rPr>
        <w:t>. Lo que quiere decir que esta compañía terminó bien su semestre ya que no presentó al final diferencias.</w:t>
      </w:r>
    </w:p>
    <w:p w:rsidR="00CC1C75" w:rsidRDefault="00CC1C75" w:rsidP="000D7DC6">
      <w:pPr>
        <w:pStyle w:val="Ttulo3"/>
        <w:spacing w:before="0" w:after="0" w:line="480" w:lineRule="auto"/>
        <w:ind w:left="540"/>
        <w:jc w:val="both"/>
        <w:rPr>
          <w:sz w:val="24"/>
        </w:rPr>
      </w:pPr>
      <w:bookmarkStart w:id="781" w:name="_Toc183697539"/>
      <w:bookmarkStart w:id="782" w:name="_Toc183698869"/>
      <w:bookmarkStart w:id="783" w:name="_Toc183699210"/>
      <w:bookmarkStart w:id="784" w:name="_Toc183699422"/>
      <w:bookmarkStart w:id="785" w:name="_Toc183699895"/>
      <w:bookmarkStart w:id="786" w:name="_Toc183700168"/>
      <w:bookmarkStart w:id="787" w:name="_Toc183700678"/>
      <w:bookmarkStart w:id="788" w:name="_Toc183700930"/>
      <w:r w:rsidRPr="0048120F">
        <w:rPr>
          <w:sz w:val="24"/>
        </w:rPr>
        <w:lastRenderedPageBreak/>
        <w:t>2.3.21 Análisis de las diferencias entre los saldos de las conciliaciones bancarias y los saldos de libros del primer semestre del año 2007 que se encuentran en el 25%, 50% y 75% mediante cuartiles.  Compañía M.I. Banco Produfondos.</w:t>
      </w:r>
      <w:bookmarkEnd w:id="781"/>
      <w:bookmarkEnd w:id="782"/>
      <w:bookmarkEnd w:id="783"/>
      <w:bookmarkEnd w:id="784"/>
      <w:bookmarkEnd w:id="785"/>
      <w:bookmarkEnd w:id="786"/>
      <w:bookmarkEnd w:id="787"/>
      <w:bookmarkEnd w:id="788"/>
    </w:p>
    <w:p w:rsidR="00454F9F" w:rsidRPr="00454F9F" w:rsidRDefault="00454F9F" w:rsidP="00454F9F"/>
    <w:p w:rsidR="0048120F" w:rsidRPr="00454F9F" w:rsidRDefault="00454F9F" w:rsidP="00454F9F">
      <w:pPr>
        <w:pStyle w:val="Ttulo1"/>
        <w:spacing w:line="480" w:lineRule="auto"/>
        <w:ind w:left="720"/>
        <w:jc w:val="center"/>
        <w:rPr>
          <w:rFonts w:ascii="Arial" w:hAnsi="Arial" w:cs="Arial"/>
          <w:b w:val="0"/>
        </w:rPr>
      </w:pPr>
      <w:bookmarkStart w:id="789" w:name="_Toc183697540"/>
      <w:bookmarkStart w:id="790" w:name="_Toc183698870"/>
      <w:bookmarkStart w:id="791" w:name="_Toc183699211"/>
      <w:bookmarkStart w:id="792" w:name="_Toc183699423"/>
      <w:bookmarkStart w:id="793" w:name="_Toc183699896"/>
      <w:bookmarkStart w:id="794" w:name="_Toc183700169"/>
      <w:bookmarkStart w:id="795" w:name="_Toc183700679"/>
      <w:bookmarkStart w:id="796" w:name="_Toc183700931"/>
      <w:r w:rsidRPr="00454F9F">
        <w:rPr>
          <w:rFonts w:ascii="Arial" w:hAnsi="Arial" w:cs="Arial"/>
        </w:rPr>
        <w:t xml:space="preserve">Tabla XI. </w:t>
      </w:r>
      <w:r w:rsidRPr="00454F9F">
        <w:rPr>
          <w:rFonts w:ascii="Arial" w:hAnsi="Arial" w:cs="Arial"/>
          <w:b w:val="0"/>
        </w:rPr>
        <w:t>Valores de los cuartiles de M.I. Banco Produfondos.</w:t>
      </w:r>
      <w:bookmarkEnd w:id="789"/>
      <w:bookmarkEnd w:id="790"/>
      <w:bookmarkEnd w:id="791"/>
      <w:bookmarkEnd w:id="792"/>
      <w:bookmarkEnd w:id="793"/>
      <w:bookmarkEnd w:id="794"/>
      <w:bookmarkEnd w:id="795"/>
      <w:bookmarkEnd w:id="796"/>
    </w:p>
    <w:tbl>
      <w:tblPr>
        <w:tblW w:w="6701" w:type="dxa"/>
        <w:tblInd w:w="1080" w:type="dxa"/>
        <w:tblCellMar>
          <w:left w:w="70" w:type="dxa"/>
          <w:right w:w="70" w:type="dxa"/>
        </w:tblCellMar>
        <w:tblLook w:val="0000"/>
      </w:tblPr>
      <w:tblGrid>
        <w:gridCol w:w="440"/>
        <w:gridCol w:w="940"/>
        <w:gridCol w:w="660"/>
        <w:gridCol w:w="620"/>
        <w:gridCol w:w="560"/>
        <w:gridCol w:w="660"/>
        <w:gridCol w:w="660"/>
        <w:gridCol w:w="580"/>
        <w:gridCol w:w="527"/>
        <w:gridCol w:w="527"/>
        <w:gridCol w:w="527"/>
      </w:tblGrid>
      <w:tr w:rsidR="00173426" w:rsidRPr="00173426">
        <w:trPr>
          <w:trHeight w:val="270"/>
        </w:trPr>
        <w:tc>
          <w:tcPr>
            <w:tcW w:w="4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940" w:type="dxa"/>
            <w:tcBorders>
              <w:top w:val="nil"/>
              <w:left w:val="nil"/>
              <w:bottom w:val="nil"/>
              <w:right w:val="nil"/>
            </w:tcBorders>
            <w:shd w:val="clear" w:color="auto" w:fill="auto"/>
            <w:noWrap/>
            <w:vAlign w:val="bottom"/>
          </w:tcPr>
          <w:p w:rsidR="00173426" w:rsidRPr="00173426" w:rsidRDefault="00173426" w:rsidP="00173426">
            <w:pPr>
              <w:rPr>
                <w:rFonts w:eastAsia="Times New Roman"/>
                <w:sz w:val="14"/>
                <w:szCs w:val="14"/>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Ene.</w:t>
            </w:r>
          </w:p>
        </w:tc>
        <w:tc>
          <w:tcPr>
            <w:tcW w:w="62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Feb.</w:t>
            </w:r>
          </w:p>
        </w:tc>
        <w:tc>
          <w:tcPr>
            <w:tcW w:w="5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Marz.</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173426" w:rsidRPr="00173426" w:rsidRDefault="00173426" w:rsidP="00173426">
            <w:pPr>
              <w:rPr>
                <w:rFonts w:eastAsia="Times New Roman"/>
                <w:b/>
                <w:bCs/>
                <w:sz w:val="14"/>
                <w:szCs w:val="14"/>
              </w:rPr>
            </w:pPr>
            <w:r w:rsidRPr="00173426">
              <w:rPr>
                <w:rFonts w:eastAsia="Times New Roman"/>
                <w:b/>
                <w:bCs/>
                <w:sz w:val="14"/>
                <w:szCs w:val="14"/>
              </w:rPr>
              <w:t>Jun.</w:t>
            </w:r>
          </w:p>
        </w:tc>
        <w:tc>
          <w:tcPr>
            <w:tcW w:w="158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Cuartiles</w:t>
            </w:r>
          </w:p>
        </w:tc>
      </w:tr>
      <w:tr w:rsidR="00173426" w:rsidRPr="00173426">
        <w:trPr>
          <w:trHeight w:val="270"/>
        </w:trPr>
        <w:tc>
          <w:tcPr>
            <w:tcW w:w="440" w:type="dxa"/>
            <w:tcBorders>
              <w:top w:val="single" w:sz="8" w:space="0" w:color="auto"/>
              <w:left w:val="single" w:sz="8" w:space="0" w:color="auto"/>
              <w:bottom w:val="nil"/>
              <w:right w:val="single" w:sz="4" w:space="0" w:color="auto"/>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Cía.</w:t>
            </w:r>
          </w:p>
        </w:tc>
        <w:tc>
          <w:tcPr>
            <w:tcW w:w="940" w:type="dxa"/>
            <w:tcBorders>
              <w:top w:val="single" w:sz="8" w:space="0" w:color="auto"/>
              <w:left w:val="nil"/>
              <w:bottom w:val="nil"/>
              <w:right w:val="nil"/>
            </w:tcBorders>
            <w:shd w:val="clear" w:color="auto" w:fill="auto"/>
            <w:noWrap/>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BANCOS</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2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80" w:type="dxa"/>
            <w:tcBorders>
              <w:top w:val="nil"/>
              <w:left w:val="single" w:sz="8" w:space="0" w:color="auto"/>
              <w:bottom w:val="nil"/>
              <w:right w:val="nil"/>
            </w:tcBorders>
            <w:shd w:val="clear" w:color="auto" w:fill="auto"/>
            <w:vAlign w:val="bottom"/>
          </w:tcPr>
          <w:p w:rsidR="00173426" w:rsidRPr="00173426" w:rsidRDefault="00173426" w:rsidP="00173426">
            <w:pPr>
              <w:jc w:val="center"/>
              <w:rPr>
                <w:rFonts w:eastAsia="Times New Roman"/>
                <w:b/>
                <w:bCs/>
                <w:sz w:val="14"/>
                <w:szCs w:val="14"/>
              </w:rPr>
            </w:pPr>
            <w:r w:rsidRPr="00173426">
              <w:rPr>
                <w:rFonts w:eastAsia="Times New Roman"/>
                <w:b/>
                <w:bCs/>
                <w:sz w:val="14"/>
                <w:szCs w:val="14"/>
              </w:rPr>
              <w:t>Dif</w:t>
            </w:r>
          </w:p>
        </w:tc>
        <w:tc>
          <w:tcPr>
            <w:tcW w:w="527" w:type="dxa"/>
            <w:tcBorders>
              <w:top w:val="nil"/>
              <w:left w:val="single" w:sz="8" w:space="0" w:color="auto"/>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25%</w:t>
            </w:r>
          </w:p>
        </w:tc>
        <w:tc>
          <w:tcPr>
            <w:tcW w:w="527" w:type="dxa"/>
            <w:tcBorders>
              <w:top w:val="nil"/>
              <w:left w:val="nil"/>
              <w:bottom w:val="nil"/>
              <w:right w:val="single" w:sz="4"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50%</w:t>
            </w:r>
          </w:p>
        </w:tc>
        <w:tc>
          <w:tcPr>
            <w:tcW w:w="527" w:type="dxa"/>
            <w:tcBorders>
              <w:top w:val="nil"/>
              <w:left w:val="nil"/>
              <w:bottom w:val="nil"/>
              <w:right w:val="single" w:sz="8" w:space="0" w:color="auto"/>
            </w:tcBorders>
            <w:shd w:val="clear" w:color="auto" w:fill="auto"/>
            <w:noWrap/>
            <w:vAlign w:val="bottom"/>
          </w:tcPr>
          <w:p w:rsidR="00173426" w:rsidRPr="00173426" w:rsidRDefault="00173426" w:rsidP="00173426">
            <w:pPr>
              <w:jc w:val="right"/>
              <w:rPr>
                <w:rFonts w:eastAsia="Times New Roman"/>
                <w:b/>
                <w:bCs/>
                <w:sz w:val="14"/>
                <w:szCs w:val="14"/>
              </w:rPr>
            </w:pPr>
            <w:r w:rsidRPr="00173426">
              <w:rPr>
                <w:rFonts w:eastAsia="Times New Roman"/>
                <w:b/>
                <w:bCs/>
                <w:sz w:val="14"/>
                <w:szCs w:val="14"/>
              </w:rPr>
              <w:t>75%</w:t>
            </w:r>
          </w:p>
        </w:tc>
      </w:tr>
      <w:tr w:rsidR="00173426" w:rsidRPr="00173426">
        <w:trPr>
          <w:trHeight w:val="270"/>
        </w:trPr>
        <w:tc>
          <w:tcPr>
            <w:tcW w:w="440" w:type="dxa"/>
            <w:tcBorders>
              <w:top w:val="single" w:sz="4" w:space="0" w:color="auto"/>
              <w:left w:val="single" w:sz="8" w:space="0" w:color="auto"/>
              <w:bottom w:val="single" w:sz="8" w:space="0" w:color="auto"/>
              <w:right w:val="single" w:sz="8" w:space="0" w:color="auto"/>
            </w:tcBorders>
            <w:shd w:val="clear" w:color="auto" w:fill="auto"/>
            <w:vAlign w:val="center"/>
          </w:tcPr>
          <w:p w:rsidR="00173426" w:rsidRDefault="00173426" w:rsidP="00173426">
            <w:pPr>
              <w:jc w:val="center"/>
              <w:rPr>
                <w:rFonts w:eastAsia="Times New Roman"/>
                <w:sz w:val="14"/>
                <w:szCs w:val="14"/>
              </w:rPr>
            </w:pPr>
          </w:p>
          <w:p w:rsidR="00173426" w:rsidRPr="00173426" w:rsidRDefault="00173426" w:rsidP="00173426">
            <w:pPr>
              <w:jc w:val="center"/>
              <w:rPr>
                <w:rFonts w:eastAsia="Times New Roman"/>
                <w:sz w:val="14"/>
                <w:szCs w:val="14"/>
              </w:rPr>
            </w:pPr>
            <w:r w:rsidRPr="00173426">
              <w:rPr>
                <w:rFonts w:eastAsia="Times New Roman"/>
                <w:sz w:val="14"/>
                <w:szCs w:val="14"/>
              </w:rPr>
              <w:t>M.I.</w:t>
            </w:r>
          </w:p>
        </w:tc>
        <w:tc>
          <w:tcPr>
            <w:tcW w:w="940" w:type="dxa"/>
            <w:tcBorders>
              <w:top w:val="single" w:sz="4" w:space="0" w:color="auto"/>
              <w:left w:val="nil"/>
              <w:bottom w:val="single" w:sz="8" w:space="0" w:color="auto"/>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Produfondos</w:t>
            </w:r>
          </w:p>
        </w:tc>
        <w:tc>
          <w:tcPr>
            <w:tcW w:w="66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7,49</w:t>
            </w:r>
          </w:p>
        </w:tc>
        <w:tc>
          <w:tcPr>
            <w:tcW w:w="62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50,94</w:t>
            </w:r>
          </w:p>
        </w:tc>
        <w:tc>
          <w:tcPr>
            <w:tcW w:w="56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100</w:t>
            </w:r>
          </w:p>
        </w:tc>
        <w:tc>
          <w:tcPr>
            <w:tcW w:w="66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50,41</w:t>
            </w:r>
          </w:p>
        </w:tc>
        <w:tc>
          <w:tcPr>
            <w:tcW w:w="660" w:type="dxa"/>
            <w:tcBorders>
              <w:top w:val="nil"/>
              <w:left w:val="nil"/>
              <w:bottom w:val="nil"/>
              <w:right w:val="single" w:sz="4" w:space="0" w:color="auto"/>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33,58</w:t>
            </w:r>
          </w:p>
        </w:tc>
        <w:tc>
          <w:tcPr>
            <w:tcW w:w="580" w:type="dxa"/>
            <w:tcBorders>
              <w:top w:val="nil"/>
              <w:left w:val="nil"/>
              <w:bottom w:val="nil"/>
              <w:right w:val="nil"/>
            </w:tcBorders>
            <w:shd w:val="clear" w:color="auto" w:fill="auto"/>
            <w:noWrap/>
            <w:vAlign w:val="bottom"/>
          </w:tcPr>
          <w:p w:rsidR="00173426" w:rsidRPr="00173426" w:rsidRDefault="00173426" w:rsidP="00173426">
            <w:pPr>
              <w:jc w:val="center"/>
              <w:rPr>
                <w:rFonts w:eastAsia="Times New Roman"/>
                <w:sz w:val="14"/>
                <w:szCs w:val="14"/>
              </w:rPr>
            </w:pPr>
            <w:r w:rsidRPr="00173426">
              <w:rPr>
                <w:rFonts w:eastAsia="Times New Roman"/>
                <w:sz w:val="14"/>
                <w:szCs w:val="14"/>
              </w:rPr>
              <w:t>0,00</w:t>
            </w:r>
          </w:p>
        </w:tc>
        <w:tc>
          <w:tcPr>
            <w:tcW w:w="527" w:type="dxa"/>
            <w:tcBorders>
              <w:top w:val="single" w:sz="8" w:space="0" w:color="auto"/>
              <w:left w:val="single" w:sz="8" w:space="0" w:color="auto"/>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14,01</w:t>
            </w:r>
          </w:p>
        </w:tc>
        <w:tc>
          <w:tcPr>
            <w:tcW w:w="527"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41,99</w:t>
            </w:r>
          </w:p>
        </w:tc>
        <w:tc>
          <w:tcPr>
            <w:tcW w:w="527" w:type="dxa"/>
            <w:tcBorders>
              <w:top w:val="single" w:sz="8" w:space="0" w:color="auto"/>
              <w:left w:val="nil"/>
              <w:bottom w:val="single" w:sz="4" w:space="0" w:color="auto"/>
              <w:right w:val="single" w:sz="4" w:space="0" w:color="auto"/>
            </w:tcBorders>
            <w:shd w:val="clear" w:color="auto" w:fill="auto"/>
            <w:noWrap/>
            <w:vAlign w:val="bottom"/>
          </w:tcPr>
          <w:p w:rsidR="00173426" w:rsidRPr="00173426" w:rsidRDefault="00173426" w:rsidP="00173426">
            <w:pPr>
              <w:jc w:val="right"/>
              <w:rPr>
                <w:rFonts w:eastAsia="Times New Roman"/>
                <w:sz w:val="14"/>
                <w:szCs w:val="14"/>
              </w:rPr>
            </w:pPr>
            <w:r w:rsidRPr="00173426">
              <w:rPr>
                <w:rFonts w:eastAsia="Times New Roman"/>
                <w:sz w:val="14"/>
                <w:szCs w:val="14"/>
              </w:rPr>
              <w:t>50,81</w:t>
            </w:r>
          </w:p>
        </w:tc>
      </w:tr>
    </w:tbl>
    <w:p w:rsidR="00CC1C75" w:rsidRDefault="00CC1C75" w:rsidP="00CC1C75">
      <w:pPr>
        <w:tabs>
          <w:tab w:val="left" w:pos="851"/>
        </w:tabs>
        <w:spacing w:line="480" w:lineRule="auto"/>
        <w:ind w:left="851"/>
        <w:jc w:val="both"/>
        <w:rPr>
          <w:rFonts w:ascii="Arial" w:hAnsi="Arial" w:cs="Arial"/>
          <w:b/>
        </w:rPr>
      </w:pPr>
    </w:p>
    <w:p w:rsidR="00CC1C75" w:rsidRDefault="00CC1C75" w:rsidP="00CC1C75">
      <w:pPr>
        <w:tabs>
          <w:tab w:val="left" w:pos="851"/>
        </w:tabs>
        <w:spacing w:line="480" w:lineRule="auto"/>
        <w:ind w:left="851"/>
        <w:jc w:val="both"/>
        <w:rPr>
          <w:rFonts w:ascii="Arial" w:hAnsi="Arial" w:cs="Arial"/>
          <w:b/>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El primer cuartil nos indica que el 25% de las diferencias de las conciliaciones bancarias durante los primeros 6 meses de la compañía  son inferiores a $14.01; lo que quiere decir el 75% de las diferencias, son superiores al valor antes mencionado.</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En el segundo cuartil podemos observar que la mitad de los valores  están por debajo de $ 42.00. </w:t>
      </w: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El tercer cuartil nos indica que el 75% de las diferencias de las conciliaciones bancarias son inferiores a $50.81; es decir que el 25% restante son superiores a ese valor.</w:t>
      </w:r>
    </w:p>
    <w:p w:rsidR="00CC1C75" w:rsidRDefault="00CC1C75" w:rsidP="00CC1C75">
      <w:pPr>
        <w:autoSpaceDE w:val="0"/>
        <w:autoSpaceDN w:val="0"/>
        <w:adjustRightInd w:val="0"/>
        <w:spacing w:line="480" w:lineRule="auto"/>
        <w:ind w:left="720"/>
        <w:jc w:val="both"/>
        <w:rPr>
          <w:rFonts w:ascii="Arial" w:hAnsi="Arial" w:cs="Arial"/>
          <w:color w:val="000000"/>
        </w:rPr>
      </w:pPr>
    </w:p>
    <w:p w:rsidR="00CC1C75" w:rsidRDefault="00CC1C75" w:rsidP="000D7DC6">
      <w:pPr>
        <w:pStyle w:val="Ttulo3"/>
        <w:spacing w:before="0" w:after="0" w:line="480" w:lineRule="auto"/>
        <w:ind w:left="540"/>
        <w:jc w:val="both"/>
        <w:rPr>
          <w:sz w:val="24"/>
        </w:rPr>
      </w:pPr>
      <w:bookmarkStart w:id="797" w:name="_Toc183697541"/>
      <w:bookmarkStart w:id="798" w:name="_Toc183698871"/>
      <w:bookmarkStart w:id="799" w:name="_Toc183699212"/>
      <w:bookmarkStart w:id="800" w:name="_Toc183699424"/>
      <w:bookmarkStart w:id="801" w:name="_Toc183699897"/>
      <w:bookmarkStart w:id="802" w:name="_Toc183700170"/>
      <w:bookmarkStart w:id="803" w:name="_Toc183700680"/>
      <w:bookmarkStart w:id="804" w:name="_Toc183700932"/>
      <w:r w:rsidRPr="00C25083">
        <w:rPr>
          <w:sz w:val="24"/>
        </w:rPr>
        <w:lastRenderedPageBreak/>
        <w:t>2.3.22 Análisis de los valores de  las diferencias entre los saldos de las conciliaciones bancarias y los saldos de libros del primer semestre del año 2007 mediante series de tiempo. Compañía M.I.</w:t>
      </w:r>
      <w:bookmarkEnd w:id="797"/>
      <w:bookmarkEnd w:id="798"/>
      <w:bookmarkEnd w:id="799"/>
      <w:bookmarkEnd w:id="800"/>
      <w:bookmarkEnd w:id="801"/>
      <w:bookmarkEnd w:id="802"/>
      <w:bookmarkEnd w:id="803"/>
      <w:bookmarkEnd w:id="804"/>
    </w:p>
    <w:p w:rsidR="002D0C1A" w:rsidRDefault="002D0C1A" w:rsidP="002D0C1A"/>
    <w:p w:rsidR="00CC1C75" w:rsidRPr="002D0C1A" w:rsidRDefault="002D0C1A" w:rsidP="002D0C1A">
      <w:pPr>
        <w:pStyle w:val="Ttulo1"/>
        <w:spacing w:line="480" w:lineRule="auto"/>
        <w:ind w:left="720"/>
        <w:jc w:val="center"/>
        <w:rPr>
          <w:rFonts w:ascii="Arial" w:hAnsi="Arial" w:cs="Arial"/>
          <w:b w:val="0"/>
        </w:rPr>
      </w:pPr>
      <w:bookmarkStart w:id="805" w:name="_Toc183697542"/>
      <w:bookmarkStart w:id="806" w:name="_Toc183698872"/>
      <w:bookmarkStart w:id="807" w:name="_Toc183699213"/>
      <w:bookmarkStart w:id="808" w:name="_Toc183699425"/>
      <w:bookmarkStart w:id="809" w:name="_Toc183699898"/>
      <w:bookmarkStart w:id="810" w:name="_Toc183700171"/>
      <w:bookmarkStart w:id="811" w:name="_Toc183700681"/>
      <w:bookmarkStart w:id="812" w:name="_Toc183700933"/>
      <w:r w:rsidRPr="002D0C1A">
        <w:rPr>
          <w:rFonts w:ascii="Arial" w:hAnsi="Arial" w:cs="Arial"/>
        </w:rPr>
        <w:t xml:space="preserve">Tabla XII. </w:t>
      </w:r>
      <w:r w:rsidRPr="002D0C1A">
        <w:rPr>
          <w:rFonts w:ascii="Arial" w:hAnsi="Arial" w:cs="Arial"/>
          <w:b w:val="0"/>
        </w:rPr>
        <w:t>Diferencias de la compañía M.I.</w:t>
      </w:r>
      <w:bookmarkEnd w:id="805"/>
      <w:bookmarkEnd w:id="806"/>
      <w:bookmarkEnd w:id="807"/>
      <w:bookmarkEnd w:id="808"/>
      <w:bookmarkEnd w:id="809"/>
      <w:bookmarkEnd w:id="810"/>
      <w:bookmarkEnd w:id="811"/>
      <w:bookmarkEnd w:id="812"/>
    </w:p>
    <w:tbl>
      <w:tblPr>
        <w:tblW w:w="3600" w:type="dxa"/>
        <w:tblInd w:w="2525" w:type="dxa"/>
        <w:tblCellMar>
          <w:left w:w="0" w:type="dxa"/>
          <w:right w:w="0" w:type="dxa"/>
        </w:tblCellMar>
        <w:tblLook w:val="0000"/>
      </w:tblPr>
      <w:tblGrid>
        <w:gridCol w:w="1200"/>
        <w:gridCol w:w="1160"/>
        <w:gridCol w:w="1240"/>
      </w:tblGrid>
      <w:tr w:rsidR="00CC1C75">
        <w:trPr>
          <w:trHeight w:val="255"/>
        </w:trPr>
        <w:tc>
          <w:tcPr>
            <w:tcW w:w="1200" w:type="dxa"/>
            <w:tcBorders>
              <w:top w:val="single" w:sz="4" w:space="0" w:color="auto"/>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 </w:t>
            </w:r>
          </w:p>
        </w:tc>
        <w:tc>
          <w:tcPr>
            <w:tcW w:w="2400" w:type="dxa"/>
            <w:gridSpan w:val="2"/>
            <w:tcBorders>
              <w:top w:val="single" w:sz="4" w:space="0" w:color="auto"/>
              <w:left w:val="nil"/>
              <w:bottom w:val="single" w:sz="4" w:space="0" w:color="auto"/>
              <w:right w:val="single" w:sz="4" w:space="0" w:color="auto"/>
            </w:tcBorders>
            <w:vAlign w:val="center"/>
          </w:tcPr>
          <w:p w:rsidR="00CC1C75" w:rsidRDefault="00CC1C75" w:rsidP="00CC1C75">
            <w:pPr>
              <w:jc w:val="center"/>
              <w:rPr>
                <w:rFonts w:eastAsia="Arial Unicode MS"/>
                <w:sz w:val="16"/>
                <w:szCs w:val="16"/>
              </w:rPr>
            </w:pPr>
            <w:r>
              <w:rPr>
                <w:sz w:val="16"/>
                <w:szCs w:val="16"/>
              </w:rPr>
              <w:t>M.I.</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16"/>
                <w:szCs w:val="16"/>
              </w:rPr>
            </w:pPr>
            <w:r>
              <w:rPr>
                <w:sz w:val="16"/>
                <w:szCs w:val="16"/>
              </w:rPr>
              <w:t>Produbanco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16"/>
                <w:szCs w:val="16"/>
              </w:rPr>
            </w:pPr>
            <w:r>
              <w:rPr>
                <w:sz w:val="16"/>
                <w:szCs w:val="16"/>
              </w:rPr>
              <w:t>Produfondos</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ENERO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6.000,00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7,49</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FEBRERO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8.928,03</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50,94</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MARZO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102,49</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100</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ABRIL</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60,00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50,41</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MAYO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1.000,90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33,58</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JUNIO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r>
    </w:tbl>
    <w:p w:rsidR="00CC1C75" w:rsidRDefault="00CC1C75" w:rsidP="00CC1C75">
      <w:pPr>
        <w:jc w:val="center"/>
      </w:pPr>
    </w:p>
    <w:p w:rsidR="00CC1C75" w:rsidRDefault="0045615A" w:rsidP="00CC1C75">
      <w:pPr>
        <w:jc w:val="center"/>
      </w:pPr>
      <w:r>
        <w:t xml:space="preserve">           </w:t>
      </w:r>
      <w:r w:rsidR="00B04CD6">
        <w:rPr>
          <w:noProof/>
        </w:rPr>
        <w:drawing>
          <wp:inline distT="0" distB="0" distL="0" distR="0">
            <wp:extent cx="3848100" cy="22987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C1C75" w:rsidRDefault="00CC1C75" w:rsidP="00CC1C75">
      <w:pPr>
        <w:jc w:val="center"/>
        <w:rPr>
          <w:b/>
          <w:bCs/>
        </w:rPr>
      </w:pPr>
    </w:p>
    <w:p w:rsidR="00CC1C75" w:rsidRPr="000C7BF2" w:rsidRDefault="00CC1C75" w:rsidP="000C7BF2">
      <w:pPr>
        <w:pStyle w:val="Ttulo1"/>
        <w:spacing w:line="480" w:lineRule="auto"/>
        <w:ind w:left="720"/>
        <w:jc w:val="center"/>
        <w:rPr>
          <w:rFonts w:ascii="Arial" w:hAnsi="Arial"/>
        </w:rPr>
      </w:pPr>
      <w:bookmarkStart w:id="813" w:name="_Toc183697543"/>
      <w:bookmarkStart w:id="814" w:name="_Toc183698873"/>
      <w:bookmarkStart w:id="815" w:name="_Toc183699214"/>
      <w:bookmarkStart w:id="816" w:name="_Toc183699426"/>
      <w:bookmarkStart w:id="817" w:name="_Toc183699899"/>
      <w:bookmarkStart w:id="818" w:name="_Toc183700172"/>
      <w:bookmarkStart w:id="819" w:name="_Toc183700682"/>
      <w:bookmarkStart w:id="820" w:name="_Toc183700934"/>
      <w:r w:rsidRPr="000C7BF2">
        <w:rPr>
          <w:rFonts w:ascii="Arial" w:hAnsi="Arial"/>
          <w:bCs w:val="0"/>
        </w:rPr>
        <w:t>Gráfico 2.16</w:t>
      </w:r>
      <w:r w:rsidR="00C552B3">
        <w:rPr>
          <w:rFonts w:ascii="Arial" w:hAnsi="Arial"/>
          <w:bCs w:val="0"/>
        </w:rPr>
        <w:t>.</w:t>
      </w:r>
      <w:r w:rsidRPr="000C7BF2">
        <w:rPr>
          <w:rFonts w:ascii="Arial" w:hAnsi="Arial"/>
          <w:b w:val="0"/>
          <w:bCs w:val="0"/>
        </w:rPr>
        <w:t xml:space="preserve"> </w:t>
      </w:r>
      <w:r w:rsidRPr="000C7BF2">
        <w:rPr>
          <w:rFonts w:ascii="Arial" w:hAnsi="Arial"/>
          <w:b w:val="0"/>
        </w:rPr>
        <w:t>Gráfica temporal de la compañía M.I.</w:t>
      </w:r>
      <w:bookmarkEnd w:id="813"/>
      <w:bookmarkEnd w:id="814"/>
      <w:bookmarkEnd w:id="815"/>
      <w:bookmarkEnd w:id="816"/>
      <w:bookmarkEnd w:id="817"/>
      <w:bookmarkEnd w:id="818"/>
      <w:bookmarkEnd w:id="819"/>
      <w:bookmarkEnd w:id="820"/>
    </w:p>
    <w:p w:rsidR="00CC1C75" w:rsidRDefault="00CC1C75" w:rsidP="00CC1C75">
      <w:pPr>
        <w:jc w:val="center"/>
      </w:pPr>
    </w:p>
    <w:p w:rsidR="00CC1C75" w:rsidRDefault="00CC1C75" w:rsidP="00CC1C75">
      <w:pPr>
        <w:spacing w:line="480" w:lineRule="auto"/>
        <w:ind w:left="708"/>
        <w:jc w:val="both"/>
        <w:rPr>
          <w:rFonts w:ascii="Arial" w:hAnsi="Arial" w:cs="Arial"/>
        </w:rPr>
      </w:pPr>
    </w:p>
    <w:p w:rsidR="00CC1C75" w:rsidRDefault="00CC1C75" w:rsidP="000D7DC6">
      <w:pPr>
        <w:spacing w:line="480" w:lineRule="auto"/>
        <w:ind w:left="540"/>
        <w:jc w:val="both"/>
        <w:rPr>
          <w:rFonts w:ascii="Arial" w:hAnsi="Arial" w:cs="Arial"/>
        </w:rPr>
      </w:pPr>
      <w:r>
        <w:rPr>
          <w:rFonts w:ascii="Arial" w:hAnsi="Arial" w:cs="Arial"/>
        </w:rPr>
        <w:t xml:space="preserve">Con esta gráfica se quería demostrar si el mes tiene que ver con las diferencias que se presentan pero como podemos observar en esta compañía en el mes de febrero es el que tiene mayor diferencia y esto no ocurre con la diferencia del banco del Produfondos por lo que </w:t>
      </w:r>
      <w:r>
        <w:rPr>
          <w:rFonts w:ascii="Arial" w:hAnsi="Arial" w:cs="Arial"/>
        </w:rPr>
        <w:lastRenderedPageBreak/>
        <w:t>descartamos que el mes tenga que ver con las diferencias obtenidas e incluso su comportamiento para esta compañía es totalmente diferente ya que si en un banco se presenta elevadas diferencias en un mes en el otro banco se presenta bajas diferencias durante el mismo mes.</w:t>
      </w:r>
    </w:p>
    <w:p w:rsidR="00CC1C75" w:rsidRDefault="00CC1C75" w:rsidP="00CC1C75">
      <w:pPr>
        <w:tabs>
          <w:tab w:val="left" w:pos="851"/>
        </w:tabs>
        <w:spacing w:line="480" w:lineRule="auto"/>
        <w:ind w:left="851"/>
        <w:jc w:val="both"/>
        <w:rPr>
          <w:rFonts w:ascii="Arial" w:hAnsi="Arial" w:cs="Arial"/>
          <w:b/>
        </w:rPr>
      </w:pPr>
    </w:p>
    <w:p w:rsidR="00CC1C75" w:rsidRPr="0069770F" w:rsidRDefault="00CC1C75" w:rsidP="000D7DC6">
      <w:pPr>
        <w:pStyle w:val="Ttulo3"/>
        <w:spacing w:before="0" w:after="0" w:line="480" w:lineRule="auto"/>
        <w:ind w:left="540"/>
        <w:jc w:val="both"/>
        <w:rPr>
          <w:sz w:val="24"/>
        </w:rPr>
      </w:pPr>
      <w:bookmarkStart w:id="821" w:name="_Toc183697544"/>
      <w:bookmarkStart w:id="822" w:name="_Toc183698874"/>
      <w:bookmarkStart w:id="823" w:name="_Toc183699215"/>
      <w:bookmarkStart w:id="824" w:name="_Toc183699427"/>
      <w:bookmarkStart w:id="825" w:name="_Toc183699900"/>
      <w:bookmarkStart w:id="826" w:name="_Toc183700173"/>
      <w:bookmarkStart w:id="827" w:name="_Toc183700683"/>
      <w:bookmarkStart w:id="828" w:name="_Toc183700935"/>
      <w:r w:rsidRPr="0069770F">
        <w:rPr>
          <w:sz w:val="24"/>
        </w:rPr>
        <w:t>2.3.23 Análisis de los saldos de las conciliaciones bancarias con los saldos de libros del primer semestre del año 2007 mediante diagramas de barras. Compañía F.A. Banco Produbanco.</w:t>
      </w:r>
      <w:bookmarkEnd w:id="821"/>
      <w:bookmarkEnd w:id="822"/>
      <w:bookmarkEnd w:id="823"/>
      <w:bookmarkEnd w:id="824"/>
      <w:bookmarkEnd w:id="825"/>
      <w:bookmarkEnd w:id="826"/>
      <w:bookmarkEnd w:id="827"/>
      <w:bookmarkEnd w:id="828"/>
    </w:p>
    <w:p w:rsidR="00CC1C75" w:rsidRDefault="00CC1C75" w:rsidP="000D7DC6">
      <w:pPr>
        <w:spacing w:line="480" w:lineRule="auto"/>
        <w:ind w:left="540"/>
        <w:jc w:val="both"/>
        <w:rPr>
          <w:rFonts w:ascii="Arial" w:hAnsi="Arial" w:cs="Arial"/>
        </w:rPr>
      </w:pPr>
      <w:r>
        <w:rPr>
          <w:rFonts w:ascii="Arial" w:hAnsi="Arial" w:cs="Arial"/>
        </w:rPr>
        <w:t>Para este caso, el gráfico es el siguiente:</w:t>
      </w:r>
    </w:p>
    <w:p w:rsidR="00CC1C75" w:rsidRPr="0069770F" w:rsidRDefault="00B04CD6" w:rsidP="0069770F">
      <w:pPr>
        <w:pStyle w:val="Ttulo1"/>
        <w:spacing w:line="480" w:lineRule="auto"/>
        <w:ind w:left="720"/>
        <w:jc w:val="center"/>
        <w:rPr>
          <w:rFonts w:ascii="Arial" w:hAnsi="Arial" w:cs="Arial"/>
          <w:b w:val="0"/>
        </w:rPr>
      </w:pPr>
      <w:bookmarkStart w:id="829" w:name="_Toc183697545"/>
      <w:bookmarkStart w:id="830" w:name="_Toc183698875"/>
      <w:bookmarkStart w:id="831" w:name="_Toc183699216"/>
      <w:bookmarkStart w:id="832" w:name="_Toc183699428"/>
      <w:bookmarkStart w:id="833" w:name="_Toc183699901"/>
      <w:bookmarkStart w:id="834" w:name="_Toc183700174"/>
      <w:bookmarkStart w:id="835" w:name="_Toc183700684"/>
      <w:bookmarkStart w:id="836" w:name="_Toc183700936"/>
      <w:r>
        <w:rPr>
          <w:noProof/>
        </w:rPr>
        <w:drawing>
          <wp:inline distT="0" distB="0" distL="0" distR="0">
            <wp:extent cx="4991100" cy="33274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CC1C75" w:rsidRPr="00D5795F">
        <w:rPr>
          <w:rFonts w:ascii="Arial" w:hAnsi="Arial" w:cs="Arial"/>
          <w:b w:val="0"/>
        </w:rPr>
        <w:t xml:space="preserve"> </w:t>
      </w:r>
      <w:r w:rsidR="00CC1C75" w:rsidRPr="0069770F">
        <w:rPr>
          <w:rFonts w:ascii="Arial" w:hAnsi="Arial" w:cs="Arial"/>
        </w:rPr>
        <w:t>Gráfico 2.17</w:t>
      </w:r>
      <w:r w:rsidR="002B7BBF">
        <w:rPr>
          <w:rFonts w:ascii="Arial" w:hAnsi="Arial" w:cs="Arial"/>
        </w:rPr>
        <w:t>.</w:t>
      </w:r>
      <w:r w:rsidR="0069770F">
        <w:rPr>
          <w:rFonts w:ascii="Arial" w:hAnsi="Arial" w:cs="Arial"/>
        </w:rPr>
        <w:t xml:space="preserve"> </w:t>
      </w:r>
      <w:r w:rsidR="00CC1C75" w:rsidRPr="0069770F">
        <w:rPr>
          <w:rFonts w:ascii="Arial" w:hAnsi="Arial" w:cs="Arial"/>
          <w:b w:val="0"/>
        </w:rPr>
        <w:t>Diagrama de barra. Compañía F.A. Banco Produbanco.</w:t>
      </w:r>
      <w:bookmarkEnd w:id="829"/>
      <w:bookmarkEnd w:id="830"/>
      <w:bookmarkEnd w:id="831"/>
      <w:bookmarkEnd w:id="832"/>
      <w:bookmarkEnd w:id="833"/>
      <w:bookmarkEnd w:id="834"/>
      <w:bookmarkEnd w:id="835"/>
      <w:bookmarkEnd w:id="836"/>
    </w:p>
    <w:p w:rsidR="00CC1C75" w:rsidRDefault="00CC1C75" w:rsidP="00CC1C75">
      <w:pPr>
        <w:spacing w:line="480" w:lineRule="auto"/>
        <w:ind w:left="360"/>
        <w:jc w:val="both"/>
        <w:rPr>
          <w:rFonts w:ascii="Arial" w:hAnsi="Arial" w:cs="Arial"/>
        </w:rPr>
      </w:pPr>
    </w:p>
    <w:p w:rsidR="00CC1C75" w:rsidRDefault="00CC1C75" w:rsidP="000D7DC6">
      <w:pPr>
        <w:spacing w:line="480" w:lineRule="auto"/>
        <w:ind w:left="540"/>
        <w:jc w:val="both"/>
        <w:rPr>
          <w:rFonts w:ascii="Arial" w:hAnsi="Arial" w:cs="Arial"/>
        </w:rPr>
      </w:pPr>
      <w:r>
        <w:rPr>
          <w:rFonts w:ascii="Arial" w:hAnsi="Arial" w:cs="Arial"/>
        </w:rPr>
        <w:t xml:space="preserve">Aunque en el gráfico aparenta que todos los meses han sido iguales los saldos, no es así, esto se debe a que las diferencias son pequeñas con </w:t>
      </w:r>
      <w:r>
        <w:rPr>
          <w:rFonts w:ascii="Arial" w:hAnsi="Arial" w:cs="Arial"/>
        </w:rPr>
        <w:lastRenderedPageBreak/>
        <w:t xml:space="preserve">respecto a los valores elevados que existen en los saldos, por lo que se da que en el mes de enero presenta una diferencia de $203.05; en febrero, marzo, abril, mayo se presentan valores de $4.05, $3.05, $3.05, $50.00 respectivamente y en junio no presenta diferencia. </w:t>
      </w:r>
      <w:r w:rsidRPr="009F7070">
        <w:rPr>
          <w:rFonts w:ascii="Arial" w:hAnsi="Arial" w:cs="Arial"/>
        </w:rPr>
        <w:t>Lo que quiere decir que</w:t>
      </w:r>
      <w:r>
        <w:rPr>
          <w:rFonts w:ascii="Arial" w:hAnsi="Arial" w:cs="Arial"/>
        </w:rPr>
        <w:t xml:space="preserve"> esta empresa con este banco se encuentra bien a pesar de sus diferencias que son mínimas al final del mes se regulariza teniendo cero  diferencia.</w:t>
      </w:r>
    </w:p>
    <w:p w:rsidR="0069770F" w:rsidRDefault="0069770F" w:rsidP="0069770F">
      <w:pPr>
        <w:pStyle w:val="Ttulo3"/>
        <w:spacing w:before="0" w:after="0" w:line="480" w:lineRule="auto"/>
        <w:ind w:left="720"/>
        <w:jc w:val="both"/>
        <w:rPr>
          <w:rFonts w:eastAsia="MS Mincho"/>
          <w:b w:val="0"/>
          <w:bCs w:val="0"/>
          <w:sz w:val="24"/>
          <w:szCs w:val="24"/>
        </w:rPr>
      </w:pPr>
    </w:p>
    <w:p w:rsidR="00CC1C75" w:rsidRPr="0069770F" w:rsidRDefault="00CC1C75" w:rsidP="000D7DC6">
      <w:pPr>
        <w:pStyle w:val="Ttulo3"/>
        <w:spacing w:before="0" w:after="0" w:line="480" w:lineRule="auto"/>
        <w:ind w:left="540"/>
        <w:jc w:val="both"/>
        <w:rPr>
          <w:sz w:val="24"/>
        </w:rPr>
      </w:pPr>
      <w:bookmarkStart w:id="837" w:name="_Toc183697546"/>
      <w:bookmarkStart w:id="838" w:name="_Toc183698876"/>
      <w:bookmarkStart w:id="839" w:name="_Toc183699217"/>
      <w:bookmarkStart w:id="840" w:name="_Toc183699429"/>
      <w:bookmarkStart w:id="841" w:name="_Toc183699902"/>
      <w:bookmarkStart w:id="842" w:name="_Toc183700175"/>
      <w:bookmarkStart w:id="843" w:name="_Toc183700685"/>
      <w:bookmarkStart w:id="844" w:name="_Toc183700937"/>
      <w:r w:rsidRPr="0069770F">
        <w:rPr>
          <w:sz w:val="24"/>
        </w:rPr>
        <w:t>2.3.24 Análisis de las diferencias individuales de las compañías entre los saldos de las conciliaciones bancarias y los saldos de libros del primer semestre del año 2007 mediante diagrama de pastel. Compañía F.A. Banco Produbanco.</w:t>
      </w:r>
      <w:bookmarkEnd w:id="837"/>
      <w:bookmarkEnd w:id="838"/>
      <w:bookmarkEnd w:id="839"/>
      <w:bookmarkEnd w:id="840"/>
      <w:bookmarkEnd w:id="841"/>
      <w:bookmarkEnd w:id="842"/>
      <w:bookmarkEnd w:id="843"/>
      <w:bookmarkEnd w:id="844"/>
      <w:r w:rsidRPr="0069770F">
        <w:rPr>
          <w:sz w:val="24"/>
        </w:rPr>
        <w:t xml:space="preserve"> </w:t>
      </w:r>
    </w:p>
    <w:p w:rsidR="00CC1C75" w:rsidRDefault="00B04CD6" w:rsidP="0069770F">
      <w:pPr>
        <w:tabs>
          <w:tab w:val="left" w:pos="851"/>
        </w:tabs>
        <w:spacing w:line="480" w:lineRule="auto"/>
        <w:ind w:left="851"/>
        <w:jc w:val="center"/>
      </w:pPr>
      <w:r>
        <w:rPr>
          <w:noProof/>
        </w:rPr>
        <w:drawing>
          <wp:inline distT="0" distB="0" distL="0" distR="0">
            <wp:extent cx="3594100" cy="17399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C1C75" w:rsidRPr="00B17526" w:rsidRDefault="00CC1C75" w:rsidP="00B17526">
      <w:pPr>
        <w:pStyle w:val="Ttulo1"/>
        <w:spacing w:line="480" w:lineRule="auto"/>
        <w:ind w:left="720"/>
        <w:jc w:val="center"/>
        <w:rPr>
          <w:rFonts w:ascii="Arial" w:hAnsi="Arial" w:cs="Arial"/>
          <w:b w:val="0"/>
        </w:rPr>
      </w:pPr>
      <w:bookmarkStart w:id="845" w:name="_Toc183697547"/>
      <w:bookmarkStart w:id="846" w:name="_Toc183698877"/>
      <w:bookmarkStart w:id="847" w:name="_Toc183699218"/>
      <w:bookmarkStart w:id="848" w:name="_Toc183699430"/>
      <w:bookmarkStart w:id="849" w:name="_Toc183699903"/>
      <w:bookmarkStart w:id="850" w:name="_Toc183700176"/>
      <w:bookmarkStart w:id="851" w:name="_Toc183700686"/>
      <w:bookmarkStart w:id="852" w:name="_Toc183700938"/>
      <w:r w:rsidRPr="00B17526">
        <w:rPr>
          <w:rFonts w:ascii="Arial" w:hAnsi="Arial" w:cs="Arial"/>
        </w:rPr>
        <w:t>Gráfico 2.18</w:t>
      </w:r>
      <w:r w:rsidR="002B7BBF">
        <w:rPr>
          <w:rFonts w:ascii="Arial" w:hAnsi="Arial" w:cs="Arial"/>
        </w:rPr>
        <w:t>.</w:t>
      </w:r>
      <w:r w:rsidRPr="00B17526">
        <w:rPr>
          <w:rFonts w:ascii="Arial" w:hAnsi="Arial" w:cs="Arial"/>
          <w:b w:val="0"/>
        </w:rPr>
        <w:t xml:space="preserve"> Diagrama de pastel. Compañía F.A. Banco Produbanco.</w:t>
      </w:r>
      <w:bookmarkEnd w:id="845"/>
      <w:bookmarkEnd w:id="846"/>
      <w:bookmarkEnd w:id="847"/>
      <w:bookmarkEnd w:id="848"/>
      <w:bookmarkEnd w:id="849"/>
      <w:bookmarkEnd w:id="850"/>
      <w:bookmarkEnd w:id="851"/>
      <w:bookmarkEnd w:id="852"/>
    </w:p>
    <w:p w:rsidR="00CC1C75" w:rsidRDefault="00CC1C75" w:rsidP="00CC1C75">
      <w:pPr>
        <w:tabs>
          <w:tab w:val="left" w:pos="851"/>
        </w:tabs>
        <w:spacing w:line="480" w:lineRule="auto"/>
        <w:ind w:left="851"/>
        <w:jc w:val="both"/>
        <w:rPr>
          <w:rFonts w:ascii="Arial" w:hAnsi="Arial" w:cs="Arial"/>
          <w:b/>
        </w:rPr>
      </w:pPr>
    </w:p>
    <w:p w:rsidR="00CC1C75" w:rsidRDefault="00CC1C75" w:rsidP="000D7DC6">
      <w:pPr>
        <w:spacing w:line="480" w:lineRule="auto"/>
        <w:ind w:left="540"/>
        <w:jc w:val="both"/>
        <w:rPr>
          <w:rFonts w:ascii="Arial" w:hAnsi="Arial" w:cs="Arial"/>
        </w:rPr>
      </w:pPr>
      <w:r>
        <w:rPr>
          <w:rFonts w:ascii="Arial" w:hAnsi="Arial" w:cs="Arial"/>
        </w:rPr>
        <w:t xml:space="preserve">Se puede observar que esta compañía en este banco ha tenido mayores diferencias en sus saldos en los meses de enero y mayo con 77% y 19% lo que equivale en valores de $203.05 y $50 en cada mes; </w:t>
      </w:r>
      <w:r>
        <w:rPr>
          <w:rFonts w:ascii="Arial" w:hAnsi="Arial" w:cs="Arial"/>
        </w:rPr>
        <w:lastRenderedPageBreak/>
        <w:t xml:space="preserve">en febrero, marzo y abril presentan dos y solo uno por ciento de diferencia quedando el mes de junio con cero por ciento en sus diferencias, como se puede observar el </w:t>
      </w:r>
      <w:r>
        <w:rPr>
          <w:rFonts w:ascii="Arial" w:hAnsi="Arial" w:cs="Arial"/>
          <w:b/>
        </w:rPr>
        <w:t>gráfico 2.18</w:t>
      </w:r>
      <w:r>
        <w:rPr>
          <w:rFonts w:ascii="Arial" w:hAnsi="Arial" w:cs="Arial"/>
        </w:rPr>
        <w:t>. Lo que quiere decir que esta compañía posee diferencias mínimas en su totalidad del semestre las mismas que al final quedaron regularizadas.</w:t>
      </w:r>
    </w:p>
    <w:p w:rsidR="00BB4B86" w:rsidRPr="00337C5A" w:rsidRDefault="00BB4B86" w:rsidP="00CC1C75">
      <w:pPr>
        <w:spacing w:line="480" w:lineRule="auto"/>
        <w:ind w:left="720"/>
        <w:jc w:val="both"/>
        <w:rPr>
          <w:rFonts w:ascii="Arial" w:hAnsi="Arial" w:cs="Arial"/>
        </w:rPr>
      </w:pPr>
    </w:p>
    <w:p w:rsidR="00CC1C75" w:rsidRDefault="00CC1C75" w:rsidP="000D7DC6">
      <w:pPr>
        <w:pStyle w:val="Ttulo3"/>
        <w:spacing w:before="0" w:after="0" w:line="480" w:lineRule="auto"/>
        <w:ind w:left="540"/>
        <w:jc w:val="both"/>
        <w:rPr>
          <w:sz w:val="24"/>
        </w:rPr>
      </w:pPr>
      <w:bookmarkStart w:id="853" w:name="_Toc183697548"/>
      <w:bookmarkStart w:id="854" w:name="_Toc183698878"/>
      <w:bookmarkStart w:id="855" w:name="_Toc183699219"/>
      <w:bookmarkStart w:id="856" w:name="_Toc183699431"/>
      <w:bookmarkStart w:id="857" w:name="_Toc183699904"/>
      <w:bookmarkStart w:id="858" w:name="_Toc183700177"/>
      <w:bookmarkStart w:id="859" w:name="_Toc183700687"/>
      <w:bookmarkStart w:id="860" w:name="_Toc183700939"/>
      <w:r w:rsidRPr="00BB4B86">
        <w:rPr>
          <w:sz w:val="24"/>
        </w:rPr>
        <w:t>2.3.25 Análisis de las diferencias entre los saldos de las conciliaciones bancarias y los saldos de libros del primer semestre del año 2007 que se encuentran en el 25%, 50% y 75% mediante cuartiles.  Compañía F.A.  Banco Produbanco.</w:t>
      </w:r>
      <w:bookmarkEnd w:id="853"/>
      <w:bookmarkEnd w:id="854"/>
      <w:bookmarkEnd w:id="855"/>
      <w:bookmarkEnd w:id="856"/>
      <w:bookmarkEnd w:id="857"/>
      <w:bookmarkEnd w:id="858"/>
      <w:bookmarkEnd w:id="859"/>
      <w:bookmarkEnd w:id="860"/>
    </w:p>
    <w:p w:rsidR="00BB4B86" w:rsidRPr="00BB4B86" w:rsidRDefault="00BB4B86" w:rsidP="00BB4B86"/>
    <w:p w:rsidR="00BB4B86" w:rsidRPr="00BB4B86" w:rsidRDefault="00BB4B86" w:rsidP="00BB4B86">
      <w:pPr>
        <w:pStyle w:val="Ttulo1"/>
        <w:spacing w:line="480" w:lineRule="auto"/>
        <w:ind w:left="720"/>
        <w:jc w:val="center"/>
        <w:rPr>
          <w:rFonts w:ascii="Arial" w:hAnsi="Arial" w:cs="Arial"/>
          <w:b w:val="0"/>
        </w:rPr>
      </w:pPr>
      <w:bookmarkStart w:id="861" w:name="_Toc183697549"/>
      <w:bookmarkStart w:id="862" w:name="_Toc183698879"/>
      <w:bookmarkStart w:id="863" w:name="_Toc183699220"/>
      <w:bookmarkStart w:id="864" w:name="_Toc183699432"/>
      <w:bookmarkStart w:id="865" w:name="_Toc183699905"/>
      <w:bookmarkStart w:id="866" w:name="_Toc183700178"/>
      <w:bookmarkStart w:id="867" w:name="_Toc183700688"/>
      <w:bookmarkStart w:id="868" w:name="_Toc183700940"/>
      <w:r w:rsidRPr="00BB4B86">
        <w:rPr>
          <w:rFonts w:ascii="Arial" w:hAnsi="Arial" w:cs="Arial"/>
        </w:rPr>
        <w:t xml:space="preserve">Tabla XIII. </w:t>
      </w:r>
      <w:r w:rsidRPr="00BB4B86">
        <w:rPr>
          <w:rFonts w:ascii="Arial" w:hAnsi="Arial" w:cs="Arial"/>
          <w:b w:val="0"/>
        </w:rPr>
        <w:t>Valores de los cuartiles de F.A. Banco Produbanco.</w:t>
      </w:r>
      <w:bookmarkEnd w:id="861"/>
      <w:bookmarkEnd w:id="862"/>
      <w:bookmarkEnd w:id="863"/>
      <w:bookmarkEnd w:id="864"/>
      <w:bookmarkEnd w:id="865"/>
      <w:bookmarkEnd w:id="866"/>
      <w:bookmarkEnd w:id="867"/>
      <w:bookmarkEnd w:id="868"/>
    </w:p>
    <w:tbl>
      <w:tblPr>
        <w:tblW w:w="6700" w:type="dxa"/>
        <w:tblInd w:w="1080" w:type="dxa"/>
        <w:tblCellMar>
          <w:left w:w="70" w:type="dxa"/>
          <w:right w:w="70" w:type="dxa"/>
        </w:tblCellMar>
        <w:tblLook w:val="0000"/>
      </w:tblPr>
      <w:tblGrid>
        <w:gridCol w:w="440"/>
        <w:gridCol w:w="940"/>
        <w:gridCol w:w="660"/>
        <w:gridCol w:w="620"/>
        <w:gridCol w:w="560"/>
        <w:gridCol w:w="660"/>
        <w:gridCol w:w="660"/>
        <w:gridCol w:w="580"/>
        <w:gridCol w:w="508"/>
        <w:gridCol w:w="508"/>
        <w:gridCol w:w="564"/>
      </w:tblGrid>
      <w:tr w:rsidR="00066850" w:rsidRPr="00066850">
        <w:trPr>
          <w:trHeight w:val="270"/>
        </w:trPr>
        <w:tc>
          <w:tcPr>
            <w:tcW w:w="440" w:type="dxa"/>
            <w:tcBorders>
              <w:top w:val="nil"/>
              <w:left w:val="nil"/>
              <w:bottom w:val="nil"/>
              <w:right w:val="nil"/>
            </w:tcBorders>
            <w:shd w:val="clear" w:color="auto" w:fill="auto"/>
            <w:noWrap/>
            <w:vAlign w:val="bottom"/>
          </w:tcPr>
          <w:p w:rsidR="00066850" w:rsidRPr="00066850" w:rsidRDefault="00066850" w:rsidP="00066850">
            <w:pPr>
              <w:rPr>
                <w:rFonts w:eastAsia="Times New Roman"/>
                <w:sz w:val="14"/>
                <w:szCs w:val="14"/>
              </w:rPr>
            </w:pPr>
          </w:p>
        </w:tc>
        <w:tc>
          <w:tcPr>
            <w:tcW w:w="940" w:type="dxa"/>
            <w:tcBorders>
              <w:top w:val="nil"/>
              <w:left w:val="nil"/>
              <w:bottom w:val="nil"/>
              <w:right w:val="nil"/>
            </w:tcBorders>
            <w:shd w:val="clear" w:color="auto" w:fill="auto"/>
            <w:noWrap/>
            <w:vAlign w:val="bottom"/>
          </w:tcPr>
          <w:p w:rsidR="00066850" w:rsidRPr="00066850" w:rsidRDefault="00066850" w:rsidP="00066850">
            <w:pPr>
              <w:rPr>
                <w:rFonts w:eastAsia="Times New Roman"/>
                <w:sz w:val="14"/>
                <w:szCs w:val="14"/>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Ene.</w:t>
            </w:r>
          </w:p>
        </w:tc>
        <w:tc>
          <w:tcPr>
            <w:tcW w:w="62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Feb.</w:t>
            </w:r>
          </w:p>
        </w:tc>
        <w:tc>
          <w:tcPr>
            <w:tcW w:w="56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Marz.</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Jun.</w:t>
            </w:r>
          </w:p>
        </w:tc>
        <w:tc>
          <w:tcPr>
            <w:tcW w:w="15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Cuartiles</w:t>
            </w:r>
          </w:p>
        </w:tc>
      </w:tr>
      <w:tr w:rsidR="00066850" w:rsidRPr="00066850">
        <w:trPr>
          <w:trHeight w:val="270"/>
        </w:trPr>
        <w:tc>
          <w:tcPr>
            <w:tcW w:w="440" w:type="dxa"/>
            <w:tcBorders>
              <w:top w:val="single" w:sz="8" w:space="0" w:color="auto"/>
              <w:left w:val="single" w:sz="8" w:space="0" w:color="auto"/>
              <w:bottom w:val="nil"/>
              <w:right w:val="single" w:sz="4" w:space="0" w:color="auto"/>
            </w:tcBorders>
            <w:shd w:val="clear" w:color="auto" w:fill="auto"/>
            <w:noWrap/>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Cía.</w:t>
            </w:r>
          </w:p>
        </w:tc>
        <w:tc>
          <w:tcPr>
            <w:tcW w:w="940" w:type="dxa"/>
            <w:tcBorders>
              <w:top w:val="single" w:sz="8" w:space="0" w:color="auto"/>
              <w:left w:val="nil"/>
              <w:bottom w:val="nil"/>
              <w:right w:val="nil"/>
            </w:tcBorders>
            <w:shd w:val="clear" w:color="auto" w:fill="auto"/>
            <w:noWrap/>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BANCOS</w:t>
            </w:r>
          </w:p>
        </w:tc>
        <w:tc>
          <w:tcPr>
            <w:tcW w:w="66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62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56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58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508" w:type="dxa"/>
            <w:tcBorders>
              <w:top w:val="nil"/>
              <w:left w:val="single" w:sz="8" w:space="0" w:color="auto"/>
              <w:bottom w:val="nil"/>
              <w:right w:val="single" w:sz="4" w:space="0" w:color="auto"/>
            </w:tcBorders>
            <w:shd w:val="clear" w:color="auto" w:fill="auto"/>
            <w:noWrap/>
            <w:vAlign w:val="bottom"/>
          </w:tcPr>
          <w:p w:rsidR="00066850" w:rsidRPr="00066850" w:rsidRDefault="00066850" w:rsidP="00066850">
            <w:pPr>
              <w:jc w:val="right"/>
              <w:rPr>
                <w:rFonts w:eastAsia="Times New Roman"/>
                <w:b/>
                <w:bCs/>
                <w:sz w:val="14"/>
                <w:szCs w:val="14"/>
              </w:rPr>
            </w:pPr>
            <w:r w:rsidRPr="00066850">
              <w:rPr>
                <w:rFonts w:eastAsia="Times New Roman"/>
                <w:b/>
                <w:bCs/>
                <w:sz w:val="14"/>
                <w:szCs w:val="14"/>
              </w:rPr>
              <w:t>25%</w:t>
            </w:r>
          </w:p>
        </w:tc>
        <w:tc>
          <w:tcPr>
            <w:tcW w:w="508" w:type="dxa"/>
            <w:tcBorders>
              <w:top w:val="nil"/>
              <w:left w:val="nil"/>
              <w:bottom w:val="nil"/>
              <w:right w:val="single" w:sz="4" w:space="0" w:color="auto"/>
            </w:tcBorders>
            <w:shd w:val="clear" w:color="auto" w:fill="auto"/>
            <w:noWrap/>
            <w:vAlign w:val="bottom"/>
          </w:tcPr>
          <w:p w:rsidR="00066850" w:rsidRPr="00066850" w:rsidRDefault="00066850" w:rsidP="00066850">
            <w:pPr>
              <w:jc w:val="right"/>
              <w:rPr>
                <w:rFonts w:eastAsia="Times New Roman"/>
                <w:b/>
                <w:bCs/>
                <w:sz w:val="14"/>
                <w:szCs w:val="14"/>
              </w:rPr>
            </w:pPr>
            <w:r w:rsidRPr="00066850">
              <w:rPr>
                <w:rFonts w:eastAsia="Times New Roman"/>
                <w:b/>
                <w:bCs/>
                <w:sz w:val="14"/>
                <w:szCs w:val="14"/>
              </w:rPr>
              <w:t>50%</w:t>
            </w:r>
          </w:p>
        </w:tc>
        <w:tc>
          <w:tcPr>
            <w:tcW w:w="564" w:type="dxa"/>
            <w:tcBorders>
              <w:top w:val="nil"/>
              <w:left w:val="nil"/>
              <w:bottom w:val="nil"/>
              <w:right w:val="single" w:sz="8" w:space="0" w:color="auto"/>
            </w:tcBorders>
            <w:shd w:val="clear" w:color="auto" w:fill="auto"/>
            <w:noWrap/>
            <w:vAlign w:val="bottom"/>
          </w:tcPr>
          <w:p w:rsidR="00066850" w:rsidRPr="00066850" w:rsidRDefault="00066850" w:rsidP="00066850">
            <w:pPr>
              <w:jc w:val="right"/>
              <w:rPr>
                <w:rFonts w:eastAsia="Times New Roman"/>
                <w:b/>
                <w:bCs/>
                <w:sz w:val="14"/>
                <w:szCs w:val="14"/>
              </w:rPr>
            </w:pPr>
            <w:r w:rsidRPr="00066850">
              <w:rPr>
                <w:rFonts w:eastAsia="Times New Roman"/>
                <w:b/>
                <w:bCs/>
                <w:sz w:val="14"/>
                <w:szCs w:val="14"/>
              </w:rPr>
              <w:t>75%</w:t>
            </w:r>
          </w:p>
        </w:tc>
      </w:tr>
      <w:tr w:rsidR="00066850" w:rsidRPr="00066850">
        <w:trPr>
          <w:trHeight w:val="270"/>
        </w:trPr>
        <w:tc>
          <w:tcPr>
            <w:tcW w:w="440" w:type="dxa"/>
            <w:tcBorders>
              <w:top w:val="single" w:sz="4" w:space="0" w:color="auto"/>
              <w:left w:val="single" w:sz="8" w:space="0" w:color="auto"/>
              <w:bottom w:val="single" w:sz="8" w:space="0" w:color="auto"/>
              <w:right w:val="single" w:sz="8" w:space="0" w:color="auto"/>
            </w:tcBorders>
            <w:shd w:val="clear" w:color="auto" w:fill="auto"/>
            <w:vAlign w:val="center"/>
          </w:tcPr>
          <w:p w:rsidR="00066850" w:rsidRDefault="00066850" w:rsidP="00066850">
            <w:pPr>
              <w:jc w:val="center"/>
              <w:rPr>
                <w:rFonts w:eastAsia="Times New Roman"/>
                <w:sz w:val="14"/>
                <w:szCs w:val="14"/>
              </w:rPr>
            </w:pPr>
          </w:p>
          <w:p w:rsidR="00066850" w:rsidRPr="00066850" w:rsidRDefault="00066850" w:rsidP="00066850">
            <w:pPr>
              <w:jc w:val="center"/>
              <w:rPr>
                <w:rFonts w:eastAsia="Times New Roman"/>
                <w:sz w:val="14"/>
                <w:szCs w:val="14"/>
              </w:rPr>
            </w:pPr>
            <w:r w:rsidRPr="00066850">
              <w:rPr>
                <w:rFonts w:eastAsia="Times New Roman"/>
                <w:sz w:val="14"/>
                <w:szCs w:val="14"/>
              </w:rPr>
              <w:t>F.A.</w:t>
            </w:r>
          </w:p>
        </w:tc>
        <w:tc>
          <w:tcPr>
            <w:tcW w:w="940" w:type="dxa"/>
            <w:tcBorders>
              <w:top w:val="single" w:sz="4" w:space="0" w:color="auto"/>
              <w:left w:val="nil"/>
              <w:bottom w:val="single" w:sz="8"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Produbanco</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203,05</w:t>
            </w:r>
          </w:p>
        </w:tc>
        <w:tc>
          <w:tcPr>
            <w:tcW w:w="620" w:type="dxa"/>
            <w:tcBorders>
              <w:top w:val="single" w:sz="8" w:space="0" w:color="auto"/>
              <w:left w:val="nil"/>
              <w:bottom w:val="single" w:sz="4"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4,05</w:t>
            </w:r>
          </w:p>
        </w:tc>
        <w:tc>
          <w:tcPr>
            <w:tcW w:w="560" w:type="dxa"/>
            <w:tcBorders>
              <w:top w:val="single" w:sz="8" w:space="0" w:color="auto"/>
              <w:left w:val="nil"/>
              <w:bottom w:val="single" w:sz="4"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3,05</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3,05</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50,00</w:t>
            </w:r>
          </w:p>
        </w:tc>
        <w:tc>
          <w:tcPr>
            <w:tcW w:w="580" w:type="dxa"/>
            <w:tcBorders>
              <w:top w:val="single" w:sz="8" w:space="0" w:color="auto"/>
              <w:left w:val="nil"/>
              <w:bottom w:val="single" w:sz="4" w:space="0" w:color="auto"/>
              <w:right w:val="nil"/>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0,00</w:t>
            </w:r>
          </w:p>
        </w:tc>
        <w:tc>
          <w:tcPr>
            <w:tcW w:w="508" w:type="dxa"/>
            <w:tcBorders>
              <w:top w:val="single" w:sz="8" w:space="0" w:color="auto"/>
              <w:left w:val="single" w:sz="8" w:space="0" w:color="auto"/>
              <w:bottom w:val="single" w:sz="4" w:space="0" w:color="auto"/>
              <w:right w:val="single" w:sz="4" w:space="0" w:color="auto"/>
            </w:tcBorders>
            <w:shd w:val="clear" w:color="auto" w:fill="auto"/>
            <w:noWrap/>
            <w:vAlign w:val="bottom"/>
          </w:tcPr>
          <w:p w:rsidR="00066850" w:rsidRPr="00066850" w:rsidRDefault="00066850" w:rsidP="00066850">
            <w:pPr>
              <w:jc w:val="right"/>
              <w:rPr>
                <w:rFonts w:eastAsia="Times New Roman"/>
                <w:sz w:val="14"/>
                <w:szCs w:val="14"/>
              </w:rPr>
            </w:pPr>
            <w:r w:rsidRPr="00066850">
              <w:rPr>
                <w:rFonts w:eastAsia="Times New Roman"/>
                <w:sz w:val="14"/>
                <w:szCs w:val="14"/>
              </w:rPr>
              <w:t>3,05</w:t>
            </w:r>
          </w:p>
        </w:tc>
        <w:tc>
          <w:tcPr>
            <w:tcW w:w="508" w:type="dxa"/>
            <w:tcBorders>
              <w:top w:val="single" w:sz="8" w:space="0" w:color="auto"/>
              <w:left w:val="nil"/>
              <w:bottom w:val="single" w:sz="4" w:space="0" w:color="auto"/>
              <w:right w:val="single" w:sz="4" w:space="0" w:color="auto"/>
            </w:tcBorders>
            <w:shd w:val="clear" w:color="auto" w:fill="auto"/>
            <w:noWrap/>
            <w:vAlign w:val="bottom"/>
          </w:tcPr>
          <w:p w:rsidR="00066850" w:rsidRPr="00066850" w:rsidRDefault="00066850" w:rsidP="00066850">
            <w:pPr>
              <w:jc w:val="right"/>
              <w:rPr>
                <w:rFonts w:eastAsia="Times New Roman"/>
                <w:sz w:val="14"/>
                <w:szCs w:val="14"/>
              </w:rPr>
            </w:pPr>
            <w:r w:rsidRPr="00066850">
              <w:rPr>
                <w:rFonts w:eastAsia="Times New Roman"/>
                <w:sz w:val="14"/>
                <w:szCs w:val="14"/>
              </w:rPr>
              <w:t>3,55</w:t>
            </w:r>
          </w:p>
        </w:tc>
        <w:tc>
          <w:tcPr>
            <w:tcW w:w="564" w:type="dxa"/>
            <w:tcBorders>
              <w:top w:val="single" w:sz="8" w:space="0" w:color="auto"/>
              <w:left w:val="nil"/>
              <w:bottom w:val="single" w:sz="4" w:space="0" w:color="auto"/>
              <w:right w:val="single" w:sz="4" w:space="0" w:color="auto"/>
            </w:tcBorders>
            <w:shd w:val="clear" w:color="auto" w:fill="auto"/>
            <w:noWrap/>
            <w:vAlign w:val="bottom"/>
          </w:tcPr>
          <w:p w:rsidR="00066850" w:rsidRPr="00066850" w:rsidRDefault="00066850" w:rsidP="00066850">
            <w:pPr>
              <w:jc w:val="right"/>
              <w:rPr>
                <w:rFonts w:eastAsia="Times New Roman"/>
                <w:sz w:val="14"/>
                <w:szCs w:val="14"/>
              </w:rPr>
            </w:pPr>
            <w:r w:rsidRPr="00066850">
              <w:rPr>
                <w:rFonts w:eastAsia="Times New Roman"/>
                <w:sz w:val="14"/>
                <w:szCs w:val="14"/>
              </w:rPr>
              <w:t>38,51</w:t>
            </w:r>
          </w:p>
        </w:tc>
      </w:tr>
    </w:tbl>
    <w:p w:rsidR="00CC1C75" w:rsidRDefault="00CC1C75" w:rsidP="00CC1C75">
      <w:pPr>
        <w:tabs>
          <w:tab w:val="left" w:pos="851"/>
        </w:tabs>
        <w:spacing w:line="480" w:lineRule="auto"/>
        <w:ind w:left="851"/>
        <w:jc w:val="both"/>
        <w:rPr>
          <w:rFonts w:ascii="Arial" w:hAnsi="Arial" w:cs="Arial"/>
          <w:b/>
        </w:rPr>
      </w:pPr>
    </w:p>
    <w:p w:rsidR="00CC1C75" w:rsidRDefault="00CC1C75" w:rsidP="00CC1C75">
      <w:pPr>
        <w:tabs>
          <w:tab w:val="left" w:pos="851"/>
        </w:tabs>
        <w:spacing w:line="480" w:lineRule="auto"/>
        <w:ind w:left="851"/>
        <w:jc w:val="both"/>
        <w:rPr>
          <w:rFonts w:ascii="Arial" w:hAnsi="Arial" w:cs="Arial"/>
          <w:b/>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El primer cuartil nos indica que el 25% de las diferencias de las conciliaciones bancarias durante los primeros 6 meses de la compañía son inferiores a $3.05; lo que quiere decir que el 75% de las diferencias, son superiores al valor antes mencionado.</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0D7DC6">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En el segundo cuartil podemos observar que la mitad de los valores  están por debajo de $ 3.55. </w:t>
      </w:r>
    </w:p>
    <w:p w:rsidR="00CC1C75" w:rsidRPr="00515C10" w:rsidRDefault="00CC1C75" w:rsidP="000D7DC6">
      <w:pPr>
        <w:tabs>
          <w:tab w:val="left" w:pos="540"/>
        </w:tabs>
        <w:autoSpaceDE w:val="0"/>
        <w:autoSpaceDN w:val="0"/>
        <w:adjustRightInd w:val="0"/>
        <w:spacing w:line="480" w:lineRule="auto"/>
        <w:ind w:left="540"/>
        <w:jc w:val="both"/>
        <w:rPr>
          <w:rFonts w:ascii="Arial" w:hAnsi="Arial" w:cs="Arial"/>
          <w:color w:val="000000"/>
        </w:rPr>
      </w:pPr>
      <w:r>
        <w:rPr>
          <w:rFonts w:ascii="Arial" w:hAnsi="Arial" w:cs="Arial"/>
          <w:color w:val="000000"/>
        </w:rPr>
        <w:lastRenderedPageBreak/>
        <w:t>El tercer cuartil nos indica que el 75% de las diferencias de las conciliaciones bancarias son inferiores a $38.51; es decir que el 25% restante son superiores a ese valor.</w:t>
      </w:r>
    </w:p>
    <w:p w:rsidR="00CC1C75" w:rsidRPr="00490392" w:rsidRDefault="00CC1C75" w:rsidP="00CC1C75">
      <w:pPr>
        <w:spacing w:line="480" w:lineRule="auto"/>
        <w:ind w:left="709"/>
        <w:jc w:val="both"/>
        <w:rPr>
          <w:rFonts w:ascii="Arial" w:hAnsi="Arial" w:cs="Arial"/>
        </w:rPr>
      </w:pPr>
    </w:p>
    <w:p w:rsidR="00CC1C75" w:rsidRPr="009F7AA2" w:rsidRDefault="00CC1C75" w:rsidP="000D7DC6">
      <w:pPr>
        <w:pStyle w:val="Ttulo3"/>
        <w:spacing w:before="0" w:after="0" w:line="480" w:lineRule="auto"/>
        <w:ind w:left="540"/>
        <w:jc w:val="both"/>
        <w:rPr>
          <w:sz w:val="24"/>
        </w:rPr>
      </w:pPr>
      <w:bookmarkStart w:id="869" w:name="_Toc183697550"/>
      <w:bookmarkStart w:id="870" w:name="_Toc183698880"/>
      <w:bookmarkStart w:id="871" w:name="_Toc183699221"/>
      <w:bookmarkStart w:id="872" w:name="_Toc183699433"/>
      <w:bookmarkStart w:id="873" w:name="_Toc183699906"/>
      <w:bookmarkStart w:id="874" w:name="_Toc183700179"/>
      <w:bookmarkStart w:id="875" w:name="_Toc183700689"/>
      <w:bookmarkStart w:id="876" w:name="_Toc183700941"/>
      <w:r w:rsidRPr="009F7AA2">
        <w:rPr>
          <w:sz w:val="24"/>
        </w:rPr>
        <w:t>2.3.26 Análisis de los saldos de las conciliaciones bancarias con los saldos de libros del primer semestre del año 2007 mediante diagramas de barras. Compañía F.A. Banco Produfondos.</w:t>
      </w:r>
      <w:bookmarkEnd w:id="869"/>
      <w:bookmarkEnd w:id="870"/>
      <w:bookmarkEnd w:id="871"/>
      <w:bookmarkEnd w:id="872"/>
      <w:bookmarkEnd w:id="873"/>
      <w:bookmarkEnd w:id="874"/>
      <w:bookmarkEnd w:id="875"/>
      <w:bookmarkEnd w:id="876"/>
    </w:p>
    <w:p w:rsidR="00CC1C75" w:rsidRDefault="00CC1C75" w:rsidP="000D7DC6">
      <w:pPr>
        <w:spacing w:line="480" w:lineRule="auto"/>
        <w:ind w:left="540"/>
        <w:jc w:val="both"/>
        <w:rPr>
          <w:rFonts w:ascii="Arial" w:hAnsi="Arial" w:cs="Arial"/>
        </w:rPr>
      </w:pPr>
      <w:r>
        <w:rPr>
          <w:rFonts w:ascii="Arial" w:hAnsi="Arial" w:cs="Arial"/>
        </w:rPr>
        <w:t>Para este caso, el gráfico es el siguiente:</w:t>
      </w:r>
    </w:p>
    <w:p w:rsidR="00CC1C75" w:rsidRPr="00277583" w:rsidRDefault="00B04CD6" w:rsidP="00277583">
      <w:pPr>
        <w:pStyle w:val="Ttulo1"/>
        <w:spacing w:line="480" w:lineRule="auto"/>
        <w:ind w:left="720"/>
        <w:rPr>
          <w:rFonts w:ascii="Arial" w:hAnsi="Arial" w:cs="Arial"/>
          <w:b w:val="0"/>
        </w:rPr>
      </w:pPr>
      <w:bookmarkStart w:id="877" w:name="_Toc183697551"/>
      <w:bookmarkStart w:id="878" w:name="_Toc183698881"/>
      <w:bookmarkStart w:id="879" w:name="_Toc183699222"/>
      <w:bookmarkStart w:id="880" w:name="_Toc183699434"/>
      <w:bookmarkStart w:id="881" w:name="_Toc183699907"/>
      <w:bookmarkStart w:id="882" w:name="_Toc183700180"/>
      <w:bookmarkStart w:id="883" w:name="_Toc183700690"/>
      <w:bookmarkStart w:id="884" w:name="_Toc183700942"/>
      <w:r>
        <w:rPr>
          <w:noProof/>
        </w:rPr>
        <w:drawing>
          <wp:inline distT="0" distB="0" distL="0" distR="0">
            <wp:extent cx="5245100" cy="2641600"/>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CC1C75" w:rsidRPr="00277583">
        <w:rPr>
          <w:rFonts w:ascii="Arial" w:hAnsi="Arial" w:cs="Arial"/>
        </w:rPr>
        <w:t>Gráfico 2.19.</w:t>
      </w:r>
      <w:r w:rsidR="00CC1C75" w:rsidRPr="00277583">
        <w:rPr>
          <w:rFonts w:ascii="Arial" w:hAnsi="Arial" w:cs="Arial"/>
          <w:b w:val="0"/>
        </w:rPr>
        <w:t xml:space="preserve"> Diagrama de barra. Compañía F.A. Banco Produfondos.</w:t>
      </w:r>
      <w:bookmarkEnd w:id="877"/>
      <w:bookmarkEnd w:id="878"/>
      <w:bookmarkEnd w:id="879"/>
      <w:bookmarkEnd w:id="880"/>
      <w:bookmarkEnd w:id="881"/>
      <w:bookmarkEnd w:id="882"/>
      <w:bookmarkEnd w:id="883"/>
      <w:bookmarkEnd w:id="884"/>
    </w:p>
    <w:p w:rsidR="00277583" w:rsidRDefault="00277583" w:rsidP="00CC1C75">
      <w:pPr>
        <w:spacing w:line="480" w:lineRule="auto"/>
        <w:ind w:left="708"/>
        <w:jc w:val="both"/>
        <w:rPr>
          <w:rFonts w:ascii="Arial" w:hAnsi="Arial" w:cs="Arial"/>
        </w:rPr>
      </w:pPr>
    </w:p>
    <w:p w:rsidR="00CC1C75" w:rsidRDefault="00CC1C75" w:rsidP="000D7DC6">
      <w:pPr>
        <w:spacing w:line="480" w:lineRule="auto"/>
        <w:ind w:left="540"/>
        <w:jc w:val="both"/>
        <w:rPr>
          <w:rFonts w:ascii="Arial" w:hAnsi="Arial" w:cs="Arial"/>
        </w:rPr>
      </w:pPr>
      <w:r>
        <w:rPr>
          <w:rFonts w:ascii="Arial" w:hAnsi="Arial" w:cs="Arial"/>
        </w:rPr>
        <w:t xml:space="preserve">Se puede observar que esta compañía en este banco ha tenido diferencias en sus saldos en los meses de enero, febrero y mayo con valores de $50.02, $51.99, $45.57 durante los tres meses, mientras que en el mes de marzo también ha tenido diferencia pero ha sido menor de </w:t>
      </w:r>
      <w:r>
        <w:rPr>
          <w:rFonts w:ascii="Arial" w:hAnsi="Arial" w:cs="Arial"/>
        </w:rPr>
        <w:lastRenderedPageBreak/>
        <w:t xml:space="preserve">$1.99 y los meses de abril  junio no han tenido diferencias como se puede observar el </w:t>
      </w:r>
      <w:r w:rsidRPr="008D04AF">
        <w:rPr>
          <w:rFonts w:ascii="Arial" w:hAnsi="Arial" w:cs="Arial"/>
          <w:b/>
        </w:rPr>
        <w:t>gráfico 2.</w:t>
      </w:r>
      <w:r>
        <w:rPr>
          <w:rFonts w:ascii="Arial" w:hAnsi="Arial" w:cs="Arial"/>
          <w:b/>
        </w:rPr>
        <w:t>19</w:t>
      </w:r>
      <w:r w:rsidRPr="009F7070">
        <w:rPr>
          <w:rFonts w:ascii="Arial" w:hAnsi="Arial" w:cs="Arial"/>
        </w:rPr>
        <w:t>.</w:t>
      </w:r>
    </w:p>
    <w:p w:rsidR="0059685F" w:rsidRDefault="00CC1C75" w:rsidP="000D7DC6">
      <w:pPr>
        <w:spacing w:line="480" w:lineRule="auto"/>
        <w:ind w:left="540"/>
        <w:jc w:val="both"/>
        <w:rPr>
          <w:rFonts w:ascii="Arial" w:hAnsi="Arial" w:cs="Arial"/>
        </w:rPr>
      </w:pPr>
      <w:r w:rsidRPr="009F7070">
        <w:rPr>
          <w:rFonts w:ascii="Arial" w:hAnsi="Arial" w:cs="Arial"/>
        </w:rPr>
        <w:t xml:space="preserve">Lo que quiere decir que </w:t>
      </w:r>
      <w:r>
        <w:rPr>
          <w:rFonts w:ascii="Arial" w:hAnsi="Arial" w:cs="Arial"/>
        </w:rPr>
        <w:t>se encuentra bien a pesar que posee diferencias, éstas son pequeñas y se regulariza en el mes de junio quedando con cero diferencia.</w:t>
      </w:r>
    </w:p>
    <w:p w:rsidR="00CC1C75" w:rsidRPr="0059685F" w:rsidRDefault="00CC1C75" w:rsidP="000D7DC6">
      <w:pPr>
        <w:pStyle w:val="Ttulo3"/>
        <w:spacing w:before="0" w:after="0" w:line="480" w:lineRule="auto"/>
        <w:ind w:left="540"/>
        <w:jc w:val="both"/>
        <w:rPr>
          <w:sz w:val="24"/>
        </w:rPr>
      </w:pPr>
      <w:bookmarkStart w:id="885" w:name="_Toc183697552"/>
      <w:bookmarkStart w:id="886" w:name="_Toc183698882"/>
      <w:bookmarkStart w:id="887" w:name="_Toc183699223"/>
      <w:bookmarkStart w:id="888" w:name="_Toc183699435"/>
      <w:bookmarkStart w:id="889" w:name="_Toc183699908"/>
      <w:bookmarkStart w:id="890" w:name="_Toc183700181"/>
      <w:bookmarkStart w:id="891" w:name="_Toc183700691"/>
      <w:bookmarkStart w:id="892" w:name="_Toc183700943"/>
      <w:r w:rsidRPr="0059685F">
        <w:rPr>
          <w:sz w:val="24"/>
        </w:rPr>
        <w:t>2.3.27 Análisis de las diferencias individuales de las compañías entre los saldos de las conciliaciones bancarias y los saldos de libros del primer semestre del año 2007 mediante diagrama de pastel. Compañía F.A. Banco Produfondos.</w:t>
      </w:r>
      <w:bookmarkEnd w:id="885"/>
      <w:bookmarkEnd w:id="886"/>
      <w:bookmarkEnd w:id="887"/>
      <w:bookmarkEnd w:id="888"/>
      <w:bookmarkEnd w:id="889"/>
      <w:bookmarkEnd w:id="890"/>
      <w:bookmarkEnd w:id="891"/>
      <w:bookmarkEnd w:id="892"/>
      <w:r w:rsidRPr="0059685F">
        <w:rPr>
          <w:sz w:val="24"/>
        </w:rPr>
        <w:t xml:space="preserve"> </w:t>
      </w:r>
    </w:p>
    <w:p w:rsidR="00CC1C75" w:rsidRDefault="00CC1C75" w:rsidP="00CC1C75">
      <w:pPr>
        <w:tabs>
          <w:tab w:val="left" w:pos="851"/>
        </w:tabs>
        <w:spacing w:line="480" w:lineRule="auto"/>
        <w:ind w:left="851"/>
        <w:jc w:val="both"/>
        <w:rPr>
          <w:rFonts w:ascii="Arial" w:hAnsi="Arial" w:cs="Arial"/>
          <w:b/>
        </w:rPr>
      </w:pPr>
    </w:p>
    <w:p w:rsidR="00CC1C75" w:rsidRDefault="00B04CD6" w:rsidP="0059685F">
      <w:pPr>
        <w:spacing w:line="480" w:lineRule="auto"/>
        <w:ind w:left="709"/>
        <w:jc w:val="center"/>
      </w:pPr>
      <w:r>
        <w:rPr>
          <w:noProof/>
        </w:rPr>
        <w:drawing>
          <wp:inline distT="0" distB="0" distL="0" distR="0">
            <wp:extent cx="3594100" cy="173990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C1C75" w:rsidRPr="0059685F" w:rsidRDefault="00CC1C75" w:rsidP="0059685F">
      <w:pPr>
        <w:pStyle w:val="Ttulo1"/>
        <w:spacing w:line="480" w:lineRule="auto"/>
        <w:ind w:left="720"/>
        <w:jc w:val="center"/>
        <w:rPr>
          <w:rFonts w:ascii="Arial" w:hAnsi="Arial" w:cs="Arial"/>
          <w:b w:val="0"/>
        </w:rPr>
      </w:pPr>
      <w:bookmarkStart w:id="893" w:name="_Toc183697553"/>
      <w:bookmarkStart w:id="894" w:name="_Toc183698883"/>
      <w:bookmarkStart w:id="895" w:name="_Toc183699224"/>
      <w:bookmarkStart w:id="896" w:name="_Toc183699436"/>
      <w:bookmarkStart w:id="897" w:name="_Toc183699909"/>
      <w:bookmarkStart w:id="898" w:name="_Toc183700182"/>
      <w:bookmarkStart w:id="899" w:name="_Toc183700692"/>
      <w:bookmarkStart w:id="900" w:name="_Toc183700944"/>
      <w:r w:rsidRPr="0059685F">
        <w:rPr>
          <w:rFonts w:ascii="Arial" w:hAnsi="Arial" w:cs="Arial"/>
        </w:rPr>
        <w:t xml:space="preserve">Gráfico 2.20. </w:t>
      </w:r>
      <w:r w:rsidRPr="0059685F">
        <w:rPr>
          <w:rFonts w:ascii="Arial" w:hAnsi="Arial" w:cs="Arial"/>
          <w:b w:val="0"/>
        </w:rPr>
        <w:t>Diagrama de pastel. Compañía F.A. Banco Produfondos.</w:t>
      </w:r>
      <w:bookmarkEnd w:id="893"/>
      <w:bookmarkEnd w:id="894"/>
      <w:bookmarkEnd w:id="895"/>
      <w:bookmarkEnd w:id="896"/>
      <w:bookmarkEnd w:id="897"/>
      <w:bookmarkEnd w:id="898"/>
      <w:bookmarkEnd w:id="899"/>
      <w:bookmarkEnd w:id="900"/>
    </w:p>
    <w:p w:rsidR="00CC1C75" w:rsidRPr="00490392" w:rsidRDefault="00CC1C75" w:rsidP="00CC1C75">
      <w:pPr>
        <w:spacing w:line="480" w:lineRule="auto"/>
        <w:ind w:left="709"/>
        <w:jc w:val="both"/>
        <w:rPr>
          <w:rFonts w:ascii="Arial" w:hAnsi="Arial" w:cs="Arial"/>
        </w:rPr>
      </w:pPr>
    </w:p>
    <w:p w:rsidR="00CC1C75" w:rsidRDefault="00CC1C75" w:rsidP="000D7DC6">
      <w:pPr>
        <w:tabs>
          <w:tab w:val="left" w:pos="540"/>
        </w:tabs>
        <w:spacing w:line="480" w:lineRule="auto"/>
        <w:ind w:left="720"/>
        <w:jc w:val="both"/>
        <w:rPr>
          <w:rFonts w:ascii="Arial" w:hAnsi="Arial" w:cs="Arial"/>
        </w:rPr>
      </w:pPr>
      <w:r>
        <w:rPr>
          <w:rFonts w:ascii="Arial" w:hAnsi="Arial" w:cs="Arial"/>
        </w:rPr>
        <w:t xml:space="preserve">Se puede observar que esta compañía en este banco ha tenido mayores diferencias en sus saldos en los meses de enero, febrero y mayo con 33%, 35% y 30% lo que equivale en valores de $50.02, $51.99 y $45.57 en cada mes; en marzo presenta solo uno por ciento </w:t>
      </w:r>
      <w:r>
        <w:rPr>
          <w:rFonts w:ascii="Arial" w:hAnsi="Arial" w:cs="Arial"/>
        </w:rPr>
        <w:lastRenderedPageBreak/>
        <w:t xml:space="preserve">de diferencia y en  los meses restantes son consideradas como cero por ciento en sus diferencias, como se puede observar el </w:t>
      </w:r>
      <w:r>
        <w:rPr>
          <w:rFonts w:ascii="Arial" w:hAnsi="Arial" w:cs="Arial"/>
          <w:b/>
        </w:rPr>
        <w:t>gráfico 2.20</w:t>
      </w:r>
      <w:r>
        <w:rPr>
          <w:rFonts w:ascii="Arial" w:hAnsi="Arial" w:cs="Arial"/>
        </w:rPr>
        <w:t>. Lo que quiere decir que esta compañía empezó el semestre con diferencias elevadas disminuyendo al final del semestre del 2007 quedando finalmente en cero.</w:t>
      </w:r>
    </w:p>
    <w:p w:rsidR="00CC1C75" w:rsidRDefault="00CC1C75" w:rsidP="00CC1C75">
      <w:pPr>
        <w:tabs>
          <w:tab w:val="left" w:pos="851"/>
        </w:tabs>
        <w:spacing w:line="480" w:lineRule="auto"/>
        <w:ind w:left="851"/>
        <w:jc w:val="both"/>
        <w:rPr>
          <w:rFonts w:ascii="Arial" w:hAnsi="Arial" w:cs="Arial"/>
          <w:b/>
        </w:rPr>
      </w:pPr>
    </w:p>
    <w:p w:rsidR="00CC1C75" w:rsidRDefault="00CC1C75" w:rsidP="00D95208">
      <w:pPr>
        <w:pStyle w:val="Ttulo3"/>
        <w:spacing w:before="0" w:after="0" w:line="480" w:lineRule="auto"/>
        <w:ind w:left="720"/>
        <w:jc w:val="both"/>
        <w:rPr>
          <w:sz w:val="24"/>
        </w:rPr>
      </w:pPr>
      <w:bookmarkStart w:id="901" w:name="_Toc183697554"/>
      <w:bookmarkStart w:id="902" w:name="_Toc183698884"/>
      <w:bookmarkStart w:id="903" w:name="_Toc183699225"/>
      <w:bookmarkStart w:id="904" w:name="_Toc183699437"/>
      <w:bookmarkStart w:id="905" w:name="_Toc183699910"/>
      <w:bookmarkStart w:id="906" w:name="_Toc183700183"/>
      <w:bookmarkStart w:id="907" w:name="_Toc183700693"/>
      <w:bookmarkStart w:id="908" w:name="_Toc183700945"/>
      <w:r w:rsidRPr="00D95208">
        <w:rPr>
          <w:sz w:val="24"/>
        </w:rPr>
        <w:t>2.3.28 Análisis de las diferencias entre los saldos de las conciliaciones bancarias y los saldos de libros del primer semestre del año 2007 que se encuentran en el 25%, 50% y 75% mediante cuartiles.  Compañía F.A. Banco Produfondos</w:t>
      </w:r>
      <w:r w:rsidR="00D95208">
        <w:rPr>
          <w:sz w:val="24"/>
        </w:rPr>
        <w:t>.</w:t>
      </w:r>
      <w:bookmarkEnd w:id="901"/>
      <w:bookmarkEnd w:id="902"/>
      <w:bookmarkEnd w:id="903"/>
      <w:bookmarkEnd w:id="904"/>
      <w:bookmarkEnd w:id="905"/>
      <w:bookmarkEnd w:id="906"/>
      <w:bookmarkEnd w:id="907"/>
      <w:bookmarkEnd w:id="908"/>
    </w:p>
    <w:p w:rsidR="00D95208" w:rsidRDefault="00D95208" w:rsidP="00D95208"/>
    <w:p w:rsidR="00D95208" w:rsidRPr="00D95208" w:rsidRDefault="00D95208" w:rsidP="00D95208">
      <w:pPr>
        <w:pStyle w:val="Ttulo1"/>
        <w:spacing w:line="480" w:lineRule="auto"/>
        <w:ind w:left="720"/>
        <w:jc w:val="center"/>
        <w:rPr>
          <w:rFonts w:ascii="Arial" w:hAnsi="Arial"/>
          <w:b w:val="0"/>
        </w:rPr>
      </w:pPr>
      <w:bookmarkStart w:id="909" w:name="_Toc183697555"/>
      <w:bookmarkStart w:id="910" w:name="_Toc183698885"/>
      <w:bookmarkStart w:id="911" w:name="_Toc183699226"/>
      <w:bookmarkStart w:id="912" w:name="_Toc183699438"/>
      <w:bookmarkStart w:id="913" w:name="_Toc183699911"/>
      <w:bookmarkStart w:id="914" w:name="_Toc183700184"/>
      <w:bookmarkStart w:id="915" w:name="_Toc183700694"/>
      <w:bookmarkStart w:id="916" w:name="_Toc183700946"/>
      <w:r w:rsidRPr="00D95208">
        <w:rPr>
          <w:rFonts w:ascii="Arial" w:hAnsi="Arial"/>
        </w:rPr>
        <w:t xml:space="preserve">Tabla XIV. </w:t>
      </w:r>
      <w:r w:rsidRPr="00D95208">
        <w:rPr>
          <w:rFonts w:ascii="Arial" w:hAnsi="Arial"/>
          <w:b w:val="0"/>
        </w:rPr>
        <w:t>Valores de los cuartiles de F.A. Banco Produfondos</w:t>
      </w:r>
      <w:bookmarkEnd w:id="909"/>
      <w:bookmarkEnd w:id="910"/>
      <w:bookmarkEnd w:id="911"/>
      <w:bookmarkEnd w:id="912"/>
      <w:bookmarkEnd w:id="913"/>
      <w:bookmarkEnd w:id="914"/>
      <w:bookmarkEnd w:id="915"/>
      <w:bookmarkEnd w:id="916"/>
    </w:p>
    <w:p w:rsidR="00D95208" w:rsidRPr="00D95208" w:rsidRDefault="00D95208" w:rsidP="00D95208"/>
    <w:tbl>
      <w:tblPr>
        <w:tblW w:w="6701" w:type="dxa"/>
        <w:tblInd w:w="1080" w:type="dxa"/>
        <w:tblCellMar>
          <w:left w:w="70" w:type="dxa"/>
          <w:right w:w="70" w:type="dxa"/>
        </w:tblCellMar>
        <w:tblLook w:val="0000"/>
      </w:tblPr>
      <w:tblGrid>
        <w:gridCol w:w="440"/>
        <w:gridCol w:w="940"/>
        <w:gridCol w:w="660"/>
        <w:gridCol w:w="620"/>
        <w:gridCol w:w="560"/>
        <w:gridCol w:w="660"/>
        <w:gridCol w:w="660"/>
        <w:gridCol w:w="580"/>
        <w:gridCol w:w="491"/>
        <w:gridCol w:w="545"/>
        <w:gridCol w:w="545"/>
      </w:tblGrid>
      <w:tr w:rsidR="00066850" w:rsidRPr="00066850">
        <w:trPr>
          <w:trHeight w:val="270"/>
        </w:trPr>
        <w:tc>
          <w:tcPr>
            <w:tcW w:w="440" w:type="dxa"/>
            <w:tcBorders>
              <w:top w:val="nil"/>
              <w:left w:val="nil"/>
              <w:bottom w:val="nil"/>
              <w:right w:val="nil"/>
            </w:tcBorders>
            <w:shd w:val="clear" w:color="auto" w:fill="auto"/>
            <w:noWrap/>
            <w:vAlign w:val="bottom"/>
          </w:tcPr>
          <w:p w:rsidR="00066850" w:rsidRPr="00066850" w:rsidRDefault="00066850" w:rsidP="00066850">
            <w:pPr>
              <w:rPr>
                <w:rFonts w:eastAsia="Times New Roman"/>
                <w:sz w:val="14"/>
                <w:szCs w:val="14"/>
              </w:rPr>
            </w:pPr>
          </w:p>
        </w:tc>
        <w:tc>
          <w:tcPr>
            <w:tcW w:w="940" w:type="dxa"/>
            <w:tcBorders>
              <w:top w:val="nil"/>
              <w:left w:val="nil"/>
              <w:bottom w:val="nil"/>
              <w:right w:val="nil"/>
            </w:tcBorders>
            <w:shd w:val="clear" w:color="auto" w:fill="auto"/>
            <w:noWrap/>
            <w:vAlign w:val="bottom"/>
          </w:tcPr>
          <w:p w:rsidR="00066850" w:rsidRPr="00066850" w:rsidRDefault="00066850" w:rsidP="00066850">
            <w:pPr>
              <w:rPr>
                <w:rFonts w:eastAsia="Times New Roman"/>
                <w:sz w:val="14"/>
                <w:szCs w:val="14"/>
              </w:rPr>
            </w:pP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Ene.</w:t>
            </w:r>
          </w:p>
        </w:tc>
        <w:tc>
          <w:tcPr>
            <w:tcW w:w="62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Feb.</w:t>
            </w:r>
          </w:p>
        </w:tc>
        <w:tc>
          <w:tcPr>
            <w:tcW w:w="56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Marz.</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Abr.</w:t>
            </w:r>
          </w:p>
        </w:tc>
        <w:tc>
          <w:tcPr>
            <w:tcW w:w="66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May.</w:t>
            </w:r>
          </w:p>
        </w:tc>
        <w:tc>
          <w:tcPr>
            <w:tcW w:w="580" w:type="dxa"/>
            <w:tcBorders>
              <w:top w:val="single" w:sz="8" w:space="0" w:color="auto"/>
              <w:left w:val="single" w:sz="8" w:space="0" w:color="auto"/>
              <w:bottom w:val="single" w:sz="8" w:space="0" w:color="auto"/>
              <w:right w:val="nil"/>
            </w:tcBorders>
            <w:shd w:val="clear" w:color="auto" w:fill="auto"/>
            <w:noWrap/>
            <w:vAlign w:val="bottom"/>
          </w:tcPr>
          <w:p w:rsidR="00066850" w:rsidRPr="00066850" w:rsidRDefault="00066850" w:rsidP="00066850">
            <w:pPr>
              <w:rPr>
                <w:rFonts w:eastAsia="Times New Roman"/>
                <w:b/>
                <w:bCs/>
                <w:sz w:val="14"/>
                <w:szCs w:val="14"/>
              </w:rPr>
            </w:pPr>
            <w:r w:rsidRPr="00066850">
              <w:rPr>
                <w:rFonts w:eastAsia="Times New Roman"/>
                <w:b/>
                <w:bCs/>
                <w:sz w:val="14"/>
                <w:szCs w:val="14"/>
              </w:rPr>
              <w:t>Jun.</w:t>
            </w:r>
          </w:p>
        </w:tc>
        <w:tc>
          <w:tcPr>
            <w:tcW w:w="158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Cuartiles</w:t>
            </w:r>
          </w:p>
        </w:tc>
      </w:tr>
      <w:tr w:rsidR="00066850" w:rsidRPr="00066850">
        <w:trPr>
          <w:trHeight w:val="270"/>
        </w:trPr>
        <w:tc>
          <w:tcPr>
            <w:tcW w:w="440" w:type="dxa"/>
            <w:tcBorders>
              <w:top w:val="single" w:sz="8" w:space="0" w:color="auto"/>
              <w:left w:val="single" w:sz="8" w:space="0" w:color="auto"/>
              <w:bottom w:val="nil"/>
              <w:right w:val="single" w:sz="4" w:space="0" w:color="auto"/>
            </w:tcBorders>
            <w:shd w:val="clear" w:color="auto" w:fill="auto"/>
            <w:noWrap/>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Cía.</w:t>
            </w:r>
          </w:p>
        </w:tc>
        <w:tc>
          <w:tcPr>
            <w:tcW w:w="940" w:type="dxa"/>
            <w:tcBorders>
              <w:top w:val="single" w:sz="8" w:space="0" w:color="auto"/>
              <w:left w:val="nil"/>
              <w:bottom w:val="nil"/>
              <w:right w:val="nil"/>
            </w:tcBorders>
            <w:shd w:val="clear" w:color="auto" w:fill="auto"/>
            <w:noWrap/>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BANCOS</w:t>
            </w:r>
          </w:p>
        </w:tc>
        <w:tc>
          <w:tcPr>
            <w:tcW w:w="66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62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56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66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580" w:type="dxa"/>
            <w:tcBorders>
              <w:top w:val="nil"/>
              <w:left w:val="single" w:sz="8" w:space="0" w:color="auto"/>
              <w:bottom w:val="nil"/>
              <w:right w:val="nil"/>
            </w:tcBorders>
            <w:shd w:val="clear" w:color="auto" w:fill="auto"/>
            <w:vAlign w:val="bottom"/>
          </w:tcPr>
          <w:p w:rsidR="00066850" w:rsidRPr="00066850" w:rsidRDefault="00066850" w:rsidP="00066850">
            <w:pPr>
              <w:jc w:val="center"/>
              <w:rPr>
                <w:rFonts w:eastAsia="Times New Roman"/>
                <w:b/>
                <w:bCs/>
                <w:sz w:val="14"/>
                <w:szCs w:val="14"/>
              </w:rPr>
            </w:pPr>
            <w:r w:rsidRPr="00066850">
              <w:rPr>
                <w:rFonts w:eastAsia="Times New Roman"/>
                <w:b/>
                <w:bCs/>
                <w:sz w:val="14"/>
                <w:szCs w:val="14"/>
              </w:rPr>
              <w:t>Dif</w:t>
            </w:r>
          </w:p>
        </w:tc>
        <w:tc>
          <w:tcPr>
            <w:tcW w:w="491" w:type="dxa"/>
            <w:tcBorders>
              <w:top w:val="nil"/>
              <w:left w:val="single" w:sz="8" w:space="0" w:color="auto"/>
              <w:bottom w:val="nil"/>
              <w:right w:val="single" w:sz="4" w:space="0" w:color="auto"/>
            </w:tcBorders>
            <w:shd w:val="clear" w:color="auto" w:fill="auto"/>
            <w:noWrap/>
            <w:vAlign w:val="bottom"/>
          </w:tcPr>
          <w:p w:rsidR="00066850" w:rsidRPr="00066850" w:rsidRDefault="00066850" w:rsidP="00066850">
            <w:pPr>
              <w:jc w:val="right"/>
              <w:rPr>
                <w:rFonts w:eastAsia="Times New Roman"/>
                <w:b/>
                <w:bCs/>
                <w:sz w:val="14"/>
                <w:szCs w:val="14"/>
              </w:rPr>
            </w:pPr>
            <w:r w:rsidRPr="00066850">
              <w:rPr>
                <w:rFonts w:eastAsia="Times New Roman"/>
                <w:b/>
                <w:bCs/>
                <w:sz w:val="14"/>
                <w:szCs w:val="14"/>
              </w:rPr>
              <w:t>25%</w:t>
            </w:r>
          </w:p>
        </w:tc>
        <w:tc>
          <w:tcPr>
            <w:tcW w:w="545" w:type="dxa"/>
            <w:tcBorders>
              <w:top w:val="nil"/>
              <w:left w:val="nil"/>
              <w:bottom w:val="nil"/>
              <w:right w:val="single" w:sz="4" w:space="0" w:color="auto"/>
            </w:tcBorders>
            <w:shd w:val="clear" w:color="auto" w:fill="auto"/>
            <w:noWrap/>
            <w:vAlign w:val="bottom"/>
          </w:tcPr>
          <w:p w:rsidR="00066850" w:rsidRPr="00066850" w:rsidRDefault="00066850" w:rsidP="00066850">
            <w:pPr>
              <w:jc w:val="right"/>
              <w:rPr>
                <w:rFonts w:eastAsia="Times New Roman"/>
                <w:b/>
                <w:bCs/>
                <w:sz w:val="14"/>
                <w:szCs w:val="14"/>
              </w:rPr>
            </w:pPr>
            <w:r w:rsidRPr="00066850">
              <w:rPr>
                <w:rFonts w:eastAsia="Times New Roman"/>
                <w:b/>
                <w:bCs/>
                <w:sz w:val="14"/>
                <w:szCs w:val="14"/>
              </w:rPr>
              <w:t>50%</w:t>
            </w:r>
          </w:p>
        </w:tc>
        <w:tc>
          <w:tcPr>
            <w:tcW w:w="545" w:type="dxa"/>
            <w:tcBorders>
              <w:top w:val="nil"/>
              <w:left w:val="nil"/>
              <w:bottom w:val="nil"/>
              <w:right w:val="single" w:sz="8" w:space="0" w:color="auto"/>
            </w:tcBorders>
            <w:shd w:val="clear" w:color="auto" w:fill="auto"/>
            <w:noWrap/>
            <w:vAlign w:val="bottom"/>
          </w:tcPr>
          <w:p w:rsidR="00066850" w:rsidRPr="00066850" w:rsidRDefault="00066850" w:rsidP="00066850">
            <w:pPr>
              <w:jc w:val="right"/>
              <w:rPr>
                <w:rFonts w:eastAsia="Times New Roman"/>
                <w:b/>
                <w:bCs/>
                <w:sz w:val="14"/>
                <w:szCs w:val="14"/>
              </w:rPr>
            </w:pPr>
            <w:r w:rsidRPr="00066850">
              <w:rPr>
                <w:rFonts w:eastAsia="Times New Roman"/>
                <w:b/>
                <w:bCs/>
                <w:sz w:val="14"/>
                <w:szCs w:val="14"/>
              </w:rPr>
              <w:t>75%</w:t>
            </w:r>
          </w:p>
        </w:tc>
      </w:tr>
      <w:tr w:rsidR="00066850" w:rsidRPr="00066850">
        <w:trPr>
          <w:trHeight w:val="270"/>
        </w:trPr>
        <w:tc>
          <w:tcPr>
            <w:tcW w:w="440" w:type="dxa"/>
            <w:tcBorders>
              <w:top w:val="single" w:sz="4" w:space="0" w:color="auto"/>
              <w:left w:val="single" w:sz="8" w:space="0" w:color="auto"/>
              <w:bottom w:val="single" w:sz="8" w:space="0" w:color="auto"/>
              <w:right w:val="single" w:sz="8" w:space="0" w:color="auto"/>
            </w:tcBorders>
            <w:shd w:val="clear" w:color="auto" w:fill="auto"/>
            <w:vAlign w:val="center"/>
          </w:tcPr>
          <w:p w:rsidR="00066850" w:rsidRDefault="00066850" w:rsidP="00066850">
            <w:pPr>
              <w:jc w:val="center"/>
              <w:rPr>
                <w:rFonts w:eastAsia="Times New Roman"/>
                <w:sz w:val="14"/>
                <w:szCs w:val="14"/>
              </w:rPr>
            </w:pPr>
          </w:p>
          <w:p w:rsidR="00066850" w:rsidRPr="00066850" w:rsidRDefault="00066850" w:rsidP="00066850">
            <w:pPr>
              <w:jc w:val="center"/>
              <w:rPr>
                <w:rFonts w:eastAsia="Times New Roman"/>
                <w:sz w:val="14"/>
                <w:szCs w:val="14"/>
              </w:rPr>
            </w:pPr>
            <w:r w:rsidRPr="00066850">
              <w:rPr>
                <w:rFonts w:eastAsia="Times New Roman"/>
                <w:sz w:val="14"/>
                <w:szCs w:val="14"/>
              </w:rPr>
              <w:t>F.A.</w:t>
            </w:r>
          </w:p>
        </w:tc>
        <w:tc>
          <w:tcPr>
            <w:tcW w:w="940" w:type="dxa"/>
            <w:tcBorders>
              <w:top w:val="single" w:sz="4" w:space="0" w:color="auto"/>
              <w:left w:val="nil"/>
              <w:bottom w:val="single" w:sz="8"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Produfondos</w:t>
            </w:r>
          </w:p>
        </w:tc>
        <w:tc>
          <w:tcPr>
            <w:tcW w:w="660" w:type="dxa"/>
            <w:tcBorders>
              <w:top w:val="nil"/>
              <w:left w:val="nil"/>
              <w:bottom w:val="single" w:sz="8"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50,02</w:t>
            </w:r>
          </w:p>
        </w:tc>
        <w:tc>
          <w:tcPr>
            <w:tcW w:w="620" w:type="dxa"/>
            <w:tcBorders>
              <w:top w:val="nil"/>
              <w:left w:val="nil"/>
              <w:bottom w:val="single" w:sz="8"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51,99</w:t>
            </w:r>
          </w:p>
        </w:tc>
        <w:tc>
          <w:tcPr>
            <w:tcW w:w="560" w:type="dxa"/>
            <w:tcBorders>
              <w:top w:val="nil"/>
              <w:left w:val="nil"/>
              <w:bottom w:val="single" w:sz="8"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1,99</w:t>
            </w:r>
          </w:p>
        </w:tc>
        <w:tc>
          <w:tcPr>
            <w:tcW w:w="660" w:type="dxa"/>
            <w:tcBorders>
              <w:top w:val="nil"/>
              <w:left w:val="nil"/>
              <w:bottom w:val="single" w:sz="8"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0,00</w:t>
            </w:r>
          </w:p>
        </w:tc>
        <w:tc>
          <w:tcPr>
            <w:tcW w:w="660" w:type="dxa"/>
            <w:tcBorders>
              <w:top w:val="nil"/>
              <w:left w:val="nil"/>
              <w:bottom w:val="single" w:sz="8" w:space="0" w:color="auto"/>
              <w:right w:val="single" w:sz="4" w:space="0" w:color="auto"/>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45,57</w:t>
            </w:r>
          </w:p>
        </w:tc>
        <w:tc>
          <w:tcPr>
            <w:tcW w:w="580" w:type="dxa"/>
            <w:tcBorders>
              <w:top w:val="nil"/>
              <w:left w:val="nil"/>
              <w:bottom w:val="single" w:sz="8" w:space="0" w:color="auto"/>
              <w:right w:val="nil"/>
            </w:tcBorders>
            <w:shd w:val="clear" w:color="auto" w:fill="auto"/>
            <w:noWrap/>
            <w:vAlign w:val="bottom"/>
          </w:tcPr>
          <w:p w:rsidR="00066850" w:rsidRPr="00066850" w:rsidRDefault="00066850" w:rsidP="00066850">
            <w:pPr>
              <w:jc w:val="center"/>
              <w:rPr>
                <w:rFonts w:eastAsia="Times New Roman"/>
                <w:sz w:val="14"/>
                <w:szCs w:val="14"/>
              </w:rPr>
            </w:pPr>
            <w:r w:rsidRPr="00066850">
              <w:rPr>
                <w:rFonts w:eastAsia="Times New Roman"/>
                <w:sz w:val="14"/>
                <w:szCs w:val="14"/>
              </w:rPr>
              <w:t>0,00</w:t>
            </w:r>
          </w:p>
        </w:tc>
        <w:tc>
          <w:tcPr>
            <w:tcW w:w="491" w:type="dxa"/>
            <w:tcBorders>
              <w:top w:val="single" w:sz="8" w:space="0" w:color="auto"/>
              <w:left w:val="single" w:sz="8" w:space="0" w:color="auto"/>
              <w:bottom w:val="single" w:sz="8" w:space="0" w:color="auto"/>
              <w:right w:val="single" w:sz="4" w:space="0" w:color="auto"/>
            </w:tcBorders>
            <w:shd w:val="clear" w:color="auto" w:fill="auto"/>
            <w:noWrap/>
            <w:vAlign w:val="bottom"/>
          </w:tcPr>
          <w:p w:rsidR="00066850" w:rsidRPr="00066850" w:rsidRDefault="00066850" w:rsidP="00066850">
            <w:pPr>
              <w:jc w:val="right"/>
              <w:rPr>
                <w:rFonts w:eastAsia="Times New Roman"/>
                <w:sz w:val="14"/>
                <w:szCs w:val="14"/>
              </w:rPr>
            </w:pPr>
            <w:r w:rsidRPr="00066850">
              <w:rPr>
                <w:rFonts w:eastAsia="Times New Roman"/>
                <w:sz w:val="14"/>
                <w:szCs w:val="14"/>
              </w:rPr>
              <w:t>0,50</w:t>
            </w:r>
          </w:p>
        </w:tc>
        <w:tc>
          <w:tcPr>
            <w:tcW w:w="545" w:type="dxa"/>
            <w:tcBorders>
              <w:top w:val="single" w:sz="8" w:space="0" w:color="auto"/>
              <w:left w:val="nil"/>
              <w:bottom w:val="single" w:sz="8" w:space="0" w:color="auto"/>
              <w:right w:val="single" w:sz="4" w:space="0" w:color="auto"/>
            </w:tcBorders>
            <w:shd w:val="clear" w:color="auto" w:fill="auto"/>
            <w:noWrap/>
            <w:vAlign w:val="bottom"/>
          </w:tcPr>
          <w:p w:rsidR="00066850" w:rsidRPr="00066850" w:rsidRDefault="00066850" w:rsidP="00066850">
            <w:pPr>
              <w:jc w:val="right"/>
              <w:rPr>
                <w:rFonts w:eastAsia="Times New Roman"/>
                <w:sz w:val="14"/>
                <w:szCs w:val="14"/>
              </w:rPr>
            </w:pPr>
            <w:r w:rsidRPr="00066850">
              <w:rPr>
                <w:rFonts w:eastAsia="Times New Roman"/>
                <w:sz w:val="14"/>
                <w:szCs w:val="14"/>
              </w:rPr>
              <w:t>23,78</w:t>
            </w:r>
          </w:p>
        </w:tc>
        <w:tc>
          <w:tcPr>
            <w:tcW w:w="545" w:type="dxa"/>
            <w:tcBorders>
              <w:top w:val="single" w:sz="8" w:space="0" w:color="auto"/>
              <w:left w:val="nil"/>
              <w:bottom w:val="single" w:sz="8" w:space="0" w:color="auto"/>
              <w:right w:val="single" w:sz="4" w:space="0" w:color="auto"/>
            </w:tcBorders>
            <w:shd w:val="clear" w:color="auto" w:fill="auto"/>
            <w:noWrap/>
            <w:vAlign w:val="bottom"/>
          </w:tcPr>
          <w:p w:rsidR="00066850" w:rsidRPr="00066850" w:rsidRDefault="00066850" w:rsidP="00066850">
            <w:pPr>
              <w:jc w:val="right"/>
              <w:rPr>
                <w:rFonts w:eastAsia="Times New Roman"/>
                <w:sz w:val="14"/>
                <w:szCs w:val="14"/>
              </w:rPr>
            </w:pPr>
            <w:r w:rsidRPr="00066850">
              <w:rPr>
                <w:rFonts w:eastAsia="Times New Roman"/>
                <w:sz w:val="14"/>
                <w:szCs w:val="14"/>
              </w:rPr>
              <w:t>48,91</w:t>
            </w:r>
          </w:p>
        </w:tc>
      </w:tr>
    </w:tbl>
    <w:p w:rsidR="00CC1C75" w:rsidRDefault="00CC1C75" w:rsidP="00CC1C75">
      <w:pPr>
        <w:spacing w:line="480" w:lineRule="auto"/>
        <w:ind w:left="360"/>
        <w:jc w:val="both"/>
        <w:rPr>
          <w:rFonts w:ascii="Arial" w:hAnsi="Arial" w:cs="Arial"/>
          <w:b/>
        </w:rPr>
      </w:pPr>
    </w:p>
    <w:p w:rsidR="00CC1C75" w:rsidRDefault="00CC1C75" w:rsidP="00CC1C75">
      <w:pPr>
        <w:spacing w:line="480" w:lineRule="auto"/>
        <w:ind w:left="360"/>
        <w:jc w:val="both"/>
        <w:rPr>
          <w:rFonts w:ascii="Arial" w:hAnsi="Arial" w:cs="Arial"/>
          <w:b/>
        </w:rPr>
      </w:pPr>
    </w:p>
    <w:p w:rsidR="00CC1C75" w:rsidRDefault="00CC1C75" w:rsidP="00CC1C75">
      <w:pPr>
        <w:autoSpaceDE w:val="0"/>
        <w:autoSpaceDN w:val="0"/>
        <w:adjustRightInd w:val="0"/>
        <w:spacing w:line="480" w:lineRule="auto"/>
        <w:ind w:left="709"/>
        <w:jc w:val="both"/>
        <w:rPr>
          <w:rFonts w:ascii="Arial" w:hAnsi="Arial" w:cs="Arial"/>
          <w:color w:val="000000"/>
        </w:rPr>
      </w:pPr>
      <w:r>
        <w:rPr>
          <w:rFonts w:ascii="Arial" w:hAnsi="Arial" w:cs="Arial"/>
          <w:color w:val="000000"/>
        </w:rPr>
        <w:t>El primer cuartil nos indica que el 25% de las diferencias de las conciliaciones bancarias durante los primeros 6 meses de la compañía  son inferiores a $0.50; lo que quiere decir que el 75% de las diferencias, son superiores al valor antes mencionado.</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CC1C75">
      <w:pPr>
        <w:autoSpaceDE w:val="0"/>
        <w:autoSpaceDN w:val="0"/>
        <w:adjustRightInd w:val="0"/>
        <w:spacing w:line="480" w:lineRule="auto"/>
        <w:ind w:left="709"/>
        <w:jc w:val="both"/>
        <w:rPr>
          <w:rFonts w:ascii="Arial" w:hAnsi="Arial" w:cs="Arial"/>
          <w:color w:val="000000"/>
        </w:rPr>
      </w:pPr>
      <w:r>
        <w:rPr>
          <w:rFonts w:ascii="Arial" w:hAnsi="Arial" w:cs="Arial"/>
          <w:color w:val="000000"/>
        </w:rPr>
        <w:t xml:space="preserve">En el segundo cuartil podemos observar que la mitad de los valores  están por debajo de $ 23.78. </w:t>
      </w:r>
    </w:p>
    <w:p w:rsidR="00CC1C75" w:rsidRDefault="00CC1C75" w:rsidP="00CC1C75">
      <w:pPr>
        <w:autoSpaceDE w:val="0"/>
        <w:autoSpaceDN w:val="0"/>
        <w:adjustRightInd w:val="0"/>
        <w:spacing w:line="480" w:lineRule="auto"/>
        <w:ind w:left="720"/>
        <w:jc w:val="both"/>
        <w:rPr>
          <w:rFonts w:ascii="Arial" w:hAnsi="Arial" w:cs="Arial"/>
          <w:color w:val="000000"/>
        </w:rPr>
      </w:pPr>
      <w:r>
        <w:rPr>
          <w:rFonts w:ascii="Arial" w:hAnsi="Arial" w:cs="Arial"/>
          <w:color w:val="000000"/>
        </w:rPr>
        <w:lastRenderedPageBreak/>
        <w:t>El tercer cuartil nos indica que el 75% de las diferencias de las conciliaciones bancarias son inferiores a $48.91; es decir que el 25% restante son superiores a ese valor.</w:t>
      </w:r>
    </w:p>
    <w:p w:rsidR="00CC1C75" w:rsidRPr="00E36070" w:rsidRDefault="00CC1C75" w:rsidP="00E36070">
      <w:pPr>
        <w:pStyle w:val="Ttulo3"/>
        <w:spacing w:before="0" w:after="0" w:line="480" w:lineRule="auto"/>
        <w:ind w:left="720"/>
        <w:jc w:val="both"/>
        <w:rPr>
          <w:sz w:val="24"/>
        </w:rPr>
      </w:pPr>
    </w:p>
    <w:p w:rsidR="00CC1C75" w:rsidRDefault="00CC1C75" w:rsidP="00E36070">
      <w:pPr>
        <w:pStyle w:val="Ttulo3"/>
        <w:tabs>
          <w:tab w:val="clear" w:pos="2160"/>
          <w:tab w:val="left" w:pos="720"/>
        </w:tabs>
        <w:spacing w:before="0" w:after="0" w:line="480" w:lineRule="auto"/>
        <w:ind w:left="720"/>
        <w:jc w:val="both"/>
        <w:rPr>
          <w:sz w:val="24"/>
        </w:rPr>
      </w:pPr>
      <w:bookmarkStart w:id="917" w:name="_Toc183697556"/>
      <w:bookmarkStart w:id="918" w:name="_Toc183698886"/>
      <w:bookmarkStart w:id="919" w:name="_Toc183699227"/>
      <w:bookmarkStart w:id="920" w:name="_Toc183699439"/>
      <w:bookmarkStart w:id="921" w:name="_Toc183699912"/>
      <w:bookmarkStart w:id="922" w:name="_Toc183700185"/>
      <w:bookmarkStart w:id="923" w:name="_Toc183700695"/>
      <w:bookmarkStart w:id="924" w:name="_Toc183700947"/>
      <w:r w:rsidRPr="00E36070">
        <w:rPr>
          <w:sz w:val="24"/>
        </w:rPr>
        <w:t>2.3.29 Análisis de los valores de  las diferencias entre los saldos de las conciliaciones bancarias y los saldos de libros del primer semestre del año 2007 mediante series de tiempo. Compañía F.A.</w:t>
      </w:r>
      <w:bookmarkEnd w:id="917"/>
      <w:bookmarkEnd w:id="918"/>
      <w:bookmarkEnd w:id="919"/>
      <w:bookmarkEnd w:id="920"/>
      <w:bookmarkEnd w:id="921"/>
      <w:bookmarkEnd w:id="922"/>
      <w:bookmarkEnd w:id="923"/>
      <w:bookmarkEnd w:id="924"/>
    </w:p>
    <w:p w:rsidR="006B2A99" w:rsidRDefault="006B2A99" w:rsidP="006B2A99"/>
    <w:p w:rsidR="006B2A99" w:rsidRPr="006B2A99" w:rsidRDefault="006B2A99" w:rsidP="006B2A99"/>
    <w:p w:rsidR="006B2A99" w:rsidRPr="006B2A99" w:rsidRDefault="006B2A99" w:rsidP="006B2A99">
      <w:pPr>
        <w:pStyle w:val="Ttulo1"/>
        <w:spacing w:line="480" w:lineRule="auto"/>
        <w:ind w:left="720"/>
        <w:jc w:val="center"/>
        <w:rPr>
          <w:rFonts w:ascii="Arial" w:hAnsi="Arial" w:cs="Arial"/>
          <w:b w:val="0"/>
        </w:rPr>
      </w:pPr>
      <w:bookmarkStart w:id="925" w:name="_Toc183697557"/>
      <w:bookmarkStart w:id="926" w:name="_Toc183698887"/>
      <w:bookmarkStart w:id="927" w:name="_Toc183699228"/>
      <w:bookmarkStart w:id="928" w:name="_Toc183699440"/>
      <w:bookmarkStart w:id="929" w:name="_Toc183699913"/>
      <w:bookmarkStart w:id="930" w:name="_Toc183700186"/>
      <w:bookmarkStart w:id="931" w:name="_Toc183700696"/>
      <w:bookmarkStart w:id="932" w:name="_Toc183700948"/>
      <w:r w:rsidRPr="006B2A99">
        <w:rPr>
          <w:rFonts w:ascii="Arial" w:hAnsi="Arial" w:cs="Arial"/>
        </w:rPr>
        <w:t xml:space="preserve">Tabla XV. </w:t>
      </w:r>
      <w:r w:rsidRPr="006B2A99">
        <w:rPr>
          <w:rFonts w:ascii="Arial" w:hAnsi="Arial" w:cs="Arial"/>
          <w:b w:val="0"/>
        </w:rPr>
        <w:t>Diferencias de la compañía F.A.</w:t>
      </w:r>
      <w:bookmarkEnd w:id="925"/>
      <w:bookmarkEnd w:id="926"/>
      <w:bookmarkEnd w:id="927"/>
      <w:bookmarkEnd w:id="928"/>
      <w:bookmarkEnd w:id="929"/>
      <w:bookmarkEnd w:id="930"/>
      <w:bookmarkEnd w:id="931"/>
      <w:bookmarkEnd w:id="932"/>
    </w:p>
    <w:p w:rsidR="00CC1C75" w:rsidRDefault="00CC1C75" w:rsidP="00CC1C75">
      <w:pPr>
        <w:jc w:val="center"/>
      </w:pPr>
    </w:p>
    <w:tbl>
      <w:tblPr>
        <w:tblW w:w="3600" w:type="dxa"/>
        <w:tblInd w:w="2705" w:type="dxa"/>
        <w:tblCellMar>
          <w:left w:w="0" w:type="dxa"/>
          <w:right w:w="0" w:type="dxa"/>
        </w:tblCellMar>
        <w:tblLook w:val="0000"/>
      </w:tblPr>
      <w:tblGrid>
        <w:gridCol w:w="1200"/>
        <w:gridCol w:w="1160"/>
        <w:gridCol w:w="1240"/>
      </w:tblGrid>
      <w:tr w:rsidR="00CC1C75">
        <w:trPr>
          <w:trHeight w:val="255"/>
        </w:trPr>
        <w:tc>
          <w:tcPr>
            <w:tcW w:w="1200" w:type="dxa"/>
            <w:tcBorders>
              <w:top w:val="single" w:sz="4" w:space="0" w:color="auto"/>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 </w:t>
            </w:r>
          </w:p>
        </w:tc>
        <w:tc>
          <w:tcPr>
            <w:tcW w:w="2400" w:type="dxa"/>
            <w:gridSpan w:val="2"/>
            <w:tcBorders>
              <w:top w:val="single" w:sz="4" w:space="0" w:color="auto"/>
              <w:left w:val="nil"/>
              <w:bottom w:val="single" w:sz="4" w:space="0" w:color="auto"/>
              <w:right w:val="single" w:sz="4" w:space="0" w:color="auto"/>
            </w:tcBorders>
            <w:vAlign w:val="center"/>
          </w:tcPr>
          <w:p w:rsidR="00CC1C75" w:rsidRDefault="00CC1C75" w:rsidP="00CC1C75">
            <w:pPr>
              <w:jc w:val="center"/>
              <w:rPr>
                <w:rFonts w:eastAsia="Arial Unicode MS"/>
                <w:sz w:val="16"/>
                <w:szCs w:val="16"/>
              </w:rPr>
            </w:pPr>
            <w:r>
              <w:rPr>
                <w:sz w:val="16"/>
                <w:szCs w:val="16"/>
              </w:rPr>
              <w:t>F.A.</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16"/>
                <w:szCs w:val="16"/>
              </w:rPr>
            </w:pPr>
            <w:r>
              <w:rPr>
                <w:sz w:val="16"/>
                <w:szCs w:val="16"/>
              </w:rPr>
              <w:t>Produbanco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16"/>
                <w:szCs w:val="16"/>
              </w:rPr>
            </w:pPr>
            <w:r>
              <w:rPr>
                <w:sz w:val="16"/>
                <w:szCs w:val="16"/>
              </w:rPr>
              <w:t>Produfondos</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ENERO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203,05</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50,02</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FEBRERO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4,05</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51,99</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MARZO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3,05</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1,99</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ABRIL</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3,05</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MAYO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50,00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45,57</w:t>
            </w:r>
          </w:p>
        </w:tc>
      </w:tr>
      <w:tr w:rsidR="00CC1C75">
        <w:trPr>
          <w:trHeight w:val="255"/>
        </w:trPr>
        <w:tc>
          <w:tcPr>
            <w:tcW w:w="0" w:type="auto"/>
            <w:tcBorders>
              <w:top w:val="nil"/>
              <w:left w:val="single" w:sz="4"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JUNIO</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c>
          <w:tcPr>
            <w:tcW w:w="0" w:type="auto"/>
            <w:tcBorders>
              <w:top w:val="nil"/>
              <w:left w:val="nil"/>
              <w:bottom w:val="single" w:sz="4" w:space="0" w:color="auto"/>
              <w:right w:val="single" w:sz="4" w:space="0" w:color="auto"/>
            </w:tcBorders>
            <w:noWrap/>
            <w:vAlign w:val="bottom"/>
          </w:tcPr>
          <w:p w:rsidR="00CC1C75" w:rsidRDefault="00CC1C75" w:rsidP="00CC1C75">
            <w:pPr>
              <w:jc w:val="center"/>
              <w:rPr>
                <w:rFonts w:eastAsia="Arial Unicode MS"/>
                <w:sz w:val="20"/>
                <w:szCs w:val="20"/>
              </w:rPr>
            </w:pPr>
            <w:r>
              <w:rPr>
                <w:sz w:val="20"/>
                <w:szCs w:val="20"/>
              </w:rPr>
              <w:t>0,00</w:t>
            </w:r>
          </w:p>
        </w:tc>
      </w:tr>
    </w:tbl>
    <w:p w:rsidR="00CC1C75" w:rsidRDefault="00CC1C75" w:rsidP="00CC1C75">
      <w:pPr>
        <w:jc w:val="center"/>
      </w:pPr>
    </w:p>
    <w:p w:rsidR="00CC1C75" w:rsidRDefault="00B04CD6" w:rsidP="0074208D">
      <w:pPr>
        <w:ind w:left="720"/>
        <w:jc w:val="center"/>
      </w:pPr>
      <w:r>
        <w:rPr>
          <w:noProof/>
        </w:rPr>
        <w:drawing>
          <wp:inline distT="0" distB="0" distL="0" distR="0">
            <wp:extent cx="3797300" cy="224790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C1C75" w:rsidRPr="0074208D" w:rsidRDefault="00CC1C75" w:rsidP="0074208D">
      <w:pPr>
        <w:pStyle w:val="Ttulo1"/>
        <w:spacing w:line="480" w:lineRule="auto"/>
        <w:ind w:left="720"/>
        <w:jc w:val="center"/>
        <w:rPr>
          <w:rFonts w:ascii="Arial" w:hAnsi="Arial" w:cs="Arial"/>
          <w:b w:val="0"/>
        </w:rPr>
      </w:pPr>
      <w:bookmarkStart w:id="933" w:name="_Toc183697558"/>
      <w:bookmarkStart w:id="934" w:name="_Toc183698888"/>
      <w:bookmarkStart w:id="935" w:name="_Toc183699229"/>
      <w:bookmarkStart w:id="936" w:name="_Toc183699441"/>
      <w:bookmarkStart w:id="937" w:name="_Toc183699914"/>
      <w:bookmarkStart w:id="938" w:name="_Toc183700187"/>
      <w:bookmarkStart w:id="939" w:name="_Toc183700697"/>
      <w:bookmarkStart w:id="940" w:name="_Toc183700949"/>
      <w:r w:rsidRPr="0074208D">
        <w:rPr>
          <w:rFonts w:ascii="Arial" w:hAnsi="Arial" w:cs="Arial"/>
        </w:rPr>
        <w:t>Gráfico 2.21</w:t>
      </w:r>
      <w:r w:rsidR="002B7BBF">
        <w:rPr>
          <w:rFonts w:ascii="Arial" w:hAnsi="Arial" w:cs="Arial"/>
        </w:rPr>
        <w:t>.</w:t>
      </w:r>
      <w:r w:rsidRPr="0074208D">
        <w:rPr>
          <w:rFonts w:ascii="Arial" w:hAnsi="Arial" w:cs="Arial"/>
        </w:rPr>
        <w:t xml:space="preserve"> </w:t>
      </w:r>
      <w:r w:rsidRPr="0074208D">
        <w:rPr>
          <w:rFonts w:ascii="Arial" w:hAnsi="Arial" w:cs="Arial"/>
          <w:b w:val="0"/>
        </w:rPr>
        <w:t>Gráfica temporal de la compañía F.A.</w:t>
      </w:r>
      <w:bookmarkEnd w:id="933"/>
      <w:bookmarkEnd w:id="934"/>
      <w:bookmarkEnd w:id="935"/>
      <w:bookmarkEnd w:id="936"/>
      <w:bookmarkEnd w:id="937"/>
      <w:bookmarkEnd w:id="938"/>
      <w:bookmarkEnd w:id="939"/>
      <w:bookmarkEnd w:id="940"/>
    </w:p>
    <w:p w:rsidR="00CC1C75" w:rsidRDefault="00CC1C75" w:rsidP="00CC1C75">
      <w:pPr>
        <w:jc w:val="center"/>
      </w:pPr>
    </w:p>
    <w:p w:rsidR="00CC1C75" w:rsidRDefault="00CC1C75" w:rsidP="00CC1C75">
      <w:pPr>
        <w:spacing w:line="480" w:lineRule="auto"/>
        <w:ind w:left="708"/>
        <w:jc w:val="both"/>
        <w:rPr>
          <w:rFonts w:ascii="Arial" w:hAnsi="Arial" w:cs="Arial"/>
        </w:rPr>
      </w:pPr>
      <w:r>
        <w:rPr>
          <w:rFonts w:ascii="Arial" w:hAnsi="Arial" w:cs="Arial"/>
        </w:rPr>
        <w:lastRenderedPageBreak/>
        <w:t>Con esta gráfica se quería demostrar si el mes tiene que ver con las diferencias que se presentan pero como podemos observar en esta compañía en el mes de enero es el que tiene mayor diferencia y esto no ocurre con la diferencia del banco del Produbanco para el mismo mes por lo que descartamos que el mes tenga que ver con las diferencias obtenidas, sin embargo en este caso el los meses de marzo hasta junio se puede observar que si tienen relación las diferencias de las conciliaciones para estos bancos en esta compañía, más adelante en el gráfico 2.24 podremos observar la gráfica de serie temporal para todas las compañías y así podremos observar de una forma global.</w:t>
      </w:r>
    </w:p>
    <w:p w:rsidR="00CC1C75" w:rsidRDefault="00CC1C75" w:rsidP="00CC1C75">
      <w:pPr>
        <w:spacing w:line="480" w:lineRule="auto"/>
        <w:jc w:val="both"/>
        <w:rPr>
          <w:rFonts w:ascii="Arial" w:hAnsi="Arial" w:cs="Arial"/>
        </w:rPr>
      </w:pPr>
    </w:p>
    <w:p w:rsidR="00CC1C75" w:rsidRPr="007308D7" w:rsidRDefault="00CC1C75" w:rsidP="007308D7">
      <w:pPr>
        <w:pStyle w:val="Ttulo2"/>
        <w:spacing w:before="0" w:after="0" w:line="480" w:lineRule="auto"/>
        <w:ind w:left="360"/>
        <w:jc w:val="both"/>
        <w:rPr>
          <w:bCs w:val="0"/>
          <w:i w:val="0"/>
          <w:iCs w:val="0"/>
          <w:sz w:val="24"/>
        </w:rPr>
      </w:pPr>
      <w:bookmarkStart w:id="941" w:name="_Toc183697559"/>
      <w:bookmarkStart w:id="942" w:name="_Toc183698889"/>
      <w:bookmarkStart w:id="943" w:name="_Toc183699230"/>
      <w:bookmarkStart w:id="944" w:name="_Toc183699442"/>
      <w:bookmarkStart w:id="945" w:name="_Toc183699915"/>
      <w:bookmarkStart w:id="946" w:name="_Toc183700188"/>
      <w:bookmarkStart w:id="947" w:name="_Toc183700698"/>
      <w:bookmarkStart w:id="948" w:name="_Toc183700950"/>
      <w:r w:rsidRPr="007308D7">
        <w:rPr>
          <w:bCs w:val="0"/>
          <w:i w:val="0"/>
          <w:iCs w:val="0"/>
          <w:sz w:val="24"/>
        </w:rPr>
        <w:t>2.4 Análisis de los saldos de las conciliaciones bancarias con los saldos de libros del primer semestre del año 2007 mediante diagramas de barras. Todas las Compañías.</w:t>
      </w:r>
      <w:bookmarkEnd w:id="941"/>
      <w:bookmarkEnd w:id="942"/>
      <w:bookmarkEnd w:id="943"/>
      <w:bookmarkEnd w:id="944"/>
      <w:bookmarkEnd w:id="945"/>
      <w:bookmarkEnd w:id="946"/>
      <w:bookmarkEnd w:id="947"/>
      <w:bookmarkEnd w:id="948"/>
    </w:p>
    <w:p w:rsidR="00CC1C75" w:rsidRDefault="00CC1C75" w:rsidP="00CC1C75">
      <w:pPr>
        <w:spacing w:line="480" w:lineRule="auto"/>
        <w:ind w:left="709"/>
        <w:jc w:val="both"/>
        <w:rPr>
          <w:rFonts w:ascii="Arial" w:hAnsi="Arial" w:cs="Arial"/>
        </w:rPr>
      </w:pPr>
    </w:p>
    <w:p w:rsidR="00CC1C75" w:rsidRDefault="00CC1C75" w:rsidP="00CC1C75">
      <w:pPr>
        <w:spacing w:line="480" w:lineRule="auto"/>
        <w:ind w:left="709"/>
        <w:jc w:val="both"/>
        <w:rPr>
          <w:rFonts w:ascii="Arial" w:hAnsi="Arial" w:cs="Arial"/>
        </w:rPr>
      </w:pPr>
      <w:r>
        <w:rPr>
          <w:rFonts w:ascii="Arial" w:hAnsi="Arial" w:cs="Arial"/>
        </w:rPr>
        <w:t>Para este caso, el gráfico es el siguiente:</w:t>
      </w:r>
    </w:p>
    <w:p w:rsidR="00CC1C75" w:rsidRDefault="00CC1C75" w:rsidP="00CC1C75"/>
    <w:p w:rsidR="00CC1C75" w:rsidRDefault="00CC1C75" w:rsidP="00CC1C75"/>
    <w:p w:rsidR="00CC1C75" w:rsidRDefault="00B04CD6" w:rsidP="00CC1C75">
      <w:pPr>
        <w:jc w:val="center"/>
      </w:pPr>
      <w:r>
        <w:rPr>
          <w:noProof/>
        </w:rPr>
        <w:lastRenderedPageBreak/>
        <w:drawing>
          <wp:inline distT="0" distB="0" distL="0" distR="0">
            <wp:extent cx="4140200" cy="355600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C1C75" w:rsidRDefault="00CC1C75" w:rsidP="00CC1C75">
      <w:pPr>
        <w:jc w:val="center"/>
      </w:pPr>
    </w:p>
    <w:p w:rsidR="00CC1C75" w:rsidRDefault="00CC1C75" w:rsidP="0074208D">
      <w:pPr>
        <w:jc w:val="center"/>
      </w:pPr>
    </w:p>
    <w:p w:rsidR="00CC1C75" w:rsidRPr="0074208D" w:rsidRDefault="00CC1C75" w:rsidP="0074208D">
      <w:pPr>
        <w:pStyle w:val="Ttulo1"/>
        <w:spacing w:line="480" w:lineRule="auto"/>
        <w:ind w:left="360"/>
        <w:jc w:val="center"/>
        <w:rPr>
          <w:rFonts w:ascii="Arial" w:hAnsi="Arial" w:cs="Arial"/>
          <w:b w:val="0"/>
        </w:rPr>
      </w:pPr>
      <w:bookmarkStart w:id="949" w:name="_Toc183697560"/>
      <w:bookmarkStart w:id="950" w:name="_Toc183698890"/>
      <w:bookmarkStart w:id="951" w:name="_Toc183699231"/>
      <w:bookmarkStart w:id="952" w:name="_Toc183699443"/>
      <w:bookmarkStart w:id="953" w:name="_Toc183699916"/>
      <w:bookmarkStart w:id="954" w:name="_Toc183700189"/>
      <w:bookmarkStart w:id="955" w:name="_Toc183700699"/>
      <w:bookmarkStart w:id="956" w:name="_Toc183700951"/>
      <w:r w:rsidRPr="0074208D">
        <w:rPr>
          <w:rFonts w:ascii="Arial" w:hAnsi="Arial" w:cs="Arial"/>
          <w:bCs w:val="0"/>
        </w:rPr>
        <w:t>Gráfico 2.22</w:t>
      </w:r>
      <w:r w:rsidR="002B7BBF">
        <w:rPr>
          <w:rFonts w:ascii="Arial" w:hAnsi="Arial" w:cs="Arial"/>
          <w:bCs w:val="0"/>
        </w:rPr>
        <w:t>.</w:t>
      </w:r>
      <w:r w:rsidRPr="0074208D">
        <w:rPr>
          <w:rFonts w:ascii="Arial" w:hAnsi="Arial" w:cs="Arial"/>
        </w:rPr>
        <w:t xml:space="preserve"> </w:t>
      </w:r>
      <w:r w:rsidRPr="0074208D">
        <w:rPr>
          <w:rFonts w:ascii="Arial" w:hAnsi="Arial" w:cs="Arial"/>
          <w:b w:val="0"/>
        </w:rPr>
        <w:t>Diagrama de barra. Compañías seleccionadas con sus diferencias.</w:t>
      </w:r>
      <w:bookmarkEnd w:id="949"/>
      <w:bookmarkEnd w:id="950"/>
      <w:bookmarkEnd w:id="951"/>
      <w:bookmarkEnd w:id="952"/>
      <w:bookmarkEnd w:id="953"/>
      <w:bookmarkEnd w:id="954"/>
      <w:bookmarkEnd w:id="955"/>
      <w:bookmarkEnd w:id="956"/>
    </w:p>
    <w:p w:rsidR="00CC1C75" w:rsidRDefault="00CC1C75" w:rsidP="00CC1C75"/>
    <w:p w:rsidR="00CC1C75" w:rsidRDefault="00CC1C75" w:rsidP="00CC1C75">
      <w:pPr>
        <w:jc w:val="both"/>
        <w:rPr>
          <w:rFonts w:ascii="Arial" w:hAnsi="Arial" w:cs="Arial"/>
        </w:rPr>
      </w:pPr>
    </w:p>
    <w:p w:rsidR="00CC1C75" w:rsidRDefault="00CC1C75" w:rsidP="00CC1C75">
      <w:pPr>
        <w:spacing w:line="480" w:lineRule="auto"/>
        <w:ind w:left="360"/>
        <w:jc w:val="both"/>
        <w:rPr>
          <w:rFonts w:ascii="Arial" w:hAnsi="Arial" w:cs="Arial"/>
        </w:rPr>
      </w:pPr>
      <w:r>
        <w:rPr>
          <w:rFonts w:ascii="Arial" w:hAnsi="Arial" w:cs="Arial"/>
        </w:rPr>
        <w:t xml:space="preserve">En esta gráfica podemos observar que la compañía que presenta mayor diferencia en los saldos de las conciliaciones bancarias es </w:t>
      </w:r>
      <w:smartTag w:uri="urn:schemas-microsoft-com:office:smarttags" w:element="PersonName">
        <w:smartTagPr>
          <w:attr w:name="ProductID" w:val="la M.O."/>
        </w:smartTagPr>
        <w:r>
          <w:rPr>
            <w:rFonts w:ascii="Arial" w:hAnsi="Arial" w:cs="Arial"/>
          </w:rPr>
          <w:t>la M.O.</w:t>
        </w:r>
      </w:smartTag>
      <w:r>
        <w:rPr>
          <w:rFonts w:ascii="Arial" w:hAnsi="Arial" w:cs="Arial"/>
        </w:rPr>
        <w:t xml:space="preserve"> en el banco Produbanco, seguida de la compañía SER en el mismo banco y así también tenemos a M.I. entre las compañías que presentan mayores diferencias, por lo que nos indica que los problemas se presentan en el banco Produbanco.</w:t>
      </w:r>
    </w:p>
    <w:p w:rsidR="00CC1C75" w:rsidRDefault="00CC1C75" w:rsidP="00CC1C75">
      <w:pPr>
        <w:jc w:val="center"/>
      </w:pPr>
    </w:p>
    <w:p w:rsidR="00CC1C75" w:rsidRPr="0074208D" w:rsidRDefault="00CC1C75" w:rsidP="0074208D">
      <w:pPr>
        <w:tabs>
          <w:tab w:val="left" w:pos="851"/>
        </w:tabs>
        <w:spacing w:line="480" w:lineRule="auto"/>
        <w:ind w:left="851"/>
        <w:jc w:val="both"/>
        <w:rPr>
          <w:rFonts w:ascii="Arial" w:hAnsi="Arial" w:cs="Arial"/>
          <w:b/>
        </w:rPr>
      </w:pPr>
    </w:p>
    <w:p w:rsidR="00CC1C75" w:rsidRPr="007308D7" w:rsidRDefault="00CC1C75" w:rsidP="007308D7">
      <w:pPr>
        <w:pStyle w:val="Ttulo2"/>
        <w:spacing w:before="0" w:after="0" w:line="480" w:lineRule="auto"/>
        <w:ind w:left="360"/>
        <w:jc w:val="both"/>
        <w:rPr>
          <w:bCs w:val="0"/>
          <w:i w:val="0"/>
          <w:iCs w:val="0"/>
          <w:sz w:val="24"/>
        </w:rPr>
      </w:pPr>
      <w:bookmarkStart w:id="957" w:name="_Toc183697561"/>
      <w:bookmarkStart w:id="958" w:name="_Toc183698891"/>
      <w:bookmarkStart w:id="959" w:name="_Toc183699232"/>
      <w:bookmarkStart w:id="960" w:name="_Toc183699444"/>
      <w:bookmarkStart w:id="961" w:name="_Toc183699917"/>
      <w:bookmarkStart w:id="962" w:name="_Toc183700190"/>
      <w:bookmarkStart w:id="963" w:name="_Toc183700700"/>
      <w:bookmarkStart w:id="964" w:name="_Toc183700952"/>
      <w:r w:rsidRPr="007308D7">
        <w:rPr>
          <w:bCs w:val="0"/>
          <w:i w:val="0"/>
          <w:iCs w:val="0"/>
          <w:sz w:val="24"/>
        </w:rPr>
        <w:lastRenderedPageBreak/>
        <w:t>2.5 Análisis aplicado de las diferencias generales de las compañías entre los saldos de las conciliaciones bancarias y los saldos de libros del primer semestre del año 2007 mediante diagrama de pastel.</w:t>
      </w:r>
      <w:bookmarkEnd w:id="957"/>
      <w:bookmarkEnd w:id="958"/>
      <w:bookmarkEnd w:id="959"/>
      <w:bookmarkEnd w:id="960"/>
      <w:bookmarkEnd w:id="961"/>
      <w:bookmarkEnd w:id="962"/>
      <w:bookmarkEnd w:id="963"/>
      <w:bookmarkEnd w:id="964"/>
    </w:p>
    <w:p w:rsidR="00CC1C75" w:rsidRDefault="00CC1C75" w:rsidP="00CC1C75">
      <w:pPr>
        <w:spacing w:line="480" w:lineRule="auto"/>
        <w:ind w:left="900"/>
        <w:jc w:val="both"/>
        <w:rPr>
          <w:rFonts w:ascii="Arial" w:hAnsi="Arial" w:cs="Arial"/>
        </w:rPr>
      </w:pPr>
      <w:r w:rsidRPr="004C1D69">
        <w:rPr>
          <w:rFonts w:ascii="Arial" w:hAnsi="Arial" w:cs="Arial"/>
        </w:rPr>
        <w:t>En la siguiente tabla se observa el valor en dólares de las diferencias que tienen cada compañía.</w:t>
      </w:r>
    </w:p>
    <w:p w:rsidR="00E44F69" w:rsidRPr="00E44F69" w:rsidRDefault="00E44F69" w:rsidP="00E44F69">
      <w:pPr>
        <w:pStyle w:val="Ttulo1"/>
        <w:spacing w:line="480" w:lineRule="auto"/>
        <w:ind w:left="902"/>
        <w:jc w:val="center"/>
        <w:rPr>
          <w:rFonts w:ascii="Arial" w:hAnsi="Arial" w:cs="Arial"/>
          <w:b w:val="0"/>
        </w:rPr>
      </w:pPr>
      <w:bookmarkStart w:id="965" w:name="_Toc183697562"/>
      <w:bookmarkStart w:id="966" w:name="_Toc183698892"/>
      <w:bookmarkStart w:id="967" w:name="_Toc183699233"/>
      <w:bookmarkStart w:id="968" w:name="_Toc183699445"/>
      <w:bookmarkStart w:id="969" w:name="_Toc183699918"/>
      <w:bookmarkStart w:id="970" w:name="_Toc183700191"/>
      <w:bookmarkStart w:id="971" w:name="_Toc183700701"/>
      <w:bookmarkStart w:id="972" w:name="_Toc183700953"/>
      <w:r w:rsidRPr="00E44F69">
        <w:rPr>
          <w:rFonts w:ascii="Arial" w:hAnsi="Arial" w:cs="Arial"/>
        </w:rPr>
        <w:t xml:space="preserve">Tabla XVI. </w:t>
      </w:r>
      <w:r w:rsidRPr="00E44F69">
        <w:rPr>
          <w:rFonts w:ascii="Arial" w:hAnsi="Arial" w:cs="Arial"/>
          <w:b w:val="0"/>
        </w:rPr>
        <w:t>Compañías seleccionadas con sus diferencias totales.</w:t>
      </w:r>
      <w:bookmarkEnd w:id="965"/>
      <w:bookmarkEnd w:id="966"/>
      <w:bookmarkEnd w:id="967"/>
      <w:bookmarkEnd w:id="968"/>
      <w:bookmarkEnd w:id="969"/>
      <w:bookmarkEnd w:id="970"/>
      <w:bookmarkEnd w:id="971"/>
      <w:bookmarkEnd w:id="972"/>
    </w:p>
    <w:tbl>
      <w:tblPr>
        <w:tblW w:w="4748" w:type="dxa"/>
        <w:jc w:val="center"/>
        <w:tblCellMar>
          <w:left w:w="0" w:type="dxa"/>
          <w:right w:w="0" w:type="dxa"/>
        </w:tblCellMar>
        <w:tblLook w:val="0000"/>
      </w:tblPr>
      <w:tblGrid>
        <w:gridCol w:w="2090"/>
        <w:gridCol w:w="2658"/>
      </w:tblGrid>
      <w:tr w:rsidR="00CC1C75">
        <w:trPr>
          <w:cantSplit/>
          <w:trHeight w:val="326"/>
          <w:jc w:val="center"/>
        </w:trPr>
        <w:tc>
          <w:tcPr>
            <w:tcW w:w="2090" w:type="dxa"/>
            <w:vMerge w:val="restart"/>
            <w:tcBorders>
              <w:top w:val="single" w:sz="8" w:space="0" w:color="auto"/>
              <w:left w:val="single" w:sz="8" w:space="0" w:color="auto"/>
              <w:bottom w:val="single" w:sz="4" w:space="0" w:color="000000"/>
              <w:right w:val="single" w:sz="4" w:space="0" w:color="auto"/>
            </w:tcBorders>
            <w:noWrap/>
            <w:vAlign w:val="bottom"/>
          </w:tcPr>
          <w:p w:rsidR="00CC1C75" w:rsidRPr="009036E0" w:rsidRDefault="00CC1C75" w:rsidP="00CC1C75">
            <w:pPr>
              <w:jc w:val="center"/>
              <w:rPr>
                <w:rFonts w:ascii="Arial" w:eastAsia="Arial Unicode MS" w:hAnsi="Arial" w:cs="Arial"/>
                <w:b/>
                <w:sz w:val="20"/>
                <w:szCs w:val="20"/>
              </w:rPr>
            </w:pPr>
            <w:r>
              <w:rPr>
                <w:rFonts w:ascii="Arial" w:hAnsi="Arial" w:cs="Arial"/>
                <w:b/>
                <w:sz w:val="20"/>
                <w:szCs w:val="20"/>
              </w:rPr>
              <w:t>COMPAÑIA/</w:t>
            </w:r>
            <w:r w:rsidRPr="009036E0">
              <w:rPr>
                <w:rFonts w:ascii="Arial" w:hAnsi="Arial" w:cs="Arial"/>
                <w:b/>
                <w:sz w:val="20"/>
                <w:szCs w:val="20"/>
              </w:rPr>
              <w:t>BANCO</w:t>
            </w:r>
          </w:p>
        </w:tc>
        <w:tc>
          <w:tcPr>
            <w:tcW w:w="2658" w:type="dxa"/>
            <w:vMerge w:val="restart"/>
            <w:tcBorders>
              <w:top w:val="single" w:sz="8" w:space="0" w:color="auto"/>
              <w:left w:val="single" w:sz="4" w:space="0" w:color="auto"/>
              <w:bottom w:val="single" w:sz="4" w:space="0" w:color="000000"/>
              <w:right w:val="single" w:sz="8" w:space="0" w:color="auto"/>
            </w:tcBorders>
            <w:noWrap/>
            <w:vAlign w:val="bottom"/>
          </w:tcPr>
          <w:p w:rsidR="00CC1C75" w:rsidRPr="009036E0" w:rsidRDefault="00CC1C75" w:rsidP="00CC1C75">
            <w:pPr>
              <w:pStyle w:val="Ttulo1"/>
              <w:rPr>
                <w:rFonts w:ascii="Arial" w:eastAsia="Arial Unicode MS" w:hAnsi="Arial" w:cs="Arial"/>
                <w:sz w:val="20"/>
                <w:szCs w:val="20"/>
              </w:rPr>
            </w:pPr>
            <w:bookmarkStart w:id="973" w:name="_Toc183697563"/>
            <w:bookmarkStart w:id="974" w:name="_Toc183698893"/>
            <w:bookmarkStart w:id="975" w:name="_Toc183699234"/>
            <w:bookmarkStart w:id="976" w:name="_Toc183699446"/>
            <w:bookmarkStart w:id="977" w:name="_Toc183699919"/>
            <w:bookmarkStart w:id="978" w:name="_Toc183700192"/>
            <w:bookmarkStart w:id="979" w:name="_Toc183700702"/>
            <w:bookmarkStart w:id="980" w:name="_Toc183700954"/>
            <w:r w:rsidRPr="009036E0">
              <w:rPr>
                <w:rFonts w:ascii="Arial" w:hAnsi="Arial" w:cs="Arial"/>
                <w:sz w:val="20"/>
                <w:szCs w:val="20"/>
              </w:rPr>
              <w:t>TOTAL DE DIFERENCIAS</w:t>
            </w:r>
            <w:bookmarkEnd w:id="973"/>
            <w:bookmarkEnd w:id="974"/>
            <w:bookmarkEnd w:id="975"/>
            <w:bookmarkEnd w:id="976"/>
            <w:bookmarkEnd w:id="977"/>
            <w:bookmarkEnd w:id="978"/>
            <w:bookmarkEnd w:id="979"/>
            <w:bookmarkEnd w:id="980"/>
          </w:p>
        </w:tc>
      </w:tr>
      <w:tr w:rsidR="00CC1C75">
        <w:trPr>
          <w:cantSplit/>
          <w:trHeight w:val="326"/>
          <w:jc w:val="center"/>
        </w:trPr>
        <w:tc>
          <w:tcPr>
            <w:tcW w:w="0" w:type="auto"/>
            <w:vMerge/>
            <w:tcBorders>
              <w:top w:val="single" w:sz="8" w:space="0" w:color="auto"/>
              <w:left w:val="single" w:sz="8" w:space="0" w:color="auto"/>
              <w:bottom w:val="single" w:sz="4" w:space="0" w:color="000000"/>
              <w:right w:val="single" w:sz="4" w:space="0" w:color="auto"/>
            </w:tcBorders>
            <w:vAlign w:val="center"/>
          </w:tcPr>
          <w:p w:rsidR="00CC1C75" w:rsidRPr="009036E0" w:rsidRDefault="00CC1C75" w:rsidP="00CC1C75">
            <w:pPr>
              <w:rPr>
                <w:rFonts w:ascii="Arial" w:eastAsia="Arial Unicode MS" w:hAnsi="Arial" w:cs="Arial"/>
                <w:b/>
                <w:bCs/>
                <w:sz w:val="20"/>
                <w:szCs w:val="20"/>
              </w:rPr>
            </w:pPr>
          </w:p>
        </w:tc>
        <w:tc>
          <w:tcPr>
            <w:tcW w:w="0" w:type="auto"/>
            <w:vMerge/>
            <w:tcBorders>
              <w:top w:val="single" w:sz="8" w:space="0" w:color="auto"/>
              <w:left w:val="single" w:sz="4" w:space="0" w:color="auto"/>
              <w:bottom w:val="single" w:sz="4" w:space="0" w:color="000000"/>
              <w:right w:val="single" w:sz="8" w:space="0" w:color="auto"/>
            </w:tcBorders>
            <w:vAlign w:val="center"/>
          </w:tcPr>
          <w:p w:rsidR="00CC1C75" w:rsidRPr="009036E0" w:rsidRDefault="00CC1C75" w:rsidP="00CC1C75">
            <w:pPr>
              <w:rPr>
                <w:rFonts w:eastAsia="Arial Unicode MS"/>
                <w:b/>
                <w:bCs/>
                <w:sz w:val="20"/>
                <w:szCs w:val="20"/>
              </w:rPr>
            </w:pPr>
          </w:p>
        </w:tc>
      </w:tr>
      <w:tr w:rsidR="00CC1C75">
        <w:trPr>
          <w:trHeight w:val="326"/>
          <w:jc w:val="center"/>
        </w:trPr>
        <w:tc>
          <w:tcPr>
            <w:tcW w:w="0" w:type="auto"/>
            <w:tcBorders>
              <w:top w:val="nil"/>
              <w:left w:val="single" w:sz="8" w:space="0" w:color="auto"/>
              <w:bottom w:val="single" w:sz="4"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rPr>
            </w:pPr>
            <w:r w:rsidRPr="009036E0">
              <w:rPr>
                <w:rFonts w:ascii="Arial" w:hAnsi="Arial" w:cs="Arial"/>
                <w:sz w:val="20"/>
                <w:szCs w:val="20"/>
              </w:rPr>
              <w:t>M.O-Produbanco</w:t>
            </w:r>
          </w:p>
        </w:tc>
        <w:tc>
          <w:tcPr>
            <w:tcW w:w="0" w:type="auto"/>
            <w:tcBorders>
              <w:top w:val="nil"/>
              <w:left w:val="nil"/>
              <w:bottom w:val="single" w:sz="4" w:space="0" w:color="auto"/>
              <w:right w:val="single" w:sz="8" w:space="0" w:color="auto"/>
            </w:tcBorders>
            <w:noWrap/>
            <w:vAlign w:val="bottom"/>
          </w:tcPr>
          <w:p w:rsidR="00CC1C75" w:rsidRPr="009036E0" w:rsidRDefault="00CC1C75" w:rsidP="00CC1C75">
            <w:pPr>
              <w:rPr>
                <w:rFonts w:eastAsia="Arial Unicode MS"/>
                <w:sz w:val="20"/>
                <w:szCs w:val="20"/>
                <w:lang w:val="en-GB"/>
              </w:rPr>
            </w:pPr>
            <w:r w:rsidRPr="009036E0">
              <w:rPr>
                <w:sz w:val="20"/>
                <w:szCs w:val="20"/>
              </w:rPr>
              <w:t xml:space="preserve"> </w:t>
            </w:r>
            <w:r w:rsidRPr="009036E0">
              <w:rPr>
                <w:sz w:val="20"/>
                <w:szCs w:val="20"/>
                <w:lang w:val="en-GB"/>
              </w:rPr>
              <w:t xml:space="preserve">$                              21.017,54 </w:t>
            </w:r>
          </w:p>
        </w:tc>
      </w:tr>
      <w:tr w:rsidR="00CC1C75">
        <w:trPr>
          <w:trHeight w:val="326"/>
          <w:jc w:val="center"/>
        </w:trPr>
        <w:tc>
          <w:tcPr>
            <w:tcW w:w="0" w:type="auto"/>
            <w:tcBorders>
              <w:top w:val="nil"/>
              <w:left w:val="single" w:sz="8" w:space="0" w:color="auto"/>
              <w:bottom w:val="single" w:sz="4"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lang w:val="en-GB"/>
              </w:rPr>
            </w:pPr>
            <w:r w:rsidRPr="009036E0">
              <w:rPr>
                <w:rFonts w:ascii="Arial" w:hAnsi="Arial" w:cs="Arial"/>
                <w:sz w:val="20"/>
                <w:szCs w:val="20"/>
                <w:lang w:val="en-GB"/>
              </w:rPr>
              <w:t>M.O-Pichincha</w:t>
            </w:r>
          </w:p>
        </w:tc>
        <w:tc>
          <w:tcPr>
            <w:tcW w:w="0" w:type="auto"/>
            <w:tcBorders>
              <w:top w:val="nil"/>
              <w:left w:val="nil"/>
              <w:bottom w:val="single" w:sz="4" w:space="0" w:color="auto"/>
              <w:right w:val="single" w:sz="8" w:space="0" w:color="auto"/>
            </w:tcBorders>
            <w:noWrap/>
            <w:vAlign w:val="bottom"/>
          </w:tcPr>
          <w:p w:rsidR="00CC1C75" w:rsidRPr="009036E0" w:rsidRDefault="00CC1C75" w:rsidP="00CC1C75">
            <w:pPr>
              <w:rPr>
                <w:rFonts w:eastAsia="Arial Unicode MS"/>
                <w:sz w:val="20"/>
                <w:szCs w:val="20"/>
              </w:rPr>
            </w:pPr>
            <w:r w:rsidRPr="009036E0">
              <w:rPr>
                <w:sz w:val="20"/>
                <w:szCs w:val="20"/>
                <w:lang w:val="en-GB"/>
              </w:rPr>
              <w:t xml:space="preserve"> </w:t>
            </w:r>
            <w:r w:rsidRPr="009036E0">
              <w:rPr>
                <w:sz w:val="20"/>
                <w:szCs w:val="20"/>
              </w:rPr>
              <w:t xml:space="preserve">$                                7.300,00 </w:t>
            </w:r>
          </w:p>
        </w:tc>
      </w:tr>
      <w:tr w:rsidR="00CC1C75">
        <w:trPr>
          <w:trHeight w:val="326"/>
          <w:jc w:val="center"/>
        </w:trPr>
        <w:tc>
          <w:tcPr>
            <w:tcW w:w="0" w:type="auto"/>
            <w:tcBorders>
              <w:top w:val="nil"/>
              <w:left w:val="single" w:sz="8" w:space="0" w:color="auto"/>
              <w:bottom w:val="single" w:sz="4"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rPr>
            </w:pPr>
            <w:r w:rsidRPr="009036E0">
              <w:rPr>
                <w:rFonts w:ascii="Arial" w:hAnsi="Arial" w:cs="Arial"/>
                <w:sz w:val="20"/>
                <w:szCs w:val="20"/>
              </w:rPr>
              <w:t>SER-Produbanco</w:t>
            </w:r>
          </w:p>
        </w:tc>
        <w:tc>
          <w:tcPr>
            <w:tcW w:w="0" w:type="auto"/>
            <w:tcBorders>
              <w:top w:val="nil"/>
              <w:left w:val="nil"/>
              <w:bottom w:val="single" w:sz="4" w:space="0" w:color="auto"/>
              <w:right w:val="single" w:sz="8" w:space="0" w:color="auto"/>
            </w:tcBorders>
            <w:noWrap/>
            <w:vAlign w:val="bottom"/>
          </w:tcPr>
          <w:p w:rsidR="00CC1C75" w:rsidRPr="009036E0" w:rsidRDefault="00CC1C75" w:rsidP="00CC1C75">
            <w:pPr>
              <w:rPr>
                <w:rFonts w:eastAsia="Arial Unicode MS"/>
                <w:sz w:val="20"/>
                <w:szCs w:val="20"/>
              </w:rPr>
            </w:pPr>
            <w:r w:rsidRPr="009036E0">
              <w:rPr>
                <w:sz w:val="20"/>
                <w:szCs w:val="20"/>
              </w:rPr>
              <w:t xml:space="preserve"> $                              17.148,13 </w:t>
            </w:r>
          </w:p>
        </w:tc>
      </w:tr>
      <w:tr w:rsidR="00CC1C75">
        <w:trPr>
          <w:trHeight w:val="326"/>
          <w:jc w:val="center"/>
        </w:trPr>
        <w:tc>
          <w:tcPr>
            <w:tcW w:w="0" w:type="auto"/>
            <w:tcBorders>
              <w:top w:val="nil"/>
              <w:left w:val="single" w:sz="8" w:space="0" w:color="auto"/>
              <w:bottom w:val="single" w:sz="4"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rPr>
            </w:pPr>
            <w:r w:rsidRPr="009036E0">
              <w:rPr>
                <w:rFonts w:ascii="Arial" w:hAnsi="Arial" w:cs="Arial"/>
                <w:sz w:val="20"/>
                <w:szCs w:val="20"/>
              </w:rPr>
              <w:t>D.U.-Produbanco</w:t>
            </w:r>
          </w:p>
        </w:tc>
        <w:tc>
          <w:tcPr>
            <w:tcW w:w="0" w:type="auto"/>
            <w:tcBorders>
              <w:top w:val="nil"/>
              <w:left w:val="nil"/>
              <w:bottom w:val="single" w:sz="4" w:space="0" w:color="auto"/>
              <w:right w:val="single" w:sz="8" w:space="0" w:color="auto"/>
            </w:tcBorders>
            <w:noWrap/>
            <w:vAlign w:val="bottom"/>
          </w:tcPr>
          <w:p w:rsidR="00CC1C75" w:rsidRPr="009036E0" w:rsidRDefault="00CC1C75" w:rsidP="00CC1C75">
            <w:pPr>
              <w:rPr>
                <w:rFonts w:eastAsia="Arial Unicode MS"/>
                <w:sz w:val="20"/>
                <w:szCs w:val="20"/>
                <w:lang w:val="en-GB"/>
              </w:rPr>
            </w:pPr>
            <w:r w:rsidRPr="009036E0">
              <w:rPr>
                <w:sz w:val="20"/>
                <w:szCs w:val="20"/>
              </w:rPr>
              <w:t xml:space="preserve"> </w:t>
            </w:r>
            <w:r w:rsidRPr="009036E0">
              <w:rPr>
                <w:sz w:val="20"/>
                <w:szCs w:val="20"/>
                <w:lang w:val="en-GB"/>
              </w:rPr>
              <w:t xml:space="preserve">$                                           -   </w:t>
            </w:r>
          </w:p>
        </w:tc>
      </w:tr>
      <w:tr w:rsidR="00CC1C75">
        <w:trPr>
          <w:trHeight w:val="326"/>
          <w:jc w:val="center"/>
        </w:trPr>
        <w:tc>
          <w:tcPr>
            <w:tcW w:w="0" w:type="auto"/>
            <w:tcBorders>
              <w:top w:val="nil"/>
              <w:left w:val="single" w:sz="8" w:space="0" w:color="auto"/>
              <w:bottom w:val="single" w:sz="4"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lang w:val="en-GB"/>
              </w:rPr>
            </w:pPr>
            <w:r w:rsidRPr="009036E0">
              <w:rPr>
                <w:rFonts w:ascii="Arial" w:hAnsi="Arial" w:cs="Arial"/>
                <w:sz w:val="20"/>
                <w:szCs w:val="20"/>
                <w:lang w:val="en-GB"/>
              </w:rPr>
              <w:t>D.U.-Pichincha</w:t>
            </w:r>
          </w:p>
        </w:tc>
        <w:tc>
          <w:tcPr>
            <w:tcW w:w="0" w:type="auto"/>
            <w:tcBorders>
              <w:top w:val="nil"/>
              <w:left w:val="nil"/>
              <w:bottom w:val="single" w:sz="4" w:space="0" w:color="auto"/>
              <w:right w:val="single" w:sz="8" w:space="0" w:color="auto"/>
            </w:tcBorders>
            <w:noWrap/>
            <w:vAlign w:val="bottom"/>
          </w:tcPr>
          <w:p w:rsidR="00CC1C75" w:rsidRPr="009036E0" w:rsidRDefault="00CC1C75" w:rsidP="00CC1C75">
            <w:pPr>
              <w:rPr>
                <w:rFonts w:eastAsia="Arial Unicode MS"/>
                <w:sz w:val="20"/>
                <w:szCs w:val="20"/>
              </w:rPr>
            </w:pPr>
            <w:r w:rsidRPr="009036E0">
              <w:rPr>
                <w:sz w:val="20"/>
                <w:szCs w:val="20"/>
                <w:lang w:val="en-GB"/>
              </w:rPr>
              <w:t xml:space="preserve"> </w:t>
            </w:r>
            <w:r w:rsidRPr="009036E0">
              <w:rPr>
                <w:sz w:val="20"/>
                <w:szCs w:val="20"/>
              </w:rPr>
              <w:t xml:space="preserve">$                                   120,96 </w:t>
            </w:r>
          </w:p>
        </w:tc>
      </w:tr>
      <w:tr w:rsidR="00CC1C75">
        <w:trPr>
          <w:trHeight w:val="326"/>
          <w:jc w:val="center"/>
        </w:trPr>
        <w:tc>
          <w:tcPr>
            <w:tcW w:w="0" w:type="auto"/>
            <w:tcBorders>
              <w:top w:val="nil"/>
              <w:left w:val="single" w:sz="8" w:space="0" w:color="auto"/>
              <w:bottom w:val="single" w:sz="4"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rPr>
            </w:pPr>
            <w:r w:rsidRPr="009036E0">
              <w:rPr>
                <w:rFonts w:ascii="Arial" w:hAnsi="Arial" w:cs="Arial"/>
                <w:sz w:val="20"/>
                <w:szCs w:val="20"/>
              </w:rPr>
              <w:t>M.I.-Produbanco</w:t>
            </w:r>
          </w:p>
        </w:tc>
        <w:tc>
          <w:tcPr>
            <w:tcW w:w="0" w:type="auto"/>
            <w:tcBorders>
              <w:top w:val="nil"/>
              <w:left w:val="nil"/>
              <w:bottom w:val="single" w:sz="4" w:space="0" w:color="auto"/>
              <w:right w:val="single" w:sz="8" w:space="0" w:color="auto"/>
            </w:tcBorders>
            <w:noWrap/>
            <w:vAlign w:val="bottom"/>
          </w:tcPr>
          <w:p w:rsidR="00CC1C75" w:rsidRPr="009036E0" w:rsidRDefault="00CC1C75" w:rsidP="00CC1C75">
            <w:pPr>
              <w:rPr>
                <w:rFonts w:eastAsia="Arial Unicode MS"/>
                <w:sz w:val="20"/>
                <w:szCs w:val="20"/>
              </w:rPr>
            </w:pPr>
            <w:r w:rsidRPr="009036E0">
              <w:rPr>
                <w:sz w:val="20"/>
                <w:szCs w:val="20"/>
              </w:rPr>
              <w:t xml:space="preserve"> $                              16.091,42 </w:t>
            </w:r>
          </w:p>
        </w:tc>
      </w:tr>
      <w:tr w:rsidR="00CC1C75">
        <w:trPr>
          <w:trHeight w:val="326"/>
          <w:jc w:val="center"/>
        </w:trPr>
        <w:tc>
          <w:tcPr>
            <w:tcW w:w="0" w:type="auto"/>
            <w:tcBorders>
              <w:top w:val="nil"/>
              <w:left w:val="single" w:sz="8" w:space="0" w:color="auto"/>
              <w:bottom w:val="single" w:sz="4"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rPr>
            </w:pPr>
            <w:r w:rsidRPr="009036E0">
              <w:rPr>
                <w:rFonts w:ascii="Arial" w:hAnsi="Arial" w:cs="Arial"/>
                <w:sz w:val="20"/>
                <w:szCs w:val="20"/>
              </w:rPr>
              <w:t>M.I.-Produfondos</w:t>
            </w:r>
          </w:p>
        </w:tc>
        <w:tc>
          <w:tcPr>
            <w:tcW w:w="0" w:type="auto"/>
            <w:tcBorders>
              <w:top w:val="nil"/>
              <w:left w:val="nil"/>
              <w:bottom w:val="single" w:sz="4" w:space="0" w:color="auto"/>
              <w:right w:val="single" w:sz="8" w:space="0" w:color="auto"/>
            </w:tcBorders>
            <w:noWrap/>
            <w:vAlign w:val="bottom"/>
          </w:tcPr>
          <w:p w:rsidR="00CC1C75" w:rsidRPr="009036E0" w:rsidRDefault="00CC1C75" w:rsidP="00CC1C75">
            <w:pPr>
              <w:rPr>
                <w:rFonts w:eastAsia="Arial Unicode MS"/>
                <w:sz w:val="20"/>
                <w:szCs w:val="20"/>
              </w:rPr>
            </w:pPr>
            <w:r w:rsidRPr="009036E0">
              <w:rPr>
                <w:sz w:val="20"/>
                <w:szCs w:val="20"/>
              </w:rPr>
              <w:t xml:space="preserve"> $                                   242,42 </w:t>
            </w:r>
          </w:p>
        </w:tc>
      </w:tr>
      <w:tr w:rsidR="00CC1C75">
        <w:trPr>
          <w:trHeight w:val="326"/>
          <w:jc w:val="center"/>
        </w:trPr>
        <w:tc>
          <w:tcPr>
            <w:tcW w:w="0" w:type="auto"/>
            <w:tcBorders>
              <w:top w:val="nil"/>
              <w:left w:val="single" w:sz="8" w:space="0" w:color="auto"/>
              <w:bottom w:val="single" w:sz="4"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rPr>
            </w:pPr>
            <w:r w:rsidRPr="009036E0">
              <w:rPr>
                <w:rFonts w:ascii="Arial" w:hAnsi="Arial" w:cs="Arial"/>
                <w:sz w:val="20"/>
                <w:szCs w:val="20"/>
              </w:rPr>
              <w:t>F.A.-Produbanco</w:t>
            </w:r>
          </w:p>
        </w:tc>
        <w:tc>
          <w:tcPr>
            <w:tcW w:w="0" w:type="auto"/>
            <w:tcBorders>
              <w:top w:val="nil"/>
              <w:left w:val="nil"/>
              <w:bottom w:val="single" w:sz="4" w:space="0" w:color="auto"/>
              <w:right w:val="single" w:sz="8" w:space="0" w:color="auto"/>
            </w:tcBorders>
            <w:noWrap/>
            <w:vAlign w:val="bottom"/>
          </w:tcPr>
          <w:p w:rsidR="00CC1C75" w:rsidRPr="009036E0" w:rsidRDefault="00CC1C75" w:rsidP="00CC1C75">
            <w:pPr>
              <w:rPr>
                <w:rFonts w:eastAsia="Arial Unicode MS"/>
                <w:sz w:val="20"/>
                <w:szCs w:val="20"/>
              </w:rPr>
            </w:pPr>
            <w:r w:rsidRPr="009036E0">
              <w:rPr>
                <w:sz w:val="20"/>
                <w:szCs w:val="20"/>
              </w:rPr>
              <w:t xml:space="preserve"> $                                   263,20 </w:t>
            </w:r>
          </w:p>
        </w:tc>
      </w:tr>
      <w:tr w:rsidR="00CC1C75">
        <w:trPr>
          <w:trHeight w:val="346"/>
          <w:jc w:val="center"/>
        </w:trPr>
        <w:tc>
          <w:tcPr>
            <w:tcW w:w="0" w:type="auto"/>
            <w:tcBorders>
              <w:top w:val="nil"/>
              <w:left w:val="single" w:sz="8" w:space="0" w:color="auto"/>
              <w:bottom w:val="single" w:sz="8" w:space="0" w:color="auto"/>
              <w:right w:val="single" w:sz="4" w:space="0" w:color="auto"/>
            </w:tcBorders>
            <w:noWrap/>
            <w:vAlign w:val="bottom"/>
          </w:tcPr>
          <w:p w:rsidR="00CC1C75" w:rsidRPr="009036E0" w:rsidRDefault="00CC1C75" w:rsidP="00CC1C75">
            <w:pPr>
              <w:rPr>
                <w:rFonts w:ascii="Arial" w:eastAsia="Arial Unicode MS" w:hAnsi="Arial" w:cs="Arial"/>
                <w:sz w:val="20"/>
                <w:szCs w:val="20"/>
              </w:rPr>
            </w:pPr>
            <w:r w:rsidRPr="009036E0">
              <w:rPr>
                <w:rFonts w:ascii="Arial" w:hAnsi="Arial" w:cs="Arial"/>
                <w:sz w:val="20"/>
                <w:szCs w:val="20"/>
              </w:rPr>
              <w:t>F.A.-Produfondos</w:t>
            </w:r>
          </w:p>
        </w:tc>
        <w:tc>
          <w:tcPr>
            <w:tcW w:w="0" w:type="auto"/>
            <w:tcBorders>
              <w:top w:val="nil"/>
              <w:left w:val="nil"/>
              <w:bottom w:val="single" w:sz="8" w:space="0" w:color="auto"/>
              <w:right w:val="single" w:sz="8" w:space="0" w:color="auto"/>
            </w:tcBorders>
            <w:noWrap/>
            <w:vAlign w:val="bottom"/>
          </w:tcPr>
          <w:p w:rsidR="00CC1C75" w:rsidRPr="009036E0" w:rsidRDefault="00CC1C75" w:rsidP="00CC1C75">
            <w:pPr>
              <w:rPr>
                <w:rFonts w:eastAsia="Arial Unicode MS"/>
                <w:sz w:val="20"/>
                <w:szCs w:val="20"/>
              </w:rPr>
            </w:pPr>
            <w:r w:rsidRPr="009036E0">
              <w:rPr>
                <w:sz w:val="20"/>
                <w:szCs w:val="20"/>
              </w:rPr>
              <w:t xml:space="preserve"> $                                   149,57 </w:t>
            </w:r>
          </w:p>
        </w:tc>
      </w:tr>
    </w:tbl>
    <w:p w:rsidR="00CC1C75" w:rsidRDefault="00CC1C75" w:rsidP="00CC1C75">
      <w:pPr>
        <w:tabs>
          <w:tab w:val="left" w:pos="851"/>
        </w:tabs>
        <w:spacing w:line="480" w:lineRule="auto"/>
        <w:ind w:left="851"/>
        <w:jc w:val="center"/>
        <w:rPr>
          <w:rFonts w:ascii="Arial" w:hAnsi="Arial" w:cs="Arial"/>
          <w:b/>
          <w:color w:val="000000"/>
        </w:rPr>
      </w:pPr>
    </w:p>
    <w:p w:rsidR="00CC1C75" w:rsidRDefault="00CC1C75" w:rsidP="00CC1C75">
      <w:pPr>
        <w:pStyle w:val="Sangradetextonormal"/>
        <w:spacing w:line="480" w:lineRule="auto"/>
        <w:ind w:left="360"/>
        <w:jc w:val="both"/>
        <w:rPr>
          <w:rFonts w:ascii="Arial" w:hAnsi="Arial" w:cs="Arial"/>
        </w:rPr>
      </w:pPr>
      <w:r>
        <w:rPr>
          <w:rFonts w:ascii="Arial" w:hAnsi="Arial" w:cs="Arial"/>
        </w:rPr>
        <w:t>El nombre de las compañias M.O., M.I. y F.A. aparecen dos veces debido a que cada una de ellas tiene dos bancos de los que realizan las conciliaciones bancarias.</w:t>
      </w:r>
    </w:p>
    <w:p w:rsidR="00CC1C75" w:rsidRDefault="00CC1C75" w:rsidP="00CC1C75">
      <w:pPr>
        <w:pStyle w:val="Sangradetextonormal"/>
        <w:spacing w:line="480" w:lineRule="auto"/>
        <w:ind w:left="360"/>
        <w:jc w:val="both"/>
        <w:rPr>
          <w:rFonts w:ascii="Arial" w:hAnsi="Arial" w:cs="Arial"/>
        </w:rPr>
      </w:pPr>
      <w:r>
        <w:rPr>
          <w:rFonts w:ascii="Arial" w:hAnsi="Arial" w:cs="Arial"/>
        </w:rPr>
        <w:t xml:space="preserve">A continuación se presenta el gráfico de pastel con los porcentajes respectivos de diferencias. </w:t>
      </w:r>
    </w:p>
    <w:p w:rsidR="00CC1C75" w:rsidRDefault="00CC1C75" w:rsidP="00CC1C75">
      <w:pPr>
        <w:pStyle w:val="Sangradetextonormal"/>
        <w:spacing w:line="480" w:lineRule="auto"/>
        <w:jc w:val="center"/>
      </w:pPr>
    </w:p>
    <w:p w:rsidR="00CC1C75" w:rsidRDefault="00B04CD6" w:rsidP="00CC1C75">
      <w:pPr>
        <w:pStyle w:val="Sangradetextonormal"/>
        <w:spacing w:line="480" w:lineRule="auto"/>
        <w:jc w:val="center"/>
      </w:pPr>
      <w:r>
        <w:rPr>
          <w:noProof/>
        </w:rPr>
        <w:lastRenderedPageBreak/>
        <w:drawing>
          <wp:inline distT="0" distB="0" distL="0" distR="0">
            <wp:extent cx="3568700" cy="171450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C1C75" w:rsidRPr="002119F4" w:rsidRDefault="00CC1C75" w:rsidP="002119F4">
      <w:pPr>
        <w:pStyle w:val="Ttulo1"/>
        <w:spacing w:line="480" w:lineRule="auto"/>
        <w:ind w:left="357"/>
        <w:jc w:val="center"/>
        <w:rPr>
          <w:rFonts w:ascii="Arial" w:hAnsi="Arial"/>
          <w:b w:val="0"/>
        </w:rPr>
      </w:pPr>
      <w:bookmarkStart w:id="981" w:name="_Toc183697564"/>
      <w:bookmarkStart w:id="982" w:name="_Toc183698894"/>
      <w:bookmarkStart w:id="983" w:name="_Toc183699235"/>
      <w:bookmarkStart w:id="984" w:name="_Toc183699447"/>
      <w:bookmarkStart w:id="985" w:name="_Toc183699920"/>
      <w:bookmarkStart w:id="986" w:name="_Toc183700193"/>
      <w:bookmarkStart w:id="987" w:name="_Toc183700703"/>
      <w:bookmarkStart w:id="988" w:name="_Toc183700955"/>
      <w:r w:rsidRPr="002119F4">
        <w:rPr>
          <w:rFonts w:ascii="Arial" w:hAnsi="Arial"/>
        </w:rPr>
        <w:t xml:space="preserve">Gráfico 2.23. </w:t>
      </w:r>
      <w:r w:rsidRPr="002119F4">
        <w:rPr>
          <w:rFonts w:ascii="Arial" w:hAnsi="Arial"/>
          <w:b w:val="0"/>
        </w:rPr>
        <w:t>Diagrama de pastel de las diferencias generales de todas las Compañías.</w:t>
      </w:r>
      <w:bookmarkEnd w:id="981"/>
      <w:bookmarkEnd w:id="982"/>
      <w:bookmarkEnd w:id="983"/>
      <w:bookmarkEnd w:id="984"/>
      <w:bookmarkEnd w:id="985"/>
      <w:bookmarkEnd w:id="986"/>
      <w:bookmarkEnd w:id="987"/>
      <w:bookmarkEnd w:id="988"/>
    </w:p>
    <w:p w:rsidR="00CC1C75" w:rsidRDefault="00CC1C75" w:rsidP="00CC1C75">
      <w:pPr>
        <w:pStyle w:val="Sangradetextonormal"/>
        <w:spacing w:line="480" w:lineRule="auto"/>
        <w:ind w:left="360"/>
        <w:jc w:val="both"/>
        <w:rPr>
          <w:rFonts w:ascii="Arial" w:hAnsi="Arial" w:cs="Arial"/>
        </w:rPr>
      </w:pPr>
      <w:r w:rsidRPr="00644C11">
        <w:rPr>
          <w:rFonts w:ascii="Arial" w:hAnsi="Arial" w:cs="Arial"/>
        </w:rPr>
        <w:t>El objetivo es conocer</w:t>
      </w:r>
      <w:r>
        <w:rPr>
          <w:rFonts w:ascii="Arial" w:hAnsi="Arial" w:cs="Arial"/>
        </w:rPr>
        <w:t xml:space="preserve"> de manera general ya que en el punto 2.3 se lo hizo de forma individual cual es la compañía entre las 5 que presenta mayor porcentaje de diferencia y cual es su valor en dólares</w:t>
      </w:r>
      <w:r w:rsidRPr="00644C11">
        <w:rPr>
          <w:rFonts w:ascii="Arial" w:hAnsi="Arial" w:cs="Arial"/>
        </w:rPr>
        <w:t xml:space="preserve"> </w:t>
      </w:r>
      <w:r>
        <w:rPr>
          <w:rFonts w:ascii="Arial" w:hAnsi="Arial" w:cs="Arial"/>
        </w:rPr>
        <w:t xml:space="preserve">como lo mencionamos en el punto 2.3. </w:t>
      </w:r>
    </w:p>
    <w:p w:rsidR="00CC1C75" w:rsidRPr="008133CD" w:rsidRDefault="00CC1C75" w:rsidP="00CC1C75">
      <w:pPr>
        <w:pStyle w:val="Sangradetextonormal"/>
        <w:spacing w:line="480" w:lineRule="auto"/>
        <w:ind w:left="360"/>
        <w:jc w:val="both"/>
        <w:rPr>
          <w:rFonts w:ascii="Arial" w:hAnsi="Arial" w:cs="Arial"/>
        </w:rPr>
      </w:pPr>
      <w:r w:rsidRPr="008133CD">
        <w:rPr>
          <w:rFonts w:ascii="Arial" w:hAnsi="Arial" w:cs="Arial"/>
        </w:rPr>
        <w:t>Como apreciamos en el gráfico 2.</w:t>
      </w:r>
      <w:r>
        <w:rPr>
          <w:rFonts w:ascii="Arial" w:hAnsi="Arial" w:cs="Arial"/>
        </w:rPr>
        <w:t>23</w:t>
      </w:r>
      <w:r w:rsidRPr="008133CD">
        <w:rPr>
          <w:rFonts w:ascii="Arial" w:hAnsi="Arial" w:cs="Arial"/>
        </w:rPr>
        <w:t xml:space="preserve"> la compañía que tiene mayor diferencia en porcentaje es </w:t>
      </w:r>
      <w:smartTag w:uri="urn:schemas-microsoft-com:office:smarttags" w:element="PersonName">
        <w:smartTagPr>
          <w:attr w:name="ProductID" w:val="la M.O."/>
        </w:smartTagPr>
        <w:r w:rsidRPr="008133CD">
          <w:rPr>
            <w:rFonts w:ascii="Arial" w:hAnsi="Arial" w:cs="Arial"/>
          </w:rPr>
          <w:t>la M.O.</w:t>
        </w:r>
      </w:smartTag>
      <w:r w:rsidRPr="008133CD">
        <w:rPr>
          <w:rFonts w:ascii="Arial" w:hAnsi="Arial" w:cs="Arial"/>
        </w:rPr>
        <w:t xml:space="preserve"> con el 46% y</w:t>
      </w:r>
      <w:r>
        <w:rPr>
          <w:rFonts w:ascii="Arial" w:hAnsi="Arial" w:cs="Arial"/>
        </w:rPr>
        <w:t xml:space="preserve"> las que le siguen son las SER y</w:t>
      </w:r>
      <w:r w:rsidRPr="008133CD">
        <w:rPr>
          <w:rFonts w:ascii="Arial" w:hAnsi="Arial" w:cs="Arial"/>
        </w:rPr>
        <w:t xml:space="preserve"> M.I. con 28% y 26% respectivamente, quedando las compañías D.U. y F.A. con cero por ciento. Cabe recalcar que a pesar que la empresa M.O. realiza las conciliaciones bancarias de dos bancos por lo que las diferencias han sido sumadas y por tal motivo presenta mayor porcentaje de diferencia,</w:t>
      </w:r>
      <w:r>
        <w:rPr>
          <w:rFonts w:ascii="Arial" w:hAnsi="Arial" w:cs="Arial"/>
        </w:rPr>
        <w:t xml:space="preserve"> el mismo caso ocurre con M.I., </w:t>
      </w:r>
      <w:r w:rsidRPr="008133CD">
        <w:rPr>
          <w:rFonts w:ascii="Arial" w:hAnsi="Arial" w:cs="Arial"/>
        </w:rPr>
        <w:t>sin embargo no ocurre lo mismo con la compañía SER por lo que este porcentaje equivale a la diferencia de un solo banco.</w:t>
      </w:r>
    </w:p>
    <w:p w:rsidR="00CC1C75" w:rsidRDefault="00CC1C75" w:rsidP="00CC1C75">
      <w:pPr>
        <w:autoSpaceDE w:val="0"/>
        <w:autoSpaceDN w:val="0"/>
        <w:adjustRightInd w:val="0"/>
        <w:spacing w:line="480" w:lineRule="auto"/>
        <w:ind w:left="720"/>
        <w:jc w:val="both"/>
        <w:rPr>
          <w:rFonts w:ascii="Arial" w:hAnsi="Arial" w:cs="Arial"/>
          <w:color w:val="000000"/>
        </w:rPr>
      </w:pPr>
    </w:p>
    <w:p w:rsidR="00CC1C75" w:rsidRPr="007308D7" w:rsidRDefault="00CC1C75" w:rsidP="007308D7">
      <w:pPr>
        <w:pStyle w:val="Ttulo2"/>
        <w:spacing w:before="0" w:after="0" w:line="480" w:lineRule="auto"/>
        <w:ind w:left="360"/>
        <w:jc w:val="both"/>
        <w:rPr>
          <w:i w:val="0"/>
          <w:iCs w:val="0"/>
          <w:sz w:val="24"/>
        </w:rPr>
      </w:pPr>
      <w:bookmarkStart w:id="989" w:name="_Toc183697565"/>
      <w:bookmarkStart w:id="990" w:name="_Toc183698895"/>
      <w:bookmarkStart w:id="991" w:name="_Toc183699236"/>
      <w:bookmarkStart w:id="992" w:name="_Toc183699448"/>
      <w:bookmarkStart w:id="993" w:name="_Toc183699921"/>
      <w:bookmarkStart w:id="994" w:name="_Toc183700194"/>
      <w:bookmarkStart w:id="995" w:name="_Toc183700704"/>
      <w:bookmarkStart w:id="996" w:name="_Toc183700956"/>
      <w:r w:rsidRPr="007308D7">
        <w:rPr>
          <w:i w:val="0"/>
          <w:iCs w:val="0"/>
          <w:sz w:val="24"/>
        </w:rPr>
        <w:lastRenderedPageBreak/>
        <w:t>2.6 Análisis de las diferencias entre los saldos de las conciliaciones bancarias y los saldos de libros del primer semestre del año 2007 que se encuentran en el 25%, 50% y 75% mediante cuartiles.  Todas las compañías seleccionadas.</w:t>
      </w:r>
      <w:bookmarkEnd w:id="989"/>
      <w:bookmarkEnd w:id="990"/>
      <w:bookmarkEnd w:id="991"/>
      <w:bookmarkEnd w:id="992"/>
      <w:bookmarkEnd w:id="993"/>
      <w:bookmarkEnd w:id="994"/>
      <w:bookmarkEnd w:id="995"/>
      <w:bookmarkEnd w:id="996"/>
    </w:p>
    <w:p w:rsidR="00CC1C75" w:rsidRDefault="00CC1C75" w:rsidP="00CC1C75">
      <w:pPr>
        <w:autoSpaceDE w:val="0"/>
        <w:autoSpaceDN w:val="0"/>
        <w:adjustRightInd w:val="0"/>
        <w:spacing w:line="480" w:lineRule="auto"/>
        <w:ind w:left="360"/>
        <w:jc w:val="both"/>
        <w:rPr>
          <w:rFonts w:ascii="Arial" w:hAnsi="Arial" w:cs="Arial"/>
          <w:color w:val="000000"/>
        </w:rPr>
      </w:pPr>
      <w:r>
        <w:rPr>
          <w:rFonts w:ascii="Arial" w:hAnsi="Arial" w:cs="Arial"/>
          <w:color w:val="000000"/>
        </w:rPr>
        <w:t xml:space="preserve">El primer cuartil nos indica que el 25% de las diferencias de las conciliaciones bancarias durante los primeros 6 meses de todas las compañías son inferiores a </w:t>
      </w:r>
      <w:r>
        <w:t>$149.57</w:t>
      </w:r>
      <w:r>
        <w:rPr>
          <w:rFonts w:ascii="Arial" w:hAnsi="Arial" w:cs="Arial"/>
          <w:color w:val="000000"/>
        </w:rPr>
        <w:t>; lo que quiere decir que el 75% de las diferencias, son superiores al valor antes mencionado.</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CC1C75">
      <w:pPr>
        <w:autoSpaceDE w:val="0"/>
        <w:autoSpaceDN w:val="0"/>
        <w:adjustRightInd w:val="0"/>
        <w:spacing w:line="480" w:lineRule="auto"/>
        <w:ind w:left="360"/>
        <w:jc w:val="both"/>
      </w:pPr>
      <w:r>
        <w:rPr>
          <w:rFonts w:ascii="Arial" w:hAnsi="Arial" w:cs="Arial"/>
          <w:color w:val="000000"/>
        </w:rPr>
        <w:t xml:space="preserve">En el segundo cuartil podemos observar que la mitad de los valores  están por debajo de </w:t>
      </w:r>
      <w:r>
        <w:t>$263.20.</w:t>
      </w:r>
    </w:p>
    <w:p w:rsidR="00CC1C75" w:rsidRDefault="00CC1C75" w:rsidP="00CC1C75">
      <w:pPr>
        <w:autoSpaceDE w:val="0"/>
        <w:autoSpaceDN w:val="0"/>
        <w:adjustRightInd w:val="0"/>
        <w:spacing w:line="480" w:lineRule="auto"/>
        <w:ind w:left="709"/>
        <w:jc w:val="both"/>
        <w:rPr>
          <w:rFonts w:ascii="Arial" w:hAnsi="Arial" w:cs="Arial"/>
          <w:color w:val="000000"/>
        </w:rPr>
      </w:pPr>
    </w:p>
    <w:p w:rsidR="00CC1C75" w:rsidRDefault="00CC1C75" w:rsidP="00CC1C75">
      <w:pPr>
        <w:autoSpaceDE w:val="0"/>
        <w:autoSpaceDN w:val="0"/>
        <w:adjustRightInd w:val="0"/>
        <w:spacing w:line="480" w:lineRule="auto"/>
        <w:ind w:left="360"/>
        <w:jc w:val="both"/>
        <w:rPr>
          <w:rFonts w:ascii="Arial" w:hAnsi="Arial" w:cs="Arial"/>
          <w:color w:val="000000"/>
        </w:rPr>
      </w:pPr>
      <w:r>
        <w:rPr>
          <w:rFonts w:ascii="Arial" w:hAnsi="Arial" w:cs="Arial"/>
          <w:color w:val="000000"/>
        </w:rPr>
        <w:t xml:space="preserve">El tercer cuartil nos indica que el 75% de las diferencias de las conciliaciones bancarias son inferiores a </w:t>
      </w:r>
      <w:r>
        <w:t>$16091.42</w:t>
      </w:r>
      <w:r>
        <w:rPr>
          <w:rFonts w:ascii="Arial" w:hAnsi="Arial" w:cs="Arial"/>
          <w:color w:val="000000"/>
        </w:rPr>
        <w:t>; es decir que el 25% restante son superiores a ese valor.</w:t>
      </w:r>
    </w:p>
    <w:p w:rsidR="00CC1C75" w:rsidRDefault="00CC1C75" w:rsidP="00CC1C75">
      <w:pPr>
        <w:autoSpaceDE w:val="0"/>
        <w:autoSpaceDN w:val="0"/>
        <w:adjustRightInd w:val="0"/>
        <w:spacing w:line="480" w:lineRule="auto"/>
        <w:ind w:left="720"/>
        <w:jc w:val="both"/>
        <w:rPr>
          <w:rFonts w:ascii="Arial" w:hAnsi="Arial" w:cs="Arial"/>
          <w:color w:val="000000"/>
        </w:rPr>
      </w:pPr>
    </w:p>
    <w:p w:rsidR="00CC1C75" w:rsidRPr="007308D7" w:rsidRDefault="00CC1C75" w:rsidP="007308D7">
      <w:pPr>
        <w:pStyle w:val="Ttulo2"/>
        <w:spacing w:before="0" w:after="0" w:line="480" w:lineRule="auto"/>
        <w:ind w:left="360"/>
        <w:jc w:val="both"/>
        <w:rPr>
          <w:i w:val="0"/>
          <w:iCs w:val="0"/>
          <w:sz w:val="24"/>
        </w:rPr>
      </w:pPr>
      <w:bookmarkStart w:id="997" w:name="_Toc183697566"/>
      <w:bookmarkStart w:id="998" w:name="_Toc183698896"/>
      <w:bookmarkStart w:id="999" w:name="_Toc183699237"/>
      <w:bookmarkStart w:id="1000" w:name="_Toc183699449"/>
      <w:bookmarkStart w:id="1001" w:name="_Toc183699922"/>
      <w:bookmarkStart w:id="1002" w:name="_Toc183700195"/>
      <w:bookmarkStart w:id="1003" w:name="_Toc183700705"/>
      <w:bookmarkStart w:id="1004" w:name="_Toc183700957"/>
      <w:r w:rsidRPr="007308D7">
        <w:rPr>
          <w:i w:val="0"/>
          <w:iCs w:val="0"/>
          <w:sz w:val="24"/>
        </w:rPr>
        <w:t>2.7 Análisis de los valores de  las diferencias entre los saldos de las conciliaciones bancarias y los saldos de libros del primer semestre del año 2007 mediante series de tiempo. Todas las Compañía seleccionadas.</w:t>
      </w:r>
      <w:bookmarkEnd w:id="997"/>
      <w:bookmarkEnd w:id="998"/>
      <w:bookmarkEnd w:id="999"/>
      <w:bookmarkEnd w:id="1000"/>
      <w:bookmarkEnd w:id="1001"/>
      <w:bookmarkEnd w:id="1002"/>
      <w:bookmarkEnd w:id="1003"/>
      <w:bookmarkEnd w:id="1004"/>
    </w:p>
    <w:p w:rsidR="00CC1C75" w:rsidRDefault="00CC1C75" w:rsidP="00CC1C75">
      <w:pPr>
        <w:tabs>
          <w:tab w:val="left" w:pos="360"/>
        </w:tabs>
        <w:spacing w:line="480" w:lineRule="auto"/>
        <w:ind w:left="360"/>
        <w:jc w:val="both"/>
        <w:rPr>
          <w:rFonts w:ascii="Arial" w:hAnsi="Arial" w:cs="Arial"/>
          <w:b/>
        </w:rPr>
      </w:pPr>
    </w:p>
    <w:p w:rsidR="004F10FA" w:rsidRPr="004F10FA" w:rsidRDefault="004F10FA" w:rsidP="004F10FA">
      <w:pPr>
        <w:pStyle w:val="Ttulo1"/>
        <w:spacing w:line="480" w:lineRule="auto"/>
        <w:ind w:left="357"/>
        <w:jc w:val="center"/>
        <w:rPr>
          <w:rFonts w:ascii="Arial" w:hAnsi="Arial"/>
          <w:b w:val="0"/>
        </w:rPr>
      </w:pPr>
      <w:bookmarkStart w:id="1005" w:name="_Toc183697567"/>
      <w:bookmarkStart w:id="1006" w:name="_Toc183698897"/>
      <w:bookmarkStart w:id="1007" w:name="_Toc183699238"/>
      <w:bookmarkStart w:id="1008" w:name="_Toc183699450"/>
      <w:bookmarkStart w:id="1009" w:name="_Toc183699923"/>
      <w:bookmarkStart w:id="1010" w:name="_Toc183700196"/>
      <w:bookmarkStart w:id="1011" w:name="_Toc183700706"/>
      <w:bookmarkStart w:id="1012" w:name="_Toc183700958"/>
      <w:r w:rsidRPr="004F10FA">
        <w:rPr>
          <w:rFonts w:ascii="Arial" w:hAnsi="Arial"/>
        </w:rPr>
        <w:lastRenderedPageBreak/>
        <w:t xml:space="preserve">Tabla XVII. </w:t>
      </w:r>
      <w:r w:rsidRPr="004F10FA">
        <w:rPr>
          <w:rFonts w:ascii="Arial" w:hAnsi="Arial"/>
          <w:b w:val="0"/>
        </w:rPr>
        <w:t>Diferencias de las compañías seleccionadas con sus bancos respectivos.</w:t>
      </w:r>
      <w:bookmarkEnd w:id="1005"/>
      <w:bookmarkEnd w:id="1006"/>
      <w:bookmarkEnd w:id="1007"/>
      <w:bookmarkEnd w:id="1008"/>
      <w:bookmarkEnd w:id="1009"/>
      <w:bookmarkEnd w:id="1010"/>
      <w:bookmarkEnd w:id="1011"/>
      <w:bookmarkEnd w:id="1012"/>
    </w:p>
    <w:p w:rsidR="00CC1C75" w:rsidRDefault="00CC1C75" w:rsidP="004F10FA"/>
    <w:tbl>
      <w:tblPr>
        <w:tblW w:w="7710" w:type="dxa"/>
        <w:tblInd w:w="576" w:type="dxa"/>
        <w:tblCellMar>
          <w:left w:w="70" w:type="dxa"/>
          <w:right w:w="70" w:type="dxa"/>
        </w:tblCellMar>
        <w:tblLook w:val="0000"/>
      </w:tblPr>
      <w:tblGrid>
        <w:gridCol w:w="450"/>
        <w:gridCol w:w="940"/>
        <w:gridCol w:w="740"/>
        <w:gridCol w:w="900"/>
        <w:gridCol w:w="980"/>
        <w:gridCol w:w="900"/>
        <w:gridCol w:w="940"/>
        <w:gridCol w:w="880"/>
        <w:gridCol w:w="980"/>
      </w:tblGrid>
      <w:tr w:rsidR="0048227F" w:rsidRPr="0048227F">
        <w:trPr>
          <w:trHeight w:val="255"/>
        </w:trPr>
        <w:tc>
          <w:tcPr>
            <w:tcW w:w="450" w:type="dxa"/>
            <w:tcBorders>
              <w:top w:val="single" w:sz="4" w:space="0" w:color="auto"/>
              <w:left w:val="single" w:sz="4" w:space="0" w:color="auto"/>
              <w:bottom w:val="single" w:sz="4" w:space="0" w:color="auto"/>
              <w:right w:val="dashed" w:sz="4" w:space="0" w:color="auto"/>
            </w:tcBorders>
            <w:shd w:val="clear" w:color="auto" w:fill="auto"/>
            <w:noWrap/>
            <w:vAlign w:val="bottom"/>
          </w:tcPr>
          <w:p w:rsidR="0048227F" w:rsidRPr="0048227F" w:rsidRDefault="0048227F" w:rsidP="0048227F">
            <w:pPr>
              <w:rPr>
                <w:rFonts w:eastAsia="Times New Roman"/>
                <w:b/>
                <w:bCs/>
                <w:sz w:val="12"/>
                <w:szCs w:val="12"/>
              </w:rPr>
            </w:pPr>
            <w:r w:rsidRPr="0048227F">
              <w:rPr>
                <w:rFonts w:eastAsia="Times New Roman"/>
                <w:b/>
                <w:bCs/>
                <w:sz w:val="12"/>
                <w:szCs w:val="12"/>
              </w:rPr>
              <w:t> </w:t>
            </w:r>
          </w:p>
        </w:tc>
        <w:tc>
          <w:tcPr>
            <w:tcW w:w="940" w:type="dxa"/>
            <w:tcBorders>
              <w:top w:val="single" w:sz="4" w:space="0" w:color="auto"/>
              <w:left w:val="nil"/>
              <w:bottom w:val="single" w:sz="4" w:space="0" w:color="auto"/>
              <w:right w:val="dashed" w:sz="4" w:space="0" w:color="auto"/>
            </w:tcBorders>
            <w:shd w:val="clear" w:color="auto" w:fill="auto"/>
            <w:vAlign w:val="center"/>
          </w:tcPr>
          <w:p w:rsidR="0048227F" w:rsidRPr="0048227F" w:rsidRDefault="0048227F" w:rsidP="0048227F">
            <w:pPr>
              <w:jc w:val="center"/>
              <w:rPr>
                <w:rFonts w:eastAsia="Times New Roman"/>
                <w:b/>
                <w:bCs/>
                <w:sz w:val="12"/>
                <w:szCs w:val="12"/>
              </w:rPr>
            </w:pPr>
            <w:r w:rsidRPr="0048227F">
              <w:rPr>
                <w:rFonts w:eastAsia="Times New Roman"/>
                <w:b/>
                <w:bCs/>
                <w:sz w:val="12"/>
                <w:szCs w:val="12"/>
              </w:rPr>
              <w:t>M.O.</w:t>
            </w:r>
          </w:p>
        </w:tc>
        <w:tc>
          <w:tcPr>
            <w:tcW w:w="740" w:type="dxa"/>
            <w:tcBorders>
              <w:top w:val="single" w:sz="4" w:space="0" w:color="auto"/>
              <w:left w:val="nil"/>
              <w:bottom w:val="single" w:sz="4" w:space="0" w:color="auto"/>
              <w:right w:val="dashed" w:sz="4" w:space="0" w:color="auto"/>
            </w:tcBorders>
            <w:shd w:val="clear" w:color="auto" w:fill="auto"/>
            <w:vAlign w:val="center"/>
          </w:tcPr>
          <w:p w:rsidR="0048227F" w:rsidRPr="0048227F" w:rsidRDefault="0048227F" w:rsidP="0048227F">
            <w:pPr>
              <w:jc w:val="center"/>
              <w:rPr>
                <w:rFonts w:eastAsia="Times New Roman"/>
                <w:b/>
                <w:bCs/>
                <w:sz w:val="12"/>
                <w:szCs w:val="12"/>
              </w:rPr>
            </w:pPr>
            <w:r w:rsidRPr="0048227F">
              <w:rPr>
                <w:rFonts w:eastAsia="Times New Roman"/>
                <w:b/>
                <w:bCs/>
                <w:sz w:val="12"/>
                <w:szCs w:val="12"/>
              </w:rPr>
              <w:t>M.O.</w:t>
            </w:r>
          </w:p>
        </w:tc>
        <w:tc>
          <w:tcPr>
            <w:tcW w:w="900" w:type="dxa"/>
            <w:tcBorders>
              <w:top w:val="single" w:sz="4" w:space="0" w:color="auto"/>
              <w:left w:val="nil"/>
              <w:bottom w:val="single" w:sz="4" w:space="0" w:color="auto"/>
              <w:right w:val="dashed" w:sz="4" w:space="0" w:color="auto"/>
            </w:tcBorders>
            <w:shd w:val="clear" w:color="auto" w:fill="auto"/>
            <w:noWrap/>
            <w:vAlign w:val="center"/>
          </w:tcPr>
          <w:p w:rsidR="0048227F" w:rsidRPr="0048227F" w:rsidRDefault="0048227F" w:rsidP="0048227F">
            <w:pPr>
              <w:jc w:val="center"/>
              <w:rPr>
                <w:rFonts w:eastAsia="Times New Roman"/>
                <w:b/>
                <w:bCs/>
                <w:sz w:val="12"/>
                <w:szCs w:val="12"/>
              </w:rPr>
            </w:pPr>
            <w:r w:rsidRPr="0048227F">
              <w:rPr>
                <w:rFonts w:eastAsia="Times New Roman"/>
                <w:b/>
                <w:bCs/>
                <w:sz w:val="12"/>
                <w:szCs w:val="12"/>
              </w:rPr>
              <w:t>SER</w:t>
            </w:r>
          </w:p>
        </w:tc>
        <w:tc>
          <w:tcPr>
            <w:tcW w:w="980" w:type="dxa"/>
            <w:tcBorders>
              <w:top w:val="single" w:sz="4" w:space="0" w:color="auto"/>
              <w:left w:val="nil"/>
              <w:bottom w:val="single" w:sz="4" w:space="0" w:color="auto"/>
              <w:right w:val="dashed" w:sz="4" w:space="0" w:color="auto"/>
            </w:tcBorders>
            <w:shd w:val="clear" w:color="auto" w:fill="auto"/>
            <w:vAlign w:val="center"/>
          </w:tcPr>
          <w:p w:rsidR="0048227F" w:rsidRPr="0048227F" w:rsidRDefault="0048227F" w:rsidP="0048227F">
            <w:pPr>
              <w:jc w:val="center"/>
              <w:rPr>
                <w:rFonts w:eastAsia="Times New Roman"/>
                <w:b/>
                <w:bCs/>
                <w:sz w:val="12"/>
                <w:szCs w:val="12"/>
              </w:rPr>
            </w:pPr>
            <w:r w:rsidRPr="0048227F">
              <w:rPr>
                <w:rFonts w:eastAsia="Times New Roman"/>
                <w:b/>
                <w:bCs/>
                <w:sz w:val="12"/>
                <w:szCs w:val="12"/>
              </w:rPr>
              <w:t>D.U.</w:t>
            </w:r>
          </w:p>
        </w:tc>
        <w:tc>
          <w:tcPr>
            <w:tcW w:w="900" w:type="dxa"/>
            <w:tcBorders>
              <w:top w:val="single" w:sz="4" w:space="0" w:color="auto"/>
              <w:left w:val="nil"/>
              <w:bottom w:val="single" w:sz="4" w:space="0" w:color="auto"/>
              <w:right w:val="dashed" w:sz="4" w:space="0" w:color="auto"/>
            </w:tcBorders>
            <w:shd w:val="clear" w:color="auto" w:fill="auto"/>
            <w:vAlign w:val="center"/>
          </w:tcPr>
          <w:p w:rsidR="0048227F" w:rsidRPr="0048227F" w:rsidRDefault="0048227F" w:rsidP="0048227F">
            <w:pPr>
              <w:jc w:val="center"/>
              <w:rPr>
                <w:rFonts w:eastAsia="Times New Roman"/>
                <w:b/>
                <w:bCs/>
                <w:sz w:val="12"/>
                <w:szCs w:val="12"/>
              </w:rPr>
            </w:pPr>
            <w:r w:rsidRPr="0048227F">
              <w:rPr>
                <w:rFonts w:eastAsia="Times New Roman"/>
                <w:b/>
                <w:bCs/>
                <w:sz w:val="12"/>
                <w:szCs w:val="12"/>
              </w:rPr>
              <w:t>M.I.</w:t>
            </w:r>
          </w:p>
        </w:tc>
        <w:tc>
          <w:tcPr>
            <w:tcW w:w="940" w:type="dxa"/>
            <w:tcBorders>
              <w:top w:val="single" w:sz="4" w:space="0" w:color="auto"/>
              <w:left w:val="nil"/>
              <w:bottom w:val="single" w:sz="4" w:space="0" w:color="auto"/>
              <w:right w:val="dashed" w:sz="4" w:space="0" w:color="auto"/>
            </w:tcBorders>
            <w:shd w:val="clear" w:color="auto" w:fill="auto"/>
            <w:vAlign w:val="center"/>
          </w:tcPr>
          <w:p w:rsidR="0048227F" w:rsidRPr="0048227F" w:rsidRDefault="0048227F" w:rsidP="0048227F">
            <w:pPr>
              <w:jc w:val="center"/>
              <w:rPr>
                <w:rFonts w:eastAsia="Times New Roman"/>
                <w:b/>
                <w:bCs/>
                <w:sz w:val="12"/>
                <w:szCs w:val="12"/>
              </w:rPr>
            </w:pPr>
            <w:r w:rsidRPr="0048227F">
              <w:rPr>
                <w:rFonts w:eastAsia="Times New Roman"/>
                <w:b/>
                <w:bCs/>
                <w:sz w:val="12"/>
                <w:szCs w:val="12"/>
              </w:rPr>
              <w:t>M.I.</w:t>
            </w:r>
          </w:p>
        </w:tc>
        <w:tc>
          <w:tcPr>
            <w:tcW w:w="880" w:type="dxa"/>
            <w:tcBorders>
              <w:top w:val="single" w:sz="4" w:space="0" w:color="auto"/>
              <w:left w:val="nil"/>
              <w:bottom w:val="single" w:sz="4" w:space="0" w:color="auto"/>
              <w:right w:val="dashed" w:sz="4" w:space="0" w:color="auto"/>
            </w:tcBorders>
            <w:shd w:val="clear" w:color="auto" w:fill="auto"/>
            <w:vAlign w:val="center"/>
          </w:tcPr>
          <w:p w:rsidR="0048227F" w:rsidRPr="0048227F" w:rsidRDefault="0048227F" w:rsidP="0048227F">
            <w:pPr>
              <w:jc w:val="center"/>
              <w:rPr>
                <w:rFonts w:eastAsia="Times New Roman"/>
                <w:b/>
                <w:bCs/>
                <w:sz w:val="12"/>
                <w:szCs w:val="12"/>
              </w:rPr>
            </w:pPr>
            <w:r w:rsidRPr="0048227F">
              <w:rPr>
                <w:rFonts w:eastAsia="Times New Roman"/>
                <w:b/>
                <w:bCs/>
                <w:sz w:val="12"/>
                <w:szCs w:val="12"/>
              </w:rPr>
              <w:t>F.A.</w:t>
            </w:r>
          </w:p>
        </w:tc>
        <w:tc>
          <w:tcPr>
            <w:tcW w:w="980" w:type="dxa"/>
            <w:tcBorders>
              <w:top w:val="single" w:sz="4" w:space="0" w:color="auto"/>
              <w:left w:val="nil"/>
              <w:bottom w:val="single" w:sz="4" w:space="0" w:color="auto"/>
              <w:right w:val="single" w:sz="4" w:space="0" w:color="auto"/>
            </w:tcBorders>
            <w:shd w:val="clear" w:color="auto" w:fill="auto"/>
            <w:vAlign w:val="center"/>
          </w:tcPr>
          <w:p w:rsidR="0048227F" w:rsidRPr="0048227F" w:rsidRDefault="0048227F" w:rsidP="0048227F">
            <w:pPr>
              <w:jc w:val="center"/>
              <w:rPr>
                <w:rFonts w:eastAsia="Times New Roman"/>
                <w:b/>
                <w:bCs/>
                <w:sz w:val="12"/>
                <w:szCs w:val="12"/>
              </w:rPr>
            </w:pPr>
            <w:r w:rsidRPr="0048227F">
              <w:rPr>
                <w:rFonts w:eastAsia="Times New Roman"/>
                <w:b/>
                <w:bCs/>
                <w:sz w:val="12"/>
                <w:szCs w:val="12"/>
              </w:rPr>
              <w:t>F.A.</w:t>
            </w:r>
          </w:p>
        </w:tc>
      </w:tr>
      <w:tr w:rsidR="0048227F" w:rsidRPr="0048227F">
        <w:trPr>
          <w:trHeight w:val="255"/>
        </w:trPr>
        <w:tc>
          <w:tcPr>
            <w:tcW w:w="450" w:type="dxa"/>
            <w:tcBorders>
              <w:top w:val="nil"/>
              <w:left w:val="single" w:sz="4" w:space="0" w:color="auto"/>
              <w:bottom w:val="single" w:sz="4" w:space="0" w:color="auto"/>
              <w:right w:val="dashed" w:sz="4" w:space="0" w:color="auto"/>
            </w:tcBorders>
            <w:shd w:val="clear" w:color="auto" w:fill="auto"/>
            <w:noWrap/>
            <w:vAlign w:val="bottom"/>
          </w:tcPr>
          <w:p w:rsidR="0048227F" w:rsidRPr="0048227F" w:rsidRDefault="0048227F" w:rsidP="0048227F">
            <w:pPr>
              <w:rPr>
                <w:rFonts w:eastAsia="Times New Roman"/>
                <w:b/>
                <w:bCs/>
                <w:sz w:val="12"/>
                <w:szCs w:val="12"/>
              </w:rPr>
            </w:pPr>
            <w:r w:rsidRPr="0048227F">
              <w:rPr>
                <w:rFonts w:eastAsia="Times New Roman"/>
                <w:b/>
                <w:bCs/>
                <w:sz w:val="12"/>
                <w:szCs w:val="12"/>
              </w:rPr>
              <w:t> </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b/>
                <w:bCs/>
                <w:sz w:val="12"/>
                <w:szCs w:val="12"/>
              </w:rPr>
            </w:pPr>
            <w:r w:rsidRPr="0048227F">
              <w:rPr>
                <w:rFonts w:eastAsia="Times New Roman"/>
                <w:b/>
                <w:bCs/>
                <w:sz w:val="12"/>
                <w:szCs w:val="12"/>
              </w:rPr>
              <w:t>Produbanco</w:t>
            </w:r>
          </w:p>
        </w:tc>
        <w:tc>
          <w:tcPr>
            <w:tcW w:w="7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b/>
                <w:bCs/>
                <w:sz w:val="12"/>
                <w:szCs w:val="12"/>
              </w:rPr>
            </w:pPr>
            <w:r w:rsidRPr="0048227F">
              <w:rPr>
                <w:rFonts w:eastAsia="Times New Roman"/>
                <w:b/>
                <w:bCs/>
                <w:sz w:val="12"/>
                <w:szCs w:val="12"/>
              </w:rPr>
              <w:t>Pichincha</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b/>
                <w:bCs/>
                <w:sz w:val="12"/>
                <w:szCs w:val="12"/>
              </w:rPr>
            </w:pPr>
            <w:r w:rsidRPr="0048227F">
              <w:rPr>
                <w:rFonts w:eastAsia="Times New Roman"/>
                <w:b/>
                <w:bCs/>
                <w:sz w:val="12"/>
                <w:szCs w:val="12"/>
              </w:rPr>
              <w:t>Produbanco</w:t>
            </w:r>
          </w:p>
        </w:tc>
        <w:tc>
          <w:tcPr>
            <w:tcW w:w="9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b/>
                <w:bCs/>
                <w:sz w:val="12"/>
                <w:szCs w:val="12"/>
              </w:rPr>
            </w:pPr>
            <w:r w:rsidRPr="0048227F">
              <w:rPr>
                <w:rFonts w:eastAsia="Times New Roman"/>
                <w:b/>
                <w:bCs/>
                <w:sz w:val="12"/>
                <w:szCs w:val="12"/>
              </w:rPr>
              <w:t>Produfondos</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b/>
                <w:bCs/>
                <w:sz w:val="12"/>
                <w:szCs w:val="12"/>
              </w:rPr>
            </w:pPr>
            <w:r w:rsidRPr="0048227F">
              <w:rPr>
                <w:rFonts w:eastAsia="Times New Roman"/>
                <w:b/>
                <w:bCs/>
                <w:sz w:val="12"/>
                <w:szCs w:val="12"/>
              </w:rPr>
              <w:t>Produbanco</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b/>
                <w:bCs/>
                <w:sz w:val="12"/>
                <w:szCs w:val="12"/>
              </w:rPr>
            </w:pPr>
            <w:r w:rsidRPr="0048227F">
              <w:rPr>
                <w:rFonts w:eastAsia="Times New Roman"/>
                <w:b/>
                <w:bCs/>
                <w:sz w:val="12"/>
                <w:szCs w:val="12"/>
              </w:rPr>
              <w:t>Produfondos</w:t>
            </w:r>
          </w:p>
        </w:tc>
        <w:tc>
          <w:tcPr>
            <w:tcW w:w="8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b/>
                <w:bCs/>
                <w:sz w:val="12"/>
                <w:szCs w:val="12"/>
              </w:rPr>
            </w:pPr>
            <w:r w:rsidRPr="0048227F">
              <w:rPr>
                <w:rFonts w:eastAsia="Times New Roman"/>
                <w:b/>
                <w:bCs/>
                <w:sz w:val="12"/>
                <w:szCs w:val="12"/>
              </w:rPr>
              <w:t>Produbanco</w:t>
            </w:r>
          </w:p>
        </w:tc>
        <w:tc>
          <w:tcPr>
            <w:tcW w:w="980" w:type="dxa"/>
            <w:tcBorders>
              <w:top w:val="nil"/>
              <w:left w:val="nil"/>
              <w:bottom w:val="single" w:sz="4" w:space="0" w:color="auto"/>
              <w:right w:val="single" w:sz="4" w:space="0" w:color="auto"/>
            </w:tcBorders>
            <w:shd w:val="clear" w:color="auto" w:fill="auto"/>
            <w:noWrap/>
            <w:vAlign w:val="bottom"/>
          </w:tcPr>
          <w:p w:rsidR="0048227F" w:rsidRPr="0048227F" w:rsidRDefault="0048227F" w:rsidP="0048227F">
            <w:pPr>
              <w:jc w:val="center"/>
              <w:rPr>
                <w:rFonts w:eastAsia="Times New Roman"/>
                <w:b/>
                <w:bCs/>
                <w:sz w:val="12"/>
                <w:szCs w:val="12"/>
              </w:rPr>
            </w:pPr>
            <w:r w:rsidRPr="0048227F">
              <w:rPr>
                <w:rFonts w:eastAsia="Times New Roman"/>
                <w:b/>
                <w:bCs/>
                <w:sz w:val="12"/>
                <w:szCs w:val="12"/>
              </w:rPr>
              <w:t>Produfondos</w:t>
            </w:r>
          </w:p>
        </w:tc>
      </w:tr>
      <w:tr w:rsidR="0048227F" w:rsidRPr="0048227F">
        <w:trPr>
          <w:trHeight w:val="255"/>
        </w:trPr>
        <w:tc>
          <w:tcPr>
            <w:tcW w:w="450" w:type="dxa"/>
            <w:tcBorders>
              <w:top w:val="nil"/>
              <w:left w:val="single" w:sz="4" w:space="0" w:color="auto"/>
              <w:bottom w:val="single" w:sz="4" w:space="0" w:color="auto"/>
              <w:right w:val="dashed" w:sz="4" w:space="0" w:color="auto"/>
            </w:tcBorders>
            <w:shd w:val="clear" w:color="auto" w:fill="auto"/>
            <w:noWrap/>
            <w:vAlign w:val="bottom"/>
          </w:tcPr>
          <w:p w:rsidR="0048227F" w:rsidRPr="0048227F" w:rsidRDefault="0048227F" w:rsidP="0048227F">
            <w:pPr>
              <w:rPr>
                <w:rFonts w:eastAsia="Times New Roman"/>
                <w:b/>
                <w:bCs/>
                <w:sz w:val="12"/>
                <w:szCs w:val="12"/>
              </w:rPr>
            </w:pPr>
            <w:r w:rsidRPr="0048227F">
              <w:rPr>
                <w:rFonts w:eastAsia="Times New Roman"/>
                <w:b/>
                <w:bCs/>
                <w:sz w:val="12"/>
                <w:szCs w:val="12"/>
              </w:rPr>
              <w:t>Ene.</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10.002,34</w:t>
            </w:r>
          </w:p>
        </w:tc>
        <w:tc>
          <w:tcPr>
            <w:tcW w:w="7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1.000,00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6.002,92</w:t>
            </w:r>
          </w:p>
        </w:tc>
        <w:tc>
          <w:tcPr>
            <w:tcW w:w="9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50,00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6.000,00</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7,49</w:t>
            </w:r>
          </w:p>
        </w:tc>
        <w:tc>
          <w:tcPr>
            <w:tcW w:w="8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203,05</w:t>
            </w:r>
          </w:p>
        </w:tc>
        <w:tc>
          <w:tcPr>
            <w:tcW w:w="980" w:type="dxa"/>
            <w:tcBorders>
              <w:top w:val="nil"/>
              <w:left w:val="nil"/>
              <w:bottom w:val="single" w:sz="4" w:space="0" w:color="auto"/>
              <w:right w:val="single"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50,02</w:t>
            </w:r>
          </w:p>
        </w:tc>
      </w:tr>
      <w:tr w:rsidR="0048227F" w:rsidRPr="0048227F">
        <w:trPr>
          <w:trHeight w:val="255"/>
        </w:trPr>
        <w:tc>
          <w:tcPr>
            <w:tcW w:w="450" w:type="dxa"/>
            <w:tcBorders>
              <w:top w:val="nil"/>
              <w:left w:val="single" w:sz="4" w:space="0" w:color="auto"/>
              <w:bottom w:val="single" w:sz="4" w:space="0" w:color="auto"/>
              <w:right w:val="dashed" w:sz="4" w:space="0" w:color="auto"/>
            </w:tcBorders>
            <w:shd w:val="clear" w:color="auto" w:fill="auto"/>
            <w:noWrap/>
            <w:vAlign w:val="bottom"/>
          </w:tcPr>
          <w:p w:rsidR="0048227F" w:rsidRPr="0048227F" w:rsidRDefault="0048227F" w:rsidP="0048227F">
            <w:pPr>
              <w:rPr>
                <w:rFonts w:eastAsia="Times New Roman"/>
                <w:b/>
                <w:bCs/>
                <w:sz w:val="12"/>
                <w:szCs w:val="12"/>
              </w:rPr>
            </w:pPr>
            <w:r w:rsidRPr="0048227F">
              <w:rPr>
                <w:rFonts w:eastAsia="Times New Roman"/>
                <w:b/>
                <w:bCs/>
                <w:sz w:val="12"/>
                <w:szCs w:val="12"/>
              </w:rPr>
              <w:t>Feb.</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2,34</w:t>
            </w:r>
          </w:p>
        </w:tc>
        <w:tc>
          <w:tcPr>
            <w:tcW w:w="7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35,80</w:t>
            </w:r>
          </w:p>
        </w:tc>
        <w:tc>
          <w:tcPr>
            <w:tcW w:w="9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70,00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8.928,03</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50,94</w:t>
            </w:r>
          </w:p>
        </w:tc>
        <w:tc>
          <w:tcPr>
            <w:tcW w:w="8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4,05</w:t>
            </w:r>
          </w:p>
        </w:tc>
        <w:tc>
          <w:tcPr>
            <w:tcW w:w="980" w:type="dxa"/>
            <w:tcBorders>
              <w:top w:val="nil"/>
              <w:left w:val="nil"/>
              <w:bottom w:val="single" w:sz="4" w:space="0" w:color="auto"/>
              <w:right w:val="single"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51,99</w:t>
            </w:r>
          </w:p>
        </w:tc>
      </w:tr>
      <w:tr w:rsidR="0048227F" w:rsidRPr="0048227F">
        <w:trPr>
          <w:trHeight w:val="255"/>
        </w:trPr>
        <w:tc>
          <w:tcPr>
            <w:tcW w:w="450" w:type="dxa"/>
            <w:tcBorders>
              <w:top w:val="nil"/>
              <w:left w:val="single" w:sz="4" w:space="0" w:color="auto"/>
              <w:bottom w:val="single" w:sz="4" w:space="0" w:color="auto"/>
              <w:right w:val="dashed" w:sz="4" w:space="0" w:color="auto"/>
            </w:tcBorders>
            <w:shd w:val="clear" w:color="auto" w:fill="auto"/>
            <w:noWrap/>
            <w:vAlign w:val="bottom"/>
          </w:tcPr>
          <w:p w:rsidR="0048227F" w:rsidRPr="0048227F" w:rsidRDefault="0048227F" w:rsidP="0048227F">
            <w:pPr>
              <w:rPr>
                <w:rFonts w:eastAsia="Times New Roman"/>
                <w:b/>
                <w:bCs/>
                <w:sz w:val="12"/>
                <w:szCs w:val="12"/>
              </w:rPr>
            </w:pPr>
            <w:r w:rsidRPr="0048227F">
              <w:rPr>
                <w:rFonts w:eastAsia="Times New Roman"/>
                <w:b/>
                <w:bCs/>
                <w:sz w:val="12"/>
                <w:szCs w:val="12"/>
              </w:rPr>
              <w:t>Marz.</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2,54</w:t>
            </w:r>
          </w:p>
        </w:tc>
        <w:tc>
          <w:tcPr>
            <w:tcW w:w="7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3000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302,39</w:t>
            </w:r>
          </w:p>
        </w:tc>
        <w:tc>
          <w:tcPr>
            <w:tcW w:w="9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0,96</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102,49</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100</w:t>
            </w:r>
          </w:p>
        </w:tc>
        <w:tc>
          <w:tcPr>
            <w:tcW w:w="8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3,05</w:t>
            </w:r>
          </w:p>
        </w:tc>
        <w:tc>
          <w:tcPr>
            <w:tcW w:w="980" w:type="dxa"/>
            <w:tcBorders>
              <w:top w:val="nil"/>
              <w:left w:val="nil"/>
              <w:bottom w:val="single" w:sz="4" w:space="0" w:color="auto"/>
              <w:right w:val="single"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1,99</w:t>
            </w:r>
          </w:p>
        </w:tc>
      </w:tr>
      <w:tr w:rsidR="0048227F" w:rsidRPr="0048227F">
        <w:trPr>
          <w:trHeight w:val="255"/>
        </w:trPr>
        <w:tc>
          <w:tcPr>
            <w:tcW w:w="450" w:type="dxa"/>
            <w:tcBorders>
              <w:top w:val="nil"/>
              <w:left w:val="single" w:sz="4" w:space="0" w:color="auto"/>
              <w:bottom w:val="single" w:sz="4" w:space="0" w:color="auto"/>
              <w:right w:val="dashed" w:sz="4" w:space="0" w:color="auto"/>
            </w:tcBorders>
            <w:shd w:val="clear" w:color="auto" w:fill="auto"/>
            <w:noWrap/>
            <w:vAlign w:val="bottom"/>
          </w:tcPr>
          <w:p w:rsidR="0048227F" w:rsidRPr="0048227F" w:rsidRDefault="0048227F" w:rsidP="0048227F">
            <w:pPr>
              <w:rPr>
                <w:rFonts w:eastAsia="Times New Roman"/>
                <w:b/>
                <w:bCs/>
                <w:sz w:val="12"/>
                <w:szCs w:val="12"/>
              </w:rPr>
            </w:pPr>
            <w:r w:rsidRPr="0048227F">
              <w:rPr>
                <w:rFonts w:eastAsia="Times New Roman"/>
                <w:b/>
                <w:bCs/>
                <w:sz w:val="12"/>
                <w:szCs w:val="12"/>
              </w:rPr>
              <w:t>Abr.</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5,54</w:t>
            </w:r>
          </w:p>
        </w:tc>
        <w:tc>
          <w:tcPr>
            <w:tcW w:w="7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3.000,00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10.002,34</w:t>
            </w:r>
          </w:p>
        </w:tc>
        <w:tc>
          <w:tcPr>
            <w:tcW w:w="9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60,00</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50,41</w:t>
            </w:r>
          </w:p>
        </w:tc>
        <w:tc>
          <w:tcPr>
            <w:tcW w:w="8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3,05</w:t>
            </w:r>
          </w:p>
        </w:tc>
        <w:tc>
          <w:tcPr>
            <w:tcW w:w="980" w:type="dxa"/>
            <w:tcBorders>
              <w:top w:val="nil"/>
              <w:left w:val="nil"/>
              <w:bottom w:val="single" w:sz="4" w:space="0" w:color="auto"/>
              <w:right w:val="single"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r>
      <w:tr w:rsidR="0048227F" w:rsidRPr="0048227F">
        <w:trPr>
          <w:trHeight w:val="255"/>
        </w:trPr>
        <w:tc>
          <w:tcPr>
            <w:tcW w:w="450" w:type="dxa"/>
            <w:tcBorders>
              <w:top w:val="nil"/>
              <w:left w:val="single" w:sz="4" w:space="0" w:color="auto"/>
              <w:bottom w:val="single" w:sz="4" w:space="0" w:color="auto"/>
              <w:right w:val="dashed" w:sz="4" w:space="0" w:color="auto"/>
            </w:tcBorders>
            <w:shd w:val="clear" w:color="auto" w:fill="auto"/>
            <w:noWrap/>
            <w:vAlign w:val="bottom"/>
          </w:tcPr>
          <w:p w:rsidR="0048227F" w:rsidRPr="0048227F" w:rsidRDefault="0048227F" w:rsidP="0048227F">
            <w:pPr>
              <w:rPr>
                <w:rFonts w:eastAsia="Times New Roman"/>
                <w:b/>
                <w:bCs/>
                <w:sz w:val="12"/>
                <w:szCs w:val="12"/>
              </w:rPr>
            </w:pPr>
            <w:r w:rsidRPr="0048227F">
              <w:rPr>
                <w:rFonts w:eastAsia="Times New Roman"/>
                <w:b/>
                <w:bCs/>
                <w:sz w:val="12"/>
                <w:szCs w:val="12"/>
              </w:rPr>
              <w:t>May.</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10.002,34</w:t>
            </w:r>
          </w:p>
        </w:tc>
        <w:tc>
          <w:tcPr>
            <w:tcW w:w="7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300,00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802,34</w:t>
            </w:r>
          </w:p>
        </w:tc>
        <w:tc>
          <w:tcPr>
            <w:tcW w:w="9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1.000,90</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33,58</w:t>
            </w:r>
          </w:p>
        </w:tc>
        <w:tc>
          <w:tcPr>
            <w:tcW w:w="8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50,00</w:t>
            </w:r>
          </w:p>
        </w:tc>
        <w:tc>
          <w:tcPr>
            <w:tcW w:w="980" w:type="dxa"/>
            <w:tcBorders>
              <w:top w:val="nil"/>
              <w:left w:val="nil"/>
              <w:bottom w:val="single" w:sz="4" w:space="0" w:color="auto"/>
              <w:right w:val="single"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45,57</w:t>
            </w:r>
          </w:p>
        </w:tc>
      </w:tr>
      <w:tr w:rsidR="0048227F" w:rsidRPr="0048227F">
        <w:trPr>
          <w:trHeight w:val="255"/>
        </w:trPr>
        <w:tc>
          <w:tcPr>
            <w:tcW w:w="450" w:type="dxa"/>
            <w:tcBorders>
              <w:top w:val="nil"/>
              <w:left w:val="single" w:sz="4" w:space="0" w:color="auto"/>
              <w:bottom w:val="single" w:sz="4" w:space="0" w:color="auto"/>
              <w:right w:val="dashed" w:sz="4" w:space="0" w:color="auto"/>
            </w:tcBorders>
            <w:shd w:val="clear" w:color="auto" w:fill="auto"/>
            <w:noWrap/>
            <w:vAlign w:val="bottom"/>
          </w:tcPr>
          <w:p w:rsidR="0048227F" w:rsidRPr="0048227F" w:rsidRDefault="0048227F" w:rsidP="0048227F">
            <w:pPr>
              <w:rPr>
                <w:rFonts w:eastAsia="Times New Roman"/>
                <w:b/>
                <w:bCs/>
                <w:sz w:val="12"/>
                <w:szCs w:val="12"/>
              </w:rPr>
            </w:pPr>
            <w:r w:rsidRPr="0048227F">
              <w:rPr>
                <w:rFonts w:eastAsia="Times New Roman"/>
                <w:b/>
                <w:bCs/>
                <w:sz w:val="12"/>
                <w:szCs w:val="12"/>
              </w:rPr>
              <w:t>Jun.</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1.002,44</w:t>
            </w:r>
          </w:p>
        </w:tc>
        <w:tc>
          <w:tcPr>
            <w:tcW w:w="7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2,34</w:t>
            </w:r>
          </w:p>
        </w:tc>
        <w:tc>
          <w:tcPr>
            <w:tcW w:w="9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c>
          <w:tcPr>
            <w:tcW w:w="90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c>
          <w:tcPr>
            <w:tcW w:w="94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c>
          <w:tcPr>
            <w:tcW w:w="880" w:type="dxa"/>
            <w:tcBorders>
              <w:top w:val="nil"/>
              <w:left w:val="nil"/>
              <w:bottom w:val="single" w:sz="4" w:space="0" w:color="auto"/>
              <w:right w:val="dashed"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c>
          <w:tcPr>
            <w:tcW w:w="980" w:type="dxa"/>
            <w:tcBorders>
              <w:top w:val="nil"/>
              <w:left w:val="nil"/>
              <w:bottom w:val="single" w:sz="4" w:space="0" w:color="auto"/>
              <w:right w:val="single" w:sz="4" w:space="0" w:color="auto"/>
            </w:tcBorders>
            <w:shd w:val="clear" w:color="auto" w:fill="auto"/>
            <w:noWrap/>
            <w:vAlign w:val="bottom"/>
          </w:tcPr>
          <w:p w:rsidR="0048227F" w:rsidRPr="0048227F" w:rsidRDefault="0048227F" w:rsidP="0048227F">
            <w:pPr>
              <w:jc w:val="center"/>
              <w:rPr>
                <w:rFonts w:eastAsia="Times New Roman"/>
                <w:sz w:val="12"/>
                <w:szCs w:val="12"/>
              </w:rPr>
            </w:pPr>
            <w:r w:rsidRPr="0048227F">
              <w:rPr>
                <w:rFonts w:eastAsia="Times New Roman"/>
                <w:sz w:val="12"/>
                <w:szCs w:val="12"/>
              </w:rPr>
              <w:t>0,00</w:t>
            </w:r>
          </w:p>
        </w:tc>
      </w:tr>
    </w:tbl>
    <w:p w:rsidR="00CC1C75" w:rsidRDefault="00CC1C75" w:rsidP="00CC1C75"/>
    <w:p w:rsidR="00CC1C75" w:rsidRDefault="00CC1C75" w:rsidP="00CC1C75"/>
    <w:p w:rsidR="00290776" w:rsidRDefault="00B04CD6" w:rsidP="0045498B">
      <w:pPr>
        <w:tabs>
          <w:tab w:val="left" w:pos="3385"/>
        </w:tabs>
        <w:spacing w:line="480" w:lineRule="auto"/>
        <w:jc w:val="center"/>
        <w:rPr>
          <w:b/>
          <w:bCs/>
        </w:rPr>
      </w:pPr>
      <w:r>
        <w:rPr>
          <w:noProof/>
        </w:rPr>
        <w:drawing>
          <wp:inline distT="0" distB="0" distL="0" distR="0">
            <wp:extent cx="4813300" cy="293370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CC1C75">
        <w:rPr>
          <w:b/>
          <w:bCs/>
        </w:rPr>
        <w:t xml:space="preserve"> </w:t>
      </w:r>
    </w:p>
    <w:p w:rsidR="00CC1C75" w:rsidRPr="00290776" w:rsidRDefault="00CC1C75" w:rsidP="00290776">
      <w:pPr>
        <w:pStyle w:val="Ttulo1"/>
        <w:ind w:left="181"/>
        <w:jc w:val="center"/>
        <w:rPr>
          <w:rFonts w:ascii="Arial" w:hAnsi="Arial" w:cs="Arial"/>
          <w:b w:val="0"/>
        </w:rPr>
      </w:pPr>
      <w:bookmarkStart w:id="1013" w:name="_Toc183699924"/>
      <w:bookmarkStart w:id="1014" w:name="_Toc183700197"/>
      <w:bookmarkStart w:id="1015" w:name="_Toc183700707"/>
      <w:bookmarkStart w:id="1016" w:name="_Toc183700959"/>
      <w:r w:rsidRPr="00290776">
        <w:rPr>
          <w:rFonts w:ascii="Arial" w:hAnsi="Arial" w:cs="Arial"/>
        </w:rPr>
        <w:t>Gráfico 2.24</w:t>
      </w:r>
      <w:r w:rsidR="002B7BBF">
        <w:rPr>
          <w:rFonts w:ascii="Arial" w:hAnsi="Arial" w:cs="Arial"/>
        </w:rPr>
        <w:t>.</w:t>
      </w:r>
      <w:r w:rsidRPr="00290776">
        <w:rPr>
          <w:rFonts w:ascii="Arial" w:hAnsi="Arial" w:cs="Arial"/>
        </w:rPr>
        <w:t xml:space="preserve"> </w:t>
      </w:r>
      <w:r w:rsidRPr="00290776">
        <w:rPr>
          <w:rFonts w:ascii="Arial" w:hAnsi="Arial" w:cs="Arial"/>
          <w:b w:val="0"/>
        </w:rPr>
        <w:t>Gráfica temporal de las compañías seleccionadas.</w:t>
      </w:r>
      <w:bookmarkEnd w:id="1013"/>
      <w:bookmarkEnd w:id="1014"/>
      <w:bookmarkEnd w:id="1015"/>
      <w:bookmarkEnd w:id="1016"/>
    </w:p>
    <w:p w:rsidR="00CC1C75" w:rsidRDefault="00CC1C75" w:rsidP="00CC1C75">
      <w:pPr>
        <w:tabs>
          <w:tab w:val="left" w:pos="3385"/>
        </w:tabs>
      </w:pPr>
    </w:p>
    <w:p w:rsidR="00CC1C75" w:rsidRDefault="00CC1C75" w:rsidP="00CC1C75">
      <w:pPr>
        <w:tabs>
          <w:tab w:val="left" w:pos="3385"/>
        </w:tabs>
      </w:pPr>
    </w:p>
    <w:p w:rsidR="00CC1C75" w:rsidRDefault="00CC1C75" w:rsidP="00CC1C75">
      <w:pPr>
        <w:spacing w:line="480" w:lineRule="auto"/>
        <w:ind w:left="180"/>
        <w:jc w:val="both"/>
      </w:pPr>
      <w:r>
        <w:rPr>
          <w:rFonts w:ascii="Arial" w:hAnsi="Arial" w:cs="Arial"/>
        </w:rPr>
        <w:t xml:space="preserve">Con esta gráfica se quería demostrar si el mes influye en las diferencias de todas las compañías seleccionadas que se presentan, pero como podemos observar en las compañías existen distintos meses que se presentan diferencias elevadas de los saldos de las conciliaciones bancarias, en los meses de enero, abril, y mayo son los que tienen mayores diferencias por </w:t>
      </w:r>
      <w:r>
        <w:rPr>
          <w:rFonts w:ascii="Arial" w:hAnsi="Arial" w:cs="Arial"/>
        </w:rPr>
        <w:lastRenderedPageBreak/>
        <w:t>lo que el mes no influye sin embargo se puede apreciar que existe relación entre los bancos ya que las diferencias son del mismo banco para distintas compañías. En general la que presenta mayor variación es M.O. de Produbanco en los meses de  enero y mayo.</w:t>
      </w:r>
    </w:p>
    <w:p w:rsidR="00CC1C75" w:rsidRDefault="00CC1C75" w:rsidP="00CC1C75">
      <w:pPr>
        <w:tabs>
          <w:tab w:val="left" w:pos="851"/>
        </w:tabs>
        <w:spacing w:line="480" w:lineRule="auto"/>
        <w:jc w:val="both"/>
        <w:rPr>
          <w:rFonts w:ascii="Arial" w:hAnsi="Arial" w:cs="Arial"/>
          <w:b/>
        </w:rPr>
      </w:pPr>
    </w:p>
    <w:p w:rsidR="00CC1C75" w:rsidRPr="007308D7" w:rsidRDefault="00CC1C75" w:rsidP="007308D7">
      <w:pPr>
        <w:pStyle w:val="Ttulo2"/>
        <w:spacing w:before="0" w:after="0" w:line="480" w:lineRule="auto"/>
        <w:ind w:left="181"/>
        <w:jc w:val="both"/>
        <w:rPr>
          <w:i w:val="0"/>
          <w:iCs w:val="0"/>
          <w:sz w:val="24"/>
        </w:rPr>
      </w:pPr>
      <w:bookmarkStart w:id="1017" w:name="_Toc183697568"/>
      <w:bookmarkStart w:id="1018" w:name="_Toc183698898"/>
      <w:bookmarkStart w:id="1019" w:name="_Toc183699239"/>
      <w:bookmarkStart w:id="1020" w:name="_Toc183699451"/>
      <w:bookmarkStart w:id="1021" w:name="_Toc183699925"/>
      <w:bookmarkStart w:id="1022" w:name="_Toc183700198"/>
      <w:bookmarkStart w:id="1023" w:name="_Toc183700708"/>
      <w:bookmarkStart w:id="1024" w:name="_Toc183700960"/>
      <w:r w:rsidRPr="007308D7">
        <w:rPr>
          <w:i w:val="0"/>
          <w:iCs w:val="0"/>
          <w:sz w:val="24"/>
        </w:rPr>
        <w:t>2.8 Análisis de los valores de  las diferencias entre los saldos de las conciliaciones bancarias y los saldos de libros del primer semestre del año 2007 mediante diagrama de dispersión.</w:t>
      </w:r>
      <w:bookmarkEnd w:id="1017"/>
      <w:bookmarkEnd w:id="1018"/>
      <w:bookmarkEnd w:id="1019"/>
      <w:bookmarkEnd w:id="1020"/>
      <w:bookmarkEnd w:id="1021"/>
      <w:bookmarkEnd w:id="1022"/>
      <w:bookmarkEnd w:id="1023"/>
      <w:bookmarkEnd w:id="1024"/>
    </w:p>
    <w:p w:rsidR="00CC1C75" w:rsidRDefault="00CC1C75" w:rsidP="00CC1C75">
      <w:pPr>
        <w:spacing w:line="480" w:lineRule="auto"/>
        <w:ind w:left="180"/>
        <w:jc w:val="both"/>
        <w:rPr>
          <w:rFonts w:ascii="Arial" w:hAnsi="Arial" w:cs="Arial"/>
        </w:rPr>
      </w:pPr>
      <w:r>
        <w:rPr>
          <w:rFonts w:ascii="Arial" w:hAnsi="Arial" w:cs="Arial"/>
        </w:rPr>
        <w:t xml:space="preserve">Este diagrama de dispersión fue realizado con dos variables las cuales son </w:t>
      </w:r>
      <w:r>
        <w:rPr>
          <w:rFonts w:ascii="Arial" w:hAnsi="Arial" w:cs="Arial"/>
          <w:b/>
          <w:bCs/>
        </w:rPr>
        <w:t>y:</w:t>
      </w:r>
      <w:r>
        <w:rPr>
          <w:rFonts w:ascii="Arial" w:hAnsi="Arial" w:cs="Arial"/>
        </w:rPr>
        <w:t xml:space="preserve"> números de requisitos revisados para el control y </w:t>
      </w:r>
      <w:r>
        <w:rPr>
          <w:rFonts w:ascii="Arial" w:hAnsi="Arial" w:cs="Arial"/>
          <w:b/>
          <w:bCs/>
        </w:rPr>
        <w:t>x</w:t>
      </w:r>
      <w:r>
        <w:rPr>
          <w:rFonts w:ascii="Arial" w:hAnsi="Arial" w:cs="Arial"/>
        </w:rPr>
        <w:t xml:space="preserve">: total de diferencia de los saldos, los datos se los puede apreciar en la tabla. </w:t>
      </w:r>
    </w:p>
    <w:p w:rsidR="00CC1C75" w:rsidRDefault="00CC1C75" w:rsidP="00CC1C75">
      <w:pPr>
        <w:tabs>
          <w:tab w:val="left" w:pos="851"/>
        </w:tabs>
        <w:spacing w:line="480" w:lineRule="auto"/>
        <w:ind w:left="180"/>
        <w:jc w:val="both"/>
        <w:rPr>
          <w:rFonts w:ascii="Arial" w:hAnsi="Arial" w:cs="Arial"/>
        </w:rPr>
      </w:pPr>
      <w:r>
        <w:rPr>
          <w:rFonts w:ascii="Arial" w:hAnsi="Arial" w:cs="Arial"/>
        </w:rPr>
        <w:t>En el siguiente literal 2.9 realizaremos el análisis de correlación para constatar lo que indica el gráfico de dispersión.</w:t>
      </w:r>
    </w:p>
    <w:p w:rsidR="007308D7" w:rsidRDefault="007308D7" w:rsidP="00E27C26">
      <w:pPr>
        <w:tabs>
          <w:tab w:val="left" w:pos="851"/>
        </w:tabs>
        <w:spacing w:line="480" w:lineRule="auto"/>
        <w:jc w:val="both"/>
        <w:rPr>
          <w:rFonts w:ascii="Arial" w:hAnsi="Arial" w:cs="Arial"/>
        </w:rPr>
      </w:pPr>
    </w:p>
    <w:p w:rsidR="00CC1C75" w:rsidRPr="007308D7" w:rsidRDefault="007308D7" w:rsidP="007308D7">
      <w:pPr>
        <w:pStyle w:val="Ttulo1"/>
        <w:spacing w:line="480" w:lineRule="auto"/>
        <w:ind w:left="181"/>
        <w:jc w:val="center"/>
        <w:rPr>
          <w:rFonts w:ascii="Arial" w:hAnsi="Arial" w:cs="Arial"/>
          <w:b w:val="0"/>
        </w:rPr>
      </w:pPr>
      <w:bookmarkStart w:id="1025" w:name="_Toc183697569"/>
      <w:bookmarkStart w:id="1026" w:name="_Toc183698899"/>
      <w:bookmarkStart w:id="1027" w:name="_Toc183699240"/>
      <w:bookmarkStart w:id="1028" w:name="_Toc183699452"/>
      <w:bookmarkStart w:id="1029" w:name="_Toc183699926"/>
      <w:bookmarkStart w:id="1030" w:name="_Toc183700199"/>
      <w:bookmarkStart w:id="1031" w:name="_Toc183700709"/>
      <w:bookmarkStart w:id="1032" w:name="_Toc183700961"/>
      <w:r w:rsidRPr="007308D7">
        <w:rPr>
          <w:rFonts w:ascii="Arial" w:hAnsi="Arial" w:cs="Arial"/>
        </w:rPr>
        <w:t xml:space="preserve">Tabla XVIII. </w:t>
      </w:r>
      <w:r w:rsidRPr="007308D7">
        <w:rPr>
          <w:rFonts w:ascii="Arial" w:hAnsi="Arial" w:cs="Arial"/>
          <w:b w:val="0"/>
        </w:rPr>
        <w:t>Datos para el diagrama de dispersión.</w:t>
      </w:r>
      <w:bookmarkEnd w:id="1025"/>
      <w:bookmarkEnd w:id="1026"/>
      <w:bookmarkEnd w:id="1027"/>
      <w:bookmarkEnd w:id="1028"/>
      <w:bookmarkEnd w:id="1029"/>
      <w:bookmarkEnd w:id="1030"/>
      <w:bookmarkEnd w:id="1031"/>
      <w:bookmarkEnd w:id="1032"/>
    </w:p>
    <w:tbl>
      <w:tblPr>
        <w:tblW w:w="4360" w:type="dxa"/>
        <w:jc w:val="center"/>
        <w:tblCellMar>
          <w:left w:w="0" w:type="dxa"/>
          <w:right w:w="0" w:type="dxa"/>
        </w:tblCellMar>
        <w:tblLook w:val="0000"/>
      </w:tblPr>
      <w:tblGrid>
        <w:gridCol w:w="1200"/>
        <w:gridCol w:w="1380"/>
        <w:gridCol w:w="1780"/>
      </w:tblGrid>
      <w:tr w:rsidR="00CC1C75">
        <w:trPr>
          <w:trHeight w:val="255"/>
          <w:jc w:val="center"/>
        </w:trPr>
        <w:tc>
          <w:tcPr>
            <w:tcW w:w="4360" w:type="dxa"/>
            <w:gridSpan w:val="3"/>
            <w:tcBorders>
              <w:top w:val="single" w:sz="8" w:space="0" w:color="auto"/>
              <w:left w:val="single" w:sz="8" w:space="0" w:color="auto"/>
              <w:bottom w:val="single" w:sz="4" w:space="0" w:color="auto"/>
              <w:right w:val="single" w:sz="8" w:space="0" w:color="000000"/>
            </w:tcBorders>
            <w:noWrap/>
            <w:vAlign w:val="bottom"/>
          </w:tcPr>
          <w:p w:rsidR="00CC1C75" w:rsidRDefault="00CC1C75" w:rsidP="00CC1C75">
            <w:pPr>
              <w:jc w:val="center"/>
              <w:rPr>
                <w:rFonts w:ascii="Arial" w:eastAsia="Arial Unicode MS" w:hAnsi="Arial" w:cs="Arial"/>
                <w:b/>
                <w:bCs/>
                <w:sz w:val="20"/>
                <w:szCs w:val="20"/>
              </w:rPr>
            </w:pPr>
            <w:r>
              <w:rPr>
                <w:rFonts w:ascii="Arial" w:hAnsi="Arial" w:cs="Arial"/>
                <w:b/>
                <w:bCs/>
                <w:sz w:val="20"/>
                <w:szCs w:val="20"/>
              </w:rPr>
              <w:t>DATOS PARA EL DIAGRAMA DE DISPERSION</w:t>
            </w:r>
          </w:p>
        </w:tc>
      </w:tr>
      <w:tr w:rsidR="00CC1C75">
        <w:trPr>
          <w:trHeight w:val="1020"/>
          <w:jc w:val="center"/>
        </w:trPr>
        <w:tc>
          <w:tcPr>
            <w:tcW w:w="1200" w:type="dxa"/>
            <w:tcBorders>
              <w:top w:val="nil"/>
              <w:left w:val="single" w:sz="8" w:space="0" w:color="auto"/>
              <w:bottom w:val="single" w:sz="4" w:space="0" w:color="auto"/>
              <w:right w:val="single" w:sz="4" w:space="0" w:color="auto"/>
            </w:tcBorders>
            <w:vAlign w:val="center"/>
          </w:tcPr>
          <w:p w:rsidR="00CC1C75" w:rsidRDefault="00CC1C75" w:rsidP="00CC1C75">
            <w:pPr>
              <w:jc w:val="center"/>
              <w:rPr>
                <w:rFonts w:ascii="Arial" w:eastAsia="Arial Unicode MS" w:hAnsi="Arial" w:cs="Arial"/>
                <w:b/>
                <w:bCs/>
                <w:sz w:val="20"/>
                <w:szCs w:val="20"/>
              </w:rPr>
            </w:pPr>
            <w:r>
              <w:rPr>
                <w:rFonts w:ascii="Arial" w:hAnsi="Arial" w:cs="Arial"/>
                <w:b/>
                <w:bCs/>
                <w:sz w:val="20"/>
                <w:szCs w:val="20"/>
              </w:rPr>
              <w:t>Compañía</w:t>
            </w:r>
          </w:p>
        </w:tc>
        <w:tc>
          <w:tcPr>
            <w:tcW w:w="1380" w:type="dxa"/>
            <w:tcBorders>
              <w:top w:val="nil"/>
              <w:left w:val="nil"/>
              <w:bottom w:val="single" w:sz="4" w:space="0" w:color="auto"/>
              <w:right w:val="single" w:sz="4" w:space="0" w:color="auto"/>
            </w:tcBorders>
            <w:vAlign w:val="center"/>
          </w:tcPr>
          <w:p w:rsidR="00CC1C75" w:rsidRDefault="00CC1C75" w:rsidP="00CC1C75">
            <w:pPr>
              <w:jc w:val="center"/>
              <w:rPr>
                <w:rFonts w:ascii="Arial" w:eastAsia="Arial Unicode MS" w:hAnsi="Arial" w:cs="Arial"/>
                <w:b/>
                <w:bCs/>
                <w:sz w:val="20"/>
                <w:szCs w:val="20"/>
              </w:rPr>
            </w:pPr>
            <w:r>
              <w:rPr>
                <w:rFonts w:ascii="Arial" w:hAnsi="Arial" w:cs="Arial"/>
                <w:b/>
                <w:bCs/>
                <w:sz w:val="20"/>
                <w:szCs w:val="20"/>
              </w:rPr>
              <w:t>Numero de requisitos revisados en el control</w:t>
            </w:r>
          </w:p>
        </w:tc>
        <w:tc>
          <w:tcPr>
            <w:tcW w:w="1780" w:type="dxa"/>
            <w:tcBorders>
              <w:top w:val="nil"/>
              <w:left w:val="nil"/>
              <w:bottom w:val="single" w:sz="4" w:space="0" w:color="auto"/>
              <w:right w:val="single" w:sz="8" w:space="0" w:color="auto"/>
            </w:tcBorders>
            <w:vAlign w:val="center"/>
          </w:tcPr>
          <w:p w:rsidR="00CC1C75" w:rsidRDefault="00CC1C75" w:rsidP="00CC1C75">
            <w:pPr>
              <w:jc w:val="center"/>
              <w:rPr>
                <w:rFonts w:ascii="Arial" w:eastAsia="Arial Unicode MS" w:hAnsi="Arial" w:cs="Arial"/>
                <w:b/>
                <w:bCs/>
                <w:sz w:val="20"/>
                <w:szCs w:val="20"/>
              </w:rPr>
            </w:pPr>
            <w:r>
              <w:rPr>
                <w:rFonts w:ascii="Arial" w:hAnsi="Arial" w:cs="Arial"/>
                <w:b/>
                <w:bCs/>
                <w:sz w:val="20"/>
                <w:szCs w:val="20"/>
              </w:rPr>
              <w:t xml:space="preserve">Total de diferencias en los saldos </w:t>
            </w:r>
          </w:p>
        </w:tc>
      </w:tr>
      <w:tr w:rsidR="00CC1C75">
        <w:trPr>
          <w:trHeight w:val="255"/>
          <w:jc w:val="center"/>
        </w:trPr>
        <w:tc>
          <w:tcPr>
            <w:tcW w:w="0" w:type="auto"/>
            <w:tcBorders>
              <w:top w:val="nil"/>
              <w:left w:val="single" w:sz="8"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M.O.</w:t>
            </w:r>
          </w:p>
        </w:tc>
        <w:tc>
          <w:tcPr>
            <w:tcW w:w="0" w:type="auto"/>
            <w:tcBorders>
              <w:top w:val="nil"/>
              <w:left w:val="nil"/>
              <w:bottom w:val="single" w:sz="4" w:space="0" w:color="auto"/>
              <w:right w:val="single" w:sz="4" w:space="0" w:color="auto"/>
            </w:tcBorders>
            <w:noWrap/>
            <w:vAlign w:val="bottom"/>
          </w:tcPr>
          <w:p w:rsidR="00CC1C75" w:rsidRDefault="00CC1C75" w:rsidP="00CC1C75">
            <w:pPr>
              <w:jc w:val="right"/>
              <w:rPr>
                <w:rFonts w:ascii="Arial" w:eastAsia="Arial Unicode MS" w:hAnsi="Arial" w:cs="Arial"/>
                <w:sz w:val="20"/>
                <w:szCs w:val="20"/>
              </w:rPr>
            </w:pPr>
            <w:r>
              <w:rPr>
                <w:rFonts w:ascii="Arial" w:eastAsia="Arial Unicode MS" w:hAnsi="Arial" w:cs="Arial"/>
                <w:sz w:val="20"/>
                <w:szCs w:val="20"/>
              </w:rPr>
              <w:t>2</w:t>
            </w:r>
          </w:p>
        </w:tc>
        <w:tc>
          <w:tcPr>
            <w:tcW w:w="0" w:type="auto"/>
            <w:tcBorders>
              <w:top w:val="nil"/>
              <w:left w:val="nil"/>
              <w:bottom w:val="single" w:sz="4" w:space="0" w:color="auto"/>
              <w:right w:val="single" w:sz="8" w:space="0" w:color="auto"/>
            </w:tcBorders>
            <w:noWrap/>
            <w:vAlign w:val="bottom"/>
          </w:tcPr>
          <w:p w:rsidR="00CC1C75" w:rsidRDefault="00CC1C75" w:rsidP="00CC1C75">
            <w:pPr>
              <w:jc w:val="right"/>
              <w:rPr>
                <w:rFonts w:ascii="Arial" w:eastAsia="Arial Unicode MS" w:hAnsi="Arial" w:cs="Arial"/>
                <w:sz w:val="20"/>
                <w:szCs w:val="20"/>
              </w:rPr>
            </w:pPr>
            <w:r>
              <w:rPr>
                <w:rFonts w:ascii="Arial" w:hAnsi="Arial" w:cs="Arial"/>
                <w:sz w:val="20"/>
                <w:szCs w:val="20"/>
              </w:rPr>
              <w:t>$28317,54</w:t>
            </w:r>
          </w:p>
        </w:tc>
      </w:tr>
      <w:tr w:rsidR="00CC1C75">
        <w:trPr>
          <w:trHeight w:val="255"/>
          <w:jc w:val="center"/>
        </w:trPr>
        <w:tc>
          <w:tcPr>
            <w:tcW w:w="0" w:type="auto"/>
            <w:tcBorders>
              <w:top w:val="nil"/>
              <w:left w:val="single" w:sz="8"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SER</w:t>
            </w:r>
          </w:p>
        </w:tc>
        <w:tc>
          <w:tcPr>
            <w:tcW w:w="0" w:type="auto"/>
            <w:tcBorders>
              <w:top w:val="nil"/>
              <w:left w:val="nil"/>
              <w:bottom w:val="single" w:sz="4" w:space="0" w:color="auto"/>
              <w:right w:val="single" w:sz="4" w:space="0" w:color="auto"/>
            </w:tcBorders>
            <w:noWrap/>
            <w:vAlign w:val="bottom"/>
          </w:tcPr>
          <w:p w:rsidR="00CC1C75" w:rsidRDefault="00CC1C75" w:rsidP="00CC1C75">
            <w:pPr>
              <w:jc w:val="right"/>
              <w:rPr>
                <w:rFonts w:ascii="Arial" w:eastAsia="Arial Unicode MS" w:hAnsi="Arial" w:cs="Arial"/>
                <w:sz w:val="20"/>
                <w:szCs w:val="20"/>
              </w:rPr>
            </w:pPr>
            <w:r>
              <w:rPr>
                <w:rFonts w:ascii="Arial" w:eastAsia="Arial Unicode MS" w:hAnsi="Arial" w:cs="Arial"/>
                <w:sz w:val="20"/>
                <w:szCs w:val="20"/>
              </w:rPr>
              <w:t>3</w:t>
            </w:r>
          </w:p>
        </w:tc>
        <w:tc>
          <w:tcPr>
            <w:tcW w:w="0" w:type="auto"/>
            <w:tcBorders>
              <w:top w:val="nil"/>
              <w:left w:val="nil"/>
              <w:bottom w:val="single" w:sz="4" w:space="0" w:color="auto"/>
              <w:right w:val="single" w:sz="8" w:space="0" w:color="auto"/>
            </w:tcBorders>
            <w:noWrap/>
            <w:vAlign w:val="bottom"/>
          </w:tcPr>
          <w:p w:rsidR="00CC1C75" w:rsidRDefault="00CC1C75" w:rsidP="00CC1C75">
            <w:pPr>
              <w:jc w:val="right"/>
              <w:rPr>
                <w:rFonts w:ascii="Arial" w:eastAsia="Arial Unicode MS" w:hAnsi="Arial" w:cs="Arial"/>
                <w:sz w:val="20"/>
                <w:szCs w:val="20"/>
              </w:rPr>
            </w:pPr>
            <w:r>
              <w:rPr>
                <w:rFonts w:ascii="Arial" w:hAnsi="Arial" w:cs="Arial"/>
                <w:sz w:val="20"/>
                <w:szCs w:val="20"/>
              </w:rPr>
              <w:t>$17148,1333</w:t>
            </w:r>
          </w:p>
        </w:tc>
      </w:tr>
      <w:tr w:rsidR="00CC1C75">
        <w:trPr>
          <w:trHeight w:val="255"/>
          <w:jc w:val="center"/>
        </w:trPr>
        <w:tc>
          <w:tcPr>
            <w:tcW w:w="0" w:type="auto"/>
            <w:tcBorders>
              <w:top w:val="nil"/>
              <w:left w:val="single" w:sz="8"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D.U.</w:t>
            </w:r>
          </w:p>
        </w:tc>
        <w:tc>
          <w:tcPr>
            <w:tcW w:w="0" w:type="auto"/>
            <w:tcBorders>
              <w:top w:val="nil"/>
              <w:left w:val="nil"/>
              <w:bottom w:val="single" w:sz="4" w:space="0" w:color="auto"/>
              <w:right w:val="single" w:sz="4" w:space="0" w:color="auto"/>
            </w:tcBorders>
            <w:noWrap/>
            <w:vAlign w:val="bottom"/>
          </w:tcPr>
          <w:p w:rsidR="00CC1C75" w:rsidRDefault="00CC1C75" w:rsidP="00CC1C75">
            <w:pPr>
              <w:jc w:val="right"/>
              <w:rPr>
                <w:rFonts w:ascii="Arial" w:eastAsia="Arial Unicode MS" w:hAnsi="Arial" w:cs="Arial"/>
                <w:sz w:val="20"/>
                <w:szCs w:val="20"/>
              </w:rPr>
            </w:pPr>
            <w:r>
              <w:rPr>
                <w:rFonts w:ascii="Arial" w:eastAsia="Arial Unicode MS" w:hAnsi="Arial" w:cs="Arial"/>
                <w:sz w:val="20"/>
                <w:szCs w:val="20"/>
              </w:rPr>
              <w:t>6</w:t>
            </w:r>
          </w:p>
        </w:tc>
        <w:tc>
          <w:tcPr>
            <w:tcW w:w="0" w:type="auto"/>
            <w:tcBorders>
              <w:top w:val="nil"/>
              <w:left w:val="nil"/>
              <w:bottom w:val="single" w:sz="4" w:space="0" w:color="auto"/>
              <w:right w:val="single" w:sz="8" w:space="0" w:color="auto"/>
            </w:tcBorders>
            <w:noWrap/>
            <w:vAlign w:val="bottom"/>
          </w:tcPr>
          <w:p w:rsidR="00CC1C75" w:rsidRDefault="00CC1C75" w:rsidP="00CC1C75">
            <w:pPr>
              <w:jc w:val="right"/>
              <w:rPr>
                <w:rFonts w:ascii="Arial" w:eastAsia="Arial Unicode MS" w:hAnsi="Arial" w:cs="Arial"/>
                <w:sz w:val="20"/>
                <w:szCs w:val="20"/>
              </w:rPr>
            </w:pPr>
            <w:r>
              <w:rPr>
                <w:rFonts w:ascii="Arial" w:hAnsi="Arial" w:cs="Arial"/>
                <w:sz w:val="20"/>
                <w:szCs w:val="20"/>
              </w:rPr>
              <w:t>$120,96</w:t>
            </w:r>
          </w:p>
        </w:tc>
      </w:tr>
      <w:tr w:rsidR="00CC1C75">
        <w:trPr>
          <w:trHeight w:val="255"/>
          <w:jc w:val="center"/>
        </w:trPr>
        <w:tc>
          <w:tcPr>
            <w:tcW w:w="0" w:type="auto"/>
            <w:tcBorders>
              <w:top w:val="nil"/>
              <w:left w:val="single" w:sz="8" w:space="0" w:color="auto"/>
              <w:bottom w:val="single" w:sz="4"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M.I.</w:t>
            </w:r>
          </w:p>
        </w:tc>
        <w:tc>
          <w:tcPr>
            <w:tcW w:w="0" w:type="auto"/>
            <w:tcBorders>
              <w:top w:val="nil"/>
              <w:left w:val="nil"/>
              <w:bottom w:val="single" w:sz="4" w:space="0" w:color="auto"/>
              <w:right w:val="single" w:sz="4" w:space="0" w:color="auto"/>
            </w:tcBorders>
            <w:noWrap/>
            <w:vAlign w:val="bottom"/>
          </w:tcPr>
          <w:p w:rsidR="00CC1C75" w:rsidRDefault="00CC1C75" w:rsidP="00CC1C75">
            <w:pPr>
              <w:jc w:val="right"/>
              <w:rPr>
                <w:rFonts w:ascii="Arial" w:eastAsia="Arial Unicode MS" w:hAnsi="Arial" w:cs="Arial"/>
                <w:sz w:val="20"/>
                <w:szCs w:val="20"/>
              </w:rPr>
            </w:pPr>
            <w:r>
              <w:rPr>
                <w:rFonts w:ascii="Arial" w:eastAsia="Arial Unicode MS" w:hAnsi="Arial" w:cs="Arial"/>
                <w:sz w:val="20"/>
                <w:szCs w:val="20"/>
              </w:rPr>
              <w:t>4</w:t>
            </w:r>
          </w:p>
        </w:tc>
        <w:tc>
          <w:tcPr>
            <w:tcW w:w="0" w:type="auto"/>
            <w:tcBorders>
              <w:top w:val="nil"/>
              <w:left w:val="nil"/>
              <w:bottom w:val="single" w:sz="4" w:space="0" w:color="auto"/>
              <w:right w:val="single" w:sz="8" w:space="0" w:color="auto"/>
            </w:tcBorders>
            <w:noWrap/>
            <w:vAlign w:val="bottom"/>
          </w:tcPr>
          <w:p w:rsidR="00CC1C75" w:rsidRDefault="00CC1C75" w:rsidP="00CC1C75">
            <w:pPr>
              <w:jc w:val="right"/>
              <w:rPr>
                <w:rFonts w:ascii="Arial" w:eastAsia="Arial Unicode MS" w:hAnsi="Arial" w:cs="Arial"/>
                <w:sz w:val="20"/>
                <w:szCs w:val="20"/>
              </w:rPr>
            </w:pPr>
            <w:r>
              <w:rPr>
                <w:rFonts w:ascii="Arial" w:hAnsi="Arial" w:cs="Arial"/>
                <w:sz w:val="20"/>
                <w:szCs w:val="20"/>
              </w:rPr>
              <w:t>$16333,84</w:t>
            </w:r>
          </w:p>
        </w:tc>
      </w:tr>
      <w:tr w:rsidR="00CC1C75">
        <w:trPr>
          <w:trHeight w:val="270"/>
          <w:jc w:val="center"/>
        </w:trPr>
        <w:tc>
          <w:tcPr>
            <w:tcW w:w="0" w:type="auto"/>
            <w:tcBorders>
              <w:top w:val="nil"/>
              <w:left w:val="single" w:sz="8" w:space="0" w:color="auto"/>
              <w:bottom w:val="single" w:sz="8" w:space="0" w:color="auto"/>
              <w:right w:val="single" w:sz="4" w:space="0" w:color="auto"/>
            </w:tcBorders>
            <w:noWrap/>
            <w:vAlign w:val="bottom"/>
          </w:tcPr>
          <w:p w:rsidR="00CC1C75" w:rsidRDefault="00CC1C75" w:rsidP="00CC1C75">
            <w:pPr>
              <w:rPr>
                <w:rFonts w:ascii="Arial" w:eastAsia="Arial Unicode MS" w:hAnsi="Arial" w:cs="Arial"/>
                <w:sz w:val="20"/>
                <w:szCs w:val="20"/>
              </w:rPr>
            </w:pPr>
            <w:r>
              <w:rPr>
                <w:rFonts w:ascii="Arial" w:hAnsi="Arial" w:cs="Arial"/>
                <w:sz w:val="20"/>
                <w:szCs w:val="20"/>
              </w:rPr>
              <w:t>F.A.</w:t>
            </w:r>
          </w:p>
        </w:tc>
        <w:tc>
          <w:tcPr>
            <w:tcW w:w="0" w:type="auto"/>
            <w:tcBorders>
              <w:top w:val="nil"/>
              <w:left w:val="nil"/>
              <w:bottom w:val="single" w:sz="8" w:space="0" w:color="auto"/>
              <w:right w:val="single" w:sz="4" w:space="0" w:color="auto"/>
            </w:tcBorders>
            <w:noWrap/>
            <w:vAlign w:val="bottom"/>
          </w:tcPr>
          <w:p w:rsidR="00CC1C75" w:rsidRDefault="00CC1C75" w:rsidP="00CC1C75">
            <w:pPr>
              <w:jc w:val="right"/>
              <w:rPr>
                <w:rFonts w:ascii="Arial" w:eastAsia="Arial Unicode MS" w:hAnsi="Arial" w:cs="Arial"/>
                <w:sz w:val="20"/>
                <w:szCs w:val="20"/>
              </w:rPr>
            </w:pPr>
            <w:r>
              <w:rPr>
                <w:rFonts w:ascii="Arial" w:eastAsia="Arial Unicode MS" w:hAnsi="Arial" w:cs="Arial"/>
                <w:sz w:val="20"/>
                <w:szCs w:val="20"/>
              </w:rPr>
              <w:t>5</w:t>
            </w:r>
          </w:p>
        </w:tc>
        <w:tc>
          <w:tcPr>
            <w:tcW w:w="0" w:type="auto"/>
            <w:tcBorders>
              <w:top w:val="nil"/>
              <w:left w:val="nil"/>
              <w:bottom w:val="single" w:sz="8" w:space="0" w:color="auto"/>
              <w:right w:val="single" w:sz="8" w:space="0" w:color="auto"/>
            </w:tcBorders>
            <w:noWrap/>
            <w:vAlign w:val="bottom"/>
          </w:tcPr>
          <w:p w:rsidR="00CC1C75" w:rsidRDefault="00CC1C75" w:rsidP="00CC1C75">
            <w:pPr>
              <w:jc w:val="right"/>
              <w:rPr>
                <w:rFonts w:ascii="Arial" w:eastAsia="Arial Unicode MS" w:hAnsi="Arial" w:cs="Arial"/>
                <w:sz w:val="20"/>
                <w:szCs w:val="20"/>
              </w:rPr>
            </w:pPr>
            <w:r>
              <w:rPr>
                <w:rFonts w:ascii="Arial" w:hAnsi="Arial" w:cs="Arial"/>
                <w:sz w:val="20"/>
                <w:szCs w:val="20"/>
              </w:rPr>
              <w:t>$412,77</w:t>
            </w:r>
          </w:p>
        </w:tc>
      </w:tr>
    </w:tbl>
    <w:p w:rsidR="00CC1C75" w:rsidRPr="001E58D8" w:rsidRDefault="00CC1C75" w:rsidP="00CC1C75">
      <w:pPr>
        <w:spacing w:line="480" w:lineRule="auto"/>
        <w:ind w:left="360"/>
        <w:jc w:val="center"/>
        <w:rPr>
          <w:rFonts w:ascii="Arial" w:hAnsi="Arial" w:cs="Arial"/>
          <w:b/>
          <w:bCs/>
          <w:color w:val="000000"/>
        </w:rPr>
      </w:pPr>
    </w:p>
    <w:p w:rsidR="00CC1C75" w:rsidRDefault="00CC1C75" w:rsidP="00CC1C75">
      <w:pPr>
        <w:tabs>
          <w:tab w:val="left" w:pos="851"/>
        </w:tabs>
        <w:spacing w:line="480" w:lineRule="auto"/>
        <w:ind w:left="851"/>
        <w:jc w:val="both"/>
        <w:rPr>
          <w:rFonts w:ascii="Arial" w:hAnsi="Arial" w:cs="Arial"/>
          <w:b/>
        </w:rPr>
      </w:pPr>
    </w:p>
    <w:p w:rsidR="00CC1C75" w:rsidRDefault="00B04CD6" w:rsidP="00CC1C75">
      <w:pPr>
        <w:tabs>
          <w:tab w:val="left" w:pos="851"/>
        </w:tabs>
        <w:spacing w:line="480" w:lineRule="auto"/>
        <w:ind w:left="851"/>
        <w:jc w:val="center"/>
      </w:pPr>
      <w:r>
        <w:rPr>
          <w:noProof/>
        </w:rPr>
        <w:lastRenderedPageBreak/>
        <w:drawing>
          <wp:inline distT="0" distB="0" distL="0" distR="0">
            <wp:extent cx="4241800" cy="2298700"/>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C1C75" w:rsidRPr="00CC1039" w:rsidRDefault="00CC1C75" w:rsidP="00CC1039">
      <w:pPr>
        <w:pStyle w:val="Ttulo1"/>
        <w:spacing w:line="480" w:lineRule="auto"/>
        <w:ind w:left="181"/>
        <w:jc w:val="center"/>
        <w:rPr>
          <w:rFonts w:ascii="Arial" w:hAnsi="Arial" w:cs="Arial"/>
          <w:b w:val="0"/>
        </w:rPr>
      </w:pPr>
      <w:bookmarkStart w:id="1033" w:name="_Toc183697570"/>
      <w:bookmarkStart w:id="1034" w:name="_Toc183698900"/>
      <w:bookmarkStart w:id="1035" w:name="_Toc183699241"/>
      <w:bookmarkStart w:id="1036" w:name="_Toc183699453"/>
      <w:bookmarkStart w:id="1037" w:name="_Toc183699927"/>
      <w:bookmarkStart w:id="1038" w:name="_Toc183700200"/>
      <w:bookmarkStart w:id="1039" w:name="_Toc183700710"/>
      <w:bookmarkStart w:id="1040" w:name="_Toc183700962"/>
      <w:r w:rsidRPr="00CC1039">
        <w:rPr>
          <w:rFonts w:ascii="Arial" w:hAnsi="Arial" w:cs="Arial"/>
        </w:rPr>
        <w:t xml:space="preserve">Gráfico 2.25.  </w:t>
      </w:r>
      <w:r w:rsidRPr="00CC1039">
        <w:rPr>
          <w:rFonts w:ascii="Arial" w:hAnsi="Arial" w:cs="Arial"/>
          <w:b w:val="0"/>
        </w:rPr>
        <w:t>Gráfico del diagrama de dispersión.</w:t>
      </w:r>
      <w:bookmarkEnd w:id="1033"/>
      <w:bookmarkEnd w:id="1034"/>
      <w:bookmarkEnd w:id="1035"/>
      <w:bookmarkEnd w:id="1036"/>
      <w:bookmarkEnd w:id="1037"/>
      <w:bookmarkEnd w:id="1038"/>
      <w:bookmarkEnd w:id="1039"/>
      <w:bookmarkEnd w:id="1040"/>
    </w:p>
    <w:p w:rsidR="00CC1C75" w:rsidRDefault="00CC1C75" w:rsidP="00CC1C75">
      <w:pPr>
        <w:tabs>
          <w:tab w:val="left" w:pos="851"/>
        </w:tabs>
        <w:spacing w:line="480" w:lineRule="auto"/>
        <w:ind w:left="851"/>
        <w:jc w:val="both"/>
        <w:rPr>
          <w:rFonts w:ascii="Arial" w:hAnsi="Arial" w:cs="Arial"/>
          <w:b/>
        </w:rPr>
      </w:pPr>
    </w:p>
    <w:p w:rsidR="00CC1C75" w:rsidRDefault="00CC1C75" w:rsidP="00CC1039">
      <w:pPr>
        <w:pStyle w:val="Ttulo2"/>
        <w:spacing w:before="0" w:after="0" w:line="480" w:lineRule="auto"/>
        <w:ind w:left="180"/>
        <w:jc w:val="both"/>
        <w:rPr>
          <w:i w:val="0"/>
          <w:iCs w:val="0"/>
          <w:sz w:val="24"/>
        </w:rPr>
      </w:pPr>
      <w:bookmarkStart w:id="1041" w:name="_Toc183697571"/>
      <w:bookmarkStart w:id="1042" w:name="_Toc183698901"/>
      <w:bookmarkStart w:id="1043" w:name="_Toc183699242"/>
      <w:bookmarkStart w:id="1044" w:name="_Toc183699454"/>
      <w:bookmarkStart w:id="1045" w:name="_Toc183699928"/>
      <w:bookmarkStart w:id="1046" w:name="_Toc183700201"/>
      <w:bookmarkStart w:id="1047" w:name="_Toc183700711"/>
      <w:bookmarkStart w:id="1048" w:name="_Toc183700963"/>
      <w:r w:rsidRPr="00CC1039">
        <w:rPr>
          <w:i w:val="0"/>
          <w:iCs w:val="0"/>
          <w:sz w:val="24"/>
        </w:rPr>
        <w:t>2.9 Análisis del coeficiente de correlación de los valores de  las diferencias entre los saldos de las conciliaciones bancarias y los saldos de libros del primer semestre del año 2007.</w:t>
      </w:r>
      <w:bookmarkEnd w:id="1041"/>
      <w:bookmarkEnd w:id="1042"/>
      <w:bookmarkEnd w:id="1043"/>
      <w:bookmarkEnd w:id="1044"/>
      <w:bookmarkEnd w:id="1045"/>
      <w:bookmarkEnd w:id="1046"/>
      <w:bookmarkEnd w:id="1047"/>
      <w:bookmarkEnd w:id="1048"/>
    </w:p>
    <w:p w:rsidR="00CC1039" w:rsidRDefault="00CC1039" w:rsidP="00CC1039"/>
    <w:p w:rsidR="00CC1039" w:rsidRDefault="00CC1039" w:rsidP="00CC1039"/>
    <w:p w:rsidR="00CC1039" w:rsidRDefault="00CC1039" w:rsidP="00CC1039"/>
    <w:p w:rsidR="00CC1C75" w:rsidRPr="008B271F" w:rsidRDefault="00CC1039" w:rsidP="00CC1039">
      <w:pPr>
        <w:pStyle w:val="Ttulo1"/>
        <w:spacing w:line="480" w:lineRule="auto"/>
        <w:ind w:left="181"/>
        <w:jc w:val="center"/>
        <w:rPr>
          <w:rFonts w:ascii="Arial" w:hAnsi="Arial" w:cs="Arial"/>
          <w:b w:val="0"/>
        </w:rPr>
      </w:pPr>
      <w:bookmarkStart w:id="1049" w:name="_Toc183697572"/>
      <w:bookmarkStart w:id="1050" w:name="_Toc183698902"/>
      <w:bookmarkStart w:id="1051" w:name="_Toc183699243"/>
      <w:bookmarkStart w:id="1052" w:name="_Toc183699455"/>
      <w:bookmarkStart w:id="1053" w:name="_Toc183699929"/>
      <w:bookmarkStart w:id="1054" w:name="_Toc183700202"/>
      <w:bookmarkStart w:id="1055" w:name="_Toc183700712"/>
      <w:bookmarkStart w:id="1056" w:name="_Toc183700964"/>
      <w:r w:rsidRPr="008B271F">
        <w:rPr>
          <w:rFonts w:ascii="Arial" w:hAnsi="Arial" w:cs="Arial"/>
        </w:rPr>
        <w:t xml:space="preserve">Tabla XIX. </w:t>
      </w:r>
      <w:r w:rsidRPr="008B271F">
        <w:rPr>
          <w:rFonts w:ascii="Arial" w:hAnsi="Arial" w:cs="Arial"/>
          <w:b w:val="0"/>
        </w:rPr>
        <w:t>Valor obtenido del coeficiente de correlación.</w:t>
      </w:r>
      <w:bookmarkEnd w:id="1049"/>
      <w:bookmarkEnd w:id="1050"/>
      <w:bookmarkEnd w:id="1051"/>
      <w:bookmarkEnd w:id="1052"/>
      <w:bookmarkEnd w:id="1053"/>
      <w:bookmarkEnd w:id="1054"/>
      <w:bookmarkEnd w:id="1055"/>
      <w:bookmarkEnd w:id="1056"/>
    </w:p>
    <w:tbl>
      <w:tblPr>
        <w:tblW w:w="3625" w:type="dxa"/>
        <w:jc w:val="center"/>
        <w:tblInd w:w="70" w:type="dxa"/>
        <w:tblCellMar>
          <w:left w:w="70" w:type="dxa"/>
          <w:right w:w="70" w:type="dxa"/>
        </w:tblCellMar>
        <w:tblLook w:val="0000"/>
      </w:tblPr>
      <w:tblGrid>
        <w:gridCol w:w="1147"/>
        <w:gridCol w:w="1331"/>
        <w:gridCol w:w="1147"/>
      </w:tblGrid>
      <w:tr w:rsidR="00CC1C75" w:rsidRPr="0011230A">
        <w:trPr>
          <w:trHeight w:val="407"/>
          <w:jc w:val="center"/>
        </w:trPr>
        <w:tc>
          <w:tcPr>
            <w:tcW w:w="3624" w:type="dxa"/>
            <w:gridSpan w:val="3"/>
            <w:tcBorders>
              <w:top w:val="single" w:sz="4" w:space="0" w:color="auto"/>
              <w:left w:val="single" w:sz="4" w:space="0" w:color="auto"/>
              <w:bottom w:val="nil"/>
              <w:right w:val="single" w:sz="4" w:space="0" w:color="auto"/>
            </w:tcBorders>
            <w:shd w:val="clear" w:color="auto" w:fill="auto"/>
            <w:noWrap/>
            <w:vAlign w:val="bottom"/>
          </w:tcPr>
          <w:p w:rsidR="00CC1C75" w:rsidRPr="0011230A" w:rsidRDefault="00CC1C75" w:rsidP="00CC1C75">
            <w:pPr>
              <w:rPr>
                <w:rFonts w:ascii="Arial" w:hAnsi="Arial" w:cs="Arial"/>
                <w:sz w:val="20"/>
                <w:szCs w:val="20"/>
              </w:rPr>
            </w:pPr>
            <w:r w:rsidRPr="0011230A">
              <w:rPr>
                <w:rFonts w:ascii="Arial" w:hAnsi="Arial" w:cs="Arial"/>
                <w:sz w:val="20"/>
                <w:szCs w:val="20"/>
              </w:rPr>
              <w:t>COEFICIENTE DE CORRELACION</w:t>
            </w:r>
          </w:p>
        </w:tc>
      </w:tr>
      <w:tr w:rsidR="00CC1C75" w:rsidRPr="0011230A">
        <w:trPr>
          <w:trHeight w:val="384"/>
          <w:jc w:val="center"/>
        </w:trPr>
        <w:tc>
          <w:tcPr>
            <w:tcW w:w="1147" w:type="dxa"/>
            <w:tcBorders>
              <w:top w:val="single" w:sz="8" w:space="0" w:color="auto"/>
              <w:left w:val="single" w:sz="4" w:space="0" w:color="auto"/>
              <w:bottom w:val="single" w:sz="4" w:space="0" w:color="auto"/>
              <w:right w:val="nil"/>
            </w:tcBorders>
            <w:shd w:val="clear" w:color="auto" w:fill="auto"/>
            <w:noWrap/>
            <w:vAlign w:val="bottom"/>
          </w:tcPr>
          <w:p w:rsidR="00CC1C75" w:rsidRPr="0011230A" w:rsidRDefault="00CC1C75" w:rsidP="00CC1C75">
            <w:pPr>
              <w:jc w:val="center"/>
              <w:rPr>
                <w:rFonts w:ascii="Arial" w:hAnsi="Arial" w:cs="Arial"/>
                <w:i/>
                <w:iCs/>
                <w:sz w:val="20"/>
                <w:szCs w:val="20"/>
              </w:rPr>
            </w:pPr>
            <w:r w:rsidRPr="0011230A">
              <w:rPr>
                <w:rFonts w:ascii="Arial" w:hAnsi="Arial" w:cs="Arial"/>
                <w:i/>
                <w:iCs/>
                <w:sz w:val="20"/>
                <w:szCs w:val="20"/>
              </w:rPr>
              <w:t> </w:t>
            </w:r>
          </w:p>
        </w:tc>
        <w:tc>
          <w:tcPr>
            <w:tcW w:w="1331" w:type="dxa"/>
            <w:tcBorders>
              <w:top w:val="single" w:sz="8" w:space="0" w:color="auto"/>
              <w:left w:val="nil"/>
              <w:bottom w:val="single" w:sz="4" w:space="0" w:color="auto"/>
              <w:right w:val="nil"/>
            </w:tcBorders>
            <w:shd w:val="clear" w:color="auto" w:fill="auto"/>
            <w:noWrap/>
            <w:vAlign w:val="bottom"/>
          </w:tcPr>
          <w:p w:rsidR="00CC1C75" w:rsidRPr="0011230A" w:rsidRDefault="00CC1C75" w:rsidP="00CC1C75">
            <w:pPr>
              <w:jc w:val="center"/>
              <w:rPr>
                <w:rFonts w:ascii="Arial" w:hAnsi="Arial" w:cs="Arial"/>
                <w:i/>
                <w:iCs/>
                <w:sz w:val="20"/>
                <w:szCs w:val="20"/>
              </w:rPr>
            </w:pPr>
            <w:r w:rsidRPr="0011230A">
              <w:rPr>
                <w:rFonts w:ascii="Arial" w:hAnsi="Arial" w:cs="Arial"/>
                <w:i/>
                <w:iCs/>
                <w:sz w:val="20"/>
                <w:szCs w:val="20"/>
              </w:rPr>
              <w:t>Columna 1</w:t>
            </w:r>
          </w:p>
        </w:tc>
        <w:tc>
          <w:tcPr>
            <w:tcW w:w="1147" w:type="dxa"/>
            <w:tcBorders>
              <w:top w:val="single" w:sz="8" w:space="0" w:color="auto"/>
              <w:left w:val="nil"/>
              <w:bottom w:val="single" w:sz="4" w:space="0" w:color="auto"/>
              <w:right w:val="single" w:sz="4" w:space="0" w:color="auto"/>
            </w:tcBorders>
            <w:shd w:val="clear" w:color="auto" w:fill="auto"/>
            <w:noWrap/>
            <w:vAlign w:val="bottom"/>
          </w:tcPr>
          <w:p w:rsidR="00CC1C75" w:rsidRPr="0011230A" w:rsidRDefault="00CC1C75" w:rsidP="00CC1C75">
            <w:pPr>
              <w:jc w:val="center"/>
              <w:rPr>
                <w:rFonts w:ascii="Arial" w:hAnsi="Arial" w:cs="Arial"/>
                <w:i/>
                <w:iCs/>
                <w:sz w:val="20"/>
                <w:szCs w:val="20"/>
              </w:rPr>
            </w:pPr>
            <w:r w:rsidRPr="0011230A">
              <w:rPr>
                <w:rFonts w:ascii="Arial" w:hAnsi="Arial" w:cs="Arial"/>
                <w:i/>
                <w:iCs/>
                <w:sz w:val="20"/>
                <w:szCs w:val="20"/>
              </w:rPr>
              <w:t>Columna 2</w:t>
            </w:r>
          </w:p>
        </w:tc>
      </w:tr>
      <w:tr w:rsidR="00CC1C75" w:rsidRPr="0011230A">
        <w:trPr>
          <w:trHeight w:val="384"/>
          <w:jc w:val="center"/>
        </w:trPr>
        <w:tc>
          <w:tcPr>
            <w:tcW w:w="1147" w:type="dxa"/>
            <w:tcBorders>
              <w:top w:val="nil"/>
              <w:left w:val="single" w:sz="4" w:space="0" w:color="auto"/>
              <w:bottom w:val="nil"/>
              <w:right w:val="nil"/>
            </w:tcBorders>
            <w:shd w:val="clear" w:color="auto" w:fill="auto"/>
            <w:noWrap/>
            <w:vAlign w:val="bottom"/>
          </w:tcPr>
          <w:p w:rsidR="00CC1C75" w:rsidRPr="0011230A" w:rsidRDefault="00CC1C75" w:rsidP="00CC1C75">
            <w:pPr>
              <w:rPr>
                <w:rFonts w:ascii="Arial" w:hAnsi="Arial" w:cs="Arial"/>
                <w:sz w:val="20"/>
                <w:szCs w:val="20"/>
              </w:rPr>
            </w:pPr>
            <w:r w:rsidRPr="0011230A">
              <w:rPr>
                <w:rFonts w:ascii="Arial" w:hAnsi="Arial" w:cs="Arial"/>
                <w:sz w:val="20"/>
                <w:szCs w:val="20"/>
              </w:rPr>
              <w:t>Columna 1</w:t>
            </w:r>
          </w:p>
        </w:tc>
        <w:tc>
          <w:tcPr>
            <w:tcW w:w="1331" w:type="dxa"/>
            <w:tcBorders>
              <w:top w:val="nil"/>
              <w:left w:val="nil"/>
              <w:bottom w:val="nil"/>
              <w:right w:val="nil"/>
            </w:tcBorders>
            <w:shd w:val="clear" w:color="auto" w:fill="auto"/>
            <w:noWrap/>
            <w:vAlign w:val="bottom"/>
          </w:tcPr>
          <w:p w:rsidR="00CC1C75" w:rsidRPr="0011230A" w:rsidRDefault="00CC1C75" w:rsidP="00CC1C75">
            <w:pPr>
              <w:jc w:val="right"/>
              <w:rPr>
                <w:rFonts w:ascii="Arial" w:hAnsi="Arial" w:cs="Arial"/>
                <w:sz w:val="20"/>
                <w:szCs w:val="20"/>
              </w:rPr>
            </w:pPr>
            <w:r w:rsidRPr="0011230A">
              <w:rPr>
                <w:rFonts w:ascii="Arial" w:hAnsi="Arial" w:cs="Arial"/>
                <w:sz w:val="20"/>
                <w:szCs w:val="20"/>
              </w:rPr>
              <w:t>1</w:t>
            </w:r>
          </w:p>
        </w:tc>
        <w:tc>
          <w:tcPr>
            <w:tcW w:w="1147" w:type="dxa"/>
            <w:tcBorders>
              <w:top w:val="nil"/>
              <w:left w:val="nil"/>
              <w:bottom w:val="nil"/>
              <w:right w:val="single" w:sz="4" w:space="0" w:color="auto"/>
            </w:tcBorders>
            <w:shd w:val="clear" w:color="auto" w:fill="auto"/>
            <w:noWrap/>
            <w:vAlign w:val="bottom"/>
          </w:tcPr>
          <w:p w:rsidR="00CC1C75" w:rsidRPr="0011230A" w:rsidRDefault="00CC1C75" w:rsidP="00CC1C75">
            <w:pPr>
              <w:rPr>
                <w:rFonts w:ascii="Arial" w:hAnsi="Arial" w:cs="Arial"/>
                <w:sz w:val="20"/>
                <w:szCs w:val="20"/>
              </w:rPr>
            </w:pPr>
          </w:p>
        </w:tc>
      </w:tr>
      <w:tr w:rsidR="00CC1C75" w:rsidRPr="0011230A">
        <w:trPr>
          <w:trHeight w:val="407"/>
          <w:jc w:val="center"/>
        </w:trPr>
        <w:tc>
          <w:tcPr>
            <w:tcW w:w="1147" w:type="dxa"/>
            <w:tcBorders>
              <w:top w:val="nil"/>
              <w:left w:val="single" w:sz="4" w:space="0" w:color="auto"/>
              <w:bottom w:val="single" w:sz="4" w:space="0" w:color="auto"/>
              <w:right w:val="nil"/>
            </w:tcBorders>
            <w:shd w:val="clear" w:color="auto" w:fill="auto"/>
            <w:noWrap/>
            <w:vAlign w:val="bottom"/>
          </w:tcPr>
          <w:p w:rsidR="00CC1C75" w:rsidRPr="0011230A" w:rsidRDefault="00CC1C75" w:rsidP="00CC1C75">
            <w:pPr>
              <w:rPr>
                <w:rFonts w:ascii="Arial" w:hAnsi="Arial" w:cs="Arial"/>
                <w:sz w:val="20"/>
                <w:szCs w:val="20"/>
              </w:rPr>
            </w:pPr>
            <w:r w:rsidRPr="0011230A">
              <w:rPr>
                <w:rFonts w:ascii="Arial" w:hAnsi="Arial" w:cs="Arial"/>
                <w:sz w:val="20"/>
                <w:szCs w:val="20"/>
              </w:rPr>
              <w:t>Columna 2</w:t>
            </w:r>
          </w:p>
        </w:tc>
        <w:tc>
          <w:tcPr>
            <w:tcW w:w="1331" w:type="dxa"/>
            <w:tcBorders>
              <w:top w:val="nil"/>
              <w:left w:val="nil"/>
              <w:bottom w:val="single" w:sz="4" w:space="0" w:color="auto"/>
              <w:right w:val="nil"/>
            </w:tcBorders>
            <w:shd w:val="clear" w:color="auto" w:fill="auto"/>
            <w:noWrap/>
            <w:vAlign w:val="bottom"/>
          </w:tcPr>
          <w:p w:rsidR="00CC1C75" w:rsidRPr="0011230A" w:rsidRDefault="00CC1C75" w:rsidP="00CC1C75">
            <w:pPr>
              <w:jc w:val="right"/>
              <w:rPr>
                <w:rFonts w:ascii="Arial" w:hAnsi="Arial" w:cs="Arial"/>
                <w:sz w:val="20"/>
                <w:szCs w:val="20"/>
              </w:rPr>
            </w:pPr>
            <w:r w:rsidRPr="0011230A">
              <w:rPr>
                <w:rFonts w:ascii="Arial" w:hAnsi="Arial" w:cs="Arial"/>
                <w:sz w:val="20"/>
                <w:szCs w:val="20"/>
              </w:rPr>
              <w:t>-0,95543122</w:t>
            </w:r>
          </w:p>
        </w:tc>
        <w:tc>
          <w:tcPr>
            <w:tcW w:w="1147" w:type="dxa"/>
            <w:tcBorders>
              <w:top w:val="nil"/>
              <w:left w:val="nil"/>
              <w:bottom w:val="single" w:sz="4" w:space="0" w:color="auto"/>
              <w:right w:val="single" w:sz="4" w:space="0" w:color="auto"/>
            </w:tcBorders>
            <w:shd w:val="clear" w:color="auto" w:fill="auto"/>
            <w:noWrap/>
            <w:vAlign w:val="bottom"/>
          </w:tcPr>
          <w:p w:rsidR="00CC1C75" w:rsidRPr="0011230A" w:rsidRDefault="00CC1C75" w:rsidP="00CC1C75">
            <w:pPr>
              <w:jc w:val="right"/>
              <w:rPr>
                <w:rFonts w:ascii="Arial" w:hAnsi="Arial" w:cs="Arial"/>
                <w:sz w:val="20"/>
                <w:szCs w:val="20"/>
              </w:rPr>
            </w:pPr>
            <w:r w:rsidRPr="0011230A">
              <w:rPr>
                <w:rFonts w:ascii="Arial" w:hAnsi="Arial" w:cs="Arial"/>
                <w:sz w:val="20"/>
                <w:szCs w:val="20"/>
              </w:rPr>
              <w:t>1</w:t>
            </w:r>
          </w:p>
        </w:tc>
      </w:tr>
    </w:tbl>
    <w:p w:rsidR="00CC1C75" w:rsidRDefault="00CC1C75" w:rsidP="00CC1C75">
      <w:pPr>
        <w:tabs>
          <w:tab w:val="left" w:pos="851"/>
        </w:tabs>
        <w:spacing w:line="480" w:lineRule="auto"/>
        <w:ind w:left="851"/>
        <w:jc w:val="both"/>
        <w:rPr>
          <w:rFonts w:ascii="Arial" w:hAnsi="Arial" w:cs="Arial"/>
          <w:b/>
          <w:bCs/>
          <w:color w:val="000000"/>
        </w:rPr>
      </w:pPr>
    </w:p>
    <w:p w:rsidR="00CC1C75" w:rsidRPr="00337C5A" w:rsidRDefault="00CC1C75" w:rsidP="00CC1C75">
      <w:pPr>
        <w:tabs>
          <w:tab w:val="left" w:pos="851"/>
        </w:tabs>
        <w:spacing w:line="480" w:lineRule="auto"/>
        <w:ind w:left="851"/>
        <w:jc w:val="center"/>
        <w:rPr>
          <w:rFonts w:ascii="Arial" w:hAnsi="Arial" w:cs="Arial"/>
          <w:bCs/>
          <w:color w:val="000000"/>
        </w:rPr>
      </w:pPr>
    </w:p>
    <w:p w:rsidR="00CC1C75" w:rsidRDefault="00CC1C75" w:rsidP="008B271F">
      <w:pPr>
        <w:pStyle w:val="Textoindependiente"/>
        <w:spacing w:line="480" w:lineRule="auto"/>
        <w:ind w:left="180"/>
        <w:jc w:val="both"/>
        <w:rPr>
          <w:rFonts w:ascii="Arial" w:hAnsi="Arial" w:cs="Arial"/>
        </w:rPr>
      </w:pPr>
      <w:r>
        <w:rPr>
          <w:rFonts w:ascii="Arial" w:hAnsi="Arial" w:cs="Arial"/>
        </w:rPr>
        <w:t xml:space="preserve">El análisis de correlación nos </w:t>
      </w:r>
      <w:r w:rsidRPr="00CC4D75">
        <w:rPr>
          <w:rFonts w:ascii="Arial" w:hAnsi="Arial" w:cs="Arial"/>
        </w:rPr>
        <w:t>indica que estas variables están relacionadas en un –95%, lo que quiere decir que su relación es inversa ya que mientras la una variable dismi</w:t>
      </w:r>
      <w:r>
        <w:rPr>
          <w:rFonts w:ascii="Arial" w:hAnsi="Arial" w:cs="Arial"/>
        </w:rPr>
        <w:t>nuye que para este caso es el nú</w:t>
      </w:r>
      <w:r w:rsidRPr="00CC4D75">
        <w:rPr>
          <w:rFonts w:ascii="Arial" w:hAnsi="Arial" w:cs="Arial"/>
        </w:rPr>
        <w:t xml:space="preserve">mero de requisitos </w:t>
      </w:r>
      <w:r w:rsidRPr="00CC4D75">
        <w:rPr>
          <w:rFonts w:ascii="Arial" w:hAnsi="Arial" w:cs="Arial"/>
        </w:rPr>
        <w:lastRenderedPageBreak/>
        <w:t>revisados para el control  la otra variable va aumentando</w:t>
      </w:r>
      <w:r>
        <w:rPr>
          <w:rFonts w:ascii="Arial" w:hAnsi="Arial" w:cs="Arial"/>
        </w:rPr>
        <w:t xml:space="preserve">, </w:t>
      </w:r>
      <w:r w:rsidRPr="00CC4D75">
        <w:rPr>
          <w:rFonts w:ascii="Arial" w:hAnsi="Arial" w:cs="Arial"/>
        </w:rPr>
        <w:t>que son las diferencias en los saldos</w:t>
      </w:r>
      <w:r>
        <w:rPr>
          <w:rFonts w:ascii="Arial" w:hAnsi="Arial" w:cs="Arial"/>
        </w:rPr>
        <w:t>;</w:t>
      </w:r>
      <w:r w:rsidRPr="00CC4D75">
        <w:rPr>
          <w:rFonts w:ascii="Arial" w:hAnsi="Arial" w:cs="Arial"/>
        </w:rPr>
        <w:t xml:space="preserve"> por lo tanto</w:t>
      </w:r>
      <w:r>
        <w:rPr>
          <w:rFonts w:ascii="Arial" w:hAnsi="Arial" w:cs="Arial"/>
        </w:rPr>
        <w:t>,</w:t>
      </w:r>
      <w:r w:rsidRPr="00CC4D75">
        <w:rPr>
          <w:rFonts w:ascii="Arial" w:hAnsi="Arial" w:cs="Arial"/>
        </w:rPr>
        <w:t xml:space="preserve"> mientras más veces revisemos los requisitos para el control lo que vamos a obtener para beneficio son menores diferencias como se lo puede observar en la </w:t>
      </w:r>
      <w:r w:rsidRPr="001A0675">
        <w:rPr>
          <w:rFonts w:ascii="Arial" w:hAnsi="Arial" w:cs="Arial"/>
        </w:rPr>
        <w:t>tabla</w:t>
      </w:r>
      <w:r>
        <w:rPr>
          <w:rFonts w:ascii="Arial" w:hAnsi="Arial" w:cs="Arial"/>
        </w:rPr>
        <w:t xml:space="preserve"> XV</w:t>
      </w:r>
      <w:r w:rsidR="00F87B7E">
        <w:rPr>
          <w:rFonts w:ascii="Arial" w:hAnsi="Arial" w:cs="Arial"/>
        </w:rPr>
        <w:t>I</w:t>
      </w:r>
      <w:r>
        <w:rPr>
          <w:rFonts w:ascii="Arial" w:hAnsi="Arial" w:cs="Arial"/>
        </w:rPr>
        <w:t>II</w:t>
      </w:r>
      <w:r w:rsidRPr="001A0675">
        <w:rPr>
          <w:rFonts w:ascii="Arial" w:hAnsi="Arial" w:cs="Arial"/>
        </w:rPr>
        <w:t>.</w:t>
      </w:r>
    </w:p>
    <w:p w:rsidR="00CC1C75" w:rsidRDefault="00CC1C75" w:rsidP="00CC1C75">
      <w:pPr>
        <w:pStyle w:val="Textoindependiente"/>
        <w:spacing w:line="480" w:lineRule="auto"/>
        <w:rPr>
          <w:rFonts w:ascii="Arial" w:hAnsi="Arial" w:cs="Arial"/>
        </w:rPr>
      </w:pPr>
    </w:p>
    <w:p w:rsidR="00CC1C75" w:rsidRDefault="00CC1C75" w:rsidP="00CC1C75">
      <w:pPr>
        <w:tabs>
          <w:tab w:val="left" w:pos="3385"/>
        </w:tabs>
      </w:pPr>
    </w:p>
    <w:p w:rsidR="00CC1C75" w:rsidRDefault="00CC1C75" w:rsidP="00CC1C75">
      <w:pPr>
        <w:tabs>
          <w:tab w:val="left" w:pos="3385"/>
        </w:tabs>
      </w:pPr>
    </w:p>
    <w:p w:rsidR="00CC1C75" w:rsidRDefault="00CC1C75" w:rsidP="00CC1C75">
      <w:pPr>
        <w:tabs>
          <w:tab w:val="left" w:pos="720"/>
        </w:tabs>
        <w:spacing w:line="480" w:lineRule="auto"/>
        <w:jc w:val="both"/>
        <w:rPr>
          <w:rFonts w:ascii="Arial" w:hAnsi="Arial" w:cs="Arial"/>
          <w:b/>
        </w:rPr>
      </w:pPr>
    </w:p>
    <w:p w:rsidR="00CC1C75" w:rsidRDefault="00CC1C75" w:rsidP="00CC1C75">
      <w:pPr>
        <w:tabs>
          <w:tab w:val="left" w:pos="720"/>
        </w:tabs>
        <w:spacing w:line="480" w:lineRule="auto"/>
        <w:jc w:val="both"/>
        <w:rPr>
          <w:rFonts w:ascii="Arial" w:hAnsi="Arial" w:cs="Arial"/>
          <w:b/>
        </w:rPr>
      </w:pPr>
    </w:p>
    <w:p w:rsidR="00CC1C75" w:rsidRPr="00767167" w:rsidRDefault="00CC1C75" w:rsidP="00CC1C75">
      <w:pPr>
        <w:tabs>
          <w:tab w:val="left" w:pos="720"/>
        </w:tabs>
        <w:spacing w:line="480" w:lineRule="auto"/>
        <w:jc w:val="both"/>
        <w:rPr>
          <w:rFonts w:ascii="Arial" w:hAnsi="Arial" w:cs="Arial"/>
          <w:b/>
        </w:rPr>
      </w:pPr>
    </w:p>
    <w:p w:rsidR="00CC1C75" w:rsidRDefault="00CC1C75" w:rsidP="00CC1C75">
      <w:pPr>
        <w:pStyle w:val="Textoindependiente"/>
        <w:spacing w:line="480" w:lineRule="auto"/>
        <w:rPr>
          <w:rFonts w:ascii="Arial" w:hAnsi="Arial" w:cs="Arial"/>
        </w:rPr>
      </w:pPr>
    </w:p>
    <w:p w:rsidR="00CC1C75" w:rsidRDefault="00CC1C75" w:rsidP="00CC1C75">
      <w:pPr>
        <w:pStyle w:val="Textoindependiente"/>
        <w:spacing w:line="480" w:lineRule="auto"/>
        <w:rPr>
          <w:rFonts w:ascii="Arial" w:hAnsi="Arial" w:cs="Arial"/>
        </w:rPr>
      </w:pPr>
    </w:p>
    <w:p w:rsidR="00CC1C75" w:rsidRDefault="00CC1C75" w:rsidP="00CC1C75">
      <w:pPr>
        <w:pStyle w:val="Textoindependiente"/>
        <w:spacing w:line="480" w:lineRule="auto"/>
        <w:rPr>
          <w:rFonts w:ascii="Arial" w:hAnsi="Arial" w:cs="Arial"/>
        </w:rPr>
      </w:pPr>
    </w:p>
    <w:p w:rsidR="00CC1C75" w:rsidRDefault="00CC1C75" w:rsidP="00CC1C75">
      <w:pPr>
        <w:pStyle w:val="Textoindependiente"/>
        <w:spacing w:line="480" w:lineRule="auto"/>
        <w:rPr>
          <w:rFonts w:ascii="Arial" w:hAnsi="Arial" w:cs="Arial"/>
        </w:rPr>
      </w:pPr>
    </w:p>
    <w:p w:rsidR="0044707A" w:rsidRDefault="0044707A" w:rsidP="00CC1C75">
      <w:pPr>
        <w:pStyle w:val="Textoindependiente"/>
        <w:spacing w:line="480" w:lineRule="auto"/>
        <w:rPr>
          <w:rFonts w:ascii="Arial" w:hAnsi="Arial" w:cs="Arial"/>
        </w:rPr>
        <w:sectPr w:rsidR="0044707A" w:rsidSect="00756590">
          <w:headerReference w:type="default" r:id="rId47"/>
          <w:pgSz w:w="11906" w:h="16838"/>
          <w:pgMar w:top="2268" w:right="1361" w:bottom="1985" w:left="2268" w:header="709" w:footer="709" w:gutter="0"/>
          <w:pgNumType w:start="28"/>
          <w:cols w:space="708"/>
          <w:docGrid w:linePitch="360"/>
        </w:sectPr>
      </w:pPr>
    </w:p>
    <w:p w:rsidR="00CC1C75" w:rsidRDefault="00CC1C75" w:rsidP="00CC1C75">
      <w:pPr>
        <w:pStyle w:val="Textoindependiente"/>
        <w:spacing w:line="480" w:lineRule="auto"/>
        <w:rPr>
          <w:rFonts w:ascii="Arial" w:hAnsi="Arial" w:cs="Arial"/>
        </w:rPr>
      </w:pPr>
    </w:p>
    <w:p w:rsidR="00CC1C75" w:rsidRPr="0094103F" w:rsidRDefault="00CC1C75" w:rsidP="008C201C">
      <w:pPr>
        <w:pStyle w:val="Ttulo1"/>
        <w:spacing w:line="480" w:lineRule="auto"/>
        <w:jc w:val="center"/>
        <w:rPr>
          <w:rFonts w:ascii="Arial" w:hAnsi="Arial" w:cs="Arial"/>
          <w:sz w:val="32"/>
          <w:szCs w:val="32"/>
          <w:u w:val="single"/>
        </w:rPr>
      </w:pPr>
      <w:bookmarkStart w:id="1057" w:name="_Toc183697573"/>
      <w:bookmarkStart w:id="1058" w:name="_Toc183698903"/>
      <w:bookmarkStart w:id="1059" w:name="_Toc183699244"/>
      <w:bookmarkStart w:id="1060" w:name="_Toc183699456"/>
      <w:bookmarkStart w:id="1061" w:name="_Toc183699930"/>
      <w:bookmarkStart w:id="1062" w:name="_Toc183700203"/>
      <w:bookmarkStart w:id="1063" w:name="_Toc183700713"/>
      <w:bookmarkStart w:id="1064" w:name="_Toc183700965"/>
      <w:r w:rsidRPr="0094103F">
        <w:rPr>
          <w:rFonts w:ascii="Arial" w:hAnsi="Arial" w:cs="Arial"/>
          <w:sz w:val="32"/>
          <w:szCs w:val="32"/>
          <w:u w:val="single"/>
        </w:rPr>
        <w:t>CONCLUSIONES</w:t>
      </w:r>
      <w:bookmarkEnd w:id="1057"/>
      <w:bookmarkEnd w:id="1058"/>
      <w:bookmarkEnd w:id="1059"/>
      <w:bookmarkEnd w:id="1060"/>
      <w:bookmarkEnd w:id="1061"/>
      <w:bookmarkEnd w:id="1062"/>
      <w:bookmarkEnd w:id="1063"/>
      <w:bookmarkEnd w:id="1064"/>
    </w:p>
    <w:p w:rsidR="00CC1C75" w:rsidRPr="00BA38DE" w:rsidRDefault="00CC1C75" w:rsidP="00CC1C75">
      <w:pPr>
        <w:autoSpaceDE w:val="0"/>
        <w:autoSpaceDN w:val="0"/>
        <w:adjustRightInd w:val="0"/>
        <w:spacing w:line="480" w:lineRule="auto"/>
        <w:jc w:val="both"/>
        <w:rPr>
          <w:rFonts w:ascii="Arial" w:hAnsi="Arial" w:cs="Arial"/>
          <w:color w:val="000000"/>
          <w:u w:val="single"/>
        </w:rPr>
      </w:pPr>
    </w:p>
    <w:p w:rsidR="00CC1C75" w:rsidRDefault="00CC1C75" w:rsidP="00CC1C75">
      <w:pPr>
        <w:tabs>
          <w:tab w:val="left" w:pos="0"/>
        </w:tabs>
        <w:autoSpaceDE w:val="0"/>
        <w:autoSpaceDN w:val="0"/>
        <w:adjustRightInd w:val="0"/>
        <w:spacing w:line="480" w:lineRule="auto"/>
        <w:jc w:val="both"/>
        <w:rPr>
          <w:rFonts w:ascii="Arial" w:hAnsi="Arial" w:cs="Arial"/>
          <w:color w:val="000000"/>
        </w:rPr>
      </w:pPr>
      <w:r>
        <w:rPr>
          <w:rFonts w:ascii="Arial" w:hAnsi="Arial" w:cs="Arial"/>
          <w:color w:val="000000"/>
        </w:rPr>
        <w:t xml:space="preserve">1. En base a los datos del proyecto </w:t>
      </w:r>
      <w:r w:rsidRPr="00BA38DE">
        <w:rPr>
          <w:rFonts w:ascii="Arial" w:hAnsi="Arial" w:cs="Arial"/>
          <w:color w:val="000000"/>
        </w:rPr>
        <w:t xml:space="preserve">realizado se </w:t>
      </w:r>
      <w:r>
        <w:rPr>
          <w:rFonts w:ascii="Arial" w:hAnsi="Arial" w:cs="Arial"/>
          <w:color w:val="000000"/>
        </w:rPr>
        <w:t>obtuvo que la empresa que mayor diferencia presenta es la compañía M.O. del banco Produbanco.</w:t>
      </w:r>
    </w:p>
    <w:p w:rsidR="00CC1C75" w:rsidRDefault="00CC1C75" w:rsidP="00CC1C75">
      <w:pPr>
        <w:tabs>
          <w:tab w:val="left" w:pos="851"/>
        </w:tabs>
        <w:autoSpaceDE w:val="0"/>
        <w:autoSpaceDN w:val="0"/>
        <w:adjustRightInd w:val="0"/>
        <w:spacing w:line="480" w:lineRule="auto"/>
        <w:ind w:left="708"/>
        <w:jc w:val="both"/>
        <w:rPr>
          <w:rFonts w:ascii="Arial" w:hAnsi="Arial" w:cs="Arial"/>
          <w:color w:val="000000"/>
        </w:rPr>
      </w:pPr>
    </w:p>
    <w:p w:rsidR="00CC1C75" w:rsidRDefault="00CC1C75" w:rsidP="00CC1C75">
      <w:pPr>
        <w:tabs>
          <w:tab w:val="left" w:pos="0"/>
        </w:tabs>
        <w:autoSpaceDE w:val="0"/>
        <w:autoSpaceDN w:val="0"/>
        <w:adjustRightInd w:val="0"/>
        <w:spacing w:line="480" w:lineRule="auto"/>
        <w:jc w:val="both"/>
        <w:rPr>
          <w:rFonts w:ascii="Arial" w:hAnsi="Arial" w:cs="Arial"/>
          <w:color w:val="000000"/>
        </w:rPr>
      </w:pPr>
      <w:r>
        <w:rPr>
          <w:rFonts w:ascii="Arial" w:hAnsi="Arial" w:cs="Arial"/>
          <w:color w:val="000000"/>
        </w:rPr>
        <w:t xml:space="preserve">2. </w:t>
      </w:r>
      <w:r w:rsidRPr="00BA38DE">
        <w:rPr>
          <w:rFonts w:ascii="Arial" w:hAnsi="Arial" w:cs="Arial"/>
          <w:color w:val="000000"/>
        </w:rPr>
        <w:t>Este</w:t>
      </w:r>
      <w:r>
        <w:rPr>
          <w:rFonts w:ascii="Arial" w:hAnsi="Arial" w:cs="Arial"/>
          <w:color w:val="000000"/>
        </w:rPr>
        <w:t xml:space="preserve"> resultado se lo pudo relacionar mediante el número de requisitos revisados en el control y el total de diferencia de los saldos,</w:t>
      </w:r>
      <w:r w:rsidRPr="00BA38DE">
        <w:rPr>
          <w:rFonts w:ascii="Arial" w:hAnsi="Arial" w:cs="Arial"/>
          <w:color w:val="000000"/>
        </w:rPr>
        <w:t xml:space="preserve"> </w:t>
      </w:r>
      <w:r>
        <w:rPr>
          <w:rFonts w:ascii="Arial" w:hAnsi="Arial" w:cs="Arial"/>
          <w:color w:val="000000"/>
        </w:rPr>
        <w:t>comprobamos que están relacionadas de forma inversa es decir mientras las diferencias aumentan el número de controles disminuyen. Se observó que el número de requisitos revisados en el control para compañía M.O. del banco Produbanco es de 2 como se lo puede apreciar en la tabla X</w:t>
      </w:r>
      <w:r w:rsidR="00F87B7E">
        <w:rPr>
          <w:rFonts w:ascii="Arial" w:hAnsi="Arial" w:cs="Arial"/>
          <w:color w:val="000000"/>
        </w:rPr>
        <w:t>VI</w:t>
      </w:r>
      <w:r>
        <w:rPr>
          <w:rFonts w:ascii="Arial" w:hAnsi="Arial" w:cs="Arial"/>
          <w:color w:val="000000"/>
        </w:rPr>
        <w:t>II.</w:t>
      </w:r>
    </w:p>
    <w:p w:rsidR="00CC1C75" w:rsidRDefault="00CC1C75" w:rsidP="00CC1C75">
      <w:pPr>
        <w:tabs>
          <w:tab w:val="left" w:pos="360"/>
        </w:tabs>
        <w:autoSpaceDE w:val="0"/>
        <w:autoSpaceDN w:val="0"/>
        <w:adjustRightInd w:val="0"/>
        <w:spacing w:line="480" w:lineRule="auto"/>
        <w:ind w:left="360"/>
        <w:jc w:val="both"/>
        <w:rPr>
          <w:rFonts w:ascii="Arial" w:hAnsi="Arial" w:cs="Arial"/>
          <w:color w:val="000000"/>
        </w:rPr>
      </w:pPr>
    </w:p>
    <w:p w:rsidR="00CC1C75" w:rsidRDefault="00CC1C75" w:rsidP="00CC1C75">
      <w:pPr>
        <w:tabs>
          <w:tab w:val="left" w:pos="0"/>
        </w:tabs>
        <w:autoSpaceDE w:val="0"/>
        <w:autoSpaceDN w:val="0"/>
        <w:adjustRightInd w:val="0"/>
        <w:spacing w:line="480" w:lineRule="auto"/>
        <w:jc w:val="both"/>
        <w:rPr>
          <w:rFonts w:ascii="Arial" w:hAnsi="Arial" w:cs="Arial"/>
          <w:color w:val="000000"/>
        </w:rPr>
      </w:pPr>
      <w:r>
        <w:rPr>
          <w:rFonts w:ascii="Arial" w:hAnsi="Arial" w:cs="Arial"/>
          <w:color w:val="000000"/>
        </w:rPr>
        <w:t>3. Se pudo observar como las demás compañías que poseen altas diferencias también tienen pocos números de controles por lo que se confirma la relación inversa  descritas en el ítem 2 de las conclusiones.</w:t>
      </w:r>
    </w:p>
    <w:p w:rsidR="00CC1C75" w:rsidRPr="009061CB" w:rsidRDefault="00CC1C75"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CC1C75" w:rsidRPr="001E58D8" w:rsidRDefault="00CC1C75" w:rsidP="00CC1C75">
      <w:pPr>
        <w:tabs>
          <w:tab w:val="left" w:pos="0"/>
        </w:tabs>
        <w:autoSpaceDE w:val="0"/>
        <w:autoSpaceDN w:val="0"/>
        <w:adjustRightInd w:val="0"/>
        <w:spacing w:line="480" w:lineRule="auto"/>
        <w:jc w:val="both"/>
        <w:rPr>
          <w:rFonts w:ascii="Arial" w:hAnsi="Arial" w:cs="Arial"/>
          <w:color w:val="000000"/>
        </w:rPr>
      </w:pPr>
      <w:r>
        <w:rPr>
          <w:rFonts w:ascii="Arial" w:hAnsi="Arial" w:cs="Arial"/>
          <w:color w:val="000000"/>
        </w:rPr>
        <w:t xml:space="preserve">4. </w:t>
      </w:r>
      <w:r w:rsidRPr="00DD6F2A">
        <w:rPr>
          <w:rFonts w:ascii="Arial" w:hAnsi="Arial" w:cs="Arial"/>
          <w:color w:val="000000"/>
        </w:rPr>
        <w:t xml:space="preserve">Se ve reflejado que la compañía M.O. tuvo mayor diferencia en las conciliaciones en </w:t>
      </w:r>
      <w:r>
        <w:rPr>
          <w:rFonts w:ascii="Arial" w:hAnsi="Arial" w:cs="Arial"/>
          <w:color w:val="000000"/>
        </w:rPr>
        <w:t xml:space="preserve">los </w:t>
      </w:r>
      <w:r w:rsidRPr="00DD6F2A">
        <w:rPr>
          <w:rFonts w:ascii="Arial" w:hAnsi="Arial" w:cs="Arial"/>
          <w:color w:val="000000"/>
        </w:rPr>
        <w:t>mes</w:t>
      </w:r>
      <w:r>
        <w:rPr>
          <w:rFonts w:ascii="Arial" w:hAnsi="Arial" w:cs="Arial"/>
          <w:color w:val="000000"/>
        </w:rPr>
        <w:t>es</w:t>
      </w:r>
      <w:r w:rsidRPr="00DD6F2A">
        <w:rPr>
          <w:rFonts w:ascii="Arial" w:hAnsi="Arial" w:cs="Arial"/>
          <w:color w:val="000000"/>
        </w:rPr>
        <w:t xml:space="preserve"> de enero y mayo del banco Produbanco. </w:t>
      </w:r>
    </w:p>
    <w:p w:rsidR="00CC1C75" w:rsidRPr="009061CB" w:rsidRDefault="00CC1C75" w:rsidP="00CC1C75">
      <w:pPr>
        <w:tabs>
          <w:tab w:val="left" w:pos="851"/>
          <w:tab w:val="left" w:pos="1418"/>
          <w:tab w:val="left" w:pos="1560"/>
        </w:tabs>
        <w:autoSpaceDE w:val="0"/>
        <w:autoSpaceDN w:val="0"/>
        <w:adjustRightInd w:val="0"/>
        <w:spacing w:line="480" w:lineRule="auto"/>
        <w:ind w:left="426"/>
        <w:jc w:val="both"/>
        <w:rPr>
          <w:rFonts w:ascii="Arial" w:hAnsi="Arial" w:cs="Arial"/>
          <w:color w:val="000000"/>
        </w:rPr>
      </w:pPr>
    </w:p>
    <w:p w:rsidR="00CC1C75" w:rsidRPr="00741604" w:rsidRDefault="00CC1C75" w:rsidP="00CC1C75">
      <w:pPr>
        <w:spacing w:line="480" w:lineRule="auto"/>
        <w:jc w:val="both"/>
        <w:rPr>
          <w:rFonts w:ascii="Arial" w:hAnsi="Arial" w:cs="Arial"/>
        </w:rPr>
      </w:pPr>
      <w:r>
        <w:rPr>
          <w:rFonts w:ascii="Arial" w:hAnsi="Arial" w:cs="Arial"/>
          <w:color w:val="000000"/>
        </w:rPr>
        <w:t xml:space="preserve">5.  </w:t>
      </w:r>
      <w:r w:rsidRPr="00741604">
        <w:rPr>
          <w:rFonts w:ascii="Arial" w:hAnsi="Arial" w:cs="Arial"/>
        </w:rPr>
        <w:t xml:space="preserve">No </w:t>
      </w:r>
      <w:r>
        <w:rPr>
          <w:rFonts w:ascii="Arial" w:hAnsi="Arial" w:cs="Arial"/>
        </w:rPr>
        <w:t xml:space="preserve">en todos los casos </w:t>
      </w:r>
      <w:r w:rsidRPr="00741604">
        <w:rPr>
          <w:rFonts w:ascii="Arial" w:hAnsi="Arial" w:cs="Arial"/>
        </w:rPr>
        <w:t>incluyen firmas de preparación y revisión</w:t>
      </w:r>
      <w:r>
        <w:rPr>
          <w:rFonts w:ascii="Arial" w:hAnsi="Arial" w:cs="Arial"/>
        </w:rPr>
        <w:t xml:space="preserve"> en las conciliaciones bancarias</w:t>
      </w:r>
      <w:r w:rsidRPr="00741604">
        <w:rPr>
          <w:rFonts w:ascii="Arial" w:hAnsi="Arial" w:cs="Arial"/>
        </w:rPr>
        <w:t>.</w:t>
      </w:r>
    </w:p>
    <w:p w:rsidR="00CC1C75" w:rsidRPr="009061CB" w:rsidRDefault="00CC1C75" w:rsidP="00CC1C75">
      <w:pPr>
        <w:tabs>
          <w:tab w:val="left" w:pos="851"/>
          <w:tab w:val="left" w:pos="1418"/>
          <w:tab w:val="left" w:pos="1560"/>
        </w:tabs>
        <w:autoSpaceDE w:val="0"/>
        <w:autoSpaceDN w:val="0"/>
        <w:adjustRightInd w:val="0"/>
        <w:spacing w:line="480" w:lineRule="auto"/>
        <w:ind w:left="426"/>
        <w:jc w:val="both"/>
        <w:rPr>
          <w:rFonts w:ascii="Arial" w:hAnsi="Arial" w:cs="Arial"/>
          <w:color w:val="000000"/>
        </w:rPr>
      </w:pPr>
    </w:p>
    <w:p w:rsidR="00CC1C75" w:rsidRPr="00741604" w:rsidRDefault="00CC1C75" w:rsidP="00CC1C75">
      <w:pPr>
        <w:spacing w:line="480" w:lineRule="auto"/>
        <w:jc w:val="both"/>
        <w:rPr>
          <w:rFonts w:ascii="Arial" w:hAnsi="Arial" w:cs="Arial"/>
        </w:rPr>
      </w:pPr>
      <w:r>
        <w:rPr>
          <w:rFonts w:ascii="Arial" w:hAnsi="Arial" w:cs="Arial"/>
        </w:rPr>
        <w:t xml:space="preserve">6. Las </w:t>
      </w:r>
      <w:r w:rsidRPr="00741604">
        <w:rPr>
          <w:rFonts w:ascii="Arial" w:hAnsi="Arial" w:cs="Arial"/>
        </w:rPr>
        <w:t>conciliaciones bancarias</w:t>
      </w:r>
      <w:r>
        <w:rPr>
          <w:rFonts w:ascii="Arial" w:hAnsi="Arial" w:cs="Arial"/>
        </w:rPr>
        <w:t xml:space="preserve"> no están siendo elaboradas oportunamente, se tienen retrasos de 2 meses</w:t>
      </w:r>
      <w:r w:rsidRPr="00741604">
        <w:rPr>
          <w:rFonts w:ascii="Arial" w:hAnsi="Arial" w:cs="Arial"/>
        </w:rPr>
        <w:t>.</w:t>
      </w:r>
    </w:p>
    <w:p w:rsidR="00CC1C75" w:rsidRPr="00DD6F2A" w:rsidRDefault="00CC1C75" w:rsidP="00CC1C75">
      <w:pPr>
        <w:tabs>
          <w:tab w:val="left" w:pos="851"/>
          <w:tab w:val="left" w:pos="1418"/>
          <w:tab w:val="left" w:pos="1560"/>
        </w:tabs>
        <w:autoSpaceDE w:val="0"/>
        <w:autoSpaceDN w:val="0"/>
        <w:adjustRightInd w:val="0"/>
        <w:spacing w:line="480" w:lineRule="auto"/>
        <w:jc w:val="both"/>
        <w:rPr>
          <w:rFonts w:ascii="Arial" w:hAnsi="Arial" w:cs="Arial"/>
        </w:rPr>
      </w:pPr>
    </w:p>
    <w:p w:rsidR="00CC1C75" w:rsidRDefault="00CC1C75" w:rsidP="00CC1C75">
      <w:pPr>
        <w:spacing w:line="480" w:lineRule="auto"/>
        <w:jc w:val="both"/>
        <w:rPr>
          <w:rFonts w:ascii="Arial" w:hAnsi="Arial" w:cs="Arial"/>
        </w:rPr>
      </w:pPr>
      <w:r>
        <w:rPr>
          <w:rFonts w:ascii="Arial" w:hAnsi="Arial" w:cs="Arial"/>
        </w:rPr>
        <w:t xml:space="preserve">7. </w:t>
      </w:r>
      <w:r w:rsidRPr="00741604">
        <w:rPr>
          <w:rFonts w:ascii="Arial" w:hAnsi="Arial" w:cs="Arial"/>
        </w:rPr>
        <w:t xml:space="preserve">No </w:t>
      </w:r>
      <w:r>
        <w:rPr>
          <w:rFonts w:ascii="Arial" w:hAnsi="Arial" w:cs="Arial"/>
        </w:rPr>
        <w:t>se realiza un análisis de la razonabilidad de la emisión de los cheques que no han sido retirados y cobrados por los beneficiarios en un plazo mayor a los 3 meses. Adicionalmente, no se anulan los cheques vencidos en custodia de la compañía.</w:t>
      </w:r>
    </w:p>
    <w:p w:rsidR="00CC1C75" w:rsidRDefault="00CC1C75" w:rsidP="00CC1C75">
      <w:pPr>
        <w:tabs>
          <w:tab w:val="left" w:pos="0"/>
          <w:tab w:val="left" w:pos="1418"/>
          <w:tab w:val="left" w:pos="1560"/>
        </w:tabs>
        <w:autoSpaceDE w:val="0"/>
        <w:autoSpaceDN w:val="0"/>
        <w:adjustRightInd w:val="0"/>
        <w:spacing w:line="480" w:lineRule="auto"/>
        <w:jc w:val="both"/>
        <w:rPr>
          <w:rFonts w:ascii="Arial" w:hAnsi="Arial" w:cs="Arial"/>
        </w:rPr>
      </w:pPr>
    </w:p>
    <w:p w:rsidR="00CC1C75" w:rsidRDefault="00CC1C75" w:rsidP="00CC1C75">
      <w:pPr>
        <w:numPr>
          <w:ilvl w:val="0"/>
          <w:numId w:val="8"/>
        </w:numPr>
        <w:tabs>
          <w:tab w:val="clear" w:pos="825"/>
          <w:tab w:val="num" w:pos="0"/>
          <w:tab w:val="left" w:pos="360"/>
        </w:tabs>
        <w:spacing w:line="480" w:lineRule="auto"/>
        <w:ind w:left="0" w:firstLine="0"/>
        <w:jc w:val="both"/>
        <w:rPr>
          <w:rFonts w:ascii="Arial" w:hAnsi="Arial" w:cs="Arial"/>
        </w:rPr>
      </w:pPr>
      <w:r>
        <w:rPr>
          <w:rFonts w:ascii="Arial" w:hAnsi="Arial" w:cs="Arial"/>
        </w:rPr>
        <w:t>Las notas de dé</w:t>
      </w:r>
      <w:r w:rsidRPr="00741604">
        <w:rPr>
          <w:rFonts w:ascii="Arial" w:hAnsi="Arial" w:cs="Arial"/>
        </w:rPr>
        <w:t xml:space="preserve">bitos y notas de </w:t>
      </w:r>
      <w:r>
        <w:rPr>
          <w:rFonts w:ascii="Arial" w:hAnsi="Arial" w:cs="Arial"/>
        </w:rPr>
        <w:t>créditos no están siendo oportunamente registradas. Cabe indicar que se encontraron casos en los cuales existe discrepancia en la fecha de corte del registro contable de hasta 2 meses en relación con lo reflejado en el E/C.</w:t>
      </w:r>
    </w:p>
    <w:p w:rsidR="00CC1C75" w:rsidRDefault="00CC1C75" w:rsidP="00CC1C75">
      <w:pPr>
        <w:tabs>
          <w:tab w:val="left" w:pos="360"/>
        </w:tabs>
        <w:spacing w:line="480" w:lineRule="auto"/>
        <w:jc w:val="both"/>
        <w:rPr>
          <w:rFonts w:ascii="Arial" w:hAnsi="Arial" w:cs="Arial"/>
        </w:rPr>
      </w:pPr>
    </w:p>
    <w:p w:rsidR="00CC1C75" w:rsidRPr="00741604" w:rsidRDefault="00CC1C75" w:rsidP="00CC1C75">
      <w:pPr>
        <w:numPr>
          <w:ilvl w:val="0"/>
          <w:numId w:val="8"/>
        </w:numPr>
        <w:tabs>
          <w:tab w:val="clear" w:pos="825"/>
          <w:tab w:val="num" w:pos="0"/>
          <w:tab w:val="left" w:pos="360"/>
          <w:tab w:val="left" w:pos="540"/>
        </w:tabs>
        <w:spacing w:line="480" w:lineRule="auto"/>
        <w:ind w:left="0" w:firstLine="0"/>
        <w:jc w:val="both"/>
        <w:rPr>
          <w:rFonts w:ascii="Arial" w:hAnsi="Arial" w:cs="Arial"/>
        </w:rPr>
      </w:pPr>
      <w:r w:rsidRPr="00741604">
        <w:rPr>
          <w:rFonts w:ascii="Arial" w:hAnsi="Arial" w:cs="Arial"/>
        </w:rPr>
        <w:t>Existen diferencias entre el saldo de</w:t>
      </w:r>
      <w:r>
        <w:rPr>
          <w:rFonts w:ascii="Arial" w:hAnsi="Arial" w:cs="Arial"/>
        </w:rPr>
        <w:t xml:space="preserve">l libro banco reflejado en las </w:t>
      </w:r>
      <w:r w:rsidRPr="00741604">
        <w:rPr>
          <w:rFonts w:ascii="Arial" w:hAnsi="Arial" w:cs="Arial"/>
        </w:rPr>
        <w:t>conciliaciones bancarias y los saldos encontrados en los balances generales.</w:t>
      </w:r>
    </w:p>
    <w:p w:rsidR="00CC1C75" w:rsidRPr="00741604" w:rsidRDefault="00CC1C75" w:rsidP="00CC1C75">
      <w:pPr>
        <w:spacing w:line="480" w:lineRule="auto"/>
        <w:jc w:val="both"/>
        <w:rPr>
          <w:rFonts w:ascii="Arial" w:hAnsi="Arial" w:cs="Arial"/>
        </w:rPr>
      </w:pPr>
    </w:p>
    <w:p w:rsidR="00CC1C75" w:rsidRDefault="00CC1C75" w:rsidP="00CC1C75">
      <w:pPr>
        <w:numPr>
          <w:ilvl w:val="0"/>
          <w:numId w:val="8"/>
        </w:numPr>
        <w:tabs>
          <w:tab w:val="clear" w:pos="825"/>
          <w:tab w:val="left" w:pos="0"/>
          <w:tab w:val="num" w:pos="360"/>
          <w:tab w:val="left" w:pos="1418"/>
          <w:tab w:val="left" w:pos="1560"/>
        </w:tabs>
        <w:autoSpaceDE w:val="0"/>
        <w:autoSpaceDN w:val="0"/>
        <w:adjustRightInd w:val="0"/>
        <w:spacing w:line="480" w:lineRule="auto"/>
        <w:ind w:left="0" w:firstLine="0"/>
        <w:jc w:val="both"/>
        <w:rPr>
          <w:rFonts w:ascii="Arial" w:hAnsi="Arial" w:cs="Arial"/>
        </w:rPr>
      </w:pPr>
      <w:r>
        <w:rPr>
          <w:rFonts w:ascii="Arial" w:hAnsi="Arial" w:cs="Arial"/>
        </w:rPr>
        <w:t xml:space="preserve"> </w:t>
      </w:r>
      <w:r w:rsidRPr="00A83691">
        <w:rPr>
          <w:rFonts w:ascii="Arial" w:hAnsi="Arial" w:cs="Arial"/>
        </w:rPr>
        <w:t>Podemos concluir que en el análisis de series temporales, los meses no influyen en que las diferencias de las conciliaciones bancarias sean elevadas ya que cuando existen diferencias altas no solo se presentan en un solo mes sino que en distintos, lo que si podemos concluir es que las diferencias tienen que ver con el banco ya que las mayores diferencias son p</w:t>
      </w:r>
      <w:r>
        <w:rPr>
          <w:rFonts w:ascii="Arial" w:hAnsi="Arial" w:cs="Arial"/>
        </w:rPr>
        <w:t>resentadas en un mismo banco y é</w:t>
      </w:r>
      <w:r w:rsidRPr="00A83691">
        <w:rPr>
          <w:rFonts w:ascii="Arial" w:hAnsi="Arial" w:cs="Arial"/>
        </w:rPr>
        <w:t>stas son de  distintas compañías.</w:t>
      </w:r>
    </w:p>
    <w:p w:rsidR="00CC1C75" w:rsidRDefault="00CC1C75" w:rsidP="00CC1C75">
      <w:pPr>
        <w:tabs>
          <w:tab w:val="left" w:pos="0"/>
          <w:tab w:val="left" w:pos="1418"/>
          <w:tab w:val="left" w:pos="1560"/>
        </w:tabs>
        <w:autoSpaceDE w:val="0"/>
        <w:autoSpaceDN w:val="0"/>
        <w:adjustRightInd w:val="0"/>
        <w:spacing w:line="480" w:lineRule="auto"/>
        <w:jc w:val="both"/>
        <w:rPr>
          <w:rFonts w:ascii="Arial" w:hAnsi="Arial" w:cs="Arial"/>
        </w:rPr>
      </w:pPr>
    </w:p>
    <w:p w:rsidR="00CC1C75" w:rsidRPr="009677C1" w:rsidRDefault="00CC1C75" w:rsidP="00CC1C75">
      <w:pPr>
        <w:numPr>
          <w:ilvl w:val="0"/>
          <w:numId w:val="8"/>
        </w:numPr>
        <w:tabs>
          <w:tab w:val="clear" w:pos="825"/>
          <w:tab w:val="left" w:pos="0"/>
          <w:tab w:val="num" w:pos="360"/>
          <w:tab w:val="left" w:pos="1418"/>
          <w:tab w:val="left" w:pos="1560"/>
        </w:tabs>
        <w:autoSpaceDE w:val="0"/>
        <w:autoSpaceDN w:val="0"/>
        <w:adjustRightInd w:val="0"/>
        <w:spacing w:line="480" w:lineRule="auto"/>
        <w:ind w:left="0" w:firstLine="0"/>
        <w:jc w:val="both"/>
        <w:rPr>
          <w:rFonts w:ascii="Arial" w:hAnsi="Arial" w:cs="Arial"/>
        </w:rPr>
      </w:pPr>
      <w:r>
        <w:rPr>
          <w:rFonts w:ascii="Arial" w:hAnsi="Arial" w:cs="Arial"/>
        </w:rPr>
        <w:t xml:space="preserve"> C</w:t>
      </w:r>
      <w:r w:rsidRPr="009677C1">
        <w:rPr>
          <w:rFonts w:ascii="Arial" w:hAnsi="Arial" w:cs="Arial"/>
        </w:rPr>
        <w:t>on respecto a los cuartiles de las diferencias de las conciliaciones bancarias de todas las compañías con sus respectivos bancos apreciamos que el segundo cuartil nos indica que la mitad de los valores están por debajo de $236.20 por lo que esta cantidad supera a los $100 los cuales fueron mencionados en la introducción en la que la empresa</w:t>
      </w:r>
      <w:r>
        <w:rPr>
          <w:rFonts w:ascii="Arial" w:hAnsi="Arial" w:cs="Arial"/>
        </w:rPr>
        <w:t xml:space="preserve"> a juicio profesional considera</w:t>
      </w:r>
      <w:r w:rsidRPr="009677C1">
        <w:rPr>
          <w:rFonts w:ascii="Arial" w:hAnsi="Arial" w:cs="Arial"/>
        </w:rPr>
        <w:t xml:space="preserve"> de </w:t>
      </w:r>
      <w:r>
        <w:rPr>
          <w:rFonts w:ascii="Arial" w:hAnsi="Arial" w:cs="Arial"/>
        </w:rPr>
        <w:t xml:space="preserve">poca importancia para el </w:t>
      </w:r>
      <w:r w:rsidRPr="009677C1">
        <w:rPr>
          <w:rFonts w:ascii="Arial" w:hAnsi="Arial" w:cs="Arial"/>
        </w:rPr>
        <w:t xml:space="preserve">control </w:t>
      </w:r>
      <w:r>
        <w:rPr>
          <w:rFonts w:ascii="Arial" w:hAnsi="Arial" w:cs="Arial"/>
        </w:rPr>
        <w:t>de valores menores a $100</w:t>
      </w:r>
      <w:r w:rsidRPr="009677C1">
        <w:rPr>
          <w:rFonts w:ascii="Arial" w:hAnsi="Arial" w:cs="Arial"/>
        </w:rPr>
        <w:t>. Con estos resultado</w:t>
      </w:r>
      <w:r>
        <w:rPr>
          <w:rFonts w:ascii="Arial" w:hAnsi="Arial" w:cs="Arial"/>
        </w:rPr>
        <w:t xml:space="preserve">s se concluye que la empresa </w:t>
      </w:r>
      <w:r w:rsidRPr="009677C1">
        <w:rPr>
          <w:rFonts w:ascii="Arial" w:hAnsi="Arial" w:cs="Arial"/>
        </w:rPr>
        <w:t>posee diferencias que no son aceptables</w:t>
      </w:r>
      <w:r>
        <w:rPr>
          <w:rFonts w:ascii="Arial" w:hAnsi="Arial" w:cs="Arial"/>
        </w:rPr>
        <w:t>.</w:t>
      </w:r>
    </w:p>
    <w:p w:rsidR="00CC1C75" w:rsidRDefault="00CC1C75"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44707A" w:rsidRDefault="0044707A"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44707A" w:rsidRDefault="0044707A"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44707A" w:rsidRDefault="0044707A"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BF181C" w:rsidRDefault="00BF181C" w:rsidP="00CC1C75">
      <w:pPr>
        <w:tabs>
          <w:tab w:val="left" w:pos="851"/>
          <w:tab w:val="left" w:pos="1418"/>
          <w:tab w:val="left" w:pos="1560"/>
        </w:tabs>
        <w:autoSpaceDE w:val="0"/>
        <w:autoSpaceDN w:val="0"/>
        <w:adjustRightInd w:val="0"/>
        <w:spacing w:line="480" w:lineRule="auto"/>
        <w:jc w:val="both"/>
        <w:rPr>
          <w:rFonts w:ascii="Arial" w:hAnsi="Arial" w:cs="Arial"/>
          <w:color w:val="000000"/>
        </w:rPr>
      </w:pPr>
    </w:p>
    <w:p w:rsidR="00CC1C75" w:rsidRPr="0094103F" w:rsidRDefault="002C1161" w:rsidP="008C201C">
      <w:pPr>
        <w:pStyle w:val="Ttulo1"/>
        <w:spacing w:line="480" w:lineRule="auto"/>
        <w:jc w:val="center"/>
        <w:rPr>
          <w:rFonts w:ascii="Arial" w:hAnsi="Arial" w:cs="Arial"/>
          <w:sz w:val="32"/>
          <w:szCs w:val="32"/>
          <w:u w:val="single"/>
        </w:rPr>
      </w:pPr>
      <w:bookmarkStart w:id="1065" w:name="_Toc183697574"/>
      <w:bookmarkStart w:id="1066" w:name="_Toc183698904"/>
      <w:bookmarkStart w:id="1067" w:name="_Toc183699245"/>
      <w:bookmarkStart w:id="1068" w:name="_Toc183699457"/>
      <w:bookmarkStart w:id="1069" w:name="_Toc183699931"/>
      <w:bookmarkStart w:id="1070" w:name="_Toc183700204"/>
      <w:bookmarkStart w:id="1071" w:name="_Toc183700714"/>
      <w:bookmarkStart w:id="1072" w:name="_Toc183700966"/>
      <w:r w:rsidRPr="0094103F">
        <w:rPr>
          <w:rFonts w:ascii="Arial" w:hAnsi="Arial" w:cs="Arial"/>
          <w:color w:val="000000"/>
          <w:sz w:val="32"/>
          <w:szCs w:val="32"/>
          <w:u w:val="single"/>
        </w:rPr>
        <w:lastRenderedPageBreak/>
        <w:t>R</w:t>
      </w:r>
      <w:r w:rsidRPr="0094103F">
        <w:rPr>
          <w:rFonts w:ascii="Arial" w:hAnsi="Arial" w:cs="Arial"/>
          <w:sz w:val="32"/>
          <w:szCs w:val="32"/>
          <w:u w:val="single"/>
        </w:rPr>
        <w:t>ECOMENDACIONES</w:t>
      </w:r>
      <w:bookmarkEnd w:id="1065"/>
      <w:bookmarkEnd w:id="1066"/>
      <w:bookmarkEnd w:id="1067"/>
      <w:bookmarkEnd w:id="1068"/>
      <w:bookmarkEnd w:id="1069"/>
      <w:bookmarkEnd w:id="1070"/>
      <w:bookmarkEnd w:id="1071"/>
      <w:bookmarkEnd w:id="1072"/>
    </w:p>
    <w:p w:rsidR="00CC1C75" w:rsidRDefault="00CC1C75" w:rsidP="002C1161">
      <w:pPr>
        <w:autoSpaceDE w:val="0"/>
        <w:autoSpaceDN w:val="0"/>
        <w:adjustRightInd w:val="0"/>
        <w:spacing w:line="480" w:lineRule="auto"/>
        <w:jc w:val="both"/>
        <w:rPr>
          <w:rFonts w:ascii="Arial" w:hAnsi="Arial" w:cs="Arial"/>
          <w:u w:val="single"/>
        </w:rPr>
      </w:pPr>
    </w:p>
    <w:p w:rsidR="00CC1C75" w:rsidRPr="009061CB" w:rsidRDefault="00CC1C75" w:rsidP="002C1161">
      <w:pPr>
        <w:pStyle w:val="Textoindependiente"/>
        <w:spacing w:line="480" w:lineRule="auto"/>
        <w:jc w:val="both"/>
        <w:rPr>
          <w:rFonts w:ascii="Arial" w:hAnsi="Arial" w:cs="Arial"/>
        </w:rPr>
      </w:pPr>
      <w:r w:rsidRPr="009061CB">
        <w:rPr>
          <w:rFonts w:ascii="Arial" w:hAnsi="Arial" w:cs="Arial"/>
        </w:rPr>
        <w:t>Durante el desarrollo de este trabajo se ha podido analizar y visualizar las diferencias de los saldos de las conciliaciones bancarias y basadas</w:t>
      </w:r>
      <w:r>
        <w:rPr>
          <w:rFonts w:ascii="Arial" w:hAnsi="Arial" w:cs="Arial"/>
        </w:rPr>
        <w:t xml:space="preserve"> en</w:t>
      </w:r>
      <w:r w:rsidRPr="009061CB">
        <w:rPr>
          <w:rFonts w:ascii="Arial" w:hAnsi="Arial" w:cs="Arial"/>
        </w:rPr>
        <w:t xml:space="preserve"> esto se dará las siguientes recomendaciones:</w:t>
      </w:r>
    </w:p>
    <w:p w:rsidR="00CC1C75" w:rsidRPr="009061CB" w:rsidRDefault="00CC1C75" w:rsidP="002C1161">
      <w:pPr>
        <w:spacing w:line="480" w:lineRule="auto"/>
        <w:jc w:val="both"/>
        <w:rPr>
          <w:rFonts w:ascii="Arial" w:hAnsi="Arial" w:cs="Arial"/>
        </w:rPr>
      </w:pPr>
    </w:p>
    <w:p w:rsidR="00CC1C75" w:rsidRPr="009061CB" w:rsidRDefault="00CC1C75" w:rsidP="002C1161">
      <w:pPr>
        <w:pStyle w:val="Textoindependiente"/>
        <w:spacing w:line="480" w:lineRule="auto"/>
        <w:jc w:val="both"/>
        <w:rPr>
          <w:rFonts w:ascii="Arial" w:hAnsi="Arial" w:cs="Arial"/>
        </w:rPr>
      </w:pPr>
      <w:r>
        <w:rPr>
          <w:rFonts w:ascii="Arial" w:hAnsi="Arial" w:cs="Arial"/>
        </w:rPr>
        <w:t xml:space="preserve">1. </w:t>
      </w:r>
      <w:r w:rsidRPr="009061CB">
        <w:rPr>
          <w:rFonts w:ascii="Arial" w:hAnsi="Arial" w:cs="Arial"/>
        </w:rPr>
        <w:t xml:space="preserve">Acorde al análisis de correlación observamos que mientras mayor es el número de requisitos revisados en el control  menores son las diferencias por lo que se debe realizar de manera continua mensual el </w:t>
      </w:r>
      <w:r>
        <w:rPr>
          <w:rFonts w:ascii="Arial" w:hAnsi="Arial" w:cs="Arial"/>
        </w:rPr>
        <w:t>anexo 1</w:t>
      </w:r>
      <w:r w:rsidRPr="009061CB">
        <w:rPr>
          <w:rFonts w:ascii="Arial" w:hAnsi="Arial" w:cs="Arial"/>
        </w:rPr>
        <w:t xml:space="preserve"> y a medida que se vayan observando más anomalías se debe incluir la revisión de lo que ocasionó tal irregularidad.</w:t>
      </w:r>
    </w:p>
    <w:p w:rsidR="00CC1C75" w:rsidRPr="009061CB" w:rsidRDefault="00CC1C75" w:rsidP="002C1161">
      <w:pPr>
        <w:spacing w:line="480" w:lineRule="auto"/>
        <w:jc w:val="both"/>
        <w:rPr>
          <w:rFonts w:ascii="Arial" w:hAnsi="Arial" w:cs="Arial"/>
        </w:rPr>
      </w:pPr>
    </w:p>
    <w:p w:rsidR="00CC1C75" w:rsidRDefault="00CC1C75" w:rsidP="002C1161">
      <w:pPr>
        <w:pStyle w:val="Textoindependiente"/>
        <w:spacing w:line="480" w:lineRule="auto"/>
        <w:jc w:val="both"/>
        <w:rPr>
          <w:rFonts w:ascii="Arial" w:hAnsi="Arial" w:cs="Arial"/>
        </w:rPr>
      </w:pPr>
      <w:r>
        <w:rPr>
          <w:rFonts w:ascii="Arial" w:hAnsi="Arial" w:cs="Arial"/>
        </w:rPr>
        <w:t>El</w:t>
      </w:r>
      <w:r w:rsidRPr="009061CB">
        <w:rPr>
          <w:rFonts w:ascii="Arial" w:hAnsi="Arial" w:cs="Arial"/>
        </w:rPr>
        <w:t xml:space="preserve"> cuadro</w:t>
      </w:r>
      <w:r>
        <w:rPr>
          <w:rFonts w:ascii="Arial" w:hAnsi="Arial" w:cs="Arial"/>
        </w:rPr>
        <w:t xml:space="preserve"> del anexo 1</w:t>
      </w:r>
      <w:r w:rsidRPr="009061CB">
        <w:rPr>
          <w:rFonts w:ascii="Arial" w:hAnsi="Arial" w:cs="Arial"/>
        </w:rPr>
        <w:t xml:space="preserve"> se lo podría calificar con valores de uno y cero, donde uno es cuando cumple con los requisitos y cero es cuando no lo hace.  Además se podría incluir otros meses para realizar los comparativos y así observar si se ha mejorado o no respecto a otros meses en caso de no haber mejora se debe dar un mayor seguimiento.</w:t>
      </w:r>
    </w:p>
    <w:p w:rsidR="00CC1C75" w:rsidRDefault="00CC1C75" w:rsidP="00CC1C75">
      <w:pPr>
        <w:pStyle w:val="Textoindependiente"/>
        <w:spacing w:line="480" w:lineRule="auto"/>
        <w:rPr>
          <w:rFonts w:ascii="Arial" w:hAnsi="Arial" w:cs="Arial"/>
        </w:rPr>
      </w:pPr>
    </w:p>
    <w:p w:rsidR="00CC1C75" w:rsidRDefault="00CC1C75" w:rsidP="002C1161">
      <w:pPr>
        <w:pStyle w:val="Textoindependiente"/>
        <w:spacing w:line="480" w:lineRule="auto"/>
        <w:jc w:val="both"/>
        <w:rPr>
          <w:rFonts w:ascii="Arial" w:hAnsi="Arial" w:cs="Arial"/>
        </w:rPr>
      </w:pPr>
      <w:r>
        <w:rPr>
          <w:rFonts w:ascii="Arial" w:hAnsi="Arial" w:cs="Arial"/>
        </w:rPr>
        <w:t xml:space="preserve">2. Designar una persona no vinculada con la recepción de fondos, giro y custodia de cheques, depósito de fondos y/o registro de operaciones relacionadas para la realización de las conciliaciones bancarias y las mismas </w:t>
      </w:r>
      <w:r>
        <w:rPr>
          <w:rFonts w:ascii="Arial" w:hAnsi="Arial" w:cs="Arial"/>
        </w:rPr>
        <w:lastRenderedPageBreak/>
        <w:t xml:space="preserve">sean revisadas por el contralor, a fin de evitar el riesgo de cometer errores y del procesamiento de movimientos no razonables. </w:t>
      </w:r>
    </w:p>
    <w:p w:rsidR="00CC1C75" w:rsidRPr="00E77F17" w:rsidRDefault="00CC1C75" w:rsidP="00CC1C75">
      <w:pPr>
        <w:spacing w:line="480" w:lineRule="auto"/>
        <w:jc w:val="both"/>
        <w:rPr>
          <w:rFonts w:ascii="Arial" w:hAnsi="Arial" w:cs="Arial"/>
          <w:lang w:val="es-MX"/>
        </w:rPr>
      </w:pPr>
    </w:p>
    <w:p w:rsidR="00CC1C75" w:rsidRDefault="00CC1C75" w:rsidP="00CC1C75">
      <w:pPr>
        <w:spacing w:line="480" w:lineRule="auto"/>
        <w:jc w:val="both"/>
        <w:rPr>
          <w:rFonts w:ascii="Arial" w:hAnsi="Arial" w:cs="Arial"/>
          <w:lang w:val="es-MX"/>
        </w:rPr>
      </w:pPr>
      <w:r>
        <w:rPr>
          <w:rFonts w:ascii="Arial" w:hAnsi="Arial" w:cs="Arial"/>
          <w:lang w:val="es-MX"/>
        </w:rPr>
        <w:t xml:space="preserve">3. Elaborar oportunamente las conciliaciones bancarias a fin de que se detecte a tiempo las diferencias y se realice los correspondientes ajustes de ser necesario. </w:t>
      </w:r>
    </w:p>
    <w:p w:rsidR="00CC1C75" w:rsidRDefault="00CC1C75" w:rsidP="00CC1C75">
      <w:pPr>
        <w:spacing w:line="480" w:lineRule="auto"/>
        <w:jc w:val="both"/>
        <w:rPr>
          <w:rFonts w:ascii="Arial" w:hAnsi="Arial" w:cs="Arial"/>
          <w:lang w:val="es-MX"/>
        </w:rPr>
      </w:pPr>
    </w:p>
    <w:p w:rsidR="00CC1C75" w:rsidRDefault="00CC1C75" w:rsidP="00CC1C75">
      <w:pPr>
        <w:spacing w:line="480" w:lineRule="auto"/>
        <w:jc w:val="both"/>
        <w:rPr>
          <w:rFonts w:ascii="Arial" w:hAnsi="Arial" w:cs="Arial"/>
          <w:lang w:val="es-MX"/>
        </w:rPr>
      </w:pPr>
      <w:r>
        <w:rPr>
          <w:rFonts w:ascii="Arial" w:hAnsi="Arial" w:cs="Arial"/>
          <w:lang w:val="es-MX"/>
        </w:rPr>
        <w:t xml:space="preserve">4. Elaborar inmediatamente y luego de recibir los estados de cuenta bancaria dentro de los primeros días hábiles del mes. </w:t>
      </w:r>
    </w:p>
    <w:p w:rsidR="00CC1C75" w:rsidRDefault="00CC1C75" w:rsidP="00CC1C75">
      <w:pPr>
        <w:spacing w:line="480" w:lineRule="auto"/>
        <w:jc w:val="both"/>
        <w:rPr>
          <w:rFonts w:ascii="Arial" w:hAnsi="Arial" w:cs="Arial"/>
          <w:lang w:val="es-MX"/>
        </w:rPr>
      </w:pPr>
    </w:p>
    <w:p w:rsidR="00CC1C75" w:rsidRDefault="00CC1C75" w:rsidP="00CC1C75">
      <w:pPr>
        <w:spacing w:line="480" w:lineRule="auto"/>
        <w:jc w:val="both"/>
        <w:rPr>
          <w:rFonts w:ascii="Arial" w:hAnsi="Arial" w:cs="Arial"/>
          <w:lang w:val="es-MX"/>
        </w:rPr>
      </w:pPr>
      <w:r>
        <w:rPr>
          <w:rFonts w:ascii="Arial" w:hAnsi="Arial" w:cs="Arial"/>
          <w:lang w:val="es-MX"/>
        </w:rPr>
        <w:t xml:space="preserve">5. </w:t>
      </w:r>
      <w:r w:rsidRPr="00E77F17">
        <w:rPr>
          <w:rFonts w:ascii="Arial" w:hAnsi="Arial" w:cs="Arial"/>
          <w:lang w:val="es-MX"/>
        </w:rPr>
        <w:t>E</w:t>
      </w:r>
      <w:r>
        <w:rPr>
          <w:rFonts w:ascii="Arial" w:hAnsi="Arial" w:cs="Arial"/>
          <w:lang w:val="es-MX"/>
        </w:rPr>
        <w:t xml:space="preserve">valuar la razonabilidad de los cheques emitidos y no cobrados que tengan una antigüedad mayor a 3 meses, además anular los cheques vencidos y crear una cuenta de pasivos inmovilizados con los auxiliares respectivos. </w:t>
      </w:r>
    </w:p>
    <w:p w:rsidR="00CC1C75" w:rsidRPr="00E77F17" w:rsidRDefault="00CC1C75" w:rsidP="00CC1C75">
      <w:pPr>
        <w:spacing w:line="480" w:lineRule="auto"/>
        <w:jc w:val="both"/>
        <w:rPr>
          <w:rFonts w:ascii="Arial" w:hAnsi="Arial" w:cs="Arial"/>
          <w:lang w:val="es-MX"/>
        </w:rPr>
      </w:pPr>
    </w:p>
    <w:p w:rsidR="00CC1C75" w:rsidRDefault="00CC1C75" w:rsidP="00CC1C75">
      <w:pPr>
        <w:spacing w:line="480" w:lineRule="auto"/>
        <w:jc w:val="both"/>
        <w:rPr>
          <w:rFonts w:ascii="Arial" w:hAnsi="Arial" w:cs="Arial"/>
        </w:rPr>
      </w:pPr>
      <w:r>
        <w:rPr>
          <w:rFonts w:ascii="Arial" w:hAnsi="Arial" w:cs="Arial"/>
        </w:rPr>
        <w:t>6. Elaborar manuales de procedimientos para el área financiera, lo cual incluye los procedimientos para la emisión de cheques, elaboración de conciliaciones bancarias, custodio de cheques entre otras, a fin de asegurar que solo se produzcan actos administrativos de acuerdo con lo previsto por la máxima autoridad.</w:t>
      </w:r>
    </w:p>
    <w:p w:rsidR="00CC1C75" w:rsidRPr="008C164B" w:rsidRDefault="00CC1C75" w:rsidP="00CC1C75">
      <w:pPr>
        <w:spacing w:line="480" w:lineRule="auto"/>
        <w:jc w:val="both"/>
        <w:rPr>
          <w:rFonts w:ascii="Arial" w:hAnsi="Arial" w:cs="Arial"/>
        </w:rPr>
      </w:pPr>
    </w:p>
    <w:p w:rsidR="00CC1C75" w:rsidRDefault="00CC1C75" w:rsidP="00CC1C75">
      <w:pPr>
        <w:spacing w:line="480" w:lineRule="auto"/>
        <w:jc w:val="both"/>
        <w:rPr>
          <w:rFonts w:ascii="Arial" w:hAnsi="Arial" w:cs="Arial"/>
        </w:rPr>
      </w:pPr>
      <w:r>
        <w:rPr>
          <w:rFonts w:ascii="Arial" w:hAnsi="Arial" w:cs="Arial"/>
        </w:rPr>
        <w:lastRenderedPageBreak/>
        <w:t>7.</w:t>
      </w:r>
      <w:r w:rsidRPr="00E77F17">
        <w:rPr>
          <w:rFonts w:ascii="Arial" w:hAnsi="Arial" w:cs="Arial"/>
        </w:rPr>
        <w:t xml:space="preserve"> </w:t>
      </w:r>
      <w:r>
        <w:rPr>
          <w:rFonts w:ascii="Arial" w:hAnsi="Arial" w:cs="Arial"/>
        </w:rPr>
        <w:t>Capacitar al personal referente a los programas nuevos implementados y acerca de los procedimientos para la realización de conciliaciones bancarias u otra actividad dada que sean requeridas.</w:t>
      </w:r>
    </w:p>
    <w:p w:rsidR="00CC1C75" w:rsidRPr="00E77F17" w:rsidRDefault="00CC1C75" w:rsidP="00CC1C75">
      <w:pPr>
        <w:spacing w:line="480" w:lineRule="auto"/>
        <w:jc w:val="both"/>
        <w:rPr>
          <w:rFonts w:ascii="Arial" w:hAnsi="Arial" w:cs="Arial"/>
        </w:rPr>
      </w:pPr>
    </w:p>
    <w:p w:rsidR="00CC1C75" w:rsidRDefault="00CC1C75" w:rsidP="00CC1C75">
      <w:pPr>
        <w:spacing w:line="480" w:lineRule="auto"/>
        <w:jc w:val="both"/>
        <w:rPr>
          <w:rFonts w:ascii="Arial" w:hAnsi="Arial" w:cs="Arial"/>
        </w:rPr>
      </w:pPr>
      <w:r>
        <w:rPr>
          <w:rFonts w:ascii="Arial" w:hAnsi="Arial" w:cs="Arial"/>
        </w:rPr>
        <w:t>8. Crear los controles necesarios en los sistemas computarizados a fin de asegurar resultados positivos.</w:t>
      </w:r>
    </w:p>
    <w:p w:rsidR="00CC1C75" w:rsidRDefault="00CC1C75" w:rsidP="00CC1C75">
      <w:pPr>
        <w:spacing w:line="480" w:lineRule="auto"/>
        <w:jc w:val="both"/>
        <w:rPr>
          <w:rFonts w:ascii="Arial" w:hAnsi="Arial" w:cs="Arial"/>
        </w:rPr>
      </w:pPr>
      <w:r>
        <w:rPr>
          <w:rFonts w:ascii="Arial" w:hAnsi="Arial" w:cs="Arial"/>
          <w:noProof/>
        </w:rPr>
        <w:pict>
          <v:shape id="_x0000_s1031" type="#_x0000_t202" style="position:absolute;left:0;text-align:left;margin-left:333pt;margin-top:25.85pt;width:36pt;height:27pt;z-index:251657728" stroked="f">
            <v:textbox style="mso-next-textbox:#_x0000_s1031">
              <w:txbxContent>
                <w:p w:rsidR="00C552B3" w:rsidRDefault="00C552B3" w:rsidP="00CC1C75">
                  <w:r w:rsidRPr="005520E9">
                    <w:rPr>
                      <w:rStyle w:val="Refdenotaalpie"/>
                      <w:sz w:val="28"/>
                      <w:szCs w:val="28"/>
                    </w:rPr>
                    <w:t>(</w:t>
                  </w:r>
                  <w:r>
                    <w:rPr>
                      <w:sz w:val="18"/>
                      <w:szCs w:val="18"/>
                    </w:rPr>
                    <w:t>3</w:t>
                  </w:r>
                  <w:r w:rsidRPr="005520E9">
                    <w:rPr>
                      <w:rStyle w:val="Refdenotaalpie"/>
                      <w:sz w:val="28"/>
                      <w:szCs w:val="28"/>
                    </w:rPr>
                    <w:t>)</w:t>
                  </w:r>
                </w:p>
              </w:txbxContent>
            </v:textbox>
          </v:shape>
        </w:pict>
      </w:r>
    </w:p>
    <w:p w:rsidR="00CC1C75" w:rsidRDefault="00CC1C75" w:rsidP="00CC1C75">
      <w:pPr>
        <w:spacing w:line="480" w:lineRule="auto"/>
        <w:jc w:val="both"/>
        <w:rPr>
          <w:rFonts w:ascii="Arial" w:hAnsi="Arial" w:cs="Arial"/>
        </w:rPr>
      </w:pPr>
      <w:r>
        <w:rPr>
          <w:rFonts w:ascii="Arial" w:hAnsi="Arial" w:cs="Arial"/>
        </w:rPr>
        <w:t xml:space="preserve">9. Aplicar un programa de auditoria como lo indica el anexo 2. </w:t>
      </w:r>
    </w:p>
    <w:p w:rsidR="00CC1C75" w:rsidRDefault="00CC1C75" w:rsidP="00CC1C75">
      <w:pPr>
        <w:spacing w:line="48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C1C75" w:rsidRDefault="00CC1C75"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75503F" w:rsidRDefault="0075503F" w:rsidP="00CC1C75">
      <w:pPr>
        <w:spacing w:line="480" w:lineRule="auto"/>
        <w:jc w:val="both"/>
        <w:rPr>
          <w:rFonts w:ascii="Arial" w:hAnsi="Arial" w:cs="Arial"/>
        </w:rPr>
      </w:pPr>
    </w:p>
    <w:p w:rsidR="00CC1C75" w:rsidRDefault="00CC1C75" w:rsidP="00CC1C75">
      <w:pPr>
        <w:spacing w:line="480" w:lineRule="auto"/>
        <w:jc w:val="both"/>
        <w:rPr>
          <w:rFonts w:ascii="Arial" w:hAnsi="Arial" w:cs="Arial"/>
          <w:b/>
        </w:rPr>
      </w:pPr>
    </w:p>
    <w:p w:rsidR="00CC1C75" w:rsidRDefault="00CC1C75" w:rsidP="00CC1C75">
      <w:pPr>
        <w:spacing w:line="480" w:lineRule="auto"/>
        <w:jc w:val="both"/>
        <w:rPr>
          <w:sz w:val="20"/>
          <w:szCs w:val="20"/>
          <w:lang w:val="es-EC"/>
        </w:rPr>
      </w:pPr>
      <w:r w:rsidRPr="005520E9">
        <w:rPr>
          <w:rStyle w:val="Refdenotaalpie"/>
          <w:sz w:val="28"/>
          <w:szCs w:val="28"/>
        </w:rPr>
        <w:t>(</w:t>
      </w:r>
      <w:r>
        <w:rPr>
          <w:sz w:val="16"/>
          <w:szCs w:val="16"/>
        </w:rPr>
        <w:t>3</w:t>
      </w:r>
      <w:r w:rsidRPr="005520E9">
        <w:rPr>
          <w:rStyle w:val="Refdenotaalpie"/>
          <w:sz w:val="28"/>
          <w:szCs w:val="28"/>
        </w:rPr>
        <w:t>)</w:t>
      </w:r>
      <w:r w:rsidRPr="009E2334">
        <w:rPr>
          <w:sz w:val="20"/>
          <w:szCs w:val="20"/>
        </w:rPr>
        <w:t xml:space="preserve"> </w:t>
      </w:r>
      <w:r w:rsidRPr="009E2334">
        <w:rPr>
          <w:sz w:val="20"/>
          <w:szCs w:val="20"/>
          <w:lang w:val="es-EC"/>
        </w:rPr>
        <w:t>Tomado de la referencia bibliográfica #</w:t>
      </w:r>
      <w:r>
        <w:rPr>
          <w:sz w:val="20"/>
          <w:szCs w:val="20"/>
          <w:lang w:val="es-EC"/>
        </w:rPr>
        <w:t xml:space="preserve"> 7</w:t>
      </w: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pPr>
    </w:p>
    <w:p w:rsidR="0044707A" w:rsidRPr="00C14A3B" w:rsidRDefault="00C14A3B" w:rsidP="00C14A3B">
      <w:pPr>
        <w:pStyle w:val="Ttulo1"/>
        <w:spacing w:line="480" w:lineRule="auto"/>
        <w:jc w:val="center"/>
        <w:rPr>
          <w:rFonts w:ascii="Arial" w:hAnsi="Arial" w:cs="Arial"/>
          <w:sz w:val="72"/>
          <w:szCs w:val="72"/>
        </w:rPr>
      </w:pPr>
      <w:bookmarkStart w:id="1073" w:name="_Toc183697575"/>
      <w:bookmarkStart w:id="1074" w:name="_Toc183698905"/>
      <w:bookmarkStart w:id="1075" w:name="_Toc183699246"/>
      <w:bookmarkStart w:id="1076" w:name="_Toc183699458"/>
      <w:bookmarkStart w:id="1077" w:name="_Toc183699932"/>
      <w:bookmarkStart w:id="1078" w:name="_Toc183700205"/>
      <w:bookmarkStart w:id="1079" w:name="_Toc183700715"/>
      <w:bookmarkStart w:id="1080" w:name="_Toc183700967"/>
      <w:r w:rsidRPr="00C14A3B">
        <w:rPr>
          <w:rFonts w:ascii="Arial" w:hAnsi="Arial" w:cs="Arial"/>
          <w:sz w:val="72"/>
          <w:szCs w:val="72"/>
        </w:rPr>
        <w:t>ANEXOS</w:t>
      </w:r>
      <w:bookmarkEnd w:id="1073"/>
      <w:bookmarkEnd w:id="1074"/>
      <w:bookmarkEnd w:id="1075"/>
      <w:bookmarkEnd w:id="1076"/>
      <w:bookmarkEnd w:id="1077"/>
      <w:bookmarkEnd w:id="1078"/>
      <w:bookmarkEnd w:id="1079"/>
      <w:bookmarkEnd w:id="1080"/>
    </w:p>
    <w:p w:rsidR="0044707A" w:rsidRPr="00C14A3B" w:rsidRDefault="0044707A" w:rsidP="00C14A3B">
      <w:pPr>
        <w:spacing w:line="480" w:lineRule="auto"/>
        <w:jc w:val="center"/>
        <w:rPr>
          <w:rFonts w:ascii="Arial" w:hAnsi="Arial" w:cs="Arial"/>
          <w:b/>
          <w:bCs/>
          <w:sz w:val="72"/>
          <w:szCs w:val="72"/>
        </w:rPr>
      </w:pPr>
    </w:p>
    <w:p w:rsidR="0044707A" w:rsidRDefault="0044707A" w:rsidP="00CC1C75">
      <w:pPr>
        <w:rPr>
          <w:rFonts w:ascii="Arial" w:hAnsi="Arial" w:cs="Arial"/>
          <w:b/>
          <w:bCs/>
          <w:sz w:val="26"/>
          <w:szCs w:val="26"/>
        </w:rPr>
      </w:pPr>
    </w:p>
    <w:p w:rsidR="0044707A" w:rsidRDefault="0044707A" w:rsidP="00CC1C75">
      <w:pPr>
        <w:rPr>
          <w:rFonts w:ascii="Arial" w:hAnsi="Arial" w:cs="Arial"/>
          <w:b/>
          <w:bCs/>
          <w:sz w:val="26"/>
          <w:szCs w:val="26"/>
        </w:rPr>
        <w:sectPr w:rsidR="0044707A" w:rsidSect="00756590">
          <w:headerReference w:type="default" r:id="rId48"/>
          <w:pgSz w:w="11906" w:h="16838"/>
          <w:pgMar w:top="2268" w:right="1361" w:bottom="1985" w:left="2268" w:header="709" w:footer="709" w:gutter="0"/>
          <w:pgNumType w:start="75"/>
          <w:cols w:space="708"/>
          <w:docGrid w:linePitch="360"/>
        </w:sectPr>
      </w:pPr>
    </w:p>
    <w:tbl>
      <w:tblPr>
        <w:tblpPr w:leftFromText="141" w:rightFromText="141" w:vertAnchor="page" w:horzAnchor="margin" w:tblpY="2989"/>
        <w:tblW w:w="13899" w:type="dxa"/>
        <w:tblCellMar>
          <w:left w:w="0" w:type="dxa"/>
          <w:right w:w="0" w:type="dxa"/>
        </w:tblCellMar>
        <w:tblLook w:val="0000"/>
      </w:tblPr>
      <w:tblGrid>
        <w:gridCol w:w="1772"/>
        <w:gridCol w:w="1558"/>
        <w:gridCol w:w="2056"/>
        <w:gridCol w:w="1631"/>
        <w:gridCol w:w="1673"/>
        <w:gridCol w:w="1673"/>
        <w:gridCol w:w="2041"/>
        <w:gridCol w:w="1495"/>
      </w:tblGrid>
      <w:tr w:rsidR="00BF181C" w:rsidRPr="00F97417">
        <w:trPr>
          <w:cantSplit/>
          <w:trHeight w:val="528"/>
        </w:trPr>
        <w:tc>
          <w:tcPr>
            <w:tcW w:w="1772" w:type="dxa"/>
            <w:vMerge w:val="restart"/>
            <w:tcBorders>
              <w:top w:val="single" w:sz="8" w:space="0" w:color="auto"/>
              <w:left w:val="single" w:sz="8" w:space="0" w:color="auto"/>
              <w:bottom w:val="nil"/>
              <w:right w:val="single" w:sz="8" w:space="0" w:color="auto"/>
            </w:tcBorders>
            <w:noWrap/>
            <w:vAlign w:val="bottom"/>
          </w:tcPr>
          <w:p w:rsidR="00BF181C" w:rsidRPr="00F97417" w:rsidRDefault="00BF181C" w:rsidP="0044707A">
            <w:pPr>
              <w:rPr>
                <w:rFonts w:ascii="Arial" w:eastAsia="Arial Unicode MS" w:hAnsi="Arial" w:cs="Arial"/>
                <w:b/>
                <w:bCs/>
                <w:sz w:val="26"/>
                <w:szCs w:val="26"/>
              </w:rPr>
            </w:pPr>
            <w:r w:rsidRPr="00F97417">
              <w:rPr>
                <w:rFonts w:ascii="Arial" w:hAnsi="Arial" w:cs="Arial"/>
                <w:b/>
                <w:bCs/>
                <w:sz w:val="26"/>
                <w:szCs w:val="26"/>
              </w:rPr>
              <w:lastRenderedPageBreak/>
              <w:t>COMPAÑÍAS</w:t>
            </w:r>
          </w:p>
        </w:tc>
        <w:tc>
          <w:tcPr>
            <w:tcW w:w="1558" w:type="dxa"/>
            <w:vMerge w:val="restart"/>
            <w:tcBorders>
              <w:top w:val="single" w:sz="8" w:space="0" w:color="auto"/>
              <w:left w:val="single" w:sz="8" w:space="0" w:color="auto"/>
              <w:bottom w:val="single" w:sz="8" w:space="0" w:color="000000"/>
              <w:right w:val="nil"/>
            </w:tcBorders>
            <w:vAlign w:val="center"/>
          </w:tcPr>
          <w:p w:rsidR="00BF181C" w:rsidRPr="00F97417" w:rsidRDefault="00BF181C" w:rsidP="0044707A">
            <w:pPr>
              <w:jc w:val="center"/>
              <w:rPr>
                <w:rFonts w:ascii="Arial" w:eastAsia="Arial Unicode MS" w:hAnsi="Arial" w:cs="Arial"/>
                <w:b/>
                <w:bCs/>
                <w:sz w:val="26"/>
                <w:szCs w:val="26"/>
              </w:rPr>
            </w:pPr>
            <w:r w:rsidRPr="00F97417">
              <w:rPr>
                <w:rFonts w:ascii="Arial" w:hAnsi="Arial" w:cs="Arial"/>
                <w:b/>
                <w:bCs/>
                <w:sz w:val="26"/>
                <w:szCs w:val="26"/>
              </w:rPr>
              <w:t xml:space="preserve"> Tienen adjunto E/C original</w:t>
            </w:r>
          </w:p>
        </w:tc>
        <w:tc>
          <w:tcPr>
            <w:tcW w:w="2056" w:type="dxa"/>
            <w:vMerge w:val="restart"/>
            <w:tcBorders>
              <w:top w:val="single" w:sz="8" w:space="0" w:color="auto"/>
              <w:left w:val="single" w:sz="8" w:space="0" w:color="auto"/>
              <w:bottom w:val="single" w:sz="8" w:space="0" w:color="000000"/>
              <w:right w:val="nil"/>
            </w:tcBorders>
            <w:vAlign w:val="center"/>
          </w:tcPr>
          <w:p w:rsidR="00BF181C" w:rsidRPr="00F97417" w:rsidRDefault="00BF181C" w:rsidP="0044707A">
            <w:pPr>
              <w:jc w:val="center"/>
              <w:rPr>
                <w:rFonts w:ascii="Arial" w:eastAsia="Arial Unicode MS" w:hAnsi="Arial" w:cs="Arial"/>
                <w:b/>
                <w:bCs/>
                <w:sz w:val="26"/>
                <w:szCs w:val="26"/>
              </w:rPr>
            </w:pPr>
            <w:r w:rsidRPr="00F97417">
              <w:rPr>
                <w:rFonts w:ascii="Arial" w:hAnsi="Arial" w:cs="Arial"/>
                <w:b/>
                <w:bCs/>
                <w:sz w:val="26"/>
                <w:szCs w:val="26"/>
              </w:rPr>
              <w:t>Detalle de cheques girados no cobrados concilia con Hoja Resumen principal (sistema)</w:t>
            </w:r>
          </w:p>
        </w:tc>
        <w:tc>
          <w:tcPr>
            <w:tcW w:w="1631" w:type="dxa"/>
            <w:vMerge w:val="restart"/>
            <w:tcBorders>
              <w:top w:val="single" w:sz="8" w:space="0" w:color="auto"/>
              <w:left w:val="single" w:sz="8" w:space="0" w:color="auto"/>
              <w:bottom w:val="single" w:sz="8" w:space="0" w:color="000000"/>
              <w:right w:val="nil"/>
            </w:tcBorders>
            <w:vAlign w:val="center"/>
          </w:tcPr>
          <w:p w:rsidR="00BF181C" w:rsidRPr="00F97417" w:rsidRDefault="00BF181C" w:rsidP="0044707A">
            <w:pPr>
              <w:jc w:val="center"/>
              <w:rPr>
                <w:rFonts w:ascii="Arial" w:eastAsia="Arial Unicode MS" w:hAnsi="Arial" w:cs="Arial"/>
                <w:b/>
                <w:bCs/>
                <w:sz w:val="26"/>
                <w:szCs w:val="26"/>
              </w:rPr>
            </w:pPr>
            <w:r w:rsidRPr="00F97417">
              <w:rPr>
                <w:rFonts w:ascii="Arial" w:hAnsi="Arial" w:cs="Arial"/>
                <w:b/>
                <w:bCs/>
                <w:sz w:val="26"/>
                <w:szCs w:val="26"/>
              </w:rPr>
              <w:t>Tiene firma de elaborado</w:t>
            </w:r>
          </w:p>
        </w:tc>
        <w:tc>
          <w:tcPr>
            <w:tcW w:w="1673" w:type="dxa"/>
            <w:vMerge w:val="restart"/>
            <w:tcBorders>
              <w:top w:val="single" w:sz="8" w:space="0" w:color="auto"/>
              <w:left w:val="single" w:sz="8" w:space="0" w:color="auto"/>
              <w:bottom w:val="single" w:sz="8" w:space="0" w:color="000000"/>
              <w:right w:val="nil"/>
            </w:tcBorders>
            <w:vAlign w:val="center"/>
          </w:tcPr>
          <w:p w:rsidR="00BF181C" w:rsidRPr="00F97417" w:rsidRDefault="00BF181C" w:rsidP="0044707A">
            <w:pPr>
              <w:jc w:val="center"/>
              <w:rPr>
                <w:rFonts w:ascii="Arial" w:eastAsia="Arial Unicode MS" w:hAnsi="Arial" w:cs="Arial"/>
                <w:b/>
                <w:bCs/>
                <w:sz w:val="26"/>
                <w:szCs w:val="26"/>
              </w:rPr>
            </w:pPr>
            <w:r w:rsidRPr="00F97417">
              <w:rPr>
                <w:rFonts w:ascii="Arial" w:hAnsi="Arial" w:cs="Arial"/>
                <w:b/>
                <w:bCs/>
                <w:sz w:val="26"/>
                <w:szCs w:val="26"/>
              </w:rPr>
              <w:t xml:space="preserve"> Hay evidencia de firmas de revisión y/o aprobación</w:t>
            </w:r>
          </w:p>
        </w:tc>
        <w:tc>
          <w:tcPr>
            <w:tcW w:w="1673" w:type="dxa"/>
            <w:vMerge w:val="restart"/>
            <w:tcBorders>
              <w:top w:val="single" w:sz="8" w:space="0" w:color="auto"/>
              <w:left w:val="single" w:sz="8" w:space="0" w:color="auto"/>
              <w:bottom w:val="single" w:sz="8" w:space="0" w:color="000000"/>
              <w:right w:val="nil"/>
            </w:tcBorders>
            <w:vAlign w:val="center"/>
          </w:tcPr>
          <w:p w:rsidR="00BF181C" w:rsidRPr="00F97417" w:rsidRDefault="00BF181C" w:rsidP="0044707A">
            <w:pPr>
              <w:jc w:val="center"/>
              <w:rPr>
                <w:rFonts w:ascii="Arial" w:eastAsia="Arial Unicode MS" w:hAnsi="Arial" w:cs="Arial"/>
                <w:b/>
                <w:bCs/>
                <w:sz w:val="26"/>
                <w:szCs w:val="26"/>
              </w:rPr>
            </w:pPr>
            <w:r w:rsidRPr="00F97417">
              <w:rPr>
                <w:rFonts w:ascii="Arial" w:hAnsi="Arial" w:cs="Arial"/>
                <w:b/>
                <w:bCs/>
                <w:sz w:val="26"/>
                <w:szCs w:val="26"/>
              </w:rPr>
              <w:t xml:space="preserve">Diferencias en Saldos en Libros / </w:t>
            </w:r>
            <w:r w:rsidR="00E47651">
              <w:rPr>
                <w:rFonts w:ascii="Arial" w:hAnsi="Arial" w:cs="Arial"/>
                <w:b/>
                <w:bCs/>
                <w:sz w:val="26"/>
                <w:szCs w:val="26"/>
              </w:rPr>
              <w:t xml:space="preserve"> coincide el Valor en Libros (EF</w:t>
            </w:r>
            <w:r w:rsidR="00FA3352">
              <w:rPr>
                <w:rFonts w:ascii="Arial" w:hAnsi="Arial" w:cs="Arial"/>
                <w:b/>
                <w:bCs/>
                <w:sz w:val="26"/>
                <w:szCs w:val="26"/>
              </w:rPr>
              <w:t>´s</w:t>
            </w:r>
            <w:r w:rsidRPr="00F97417">
              <w:rPr>
                <w:rFonts w:ascii="Arial" w:hAnsi="Arial" w:cs="Arial"/>
                <w:b/>
                <w:bCs/>
                <w:sz w:val="26"/>
                <w:szCs w:val="26"/>
              </w:rPr>
              <w:t>)</w:t>
            </w:r>
          </w:p>
        </w:tc>
        <w:tc>
          <w:tcPr>
            <w:tcW w:w="2041" w:type="dxa"/>
            <w:vMerge w:val="restart"/>
            <w:tcBorders>
              <w:top w:val="single" w:sz="8" w:space="0" w:color="auto"/>
              <w:left w:val="single" w:sz="8" w:space="0" w:color="auto"/>
              <w:bottom w:val="single" w:sz="8" w:space="0" w:color="000000"/>
              <w:right w:val="nil"/>
            </w:tcBorders>
            <w:vAlign w:val="center"/>
          </w:tcPr>
          <w:p w:rsidR="00BF181C" w:rsidRPr="00F97417" w:rsidRDefault="00BF181C" w:rsidP="0044707A">
            <w:pPr>
              <w:jc w:val="center"/>
              <w:rPr>
                <w:rFonts w:ascii="Arial" w:eastAsia="Arial Unicode MS" w:hAnsi="Arial" w:cs="Arial"/>
                <w:b/>
                <w:bCs/>
                <w:sz w:val="26"/>
                <w:szCs w:val="26"/>
              </w:rPr>
            </w:pPr>
            <w:r w:rsidRPr="00F97417">
              <w:rPr>
                <w:rFonts w:ascii="Arial" w:hAnsi="Arial" w:cs="Arial"/>
                <w:b/>
                <w:bCs/>
                <w:sz w:val="26"/>
                <w:szCs w:val="26"/>
              </w:rPr>
              <w:t xml:space="preserve">Entrega total de las Conciliaciones </w:t>
            </w:r>
          </w:p>
        </w:tc>
        <w:tc>
          <w:tcPr>
            <w:tcW w:w="1495" w:type="dxa"/>
            <w:vMerge w:val="restart"/>
            <w:tcBorders>
              <w:top w:val="single" w:sz="8" w:space="0" w:color="auto"/>
              <w:left w:val="single" w:sz="8" w:space="0" w:color="auto"/>
              <w:bottom w:val="single" w:sz="8" w:space="0" w:color="000000"/>
              <w:right w:val="single" w:sz="8" w:space="0" w:color="auto"/>
            </w:tcBorders>
            <w:vAlign w:val="center"/>
          </w:tcPr>
          <w:p w:rsidR="00BF181C" w:rsidRPr="00F97417" w:rsidRDefault="00BF181C" w:rsidP="0044707A">
            <w:pPr>
              <w:jc w:val="center"/>
              <w:rPr>
                <w:rFonts w:ascii="Arial" w:eastAsia="Arial Unicode MS" w:hAnsi="Arial" w:cs="Arial"/>
                <w:b/>
                <w:bCs/>
                <w:sz w:val="26"/>
                <w:szCs w:val="26"/>
              </w:rPr>
            </w:pPr>
            <w:r w:rsidRPr="00F97417">
              <w:rPr>
                <w:rFonts w:ascii="Arial" w:hAnsi="Arial" w:cs="Arial"/>
                <w:b/>
                <w:bCs/>
                <w:sz w:val="26"/>
                <w:szCs w:val="26"/>
              </w:rPr>
              <w:t xml:space="preserve"> Tiene E/C</w:t>
            </w:r>
          </w:p>
        </w:tc>
      </w:tr>
      <w:tr w:rsidR="00BF181C" w:rsidRPr="00F97417">
        <w:trPr>
          <w:cantSplit/>
          <w:trHeight w:val="1706"/>
        </w:trPr>
        <w:tc>
          <w:tcPr>
            <w:tcW w:w="1772" w:type="dxa"/>
            <w:vMerge/>
            <w:tcBorders>
              <w:top w:val="single" w:sz="8" w:space="0" w:color="auto"/>
              <w:left w:val="single" w:sz="8" w:space="0" w:color="auto"/>
              <w:bottom w:val="nil"/>
              <w:right w:val="single" w:sz="8" w:space="0" w:color="auto"/>
            </w:tcBorders>
            <w:vAlign w:val="center"/>
          </w:tcPr>
          <w:p w:rsidR="00BF181C" w:rsidRPr="00F97417" w:rsidRDefault="00BF181C" w:rsidP="0044707A">
            <w:pPr>
              <w:jc w:val="center"/>
              <w:rPr>
                <w:rFonts w:ascii="Arial" w:eastAsia="Arial Unicode MS" w:hAnsi="Arial" w:cs="Arial"/>
                <w:b/>
                <w:bCs/>
                <w:sz w:val="26"/>
                <w:szCs w:val="26"/>
              </w:rPr>
            </w:pPr>
          </w:p>
        </w:tc>
        <w:tc>
          <w:tcPr>
            <w:tcW w:w="0" w:type="auto"/>
            <w:vMerge/>
            <w:tcBorders>
              <w:top w:val="single" w:sz="8" w:space="0" w:color="auto"/>
              <w:left w:val="single" w:sz="8" w:space="0" w:color="auto"/>
              <w:bottom w:val="single" w:sz="8" w:space="0" w:color="000000"/>
              <w:right w:val="nil"/>
            </w:tcBorders>
            <w:vAlign w:val="center"/>
          </w:tcPr>
          <w:p w:rsidR="00BF181C" w:rsidRPr="00F97417" w:rsidRDefault="00BF181C" w:rsidP="0044707A">
            <w:pPr>
              <w:jc w:val="center"/>
              <w:rPr>
                <w:rFonts w:ascii="Arial" w:eastAsia="Arial Unicode MS" w:hAnsi="Arial" w:cs="Arial"/>
                <w:b/>
                <w:bCs/>
                <w:sz w:val="26"/>
                <w:szCs w:val="26"/>
              </w:rPr>
            </w:pPr>
          </w:p>
        </w:tc>
        <w:tc>
          <w:tcPr>
            <w:tcW w:w="0" w:type="auto"/>
            <w:vMerge/>
            <w:tcBorders>
              <w:top w:val="single" w:sz="8" w:space="0" w:color="auto"/>
              <w:left w:val="single" w:sz="8" w:space="0" w:color="auto"/>
              <w:bottom w:val="single" w:sz="8" w:space="0" w:color="000000"/>
              <w:right w:val="nil"/>
            </w:tcBorders>
            <w:vAlign w:val="center"/>
          </w:tcPr>
          <w:p w:rsidR="00BF181C" w:rsidRPr="00F97417" w:rsidRDefault="00BF181C" w:rsidP="0044707A">
            <w:pPr>
              <w:rPr>
                <w:rFonts w:ascii="Arial" w:eastAsia="Arial Unicode MS" w:hAnsi="Arial" w:cs="Arial"/>
                <w:b/>
                <w:bCs/>
                <w:sz w:val="26"/>
                <w:szCs w:val="26"/>
              </w:rPr>
            </w:pPr>
          </w:p>
        </w:tc>
        <w:tc>
          <w:tcPr>
            <w:tcW w:w="0" w:type="auto"/>
            <w:vMerge/>
            <w:tcBorders>
              <w:top w:val="single" w:sz="8" w:space="0" w:color="auto"/>
              <w:left w:val="single" w:sz="8" w:space="0" w:color="auto"/>
              <w:bottom w:val="single" w:sz="8" w:space="0" w:color="000000"/>
              <w:right w:val="nil"/>
            </w:tcBorders>
            <w:vAlign w:val="center"/>
          </w:tcPr>
          <w:p w:rsidR="00BF181C" w:rsidRPr="00F97417" w:rsidRDefault="00BF181C" w:rsidP="0044707A">
            <w:pPr>
              <w:rPr>
                <w:rFonts w:ascii="Arial" w:eastAsia="Arial Unicode MS" w:hAnsi="Arial" w:cs="Arial"/>
                <w:b/>
                <w:bCs/>
                <w:sz w:val="26"/>
                <w:szCs w:val="26"/>
              </w:rPr>
            </w:pPr>
          </w:p>
        </w:tc>
        <w:tc>
          <w:tcPr>
            <w:tcW w:w="0" w:type="auto"/>
            <w:vMerge/>
            <w:tcBorders>
              <w:top w:val="single" w:sz="8" w:space="0" w:color="auto"/>
              <w:left w:val="single" w:sz="8" w:space="0" w:color="auto"/>
              <w:bottom w:val="single" w:sz="8" w:space="0" w:color="000000"/>
              <w:right w:val="nil"/>
            </w:tcBorders>
            <w:vAlign w:val="center"/>
          </w:tcPr>
          <w:p w:rsidR="00BF181C" w:rsidRPr="00F97417" w:rsidRDefault="00BF181C" w:rsidP="0044707A">
            <w:pPr>
              <w:rPr>
                <w:rFonts w:ascii="Arial" w:eastAsia="Arial Unicode MS" w:hAnsi="Arial" w:cs="Arial"/>
                <w:b/>
                <w:bCs/>
                <w:sz w:val="26"/>
                <w:szCs w:val="26"/>
              </w:rPr>
            </w:pPr>
          </w:p>
        </w:tc>
        <w:tc>
          <w:tcPr>
            <w:tcW w:w="0" w:type="auto"/>
            <w:vMerge/>
            <w:tcBorders>
              <w:top w:val="single" w:sz="8" w:space="0" w:color="auto"/>
              <w:left w:val="single" w:sz="8" w:space="0" w:color="auto"/>
              <w:bottom w:val="single" w:sz="8" w:space="0" w:color="000000"/>
              <w:right w:val="nil"/>
            </w:tcBorders>
            <w:vAlign w:val="center"/>
          </w:tcPr>
          <w:p w:rsidR="00BF181C" w:rsidRPr="00F97417" w:rsidRDefault="00BF181C" w:rsidP="0044707A">
            <w:pPr>
              <w:rPr>
                <w:rFonts w:ascii="Arial" w:eastAsia="Arial Unicode MS" w:hAnsi="Arial" w:cs="Arial"/>
                <w:b/>
                <w:bCs/>
                <w:sz w:val="26"/>
                <w:szCs w:val="26"/>
              </w:rPr>
            </w:pPr>
          </w:p>
        </w:tc>
        <w:tc>
          <w:tcPr>
            <w:tcW w:w="0" w:type="auto"/>
            <w:vMerge/>
            <w:tcBorders>
              <w:top w:val="single" w:sz="8" w:space="0" w:color="auto"/>
              <w:left w:val="single" w:sz="8" w:space="0" w:color="auto"/>
              <w:bottom w:val="single" w:sz="8" w:space="0" w:color="000000"/>
              <w:right w:val="nil"/>
            </w:tcBorders>
            <w:vAlign w:val="center"/>
          </w:tcPr>
          <w:p w:rsidR="00BF181C" w:rsidRPr="00F97417" w:rsidRDefault="00BF181C" w:rsidP="0044707A">
            <w:pPr>
              <w:rPr>
                <w:rFonts w:ascii="Arial" w:eastAsia="Arial Unicode MS" w:hAnsi="Arial" w:cs="Arial"/>
                <w:b/>
                <w:bCs/>
                <w:sz w:val="26"/>
                <w:szCs w:val="26"/>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BF181C" w:rsidRPr="00F97417" w:rsidRDefault="00BF181C" w:rsidP="0044707A">
            <w:pPr>
              <w:rPr>
                <w:rFonts w:ascii="Arial" w:eastAsia="Arial Unicode MS" w:hAnsi="Arial" w:cs="Arial"/>
                <w:b/>
                <w:bCs/>
                <w:sz w:val="26"/>
                <w:szCs w:val="26"/>
              </w:rPr>
            </w:pPr>
          </w:p>
        </w:tc>
      </w:tr>
      <w:tr w:rsidR="00BF181C" w:rsidRPr="00F97417">
        <w:trPr>
          <w:cantSplit/>
          <w:trHeight w:val="558"/>
        </w:trPr>
        <w:tc>
          <w:tcPr>
            <w:tcW w:w="1772" w:type="dxa"/>
            <w:vMerge/>
            <w:tcBorders>
              <w:top w:val="single" w:sz="8" w:space="0" w:color="auto"/>
              <w:left w:val="single" w:sz="8" w:space="0" w:color="auto"/>
              <w:bottom w:val="single" w:sz="4" w:space="0" w:color="auto"/>
              <w:right w:val="single" w:sz="8" w:space="0" w:color="auto"/>
            </w:tcBorders>
            <w:vAlign w:val="center"/>
          </w:tcPr>
          <w:p w:rsidR="00BF181C" w:rsidRPr="00F97417" w:rsidRDefault="00BF181C" w:rsidP="0044707A">
            <w:pPr>
              <w:jc w:val="center"/>
              <w:rPr>
                <w:rFonts w:ascii="Arial" w:eastAsia="Arial Unicode MS" w:hAnsi="Arial" w:cs="Arial"/>
                <w:b/>
                <w:bCs/>
                <w:sz w:val="26"/>
                <w:szCs w:val="26"/>
              </w:rPr>
            </w:pPr>
          </w:p>
        </w:tc>
        <w:tc>
          <w:tcPr>
            <w:tcW w:w="0" w:type="auto"/>
            <w:tcBorders>
              <w:top w:val="nil"/>
              <w:left w:val="nil"/>
              <w:bottom w:val="single" w:sz="4" w:space="0" w:color="auto"/>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mes</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Mes</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mes</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mes</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mes</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mes</w:t>
            </w:r>
          </w:p>
        </w:tc>
        <w:tc>
          <w:tcPr>
            <w:tcW w:w="0" w:type="auto"/>
            <w:tcBorders>
              <w:top w:val="nil"/>
              <w:left w:val="single" w:sz="8" w:space="0" w:color="auto"/>
              <w:bottom w:val="single" w:sz="4" w:space="0" w:color="auto"/>
              <w:right w:val="single" w:sz="8" w:space="0" w:color="auto"/>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mes</w:t>
            </w:r>
          </w:p>
        </w:tc>
      </w:tr>
      <w:tr w:rsidR="00BF181C" w:rsidRPr="00F97417">
        <w:trPr>
          <w:trHeight w:val="528"/>
        </w:trPr>
        <w:tc>
          <w:tcPr>
            <w:tcW w:w="1772" w:type="dxa"/>
            <w:tcBorders>
              <w:top w:val="single" w:sz="4" w:space="0" w:color="auto"/>
              <w:left w:val="single" w:sz="4"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M.O.</w:t>
            </w:r>
          </w:p>
        </w:tc>
        <w:tc>
          <w:tcPr>
            <w:tcW w:w="0" w:type="auto"/>
            <w:tcBorders>
              <w:top w:val="single" w:sz="4" w:space="0" w:color="auto"/>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single" w:sz="4" w:space="0" w:color="auto"/>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single" w:sz="4" w:space="0" w:color="auto"/>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single" w:sz="4" w:space="0" w:color="auto"/>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single" w:sz="4" w:space="0" w:color="auto"/>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single" w:sz="4" w:space="0" w:color="auto"/>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single" w:sz="4" w:space="0" w:color="auto"/>
              <w:left w:val="single" w:sz="8" w:space="0" w:color="auto"/>
              <w:bottom w:val="nil"/>
              <w:right w:val="single" w:sz="4" w:space="0" w:color="auto"/>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r>
      <w:tr w:rsidR="00BF181C" w:rsidRPr="00F97417">
        <w:trPr>
          <w:trHeight w:val="528"/>
        </w:trPr>
        <w:tc>
          <w:tcPr>
            <w:tcW w:w="1772" w:type="dxa"/>
            <w:tcBorders>
              <w:top w:val="nil"/>
              <w:left w:val="single" w:sz="4"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SER</w:t>
            </w:r>
          </w:p>
        </w:tc>
        <w:tc>
          <w:tcPr>
            <w:tcW w:w="0" w:type="auto"/>
            <w:tcBorders>
              <w:top w:val="nil"/>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single" w:sz="4" w:space="0" w:color="auto"/>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r>
      <w:tr w:rsidR="00BF181C" w:rsidRPr="00F97417">
        <w:trPr>
          <w:trHeight w:val="528"/>
        </w:trPr>
        <w:tc>
          <w:tcPr>
            <w:tcW w:w="1772" w:type="dxa"/>
            <w:tcBorders>
              <w:top w:val="nil"/>
              <w:left w:val="single" w:sz="4"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D.U.</w:t>
            </w:r>
          </w:p>
        </w:tc>
        <w:tc>
          <w:tcPr>
            <w:tcW w:w="0" w:type="auto"/>
            <w:tcBorders>
              <w:top w:val="nil"/>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single" w:sz="4" w:space="0" w:color="auto"/>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r>
      <w:tr w:rsidR="00BF181C" w:rsidRPr="00F97417">
        <w:trPr>
          <w:trHeight w:val="528"/>
        </w:trPr>
        <w:tc>
          <w:tcPr>
            <w:tcW w:w="1772" w:type="dxa"/>
            <w:tcBorders>
              <w:top w:val="nil"/>
              <w:left w:val="single" w:sz="4"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M.I.</w:t>
            </w:r>
          </w:p>
        </w:tc>
        <w:tc>
          <w:tcPr>
            <w:tcW w:w="0" w:type="auto"/>
            <w:tcBorders>
              <w:top w:val="nil"/>
              <w:left w:val="single" w:sz="8" w:space="0" w:color="auto"/>
              <w:bottom w:val="nil"/>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nil"/>
              <w:right w:val="single" w:sz="4" w:space="0" w:color="auto"/>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r>
      <w:tr w:rsidR="00BF181C" w:rsidRPr="00F97417">
        <w:trPr>
          <w:trHeight w:val="528"/>
        </w:trPr>
        <w:tc>
          <w:tcPr>
            <w:tcW w:w="1772" w:type="dxa"/>
            <w:tcBorders>
              <w:top w:val="nil"/>
              <w:left w:val="single" w:sz="4"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F.A.</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jc w:val="cente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single" w:sz="4" w:space="0" w:color="auto"/>
              <w:right w:val="nil"/>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c>
          <w:tcPr>
            <w:tcW w:w="0" w:type="auto"/>
            <w:tcBorders>
              <w:top w:val="nil"/>
              <w:left w:val="single" w:sz="8" w:space="0" w:color="auto"/>
              <w:bottom w:val="single" w:sz="4" w:space="0" w:color="auto"/>
              <w:right w:val="single" w:sz="4" w:space="0" w:color="auto"/>
            </w:tcBorders>
            <w:noWrap/>
            <w:vAlign w:val="bottom"/>
          </w:tcPr>
          <w:p w:rsidR="00BF181C" w:rsidRPr="00F97417" w:rsidRDefault="00BF181C" w:rsidP="0044707A">
            <w:pPr>
              <w:rPr>
                <w:rFonts w:ascii="Arial" w:eastAsia="Arial Unicode MS" w:hAnsi="Arial" w:cs="Arial"/>
                <w:sz w:val="26"/>
                <w:szCs w:val="26"/>
              </w:rPr>
            </w:pPr>
            <w:r w:rsidRPr="00F97417">
              <w:rPr>
                <w:rFonts w:ascii="Arial" w:hAnsi="Arial" w:cs="Arial"/>
                <w:sz w:val="26"/>
                <w:szCs w:val="26"/>
              </w:rPr>
              <w:t> </w:t>
            </w:r>
          </w:p>
        </w:tc>
      </w:tr>
    </w:tbl>
    <w:p w:rsidR="00BF181C" w:rsidRPr="0044707A" w:rsidRDefault="0044707A" w:rsidP="00C14A3B">
      <w:pPr>
        <w:jc w:val="center"/>
        <w:rPr>
          <w:rFonts w:ascii="Arial" w:eastAsia="Arial Unicode MS" w:hAnsi="Arial" w:cs="Arial"/>
          <w:b/>
          <w:bCs/>
          <w:sz w:val="36"/>
          <w:szCs w:val="36"/>
        </w:rPr>
        <w:sectPr w:rsidR="00BF181C" w:rsidRPr="0044707A" w:rsidSect="00756590">
          <w:headerReference w:type="default" r:id="rId49"/>
          <w:pgSz w:w="16838" w:h="11906" w:orient="landscape"/>
          <w:pgMar w:top="2268" w:right="2268" w:bottom="1361" w:left="1985" w:header="709" w:footer="709" w:gutter="0"/>
          <w:pgNumType w:start="82"/>
          <w:cols w:space="708"/>
          <w:docGrid w:linePitch="360"/>
        </w:sectPr>
      </w:pPr>
      <w:r w:rsidRPr="0044707A">
        <w:rPr>
          <w:rFonts w:ascii="Arial" w:eastAsia="Arial Unicode MS" w:hAnsi="Arial" w:cs="Arial"/>
          <w:b/>
          <w:bCs/>
          <w:sz w:val="36"/>
          <w:szCs w:val="36"/>
        </w:rPr>
        <w:t>ANEXO  1</w:t>
      </w:r>
    </w:p>
    <w:tbl>
      <w:tblPr>
        <w:tblpPr w:leftFromText="141" w:rightFromText="141" w:vertAnchor="text" w:horzAnchor="margin" w:tblpY="-538"/>
        <w:tblW w:w="8620" w:type="dxa"/>
        <w:tblCellMar>
          <w:left w:w="70" w:type="dxa"/>
          <w:right w:w="70" w:type="dxa"/>
        </w:tblCellMar>
        <w:tblLook w:val="0000"/>
      </w:tblPr>
      <w:tblGrid>
        <w:gridCol w:w="640"/>
        <w:gridCol w:w="5460"/>
        <w:gridCol w:w="1000"/>
        <w:gridCol w:w="700"/>
        <w:gridCol w:w="820"/>
      </w:tblGrid>
      <w:tr w:rsidR="00BF181C" w:rsidRPr="00022452">
        <w:trPr>
          <w:trHeight w:val="465"/>
        </w:trPr>
        <w:tc>
          <w:tcPr>
            <w:tcW w:w="8620" w:type="dxa"/>
            <w:gridSpan w:val="5"/>
            <w:tcBorders>
              <w:top w:val="nil"/>
              <w:left w:val="nil"/>
              <w:bottom w:val="single" w:sz="4" w:space="0" w:color="auto"/>
              <w:right w:val="nil"/>
            </w:tcBorders>
            <w:shd w:val="clear" w:color="auto" w:fill="auto"/>
            <w:noWrap/>
            <w:vAlign w:val="bottom"/>
          </w:tcPr>
          <w:p w:rsidR="00BF181C" w:rsidRPr="00022452" w:rsidRDefault="00BF181C" w:rsidP="00BF181C">
            <w:pPr>
              <w:jc w:val="center"/>
              <w:rPr>
                <w:rFonts w:ascii="Arial" w:eastAsia="Times New Roman" w:hAnsi="Arial" w:cs="Arial"/>
                <w:sz w:val="36"/>
                <w:szCs w:val="36"/>
              </w:rPr>
            </w:pPr>
            <w:r w:rsidRPr="00022452">
              <w:rPr>
                <w:rFonts w:ascii="Arial" w:eastAsia="Times New Roman" w:hAnsi="Arial" w:cs="Arial"/>
                <w:sz w:val="36"/>
                <w:szCs w:val="36"/>
              </w:rPr>
              <w:lastRenderedPageBreak/>
              <w:t>ANEXO 2</w:t>
            </w:r>
          </w:p>
        </w:tc>
      </w:tr>
      <w:tr w:rsidR="00BF181C" w:rsidRPr="00022452">
        <w:trPr>
          <w:trHeight w:val="255"/>
        </w:trPr>
        <w:tc>
          <w:tcPr>
            <w:tcW w:w="862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BF181C" w:rsidRPr="00022452" w:rsidRDefault="00BF181C" w:rsidP="00BF181C">
            <w:pPr>
              <w:jc w:val="center"/>
              <w:rPr>
                <w:rFonts w:ascii="Verdana" w:eastAsia="Times New Roman" w:hAnsi="Verdana" w:cs="Arial"/>
                <w:b/>
                <w:bCs/>
                <w:sz w:val="16"/>
                <w:szCs w:val="16"/>
              </w:rPr>
            </w:pPr>
            <w:r w:rsidRPr="00022452">
              <w:rPr>
                <w:rFonts w:ascii="Verdana" w:eastAsia="Times New Roman" w:hAnsi="Verdana" w:cs="Arial"/>
                <w:b/>
                <w:bCs/>
                <w:sz w:val="16"/>
                <w:szCs w:val="16"/>
              </w:rPr>
              <w:t> </w:t>
            </w:r>
          </w:p>
        </w:tc>
      </w:tr>
      <w:tr w:rsidR="00BF181C" w:rsidRPr="00022452">
        <w:trPr>
          <w:trHeight w:val="255"/>
        </w:trPr>
        <w:tc>
          <w:tcPr>
            <w:tcW w:w="862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BF181C" w:rsidRPr="00022452" w:rsidRDefault="00BF181C" w:rsidP="00BF181C">
            <w:pPr>
              <w:jc w:val="center"/>
              <w:rPr>
                <w:rFonts w:ascii="Verdana" w:eastAsia="Times New Roman" w:hAnsi="Verdana" w:cs="Arial"/>
                <w:b/>
                <w:bCs/>
                <w:sz w:val="16"/>
                <w:szCs w:val="16"/>
              </w:rPr>
            </w:pPr>
            <w:r w:rsidRPr="00022452">
              <w:rPr>
                <w:rFonts w:ascii="Verdana" w:eastAsia="Times New Roman" w:hAnsi="Verdana" w:cs="Arial"/>
                <w:b/>
                <w:bCs/>
                <w:sz w:val="16"/>
                <w:szCs w:val="16"/>
              </w:rPr>
              <w:t>PROGRAMA DE AUDITORIA: BANCOS</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vAlign w:val="bottom"/>
          </w:tcPr>
          <w:p w:rsidR="00BF181C" w:rsidRPr="00022452" w:rsidRDefault="00BF181C" w:rsidP="00BF181C">
            <w:pPr>
              <w:jc w:val="center"/>
              <w:rPr>
                <w:rFonts w:ascii="Verdana" w:eastAsia="Times New Roman" w:hAnsi="Verdana" w:cs="Arial"/>
                <w:b/>
                <w:bCs/>
                <w:sz w:val="16"/>
                <w:szCs w:val="16"/>
              </w:rPr>
            </w:pPr>
            <w:r w:rsidRPr="00022452">
              <w:rPr>
                <w:rFonts w:ascii="Verdana" w:eastAsia="Times New Roman" w:hAnsi="Verdana" w:cs="Arial"/>
                <w:b/>
                <w:bCs/>
                <w:sz w:val="16"/>
                <w:szCs w:val="16"/>
              </w:rPr>
              <w:t>#</w:t>
            </w:r>
          </w:p>
        </w:tc>
        <w:tc>
          <w:tcPr>
            <w:tcW w:w="546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jc w:val="center"/>
              <w:rPr>
                <w:rFonts w:ascii="Verdana" w:eastAsia="Times New Roman" w:hAnsi="Verdana" w:cs="Arial"/>
                <w:b/>
                <w:bCs/>
                <w:sz w:val="16"/>
                <w:szCs w:val="16"/>
              </w:rPr>
            </w:pPr>
            <w:r w:rsidRPr="00022452">
              <w:rPr>
                <w:rFonts w:ascii="Verdana" w:eastAsia="Times New Roman" w:hAnsi="Verdana" w:cs="Arial"/>
                <w:b/>
                <w:bCs/>
                <w:sz w:val="16"/>
                <w:szCs w:val="16"/>
              </w:rPr>
              <w:t>Procedimientos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jc w:val="center"/>
              <w:rPr>
                <w:rFonts w:ascii="Verdana" w:eastAsia="Times New Roman" w:hAnsi="Verdana" w:cs="Arial"/>
                <w:b/>
                <w:bCs/>
                <w:sz w:val="16"/>
                <w:szCs w:val="16"/>
              </w:rPr>
            </w:pPr>
            <w:r w:rsidRPr="00022452">
              <w:rPr>
                <w:rFonts w:ascii="Verdana" w:eastAsia="Times New Roman" w:hAnsi="Verdana" w:cs="Arial"/>
                <w:b/>
                <w:bCs/>
                <w:sz w:val="16"/>
                <w:szCs w:val="16"/>
              </w:rPr>
              <w:t>Ref. P/T</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jc w:val="center"/>
              <w:rPr>
                <w:rFonts w:ascii="Verdana" w:eastAsia="Times New Roman" w:hAnsi="Verdana" w:cs="Arial"/>
                <w:b/>
                <w:bCs/>
                <w:sz w:val="16"/>
                <w:szCs w:val="16"/>
              </w:rPr>
            </w:pPr>
            <w:r w:rsidRPr="00022452">
              <w:rPr>
                <w:rFonts w:ascii="Verdana" w:eastAsia="Times New Roman" w:hAnsi="Verdana" w:cs="Arial"/>
                <w:b/>
                <w:bCs/>
                <w:sz w:val="16"/>
                <w:szCs w:val="16"/>
              </w:rPr>
              <w:t>Hecho</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jc w:val="center"/>
              <w:rPr>
                <w:rFonts w:ascii="Verdana" w:eastAsia="Times New Roman" w:hAnsi="Verdana" w:cs="Arial"/>
                <w:b/>
                <w:bCs/>
                <w:sz w:val="16"/>
                <w:szCs w:val="16"/>
              </w:rPr>
            </w:pPr>
            <w:r w:rsidRPr="00022452">
              <w:rPr>
                <w:rFonts w:ascii="Verdana" w:eastAsia="Times New Roman" w:hAnsi="Verdana" w:cs="Arial"/>
                <w:b/>
                <w:bCs/>
                <w:sz w:val="16"/>
                <w:szCs w:val="16"/>
              </w:rPr>
              <w:t>Tiempo</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1.</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Realizar evaluación del control interno de bancos, con el fin de evaluar su grado de solidez y la eficiencia administrativa de la entidad en este rubro. Se debe confirmar las respuestas.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2.</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xml:space="preserve">En relación con el período bajo examen, seleccione el mes o meses que someterá a prueba una cédula que contenga la lista detallada de todas las cuentas bancarias inclusive de aquellas cerradas en el período bajo examen.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3.</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Obtenga de la entidad, en relación con el período bajo examen, lo siguiente:</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a) Lista de los funcionarios autorizados para firmar cheques, cartas, órdenes, etc.</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b) Conciliaciones bancarias del año bajo examen.</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c) Los estados bancarios del año.</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d) Los registros de ingresos y desembolsos del período bajo examen.</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e) Los archivos de comprobantes de: ingresos, egresos y asientos de diario del mes o meses seleccionados.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f) El mayor general.</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4.</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Solicite directamente a los bancos que remitan lo siguiente:</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a) Copias de los estados bancarios del mes o meses seleccionados.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126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b) Confirmación del saldo bancario de la fecha de cierre del ejercicio bajo examen y que incluya la lista de personas autorizadas para firmar cheques; préstamos, fianzas, avales, etc., otorgados por el banco, valores en custodio; depósitos a plazo; intereses, otros derechos y responsabilidades.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c) Estados bancarios de "corte" durante la ejecución del trabajo de campo.</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5.</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Obtenga copias de las conciliaciones bancarias y:</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a) Pruebe la exactitud aritmética.</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b) Compare con el estado bancario y la cuenta del mayor general.</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c) Verifique los cheques pendientes en el estado bancario del mes siguiente a la conciliación, a efecto de determinar su pago posterior.</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d) Si hubiese diferencia entre el saldo según libros y el saldo según bancos, investigue en el estado bancario del mes siguiente, tomando en cuenta las fechas en que los depósitos fueron registrados en dicho estado.</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e) Compare dichas fechas con las registradas en el libro tome nota de las diferencias más significativas e investíguelas.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f) Revise la documentación sustentatoria y si fuera necesario indique como fueron regularizados.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lastRenderedPageBreak/>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g) Tome nota de los cheques pendientes y rastréelos en las siguientes conciliaciones; haga lo propio con toda partida de la conciliación no regularizada en el mes bajo prueba. Prepare una cédula de excepciones.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h) Investigue cheques pendientes por largos períodos.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6.</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xml:space="preserve">Seleccione uno o más períodos de transacciones típicas para efectivar pruebas de ingresos y desembolsos (puede ser algunos meses u otra muestra típica).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7.</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Referente a la muestra seleccionada en el paso anterior seleccionadas en el registro de ingresos: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a) Sume la columna del total de ingresos.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b) Realice pruebas selectivas de las sumas de las columnas de distribución correspondiente.</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c) Compruebe los traslados de saldos de un folio a otro y de un mes a otro.</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d) Compruebe los totales horizontales de fin de mes.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e) Rastrée los pases de los ingresos del registro de ingresos al mayor general.</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f) Revise la parte relativa a ingresos en la conciliación bancaria mensual.</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g) Chequée todos los depósitos según libros contra los estados bancarios respectivos.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h) Investigue y obtenga evidencia suficiente de los depósitos registrados en libros que no figuran en los estados bancarios y/o los depósitos registrados en los estados bancarios que no figuran en libros.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i) Determine la veracidad de los depósitos en tránsito según la conciliación y rastréelos al estado bancario del mes siguiente como depósitos.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j) Chequée las notas de crédito del banco asegurando su registro correcto y rastréelos a los estados financieros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k) Revise en el período bajo prueba las liquidaciones de compradores, las facturas por venta al contado, las cintas de caja registradora y otros medios que originen ingresos.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l) Observe las fechas en que dichos ingresos se recibieron, liquidaron, registraron en libros y depositaron en el banco.</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m) Revise ingresos o depósitos de las transferencias entre cuentas bancarias y entre oficinas regionales, sucursales, etc.</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n) Investigue en detalle cualquier débito efectuado a las cuentas de bancos mediante asientos de diario general y observe que estén debidamente sustentados.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8.</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Referente a la muestra seleccionada en el paso 6 en el registro de cheques o pagos: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a) Sume la columna del total de cheques girados ( u otra forma de egresos o de desembolsos).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5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b) Haga pruebas selectivas de las sumas de las columnas de distribución correspondientes.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c) Compruebe los traslados de saldos de un folio a otro y de un mes a otro.</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d) Compruebe los totales horizontales de fin de mes.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e) Rastrée los pases del registro de cheques o pagos al mayor general.</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lastRenderedPageBreak/>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f) Revise la parte relativa a cheques girados en la conciliación bancaria mensual, verificando los cheques pendientes según la conciliación y rastréelos al estado bancario del mes siguiente.</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126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g) Compare cada cheque registrado durante el período o períodos de prueba contra el estado bancario respectivo. Observe que estén registrados en estricto orden cronológico y numérico, incluyendo los cheques anulados. Si surgiere alguna duda, remítase a los talonarios de cheques.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105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En caso de pagos sospechosos o aparentemente incorrectos, solicite copia del cheque pagado al banco. ( Nota: Si el banco devuelve los cheques pagados estos deberán compararse con el registro de cheques revisando selectivamente los endosos).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h) Investigue y obtenga evidencia suficiente de los pagos registrados que no figuren en los estados bancarios y/o los egresos según los estados bancarios que no figuren en libros.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i) Revise transferencias entre varias cuentas bancarias y entre oficinas regionales y sucursales, etc.</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j) Chequée las notas de cargo del banco asegurando su registro correcto y rastréelos a los estados bancarios.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k) Investigue en detalle cualquier crédito efectuado a las cuentas de bancos mediante asientos de diario general y observe que estén debidamente sustentados.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126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l) Prepare una lista para investigar los cheques girados de: portador, caja, banco, la misma entidad, funcionarios y empleados y en blanco señalando el objetivo de cada uno. Revise la documentación sustentatoria de cada uno y en casos de asuntos sospechosos solicite una copia del cheque pagado del banco e investigue el endoso.</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m) Prepare una lista de pagos no usuales y de cheques girados por la entidad y registrados como ingresos de la misma. Investigue la sustentación correspondiente y obtenga explicaciones de cualquier aparente irregularidad.</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189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n) Para todos los pagos efectuados seleccionados como muestra examine los comprobantes, facturas y otra documentación en detalle en cuanto a: correcta aplicación de la clasificación y codificación, aprobación de precios y condiciones y su correcta aplicación, exactitud aritmética, cancelación de la factura, aprobación del pago, y recepción. Elabore una cédula de excepciones por los casos no usuales y obtenga explicaciones satisfactorias de los funcionarios responsables.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o) Inspeccione selectivamente los comprobantes que sustentan reembolsos de fondos fijos de caja chica y otros fondos fijos efectuados durante el período de prueba.</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9.</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Discuta con los funcionarios responsables lo siguiente:</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a) Cheques registrados en montos diferentes que los montos pagados por el banco.</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b) Cheques girados a beneficiarios diferentes que aquellos registrados o evidenciados en la documentación sustentatoria.</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c) Cheques pendientes no usuales, en montos muy grandes o por más tres meses.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lastRenderedPageBreak/>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d) Otras partidas de conciliaciones bancarias pendientes por más de un mes.</w:t>
            </w:r>
          </w:p>
        </w:tc>
        <w:tc>
          <w:tcPr>
            <w:tcW w:w="10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e) Cobranzas que no han sido depositadas intactas al día siguiente de su recepción.</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8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 xml:space="preserve">f) Las otras observaciones o excepciones encontradas a través de la ejecución de los procedimientos anteriores. </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vAlign w:val="bottom"/>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126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10.</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Prepare una cédula sumaria de transferencias entre diferentes cuentas bancarias y entre oficinas regionales, sucursales, etc. que cubre toda la transferencia de la semana anterior y de la posterior a la fecha del cierre y la fecha de una conciliación bancaria adicional dentro del período de prueba.</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a) Asegúrese que cada transferencia esté debidamente respaldada, autorizada y registrada.</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b) Verifique que la contrapartida de cada transferencia esté debidamente registrada en el mismo período.</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c) Tome nota de diferencias significativas entre las fechas de registro de transferencias y las fechas en el estado bancario. Investigue diferencias significativas y obtenga explicaciones.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11.</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Elabore una conciliación bancaria independiente a la fecha del estado bancario de "corte" obteniendo del banco en procedimiento 4.c. Investigue todo cheque todavía pendiente desde la fecha de cierre.</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12.</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Revise selectivamente los depósitos y cheques de dos semanas anteriores y de dos posteriores a la fecha del cierre comparándolos con los estados bancarios para:</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112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a) Determinar si los registros de ingresos y de cheques fueron cerrados con anticipación o dejados abiertos con el objeto de dejar de registrar o seguir registrando operaciones sin observar un corte contable adecuado a la fecha de cierre.</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76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sz w:val="16"/>
                <w:szCs w:val="16"/>
              </w:rPr>
            </w:pPr>
            <w:r w:rsidRPr="00022452">
              <w:rPr>
                <w:rFonts w:ascii="Verdana" w:eastAsia="Times New Roman" w:hAnsi="Verdana" w:cs="Arial"/>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ind w:firstLineChars="100" w:firstLine="160"/>
              <w:rPr>
                <w:rFonts w:ascii="Verdana" w:eastAsia="Times New Roman" w:hAnsi="Verdana" w:cs="Arial"/>
                <w:sz w:val="16"/>
                <w:szCs w:val="16"/>
              </w:rPr>
            </w:pPr>
            <w:r w:rsidRPr="00022452">
              <w:rPr>
                <w:rFonts w:ascii="Verdana" w:eastAsia="Times New Roman" w:hAnsi="Verdana" w:cs="Arial"/>
                <w:sz w:val="16"/>
                <w:szCs w:val="16"/>
              </w:rPr>
              <w:t>b) Determinar si hubo o no transacciones importantes o poco usuales que podrían distorsionar los estados bancarios.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13.</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Revise selectivamente los asientos de diario general del mes anterior y del posterior al cierre para determinar si hubo o no asientos cuestionables o dudosos que podrían distorsionar los estados financieros.</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42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14.</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xml:space="preserve">Determine la presentación adecuada de este rubro en el Estado de </w:t>
            </w:r>
            <w:smartTag w:uri="urn:schemas-microsoft-com:office:smarttags" w:element="PersonName">
              <w:smartTagPr>
                <w:attr w:name="ProductID" w:val="la Situaci￳n Financiera"/>
              </w:smartTagPr>
              <w:r w:rsidRPr="00022452">
                <w:rPr>
                  <w:rFonts w:ascii="Verdana" w:eastAsia="Times New Roman" w:hAnsi="Verdana" w:cs="Arial"/>
                  <w:sz w:val="16"/>
                  <w:szCs w:val="16"/>
                </w:rPr>
                <w:t>la Situación Financiera</w:t>
              </w:r>
            </w:smartTag>
            <w:r w:rsidRPr="00022452">
              <w:rPr>
                <w:rFonts w:ascii="Verdana" w:eastAsia="Times New Roman" w:hAnsi="Verdana" w:cs="Arial"/>
                <w:sz w:val="16"/>
                <w:szCs w:val="16"/>
              </w:rPr>
              <w:t xml:space="preserve"> bajo examen.</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84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15.</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Luego de haber cubierto este programa, revise el cuestionario de control interno a efecto de comprobar si las respuestas de los funcionarios fueron ajustadas a la realidad.</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255"/>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 </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r w:rsidR="00BF181C" w:rsidRPr="00022452">
        <w:trPr>
          <w:trHeight w:val="630"/>
        </w:trPr>
        <w:tc>
          <w:tcPr>
            <w:tcW w:w="640" w:type="dxa"/>
            <w:tcBorders>
              <w:top w:val="nil"/>
              <w:left w:val="single" w:sz="4" w:space="0" w:color="auto"/>
              <w:bottom w:val="single" w:sz="4" w:space="0" w:color="auto"/>
              <w:right w:val="single" w:sz="4" w:space="0" w:color="auto"/>
            </w:tcBorders>
            <w:shd w:val="clear" w:color="auto" w:fill="auto"/>
          </w:tcPr>
          <w:p w:rsidR="00BF181C" w:rsidRPr="00022452" w:rsidRDefault="00BF181C" w:rsidP="00BF181C">
            <w:pPr>
              <w:rPr>
                <w:rFonts w:ascii="Verdana" w:eastAsia="Times New Roman" w:hAnsi="Verdana" w:cs="Arial"/>
                <w:b/>
                <w:bCs/>
                <w:sz w:val="16"/>
                <w:szCs w:val="16"/>
              </w:rPr>
            </w:pPr>
            <w:r w:rsidRPr="00022452">
              <w:rPr>
                <w:rFonts w:ascii="Verdana" w:eastAsia="Times New Roman" w:hAnsi="Verdana" w:cs="Arial"/>
                <w:b/>
                <w:bCs/>
                <w:sz w:val="16"/>
                <w:szCs w:val="16"/>
              </w:rPr>
              <w:t>16.</w:t>
            </w:r>
          </w:p>
        </w:tc>
        <w:tc>
          <w:tcPr>
            <w:tcW w:w="546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Prepare una cédula que indique los puntos débiles del sistema de control interno y las recomendaciones más importantes que podrán ser incluidas en el informe.</w:t>
            </w:r>
          </w:p>
        </w:tc>
        <w:tc>
          <w:tcPr>
            <w:tcW w:w="10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70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c>
          <w:tcPr>
            <w:tcW w:w="820" w:type="dxa"/>
            <w:tcBorders>
              <w:top w:val="nil"/>
              <w:left w:val="nil"/>
              <w:bottom w:val="single" w:sz="4" w:space="0" w:color="auto"/>
              <w:right w:val="single" w:sz="4" w:space="0" w:color="auto"/>
            </w:tcBorders>
            <w:shd w:val="clear" w:color="auto" w:fill="auto"/>
          </w:tcPr>
          <w:p w:rsidR="00BF181C" w:rsidRPr="00022452" w:rsidRDefault="00BF181C" w:rsidP="00BF181C">
            <w:pPr>
              <w:jc w:val="both"/>
              <w:rPr>
                <w:rFonts w:ascii="Verdana" w:eastAsia="Times New Roman" w:hAnsi="Verdana" w:cs="Arial"/>
                <w:sz w:val="16"/>
                <w:szCs w:val="16"/>
              </w:rPr>
            </w:pPr>
            <w:r w:rsidRPr="00022452">
              <w:rPr>
                <w:rFonts w:ascii="Verdana" w:eastAsia="Times New Roman" w:hAnsi="Verdana" w:cs="Arial"/>
                <w:sz w:val="16"/>
                <w:szCs w:val="16"/>
              </w:rPr>
              <w:t> </w:t>
            </w:r>
          </w:p>
        </w:tc>
      </w:tr>
    </w:tbl>
    <w:p w:rsidR="00CC1C75" w:rsidRDefault="00CC1C75" w:rsidP="00BF181C">
      <w:pPr>
        <w:tabs>
          <w:tab w:val="left" w:pos="1080"/>
        </w:tabs>
        <w:rPr>
          <w:rFonts w:ascii="Arial" w:hAnsi="Arial" w:cs="Arial"/>
          <w:b/>
          <w:sz w:val="36"/>
          <w:szCs w:val="36"/>
        </w:rPr>
      </w:pPr>
    </w:p>
    <w:p w:rsidR="00B642EF" w:rsidRPr="00C14A3B" w:rsidRDefault="00B642EF" w:rsidP="00C14A3B">
      <w:pPr>
        <w:pStyle w:val="Ttulo1"/>
        <w:spacing w:line="480" w:lineRule="auto"/>
        <w:jc w:val="center"/>
        <w:rPr>
          <w:rFonts w:ascii="Arial" w:hAnsi="Arial" w:cs="Arial"/>
          <w:sz w:val="32"/>
          <w:szCs w:val="32"/>
        </w:rPr>
      </w:pPr>
      <w:bookmarkStart w:id="1081" w:name="_Toc183697576"/>
      <w:bookmarkStart w:id="1082" w:name="_Toc183698906"/>
      <w:bookmarkStart w:id="1083" w:name="_Toc183699247"/>
      <w:bookmarkStart w:id="1084" w:name="_Toc183699459"/>
      <w:bookmarkStart w:id="1085" w:name="_Toc183699933"/>
      <w:bookmarkStart w:id="1086" w:name="_Toc183700206"/>
      <w:bookmarkStart w:id="1087" w:name="_Toc183700716"/>
      <w:bookmarkStart w:id="1088" w:name="_Toc183700968"/>
      <w:r w:rsidRPr="00C14A3B">
        <w:rPr>
          <w:rFonts w:ascii="Arial" w:hAnsi="Arial" w:cs="Arial"/>
          <w:sz w:val="32"/>
          <w:szCs w:val="32"/>
        </w:rPr>
        <w:t>BIBLIOGRAFÍA</w:t>
      </w:r>
      <w:bookmarkEnd w:id="1081"/>
      <w:bookmarkEnd w:id="1082"/>
      <w:bookmarkEnd w:id="1083"/>
      <w:bookmarkEnd w:id="1084"/>
      <w:bookmarkEnd w:id="1085"/>
      <w:bookmarkEnd w:id="1086"/>
      <w:bookmarkEnd w:id="1087"/>
      <w:bookmarkEnd w:id="1088"/>
    </w:p>
    <w:p w:rsidR="00B642EF" w:rsidRPr="00ED6256" w:rsidRDefault="00B642EF" w:rsidP="00B642EF">
      <w:pPr>
        <w:jc w:val="both"/>
        <w:rPr>
          <w:rFonts w:ascii="Arial" w:hAnsi="Arial" w:cs="Arial"/>
          <w:b/>
          <w:bCs/>
        </w:rPr>
      </w:pPr>
    </w:p>
    <w:p w:rsidR="00B642EF" w:rsidRPr="00ED6256" w:rsidRDefault="00BF181C" w:rsidP="00BF181C">
      <w:pPr>
        <w:numPr>
          <w:ilvl w:val="0"/>
          <w:numId w:val="6"/>
        </w:numPr>
        <w:tabs>
          <w:tab w:val="clear" w:pos="1440"/>
          <w:tab w:val="num" w:pos="360"/>
        </w:tabs>
        <w:ind w:left="0"/>
        <w:jc w:val="both"/>
        <w:rPr>
          <w:rFonts w:ascii="Arial" w:hAnsi="Arial" w:cs="Arial"/>
        </w:rPr>
      </w:pPr>
      <w:r>
        <w:rPr>
          <w:rFonts w:ascii="Arial" w:hAnsi="Arial" w:cs="Arial"/>
        </w:rPr>
        <w:t xml:space="preserve">Administración Funcional. </w:t>
      </w:r>
      <w:r w:rsidRPr="00ED6256">
        <w:rPr>
          <w:rFonts w:ascii="Arial" w:hAnsi="Arial" w:cs="Arial"/>
        </w:rPr>
        <w:t xml:space="preserve">Disponible en http://www.Adminitración funcional.htm  </w:t>
      </w:r>
      <w:r w:rsidR="00B642EF" w:rsidRPr="00ED6256">
        <w:rPr>
          <w:rFonts w:ascii="Arial" w:hAnsi="Arial" w:cs="Arial"/>
        </w:rPr>
        <w:t xml:space="preserve"> </w:t>
      </w:r>
    </w:p>
    <w:p w:rsidR="00B642EF" w:rsidRPr="00ED6256" w:rsidRDefault="00BF181C" w:rsidP="00BF181C">
      <w:pPr>
        <w:tabs>
          <w:tab w:val="left" w:pos="180"/>
          <w:tab w:val="left" w:pos="360"/>
        </w:tabs>
        <w:jc w:val="both"/>
        <w:rPr>
          <w:rFonts w:ascii="Arial" w:hAnsi="Arial" w:cs="Arial"/>
        </w:rPr>
      </w:pPr>
      <w:r>
        <w:rPr>
          <w:rFonts w:ascii="Arial" w:hAnsi="Arial" w:cs="Arial"/>
        </w:rPr>
        <w:t xml:space="preserve"> </w:t>
      </w:r>
    </w:p>
    <w:p w:rsidR="00BF181C" w:rsidRPr="00ED6256" w:rsidRDefault="00BF181C" w:rsidP="00FA2FDE">
      <w:pPr>
        <w:numPr>
          <w:ilvl w:val="0"/>
          <w:numId w:val="3"/>
        </w:numPr>
        <w:tabs>
          <w:tab w:val="clear" w:pos="720"/>
          <w:tab w:val="num" w:pos="360"/>
        </w:tabs>
        <w:ind w:left="0"/>
        <w:jc w:val="both"/>
        <w:rPr>
          <w:rFonts w:ascii="Arial" w:hAnsi="Arial" w:cs="Arial"/>
        </w:rPr>
      </w:pPr>
      <w:r w:rsidRPr="00ED6256">
        <w:rPr>
          <w:rFonts w:ascii="Arial" w:hAnsi="Arial" w:cs="Arial"/>
        </w:rPr>
        <w:t>“</w:t>
      </w:r>
      <w:r w:rsidRPr="00ED6256">
        <w:rPr>
          <w:rFonts w:ascii="Arial" w:hAnsi="Arial" w:cs="Arial"/>
          <w:b/>
        </w:rPr>
        <w:t>Componentes del COSO</w:t>
      </w:r>
      <w:r w:rsidRPr="00ED6256">
        <w:rPr>
          <w:rFonts w:ascii="Arial" w:hAnsi="Arial" w:cs="Arial"/>
        </w:rPr>
        <w:t>”.</w:t>
      </w:r>
      <w:r w:rsidRPr="00BF181C">
        <w:rPr>
          <w:rFonts w:ascii="Arial" w:hAnsi="Arial" w:cs="Arial"/>
        </w:rPr>
        <w:t xml:space="preserve"> </w:t>
      </w:r>
      <w:hyperlink r:id="rId50" w:history="1">
        <w:r w:rsidRPr="00ED6256">
          <w:rPr>
            <w:rFonts w:ascii="Arial" w:hAnsi="Arial" w:cs="Arial"/>
          </w:rPr>
          <w:t>www.monografias.com/</w:t>
        </w:r>
      </w:hyperlink>
      <w:r w:rsidRPr="00ED6256">
        <w:rPr>
          <w:rFonts w:ascii="Arial" w:hAnsi="Arial" w:cs="Arial"/>
        </w:rPr>
        <w:t xml:space="preserve"> 21 de Septiembre del 2007</w:t>
      </w:r>
      <w:r>
        <w:rPr>
          <w:rFonts w:ascii="Arial" w:hAnsi="Arial" w:cs="Arial"/>
        </w:rPr>
        <w:t>.</w:t>
      </w:r>
      <w:r w:rsidRPr="00ED6256">
        <w:rPr>
          <w:rFonts w:ascii="Arial" w:hAnsi="Arial" w:cs="Arial"/>
        </w:rPr>
        <w:t xml:space="preserve"> </w:t>
      </w:r>
    </w:p>
    <w:p w:rsidR="00B642EF" w:rsidRPr="00ED6256" w:rsidRDefault="00B642EF" w:rsidP="00B642EF">
      <w:pPr>
        <w:tabs>
          <w:tab w:val="left" w:pos="180"/>
          <w:tab w:val="left" w:pos="360"/>
        </w:tabs>
        <w:jc w:val="both"/>
        <w:rPr>
          <w:rFonts w:ascii="Arial" w:hAnsi="Arial" w:cs="Arial"/>
        </w:rPr>
      </w:pPr>
    </w:p>
    <w:p w:rsidR="00BF181C" w:rsidRPr="00ED6256" w:rsidRDefault="00BF181C" w:rsidP="00FA2FDE">
      <w:pPr>
        <w:numPr>
          <w:ilvl w:val="0"/>
          <w:numId w:val="4"/>
        </w:numPr>
        <w:tabs>
          <w:tab w:val="left" w:pos="0"/>
          <w:tab w:val="left" w:pos="180"/>
          <w:tab w:val="left" w:pos="360"/>
        </w:tabs>
        <w:jc w:val="both"/>
        <w:rPr>
          <w:rFonts w:ascii="Arial" w:hAnsi="Arial" w:cs="Arial"/>
        </w:rPr>
      </w:pPr>
      <w:r w:rsidRPr="00ED6256">
        <w:rPr>
          <w:rFonts w:ascii="Arial" w:hAnsi="Arial" w:cs="Arial"/>
        </w:rPr>
        <w:t>Didáctica Multimedia, 2001, “</w:t>
      </w:r>
      <w:r w:rsidRPr="00ED6256">
        <w:rPr>
          <w:rFonts w:ascii="Arial" w:hAnsi="Arial" w:cs="Arial"/>
          <w:b/>
        </w:rPr>
        <w:t xml:space="preserve">Desarrollo y metodología de </w:t>
      </w:r>
      <w:smartTag w:uri="urn:schemas-microsoft-com:office:smarttags" w:element="PersonName">
        <w:smartTagPr>
          <w:attr w:name="ProductID" w:val="la Auditor￭a"/>
        </w:smartTagPr>
        <w:r w:rsidRPr="00ED6256">
          <w:rPr>
            <w:rFonts w:ascii="Arial" w:hAnsi="Arial" w:cs="Arial"/>
            <w:b/>
          </w:rPr>
          <w:t>la Auditoría</w:t>
        </w:r>
      </w:smartTag>
      <w:r w:rsidRPr="00ED6256">
        <w:rPr>
          <w:rFonts w:ascii="Arial" w:hAnsi="Arial" w:cs="Arial"/>
        </w:rPr>
        <w:t xml:space="preserve">”, Caso Práctico, Madrid-España. </w:t>
      </w:r>
    </w:p>
    <w:p w:rsidR="00B642EF" w:rsidRPr="00ED6256" w:rsidRDefault="00B642EF" w:rsidP="00B642EF">
      <w:pPr>
        <w:jc w:val="both"/>
        <w:rPr>
          <w:rFonts w:ascii="Arial" w:hAnsi="Arial" w:cs="Arial"/>
        </w:rPr>
      </w:pPr>
    </w:p>
    <w:p w:rsidR="00B642EF" w:rsidRPr="00ED6256" w:rsidRDefault="00FA2FDE" w:rsidP="00B642EF">
      <w:pPr>
        <w:jc w:val="both"/>
        <w:rPr>
          <w:rFonts w:ascii="Arial" w:hAnsi="Arial" w:cs="Arial"/>
        </w:rPr>
      </w:pPr>
      <w:r>
        <w:rPr>
          <w:rFonts w:ascii="Arial" w:hAnsi="Arial" w:cs="Arial"/>
        </w:rPr>
        <w:t>[4</w:t>
      </w:r>
      <w:r w:rsidR="00B642EF" w:rsidRPr="00ED6256">
        <w:rPr>
          <w:rFonts w:ascii="Arial" w:hAnsi="Arial" w:cs="Arial"/>
        </w:rPr>
        <w:t>]</w:t>
      </w:r>
      <w:r w:rsidR="00BF181C" w:rsidRPr="00ED6256">
        <w:rPr>
          <w:rFonts w:ascii="Arial" w:hAnsi="Arial" w:cs="Arial"/>
        </w:rPr>
        <w:t xml:space="preserve"> </w:t>
      </w:r>
      <w:r w:rsidRPr="00ED6256">
        <w:rPr>
          <w:rFonts w:ascii="Arial" w:hAnsi="Arial" w:cs="Arial"/>
        </w:rPr>
        <w:t>Finney Miller, Curso de contabilidad, Capitulo III, Editorial Mc Graw Hill, México, II Edición 1999</w:t>
      </w:r>
    </w:p>
    <w:p w:rsidR="00B642EF" w:rsidRPr="00ED6256" w:rsidRDefault="00B642EF" w:rsidP="00B642EF">
      <w:pPr>
        <w:jc w:val="both"/>
        <w:rPr>
          <w:rFonts w:ascii="Arial" w:hAnsi="Arial" w:cs="Arial"/>
        </w:rPr>
      </w:pPr>
    </w:p>
    <w:p w:rsidR="00B642EF" w:rsidRPr="00ED6256" w:rsidRDefault="00B642EF" w:rsidP="00B642EF">
      <w:pPr>
        <w:jc w:val="both"/>
        <w:rPr>
          <w:rFonts w:ascii="Arial" w:hAnsi="Arial" w:cs="Arial"/>
        </w:rPr>
      </w:pPr>
      <w:r w:rsidRPr="00ED6256">
        <w:rPr>
          <w:rFonts w:ascii="Arial" w:hAnsi="Arial" w:cs="Arial"/>
        </w:rPr>
        <w:t>[</w:t>
      </w:r>
      <w:r w:rsidR="00FA2FDE">
        <w:rPr>
          <w:rFonts w:ascii="Arial" w:hAnsi="Arial" w:cs="Arial"/>
        </w:rPr>
        <w:t>5</w:t>
      </w:r>
      <w:r w:rsidRPr="00ED6256">
        <w:rPr>
          <w:rFonts w:ascii="Arial" w:hAnsi="Arial" w:cs="Arial"/>
        </w:rPr>
        <w:t xml:space="preserve">] </w:t>
      </w:r>
      <w:r w:rsidR="00FA2FDE" w:rsidRPr="00ED6256">
        <w:rPr>
          <w:rFonts w:ascii="Arial" w:hAnsi="Arial" w:cs="Arial"/>
        </w:rPr>
        <w:t>Francy Ortiz, Guía de estudio “</w:t>
      </w:r>
      <w:r w:rsidR="00FA2FDE" w:rsidRPr="00ED6256">
        <w:rPr>
          <w:rFonts w:ascii="Arial" w:hAnsi="Arial" w:cs="Arial"/>
          <w:b/>
        </w:rPr>
        <w:t>El Efectivo”</w:t>
      </w:r>
      <w:r w:rsidR="00FA2FDE" w:rsidRPr="00ED6256">
        <w:rPr>
          <w:rFonts w:ascii="Arial" w:hAnsi="Arial" w:cs="Arial"/>
        </w:rPr>
        <w:t>, Subproyecto Contabilidad II, UNELLEZ-APURE. 2004</w:t>
      </w:r>
    </w:p>
    <w:p w:rsidR="00B642EF" w:rsidRPr="00ED6256" w:rsidRDefault="00B642EF" w:rsidP="00B642EF">
      <w:pPr>
        <w:jc w:val="both"/>
        <w:rPr>
          <w:rFonts w:ascii="Arial" w:hAnsi="Arial" w:cs="Arial"/>
        </w:rPr>
      </w:pPr>
    </w:p>
    <w:p w:rsidR="00B642EF" w:rsidRPr="00ED6256" w:rsidRDefault="00B642EF" w:rsidP="00B642EF">
      <w:pPr>
        <w:jc w:val="both"/>
        <w:rPr>
          <w:rFonts w:ascii="Arial" w:hAnsi="Arial" w:cs="Arial"/>
        </w:rPr>
      </w:pPr>
      <w:r w:rsidRPr="00ED6256">
        <w:rPr>
          <w:rFonts w:ascii="Arial" w:hAnsi="Arial" w:cs="Arial"/>
        </w:rPr>
        <w:t>[</w:t>
      </w:r>
      <w:r w:rsidR="00FA2FDE">
        <w:rPr>
          <w:rFonts w:ascii="Arial" w:hAnsi="Arial" w:cs="Arial"/>
        </w:rPr>
        <w:t>6</w:t>
      </w:r>
      <w:r w:rsidRPr="00ED6256">
        <w:rPr>
          <w:rFonts w:ascii="Arial" w:hAnsi="Arial" w:cs="Arial"/>
        </w:rPr>
        <w:t xml:space="preserve">] </w:t>
      </w:r>
      <w:r w:rsidR="00FA2FDE" w:rsidRPr="00ED6256">
        <w:rPr>
          <w:rFonts w:ascii="Arial" w:hAnsi="Arial" w:cs="Arial"/>
        </w:rPr>
        <w:t>John E. Hanke/ Arthur G. Reitsch, “</w:t>
      </w:r>
      <w:r w:rsidR="00FA2FDE" w:rsidRPr="00ED6256">
        <w:rPr>
          <w:rFonts w:ascii="Arial" w:hAnsi="Arial" w:cs="Arial"/>
          <w:b/>
        </w:rPr>
        <w:t>Estadística para negocio</w:t>
      </w:r>
      <w:r w:rsidR="00FA2FDE" w:rsidRPr="00ED6256">
        <w:rPr>
          <w:rFonts w:ascii="Arial" w:hAnsi="Arial" w:cs="Arial"/>
        </w:rPr>
        <w:t>,” Segunda edición.</w:t>
      </w:r>
    </w:p>
    <w:p w:rsidR="00B642EF" w:rsidRPr="00FA2FDE" w:rsidRDefault="00B642EF" w:rsidP="00B642EF">
      <w:pPr>
        <w:pStyle w:val="contenidoarticulo"/>
        <w:rPr>
          <w:rFonts w:ascii="Arial" w:hAnsi="Arial" w:cs="Arial"/>
          <w:color w:val="auto"/>
          <w:sz w:val="24"/>
          <w:szCs w:val="24"/>
          <w:lang w:val="es-ES" w:eastAsia="es-ES"/>
        </w:rPr>
      </w:pPr>
      <w:r w:rsidRPr="00ED6256">
        <w:rPr>
          <w:rFonts w:ascii="Arial" w:hAnsi="Arial" w:cs="Arial"/>
          <w:sz w:val="24"/>
          <w:szCs w:val="24"/>
        </w:rPr>
        <w:t>[</w:t>
      </w:r>
      <w:r w:rsidR="00FA2FDE">
        <w:rPr>
          <w:rFonts w:ascii="Arial" w:hAnsi="Arial" w:cs="Arial"/>
          <w:sz w:val="24"/>
          <w:szCs w:val="24"/>
        </w:rPr>
        <w:t>7</w:t>
      </w:r>
      <w:r w:rsidRPr="00FA2FDE">
        <w:rPr>
          <w:rFonts w:ascii="Arial" w:hAnsi="Arial" w:cs="Arial"/>
          <w:color w:val="auto"/>
          <w:sz w:val="24"/>
          <w:szCs w:val="24"/>
          <w:lang w:eastAsia="es-ES"/>
        </w:rPr>
        <w:t xml:space="preserve">] </w:t>
      </w:r>
      <w:r w:rsidR="00FA2FDE" w:rsidRPr="00FA2FDE">
        <w:rPr>
          <w:rFonts w:ascii="Arial" w:eastAsia="MS Mincho" w:hAnsi="Arial" w:cs="Arial"/>
          <w:color w:val="auto"/>
          <w:sz w:val="24"/>
          <w:szCs w:val="24"/>
          <w:lang w:val="es-ES" w:eastAsia="es-ES"/>
        </w:rPr>
        <w:t>Jonson Richard A., “</w:t>
      </w:r>
      <w:r w:rsidR="00FA2FDE" w:rsidRPr="00FA2FDE">
        <w:rPr>
          <w:rFonts w:ascii="Arial" w:eastAsia="MS Mincho" w:hAnsi="Arial" w:cs="Arial"/>
          <w:b/>
          <w:color w:val="auto"/>
          <w:sz w:val="24"/>
          <w:szCs w:val="24"/>
          <w:lang w:val="es-ES" w:eastAsia="es-ES"/>
        </w:rPr>
        <w:t>Probabilidad y Estadística para Ingenieros</w:t>
      </w:r>
      <w:r w:rsidR="00FA2FDE" w:rsidRPr="00FA2FDE">
        <w:rPr>
          <w:rFonts w:ascii="Arial" w:eastAsia="MS Mincho" w:hAnsi="Arial" w:cs="Arial"/>
          <w:color w:val="auto"/>
          <w:sz w:val="24"/>
          <w:szCs w:val="24"/>
          <w:lang w:val="es-ES" w:eastAsia="es-ES"/>
        </w:rPr>
        <w:t>”, Millar y Freud, Pearson Educación,Quinta edición.</w:t>
      </w:r>
    </w:p>
    <w:p w:rsidR="00FA2FDE" w:rsidRPr="00ED6256" w:rsidRDefault="00B642EF" w:rsidP="00FA2FDE">
      <w:pPr>
        <w:tabs>
          <w:tab w:val="left" w:pos="180"/>
        </w:tabs>
        <w:jc w:val="both"/>
        <w:rPr>
          <w:rFonts w:ascii="Arial" w:hAnsi="Arial" w:cs="Arial"/>
        </w:rPr>
      </w:pPr>
      <w:r w:rsidRPr="00ED6256">
        <w:rPr>
          <w:rFonts w:ascii="Arial" w:hAnsi="Arial" w:cs="Arial"/>
        </w:rPr>
        <w:t>[</w:t>
      </w:r>
      <w:r w:rsidR="00FA2FDE">
        <w:rPr>
          <w:rFonts w:ascii="Arial" w:hAnsi="Arial" w:cs="Arial"/>
        </w:rPr>
        <w:t>8</w:t>
      </w:r>
      <w:r w:rsidRPr="00ED6256">
        <w:rPr>
          <w:rFonts w:ascii="Arial" w:hAnsi="Arial" w:cs="Arial"/>
        </w:rPr>
        <w:t xml:space="preserve">]  </w:t>
      </w:r>
      <w:r w:rsidR="00FA2FDE" w:rsidRPr="00ED6256">
        <w:rPr>
          <w:rFonts w:ascii="Arial" w:hAnsi="Arial" w:cs="Arial"/>
        </w:rPr>
        <w:t>MERCHÁN Roberto,”</w:t>
      </w:r>
      <w:r w:rsidR="00FA2FDE" w:rsidRPr="00ED6256">
        <w:rPr>
          <w:rFonts w:ascii="Arial" w:hAnsi="Arial" w:cs="Arial"/>
          <w:b/>
        </w:rPr>
        <w:t>Folletos del seminario de auditoria financiera</w:t>
      </w:r>
      <w:r w:rsidR="00FA2FDE" w:rsidRPr="00ED6256">
        <w:rPr>
          <w:rFonts w:ascii="Arial" w:hAnsi="Arial" w:cs="Arial"/>
        </w:rPr>
        <w:t>”.</w:t>
      </w:r>
    </w:p>
    <w:p w:rsidR="00BF181C" w:rsidRPr="00ED6256" w:rsidRDefault="00BF181C" w:rsidP="00FA2FDE">
      <w:pPr>
        <w:tabs>
          <w:tab w:val="left" w:pos="180"/>
        </w:tabs>
        <w:jc w:val="both"/>
        <w:rPr>
          <w:rFonts w:ascii="Arial" w:hAnsi="Arial" w:cs="Arial"/>
        </w:rPr>
      </w:pPr>
    </w:p>
    <w:p w:rsidR="00BF181C" w:rsidRPr="00ED6256" w:rsidRDefault="00FA2FDE" w:rsidP="00BF181C">
      <w:pPr>
        <w:jc w:val="both"/>
        <w:rPr>
          <w:rFonts w:ascii="Arial" w:hAnsi="Arial" w:cs="Arial"/>
        </w:rPr>
      </w:pPr>
      <w:r>
        <w:rPr>
          <w:rFonts w:ascii="Arial" w:hAnsi="Arial" w:cs="Arial"/>
        </w:rPr>
        <w:t>[9</w:t>
      </w:r>
      <w:r w:rsidR="00BF181C" w:rsidRPr="00ED6256">
        <w:rPr>
          <w:rFonts w:ascii="Arial" w:hAnsi="Arial" w:cs="Arial"/>
        </w:rPr>
        <w:t>] Webster Allen L, 1998, “</w:t>
      </w:r>
      <w:r w:rsidR="00BF181C" w:rsidRPr="00ED6256">
        <w:rPr>
          <w:rFonts w:ascii="Arial" w:hAnsi="Arial" w:cs="Arial"/>
          <w:b/>
        </w:rPr>
        <w:t>Estadística aplicada a los negocios y la economía</w:t>
      </w:r>
      <w:r w:rsidR="00BF181C" w:rsidRPr="00ED6256">
        <w:rPr>
          <w:rFonts w:ascii="Arial" w:hAnsi="Arial" w:cs="Arial"/>
        </w:rPr>
        <w:t xml:space="preserve">”, Irwin McGraw-Hill, Tercera edición. </w:t>
      </w:r>
    </w:p>
    <w:p w:rsidR="00BE1556" w:rsidRDefault="00BE1556" w:rsidP="00BE1556">
      <w:pPr>
        <w:autoSpaceDE w:val="0"/>
        <w:autoSpaceDN w:val="0"/>
        <w:adjustRightInd w:val="0"/>
        <w:spacing w:line="480" w:lineRule="auto"/>
        <w:ind w:left="709"/>
        <w:jc w:val="both"/>
        <w:rPr>
          <w:rFonts w:ascii="Arial" w:hAnsi="Arial" w:cs="Arial"/>
          <w:color w:val="000000"/>
        </w:rPr>
      </w:pPr>
    </w:p>
    <w:p w:rsidR="00BE1556" w:rsidRDefault="00BE1556" w:rsidP="00BE1556">
      <w:pPr>
        <w:autoSpaceDE w:val="0"/>
        <w:autoSpaceDN w:val="0"/>
        <w:adjustRightInd w:val="0"/>
        <w:spacing w:line="480" w:lineRule="auto"/>
        <w:ind w:left="709"/>
        <w:jc w:val="both"/>
        <w:rPr>
          <w:rFonts w:ascii="Arial" w:hAnsi="Arial" w:cs="Arial"/>
          <w:color w:val="000000"/>
        </w:rPr>
      </w:pPr>
    </w:p>
    <w:p w:rsidR="00BE1556" w:rsidRDefault="00BE1556" w:rsidP="00BE1556">
      <w:pPr>
        <w:autoSpaceDE w:val="0"/>
        <w:autoSpaceDN w:val="0"/>
        <w:adjustRightInd w:val="0"/>
        <w:spacing w:line="480" w:lineRule="auto"/>
        <w:ind w:left="709"/>
        <w:jc w:val="both"/>
        <w:rPr>
          <w:rFonts w:ascii="Arial" w:hAnsi="Arial" w:cs="Arial"/>
          <w:color w:val="000000"/>
        </w:rPr>
      </w:pPr>
    </w:p>
    <w:p w:rsidR="00BE1556" w:rsidRPr="003E7E8F" w:rsidRDefault="00BE1556" w:rsidP="00BE1556">
      <w:pPr>
        <w:spacing w:line="480" w:lineRule="auto"/>
        <w:rPr>
          <w:rFonts w:ascii="Arial" w:hAnsi="Arial" w:cs="Arial"/>
          <w:b/>
          <w:u w:val="single"/>
        </w:rPr>
      </w:pPr>
    </w:p>
    <w:p w:rsidR="00702E78" w:rsidRPr="00BE1556" w:rsidRDefault="00702E78" w:rsidP="00BE1556"/>
    <w:sectPr w:rsidR="00702E78" w:rsidRPr="00BE1556" w:rsidSect="00756590">
      <w:headerReference w:type="default" r:id="rId51"/>
      <w:pgSz w:w="11906" w:h="16838"/>
      <w:pgMar w:top="2268" w:right="1361" w:bottom="1985" w:left="2268" w:header="709" w:footer="709" w:gutter="0"/>
      <w:pgNumType w:start="8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8C5" w:rsidRDefault="005838C5">
      <w:r>
        <w:separator/>
      </w:r>
    </w:p>
  </w:endnote>
  <w:endnote w:type="continuationSeparator" w:id="1">
    <w:p w:rsidR="005838C5" w:rsidRDefault="005838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8C5" w:rsidRDefault="005838C5">
      <w:r>
        <w:separator/>
      </w:r>
    </w:p>
  </w:footnote>
  <w:footnote w:type="continuationSeparator" w:id="1">
    <w:p w:rsidR="005838C5" w:rsidRDefault="005838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B3" w:rsidRPr="005B7CAB" w:rsidRDefault="00C552B3" w:rsidP="00402C6E">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B3" w:rsidRPr="007A37F6" w:rsidRDefault="00C552B3" w:rsidP="007A37F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B3" w:rsidRPr="00E47651" w:rsidRDefault="00C552B3" w:rsidP="00756590">
    <w:pPr>
      <w:pStyle w:val="Encabezado"/>
      <w:jc w:val="right"/>
    </w:pPr>
    <w:fldSimple w:instr=" PAGE ">
      <w:r w:rsidR="00B04CD6">
        <w:rPr>
          <w:noProof/>
        </w:rPr>
        <w:t>26</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B3" w:rsidRPr="00E47651" w:rsidRDefault="00C552B3" w:rsidP="00E47651">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B3" w:rsidRPr="00E27C26" w:rsidRDefault="00C552B3" w:rsidP="00E27C26">
    <w:pPr>
      <w:pStyle w:val="Encabezado"/>
      <w:jc w:val="right"/>
    </w:pPr>
    <w:fldSimple w:instr=" PAGE ">
      <w:r w:rsidR="00B04CD6">
        <w:rPr>
          <w:noProof/>
        </w:rPr>
        <w:t>74</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B3" w:rsidRPr="00E27C26" w:rsidRDefault="00C552B3" w:rsidP="00E27C26">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B3" w:rsidRPr="00E27C26" w:rsidRDefault="00C552B3" w:rsidP="00E27C26">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B3" w:rsidRPr="00E27C26" w:rsidRDefault="00C552B3" w:rsidP="00E27C2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067F"/>
    <w:multiLevelType w:val="hybridMultilevel"/>
    <w:tmpl w:val="ACA0E00A"/>
    <w:lvl w:ilvl="0" w:tplc="0E68F8A4">
      <w:start w:val="2"/>
      <w:numFmt w:val="none"/>
      <w:lvlText w:val="[3]"/>
      <w:lvlJc w:val="left"/>
      <w:pPr>
        <w:tabs>
          <w:tab w:val="num" w:pos="360"/>
        </w:tabs>
        <w:ind w:left="0" w:firstLine="0"/>
      </w:pPr>
      <w:rPr>
        <w:rFonts w:hint="eastAsia"/>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16D3BB3"/>
    <w:multiLevelType w:val="multilevel"/>
    <w:tmpl w:val="F96AD900"/>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1245"/>
        </w:tabs>
        <w:ind w:left="1245" w:hanging="52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14604AC8"/>
    <w:multiLevelType w:val="multilevel"/>
    <w:tmpl w:val="62A001D4"/>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1245"/>
        </w:tabs>
        <w:ind w:left="1245" w:hanging="525"/>
      </w:pPr>
      <w:rPr>
        <w:rFonts w:hint="default"/>
      </w:rPr>
    </w:lvl>
    <w:lvl w:ilvl="2">
      <w:start w:val="5"/>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170139A6"/>
    <w:multiLevelType w:val="hybridMultilevel"/>
    <w:tmpl w:val="B8923524"/>
    <w:lvl w:ilvl="0" w:tplc="0EC0325A">
      <w:start w:val="2"/>
      <w:numFmt w:val="none"/>
      <w:lvlText w:val="[1]"/>
      <w:lvlJc w:val="left"/>
      <w:pPr>
        <w:tabs>
          <w:tab w:val="num" w:pos="1440"/>
        </w:tabs>
        <w:ind w:left="1080" w:firstLine="0"/>
      </w:pPr>
      <w:rPr>
        <w:rFonts w:hint="eastAsia"/>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9AF52C3"/>
    <w:multiLevelType w:val="hybridMultilevel"/>
    <w:tmpl w:val="E438E202"/>
    <w:lvl w:ilvl="0" w:tplc="B2A4EC54">
      <w:start w:val="8"/>
      <w:numFmt w:val="decimal"/>
      <w:lvlText w:val="%1."/>
      <w:lvlJc w:val="left"/>
      <w:pPr>
        <w:tabs>
          <w:tab w:val="num" w:pos="825"/>
        </w:tabs>
        <w:ind w:left="825" w:hanging="46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A820B18"/>
    <w:multiLevelType w:val="multilevel"/>
    <w:tmpl w:val="19EE2F92"/>
    <w:lvl w:ilvl="0">
      <w:start w:val="2"/>
      <w:numFmt w:val="none"/>
      <w:lvlText w:val="[2]"/>
      <w:lvlJc w:val="left"/>
      <w:pPr>
        <w:tabs>
          <w:tab w:val="num" w:pos="720"/>
        </w:tabs>
        <w:ind w:left="360" w:firstLine="0"/>
      </w:pPr>
      <w:rPr>
        <w:rFonts w:hint="eastAsia"/>
      </w:rPr>
    </w:lvl>
    <w:lvl w:ilvl="1">
      <w:start w:val="3"/>
      <w:numFmt w:val="decimal"/>
      <w:lvlText w:val="%1.%2"/>
      <w:lvlJc w:val="left"/>
      <w:pPr>
        <w:tabs>
          <w:tab w:val="num" w:pos="855"/>
        </w:tabs>
        <w:ind w:left="855" w:hanging="495"/>
      </w:pPr>
      <w:rPr>
        <w:rFonts w:hint="default"/>
      </w:rPr>
    </w:lvl>
    <w:lvl w:ilvl="2">
      <w:start w:val="1"/>
      <w:numFmt w:val="decimal"/>
      <w:lvlText w:val="%1.4.%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440"/>
        </w:tabs>
        <w:ind w:left="1440" w:hanging="108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6">
    <w:nsid w:val="2AF370D0"/>
    <w:multiLevelType w:val="multilevel"/>
    <w:tmpl w:val="7A6283D0"/>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7">
    <w:nsid w:val="33627015"/>
    <w:multiLevelType w:val="multilevel"/>
    <w:tmpl w:val="2F80CC18"/>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525"/>
      </w:pPr>
      <w:rPr>
        <w:rFonts w:hint="default"/>
      </w:rPr>
    </w:lvl>
    <w:lvl w:ilvl="2">
      <w:start w:val="2"/>
      <w:numFmt w:val="decimal"/>
      <w:lvlText w:val="%1.%2.%3"/>
      <w:lvlJc w:val="left"/>
      <w:pPr>
        <w:tabs>
          <w:tab w:val="num" w:pos="1110"/>
        </w:tabs>
        <w:ind w:left="1110" w:hanging="720"/>
      </w:pPr>
      <w:rPr>
        <w:rFonts w:hint="default"/>
      </w:rPr>
    </w:lvl>
    <w:lvl w:ilvl="3">
      <w:start w:val="1"/>
      <w:numFmt w:val="decimal"/>
      <w:lvlText w:val="%1.%2.%3.%4"/>
      <w:lvlJc w:val="left"/>
      <w:pPr>
        <w:tabs>
          <w:tab w:val="num" w:pos="1665"/>
        </w:tabs>
        <w:ind w:left="1665" w:hanging="108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415"/>
        </w:tabs>
        <w:ind w:left="2415" w:hanging="144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3165"/>
        </w:tabs>
        <w:ind w:left="3165" w:hanging="1800"/>
      </w:pPr>
      <w:rPr>
        <w:rFonts w:hint="default"/>
      </w:rPr>
    </w:lvl>
    <w:lvl w:ilvl="8">
      <w:start w:val="1"/>
      <w:numFmt w:val="decimal"/>
      <w:lvlText w:val="%1.%2.%3.%4.%5.%6.%7.%8.%9"/>
      <w:lvlJc w:val="left"/>
      <w:pPr>
        <w:tabs>
          <w:tab w:val="num" w:pos="3360"/>
        </w:tabs>
        <w:ind w:left="3360" w:hanging="1800"/>
      </w:pPr>
      <w:rPr>
        <w:rFonts w:hint="default"/>
      </w:rPr>
    </w:lvl>
  </w:abstractNum>
  <w:abstractNum w:abstractNumId="8">
    <w:nsid w:val="501F7740"/>
    <w:multiLevelType w:val="multilevel"/>
    <w:tmpl w:val="44F0245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1380"/>
        </w:tabs>
        <w:ind w:left="1380" w:hanging="660"/>
      </w:pPr>
      <w:rPr>
        <w:rFonts w:hint="default"/>
      </w:rPr>
    </w:lvl>
    <w:lvl w:ilvl="2">
      <w:start w:val="16"/>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511F5977"/>
    <w:multiLevelType w:val="hybridMultilevel"/>
    <w:tmpl w:val="44F02034"/>
    <w:lvl w:ilvl="0" w:tplc="5ED8D7DE">
      <w:start w:val="2"/>
      <w:numFmt w:val="none"/>
      <w:lvlText w:val="[4]"/>
      <w:lvlJc w:val="left"/>
      <w:pPr>
        <w:tabs>
          <w:tab w:val="num" w:pos="720"/>
        </w:tabs>
        <w:ind w:left="360" w:firstLine="0"/>
      </w:pPr>
      <w:rPr>
        <w:rFonts w:hint="eastAsia"/>
      </w:rPr>
    </w:lvl>
    <w:lvl w:ilvl="1" w:tplc="429A7C06">
      <w:start w:val="2"/>
      <w:numFmt w:val="none"/>
      <w:lvlText w:val="[5]"/>
      <w:lvlJc w:val="left"/>
      <w:pPr>
        <w:tabs>
          <w:tab w:val="num" w:pos="1800"/>
        </w:tabs>
        <w:ind w:left="1440" w:firstLine="0"/>
      </w:pPr>
      <w:rPr>
        <w:rFonts w:hint="eastAsia"/>
      </w:rPr>
    </w:lvl>
    <w:lvl w:ilvl="2" w:tplc="77E4D1D2">
      <w:start w:val="2"/>
      <w:numFmt w:val="none"/>
      <w:lvlText w:val="[6]"/>
      <w:lvlJc w:val="left"/>
      <w:pPr>
        <w:tabs>
          <w:tab w:val="num" w:pos="2700"/>
        </w:tabs>
        <w:ind w:left="2340" w:firstLine="0"/>
      </w:pPr>
      <w:rPr>
        <w:rFonts w:hint="eastAsia"/>
      </w:rPr>
    </w:lvl>
    <w:lvl w:ilvl="3" w:tplc="33C69E74">
      <w:start w:val="2"/>
      <w:numFmt w:val="none"/>
      <w:lvlText w:val="[5]"/>
      <w:lvlJc w:val="left"/>
      <w:pPr>
        <w:tabs>
          <w:tab w:val="num" w:pos="2700"/>
        </w:tabs>
        <w:ind w:left="2340" w:firstLine="0"/>
      </w:pPr>
      <w:rPr>
        <w:rFonts w:hint="eastAsia"/>
      </w:rPr>
    </w:lvl>
    <w:lvl w:ilvl="4" w:tplc="73D63FAC">
      <w:start w:val="2"/>
      <w:numFmt w:val="none"/>
      <w:lvlText w:val="[8]"/>
      <w:lvlJc w:val="left"/>
      <w:pPr>
        <w:tabs>
          <w:tab w:val="num" w:pos="2700"/>
        </w:tabs>
        <w:ind w:left="2340" w:firstLine="0"/>
      </w:pPr>
      <w:rPr>
        <w:rFonts w:hint="eastAsia"/>
      </w:rPr>
    </w:lvl>
    <w:lvl w:ilvl="5" w:tplc="F7ECB40A">
      <w:start w:val="2"/>
      <w:numFmt w:val="none"/>
      <w:lvlText w:val="[7]"/>
      <w:lvlJc w:val="left"/>
      <w:pPr>
        <w:tabs>
          <w:tab w:val="num" w:pos="2700"/>
        </w:tabs>
        <w:ind w:left="2340" w:firstLine="0"/>
      </w:pPr>
      <w:rPr>
        <w:rFonts w:hint="eastAsia"/>
      </w:rPr>
    </w:lvl>
    <w:lvl w:ilvl="6" w:tplc="537651F6">
      <w:start w:val="2"/>
      <w:numFmt w:val="none"/>
      <w:lvlText w:val="[8]"/>
      <w:lvlJc w:val="left"/>
      <w:pPr>
        <w:tabs>
          <w:tab w:val="num" w:pos="2700"/>
        </w:tabs>
        <w:ind w:left="2340" w:firstLine="0"/>
      </w:pPr>
      <w:rPr>
        <w:rFonts w:hint="eastAsia"/>
      </w:r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0">
    <w:nsid w:val="53D0167F"/>
    <w:multiLevelType w:val="hybridMultilevel"/>
    <w:tmpl w:val="620AB048"/>
    <w:lvl w:ilvl="0">
      <w:start w:val="1"/>
      <w:numFmt w:val="bullet"/>
      <w:lvlText w:val=""/>
      <w:lvlJc w:val="left"/>
      <w:pPr>
        <w:tabs>
          <w:tab w:val="num" w:pos="1140"/>
        </w:tabs>
        <w:ind w:left="1140" w:hanging="360"/>
      </w:pPr>
      <w:rPr>
        <w:rFonts w:ascii="Wingdings" w:hAnsi="Wingdings" w:hint="default"/>
      </w:rPr>
    </w:lvl>
    <w:lvl w:ilvl="1" w:tentative="1">
      <w:start w:val="1"/>
      <w:numFmt w:val="bullet"/>
      <w:lvlText w:val="o"/>
      <w:lvlJc w:val="left"/>
      <w:pPr>
        <w:tabs>
          <w:tab w:val="num" w:pos="1860"/>
        </w:tabs>
        <w:ind w:left="1860" w:hanging="360"/>
      </w:pPr>
      <w:rPr>
        <w:rFonts w:ascii="Courier New" w:hAnsi="Courier New" w:cs="Courier New" w:hint="default"/>
      </w:rPr>
    </w:lvl>
    <w:lvl w:ilvl="2" w:tentative="1">
      <w:start w:val="1"/>
      <w:numFmt w:val="bullet"/>
      <w:lvlText w:val=""/>
      <w:lvlJc w:val="left"/>
      <w:pPr>
        <w:tabs>
          <w:tab w:val="num" w:pos="2580"/>
        </w:tabs>
        <w:ind w:left="2580" w:hanging="360"/>
      </w:pPr>
      <w:rPr>
        <w:rFonts w:ascii="Wingdings" w:hAnsi="Wingdings" w:hint="default"/>
      </w:rPr>
    </w:lvl>
    <w:lvl w:ilvl="3" w:tentative="1">
      <w:start w:val="1"/>
      <w:numFmt w:val="bullet"/>
      <w:lvlText w:val=""/>
      <w:lvlJc w:val="left"/>
      <w:pPr>
        <w:tabs>
          <w:tab w:val="num" w:pos="3300"/>
        </w:tabs>
        <w:ind w:left="3300" w:hanging="360"/>
      </w:pPr>
      <w:rPr>
        <w:rFonts w:ascii="Symbol" w:hAnsi="Symbol" w:hint="default"/>
      </w:rPr>
    </w:lvl>
    <w:lvl w:ilvl="4" w:tentative="1">
      <w:start w:val="1"/>
      <w:numFmt w:val="bullet"/>
      <w:lvlText w:val="o"/>
      <w:lvlJc w:val="left"/>
      <w:pPr>
        <w:tabs>
          <w:tab w:val="num" w:pos="4020"/>
        </w:tabs>
        <w:ind w:left="4020" w:hanging="360"/>
      </w:pPr>
      <w:rPr>
        <w:rFonts w:ascii="Courier New" w:hAnsi="Courier New" w:cs="Courier New" w:hint="default"/>
      </w:rPr>
    </w:lvl>
    <w:lvl w:ilvl="5" w:tentative="1">
      <w:start w:val="1"/>
      <w:numFmt w:val="bullet"/>
      <w:lvlText w:val=""/>
      <w:lvlJc w:val="left"/>
      <w:pPr>
        <w:tabs>
          <w:tab w:val="num" w:pos="4740"/>
        </w:tabs>
        <w:ind w:left="4740" w:hanging="360"/>
      </w:pPr>
      <w:rPr>
        <w:rFonts w:ascii="Wingdings" w:hAnsi="Wingdings" w:hint="default"/>
      </w:rPr>
    </w:lvl>
    <w:lvl w:ilvl="6" w:tentative="1">
      <w:start w:val="1"/>
      <w:numFmt w:val="bullet"/>
      <w:lvlText w:val=""/>
      <w:lvlJc w:val="left"/>
      <w:pPr>
        <w:tabs>
          <w:tab w:val="num" w:pos="5460"/>
        </w:tabs>
        <w:ind w:left="5460" w:hanging="360"/>
      </w:pPr>
      <w:rPr>
        <w:rFonts w:ascii="Symbol" w:hAnsi="Symbol" w:hint="default"/>
      </w:rPr>
    </w:lvl>
    <w:lvl w:ilvl="7" w:tentative="1">
      <w:start w:val="1"/>
      <w:numFmt w:val="bullet"/>
      <w:lvlText w:val="o"/>
      <w:lvlJc w:val="left"/>
      <w:pPr>
        <w:tabs>
          <w:tab w:val="num" w:pos="6180"/>
        </w:tabs>
        <w:ind w:left="6180" w:hanging="360"/>
      </w:pPr>
      <w:rPr>
        <w:rFonts w:ascii="Courier New" w:hAnsi="Courier New" w:cs="Courier New" w:hint="default"/>
      </w:rPr>
    </w:lvl>
    <w:lvl w:ilvl="8" w:tentative="1">
      <w:start w:val="1"/>
      <w:numFmt w:val="bullet"/>
      <w:lvlText w:val=""/>
      <w:lvlJc w:val="left"/>
      <w:pPr>
        <w:tabs>
          <w:tab w:val="num" w:pos="6900"/>
        </w:tabs>
        <w:ind w:left="6900" w:hanging="360"/>
      </w:pPr>
      <w:rPr>
        <w:rFonts w:ascii="Wingdings" w:hAnsi="Wingdings" w:hint="default"/>
      </w:rPr>
    </w:lvl>
  </w:abstractNum>
  <w:abstractNum w:abstractNumId="11">
    <w:nsid w:val="5C9809B5"/>
    <w:multiLevelType w:val="multilevel"/>
    <w:tmpl w:val="9AAC4D8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8"/>
        </w:tabs>
        <w:ind w:left="1098" w:hanging="390"/>
      </w:pPr>
      <w:rPr>
        <w:rFonts w:hint="default"/>
        <w:b/>
        <w:i w:val="0"/>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2">
    <w:nsid w:val="66243E52"/>
    <w:multiLevelType w:val="multilevel"/>
    <w:tmpl w:val="09D446A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795"/>
        </w:tabs>
        <w:ind w:left="795" w:hanging="600"/>
      </w:pPr>
      <w:rPr>
        <w:rFonts w:hint="default"/>
      </w:rPr>
    </w:lvl>
    <w:lvl w:ilvl="2">
      <w:start w:val="1"/>
      <w:numFmt w:val="decimal"/>
      <w:lvlText w:val="%1.%2.%3"/>
      <w:lvlJc w:val="left"/>
      <w:pPr>
        <w:tabs>
          <w:tab w:val="num" w:pos="1110"/>
        </w:tabs>
        <w:ind w:left="1110" w:hanging="720"/>
      </w:pPr>
      <w:rPr>
        <w:rFonts w:hint="default"/>
      </w:rPr>
    </w:lvl>
    <w:lvl w:ilvl="3">
      <w:start w:val="1"/>
      <w:numFmt w:val="decimal"/>
      <w:lvlText w:val="%1.%2.%3.%4"/>
      <w:lvlJc w:val="left"/>
      <w:pPr>
        <w:tabs>
          <w:tab w:val="num" w:pos="1665"/>
        </w:tabs>
        <w:ind w:left="1665" w:hanging="108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415"/>
        </w:tabs>
        <w:ind w:left="2415" w:hanging="144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3165"/>
        </w:tabs>
        <w:ind w:left="3165" w:hanging="1800"/>
      </w:pPr>
      <w:rPr>
        <w:rFonts w:hint="default"/>
      </w:rPr>
    </w:lvl>
    <w:lvl w:ilvl="8">
      <w:start w:val="1"/>
      <w:numFmt w:val="decimal"/>
      <w:lvlText w:val="%1.%2.%3.%4.%5.%6.%7.%8.%9"/>
      <w:lvlJc w:val="left"/>
      <w:pPr>
        <w:tabs>
          <w:tab w:val="num" w:pos="3360"/>
        </w:tabs>
        <w:ind w:left="3360" w:hanging="1800"/>
      </w:pPr>
      <w:rPr>
        <w:rFonts w:hint="default"/>
      </w:rPr>
    </w:lvl>
  </w:abstractNum>
  <w:abstractNum w:abstractNumId="13">
    <w:nsid w:val="72F627C5"/>
    <w:multiLevelType w:val="multilevel"/>
    <w:tmpl w:val="E618D14A"/>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1380"/>
        </w:tabs>
        <w:ind w:left="1380" w:hanging="660"/>
      </w:pPr>
      <w:rPr>
        <w:rFonts w:hint="default"/>
      </w:rPr>
    </w:lvl>
    <w:lvl w:ilvl="2">
      <w:start w:val="1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7F65101A"/>
    <w:multiLevelType w:val="multilevel"/>
    <w:tmpl w:val="CAA49208"/>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1380"/>
        </w:tabs>
        <w:ind w:left="1380" w:hanging="660"/>
      </w:pPr>
      <w:rPr>
        <w:rFonts w:hint="default"/>
      </w:rPr>
    </w:lvl>
    <w:lvl w:ilvl="2">
      <w:start w:val="24"/>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2"/>
  </w:num>
  <w:num w:numId="2">
    <w:abstractNumId w:val="10"/>
  </w:num>
  <w:num w:numId="3">
    <w:abstractNumId w:val="5"/>
  </w:num>
  <w:num w:numId="4">
    <w:abstractNumId w:val="0"/>
  </w:num>
  <w:num w:numId="5">
    <w:abstractNumId w:val="9"/>
  </w:num>
  <w:num w:numId="6">
    <w:abstractNumId w:val="3"/>
  </w:num>
  <w:num w:numId="7">
    <w:abstractNumId w:val="6"/>
  </w:num>
  <w:num w:numId="8">
    <w:abstractNumId w:val="4"/>
  </w:num>
  <w:num w:numId="9">
    <w:abstractNumId w:val="11"/>
  </w:num>
  <w:num w:numId="10">
    <w:abstractNumId w:val="1"/>
  </w:num>
  <w:num w:numId="11">
    <w:abstractNumId w:val="2"/>
  </w:num>
  <w:num w:numId="12">
    <w:abstractNumId w:val="13"/>
  </w:num>
  <w:num w:numId="13">
    <w:abstractNumId w:val="8"/>
  </w:num>
  <w:num w:numId="14">
    <w:abstractNumId w:val="14"/>
  </w:num>
  <w:num w:numId="15">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0A37FC"/>
    <w:rsid w:val="0000042C"/>
    <w:rsid w:val="00000C6C"/>
    <w:rsid w:val="00014181"/>
    <w:rsid w:val="00022452"/>
    <w:rsid w:val="00023EA8"/>
    <w:rsid w:val="0004091D"/>
    <w:rsid w:val="00066850"/>
    <w:rsid w:val="00076322"/>
    <w:rsid w:val="000A37FC"/>
    <w:rsid w:val="000C1C97"/>
    <w:rsid w:val="000C7BF2"/>
    <w:rsid w:val="000D7DC6"/>
    <w:rsid w:val="000E610B"/>
    <w:rsid w:val="000F24AA"/>
    <w:rsid w:val="001002ED"/>
    <w:rsid w:val="00165947"/>
    <w:rsid w:val="00173426"/>
    <w:rsid w:val="001912A0"/>
    <w:rsid w:val="0019682E"/>
    <w:rsid w:val="001A418B"/>
    <w:rsid w:val="001F4196"/>
    <w:rsid w:val="002119F4"/>
    <w:rsid w:val="00214AD5"/>
    <w:rsid w:val="00227A37"/>
    <w:rsid w:val="0027234D"/>
    <w:rsid w:val="00277583"/>
    <w:rsid w:val="00290776"/>
    <w:rsid w:val="0029289A"/>
    <w:rsid w:val="002B7BBF"/>
    <w:rsid w:val="002C1161"/>
    <w:rsid w:val="002C701F"/>
    <w:rsid w:val="002D0C1A"/>
    <w:rsid w:val="00307761"/>
    <w:rsid w:val="003113F3"/>
    <w:rsid w:val="00333D7A"/>
    <w:rsid w:val="003469DF"/>
    <w:rsid w:val="00361741"/>
    <w:rsid w:val="003E6D18"/>
    <w:rsid w:val="00402C6E"/>
    <w:rsid w:val="004236C7"/>
    <w:rsid w:val="00430812"/>
    <w:rsid w:val="0044707A"/>
    <w:rsid w:val="0045498B"/>
    <w:rsid w:val="00454F9F"/>
    <w:rsid w:val="0045615A"/>
    <w:rsid w:val="00465E99"/>
    <w:rsid w:val="0048120F"/>
    <w:rsid w:val="0048227F"/>
    <w:rsid w:val="004E10E4"/>
    <w:rsid w:val="004F10FA"/>
    <w:rsid w:val="004F3FDA"/>
    <w:rsid w:val="00525A96"/>
    <w:rsid w:val="00546489"/>
    <w:rsid w:val="00552283"/>
    <w:rsid w:val="005704A4"/>
    <w:rsid w:val="005838C5"/>
    <w:rsid w:val="0059685F"/>
    <w:rsid w:val="00596B08"/>
    <w:rsid w:val="005A22C7"/>
    <w:rsid w:val="005A28B5"/>
    <w:rsid w:val="005B7CAB"/>
    <w:rsid w:val="005C1EEF"/>
    <w:rsid w:val="005C27F5"/>
    <w:rsid w:val="005D5F9B"/>
    <w:rsid w:val="005E251C"/>
    <w:rsid w:val="00652E74"/>
    <w:rsid w:val="00673ADA"/>
    <w:rsid w:val="0069770F"/>
    <w:rsid w:val="006A1EAF"/>
    <w:rsid w:val="006B2A99"/>
    <w:rsid w:val="006D4618"/>
    <w:rsid w:val="006E1A13"/>
    <w:rsid w:val="006E4401"/>
    <w:rsid w:val="00702E78"/>
    <w:rsid w:val="007308D7"/>
    <w:rsid w:val="00737252"/>
    <w:rsid w:val="0074208D"/>
    <w:rsid w:val="0075503F"/>
    <w:rsid w:val="00756590"/>
    <w:rsid w:val="00763E13"/>
    <w:rsid w:val="007753FF"/>
    <w:rsid w:val="0079343F"/>
    <w:rsid w:val="007A37F6"/>
    <w:rsid w:val="007B014F"/>
    <w:rsid w:val="007B279C"/>
    <w:rsid w:val="007C16A2"/>
    <w:rsid w:val="007C49D9"/>
    <w:rsid w:val="00800498"/>
    <w:rsid w:val="00803C9E"/>
    <w:rsid w:val="00817E22"/>
    <w:rsid w:val="00820220"/>
    <w:rsid w:val="00830EBC"/>
    <w:rsid w:val="00863043"/>
    <w:rsid w:val="008900F0"/>
    <w:rsid w:val="008A7DB5"/>
    <w:rsid w:val="008B271F"/>
    <w:rsid w:val="008C201C"/>
    <w:rsid w:val="008D7AE5"/>
    <w:rsid w:val="009244AF"/>
    <w:rsid w:val="009278E3"/>
    <w:rsid w:val="00936EED"/>
    <w:rsid w:val="0094103F"/>
    <w:rsid w:val="00973C80"/>
    <w:rsid w:val="00984E48"/>
    <w:rsid w:val="009D7883"/>
    <w:rsid w:val="009E2334"/>
    <w:rsid w:val="009F7AA2"/>
    <w:rsid w:val="00A06EF5"/>
    <w:rsid w:val="00A202A9"/>
    <w:rsid w:val="00A508E9"/>
    <w:rsid w:val="00A5559C"/>
    <w:rsid w:val="00AC4061"/>
    <w:rsid w:val="00AE3B5B"/>
    <w:rsid w:val="00B04CD6"/>
    <w:rsid w:val="00B140D8"/>
    <w:rsid w:val="00B16705"/>
    <w:rsid w:val="00B17526"/>
    <w:rsid w:val="00B642EF"/>
    <w:rsid w:val="00B77518"/>
    <w:rsid w:val="00BB4B86"/>
    <w:rsid w:val="00BD06D2"/>
    <w:rsid w:val="00BE1556"/>
    <w:rsid w:val="00BF181C"/>
    <w:rsid w:val="00BF3BA7"/>
    <w:rsid w:val="00C13BA4"/>
    <w:rsid w:val="00C14A3B"/>
    <w:rsid w:val="00C25083"/>
    <w:rsid w:val="00C552B3"/>
    <w:rsid w:val="00C8398E"/>
    <w:rsid w:val="00CA7B0C"/>
    <w:rsid w:val="00CB31EA"/>
    <w:rsid w:val="00CC1039"/>
    <w:rsid w:val="00CC1C75"/>
    <w:rsid w:val="00CC3211"/>
    <w:rsid w:val="00CE2E7A"/>
    <w:rsid w:val="00D15C66"/>
    <w:rsid w:val="00D21F68"/>
    <w:rsid w:val="00D2728B"/>
    <w:rsid w:val="00D4020C"/>
    <w:rsid w:val="00D95208"/>
    <w:rsid w:val="00DA4EFF"/>
    <w:rsid w:val="00DC23AF"/>
    <w:rsid w:val="00DD39A2"/>
    <w:rsid w:val="00DE6CA5"/>
    <w:rsid w:val="00E27C26"/>
    <w:rsid w:val="00E36070"/>
    <w:rsid w:val="00E44F69"/>
    <w:rsid w:val="00E47651"/>
    <w:rsid w:val="00E626A8"/>
    <w:rsid w:val="00EB6F73"/>
    <w:rsid w:val="00F87B7E"/>
    <w:rsid w:val="00FA2FDE"/>
    <w:rsid w:val="00FA3352"/>
    <w:rsid w:val="00FB48C9"/>
    <w:rsid w:val="00FC7F1C"/>
    <w:rsid w:val="00FD4A53"/>
    <w:rsid w:val="00FE3A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rules v:ext="edit">
        <o:r id="V:Rule1"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1556"/>
    <w:rPr>
      <w:rFonts w:eastAsia="MS Mincho"/>
      <w:sz w:val="24"/>
      <w:szCs w:val="24"/>
    </w:rPr>
  </w:style>
  <w:style w:type="paragraph" w:styleId="Ttulo1">
    <w:name w:val="heading 1"/>
    <w:basedOn w:val="Normal"/>
    <w:next w:val="Normal"/>
    <w:link w:val="Ttulo1Car"/>
    <w:qFormat/>
    <w:rsid w:val="00CC1C75"/>
    <w:pPr>
      <w:keepNext/>
      <w:jc w:val="both"/>
      <w:outlineLvl w:val="0"/>
    </w:pPr>
    <w:rPr>
      <w:rFonts w:eastAsia="Times New Roman"/>
      <w:b/>
      <w:bCs/>
    </w:rPr>
  </w:style>
  <w:style w:type="paragraph" w:styleId="Ttulo2">
    <w:name w:val="heading 2"/>
    <w:basedOn w:val="Normal"/>
    <w:next w:val="Normal"/>
    <w:qFormat/>
    <w:rsid w:val="00546489"/>
    <w:pPr>
      <w:keepNext/>
      <w:tabs>
        <w:tab w:val="num" w:pos="1440"/>
      </w:tabs>
      <w:spacing w:before="240" w:after="60"/>
      <w:ind w:left="720"/>
      <w:outlineLvl w:val="1"/>
    </w:pPr>
    <w:rPr>
      <w:rFonts w:ascii="Arial" w:eastAsia="Times New Roman" w:hAnsi="Arial" w:cs="Arial"/>
      <w:b/>
      <w:bCs/>
      <w:i/>
      <w:iCs/>
      <w:sz w:val="28"/>
      <w:szCs w:val="28"/>
    </w:rPr>
  </w:style>
  <w:style w:type="paragraph" w:styleId="Ttulo3">
    <w:name w:val="heading 3"/>
    <w:basedOn w:val="Normal"/>
    <w:next w:val="Normal"/>
    <w:qFormat/>
    <w:rsid w:val="00546489"/>
    <w:pPr>
      <w:keepNext/>
      <w:tabs>
        <w:tab w:val="num" w:pos="2160"/>
      </w:tabs>
      <w:spacing w:before="240" w:after="60"/>
      <w:ind w:left="1440"/>
      <w:outlineLvl w:val="2"/>
    </w:pPr>
    <w:rPr>
      <w:rFonts w:ascii="Arial" w:eastAsia="Times New Roman" w:hAnsi="Arial" w:cs="Arial"/>
      <w:b/>
      <w:bCs/>
      <w:sz w:val="26"/>
      <w:szCs w:val="26"/>
    </w:rPr>
  </w:style>
  <w:style w:type="paragraph" w:styleId="Ttulo4">
    <w:name w:val="heading 4"/>
    <w:basedOn w:val="Normal"/>
    <w:next w:val="Normal"/>
    <w:qFormat/>
    <w:rsid w:val="00546489"/>
    <w:pPr>
      <w:keepNext/>
      <w:tabs>
        <w:tab w:val="num" w:pos="3240"/>
      </w:tabs>
      <w:spacing w:before="240" w:after="60"/>
      <w:ind w:left="2160"/>
      <w:outlineLvl w:val="3"/>
    </w:pPr>
    <w:rPr>
      <w:rFonts w:eastAsia="Times New Roman"/>
      <w:b/>
      <w:bCs/>
      <w:sz w:val="28"/>
      <w:szCs w:val="28"/>
    </w:rPr>
  </w:style>
  <w:style w:type="paragraph" w:styleId="Ttulo5">
    <w:name w:val="heading 5"/>
    <w:basedOn w:val="Normal"/>
    <w:next w:val="Normal"/>
    <w:qFormat/>
    <w:rsid w:val="00546489"/>
    <w:pPr>
      <w:tabs>
        <w:tab w:val="num" w:pos="3600"/>
      </w:tabs>
      <w:spacing w:before="240" w:after="60"/>
      <w:ind w:left="2880"/>
      <w:outlineLvl w:val="4"/>
    </w:pPr>
    <w:rPr>
      <w:rFonts w:eastAsia="Times New Roman"/>
      <w:b/>
      <w:bCs/>
      <w:i/>
      <w:iCs/>
      <w:sz w:val="26"/>
      <w:szCs w:val="26"/>
    </w:rPr>
  </w:style>
  <w:style w:type="paragraph" w:styleId="Ttulo6">
    <w:name w:val="heading 6"/>
    <w:basedOn w:val="Normal"/>
    <w:next w:val="Normal"/>
    <w:qFormat/>
    <w:rsid w:val="00546489"/>
    <w:pPr>
      <w:tabs>
        <w:tab w:val="num" w:pos="3960"/>
      </w:tabs>
      <w:spacing w:before="240" w:after="60"/>
      <w:ind w:left="3600"/>
      <w:outlineLvl w:val="5"/>
    </w:pPr>
    <w:rPr>
      <w:rFonts w:eastAsia="Times New Roman"/>
      <w:b/>
      <w:bCs/>
      <w:sz w:val="22"/>
      <w:szCs w:val="22"/>
    </w:rPr>
  </w:style>
  <w:style w:type="paragraph" w:styleId="Ttulo7">
    <w:name w:val="heading 7"/>
    <w:basedOn w:val="Normal"/>
    <w:next w:val="Normal"/>
    <w:qFormat/>
    <w:rsid w:val="00546489"/>
    <w:pPr>
      <w:tabs>
        <w:tab w:val="num" w:pos="4680"/>
      </w:tabs>
      <w:spacing w:before="240" w:after="60"/>
      <w:ind w:left="4320"/>
      <w:outlineLvl w:val="6"/>
    </w:pPr>
    <w:rPr>
      <w:rFonts w:eastAsia="Times New Roman"/>
    </w:rPr>
  </w:style>
  <w:style w:type="paragraph" w:styleId="Ttulo8">
    <w:name w:val="heading 8"/>
    <w:basedOn w:val="Normal"/>
    <w:next w:val="Normal"/>
    <w:qFormat/>
    <w:rsid w:val="00546489"/>
    <w:pPr>
      <w:tabs>
        <w:tab w:val="num" w:pos="5400"/>
      </w:tabs>
      <w:spacing w:before="240" w:after="60"/>
      <w:ind w:left="5040"/>
      <w:outlineLvl w:val="7"/>
    </w:pPr>
    <w:rPr>
      <w:rFonts w:eastAsia="Times New Roman"/>
      <w:i/>
      <w:iCs/>
    </w:rPr>
  </w:style>
  <w:style w:type="paragraph" w:styleId="Ttulo9">
    <w:name w:val="heading 9"/>
    <w:basedOn w:val="Normal"/>
    <w:next w:val="Normal"/>
    <w:qFormat/>
    <w:rsid w:val="00546489"/>
    <w:pPr>
      <w:tabs>
        <w:tab w:val="num" w:pos="6120"/>
      </w:tabs>
      <w:spacing w:before="240" w:after="60"/>
      <w:ind w:left="5760"/>
      <w:outlineLvl w:val="8"/>
    </w:pPr>
    <w:rPr>
      <w:rFonts w:ascii="Arial" w:eastAsia="Times New Roman"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NormalWeb1">
    <w:name w:val="Normal (Web)1"/>
    <w:basedOn w:val="Normal"/>
    <w:rsid w:val="00BE1556"/>
    <w:pPr>
      <w:shd w:val="clear" w:color="auto" w:fill="FFFFFF"/>
      <w:spacing w:before="135" w:after="135"/>
    </w:pPr>
    <w:rPr>
      <w:rFonts w:eastAsia="Times New Roman"/>
      <w:lang w:val="ca-ES" w:eastAsia="ca-ES"/>
    </w:rPr>
  </w:style>
  <w:style w:type="character" w:styleId="Hipervnculo">
    <w:name w:val="Hyperlink"/>
    <w:basedOn w:val="Fuentedeprrafopredeter"/>
    <w:rsid w:val="00BE1556"/>
    <w:rPr>
      <w:color w:val="0248B0"/>
      <w:u w:val="single"/>
    </w:rPr>
  </w:style>
  <w:style w:type="paragraph" w:customStyle="1" w:styleId="cuerpo">
    <w:name w:val="cuerpo"/>
    <w:basedOn w:val="Normal"/>
    <w:rsid w:val="00BE1556"/>
    <w:pPr>
      <w:spacing w:line="285" w:lineRule="atLeast"/>
      <w:textAlignment w:val="baseline"/>
    </w:pPr>
    <w:rPr>
      <w:rFonts w:ascii="Arial" w:eastAsia="Times New Roman" w:hAnsi="Arial" w:cs="Arial"/>
      <w:color w:val="000000"/>
      <w:sz w:val="20"/>
      <w:szCs w:val="20"/>
      <w:lang w:val="ca-ES" w:eastAsia="ca-ES"/>
    </w:rPr>
  </w:style>
  <w:style w:type="paragraph" w:styleId="NormalWeb">
    <w:name w:val="Normal (Web)"/>
    <w:basedOn w:val="Normal"/>
    <w:rsid w:val="00BE1556"/>
    <w:pPr>
      <w:spacing w:line="285" w:lineRule="atLeast"/>
      <w:textAlignment w:val="baseline"/>
    </w:pPr>
    <w:rPr>
      <w:rFonts w:ascii="Arial" w:eastAsia="Times New Roman" w:hAnsi="Arial" w:cs="Arial"/>
      <w:color w:val="000000"/>
      <w:sz w:val="20"/>
      <w:szCs w:val="20"/>
      <w:lang w:val="ca-ES" w:eastAsia="ca-ES"/>
    </w:rPr>
  </w:style>
  <w:style w:type="character" w:styleId="Refdenotaalpie">
    <w:name w:val="footnote reference"/>
    <w:basedOn w:val="Fuentedeprrafopredeter"/>
    <w:semiHidden/>
    <w:rsid w:val="00BE1556"/>
    <w:rPr>
      <w:vertAlign w:val="superscript"/>
    </w:rPr>
  </w:style>
  <w:style w:type="paragraph" w:styleId="Encabezado">
    <w:name w:val="header"/>
    <w:basedOn w:val="Normal"/>
    <w:rsid w:val="000F24AA"/>
    <w:pPr>
      <w:tabs>
        <w:tab w:val="center" w:pos="4252"/>
        <w:tab w:val="right" w:pos="8504"/>
      </w:tabs>
    </w:pPr>
  </w:style>
  <w:style w:type="paragraph" w:styleId="Piedepgina">
    <w:name w:val="footer"/>
    <w:basedOn w:val="Normal"/>
    <w:rsid w:val="000F24AA"/>
    <w:pPr>
      <w:tabs>
        <w:tab w:val="center" w:pos="4252"/>
        <w:tab w:val="right" w:pos="8504"/>
      </w:tabs>
    </w:pPr>
  </w:style>
  <w:style w:type="character" w:styleId="Nmerodepgina">
    <w:name w:val="page number"/>
    <w:basedOn w:val="Fuentedeprrafopredeter"/>
    <w:rsid w:val="000F24AA"/>
  </w:style>
  <w:style w:type="paragraph" w:customStyle="1" w:styleId="contenidoarticulo">
    <w:name w:val="contenidoarticulo"/>
    <w:basedOn w:val="Normal"/>
    <w:rsid w:val="0027234D"/>
    <w:pPr>
      <w:spacing w:before="150" w:after="150"/>
    </w:pPr>
    <w:rPr>
      <w:rFonts w:ascii="Tahoma" w:eastAsia="Times New Roman" w:hAnsi="Tahoma" w:cs="Tahoma"/>
      <w:color w:val="494949"/>
      <w:sz w:val="18"/>
      <w:szCs w:val="18"/>
      <w:lang w:val="ca-ES" w:eastAsia="ca-ES"/>
    </w:rPr>
  </w:style>
  <w:style w:type="paragraph" w:styleId="Sangra2detindependiente">
    <w:name w:val="Body Text Indent 2"/>
    <w:basedOn w:val="Normal"/>
    <w:semiHidden/>
    <w:rsid w:val="00B642EF"/>
    <w:pPr>
      <w:spacing w:line="480" w:lineRule="auto"/>
      <w:ind w:left="1125"/>
      <w:jc w:val="both"/>
    </w:pPr>
    <w:rPr>
      <w:rFonts w:ascii="Arial" w:eastAsia="Times New Roman" w:hAnsi="Arial"/>
      <w:szCs w:val="20"/>
      <w:lang w:val="es-MX"/>
    </w:rPr>
  </w:style>
  <w:style w:type="paragraph" w:styleId="Textoindependiente">
    <w:name w:val="Body Text"/>
    <w:basedOn w:val="Normal"/>
    <w:rsid w:val="00CC1C75"/>
    <w:pPr>
      <w:spacing w:after="120"/>
    </w:pPr>
  </w:style>
  <w:style w:type="paragraph" w:styleId="Mapadeldocumento">
    <w:name w:val="Document Map"/>
    <w:basedOn w:val="Normal"/>
    <w:link w:val="MapadeldocumentoCar"/>
    <w:rsid w:val="00CC1C75"/>
    <w:rPr>
      <w:rFonts w:ascii="Tahoma" w:hAnsi="Tahoma" w:cs="Tahoma"/>
      <w:sz w:val="16"/>
      <w:szCs w:val="16"/>
    </w:rPr>
  </w:style>
  <w:style w:type="character" w:customStyle="1" w:styleId="MapadeldocumentoCar">
    <w:name w:val="Mapa del documento Car"/>
    <w:basedOn w:val="Fuentedeprrafopredeter"/>
    <w:link w:val="Mapadeldocumento"/>
    <w:rsid w:val="00CC1C75"/>
    <w:rPr>
      <w:rFonts w:ascii="Tahoma" w:eastAsia="MS Mincho" w:hAnsi="Tahoma" w:cs="Tahoma"/>
      <w:sz w:val="16"/>
      <w:szCs w:val="16"/>
      <w:lang w:val="es-ES" w:eastAsia="es-ES" w:bidi="ar-SA"/>
    </w:rPr>
  </w:style>
  <w:style w:type="paragraph" w:styleId="Textosinformato">
    <w:name w:val="Plain Text"/>
    <w:basedOn w:val="Normal"/>
    <w:rsid w:val="00CC1C75"/>
    <w:rPr>
      <w:rFonts w:ascii="Courier New" w:eastAsia="Times New Roman" w:hAnsi="Courier New" w:cs="Courier New"/>
      <w:sz w:val="20"/>
      <w:szCs w:val="20"/>
    </w:rPr>
  </w:style>
  <w:style w:type="paragraph" w:styleId="Sangradetextonormal">
    <w:name w:val="Body Text Indent"/>
    <w:basedOn w:val="Normal"/>
    <w:rsid w:val="00CC1C75"/>
    <w:pPr>
      <w:spacing w:after="120"/>
      <w:ind w:left="283"/>
    </w:pPr>
  </w:style>
  <w:style w:type="character" w:customStyle="1" w:styleId="head011">
    <w:name w:val="head011"/>
    <w:basedOn w:val="Fuentedeprrafopredeter"/>
    <w:rsid w:val="00CC1C75"/>
    <w:rPr>
      <w:rFonts w:ascii="Arial" w:hAnsi="Arial" w:cs="Arial" w:hint="default"/>
      <w:b w:val="0"/>
      <w:bCs w:val="0"/>
      <w:i w:val="0"/>
      <w:iCs w:val="0"/>
      <w:caps w:val="0"/>
      <w:smallCaps w:val="0"/>
      <w:color w:val="00349C"/>
      <w:spacing w:val="0"/>
      <w:sz w:val="33"/>
      <w:szCs w:val="33"/>
      <w:vertAlign w:val="baseline"/>
    </w:rPr>
  </w:style>
  <w:style w:type="paragraph" w:customStyle="1" w:styleId="head01spaceafter">
    <w:name w:val="head01spaceafter"/>
    <w:basedOn w:val="Normal"/>
    <w:rsid w:val="00CC1C75"/>
    <w:pPr>
      <w:spacing w:line="345" w:lineRule="atLeast"/>
      <w:textAlignment w:val="baseline"/>
    </w:pPr>
    <w:rPr>
      <w:rFonts w:ascii="Arial" w:eastAsia="Times New Roman" w:hAnsi="Arial" w:cs="Arial"/>
      <w:color w:val="00349C"/>
      <w:sz w:val="33"/>
      <w:szCs w:val="33"/>
      <w:lang w:val="ca-ES" w:eastAsia="ca-ES"/>
    </w:rPr>
  </w:style>
  <w:style w:type="character" w:customStyle="1" w:styleId="head03style11">
    <w:name w:val="head03 style11"/>
    <w:basedOn w:val="Fuentedeprrafopredeter"/>
    <w:rsid w:val="00CC1C75"/>
  </w:style>
  <w:style w:type="character" w:customStyle="1" w:styleId="head041">
    <w:name w:val="head041"/>
    <w:basedOn w:val="Fuentedeprrafopredeter"/>
    <w:rsid w:val="00CC1C75"/>
    <w:rPr>
      <w:rFonts w:ascii="Arial" w:hAnsi="Arial" w:cs="Arial" w:hint="default"/>
      <w:b w:val="0"/>
      <w:bCs w:val="0"/>
      <w:i w:val="0"/>
      <w:iCs w:val="0"/>
      <w:caps w:val="0"/>
      <w:smallCaps w:val="0"/>
      <w:color w:val="00349C"/>
      <w:spacing w:val="0"/>
      <w:sz w:val="20"/>
      <w:szCs w:val="20"/>
      <w:vertAlign w:val="baseline"/>
    </w:rPr>
  </w:style>
  <w:style w:type="paragraph" w:styleId="Prrafodelista">
    <w:name w:val="List Paragraph"/>
    <w:basedOn w:val="Normal"/>
    <w:qFormat/>
    <w:rsid w:val="00CC1C75"/>
    <w:pPr>
      <w:ind w:left="708"/>
    </w:pPr>
    <w:rPr>
      <w:rFonts w:eastAsia="Times New Roman"/>
    </w:rPr>
  </w:style>
  <w:style w:type="paragraph" w:styleId="Sangra3detindependiente">
    <w:name w:val="Body Text Indent 3"/>
    <w:basedOn w:val="Normal"/>
    <w:rsid w:val="00546489"/>
    <w:pPr>
      <w:spacing w:after="120"/>
      <w:ind w:left="283"/>
    </w:pPr>
    <w:rPr>
      <w:sz w:val="16"/>
      <w:szCs w:val="16"/>
    </w:rPr>
  </w:style>
  <w:style w:type="character" w:customStyle="1" w:styleId="Ttulo1Car">
    <w:name w:val="Título 1 Car"/>
    <w:basedOn w:val="Fuentedeprrafopredeter"/>
    <w:link w:val="Ttulo1"/>
    <w:rsid w:val="008A7DB5"/>
    <w:rPr>
      <w:b/>
      <w:bCs/>
      <w:sz w:val="24"/>
      <w:szCs w:val="24"/>
      <w:lang w:val="es-ES" w:eastAsia="es-ES" w:bidi="ar-SA"/>
    </w:rPr>
  </w:style>
  <w:style w:type="paragraph" w:styleId="TDC1">
    <w:name w:val="toc 1"/>
    <w:basedOn w:val="Normal"/>
    <w:next w:val="Normal"/>
    <w:autoRedefine/>
    <w:semiHidden/>
    <w:rsid w:val="00361741"/>
    <w:pPr>
      <w:spacing w:before="120"/>
    </w:pPr>
    <w:rPr>
      <w:b/>
      <w:bCs/>
      <w:i/>
      <w:iCs/>
    </w:rPr>
  </w:style>
  <w:style w:type="paragraph" w:styleId="TDC2">
    <w:name w:val="toc 2"/>
    <w:basedOn w:val="Normal"/>
    <w:next w:val="Normal"/>
    <w:autoRedefine/>
    <w:semiHidden/>
    <w:rsid w:val="00165947"/>
    <w:pPr>
      <w:spacing w:before="120"/>
      <w:ind w:left="240"/>
    </w:pPr>
    <w:rPr>
      <w:b/>
      <w:bCs/>
      <w:sz w:val="22"/>
      <w:szCs w:val="22"/>
    </w:rPr>
  </w:style>
  <w:style w:type="paragraph" w:styleId="TDC3">
    <w:name w:val="toc 3"/>
    <w:basedOn w:val="Normal"/>
    <w:next w:val="Normal"/>
    <w:autoRedefine/>
    <w:semiHidden/>
    <w:rsid w:val="00165947"/>
    <w:pPr>
      <w:ind w:left="480"/>
    </w:pPr>
    <w:rPr>
      <w:sz w:val="20"/>
      <w:szCs w:val="20"/>
    </w:rPr>
  </w:style>
  <w:style w:type="paragraph" w:styleId="TDC4">
    <w:name w:val="toc 4"/>
    <w:basedOn w:val="Normal"/>
    <w:next w:val="Normal"/>
    <w:autoRedefine/>
    <w:semiHidden/>
    <w:rsid w:val="00165947"/>
    <w:pPr>
      <w:ind w:left="720"/>
    </w:pPr>
    <w:rPr>
      <w:sz w:val="20"/>
      <w:szCs w:val="20"/>
    </w:rPr>
  </w:style>
  <w:style w:type="paragraph" w:styleId="TDC5">
    <w:name w:val="toc 5"/>
    <w:basedOn w:val="Normal"/>
    <w:next w:val="Normal"/>
    <w:autoRedefine/>
    <w:semiHidden/>
    <w:rsid w:val="00165947"/>
    <w:pPr>
      <w:ind w:left="960"/>
    </w:pPr>
    <w:rPr>
      <w:sz w:val="20"/>
      <w:szCs w:val="20"/>
    </w:rPr>
  </w:style>
  <w:style w:type="paragraph" w:styleId="TDC6">
    <w:name w:val="toc 6"/>
    <w:basedOn w:val="Normal"/>
    <w:next w:val="Normal"/>
    <w:autoRedefine/>
    <w:semiHidden/>
    <w:rsid w:val="00165947"/>
    <w:pPr>
      <w:ind w:left="1200"/>
    </w:pPr>
    <w:rPr>
      <w:sz w:val="20"/>
      <w:szCs w:val="20"/>
    </w:rPr>
  </w:style>
  <w:style w:type="paragraph" w:styleId="TDC7">
    <w:name w:val="toc 7"/>
    <w:basedOn w:val="Normal"/>
    <w:next w:val="Normal"/>
    <w:autoRedefine/>
    <w:semiHidden/>
    <w:rsid w:val="00165947"/>
    <w:pPr>
      <w:ind w:left="1440"/>
    </w:pPr>
    <w:rPr>
      <w:sz w:val="20"/>
      <w:szCs w:val="20"/>
    </w:rPr>
  </w:style>
  <w:style w:type="paragraph" w:styleId="TDC8">
    <w:name w:val="toc 8"/>
    <w:basedOn w:val="Normal"/>
    <w:next w:val="Normal"/>
    <w:autoRedefine/>
    <w:semiHidden/>
    <w:rsid w:val="00165947"/>
    <w:pPr>
      <w:ind w:left="1680"/>
    </w:pPr>
    <w:rPr>
      <w:sz w:val="20"/>
      <w:szCs w:val="20"/>
    </w:rPr>
  </w:style>
  <w:style w:type="paragraph" w:styleId="TDC9">
    <w:name w:val="toc 9"/>
    <w:basedOn w:val="Normal"/>
    <w:next w:val="Normal"/>
    <w:autoRedefine/>
    <w:semiHidden/>
    <w:rsid w:val="00165947"/>
    <w:pPr>
      <w:ind w:left="1920"/>
    </w:pPr>
    <w:rPr>
      <w:sz w:val="20"/>
      <w:szCs w:val="20"/>
    </w:rPr>
  </w:style>
</w:styles>
</file>

<file path=word/webSettings.xml><?xml version="1.0" encoding="utf-8"?>
<w:webSettings xmlns:r="http://schemas.openxmlformats.org/officeDocument/2006/relationships" xmlns:w="http://schemas.openxmlformats.org/wordprocessingml/2006/main">
  <w:divs>
    <w:div w:id="67271432">
      <w:bodyDiv w:val="1"/>
      <w:marLeft w:val="0"/>
      <w:marRight w:val="0"/>
      <w:marTop w:val="0"/>
      <w:marBottom w:val="0"/>
      <w:divBdr>
        <w:top w:val="none" w:sz="0" w:space="0" w:color="auto"/>
        <w:left w:val="none" w:sz="0" w:space="0" w:color="auto"/>
        <w:bottom w:val="none" w:sz="0" w:space="0" w:color="auto"/>
        <w:right w:val="none" w:sz="0" w:space="0" w:color="auto"/>
      </w:divBdr>
    </w:div>
    <w:div w:id="128058574">
      <w:bodyDiv w:val="1"/>
      <w:marLeft w:val="0"/>
      <w:marRight w:val="0"/>
      <w:marTop w:val="0"/>
      <w:marBottom w:val="0"/>
      <w:divBdr>
        <w:top w:val="none" w:sz="0" w:space="0" w:color="auto"/>
        <w:left w:val="none" w:sz="0" w:space="0" w:color="auto"/>
        <w:bottom w:val="none" w:sz="0" w:space="0" w:color="auto"/>
        <w:right w:val="none" w:sz="0" w:space="0" w:color="auto"/>
      </w:divBdr>
    </w:div>
    <w:div w:id="165218462">
      <w:bodyDiv w:val="1"/>
      <w:marLeft w:val="0"/>
      <w:marRight w:val="0"/>
      <w:marTop w:val="0"/>
      <w:marBottom w:val="0"/>
      <w:divBdr>
        <w:top w:val="none" w:sz="0" w:space="0" w:color="auto"/>
        <w:left w:val="none" w:sz="0" w:space="0" w:color="auto"/>
        <w:bottom w:val="none" w:sz="0" w:space="0" w:color="auto"/>
        <w:right w:val="none" w:sz="0" w:space="0" w:color="auto"/>
      </w:divBdr>
    </w:div>
    <w:div w:id="472254842">
      <w:bodyDiv w:val="1"/>
      <w:marLeft w:val="0"/>
      <w:marRight w:val="0"/>
      <w:marTop w:val="0"/>
      <w:marBottom w:val="0"/>
      <w:divBdr>
        <w:top w:val="none" w:sz="0" w:space="0" w:color="auto"/>
        <w:left w:val="none" w:sz="0" w:space="0" w:color="auto"/>
        <w:bottom w:val="none" w:sz="0" w:space="0" w:color="auto"/>
        <w:right w:val="none" w:sz="0" w:space="0" w:color="auto"/>
      </w:divBdr>
    </w:div>
    <w:div w:id="643702575">
      <w:bodyDiv w:val="1"/>
      <w:marLeft w:val="0"/>
      <w:marRight w:val="0"/>
      <w:marTop w:val="0"/>
      <w:marBottom w:val="0"/>
      <w:divBdr>
        <w:top w:val="none" w:sz="0" w:space="0" w:color="auto"/>
        <w:left w:val="none" w:sz="0" w:space="0" w:color="auto"/>
        <w:bottom w:val="none" w:sz="0" w:space="0" w:color="auto"/>
        <w:right w:val="none" w:sz="0" w:space="0" w:color="auto"/>
      </w:divBdr>
    </w:div>
    <w:div w:id="979187847">
      <w:bodyDiv w:val="1"/>
      <w:marLeft w:val="0"/>
      <w:marRight w:val="0"/>
      <w:marTop w:val="0"/>
      <w:marBottom w:val="0"/>
      <w:divBdr>
        <w:top w:val="none" w:sz="0" w:space="0" w:color="auto"/>
        <w:left w:val="none" w:sz="0" w:space="0" w:color="auto"/>
        <w:bottom w:val="none" w:sz="0" w:space="0" w:color="auto"/>
        <w:right w:val="none" w:sz="0" w:space="0" w:color="auto"/>
      </w:divBdr>
    </w:div>
    <w:div w:id="986125054">
      <w:bodyDiv w:val="1"/>
      <w:marLeft w:val="0"/>
      <w:marRight w:val="0"/>
      <w:marTop w:val="0"/>
      <w:marBottom w:val="0"/>
      <w:divBdr>
        <w:top w:val="none" w:sz="0" w:space="0" w:color="auto"/>
        <w:left w:val="none" w:sz="0" w:space="0" w:color="auto"/>
        <w:bottom w:val="none" w:sz="0" w:space="0" w:color="auto"/>
        <w:right w:val="none" w:sz="0" w:space="0" w:color="auto"/>
      </w:divBdr>
    </w:div>
    <w:div w:id="1198547378">
      <w:bodyDiv w:val="1"/>
      <w:marLeft w:val="0"/>
      <w:marRight w:val="0"/>
      <w:marTop w:val="0"/>
      <w:marBottom w:val="0"/>
      <w:divBdr>
        <w:top w:val="none" w:sz="0" w:space="0" w:color="auto"/>
        <w:left w:val="none" w:sz="0" w:space="0" w:color="auto"/>
        <w:bottom w:val="none" w:sz="0" w:space="0" w:color="auto"/>
        <w:right w:val="none" w:sz="0" w:space="0" w:color="auto"/>
      </w:divBdr>
    </w:div>
    <w:div w:id="1348171286">
      <w:bodyDiv w:val="1"/>
      <w:marLeft w:val="0"/>
      <w:marRight w:val="0"/>
      <w:marTop w:val="0"/>
      <w:marBottom w:val="0"/>
      <w:divBdr>
        <w:top w:val="none" w:sz="0" w:space="0" w:color="auto"/>
        <w:left w:val="none" w:sz="0" w:space="0" w:color="auto"/>
        <w:bottom w:val="none" w:sz="0" w:space="0" w:color="auto"/>
        <w:right w:val="none" w:sz="0" w:space="0" w:color="auto"/>
      </w:divBdr>
    </w:div>
    <w:div w:id="1607342526">
      <w:bodyDiv w:val="1"/>
      <w:marLeft w:val="0"/>
      <w:marRight w:val="0"/>
      <w:marTop w:val="0"/>
      <w:marBottom w:val="0"/>
      <w:divBdr>
        <w:top w:val="none" w:sz="0" w:space="0" w:color="auto"/>
        <w:left w:val="none" w:sz="0" w:space="0" w:color="auto"/>
        <w:bottom w:val="none" w:sz="0" w:space="0" w:color="auto"/>
        <w:right w:val="none" w:sz="0" w:space="0" w:color="auto"/>
      </w:divBdr>
    </w:div>
    <w:div w:id="1776633839">
      <w:bodyDiv w:val="1"/>
      <w:marLeft w:val="0"/>
      <w:marRight w:val="0"/>
      <w:marTop w:val="0"/>
      <w:marBottom w:val="0"/>
      <w:divBdr>
        <w:top w:val="none" w:sz="0" w:space="0" w:color="auto"/>
        <w:left w:val="none" w:sz="0" w:space="0" w:color="auto"/>
        <w:bottom w:val="none" w:sz="0" w:space="0" w:color="auto"/>
        <w:right w:val="none" w:sz="0" w:space="0" w:color="auto"/>
      </w:divBdr>
    </w:div>
    <w:div w:id="1778285891">
      <w:bodyDiv w:val="1"/>
      <w:marLeft w:val="0"/>
      <w:marRight w:val="0"/>
      <w:marTop w:val="0"/>
      <w:marBottom w:val="0"/>
      <w:divBdr>
        <w:top w:val="none" w:sz="0" w:space="0" w:color="auto"/>
        <w:left w:val="none" w:sz="0" w:space="0" w:color="auto"/>
        <w:bottom w:val="none" w:sz="0" w:space="0" w:color="auto"/>
        <w:right w:val="none" w:sz="0" w:space="0" w:color="auto"/>
      </w:divBdr>
    </w:div>
    <w:div w:id="1945838813">
      <w:bodyDiv w:val="1"/>
      <w:marLeft w:val="0"/>
      <w:marRight w:val="0"/>
      <w:marTop w:val="0"/>
      <w:marBottom w:val="0"/>
      <w:divBdr>
        <w:top w:val="none" w:sz="0" w:space="0" w:color="auto"/>
        <w:left w:val="none" w:sz="0" w:space="0" w:color="auto"/>
        <w:bottom w:val="none" w:sz="0" w:space="0" w:color="auto"/>
        <w:right w:val="none" w:sz="0" w:space="0" w:color="auto"/>
      </w:divBdr>
    </w:div>
    <w:div w:id="212240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header" Target="header5.xml"/><Relationship Id="rId50" Type="http://schemas.openxmlformats.org/officeDocument/2006/relationships/hyperlink" Target="http://www.monografias.com/" TargetMode="External"/><Relationship Id="rId7" Type="http://schemas.openxmlformats.org/officeDocument/2006/relationships/image" Target="media/image1.png"/><Relationship Id="rId12" Type="http://schemas.openxmlformats.org/officeDocument/2006/relationships/hyperlink" Target="http://www.monografias.com/cgi-bin/search.cgi?query=procedimientos&amp;?intersearch" TargetMode="External"/><Relationship Id="rId17" Type="http://schemas.openxmlformats.org/officeDocument/2006/relationships/oleObject" Target="embeddings/oleObject2.bin"/><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eader" Target="header3.xml"/><Relationship Id="rId29" Type="http://schemas.openxmlformats.org/officeDocument/2006/relationships/chart" Target="charts/chart8.xml"/><Relationship Id="rId41" Type="http://schemas.openxmlformats.org/officeDocument/2006/relationships/chart" Target="charts/chart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cgi-bin/search.cgi?query=probabilidad&amp;?intersearch"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header" Target="header7.xml"/><Relationship Id="rId10" Type="http://schemas.openxmlformats.org/officeDocument/2006/relationships/hyperlink" Target="http://www.monografias.com/cgi-bin/search.cgi?query=programas&amp;?intersearch" TargetMode="External"/><Relationship Id="rId19" Type="http://schemas.openxmlformats.org/officeDocument/2006/relationships/oleObject" Target="embeddings/oleObject3.bin"/><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header" Target="header6.xml"/><Relationship Id="rId8" Type="http://schemas.openxmlformats.org/officeDocument/2006/relationships/header" Target="header1.xml"/><Relationship Id="rId51"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49" b="1" i="0" u="none" strike="noStrike" baseline="0">
                <a:solidFill>
                  <a:srgbClr val="000000"/>
                </a:solidFill>
                <a:latin typeface="Arial"/>
                <a:ea typeface="Arial"/>
                <a:cs typeface="Arial"/>
              </a:defRPr>
            </a:pPr>
            <a:r>
              <a:t>BANCO PRODUBANCO-CIA M.O.</a:t>
            </a:r>
          </a:p>
        </c:rich>
      </c:tx>
      <c:layout>
        <c:manualLayout>
          <c:xMode val="edge"/>
          <c:yMode val="edge"/>
          <c:x val="0.33761467889908292"/>
          <c:y val="2.0477815699658716E-2"/>
        </c:manualLayout>
      </c:layout>
      <c:spPr>
        <a:noFill/>
        <a:ln w="25372">
          <a:noFill/>
        </a:ln>
      </c:spPr>
    </c:title>
    <c:plotArea>
      <c:layout>
        <c:manualLayout>
          <c:layoutTarget val="inner"/>
          <c:xMode val="edge"/>
          <c:yMode val="edge"/>
          <c:x val="0.13394495412844046"/>
          <c:y val="0.16723549488054618"/>
          <c:w val="0.686238532110092"/>
          <c:h val="0.69624573378839616"/>
        </c:manualLayout>
      </c:layout>
      <c:barChart>
        <c:barDir val="col"/>
        <c:grouping val="clustered"/>
        <c:ser>
          <c:idx val="0"/>
          <c:order val="0"/>
          <c:tx>
            <c:v>VALOR DE LA CONCILIACION</c:v>
          </c:tx>
          <c:spPr>
            <a:solidFill>
              <a:srgbClr val="9999FF"/>
            </a:solidFill>
            <a:ln w="12686">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general'!$D$7,'Cuadro general'!$G$7,'Cuadro general'!$J$7,'Cuadro general'!$M$7,'Cuadro general'!$P$7,'Cuadro general'!$S$7)</c:f>
              <c:numCache>
                <c:formatCode>#,##0.00</c:formatCode>
                <c:ptCount val="6"/>
                <c:pt idx="0">
                  <c:v>114568.42</c:v>
                </c:pt>
                <c:pt idx="1">
                  <c:v>61763.536400000005</c:v>
                </c:pt>
                <c:pt idx="2">
                  <c:v>17203</c:v>
                </c:pt>
                <c:pt idx="3">
                  <c:v>389055</c:v>
                </c:pt>
                <c:pt idx="4">
                  <c:v>151178.57759999999</c:v>
                </c:pt>
                <c:pt idx="5">
                  <c:v>109180</c:v>
                </c:pt>
              </c:numCache>
            </c:numRef>
          </c:val>
        </c:ser>
        <c:ser>
          <c:idx val="1"/>
          <c:order val="1"/>
          <c:tx>
            <c:v>VALOR EN LIBROS</c:v>
          </c:tx>
          <c:spPr>
            <a:solidFill>
              <a:srgbClr val="993366"/>
            </a:solidFill>
            <a:ln w="12686">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general'!$E$7,'Cuadro general'!$H$7,'Cuadro general'!$K$7,'Cuadro general'!$N$7,'Cuadro general'!$Q$7,'Cuadro general'!$T$7)</c:f>
              <c:numCache>
                <c:formatCode>#,##0.00</c:formatCode>
                <c:ptCount val="6"/>
                <c:pt idx="0">
                  <c:v>104566.08</c:v>
                </c:pt>
                <c:pt idx="1">
                  <c:v>61761.196399999993</c:v>
                </c:pt>
                <c:pt idx="2">
                  <c:v>17200.460299999999</c:v>
                </c:pt>
                <c:pt idx="3">
                  <c:v>389049.46200000012</c:v>
                </c:pt>
                <c:pt idx="4">
                  <c:v>141176.23759999999</c:v>
                </c:pt>
                <c:pt idx="5">
                  <c:v>108177.56259999995</c:v>
                </c:pt>
              </c:numCache>
            </c:numRef>
          </c:val>
        </c:ser>
        <c:axId val="173307008"/>
        <c:axId val="173308928"/>
      </c:barChart>
      <c:catAx>
        <c:axId val="173307008"/>
        <c:scaling>
          <c:orientation val="minMax"/>
        </c:scaling>
        <c:axPos val="b"/>
        <c:title>
          <c:tx>
            <c:rich>
              <a:bodyPr/>
              <a:lstStyle/>
              <a:p>
                <a:pPr>
                  <a:defRPr sz="574" b="1" i="0" u="none" strike="noStrike" baseline="0">
                    <a:solidFill>
                      <a:srgbClr val="000000"/>
                    </a:solidFill>
                    <a:latin typeface="Arial"/>
                    <a:ea typeface="Arial"/>
                    <a:cs typeface="Arial"/>
                  </a:defRPr>
                </a:pPr>
                <a:r>
                  <a:t>MESES</a:t>
                </a:r>
              </a:p>
            </c:rich>
          </c:tx>
          <c:layout>
            <c:manualLayout>
              <c:xMode val="edge"/>
              <c:yMode val="edge"/>
              <c:x val="0.44220183486238529"/>
              <c:y val="0.92832764505119469"/>
            </c:manualLayout>
          </c:layout>
          <c:spPr>
            <a:noFill/>
            <a:ln w="25372">
              <a:noFill/>
            </a:ln>
          </c:spPr>
        </c:title>
        <c:numFmt formatCode="General" sourceLinked="1"/>
        <c:tickLblPos val="nextTo"/>
        <c:spPr>
          <a:ln w="3171">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s-ES"/>
          </a:p>
        </c:txPr>
        <c:crossAx val="173308928"/>
        <c:crosses val="autoZero"/>
        <c:auto val="1"/>
        <c:lblAlgn val="ctr"/>
        <c:lblOffset val="100"/>
        <c:tickLblSkip val="1"/>
        <c:tickMarkSkip val="1"/>
      </c:catAx>
      <c:valAx>
        <c:axId val="173308928"/>
        <c:scaling>
          <c:orientation val="minMax"/>
          <c:max val="400000"/>
        </c:scaling>
        <c:axPos val="l"/>
        <c:majorGridlines>
          <c:spPr>
            <a:ln w="3171">
              <a:solidFill>
                <a:srgbClr val="000000"/>
              </a:solidFill>
              <a:prstDash val="solid"/>
            </a:ln>
          </c:spPr>
        </c:majorGridlines>
        <c:title>
          <c:tx>
            <c:rich>
              <a:bodyPr/>
              <a:lstStyle/>
              <a:p>
                <a:pPr>
                  <a:defRPr sz="574" b="1" i="0" u="none" strike="noStrike" baseline="0">
                    <a:solidFill>
                      <a:srgbClr val="000000"/>
                    </a:solidFill>
                    <a:latin typeface="Arial"/>
                    <a:ea typeface="Arial"/>
                    <a:cs typeface="Arial"/>
                  </a:defRPr>
                </a:pPr>
                <a:r>
                  <a:t>DOLARES</a:t>
                </a:r>
              </a:p>
            </c:rich>
          </c:tx>
          <c:layout>
            <c:manualLayout>
              <c:xMode val="edge"/>
              <c:yMode val="edge"/>
              <c:x val="1.1009174311926615E-2"/>
              <c:y val="0.43003412969283289"/>
            </c:manualLayout>
          </c:layout>
          <c:spPr>
            <a:noFill/>
            <a:ln w="25372">
              <a:noFill/>
            </a:ln>
          </c:spPr>
        </c:title>
        <c:numFmt formatCode="#,##0.00" sourceLinked="1"/>
        <c:tickLblPos val="nextTo"/>
        <c:spPr>
          <a:ln w="3171">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s-ES"/>
          </a:p>
        </c:txPr>
        <c:crossAx val="173307008"/>
        <c:crosses val="autoZero"/>
        <c:crossBetween val="between"/>
        <c:majorUnit val="50000"/>
        <c:minorUnit val="10000"/>
      </c:valAx>
      <c:spPr>
        <a:solidFill>
          <a:srgbClr val="C0C0C0"/>
        </a:solidFill>
        <a:ln w="12686">
          <a:solidFill>
            <a:srgbClr val="808080"/>
          </a:solidFill>
          <a:prstDash val="solid"/>
        </a:ln>
      </c:spPr>
    </c:plotArea>
    <c:legend>
      <c:legendPos val="r"/>
      <c:layout>
        <c:manualLayout>
          <c:xMode val="edge"/>
          <c:yMode val="edge"/>
          <c:x val="0.75779816513761467"/>
          <c:y val="0.45733788395904457"/>
          <c:w val="0.23486238532110099"/>
          <c:h val="9.2150170648464189E-2"/>
        </c:manualLayout>
      </c:layout>
      <c:spPr>
        <a:solidFill>
          <a:srgbClr val="FFFFFF"/>
        </a:solidFill>
        <a:ln w="3171">
          <a:solidFill>
            <a:srgbClr val="000000"/>
          </a:solidFill>
          <a:prstDash val="solid"/>
        </a:ln>
      </c:spPr>
      <c:txPr>
        <a:bodyPr/>
        <a:lstStyle/>
        <a:p>
          <a:pPr>
            <a:defRPr sz="524"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574"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 PRODUFONDOS D.U.</a:t>
            </a:r>
          </a:p>
        </c:rich>
      </c:tx>
      <c:layout>
        <c:manualLayout>
          <c:xMode val="edge"/>
          <c:yMode val="edge"/>
          <c:x val="0.28108108108108121"/>
          <c:y val="2.2857142857142871E-2"/>
        </c:manualLayout>
      </c:layout>
      <c:spPr>
        <a:noFill/>
        <a:ln w="25400">
          <a:noFill/>
        </a:ln>
      </c:spPr>
    </c:title>
    <c:plotArea>
      <c:layout>
        <c:manualLayout>
          <c:layoutTarget val="inner"/>
          <c:xMode val="edge"/>
          <c:yMode val="edge"/>
          <c:x val="0.30810810810810818"/>
          <c:y val="0.4457142857142859"/>
          <c:w val="0.14594594594594601"/>
          <c:h val="0.30857142857142855"/>
        </c:manualLayout>
      </c:layout>
      <c:pieChart>
        <c:varyColors val="1"/>
        <c:ser>
          <c:idx val="0"/>
          <c:order val="0"/>
          <c:tx>
            <c:v>PORCENTAJES</c:v>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numFmt formatCode="0%" sourceLinked="0"/>
            <c:spPr>
              <a:noFill/>
              <a:ln w="25400">
                <a:noFill/>
              </a:ln>
            </c:spPr>
            <c:txPr>
              <a:bodyPr/>
              <a:lstStyle/>
              <a:p>
                <a:pPr>
                  <a:defRPr sz="950" b="0" i="0" u="none" strike="noStrike" baseline="0">
                    <a:solidFill>
                      <a:srgbClr val="000000"/>
                    </a:solidFill>
                    <a:latin typeface="Arial"/>
                    <a:ea typeface="Arial"/>
                    <a:cs typeface="Arial"/>
                  </a:defRPr>
                </a:pPr>
                <a:endParaRPr lang="es-ES"/>
              </a:p>
            </c:txPr>
            <c:showPercent val="1"/>
            <c:showLeaderLines val="1"/>
          </c:dLbls>
          <c:cat>
            <c:strRef>
              <c:f>('cuadro diferencia'!$C$5,'cuadro diferencia'!$E$5,'cuadro diferencia'!$G$5,'cuadro diferencia'!$I$5,'cuadro diferencia'!$K$5,'cuadro diferencia'!$M$5)</c:f>
              <c:strCache>
                <c:ptCount val="6"/>
                <c:pt idx="0">
                  <c:v>ENERO</c:v>
                </c:pt>
                <c:pt idx="1">
                  <c:v>FEBRERO</c:v>
                </c:pt>
                <c:pt idx="2">
                  <c:v>MARZO</c:v>
                </c:pt>
                <c:pt idx="3">
                  <c:v>ABRIL</c:v>
                </c:pt>
                <c:pt idx="4">
                  <c:v>MAYO</c:v>
                </c:pt>
                <c:pt idx="5">
                  <c:v>JUNIO</c:v>
                </c:pt>
              </c:strCache>
            </c:strRef>
          </c:cat>
          <c:val>
            <c:numRef>
              <c:f>('cuadro diferencia'!$D$11,'cuadro diferencia'!$F$11,'cuadro diferencia'!$H$11,'cuadro diferencia'!$J$11,'cuadro diferencia'!$L$11,'cuadro diferencia'!$N$11)</c:f>
              <c:numCache>
                <c:formatCode>0%</c:formatCode>
                <c:ptCount val="6"/>
                <c:pt idx="0">
                  <c:v>0.41335978835978843</c:v>
                </c:pt>
                <c:pt idx="1">
                  <c:v>0.57870370370370361</c:v>
                </c:pt>
                <c:pt idx="2">
                  <c:v>7.9365079365082379E-3</c:v>
                </c:pt>
                <c:pt idx="3">
                  <c:v>0</c:v>
                </c:pt>
                <c:pt idx="4">
                  <c:v>0</c:v>
                </c:pt>
                <c:pt idx="5">
                  <c:v>0</c:v>
                </c:pt>
              </c:numCache>
            </c:numRef>
          </c:val>
        </c:ser>
        <c:dLbls>
          <c:showPercent val="1"/>
        </c:dLbls>
        <c:firstSliceAng val="0"/>
      </c:pieChart>
      <c:spPr>
        <a:noFill/>
        <a:ln w="25400">
          <a:noFill/>
        </a:ln>
      </c:spPr>
    </c:plotArea>
    <c:legend>
      <c:legendPos val="r"/>
      <c:layout>
        <c:manualLayout>
          <c:xMode val="edge"/>
          <c:yMode val="edge"/>
          <c:x val="0.76486486486486482"/>
          <c:y val="0.23428571428571424"/>
          <c:w val="0.22432432432432434"/>
          <c:h val="0.72571428571428576"/>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6294416243654845E-2"/>
          <c:y val="7.9069767441860492E-2"/>
          <c:w val="0.64213197969543179"/>
          <c:h val="0.78604651162790673"/>
        </c:manualLayout>
      </c:layout>
      <c:lineChart>
        <c:grouping val="standard"/>
        <c:ser>
          <c:idx val="0"/>
          <c:order val="0"/>
          <c:tx>
            <c:strRef>
              <c:f>D.U.!$B$3:$B$4</c:f>
              <c:strCache>
                <c:ptCount val="1"/>
                <c:pt idx="0">
                  <c:v>D.U. Produbanco</c:v>
                </c:pt>
              </c:strCache>
            </c:strRef>
          </c:tx>
          <c:spPr>
            <a:ln w="12721">
              <a:solidFill>
                <a:srgbClr val="000080"/>
              </a:solidFill>
              <a:prstDash val="solid"/>
            </a:ln>
          </c:spPr>
          <c:marker>
            <c:symbol val="diamond"/>
            <c:size val="5"/>
            <c:spPr>
              <a:solidFill>
                <a:srgbClr val="000080"/>
              </a:solidFill>
              <a:ln>
                <a:solidFill>
                  <a:srgbClr val="000080"/>
                </a:solidFill>
                <a:prstDash val="solid"/>
              </a:ln>
            </c:spPr>
          </c:marker>
          <c:cat>
            <c:strRef>
              <c:f>D.U.!$A$5:$A$10</c:f>
              <c:strCache>
                <c:ptCount val="6"/>
                <c:pt idx="0">
                  <c:v>ENERO</c:v>
                </c:pt>
                <c:pt idx="1">
                  <c:v>FEBRERO</c:v>
                </c:pt>
                <c:pt idx="2">
                  <c:v>MARZO</c:v>
                </c:pt>
                <c:pt idx="3">
                  <c:v>ABRIL</c:v>
                </c:pt>
                <c:pt idx="4">
                  <c:v>MAYO</c:v>
                </c:pt>
                <c:pt idx="5">
                  <c:v>JUNIO</c:v>
                </c:pt>
              </c:strCache>
            </c:strRef>
          </c:cat>
          <c:val>
            <c:numRef>
              <c:f>D.U.!$B$5:$B$10</c:f>
              <c:numCache>
                <c:formatCode>#,##0.00</c:formatCode>
                <c:ptCount val="6"/>
                <c:pt idx="0">
                  <c:v>0</c:v>
                </c:pt>
                <c:pt idx="1">
                  <c:v>0</c:v>
                </c:pt>
                <c:pt idx="2" formatCode="General">
                  <c:v>0</c:v>
                </c:pt>
                <c:pt idx="3">
                  <c:v>0</c:v>
                </c:pt>
                <c:pt idx="4">
                  <c:v>0</c:v>
                </c:pt>
                <c:pt idx="5">
                  <c:v>0</c:v>
                </c:pt>
              </c:numCache>
            </c:numRef>
          </c:val>
        </c:ser>
        <c:ser>
          <c:idx val="1"/>
          <c:order val="1"/>
          <c:tx>
            <c:strRef>
              <c:f>D.U.!$C$3:$C$4</c:f>
              <c:strCache>
                <c:ptCount val="1"/>
                <c:pt idx="0">
                  <c:v>D.U. Produfondos</c:v>
                </c:pt>
              </c:strCache>
            </c:strRef>
          </c:tx>
          <c:spPr>
            <a:ln w="12721">
              <a:solidFill>
                <a:srgbClr val="FF00FF"/>
              </a:solidFill>
              <a:prstDash val="solid"/>
            </a:ln>
          </c:spPr>
          <c:marker>
            <c:symbol val="square"/>
            <c:size val="5"/>
            <c:spPr>
              <a:solidFill>
                <a:srgbClr val="FF00FF"/>
              </a:solidFill>
              <a:ln>
                <a:solidFill>
                  <a:srgbClr val="FF00FF"/>
                </a:solidFill>
                <a:prstDash val="solid"/>
              </a:ln>
            </c:spPr>
          </c:marker>
          <c:cat>
            <c:strRef>
              <c:f>D.U.!$A$5:$A$10</c:f>
              <c:strCache>
                <c:ptCount val="6"/>
                <c:pt idx="0">
                  <c:v>ENERO</c:v>
                </c:pt>
                <c:pt idx="1">
                  <c:v>FEBRERO</c:v>
                </c:pt>
                <c:pt idx="2">
                  <c:v>MARZO</c:v>
                </c:pt>
                <c:pt idx="3">
                  <c:v>ABRIL</c:v>
                </c:pt>
                <c:pt idx="4">
                  <c:v>MAYO</c:v>
                </c:pt>
                <c:pt idx="5">
                  <c:v>JUNIO</c:v>
                </c:pt>
              </c:strCache>
            </c:strRef>
          </c:cat>
          <c:val>
            <c:numRef>
              <c:f>D.U.!$C$5:$C$10</c:f>
              <c:numCache>
                <c:formatCode>#,##0.00</c:formatCode>
                <c:ptCount val="6"/>
                <c:pt idx="0">
                  <c:v>50</c:v>
                </c:pt>
                <c:pt idx="1">
                  <c:v>70</c:v>
                </c:pt>
                <c:pt idx="2" formatCode="General">
                  <c:v>0.9600000000000366</c:v>
                </c:pt>
                <c:pt idx="3">
                  <c:v>0</c:v>
                </c:pt>
                <c:pt idx="4">
                  <c:v>0</c:v>
                </c:pt>
                <c:pt idx="5">
                  <c:v>0</c:v>
                </c:pt>
              </c:numCache>
            </c:numRef>
          </c:val>
        </c:ser>
        <c:marker val="1"/>
        <c:axId val="311287808"/>
        <c:axId val="311289728"/>
      </c:lineChart>
      <c:catAx>
        <c:axId val="311287808"/>
        <c:scaling>
          <c:orientation val="minMax"/>
        </c:scaling>
        <c:axPos val="b"/>
        <c:numFmt formatCode="General" sourceLinked="1"/>
        <c:tickLblPos val="nextTo"/>
        <c:spPr>
          <a:ln w="3180">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s-ES"/>
          </a:p>
        </c:txPr>
        <c:crossAx val="311289728"/>
        <c:crosses val="autoZero"/>
        <c:auto val="1"/>
        <c:lblAlgn val="ctr"/>
        <c:lblOffset val="100"/>
        <c:tickLblSkip val="1"/>
        <c:tickMarkSkip val="1"/>
      </c:catAx>
      <c:valAx>
        <c:axId val="311289728"/>
        <c:scaling>
          <c:orientation val="minMax"/>
        </c:scaling>
        <c:axPos val="l"/>
        <c:majorGridlines>
          <c:spPr>
            <a:ln w="3180">
              <a:solidFill>
                <a:srgbClr val="000000"/>
              </a:solidFill>
              <a:prstDash val="solid"/>
            </a:ln>
          </c:spPr>
        </c:majorGridlines>
        <c:numFmt formatCode="#,##0.00" sourceLinked="1"/>
        <c:tickLblPos val="nextTo"/>
        <c:spPr>
          <a:ln w="3180">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s-ES"/>
          </a:p>
        </c:txPr>
        <c:crossAx val="311287808"/>
        <c:crosses val="autoZero"/>
        <c:crossBetween val="between"/>
      </c:valAx>
      <c:spPr>
        <a:solidFill>
          <a:srgbClr val="C0C0C0"/>
        </a:solidFill>
        <a:ln w="12721">
          <a:solidFill>
            <a:srgbClr val="808080"/>
          </a:solidFill>
          <a:prstDash val="solid"/>
        </a:ln>
      </c:spPr>
    </c:plotArea>
    <c:legend>
      <c:legendPos val="r"/>
      <c:layout>
        <c:manualLayout>
          <c:xMode val="edge"/>
          <c:yMode val="edge"/>
          <c:x val="0.75634517766497511"/>
          <c:y val="0.40930232558139534"/>
          <c:w val="0.23350253807106605"/>
          <c:h val="0.12558139534883722"/>
        </c:manualLayout>
      </c:layout>
      <c:spPr>
        <a:solidFill>
          <a:srgbClr val="FFFFFF"/>
        </a:solidFill>
        <a:ln w="3180">
          <a:solidFill>
            <a:srgbClr val="000000"/>
          </a:solidFill>
          <a:prstDash val="solid"/>
        </a:ln>
      </c:spPr>
      <c:txPr>
        <a:bodyPr/>
        <a:lstStyle/>
        <a:p>
          <a:pPr>
            <a:defRPr sz="50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80">
      <a:solidFill>
        <a:srgbClr val="000000"/>
      </a:solidFill>
      <a:prstDash val="solid"/>
    </a:ln>
  </c:spPr>
  <c:txPr>
    <a:bodyPr/>
    <a:lstStyle/>
    <a:p>
      <a:pPr>
        <a:defRPr sz="551"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0" u="none" strike="noStrike" baseline="0">
                <a:solidFill>
                  <a:srgbClr val="000000"/>
                </a:solidFill>
                <a:latin typeface="Arial"/>
                <a:ea typeface="Arial"/>
                <a:cs typeface="Arial"/>
              </a:defRPr>
            </a:pPr>
            <a:r>
              <a:t>BANCO PRODUBANCO CIA M.I.</a:t>
            </a:r>
          </a:p>
        </c:rich>
      </c:tx>
      <c:layout>
        <c:manualLayout>
          <c:xMode val="edge"/>
          <c:yMode val="edge"/>
          <c:x val="0.32983193277310935"/>
          <c:y val="1.928374655647383E-2"/>
        </c:manualLayout>
      </c:layout>
      <c:spPr>
        <a:noFill/>
        <a:ln w="25331">
          <a:noFill/>
        </a:ln>
      </c:spPr>
    </c:title>
    <c:plotArea>
      <c:layout>
        <c:manualLayout>
          <c:layoutTarget val="inner"/>
          <c:xMode val="edge"/>
          <c:yMode val="edge"/>
          <c:x val="0.14285714285714293"/>
          <c:y val="0.14600550964187328"/>
          <c:w val="0.65336134453781514"/>
          <c:h val="0.73002754820936644"/>
        </c:manualLayout>
      </c:layout>
      <c:barChart>
        <c:barDir val="col"/>
        <c:grouping val="clustered"/>
        <c:ser>
          <c:idx val="0"/>
          <c:order val="0"/>
          <c:tx>
            <c:v>Valor de conciliación</c:v>
          </c:tx>
          <c:spPr>
            <a:solidFill>
              <a:srgbClr val="9999FF"/>
            </a:solidFill>
            <a:ln w="12666">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general'!$D$12,'Cuadro general'!$G$12,'Cuadro general'!$J$12,'Cuadro general'!$M$12,'Cuadro general'!$P$12,'Cuadro general'!$S$12)</c:f>
              <c:numCache>
                <c:formatCode>#,##0.00</c:formatCode>
                <c:ptCount val="6"/>
                <c:pt idx="0">
                  <c:v>299418.81650000002</c:v>
                </c:pt>
                <c:pt idx="1">
                  <c:v>59062.332500000011</c:v>
                </c:pt>
                <c:pt idx="2">
                  <c:v>282536</c:v>
                </c:pt>
                <c:pt idx="3">
                  <c:v>313397.25269999995</c:v>
                </c:pt>
                <c:pt idx="4">
                  <c:v>67995</c:v>
                </c:pt>
                <c:pt idx="5">
                  <c:v>153305.49</c:v>
                </c:pt>
              </c:numCache>
            </c:numRef>
          </c:val>
        </c:ser>
        <c:ser>
          <c:idx val="1"/>
          <c:order val="1"/>
          <c:tx>
            <c:v>Valor de libros</c:v>
          </c:tx>
          <c:spPr>
            <a:solidFill>
              <a:srgbClr val="993366"/>
            </a:solidFill>
            <a:ln w="12666">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general'!$E$12,'Cuadro general'!$H$12,'Cuadro general'!$K$12,'Cuadro general'!$N$12,'Cuadro general'!$Q$12,'Cuadro general'!$T$12)</c:f>
              <c:numCache>
                <c:formatCode>#,##0.00</c:formatCode>
                <c:ptCount val="6"/>
                <c:pt idx="0">
                  <c:v>293418.81650000002</c:v>
                </c:pt>
                <c:pt idx="1">
                  <c:v>50134.302500000013</c:v>
                </c:pt>
                <c:pt idx="2">
                  <c:v>282433.51269999996</c:v>
                </c:pt>
                <c:pt idx="3">
                  <c:v>313337.25269999995</c:v>
                </c:pt>
                <c:pt idx="4">
                  <c:v>66994.100000000006</c:v>
                </c:pt>
                <c:pt idx="5">
                  <c:v>153305.49</c:v>
                </c:pt>
              </c:numCache>
            </c:numRef>
          </c:val>
        </c:ser>
        <c:axId val="311674752"/>
        <c:axId val="311775232"/>
      </c:barChart>
      <c:catAx>
        <c:axId val="311674752"/>
        <c:scaling>
          <c:orientation val="minMax"/>
        </c:scaling>
        <c:axPos val="b"/>
        <c:title>
          <c:tx>
            <c:rich>
              <a:bodyPr/>
              <a:lstStyle/>
              <a:p>
                <a:pPr>
                  <a:defRPr sz="524" b="1" i="0" u="none" strike="noStrike" baseline="0">
                    <a:solidFill>
                      <a:srgbClr val="000000"/>
                    </a:solidFill>
                    <a:latin typeface="Arial"/>
                    <a:ea typeface="Arial"/>
                    <a:cs typeface="Arial"/>
                  </a:defRPr>
                </a:pPr>
                <a:r>
                  <a:t>MESES </a:t>
                </a:r>
              </a:p>
            </c:rich>
          </c:tx>
          <c:layout>
            <c:manualLayout>
              <c:xMode val="edge"/>
              <c:yMode val="edge"/>
              <c:x val="0.43277310924369761"/>
              <c:y val="0.9283746556473832"/>
            </c:manualLayout>
          </c:layout>
          <c:spPr>
            <a:noFill/>
            <a:ln w="25331">
              <a:noFill/>
            </a:ln>
          </c:spPr>
        </c:title>
        <c:numFmt formatCode="General" sourceLinked="1"/>
        <c:tickLblPos val="nextTo"/>
        <c:spPr>
          <a:ln w="3166">
            <a:solidFill>
              <a:srgbClr val="000000"/>
            </a:solidFill>
            <a:prstDash val="solid"/>
          </a:ln>
        </c:spPr>
        <c:txPr>
          <a:bodyPr rot="0" vert="horz"/>
          <a:lstStyle/>
          <a:p>
            <a:pPr>
              <a:defRPr sz="524" b="0" i="0" u="none" strike="noStrike" baseline="0">
                <a:solidFill>
                  <a:srgbClr val="000000"/>
                </a:solidFill>
                <a:latin typeface="Arial"/>
                <a:ea typeface="Arial"/>
                <a:cs typeface="Arial"/>
              </a:defRPr>
            </a:pPr>
            <a:endParaRPr lang="es-ES"/>
          </a:p>
        </c:txPr>
        <c:crossAx val="311775232"/>
        <c:crosses val="autoZero"/>
        <c:auto val="1"/>
        <c:lblAlgn val="ctr"/>
        <c:lblOffset val="100"/>
        <c:tickLblSkip val="1"/>
        <c:tickMarkSkip val="1"/>
      </c:catAx>
      <c:valAx>
        <c:axId val="311775232"/>
        <c:scaling>
          <c:orientation val="minMax"/>
        </c:scaling>
        <c:axPos val="l"/>
        <c:majorGridlines>
          <c:spPr>
            <a:ln w="3166">
              <a:solidFill>
                <a:srgbClr val="000000"/>
              </a:solidFill>
              <a:prstDash val="solid"/>
            </a:ln>
          </c:spPr>
        </c:majorGridlines>
        <c:title>
          <c:tx>
            <c:rich>
              <a:bodyPr/>
              <a:lstStyle/>
              <a:p>
                <a:pPr>
                  <a:defRPr sz="524" b="1" i="0" u="none" strike="noStrike" baseline="0">
                    <a:solidFill>
                      <a:srgbClr val="000000"/>
                    </a:solidFill>
                    <a:latin typeface="Arial"/>
                    <a:ea typeface="Arial"/>
                    <a:cs typeface="Arial"/>
                  </a:defRPr>
                </a:pPr>
                <a:r>
                  <a:t>VALORE</a:t>
                </a:r>
              </a:p>
            </c:rich>
          </c:tx>
          <c:layout>
            <c:manualLayout>
              <c:xMode val="edge"/>
              <c:yMode val="edge"/>
              <c:x val="2.3109243697478996E-2"/>
              <c:y val="0.45730027548209384"/>
            </c:manualLayout>
          </c:layout>
          <c:spPr>
            <a:noFill/>
            <a:ln w="25331">
              <a:noFill/>
            </a:ln>
          </c:spPr>
        </c:title>
        <c:numFmt formatCode="#,##0.00" sourceLinked="1"/>
        <c:tickLblPos val="nextTo"/>
        <c:spPr>
          <a:ln w="3166">
            <a:solidFill>
              <a:srgbClr val="000000"/>
            </a:solidFill>
            <a:prstDash val="solid"/>
          </a:ln>
        </c:spPr>
        <c:txPr>
          <a:bodyPr rot="0" vert="horz"/>
          <a:lstStyle/>
          <a:p>
            <a:pPr>
              <a:defRPr sz="524" b="0" i="0" u="none" strike="noStrike" baseline="0">
                <a:solidFill>
                  <a:srgbClr val="000000"/>
                </a:solidFill>
                <a:latin typeface="Arial"/>
                <a:ea typeface="Arial"/>
                <a:cs typeface="Arial"/>
              </a:defRPr>
            </a:pPr>
            <a:endParaRPr lang="es-ES"/>
          </a:p>
        </c:txPr>
        <c:crossAx val="311674752"/>
        <c:crosses val="autoZero"/>
        <c:crossBetween val="between"/>
      </c:valAx>
      <c:spPr>
        <a:solidFill>
          <a:srgbClr val="C0C0C0"/>
        </a:solidFill>
        <a:ln w="12666">
          <a:solidFill>
            <a:srgbClr val="808080"/>
          </a:solidFill>
          <a:prstDash val="solid"/>
        </a:ln>
      </c:spPr>
    </c:plotArea>
    <c:legend>
      <c:legendPos val="r"/>
      <c:layout>
        <c:manualLayout>
          <c:xMode val="edge"/>
          <c:yMode val="edge"/>
          <c:x val="0.81932773109243673"/>
          <c:y val="0.4738292011019285"/>
          <c:w val="0.17226890756302526"/>
          <c:h val="7.4380165289256214E-2"/>
        </c:manualLayout>
      </c:layout>
      <c:spPr>
        <a:solidFill>
          <a:srgbClr val="FFFFFF"/>
        </a:solidFill>
        <a:ln w="3166">
          <a:solidFill>
            <a:srgbClr val="000000"/>
          </a:solidFill>
          <a:prstDash val="solid"/>
        </a:ln>
      </c:spPr>
      <c:txPr>
        <a:bodyPr/>
        <a:lstStyle/>
        <a:p>
          <a:pPr>
            <a:defRPr sz="479"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524"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121" b="1" i="0" u="none" strike="noStrike" baseline="0">
                <a:solidFill>
                  <a:srgbClr val="000000"/>
                </a:solidFill>
                <a:latin typeface="Arial"/>
                <a:ea typeface="Arial"/>
                <a:cs typeface="Arial"/>
              </a:defRPr>
            </a:pPr>
            <a:r>
              <a:t> PRODUBANCOS M.I.</a:t>
            </a:r>
          </a:p>
        </c:rich>
      </c:tx>
      <c:layout>
        <c:manualLayout>
          <c:xMode val="edge"/>
          <c:yMode val="edge"/>
          <c:x val="0.28840970350404332"/>
          <c:y val="2.2727272727272749E-2"/>
        </c:manualLayout>
      </c:layout>
      <c:spPr>
        <a:noFill/>
        <a:ln w="25307">
          <a:noFill/>
        </a:ln>
      </c:spPr>
    </c:title>
    <c:plotArea>
      <c:layout>
        <c:manualLayout>
          <c:layoutTarget val="inner"/>
          <c:xMode val="edge"/>
          <c:yMode val="edge"/>
          <c:x val="0.30727762803234515"/>
          <c:y val="0.44318181818181818"/>
          <c:w val="0.14824797843665771"/>
          <c:h val="0.31250000000000011"/>
        </c:manualLayout>
      </c:layout>
      <c:pieChart>
        <c:varyColors val="1"/>
        <c:ser>
          <c:idx val="0"/>
          <c:order val="0"/>
          <c:tx>
            <c:v>PORCENTAJES</c:v>
          </c:tx>
          <c:spPr>
            <a:solidFill>
              <a:srgbClr val="9999FF"/>
            </a:solidFill>
            <a:ln w="12653">
              <a:solidFill>
                <a:srgbClr val="000000"/>
              </a:solidFill>
              <a:prstDash val="solid"/>
            </a:ln>
          </c:spPr>
          <c:dPt>
            <c:idx val="1"/>
            <c:spPr>
              <a:solidFill>
                <a:srgbClr val="993366"/>
              </a:solidFill>
              <a:ln w="12653">
                <a:solidFill>
                  <a:srgbClr val="000000"/>
                </a:solidFill>
                <a:prstDash val="solid"/>
              </a:ln>
            </c:spPr>
          </c:dPt>
          <c:dPt>
            <c:idx val="2"/>
            <c:spPr>
              <a:solidFill>
                <a:srgbClr val="FFFFCC"/>
              </a:solidFill>
              <a:ln w="12653">
                <a:solidFill>
                  <a:srgbClr val="000000"/>
                </a:solidFill>
                <a:prstDash val="solid"/>
              </a:ln>
            </c:spPr>
          </c:dPt>
          <c:dPt>
            <c:idx val="3"/>
            <c:spPr>
              <a:solidFill>
                <a:srgbClr val="CCFFFF"/>
              </a:solidFill>
              <a:ln w="12653">
                <a:solidFill>
                  <a:srgbClr val="000000"/>
                </a:solidFill>
                <a:prstDash val="solid"/>
              </a:ln>
            </c:spPr>
          </c:dPt>
          <c:dPt>
            <c:idx val="4"/>
            <c:spPr>
              <a:solidFill>
                <a:srgbClr val="660066"/>
              </a:solidFill>
              <a:ln w="12653">
                <a:solidFill>
                  <a:srgbClr val="000000"/>
                </a:solidFill>
                <a:prstDash val="solid"/>
              </a:ln>
            </c:spPr>
          </c:dPt>
          <c:dPt>
            <c:idx val="5"/>
            <c:spPr>
              <a:solidFill>
                <a:srgbClr val="FF8080"/>
              </a:solidFill>
              <a:ln w="12653">
                <a:solidFill>
                  <a:srgbClr val="000000"/>
                </a:solidFill>
                <a:prstDash val="solid"/>
              </a:ln>
            </c:spPr>
          </c:dPt>
          <c:dLbls>
            <c:numFmt formatCode="0%" sourceLinked="0"/>
            <c:spPr>
              <a:noFill/>
              <a:ln w="25307">
                <a:noFill/>
              </a:ln>
            </c:spPr>
            <c:txPr>
              <a:bodyPr/>
              <a:lstStyle/>
              <a:p>
                <a:pPr>
                  <a:defRPr sz="947" b="0" i="0" u="none" strike="noStrike" baseline="0">
                    <a:solidFill>
                      <a:srgbClr val="000000"/>
                    </a:solidFill>
                    <a:latin typeface="Arial"/>
                    <a:ea typeface="Arial"/>
                    <a:cs typeface="Arial"/>
                  </a:defRPr>
                </a:pPr>
                <a:endParaRPr lang="es-ES"/>
              </a:p>
            </c:txPr>
            <c:showPercent val="1"/>
            <c:showLeaderLines val="1"/>
          </c:dLbls>
          <c:cat>
            <c:strRef>
              <c:f>('cuadro diferencia'!$C$5,'cuadro diferencia'!$E$5,'cuadro diferencia'!$G$5,'cuadro diferencia'!$I$5,'cuadro diferencia'!$K$5,'cuadro diferencia'!$M$5)</c:f>
              <c:strCache>
                <c:ptCount val="6"/>
                <c:pt idx="0">
                  <c:v>ENERO</c:v>
                </c:pt>
                <c:pt idx="1">
                  <c:v>FEBRERO</c:v>
                </c:pt>
                <c:pt idx="2">
                  <c:v>MARZO</c:v>
                </c:pt>
                <c:pt idx="3">
                  <c:v>ABRIL</c:v>
                </c:pt>
                <c:pt idx="4">
                  <c:v>MAYO</c:v>
                </c:pt>
                <c:pt idx="5">
                  <c:v>JUNIO</c:v>
                </c:pt>
              </c:strCache>
            </c:strRef>
          </c:cat>
          <c:val>
            <c:numRef>
              <c:f>('cuadro diferencia'!$D$12,'cuadro diferencia'!$F$12,'cuadro diferencia'!$H$12,'cuadro diferencia'!$J$12,'cuadro diferencia'!$L$12,'cuadro diferencia'!$N$12)</c:f>
              <c:numCache>
                <c:formatCode>0%</c:formatCode>
                <c:ptCount val="6"/>
                <c:pt idx="0">
                  <c:v>0.37286957936265913</c:v>
                </c:pt>
                <c:pt idx="1">
                  <c:v>0.55483179843953323</c:v>
                </c:pt>
                <c:pt idx="2">
                  <c:v>6.3690660734975072E-3</c:v>
                </c:pt>
                <c:pt idx="3">
                  <c:v>3.728695793630206E-3</c:v>
                </c:pt>
                <c:pt idx="4">
                  <c:v>6.2200860330680487E-2</c:v>
                </c:pt>
                <c:pt idx="5">
                  <c:v>0</c:v>
                </c:pt>
              </c:numCache>
            </c:numRef>
          </c:val>
        </c:ser>
        <c:dLbls>
          <c:showPercent val="1"/>
        </c:dLbls>
        <c:firstSliceAng val="0"/>
      </c:pieChart>
      <c:spPr>
        <a:noFill/>
        <a:ln w="25307">
          <a:noFill/>
        </a:ln>
      </c:spPr>
    </c:plotArea>
    <c:legend>
      <c:legendPos val="r"/>
      <c:layout>
        <c:manualLayout>
          <c:xMode val="edge"/>
          <c:yMode val="edge"/>
          <c:x val="0.7654986522911057"/>
          <c:y val="0.23863636363636373"/>
          <c:w val="0.22371967654986524"/>
          <c:h val="0.72159090909090906"/>
        </c:manualLayout>
      </c:layout>
      <c:spPr>
        <a:solidFill>
          <a:srgbClr val="FFFFFF"/>
        </a:solidFill>
        <a:ln w="3163">
          <a:solidFill>
            <a:srgbClr val="000000"/>
          </a:solidFill>
          <a:prstDash val="solid"/>
        </a:ln>
      </c:spPr>
      <c:txPr>
        <a:bodyPr/>
        <a:lstStyle/>
        <a:p>
          <a:pPr>
            <a:defRPr sz="867"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63">
      <a:solidFill>
        <a:srgbClr val="000000"/>
      </a:solidFill>
      <a:prstDash val="solid"/>
    </a:ln>
  </c:spPr>
  <c:txPr>
    <a:bodyPr/>
    <a:lstStyle/>
    <a:p>
      <a:pPr>
        <a:defRPr sz="947"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BANCO PRODUFONDOS CIA M.I. </a:t>
            </a:r>
          </a:p>
        </c:rich>
      </c:tx>
      <c:layout>
        <c:manualLayout>
          <c:xMode val="edge"/>
          <c:yMode val="edge"/>
          <c:x val="0.34086629001883251"/>
          <c:y val="1.8970189701897028E-2"/>
        </c:manualLayout>
      </c:layout>
      <c:spPr>
        <a:noFill/>
        <a:ln w="25353">
          <a:noFill/>
        </a:ln>
      </c:spPr>
    </c:title>
    <c:plotArea>
      <c:layout>
        <c:manualLayout>
          <c:layoutTarget val="inner"/>
          <c:xMode val="edge"/>
          <c:yMode val="edge"/>
          <c:x val="0.15819209039548032"/>
          <c:y val="0.15176151761517614"/>
          <c:w val="0.59133709981167559"/>
          <c:h val="0.68834688346883488"/>
        </c:manualLayout>
      </c:layout>
      <c:barChart>
        <c:barDir val="col"/>
        <c:grouping val="clustered"/>
        <c:ser>
          <c:idx val="0"/>
          <c:order val="0"/>
          <c:tx>
            <c:v>Valor de conciliacion</c:v>
          </c:tx>
          <c:spPr>
            <a:solidFill>
              <a:srgbClr val="9999FF"/>
            </a:solidFill>
            <a:ln w="12676">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general'!$D$13,'Cuadro general'!$G$13,'Cuadro general'!$J$13,'Cuadro general'!$M$13,'Cuadro general'!$P$13,'Cuadro general'!$S$13)</c:f>
              <c:numCache>
                <c:formatCode>#,##0.00</c:formatCode>
                <c:ptCount val="6"/>
                <c:pt idx="0">
                  <c:v>4990</c:v>
                </c:pt>
                <c:pt idx="1">
                  <c:v>5050</c:v>
                </c:pt>
                <c:pt idx="2">
                  <c:v>5099.0600000000004</c:v>
                </c:pt>
                <c:pt idx="3">
                  <c:v>5100</c:v>
                </c:pt>
                <c:pt idx="4">
                  <c:v>100</c:v>
                </c:pt>
                <c:pt idx="5">
                  <c:v>83.22</c:v>
                </c:pt>
              </c:numCache>
            </c:numRef>
          </c:val>
        </c:ser>
        <c:ser>
          <c:idx val="1"/>
          <c:order val="1"/>
          <c:tx>
            <c:v>Valor de libros</c:v>
          </c:tx>
          <c:spPr>
            <a:solidFill>
              <a:srgbClr val="993366"/>
            </a:solidFill>
            <a:ln w="12676">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general'!$E$13,'Cuadro general'!$H$13,'Cuadro general'!$K$13,'Cuadro general'!$N$13,'Cuadro general'!$Q$13,'Cuadro general'!$T$13)</c:f>
              <c:numCache>
                <c:formatCode>#,##0.00</c:formatCode>
                <c:ptCount val="6"/>
                <c:pt idx="0">
                  <c:v>4982.51</c:v>
                </c:pt>
                <c:pt idx="1">
                  <c:v>4999.0600000000004</c:v>
                </c:pt>
                <c:pt idx="2">
                  <c:v>4999.0600000000004</c:v>
                </c:pt>
                <c:pt idx="3">
                  <c:v>5049.59</c:v>
                </c:pt>
                <c:pt idx="4">
                  <c:v>66.42</c:v>
                </c:pt>
                <c:pt idx="5">
                  <c:v>83.22</c:v>
                </c:pt>
              </c:numCache>
            </c:numRef>
          </c:val>
        </c:ser>
        <c:axId val="312095872"/>
        <c:axId val="312097792"/>
      </c:barChart>
      <c:catAx>
        <c:axId val="312095872"/>
        <c:scaling>
          <c:orientation val="minMax"/>
        </c:scaling>
        <c:axPos val="b"/>
        <c:title>
          <c:tx>
            <c:rich>
              <a:bodyPr/>
              <a:lstStyle/>
              <a:p>
                <a:pPr>
                  <a:defRPr sz="799" b="1" i="0" u="none" strike="noStrike" baseline="0">
                    <a:solidFill>
                      <a:srgbClr val="000000"/>
                    </a:solidFill>
                    <a:latin typeface="Arial"/>
                    <a:ea typeface="Arial"/>
                    <a:cs typeface="Arial"/>
                  </a:defRPr>
                </a:pPr>
                <a:r>
                  <a:t>MESES</a:t>
                </a:r>
              </a:p>
            </c:rich>
          </c:tx>
          <c:layout>
            <c:manualLayout>
              <c:xMode val="edge"/>
              <c:yMode val="edge"/>
              <c:x val="0.41619585687382299"/>
              <c:y val="0.91327913279132789"/>
            </c:manualLayout>
          </c:layout>
          <c:spPr>
            <a:noFill/>
            <a:ln w="25353">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12097792"/>
        <c:crosses val="autoZero"/>
        <c:auto val="1"/>
        <c:lblAlgn val="ctr"/>
        <c:lblOffset val="100"/>
        <c:tickLblSkip val="1"/>
        <c:tickMarkSkip val="1"/>
      </c:catAx>
      <c:valAx>
        <c:axId val="312097792"/>
        <c:scaling>
          <c:orientation val="minMax"/>
          <c:max val="6000"/>
        </c:scaling>
        <c:axPos val="l"/>
        <c:majorGridlines>
          <c:spPr>
            <a:ln w="3169">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VALORES</a:t>
                </a:r>
              </a:p>
            </c:rich>
          </c:tx>
          <c:layout>
            <c:manualLayout>
              <c:xMode val="edge"/>
              <c:yMode val="edge"/>
              <c:x val="2.0715630885122412E-2"/>
              <c:y val="0.42276422764227656"/>
            </c:manualLayout>
          </c:layout>
          <c:spPr>
            <a:noFill/>
            <a:ln w="25353">
              <a:noFill/>
            </a:ln>
          </c:spPr>
        </c:title>
        <c:numFmt formatCode="#,##0.00"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12095872"/>
        <c:crosses val="autoZero"/>
        <c:crossBetween val="between"/>
      </c:valAx>
      <c:spPr>
        <a:solidFill>
          <a:srgbClr val="C0C0C0"/>
        </a:solidFill>
        <a:ln w="12676">
          <a:solidFill>
            <a:srgbClr val="808080"/>
          </a:solidFill>
          <a:prstDash val="solid"/>
        </a:ln>
      </c:spPr>
    </c:plotArea>
    <c:legend>
      <c:legendPos val="r"/>
      <c:layout>
        <c:manualLayout>
          <c:xMode val="edge"/>
          <c:yMode val="edge"/>
          <c:x val="0.77024482109227899"/>
          <c:y val="0.44444444444444442"/>
          <c:w val="0.22222222222222221"/>
          <c:h val="0.10569105691056917"/>
        </c:manualLayout>
      </c:layout>
      <c:spPr>
        <a:solidFill>
          <a:srgbClr val="FFFFFF"/>
        </a:solidFill>
        <a:ln w="3169">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 PRODUFONDOS M.I.</a:t>
            </a:r>
          </a:p>
        </c:rich>
      </c:tx>
      <c:layout>
        <c:manualLayout>
          <c:xMode val="edge"/>
          <c:yMode val="edge"/>
          <c:x val="0.29032258064516142"/>
          <c:y val="2.2598870056497182E-2"/>
        </c:manualLayout>
      </c:layout>
      <c:spPr>
        <a:noFill/>
        <a:ln w="23199">
          <a:noFill/>
        </a:ln>
      </c:spPr>
    </c:title>
    <c:plotArea>
      <c:layout>
        <c:manualLayout>
          <c:layoutTarget val="inner"/>
          <c:xMode val="edge"/>
          <c:yMode val="edge"/>
          <c:x val="0.30645161290322581"/>
          <c:y val="0.44067796610169491"/>
          <c:w val="0.15053763440860221"/>
          <c:h val="0.31638418079096076"/>
        </c:manualLayout>
      </c:layout>
      <c:pieChart>
        <c:varyColors val="1"/>
        <c:ser>
          <c:idx val="0"/>
          <c:order val="0"/>
          <c:tx>
            <c:v>PORCENTAJES</c:v>
          </c:tx>
          <c:spPr>
            <a:solidFill>
              <a:srgbClr val="9999FF"/>
            </a:solidFill>
            <a:ln w="11599">
              <a:solidFill>
                <a:srgbClr val="000000"/>
              </a:solidFill>
              <a:prstDash val="solid"/>
            </a:ln>
          </c:spPr>
          <c:dPt>
            <c:idx val="1"/>
            <c:spPr>
              <a:solidFill>
                <a:srgbClr val="993366"/>
              </a:solidFill>
              <a:ln w="11599">
                <a:solidFill>
                  <a:srgbClr val="000000"/>
                </a:solidFill>
                <a:prstDash val="solid"/>
              </a:ln>
            </c:spPr>
          </c:dPt>
          <c:dPt>
            <c:idx val="2"/>
            <c:spPr>
              <a:solidFill>
                <a:srgbClr val="FFFFCC"/>
              </a:solidFill>
              <a:ln w="11599">
                <a:solidFill>
                  <a:srgbClr val="000000"/>
                </a:solidFill>
                <a:prstDash val="solid"/>
              </a:ln>
            </c:spPr>
          </c:dPt>
          <c:dPt>
            <c:idx val="3"/>
            <c:spPr>
              <a:solidFill>
                <a:srgbClr val="CCFFFF"/>
              </a:solidFill>
              <a:ln w="11599">
                <a:solidFill>
                  <a:srgbClr val="000000"/>
                </a:solidFill>
                <a:prstDash val="solid"/>
              </a:ln>
            </c:spPr>
          </c:dPt>
          <c:dPt>
            <c:idx val="4"/>
            <c:spPr>
              <a:solidFill>
                <a:srgbClr val="660066"/>
              </a:solidFill>
              <a:ln w="11599">
                <a:solidFill>
                  <a:srgbClr val="000000"/>
                </a:solidFill>
                <a:prstDash val="solid"/>
              </a:ln>
            </c:spPr>
          </c:dPt>
          <c:dPt>
            <c:idx val="5"/>
            <c:spPr>
              <a:solidFill>
                <a:srgbClr val="FF8080"/>
              </a:solidFill>
              <a:ln w="11599">
                <a:solidFill>
                  <a:srgbClr val="000000"/>
                </a:solidFill>
                <a:prstDash val="solid"/>
              </a:ln>
            </c:spPr>
          </c:dPt>
          <c:dLbls>
            <c:numFmt formatCode="0%" sourceLinked="0"/>
            <c:spPr>
              <a:noFill/>
              <a:ln w="23199">
                <a:noFill/>
              </a:ln>
            </c:spPr>
            <c:txPr>
              <a:bodyPr/>
              <a:lstStyle/>
              <a:p>
                <a:pPr>
                  <a:defRPr sz="868" b="0" i="0" u="none" strike="noStrike" baseline="0">
                    <a:solidFill>
                      <a:srgbClr val="000000"/>
                    </a:solidFill>
                    <a:latin typeface="Arial"/>
                    <a:ea typeface="Arial"/>
                    <a:cs typeface="Arial"/>
                  </a:defRPr>
                </a:pPr>
                <a:endParaRPr lang="es-ES"/>
              </a:p>
            </c:txPr>
            <c:showPercent val="1"/>
            <c:showLeaderLines val="1"/>
          </c:dLbls>
          <c:cat>
            <c:strRef>
              <c:f>('cuadro diferencia'!$C$5,'cuadro diferencia'!$E$5,'cuadro diferencia'!$G$5,'cuadro diferencia'!$I$5,'cuadro diferencia'!$K$5,'cuadro diferencia'!$M$5)</c:f>
              <c:strCache>
                <c:ptCount val="6"/>
                <c:pt idx="0">
                  <c:v>ENERO</c:v>
                </c:pt>
                <c:pt idx="1">
                  <c:v>FEBRERO</c:v>
                </c:pt>
                <c:pt idx="2">
                  <c:v>MARZO</c:v>
                </c:pt>
                <c:pt idx="3">
                  <c:v>ABRIL</c:v>
                </c:pt>
                <c:pt idx="4">
                  <c:v>MAYO</c:v>
                </c:pt>
                <c:pt idx="5">
                  <c:v>JUNIO</c:v>
                </c:pt>
              </c:strCache>
            </c:strRef>
          </c:cat>
          <c:val>
            <c:numRef>
              <c:f>('cuadro diferencia'!$D$13,'cuadro diferencia'!$F$13,'cuadro diferencia'!$H$13,'cuadro diferencia'!$J$13,'cuadro diferencia'!$L$13,'cuadro diferencia'!$N$13)</c:f>
              <c:numCache>
                <c:formatCode>0%</c:formatCode>
                <c:ptCount val="6"/>
                <c:pt idx="0">
                  <c:v>3.0896790693836346E-2</c:v>
                </c:pt>
                <c:pt idx="1">
                  <c:v>0.21013117729560168</c:v>
                </c:pt>
                <c:pt idx="2">
                  <c:v>0.41250721887633163</c:v>
                </c:pt>
                <c:pt idx="3">
                  <c:v>0.20794488903555824</c:v>
                </c:pt>
                <c:pt idx="4">
                  <c:v>0.1385199240986722</c:v>
                </c:pt>
                <c:pt idx="5">
                  <c:v>0</c:v>
                </c:pt>
              </c:numCache>
            </c:numRef>
          </c:val>
        </c:ser>
        <c:dLbls>
          <c:showPercent val="1"/>
        </c:dLbls>
        <c:firstSliceAng val="0"/>
      </c:pieChart>
      <c:spPr>
        <a:noFill/>
        <a:ln w="23199">
          <a:noFill/>
        </a:ln>
      </c:spPr>
    </c:plotArea>
    <c:legend>
      <c:legendPos val="r"/>
      <c:layout>
        <c:manualLayout>
          <c:xMode val="edge"/>
          <c:yMode val="edge"/>
          <c:x val="0.76612903225806506"/>
          <c:y val="0.23728813559322048"/>
          <c:w val="0.22311827956989252"/>
          <c:h val="0.71751412429378558"/>
        </c:manualLayout>
      </c:layout>
      <c:spPr>
        <a:solidFill>
          <a:srgbClr val="FFFFFF"/>
        </a:solidFill>
        <a:ln w="2900">
          <a:solidFill>
            <a:srgbClr val="000000"/>
          </a:solidFill>
          <a:prstDash val="solid"/>
        </a:ln>
      </c:spPr>
      <c:txPr>
        <a:bodyPr/>
        <a:lstStyle/>
        <a:p>
          <a:pPr>
            <a:defRPr sz="79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2900">
      <a:solidFill>
        <a:srgbClr val="000000"/>
      </a:solidFill>
      <a:prstDash val="solid"/>
    </a:ln>
  </c:spPr>
  <c:txPr>
    <a:bodyPr/>
    <a:lstStyle/>
    <a:p>
      <a:pPr>
        <a:defRPr sz="868"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868686868686866"/>
          <c:y val="8.0952380952380998E-2"/>
          <c:w val="0.61616161616161635"/>
          <c:h val="0.78095238095238051"/>
        </c:manualLayout>
      </c:layout>
      <c:lineChart>
        <c:grouping val="standard"/>
        <c:ser>
          <c:idx val="0"/>
          <c:order val="0"/>
          <c:tx>
            <c:strRef>
              <c:f>M.I.!$B$2:$B$3</c:f>
              <c:strCache>
                <c:ptCount val="1"/>
                <c:pt idx="0">
                  <c:v>M.I. Produbanco</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M.I.!$A$4:$A$9</c:f>
              <c:strCache>
                <c:ptCount val="6"/>
                <c:pt idx="0">
                  <c:v>ENERO</c:v>
                </c:pt>
                <c:pt idx="1">
                  <c:v>FEBRERO</c:v>
                </c:pt>
                <c:pt idx="2">
                  <c:v>MARZO</c:v>
                </c:pt>
                <c:pt idx="3">
                  <c:v>ABRIL</c:v>
                </c:pt>
                <c:pt idx="4">
                  <c:v>MAYO</c:v>
                </c:pt>
                <c:pt idx="5">
                  <c:v>JUNIO</c:v>
                </c:pt>
              </c:strCache>
            </c:strRef>
          </c:cat>
          <c:val>
            <c:numRef>
              <c:f>M.I.!$B$4:$B$9</c:f>
              <c:numCache>
                <c:formatCode>#,##0.00</c:formatCode>
                <c:ptCount val="6"/>
                <c:pt idx="0">
                  <c:v>6000</c:v>
                </c:pt>
                <c:pt idx="1">
                  <c:v>8928.0300000000007</c:v>
                </c:pt>
                <c:pt idx="2" formatCode="0.00">
                  <c:v>102.48729999992071</c:v>
                </c:pt>
                <c:pt idx="3">
                  <c:v>60.000000000058208</c:v>
                </c:pt>
                <c:pt idx="4">
                  <c:v>1000.8999999999942</c:v>
                </c:pt>
                <c:pt idx="5">
                  <c:v>0</c:v>
                </c:pt>
              </c:numCache>
            </c:numRef>
          </c:val>
        </c:ser>
        <c:ser>
          <c:idx val="1"/>
          <c:order val="1"/>
          <c:tx>
            <c:strRef>
              <c:f>M.I.!$C$2:$C$3</c:f>
              <c:strCache>
                <c:ptCount val="1"/>
                <c:pt idx="0">
                  <c:v>M.I. Produfondos</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M.I.!$A$4:$A$9</c:f>
              <c:strCache>
                <c:ptCount val="6"/>
                <c:pt idx="0">
                  <c:v>ENERO</c:v>
                </c:pt>
                <c:pt idx="1">
                  <c:v>FEBRERO</c:v>
                </c:pt>
                <c:pt idx="2">
                  <c:v>MARZO</c:v>
                </c:pt>
                <c:pt idx="3">
                  <c:v>ABRIL</c:v>
                </c:pt>
                <c:pt idx="4">
                  <c:v>MAYO</c:v>
                </c:pt>
                <c:pt idx="5">
                  <c:v>JUNIO</c:v>
                </c:pt>
              </c:strCache>
            </c:strRef>
          </c:cat>
          <c:val>
            <c:numRef>
              <c:f>M.I.!$C$4:$C$9</c:f>
              <c:numCache>
                <c:formatCode>#,##0.00</c:formatCode>
                <c:ptCount val="6"/>
                <c:pt idx="0">
                  <c:v>7.4899999999997835</c:v>
                </c:pt>
                <c:pt idx="1">
                  <c:v>50.9399999999996</c:v>
                </c:pt>
                <c:pt idx="2" formatCode="General">
                  <c:v>100</c:v>
                </c:pt>
                <c:pt idx="3">
                  <c:v>50.409999999999862</c:v>
                </c:pt>
                <c:pt idx="4">
                  <c:v>33.58</c:v>
                </c:pt>
                <c:pt idx="5">
                  <c:v>0</c:v>
                </c:pt>
              </c:numCache>
            </c:numRef>
          </c:val>
        </c:ser>
        <c:marker val="1"/>
        <c:axId val="312307712"/>
        <c:axId val="312309632"/>
      </c:lineChart>
      <c:catAx>
        <c:axId val="312307712"/>
        <c:scaling>
          <c:orientation val="minMax"/>
        </c:scaling>
        <c:axPos val="b"/>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312309632"/>
        <c:crosses val="autoZero"/>
        <c:auto val="1"/>
        <c:lblAlgn val="ctr"/>
        <c:lblOffset val="100"/>
        <c:tickLblSkip val="1"/>
        <c:tickMarkSkip val="1"/>
      </c:catAx>
      <c:valAx>
        <c:axId val="312309632"/>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312307712"/>
        <c:crosses val="autoZero"/>
        <c:crossBetween val="between"/>
      </c:valAx>
      <c:spPr>
        <a:solidFill>
          <a:srgbClr val="C0C0C0"/>
        </a:solidFill>
        <a:ln w="12700">
          <a:solidFill>
            <a:srgbClr val="808080"/>
          </a:solidFill>
          <a:prstDash val="solid"/>
        </a:ln>
      </c:spPr>
    </c:plotArea>
    <c:legend>
      <c:legendPos val="r"/>
      <c:layout>
        <c:manualLayout>
          <c:xMode val="edge"/>
          <c:yMode val="edge"/>
          <c:x val="0.76262626262626265"/>
          <c:y val="0.40952380952380962"/>
          <c:w val="0.22727272727272727"/>
          <c:h val="0.12857142857142861"/>
        </c:manualLayout>
      </c:layout>
      <c:spPr>
        <a:solidFill>
          <a:srgbClr val="FFFFFF"/>
        </a:solidFill>
        <a:ln w="3175">
          <a:solidFill>
            <a:srgbClr val="000000"/>
          </a:solidFill>
          <a:prstDash val="solid"/>
        </a:ln>
      </c:spPr>
      <c:txPr>
        <a:bodyPr/>
        <a:lstStyle/>
        <a:p>
          <a:pPr>
            <a:defRPr sz="50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t>BANCO PRODUBANCO-CIA F.A.</a:t>
            </a:r>
          </a:p>
        </c:rich>
      </c:tx>
      <c:layout>
        <c:manualLayout>
          <c:xMode val="edge"/>
          <c:yMode val="edge"/>
          <c:x val="0.33011583011583023"/>
          <c:y val="2.0408163265306131E-2"/>
        </c:manualLayout>
      </c:layout>
      <c:spPr>
        <a:noFill/>
        <a:ln w="25400">
          <a:noFill/>
        </a:ln>
      </c:spPr>
    </c:title>
    <c:plotArea>
      <c:layout>
        <c:manualLayout>
          <c:layoutTarget val="inner"/>
          <c:xMode val="edge"/>
          <c:yMode val="edge"/>
          <c:x val="0.17374517374517381"/>
          <c:y val="0.17784256559766773"/>
          <c:w val="0.58880308880308863"/>
          <c:h val="0.58309037900874638"/>
        </c:manualLayout>
      </c:layout>
      <c:barChart>
        <c:barDir val="col"/>
        <c:grouping val="clustered"/>
        <c:ser>
          <c:idx val="0"/>
          <c:order val="0"/>
          <c:tx>
            <c:v>VALOR DE LA CONCILIACION</c:v>
          </c:tx>
          <c:spPr>
            <a:solidFill>
              <a:srgbClr val="9999FF"/>
            </a:solidFill>
            <a:ln w="12700">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general'!$D$14,'Cuadro general'!$G$14,'Cuadro general'!$J$14,'Cuadro general'!$M$14,'Cuadro general'!$P$14,'Cuadro general'!$S$14)</c:f>
              <c:numCache>
                <c:formatCode>#,##0.00</c:formatCode>
                <c:ptCount val="6"/>
                <c:pt idx="0">
                  <c:v>349381.62119999999</c:v>
                </c:pt>
                <c:pt idx="1">
                  <c:v>593419.09120000002</c:v>
                </c:pt>
                <c:pt idx="2">
                  <c:v>535965.42319999996</c:v>
                </c:pt>
                <c:pt idx="3">
                  <c:v>93449.773200000011</c:v>
                </c:pt>
                <c:pt idx="4">
                  <c:v>547066.06999999972</c:v>
                </c:pt>
                <c:pt idx="5">
                  <c:v>325587.43000000011</c:v>
                </c:pt>
              </c:numCache>
            </c:numRef>
          </c:val>
        </c:ser>
        <c:ser>
          <c:idx val="1"/>
          <c:order val="1"/>
          <c:tx>
            <c:v>VALOR EN LIBROS</c:v>
          </c:tx>
          <c:spPr>
            <a:solidFill>
              <a:srgbClr val="993366"/>
            </a:solidFill>
            <a:ln w="12700">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general'!$E$14,'Cuadro general'!$H$14,'Cuadro general'!$K$14,'Cuadro general'!$N$14,'Cuadro general'!$Q$14,'Cuadro general'!$T$14)</c:f>
              <c:numCache>
                <c:formatCode>#,##0.00</c:formatCode>
                <c:ptCount val="6"/>
                <c:pt idx="0">
                  <c:v>349178.57120000001</c:v>
                </c:pt>
                <c:pt idx="1">
                  <c:v>593415.04119999998</c:v>
                </c:pt>
                <c:pt idx="2">
                  <c:v>535962.37319999968</c:v>
                </c:pt>
                <c:pt idx="3">
                  <c:v>93446.723199999993</c:v>
                </c:pt>
                <c:pt idx="4">
                  <c:v>547016.06999999972</c:v>
                </c:pt>
                <c:pt idx="5">
                  <c:v>325587.43000000011</c:v>
                </c:pt>
              </c:numCache>
            </c:numRef>
          </c:val>
        </c:ser>
        <c:axId val="312387456"/>
        <c:axId val="312737792"/>
      </c:barChart>
      <c:catAx>
        <c:axId val="312387456"/>
        <c:scaling>
          <c:orientation val="minMax"/>
        </c:scaling>
        <c:axPos val="b"/>
        <c:title>
          <c:tx>
            <c:rich>
              <a:bodyPr/>
              <a:lstStyle/>
              <a:p>
                <a:pPr>
                  <a:defRPr sz="800" b="1" i="0" u="none" strike="noStrike" baseline="0">
                    <a:solidFill>
                      <a:srgbClr val="000000"/>
                    </a:solidFill>
                    <a:latin typeface="Arial"/>
                    <a:ea typeface="Arial"/>
                    <a:cs typeface="Arial"/>
                  </a:defRPr>
                </a:pPr>
                <a:r>
                  <a:t>MESES</a:t>
                </a:r>
              </a:p>
            </c:rich>
          </c:tx>
          <c:layout>
            <c:manualLayout>
              <c:xMode val="edge"/>
              <c:yMode val="edge"/>
              <c:x val="0.42857142857142855"/>
              <c:y val="0.92419825072886319"/>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s-ES"/>
          </a:p>
        </c:txPr>
        <c:crossAx val="312737792"/>
        <c:crosses val="autoZero"/>
        <c:auto val="1"/>
        <c:lblAlgn val="ctr"/>
        <c:lblOffset val="100"/>
        <c:tickLblSkip val="1"/>
        <c:tickMarkSkip val="1"/>
      </c:catAx>
      <c:valAx>
        <c:axId val="312737792"/>
        <c:scaling>
          <c:orientation val="minMax"/>
          <c:max val="65000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DOLARES</a:t>
                </a:r>
              </a:p>
            </c:rich>
          </c:tx>
          <c:layout>
            <c:manualLayout>
              <c:xMode val="edge"/>
              <c:yMode val="edge"/>
              <c:x val="9.6525096525096627E-3"/>
              <c:y val="0.39067055393586037"/>
            </c:manualLayout>
          </c:layout>
          <c:spPr>
            <a:noFill/>
            <a:ln w="25400">
              <a:noFill/>
            </a:ln>
          </c:spPr>
        </c:title>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12387456"/>
        <c:crosses val="autoZero"/>
        <c:crossBetween val="between"/>
        <c:majorUnit val="50000"/>
        <c:minorUnit val="10000"/>
      </c:valAx>
      <c:spPr>
        <a:solidFill>
          <a:srgbClr val="C0C0C0"/>
        </a:solidFill>
        <a:ln w="12700">
          <a:solidFill>
            <a:srgbClr val="808080"/>
          </a:solidFill>
          <a:prstDash val="solid"/>
        </a:ln>
      </c:spPr>
    </c:plotArea>
    <c:legend>
      <c:legendPos val="r"/>
      <c:layout>
        <c:manualLayout>
          <c:xMode val="edge"/>
          <c:yMode val="edge"/>
          <c:x val="0.67760617760617814"/>
          <c:y val="0.38775510204081631"/>
          <c:w val="0.31274131274131273"/>
          <c:h val="0.11370262390670557"/>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 PRODUBANCOS F.A.</a:t>
            </a:r>
          </a:p>
        </c:rich>
      </c:tx>
      <c:layout>
        <c:manualLayout>
          <c:xMode val="edge"/>
          <c:yMode val="edge"/>
          <c:x val="0.29032258064516142"/>
          <c:y val="2.2598870056497182E-2"/>
        </c:manualLayout>
      </c:layout>
      <c:spPr>
        <a:noFill/>
        <a:ln w="23199">
          <a:noFill/>
        </a:ln>
      </c:spPr>
    </c:title>
    <c:plotArea>
      <c:layout>
        <c:manualLayout>
          <c:layoutTarget val="inner"/>
          <c:xMode val="edge"/>
          <c:yMode val="edge"/>
          <c:x val="0.30645161290322581"/>
          <c:y val="0.44067796610169491"/>
          <c:w val="0.15053763440860221"/>
          <c:h val="0.31638418079096076"/>
        </c:manualLayout>
      </c:layout>
      <c:pieChart>
        <c:varyColors val="1"/>
        <c:ser>
          <c:idx val="0"/>
          <c:order val="0"/>
          <c:tx>
            <c:v>PORCENTAJES</c:v>
          </c:tx>
          <c:spPr>
            <a:solidFill>
              <a:srgbClr val="9999FF"/>
            </a:solidFill>
            <a:ln w="11599">
              <a:solidFill>
                <a:srgbClr val="000000"/>
              </a:solidFill>
              <a:prstDash val="solid"/>
            </a:ln>
          </c:spPr>
          <c:dPt>
            <c:idx val="1"/>
            <c:spPr>
              <a:solidFill>
                <a:srgbClr val="993366"/>
              </a:solidFill>
              <a:ln w="11599">
                <a:solidFill>
                  <a:srgbClr val="000000"/>
                </a:solidFill>
                <a:prstDash val="solid"/>
              </a:ln>
            </c:spPr>
          </c:dPt>
          <c:dPt>
            <c:idx val="2"/>
            <c:spPr>
              <a:solidFill>
                <a:srgbClr val="FFFFCC"/>
              </a:solidFill>
              <a:ln w="11599">
                <a:solidFill>
                  <a:srgbClr val="000000"/>
                </a:solidFill>
                <a:prstDash val="solid"/>
              </a:ln>
            </c:spPr>
          </c:dPt>
          <c:dPt>
            <c:idx val="3"/>
            <c:spPr>
              <a:solidFill>
                <a:srgbClr val="CCFFFF"/>
              </a:solidFill>
              <a:ln w="11599">
                <a:solidFill>
                  <a:srgbClr val="000000"/>
                </a:solidFill>
                <a:prstDash val="solid"/>
              </a:ln>
            </c:spPr>
          </c:dPt>
          <c:dPt>
            <c:idx val="4"/>
            <c:spPr>
              <a:solidFill>
                <a:srgbClr val="660066"/>
              </a:solidFill>
              <a:ln w="11599">
                <a:solidFill>
                  <a:srgbClr val="000000"/>
                </a:solidFill>
                <a:prstDash val="solid"/>
              </a:ln>
            </c:spPr>
          </c:dPt>
          <c:dPt>
            <c:idx val="5"/>
            <c:spPr>
              <a:solidFill>
                <a:srgbClr val="FF8080"/>
              </a:solidFill>
              <a:ln w="11599">
                <a:solidFill>
                  <a:srgbClr val="000000"/>
                </a:solidFill>
                <a:prstDash val="solid"/>
              </a:ln>
            </c:spPr>
          </c:dPt>
          <c:dLbls>
            <c:numFmt formatCode="0%" sourceLinked="0"/>
            <c:spPr>
              <a:noFill/>
              <a:ln w="23199">
                <a:noFill/>
              </a:ln>
            </c:spPr>
            <c:txPr>
              <a:bodyPr/>
              <a:lstStyle/>
              <a:p>
                <a:pPr>
                  <a:defRPr sz="868" b="0" i="0" u="none" strike="noStrike" baseline="0">
                    <a:solidFill>
                      <a:srgbClr val="000000"/>
                    </a:solidFill>
                    <a:latin typeface="Arial"/>
                    <a:ea typeface="Arial"/>
                    <a:cs typeface="Arial"/>
                  </a:defRPr>
                </a:pPr>
                <a:endParaRPr lang="es-ES"/>
              </a:p>
            </c:txPr>
            <c:showPercent val="1"/>
            <c:showLeaderLines val="1"/>
          </c:dLbls>
          <c:cat>
            <c:strRef>
              <c:f>('cuadro diferencia'!$C$5,'cuadro diferencia'!$E$5,'cuadro diferencia'!$G$5,'cuadro diferencia'!$I$5,'cuadro diferencia'!$K$5,'cuadro diferencia'!$M$5)</c:f>
              <c:strCache>
                <c:ptCount val="6"/>
                <c:pt idx="0">
                  <c:v>ENERO</c:v>
                </c:pt>
                <c:pt idx="1">
                  <c:v>FEBRERO</c:v>
                </c:pt>
                <c:pt idx="2">
                  <c:v>MARZO</c:v>
                </c:pt>
                <c:pt idx="3">
                  <c:v>ABRIL</c:v>
                </c:pt>
                <c:pt idx="4">
                  <c:v>MAYO</c:v>
                </c:pt>
                <c:pt idx="5">
                  <c:v>JUNIO</c:v>
                </c:pt>
              </c:strCache>
            </c:strRef>
          </c:cat>
          <c:val>
            <c:numRef>
              <c:f>('cuadro diferencia'!$D$14,'cuadro diferencia'!$F$14,'cuadro diferencia'!$H$14,'cuadro diferencia'!$J$14,'cuadro diferencia'!$L$14,'cuadro diferencia'!$N$14)</c:f>
              <c:numCache>
                <c:formatCode>0%</c:formatCode>
                <c:ptCount val="6"/>
                <c:pt idx="0">
                  <c:v>0.77146656534920943</c:v>
                </c:pt>
                <c:pt idx="1">
                  <c:v>1.5387537994092116E-2</c:v>
                </c:pt>
                <c:pt idx="2">
                  <c:v>1.1588145896829103E-2</c:v>
                </c:pt>
                <c:pt idx="3">
                  <c:v>1.1588145896718532E-2</c:v>
                </c:pt>
                <c:pt idx="4">
                  <c:v>0.18996960486315051</c:v>
                </c:pt>
                <c:pt idx="5">
                  <c:v>0</c:v>
                </c:pt>
              </c:numCache>
            </c:numRef>
          </c:val>
        </c:ser>
        <c:dLbls>
          <c:showPercent val="1"/>
        </c:dLbls>
        <c:firstSliceAng val="0"/>
      </c:pieChart>
      <c:spPr>
        <a:noFill/>
        <a:ln w="23199">
          <a:noFill/>
        </a:ln>
      </c:spPr>
    </c:plotArea>
    <c:legend>
      <c:legendPos val="r"/>
      <c:layout>
        <c:manualLayout>
          <c:xMode val="edge"/>
          <c:yMode val="edge"/>
          <c:x val="0.76612903225806506"/>
          <c:y val="0.23728813559322048"/>
          <c:w val="0.22311827956989252"/>
          <c:h val="0.71751412429378558"/>
        </c:manualLayout>
      </c:layout>
      <c:spPr>
        <a:solidFill>
          <a:srgbClr val="FFFFFF"/>
        </a:solidFill>
        <a:ln w="2900">
          <a:solidFill>
            <a:srgbClr val="000000"/>
          </a:solidFill>
          <a:prstDash val="solid"/>
        </a:ln>
      </c:spPr>
      <c:txPr>
        <a:bodyPr/>
        <a:lstStyle/>
        <a:p>
          <a:pPr>
            <a:defRPr sz="79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2900">
      <a:solidFill>
        <a:srgbClr val="000000"/>
      </a:solidFill>
      <a:prstDash val="solid"/>
    </a:ln>
  </c:spPr>
  <c:txPr>
    <a:bodyPr/>
    <a:lstStyle/>
    <a:p>
      <a:pPr>
        <a:defRPr sz="868"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00" b="1" i="0" u="none" strike="noStrike" baseline="0">
                <a:solidFill>
                  <a:srgbClr val="000000"/>
                </a:solidFill>
                <a:latin typeface="Arial"/>
                <a:ea typeface="Arial"/>
                <a:cs typeface="Arial"/>
              </a:defRPr>
            </a:pPr>
            <a:r>
              <a:t>BANCO PRODUFONDOS-CIA F.A.</a:t>
            </a:r>
          </a:p>
        </c:rich>
      </c:tx>
      <c:layout>
        <c:manualLayout>
          <c:xMode val="edge"/>
          <c:yMode val="edge"/>
          <c:x val="0.33394495412844061"/>
          <c:y val="1.8450184501845025E-2"/>
        </c:manualLayout>
      </c:layout>
      <c:spPr>
        <a:noFill/>
        <a:ln w="25385">
          <a:noFill/>
        </a:ln>
      </c:spPr>
    </c:title>
    <c:plotArea>
      <c:layout>
        <c:manualLayout>
          <c:layoutTarget val="inner"/>
          <c:xMode val="edge"/>
          <c:yMode val="edge"/>
          <c:x val="9.9082568807339483E-2"/>
          <c:y val="0.17343173431734327"/>
          <c:w val="0.74495412844036701"/>
          <c:h val="0.6789667896678967"/>
        </c:manualLayout>
      </c:layout>
      <c:barChart>
        <c:barDir val="col"/>
        <c:grouping val="clustered"/>
        <c:ser>
          <c:idx val="0"/>
          <c:order val="0"/>
          <c:tx>
            <c:v>VALOR DE LA CONCILIACION</c:v>
          </c:tx>
          <c:spPr>
            <a:solidFill>
              <a:srgbClr val="9999FF"/>
            </a:solidFill>
            <a:ln w="12692">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general'!$D$15,'Cuadro general'!$G$15,'Cuadro general'!$J$15,'Cuadro general'!$M$15,'Cuadro general'!$P$15,'Cuadro general'!$S$15)</c:f>
              <c:numCache>
                <c:formatCode>#,##0.00</c:formatCode>
                <c:ptCount val="6"/>
                <c:pt idx="0">
                  <c:v>1264</c:v>
                </c:pt>
                <c:pt idx="1">
                  <c:v>1270</c:v>
                </c:pt>
                <c:pt idx="2">
                  <c:v>1220</c:v>
                </c:pt>
                <c:pt idx="3">
                  <c:v>1230.32</c:v>
                </c:pt>
                <c:pt idx="4">
                  <c:v>1280</c:v>
                </c:pt>
                <c:pt idx="5">
                  <c:v>1238.52</c:v>
                </c:pt>
              </c:numCache>
            </c:numRef>
          </c:val>
        </c:ser>
        <c:ser>
          <c:idx val="1"/>
          <c:order val="1"/>
          <c:tx>
            <c:v>VALOR EN LIBROS</c:v>
          </c:tx>
          <c:spPr>
            <a:solidFill>
              <a:srgbClr val="993366"/>
            </a:solidFill>
            <a:ln w="12692">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general'!$E$15,'Cuadro general'!$H$15,'Cuadro general'!$K$15,'Cuadro general'!$N$15,'Cuadro general'!$Q$15,'Cuadro general'!$T$15)</c:f>
              <c:numCache>
                <c:formatCode>#,##0.00</c:formatCode>
                <c:ptCount val="6"/>
                <c:pt idx="0">
                  <c:v>1213.98</c:v>
                </c:pt>
                <c:pt idx="1">
                  <c:v>1218.01</c:v>
                </c:pt>
                <c:pt idx="2">
                  <c:v>1218.01</c:v>
                </c:pt>
                <c:pt idx="3">
                  <c:v>1230.32</c:v>
                </c:pt>
                <c:pt idx="4">
                  <c:v>1234.43</c:v>
                </c:pt>
                <c:pt idx="5">
                  <c:v>1238.52</c:v>
                </c:pt>
              </c:numCache>
            </c:numRef>
          </c:val>
        </c:ser>
        <c:axId val="312931456"/>
        <c:axId val="312933376"/>
      </c:barChart>
      <c:catAx>
        <c:axId val="312931456"/>
        <c:scaling>
          <c:orientation val="minMax"/>
        </c:scaling>
        <c:axPos val="b"/>
        <c:title>
          <c:tx>
            <c:rich>
              <a:bodyPr/>
              <a:lstStyle/>
              <a:p>
                <a:pPr>
                  <a:defRPr sz="525" b="1" i="0" u="none" strike="noStrike" baseline="0">
                    <a:solidFill>
                      <a:srgbClr val="000000"/>
                    </a:solidFill>
                    <a:latin typeface="Arial"/>
                    <a:ea typeface="Arial"/>
                    <a:cs typeface="Arial"/>
                  </a:defRPr>
                </a:pPr>
                <a:r>
                  <a:t>MESES</a:t>
                </a:r>
              </a:p>
            </c:rich>
          </c:tx>
          <c:layout>
            <c:manualLayout>
              <c:xMode val="edge"/>
              <c:yMode val="edge"/>
              <c:x val="0.44036697247706441"/>
              <c:y val="0.92250922509225075"/>
            </c:manualLayout>
          </c:layout>
          <c:spPr>
            <a:noFill/>
            <a:ln w="25385">
              <a:noFill/>
            </a:ln>
          </c:spPr>
        </c:title>
        <c:numFmt formatCode="General" sourceLinked="1"/>
        <c:tickLblPos val="nextTo"/>
        <c:spPr>
          <a:ln w="3173">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312933376"/>
        <c:crossesAt val="0"/>
        <c:auto val="1"/>
        <c:lblAlgn val="ctr"/>
        <c:lblOffset val="100"/>
        <c:tickLblSkip val="1"/>
        <c:tickMarkSkip val="1"/>
      </c:catAx>
      <c:valAx>
        <c:axId val="312933376"/>
        <c:scaling>
          <c:orientation val="minMax"/>
          <c:max val="1400"/>
          <c:min val="0"/>
        </c:scaling>
        <c:axPos val="l"/>
        <c:majorGridlines>
          <c:spPr>
            <a:ln w="3173">
              <a:solidFill>
                <a:srgbClr val="000000"/>
              </a:solidFill>
              <a:prstDash val="solid"/>
            </a:ln>
          </c:spPr>
        </c:majorGridlines>
        <c:title>
          <c:tx>
            <c:rich>
              <a:bodyPr/>
              <a:lstStyle/>
              <a:p>
                <a:pPr>
                  <a:defRPr sz="525" b="1" i="0" u="none" strike="noStrike" baseline="0">
                    <a:solidFill>
                      <a:srgbClr val="000000"/>
                    </a:solidFill>
                    <a:latin typeface="Arial"/>
                    <a:ea typeface="Arial"/>
                    <a:cs typeface="Arial"/>
                  </a:defRPr>
                </a:pPr>
                <a:r>
                  <a:t>DOLARES</a:t>
                </a:r>
              </a:p>
            </c:rich>
          </c:tx>
          <c:layout>
            <c:manualLayout>
              <c:xMode val="edge"/>
              <c:yMode val="edge"/>
              <c:x val="1.1009174311926615E-2"/>
              <c:y val="0.43173431734317341"/>
            </c:manualLayout>
          </c:layout>
          <c:spPr>
            <a:noFill/>
            <a:ln w="25385">
              <a:noFill/>
            </a:ln>
          </c:spPr>
        </c:title>
        <c:numFmt formatCode="#,##0.00" sourceLinked="1"/>
        <c:tickLblPos val="nextTo"/>
        <c:spPr>
          <a:ln w="3173">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312931456"/>
        <c:crosses val="autoZero"/>
        <c:crossBetween val="between"/>
        <c:majorUnit val="200"/>
        <c:minorUnit val="100"/>
      </c:valAx>
      <c:spPr>
        <a:solidFill>
          <a:srgbClr val="C0C0C0"/>
        </a:solidFill>
        <a:ln w="12692">
          <a:solidFill>
            <a:srgbClr val="808080"/>
          </a:solidFill>
          <a:prstDash val="solid"/>
        </a:ln>
      </c:spPr>
    </c:plotArea>
    <c:legend>
      <c:legendPos val="r"/>
      <c:layout>
        <c:manualLayout>
          <c:xMode val="edge"/>
          <c:yMode val="edge"/>
          <c:x val="0.1871559633027523"/>
          <c:y val="9.9630996309963152E-2"/>
          <c:w val="0.2"/>
          <c:h val="9.9630996309963152E-2"/>
        </c:manualLayout>
      </c:layout>
      <c:spPr>
        <a:solidFill>
          <a:srgbClr val="FFFFFF"/>
        </a:solidFill>
        <a:ln w="3173">
          <a:solidFill>
            <a:srgbClr val="000000"/>
          </a:solidFill>
          <a:prstDash val="solid"/>
        </a:ln>
      </c:spPr>
      <c:txPr>
        <a:bodyPr/>
        <a:lstStyle/>
        <a:p>
          <a:pPr>
            <a:defRPr sz="48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6" b="1" i="0" u="none" strike="noStrike" baseline="0">
                <a:solidFill>
                  <a:srgbClr val="000000"/>
                </a:solidFill>
                <a:latin typeface="Arial"/>
                <a:ea typeface="Arial"/>
                <a:cs typeface="Arial"/>
              </a:defRPr>
            </a:pPr>
            <a:r>
              <a:t> PRODUBANCO CIA M.O.</a:t>
            </a:r>
          </a:p>
        </c:rich>
      </c:tx>
      <c:layout>
        <c:manualLayout>
          <c:xMode val="edge"/>
          <c:yMode val="edge"/>
          <c:x val="0.25271739130434795"/>
          <c:y val="1.7341040462427744E-2"/>
        </c:manualLayout>
      </c:layout>
      <c:spPr>
        <a:noFill/>
        <a:ln w="23154">
          <a:noFill/>
        </a:ln>
      </c:spPr>
    </c:title>
    <c:plotArea>
      <c:layout>
        <c:manualLayout>
          <c:layoutTarget val="inner"/>
          <c:xMode val="edge"/>
          <c:yMode val="edge"/>
          <c:x val="0.30978260869565238"/>
          <c:y val="0.439306358381503"/>
          <c:w val="0.15217391304347827"/>
          <c:h val="0.32369942196531792"/>
        </c:manualLayout>
      </c:layout>
      <c:pieChart>
        <c:varyColors val="1"/>
        <c:ser>
          <c:idx val="0"/>
          <c:order val="0"/>
          <c:tx>
            <c:v>PORCENTAJES</c:v>
          </c:tx>
          <c:spPr>
            <a:solidFill>
              <a:srgbClr val="9999FF"/>
            </a:solidFill>
            <a:ln w="11577">
              <a:solidFill>
                <a:srgbClr val="000000"/>
              </a:solidFill>
              <a:prstDash val="solid"/>
            </a:ln>
          </c:spPr>
          <c:dPt>
            <c:idx val="1"/>
            <c:spPr>
              <a:solidFill>
                <a:srgbClr val="993366"/>
              </a:solidFill>
              <a:ln w="11577">
                <a:solidFill>
                  <a:srgbClr val="000000"/>
                </a:solidFill>
                <a:prstDash val="solid"/>
              </a:ln>
            </c:spPr>
          </c:dPt>
          <c:dPt>
            <c:idx val="2"/>
            <c:spPr>
              <a:solidFill>
                <a:srgbClr val="FFFFCC"/>
              </a:solidFill>
              <a:ln w="11577">
                <a:solidFill>
                  <a:srgbClr val="000000"/>
                </a:solidFill>
                <a:prstDash val="solid"/>
              </a:ln>
            </c:spPr>
          </c:dPt>
          <c:dPt>
            <c:idx val="3"/>
            <c:spPr>
              <a:solidFill>
                <a:srgbClr val="CCFFFF"/>
              </a:solidFill>
              <a:ln w="11577">
                <a:solidFill>
                  <a:srgbClr val="000000"/>
                </a:solidFill>
                <a:prstDash val="solid"/>
              </a:ln>
            </c:spPr>
          </c:dPt>
          <c:dPt>
            <c:idx val="4"/>
            <c:spPr>
              <a:solidFill>
                <a:srgbClr val="660066"/>
              </a:solidFill>
              <a:ln w="11577">
                <a:solidFill>
                  <a:srgbClr val="000000"/>
                </a:solidFill>
                <a:prstDash val="solid"/>
              </a:ln>
            </c:spPr>
          </c:dPt>
          <c:dPt>
            <c:idx val="5"/>
            <c:spPr>
              <a:solidFill>
                <a:srgbClr val="FF8080"/>
              </a:solidFill>
              <a:ln w="11577">
                <a:solidFill>
                  <a:srgbClr val="000000"/>
                </a:solidFill>
                <a:prstDash val="solid"/>
              </a:ln>
            </c:spPr>
          </c:dPt>
          <c:dLbls>
            <c:numFmt formatCode="0%" sourceLinked="0"/>
            <c:spPr>
              <a:noFill/>
              <a:ln w="23154">
                <a:noFill/>
              </a:ln>
            </c:spPr>
            <c:txPr>
              <a:bodyPr/>
              <a:lstStyle/>
              <a:p>
                <a:pPr>
                  <a:defRPr sz="843" b="0" i="0" u="none" strike="noStrike" baseline="0">
                    <a:solidFill>
                      <a:srgbClr val="000000"/>
                    </a:solidFill>
                    <a:latin typeface="Arial"/>
                    <a:ea typeface="Arial"/>
                    <a:cs typeface="Arial"/>
                  </a:defRPr>
                </a:pPr>
                <a:endParaRPr lang="es-ES"/>
              </a:p>
            </c:txPr>
            <c:showPercent val="1"/>
            <c:showLeaderLines val="1"/>
          </c:dLbls>
          <c:cat>
            <c:strRef>
              <c:f>('cuadro diferencia'!$C$5,'cuadro diferencia'!$E$5,'cuadro diferencia'!$G$5,'cuadro diferencia'!$I$5,'cuadro diferencia'!$K$5,'cuadro diferencia'!$M$5)</c:f>
              <c:strCache>
                <c:ptCount val="6"/>
                <c:pt idx="0">
                  <c:v>ENERO</c:v>
                </c:pt>
                <c:pt idx="1">
                  <c:v>FEBRERO</c:v>
                </c:pt>
                <c:pt idx="2">
                  <c:v>MARZO</c:v>
                </c:pt>
                <c:pt idx="3">
                  <c:v>ABRIL</c:v>
                </c:pt>
                <c:pt idx="4">
                  <c:v>MAYO</c:v>
                </c:pt>
                <c:pt idx="5">
                  <c:v>JUNIO</c:v>
                </c:pt>
              </c:strCache>
            </c:strRef>
          </c:cat>
          <c:val>
            <c:numRef>
              <c:f>('cuadro diferencia'!$D$7,'cuadro diferencia'!$F$7,'cuadro diferencia'!$H$7,'cuadro diferencia'!$J$7,'cuadro diferencia'!$L$7,'cuadro diferencia'!$N$7)</c:f>
              <c:numCache>
                <c:formatCode>0%</c:formatCode>
                <c:ptCount val="6"/>
                <c:pt idx="0">
                  <c:v>0.47590452221964169</c:v>
                </c:pt>
                <c:pt idx="1">
                  <c:v>1.1133560566750376E-4</c:v>
                </c:pt>
                <c:pt idx="2">
                  <c:v>1.2083719560440687E-4</c:v>
                </c:pt>
                <c:pt idx="3">
                  <c:v>2.6349426674130192E-4</c:v>
                </c:pt>
                <c:pt idx="4">
                  <c:v>0.47590452221964169</c:v>
                </c:pt>
                <c:pt idx="5">
                  <c:v>4.7695288492703825E-2</c:v>
                </c:pt>
              </c:numCache>
            </c:numRef>
          </c:val>
        </c:ser>
        <c:dLbls>
          <c:showPercent val="1"/>
        </c:dLbls>
        <c:firstSliceAng val="0"/>
      </c:pieChart>
      <c:spPr>
        <a:noFill/>
        <a:ln w="23154">
          <a:noFill/>
        </a:ln>
      </c:spPr>
    </c:plotArea>
    <c:legend>
      <c:legendPos val="r"/>
      <c:layout>
        <c:manualLayout>
          <c:xMode val="edge"/>
          <c:yMode val="edge"/>
          <c:x val="0.77717391304347883"/>
          <c:y val="0.2485549132947977"/>
          <c:w val="0.21195652173913043"/>
          <c:h val="0.69942196531791889"/>
        </c:manualLayout>
      </c:layout>
      <c:spPr>
        <a:solidFill>
          <a:srgbClr val="FFFFFF"/>
        </a:solidFill>
        <a:ln w="2894">
          <a:solidFill>
            <a:srgbClr val="000000"/>
          </a:solidFill>
          <a:prstDash val="solid"/>
        </a:ln>
      </c:spPr>
      <c:txPr>
        <a:bodyPr/>
        <a:lstStyle/>
        <a:p>
          <a:pPr>
            <a:defRPr sz="77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2894">
      <a:solidFill>
        <a:srgbClr val="000000"/>
      </a:solidFill>
      <a:prstDash val="solid"/>
    </a:ln>
  </c:spPr>
  <c:txPr>
    <a:bodyPr/>
    <a:lstStyle/>
    <a:p>
      <a:pPr>
        <a:defRPr sz="843"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8" b="1" i="0" u="none" strike="noStrike" baseline="0">
                <a:solidFill>
                  <a:srgbClr val="000000"/>
                </a:solidFill>
                <a:latin typeface="Arial"/>
                <a:ea typeface="Arial"/>
                <a:cs typeface="Arial"/>
              </a:defRPr>
            </a:pPr>
            <a:r>
              <a:t> PRODUFONDOS F.A.</a:t>
            </a:r>
          </a:p>
        </c:rich>
      </c:tx>
      <c:layout>
        <c:manualLayout>
          <c:xMode val="edge"/>
          <c:yMode val="edge"/>
          <c:x val="0.28763440860215056"/>
          <c:y val="2.2598870056497182E-2"/>
        </c:manualLayout>
      </c:layout>
      <c:spPr>
        <a:noFill/>
        <a:ln w="25354">
          <a:noFill/>
        </a:ln>
      </c:spPr>
    </c:title>
    <c:plotArea>
      <c:layout>
        <c:manualLayout>
          <c:layoutTarget val="inner"/>
          <c:xMode val="edge"/>
          <c:yMode val="edge"/>
          <c:x val="0.30645161290322581"/>
          <c:y val="0.44067796610169491"/>
          <c:w val="0.15053763440860221"/>
          <c:h val="0.31638418079096076"/>
        </c:manualLayout>
      </c:layout>
      <c:pieChart>
        <c:varyColors val="1"/>
        <c:ser>
          <c:idx val="0"/>
          <c:order val="0"/>
          <c:tx>
            <c:v>PORCENTAJES</c:v>
          </c:tx>
          <c:spPr>
            <a:solidFill>
              <a:srgbClr val="9999FF"/>
            </a:solidFill>
            <a:ln w="12677">
              <a:solidFill>
                <a:srgbClr val="000000"/>
              </a:solidFill>
              <a:prstDash val="solid"/>
            </a:ln>
          </c:spPr>
          <c:dPt>
            <c:idx val="1"/>
            <c:spPr>
              <a:solidFill>
                <a:srgbClr val="993366"/>
              </a:solidFill>
              <a:ln w="12677">
                <a:solidFill>
                  <a:srgbClr val="000000"/>
                </a:solidFill>
                <a:prstDash val="solid"/>
              </a:ln>
            </c:spPr>
          </c:dPt>
          <c:dPt>
            <c:idx val="2"/>
            <c:spPr>
              <a:solidFill>
                <a:srgbClr val="FFFFCC"/>
              </a:solidFill>
              <a:ln w="12677">
                <a:solidFill>
                  <a:srgbClr val="000000"/>
                </a:solidFill>
                <a:prstDash val="solid"/>
              </a:ln>
            </c:spPr>
          </c:dPt>
          <c:dPt>
            <c:idx val="3"/>
            <c:spPr>
              <a:solidFill>
                <a:srgbClr val="CCFFFF"/>
              </a:solidFill>
              <a:ln w="12677">
                <a:solidFill>
                  <a:srgbClr val="000000"/>
                </a:solidFill>
                <a:prstDash val="solid"/>
              </a:ln>
            </c:spPr>
          </c:dPt>
          <c:dPt>
            <c:idx val="4"/>
            <c:spPr>
              <a:solidFill>
                <a:srgbClr val="660066"/>
              </a:solidFill>
              <a:ln w="12677">
                <a:solidFill>
                  <a:srgbClr val="000000"/>
                </a:solidFill>
                <a:prstDash val="solid"/>
              </a:ln>
            </c:spPr>
          </c:dPt>
          <c:dPt>
            <c:idx val="5"/>
            <c:spPr>
              <a:solidFill>
                <a:srgbClr val="FF8080"/>
              </a:solidFill>
              <a:ln w="12677">
                <a:solidFill>
                  <a:srgbClr val="000000"/>
                </a:solidFill>
                <a:prstDash val="solid"/>
              </a:ln>
            </c:spPr>
          </c:dPt>
          <c:dLbls>
            <c:numFmt formatCode="0%" sourceLinked="0"/>
            <c:spPr>
              <a:noFill/>
              <a:ln w="25354">
                <a:noFill/>
              </a:ln>
            </c:spPr>
            <c:txPr>
              <a:bodyPr/>
              <a:lstStyle/>
              <a:p>
                <a:pPr>
                  <a:defRPr sz="948" b="0" i="0" u="none" strike="noStrike" baseline="0">
                    <a:solidFill>
                      <a:srgbClr val="000000"/>
                    </a:solidFill>
                    <a:latin typeface="Arial"/>
                    <a:ea typeface="Arial"/>
                    <a:cs typeface="Arial"/>
                  </a:defRPr>
                </a:pPr>
                <a:endParaRPr lang="es-ES"/>
              </a:p>
            </c:txPr>
            <c:showPercent val="1"/>
            <c:showLeaderLines val="1"/>
          </c:dLbls>
          <c:cat>
            <c:strRef>
              <c:f>('cuadro diferencia'!$C$5,'cuadro diferencia'!$E$5,'cuadro diferencia'!$G$5,'cuadro diferencia'!$I$5,'cuadro diferencia'!$K$5,'cuadro diferencia'!$M$5)</c:f>
              <c:strCache>
                <c:ptCount val="6"/>
                <c:pt idx="0">
                  <c:v>ENERO</c:v>
                </c:pt>
                <c:pt idx="1">
                  <c:v>FEBRERO</c:v>
                </c:pt>
                <c:pt idx="2">
                  <c:v>MARZO</c:v>
                </c:pt>
                <c:pt idx="3">
                  <c:v>ABRIL</c:v>
                </c:pt>
                <c:pt idx="4">
                  <c:v>MAYO</c:v>
                </c:pt>
                <c:pt idx="5">
                  <c:v>JUNIO</c:v>
                </c:pt>
              </c:strCache>
            </c:strRef>
          </c:cat>
          <c:val>
            <c:numRef>
              <c:f>('cuadro diferencia'!$D$15,'cuadro diferencia'!$F$15,'cuadro diferencia'!$H$15,'cuadro diferencia'!$J$15,'cuadro diferencia'!$L$15,'cuadro diferencia'!$N$15)</c:f>
              <c:numCache>
                <c:formatCode>0%</c:formatCode>
                <c:ptCount val="6"/>
                <c:pt idx="0">
                  <c:v>0.33442535267767631</c:v>
                </c:pt>
                <c:pt idx="1">
                  <c:v>0.34759644313699278</c:v>
                </c:pt>
                <c:pt idx="2">
                  <c:v>1.3304807113726084E-2</c:v>
                </c:pt>
                <c:pt idx="3">
                  <c:v>0</c:v>
                </c:pt>
                <c:pt idx="4">
                  <c:v>0.30467339707160501</c:v>
                </c:pt>
                <c:pt idx="5">
                  <c:v>0</c:v>
                </c:pt>
              </c:numCache>
            </c:numRef>
          </c:val>
        </c:ser>
        <c:dLbls>
          <c:showPercent val="1"/>
        </c:dLbls>
        <c:firstSliceAng val="0"/>
      </c:pieChart>
      <c:spPr>
        <a:noFill/>
        <a:ln w="25354">
          <a:noFill/>
        </a:ln>
      </c:spPr>
    </c:plotArea>
    <c:legend>
      <c:legendPos val="r"/>
      <c:layout>
        <c:manualLayout>
          <c:xMode val="edge"/>
          <c:yMode val="edge"/>
          <c:x val="0.76612903225806506"/>
          <c:y val="0.23728813559322048"/>
          <c:w val="0.22311827956989252"/>
          <c:h val="0.71751412429378558"/>
        </c:manualLayout>
      </c:layout>
      <c:spPr>
        <a:solidFill>
          <a:srgbClr val="FFFFFF"/>
        </a:solidFill>
        <a:ln w="3169">
          <a:solidFill>
            <a:srgbClr val="000000"/>
          </a:solidFill>
          <a:prstDash val="solid"/>
        </a:ln>
      </c:spPr>
      <c:txPr>
        <a:bodyPr/>
        <a:lstStyle/>
        <a:p>
          <a:pPr>
            <a:defRPr sz="868"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69">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7186700767263448E-2"/>
          <c:y val="8.292682926829277E-2"/>
          <c:w val="0.63171355498721227"/>
          <c:h val="0.77560975609756144"/>
        </c:manualLayout>
      </c:layout>
      <c:lineChart>
        <c:grouping val="standard"/>
        <c:ser>
          <c:idx val="0"/>
          <c:order val="0"/>
          <c:tx>
            <c:strRef>
              <c:f>F.A.!$C$1:$C$2</c:f>
              <c:strCache>
                <c:ptCount val="1"/>
                <c:pt idx="0">
                  <c:v>F.A. Produbanco</c:v>
                </c:pt>
              </c:strCache>
            </c:strRef>
          </c:tx>
          <c:spPr>
            <a:ln w="12689">
              <a:solidFill>
                <a:srgbClr val="000080"/>
              </a:solidFill>
              <a:prstDash val="solid"/>
            </a:ln>
          </c:spPr>
          <c:marker>
            <c:symbol val="diamond"/>
            <c:size val="4"/>
            <c:spPr>
              <a:solidFill>
                <a:srgbClr val="000080"/>
              </a:solidFill>
              <a:ln>
                <a:solidFill>
                  <a:srgbClr val="000080"/>
                </a:solidFill>
                <a:prstDash val="solid"/>
              </a:ln>
            </c:spPr>
          </c:marker>
          <c:cat>
            <c:strRef>
              <c:f>F.A.!$B$3:$B$8</c:f>
              <c:strCache>
                <c:ptCount val="6"/>
                <c:pt idx="0">
                  <c:v>ENERO</c:v>
                </c:pt>
                <c:pt idx="1">
                  <c:v>FEBRERO</c:v>
                </c:pt>
                <c:pt idx="2">
                  <c:v>MARZO</c:v>
                </c:pt>
                <c:pt idx="3">
                  <c:v>ABRIL</c:v>
                </c:pt>
                <c:pt idx="4">
                  <c:v>MAYO</c:v>
                </c:pt>
                <c:pt idx="5">
                  <c:v>JUNIO</c:v>
                </c:pt>
              </c:strCache>
            </c:strRef>
          </c:cat>
          <c:val>
            <c:numRef>
              <c:f>F.A.!$C$3:$C$8</c:f>
              <c:numCache>
                <c:formatCode>#,##0.00</c:formatCode>
                <c:ptCount val="6"/>
                <c:pt idx="0">
                  <c:v>203.0499999999883</c:v>
                </c:pt>
                <c:pt idx="1">
                  <c:v>4.0500000000465661</c:v>
                </c:pt>
                <c:pt idx="2" formatCode="General">
                  <c:v>3.0500000000465661</c:v>
                </c:pt>
                <c:pt idx="3">
                  <c:v>3.0500000000174632</c:v>
                </c:pt>
                <c:pt idx="4">
                  <c:v>50</c:v>
                </c:pt>
                <c:pt idx="5">
                  <c:v>0</c:v>
                </c:pt>
              </c:numCache>
            </c:numRef>
          </c:val>
        </c:ser>
        <c:ser>
          <c:idx val="1"/>
          <c:order val="1"/>
          <c:tx>
            <c:strRef>
              <c:f>F.A.!$D$1:$D$2</c:f>
              <c:strCache>
                <c:ptCount val="1"/>
                <c:pt idx="0">
                  <c:v>F.A. Produfondos</c:v>
                </c:pt>
              </c:strCache>
            </c:strRef>
          </c:tx>
          <c:spPr>
            <a:ln w="12689">
              <a:solidFill>
                <a:srgbClr val="FF00FF"/>
              </a:solidFill>
              <a:prstDash val="solid"/>
            </a:ln>
          </c:spPr>
          <c:marker>
            <c:symbol val="square"/>
            <c:size val="4"/>
            <c:spPr>
              <a:solidFill>
                <a:srgbClr val="FF00FF"/>
              </a:solidFill>
              <a:ln>
                <a:solidFill>
                  <a:srgbClr val="FF00FF"/>
                </a:solidFill>
                <a:prstDash val="solid"/>
              </a:ln>
            </c:spPr>
          </c:marker>
          <c:cat>
            <c:strRef>
              <c:f>F.A.!$B$3:$B$8</c:f>
              <c:strCache>
                <c:ptCount val="6"/>
                <c:pt idx="0">
                  <c:v>ENERO</c:v>
                </c:pt>
                <c:pt idx="1">
                  <c:v>FEBRERO</c:v>
                </c:pt>
                <c:pt idx="2">
                  <c:v>MARZO</c:v>
                </c:pt>
                <c:pt idx="3">
                  <c:v>ABRIL</c:v>
                </c:pt>
                <c:pt idx="4">
                  <c:v>MAYO</c:v>
                </c:pt>
                <c:pt idx="5">
                  <c:v>JUNIO</c:v>
                </c:pt>
              </c:strCache>
            </c:strRef>
          </c:cat>
          <c:val>
            <c:numRef>
              <c:f>F.A.!$D$3:$D$8</c:f>
              <c:numCache>
                <c:formatCode>#,##0.00</c:formatCode>
                <c:ptCount val="6"/>
                <c:pt idx="0">
                  <c:v>50.02</c:v>
                </c:pt>
                <c:pt idx="1">
                  <c:v>51.99</c:v>
                </c:pt>
                <c:pt idx="2" formatCode="General">
                  <c:v>1.9900000000000095</c:v>
                </c:pt>
                <c:pt idx="3">
                  <c:v>0</c:v>
                </c:pt>
                <c:pt idx="4">
                  <c:v>45.569999999999951</c:v>
                </c:pt>
                <c:pt idx="5">
                  <c:v>0</c:v>
                </c:pt>
              </c:numCache>
            </c:numRef>
          </c:val>
        </c:ser>
        <c:marker val="1"/>
        <c:axId val="313417728"/>
        <c:axId val="313419648"/>
      </c:lineChart>
      <c:catAx>
        <c:axId val="313417728"/>
        <c:scaling>
          <c:orientation val="minMax"/>
        </c:scaling>
        <c:axPos val="b"/>
        <c:numFmt formatCode="General" sourceLinked="1"/>
        <c:tickLblPos val="nextTo"/>
        <c:spPr>
          <a:ln w="3172">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313419648"/>
        <c:crosses val="autoZero"/>
        <c:auto val="1"/>
        <c:lblAlgn val="ctr"/>
        <c:lblOffset val="100"/>
        <c:tickLblSkip val="1"/>
        <c:tickMarkSkip val="1"/>
      </c:catAx>
      <c:valAx>
        <c:axId val="313419648"/>
        <c:scaling>
          <c:orientation val="minMax"/>
        </c:scaling>
        <c:axPos val="l"/>
        <c:majorGridlines>
          <c:spPr>
            <a:ln w="3172">
              <a:solidFill>
                <a:srgbClr val="000000"/>
              </a:solidFill>
              <a:prstDash val="solid"/>
            </a:ln>
          </c:spPr>
        </c:majorGridlines>
        <c:numFmt formatCode="#,##0.00" sourceLinked="1"/>
        <c:tickLblPos val="nextTo"/>
        <c:spPr>
          <a:ln w="3172">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313417728"/>
        <c:crosses val="autoZero"/>
        <c:crossBetween val="between"/>
      </c:valAx>
      <c:spPr>
        <a:solidFill>
          <a:srgbClr val="C0C0C0"/>
        </a:solidFill>
        <a:ln w="12689">
          <a:solidFill>
            <a:srgbClr val="808080"/>
          </a:solidFill>
          <a:prstDash val="solid"/>
        </a:ln>
      </c:spPr>
    </c:plotArea>
    <c:legend>
      <c:legendPos val="r"/>
      <c:layout>
        <c:manualLayout>
          <c:xMode val="edge"/>
          <c:yMode val="edge"/>
          <c:x val="0.75703324808184169"/>
          <c:y val="0.40487804878048794"/>
          <c:w val="0.23273657289002564"/>
          <c:h val="0.13170731707317074"/>
        </c:manualLayout>
      </c:layout>
      <c:spPr>
        <a:solidFill>
          <a:srgbClr val="FFFFFF"/>
        </a:solidFill>
        <a:ln w="3172">
          <a:solidFill>
            <a:srgbClr val="000000"/>
          </a:solidFill>
          <a:prstDash val="solid"/>
        </a:ln>
      </c:spPr>
      <c:txPr>
        <a:bodyPr/>
        <a:lstStyle/>
        <a:p>
          <a:pPr>
            <a:defRPr sz="48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35664335664335656"/>
          <c:y val="1.9073569482288836E-2"/>
        </c:manualLayout>
      </c:layout>
      <c:spPr>
        <a:noFill/>
        <a:ln w="25381">
          <a:noFill/>
        </a:ln>
      </c:spPr>
      <c:txPr>
        <a:bodyPr/>
        <a:lstStyle/>
        <a:p>
          <a:pPr>
            <a:defRPr sz="849" b="0" i="0" u="none" strike="noStrike" baseline="0">
              <a:solidFill>
                <a:srgbClr val="000000"/>
              </a:solidFill>
              <a:latin typeface="Arial"/>
              <a:ea typeface="Arial"/>
              <a:cs typeface="Arial"/>
            </a:defRPr>
          </a:pPr>
          <a:endParaRPr lang="es-ES"/>
        </a:p>
      </c:txPr>
    </c:title>
    <c:plotArea>
      <c:layout>
        <c:manualLayout>
          <c:layoutTarget val="inner"/>
          <c:xMode val="edge"/>
          <c:yMode val="edge"/>
          <c:x val="0.11655011655011654"/>
          <c:y val="0.15258855585831069"/>
          <c:w val="0.53146853146853168"/>
          <c:h val="0.59400544959128054"/>
        </c:manualLayout>
      </c:layout>
      <c:barChart>
        <c:barDir val="col"/>
        <c:grouping val="clustered"/>
        <c:ser>
          <c:idx val="0"/>
          <c:order val="0"/>
          <c:tx>
            <c:strRef>
              <c:f>'DIAGARMA DE BARRAS'!$C$2</c:f>
              <c:strCache>
                <c:ptCount val="1"/>
                <c:pt idx="0">
                  <c:v>TOTAL DE DIFERENCIAS</c:v>
                </c:pt>
              </c:strCache>
            </c:strRef>
          </c:tx>
          <c:spPr>
            <a:solidFill>
              <a:srgbClr val="9999FF"/>
            </a:solidFill>
            <a:ln w="12691">
              <a:solidFill>
                <a:srgbClr val="000000"/>
              </a:solidFill>
              <a:prstDash val="solid"/>
            </a:ln>
          </c:spPr>
          <c:cat>
            <c:strRef>
              <c:f>'DIAGARMA DE BARRAS'!$B$3:$B$12</c:f>
              <c:strCache>
                <c:ptCount val="10"/>
                <c:pt idx="1">
                  <c:v>M.O-Produbanco</c:v>
                </c:pt>
                <c:pt idx="2">
                  <c:v>M.O-Pichincha</c:v>
                </c:pt>
                <c:pt idx="3">
                  <c:v>SER-Produbanco</c:v>
                </c:pt>
                <c:pt idx="4">
                  <c:v>D.U.-Produbanco</c:v>
                </c:pt>
                <c:pt idx="5">
                  <c:v>D.U.-Pichincha</c:v>
                </c:pt>
                <c:pt idx="6">
                  <c:v>M.I.-Produbanco</c:v>
                </c:pt>
                <c:pt idx="7">
                  <c:v>M.I.-Produfondos</c:v>
                </c:pt>
                <c:pt idx="8">
                  <c:v>F.A.-Produbanco</c:v>
                </c:pt>
                <c:pt idx="9">
                  <c:v>F.A.-Produfondos</c:v>
                </c:pt>
              </c:strCache>
            </c:strRef>
          </c:cat>
          <c:val>
            <c:numRef>
              <c:f>'DIAGARMA DE BARRAS'!$C$3:$C$12</c:f>
              <c:numCache>
                <c:formatCode>_ "$"\ * #,##0.00_ ;_ "$"\ * \-#,##0.00_ ;_ "$"\ * "-"??_ ;_ @_ </c:formatCode>
                <c:ptCount val="10"/>
                <c:pt idx="1">
                  <c:v>21017.535099999906</c:v>
                </c:pt>
                <c:pt idx="2">
                  <c:v>7300</c:v>
                </c:pt>
                <c:pt idx="3">
                  <c:v>17148.133300000001</c:v>
                </c:pt>
                <c:pt idx="4">
                  <c:v>0</c:v>
                </c:pt>
                <c:pt idx="5">
                  <c:v>120.96000000000002</c:v>
                </c:pt>
                <c:pt idx="6">
                  <c:v>16091.41729999997</c:v>
                </c:pt>
                <c:pt idx="7">
                  <c:v>242.41999999999922</c:v>
                </c:pt>
                <c:pt idx="8">
                  <c:v>263.20000000009895</c:v>
                </c:pt>
                <c:pt idx="9">
                  <c:v>149.57</c:v>
                </c:pt>
              </c:numCache>
            </c:numRef>
          </c:val>
        </c:ser>
        <c:axId val="313808000"/>
        <c:axId val="313809536"/>
      </c:barChart>
      <c:catAx>
        <c:axId val="313808000"/>
        <c:scaling>
          <c:orientation val="minMax"/>
        </c:scaling>
        <c:axPos val="b"/>
        <c:numFmt formatCode="General" sourceLinked="1"/>
        <c:tickLblPos val="nextTo"/>
        <c:spPr>
          <a:ln w="3173">
            <a:solidFill>
              <a:srgbClr val="000000"/>
            </a:solidFill>
            <a:prstDash val="solid"/>
          </a:ln>
        </c:spPr>
        <c:txPr>
          <a:bodyPr rot="-2700000" vert="horz"/>
          <a:lstStyle/>
          <a:p>
            <a:pPr>
              <a:defRPr sz="849" b="0" i="0" u="none" strike="noStrike" baseline="0">
                <a:solidFill>
                  <a:srgbClr val="000000"/>
                </a:solidFill>
                <a:latin typeface="Arial"/>
                <a:ea typeface="Arial"/>
                <a:cs typeface="Arial"/>
              </a:defRPr>
            </a:pPr>
            <a:endParaRPr lang="es-ES"/>
          </a:p>
        </c:txPr>
        <c:crossAx val="313809536"/>
        <c:crosses val="autoZero"/>
        <c:auto val="1"/>
        <c:lblAlgn val="ctr"/>
        <c:lblOffset val="100"/>
        <c:tickLblSkip val="1"/>
        <c:tickMarkSkip val="1"/>
      </c:catAx>
      <c:valAx>
        <c:axId val="313809536"/>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313808000"/>
        <c:crosses val="autoZero"/>
        <c:crossBetween val="between"/>
      </c:valAx>
      <c:spPr>
        <a:solidFill>
          <a:srgbClr val="C0C0C0"/>
        </a:solidFill>
        <a:ln w="12691">
          <a:solidFill>
            <a:srgbClr val="808080"/>
          </a:solidFill>
          <a:prstDash val="solid"/>
        </a:ln>
      </c:spPr>
    </c:plotArea>
    <c:legend>
      <c:legendPos val="r"/>
      <c:layout>
        <c:manualLayout>
          <c:xMode val="edge"/>
          <c:yMode val="edge"/>
          <c:x val="0.67365967365967427"/>
          <c:y val="0.42234332425068133"/>
          <c:w val="0.31701631701631711"/>
          <c:h val="5.449591280653953E-2"/>
        </c:manualLayout>
      </c:layout>
      <c:spPr>
        <a:solidFill>
          <a:srgbClr val="FFFFFF"/>
        </a:solidFill>
        <a:ln w="3173">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4" b="1" i="0" u="none" strike="noStrike" baseline="0">
                <a:solidFill>
                  <a:srgbClr val="000000"/>
                </a:solidFill>
                <a:latin typeface="Arial"/>
                <a:ea typeface="Arial"/>
                <a:cs typeface="Arial"/>
              </a:defRPr>
            </a:pPr>
            <a:r>
              <a:t>DIFERENCIAS GENERALES</a:t>
            </a:r>
          </a:p>
        </c:rich>
      </c:tx>
      <c:layout>
        <c:manualLayout>
          <c:xMode val="edge"/>
          <c:yMode val="edge"/>
          <c:x val="0.22764227642276424"/>
          <c:y val="1.7241379310344827E-2"/>
        </c:manualLayout>
      </c:layout>
      <c:spPr>
        <a:noFill/>
        <a:ln w="25377">
          <a:noFill/>
        </a:ln>
      </c:spPr>
    </c:title>
    <c:plotArea>
      <c:layout>
        <c:manualLayout>
          <c:layoutTarget val="inner"/>
          <c:xMode val="edge"/>
          <c:yMode val="edge"/>
          <c:x val="0.35772357723577247"/>
          <c:y val="0.44252873563218392"/>
          <c:w val="0.14905149051490524"/>
          <c:h val="0.31609195402298851"/>
        </c:manualLayout>
      </c:layout>
      <c:pieChart>
        <c:varyColors val="1"/>
        <c:ser>
          <c:idx val="0"/>
          <c:order val="0"/>
          <c:tx>
            <c:v>PORCENTAJES</c:v>
          </c:tx>
          <c:spPr>
            <a:solidFill>
              <a:srgbClr val="9999FF"/>
            </a:solidFill>
            <a:ln w="12689">
              <a:solidFill>
                <a:srgbClr val="000000"/>
              </a:solidFill>
              <a:prstDash val="solid"/>
            </a:ln>
          </c:spPr>
          <c:dPt>
            <c:idx val="1"/>
            <c:spPr>
              <a:solidFill>
                <a:srgbClr val="993366"/>
              </a:solidFill>
              <a:ln w="12689">
                <a:solidFill>
                  <a:srgbClr val="000000"/>
                </a:solidFill>
                <a:prstDash val="solid"/>
              </a:ln>
            </c:spPr>
          </c:dPt>
          <c:dPt>
            <c:idx val="2"/>
            <c:spPr>
              <a:solidFill>
                <a:srgbClr val="FFFFCC"/>
              </a:solidFill>
              <a:ln w="12689">
                <a:solidFill>
                  <a:srgbClr val="000000"/>
                </a:solidFill>
                <a:prstDash val="solid"/>
              </a:ln>
            </c:spPr>
          </c:dPt>
          <c:dPt>
            <c:idx val="3"/>
            <c:spPr>
              <a:solidFill>
                <a:srgbClr val="CCFFFF"/>
              </a:solidFill>
              <a:ln w="12689">
                <a:solidFill>
                  <a:srgbClr val="000000"/>
                </a:solidFill>
                <a:prstDash val="solid"/>
              </a:ln>
            </c:spPr>
          </c:dPt>
          <c:dPt>
            <c:idx val="4"/>
            <c:spPr>
              <a:solidFill>
                <a:srgbClr val="660066"/>
              </a:solidFill>
              <a:ln w="12689">
                <a:solidFill>
                  <a:srgbClr val="000000"/>
                </a:solidFill>
                <a:prstDash val="solid"/>
              </a:ln>
            </c:spPr>
          </c:dPt>
          <c:dLbls>
            <c:numFmt formatCode="0%" sourceLinked="0"/>
            <c:spPr>
              <a:noFill/>
              <a:ln w="25377">
                <a:noFill/>
              </a:ln>
            </c:spPr>
            <c:txPr>
              <a:bodyPr/>
              <a:lstStyle/>
              <a:p>
                <a:pPr>
                  <a:defRPr sz="924" b="0" i="0" u="none" strike="noStrike" baseline="0">
                    <a:solidFill>
                      <a:srgbClr val="000000"/>
                    </a:solidFill>
                    <a:latin typeface="Arial"/>
                    <a:ea typeface="Arial"/>
                    <a:cs typeface="Arial"/>
                  </a:defRPr>
                </a:pPr>
                <a:endParaRPr lang="es-ES"/>
              </a:p>
            </c:txPr>
            <c:showPercent val="1"/>
            <c:showLeaderLines val="1"/>
          </c:dLbls>
          <c:cat>
            <c:strRef>
              <c:f>'cuadro diferencia'!$R$20:$R$24</c:f>
              <c:strCache>
                <c:ptCount val="5"/>
                <c:pt idx="0">
                  <c:v>M.O</c:v>
                </c:pt>
                <c:pt idx="1">
                  <c:v>SER</c:v>
                </c:pt>
                <c:pt idx="2">
                  <c:v>D.U.</c:v>
                </c:pt>
                <c:pt idx="3">
                  <c:v>M.I.</c:v>
                </c:pt>
                <c:pt idx="4">
                  <c:v>F.A.</c:v>
                </c:pt>
              </c:strCache>
            </c:strRef>
          </c:cat>
          <c:val>
            <c:numRef>
              <c:f>'cuadro diferencia'!$S$20:$S$24</c:f>
              <c:numCache>
                <c:formatCode>0%</c:formatCode>
                <c:ptCount val="5"/>
                <c:pt idx="0">
                  <c:v>0.46</c:v>
                </c:pt>
                <c:pt idx="1">
                  <c:v>0.28000000000000008</c:v>
                </c:pt>
                <c:pt idx="2">
                  <c:v>0</c:v>
                </c:pt>
                <c:pt idx="3">
                  <c:v>0.26</c:v>
                </c:pt>
                <c:pt idx="4">
                  <c:v>0</c:v>
                </c:pt>
              </c:numCache>
            </c:numRef>
          </c:val>
        </c:ser>
        <c:dLbls>
          <c:showPercent val="1"/>
        </c:dLbls>
        <c:firstSliceAng val="0"/>
      </c:pieChart>
      <c:spPr>
        <a:noFill/>
        <a:ln w="25377">
          <a:noFill/>
        </a:ln>
      </c:spPr>
    </c:plotArea>
    <c:legend>
      <c:legendPos val="r"/>
      <c:layout>
        <c:manualLayout>
          <c:xMode val="edge"/>
          <c:yMode val="edge"/>
          <c:x val="0.86720867208672114"/>
          <c:y val="0.31034482758620702"/>
          <c:w val="0.12195121951219511"/>
          <c:h val="0.58045977011494232"/>
        </c:manualLayout>
      </c:layout>
      <c:spPr>
        <a:solidFill>
          <a:srgbClr val="FFFFFF"/>
        </a:solidFill>
        <a:ln w="3172">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2">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627254509018036"/>
          <c:y val="6.6225165562913871E-2"/>
          <c:w val="0.84368737474949895"/>
          <c:h val="0.59933774834437059"/>
        </c:manualLayout>
      </c:layout>
      <c:lineChart>
        <c:grouping val="standard"/>
        <c:ser>
          <c:idx val="0"/>
          <c:order val="0"/>
          <c:tx>
            <c:strRef>
              <c:f>TODOS!$B$6:$B$7</c:f>
              <c:strCache>
                <c:ptCount val="1"/>
                <c:pt idx="0">
                  <c:v>M.O Produbanco</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TODOS!$B$8:$B$13</c:f>
              <c:numCache>
                <c:formatCode>#,##0.00</c:formatCode>
                <c:ptCount val="6"/>
                <c:pt idx="0">
                  <c:v>10002.34</c:v>
                </c:pt>
                <c:pt idx="1">
                  <c:v>2.3399999999965067</c:v>
                </c:pt>
                <c:pt idx="2" formatCode="0.00">
                  <c:v>2.5397000000011758</c:v>
                </c:pt>
                <c:pt idx="3">
                  <c:v>5.5379999998840503</c:v>
                </c:pt>
                <c:pt idx="4">
                  <c:v>10002.34</c:v>
                </c:pt>
                <c:pt idx="5">
                  <c:v>1002.4374000000244</c:v>
                </c:pt>
              </c:numCache>
            </c:numRef>
          </c:val>
        </c:ser>
        <c:ser>
          <c:idx val="1"/>
          <c:order val="1"/>
          <c:tx>
            <c:strRef>
              <c:f>TODOS!$C$6:$C$7</c:f>
              <c:strCache>
                <c:ptCount val="1"/>
                <c:pt idx="0">
                  <c:v>M.O Pichincha</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TODOS!$C$8:$C$13</c:f>
              <c:numCache>
                <c:formatCode>#,##0.00</c:formatCode>
                <c:ptCount val="6"/>
                <c:pt idx="0">
                  <c:v>1000</c:v>
                </c:pt>
                <c:pt idx="1">
                  <c:v>0</c:v>
                </c:pt>
                <c:pt idx="2" formatCode="General">
                  <c:v>3000</c:v>
                </c:pt>
                <c:pt idx="3">
                  <c:v>3000</c:v>
                </c:pt>
                <c:pt idx="4">
                  <c:v>300</c:v>
                </c:pt>
                <c:pt idx="5">
                  <c:v>0</c:v>
                </c:pt>
              </c:numCache>
            </c:numRef>
          </c:val>
        </c:ser>
        <c:ser>
          <c:idx val="2"/>
          <c:order val="2"/>
          <c:tx>
            <c:strRef>
              <c:f>TODOS!$D$6:$D$7</c:f>
              <c:strCache>
                <c:ptCount val="1"/>
                <c:pt idx="0">
                  <c:v>SER Produbanco</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TODOS!$D$8:$D$13</c:f>
              <c:numCache>
                <c:formatCode>#,##0.00</c:formatCode>
                <c:ptCount val="6"/>
                <c:pt idx="0">
                  <c:v>6002.92</c:v>
                </c:pt>
                <c:pt idx="1">
                  <c:v>35.803599999999278</c:v>
                </c:pt>
                <c:pt idx="2" formatCode="0.00">
                  <c:v>302.38969999999966</c:v>
                </c:pt>
                <c:pt idx="3">
                  <c:v>10002.34</c:v>
                </c:pt>
                <c:pt idx="4">
                  <c:v>802.33999999999639</c:v>
                </c:pt>
                <c:pt idx="5">
                  <c:v>2.3400000000110595</c:v>
                </c:pt>
              </c:numCache>
            </c:numRef>
          </c:val>
        </c:ser>
        <c:ser>
          <c:idx val="3"/>
          <c:order val="3"/>
          <c:tx>
            <c:strRef>
              <c:f>TODOS!$E$6:$E$7</c:f>
              <c:strCache>
                <c:ptCount val="1"/>
                <c:pt idx="0">
                  <c:v>D.U. Produbanco</c:v>
                </c:pt>
              </c:strCache>
            </c:strRef>
          </c:tx>
          <c:spPr>
            <a:ln w="12700">
              <a:solidFill>
                <a:srgbClr val="00FFFF"/>
              </a:solidFill>
              <a:prstDash val="solid"/>
            </a:ln>
          </c:spPr>
          <c:marker>
            <c:symbol val="x"/>
            <c:size val="5"/>
            <c:spPr>
              <a:noFill/>
              <a:ln>
                <a:solidFill>
                  <a:srgbClr val="00FFFF"/>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TODOS!$E$8:$E$13</c:f>
              <c:numCache>
                <c:formatCode>#,##0.00</c:formatCode>
                <c:ptCount val="6"/>
                <c:pt idx="0">
                  <c:v>0</c:v>
                </c:pt>
                <c:pt idx="1">
                  <c:v>0</c:v>
                </c:pt>
                <c:pt idx="2" formatCode="General">
                  <c:v>0</c:v>
                </c:pt>
                <c:pt idx="3">
                  <c:v>0</c:v>
                </c:pt>
                <c:pt idx="4">
                  <c:v>0</c:v>
                </c:pt>
                <c:pt idx="5">
                  <c:v>0</c:v>
                </c:pt>
              </c:numCache>
            </c:numRef>
          </c:val>
        </c:ser>
        <c:ser>
          <c:idx val="4"/>
          <c:order val="4"/>
          <c:tx>
            <c:strRef>
              <c:f>TODOS!$F$6:$F$7</c:f>
              <c:strCache>
                <c:ptCount val="1"/>
                <c:pt idx="0">
                  <c:v>D.U. Produfondos</c:v>
                </c:pt>
              </c:strCache>
            </c:strRef>
          </c:tx>
          <c:spPr>
            <a:ln w="12700">
              <a:solidFill>
                <a:srgbClr val="800080"/>
              </a:solidFill>
              <a:prstDash val="solid"/>
            </a:ln>
          </c:spPr>
          <c:marker>
            <c:symbol val="star"/>
            <c:size val="5"/>
            <c:spPr>
              <a:noFill/>
              <a:ln>
                <a:solidFill>
                  <a:srgbClr val="800080"/>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TODOS!$F$8:$F$13</c:f>
              <c:numCache>
                <c:formatCode>#,##0.00</c:formatCode>
                <c:ptCount val="6"/>
                <c:pt idx="0">
                  <c:v>50</c:v>
                </c:pt>
                <c:pt idx="1">
                  <c:v>70</c:v>
                </c:pt>
                <c:pt idx="2" formatCode="General">
                  <c:v>0.9600000000000366</c:v>
                </c:pt>
                <c:pt idx="3">
                  <c:v>0</c:v>
                </c:pt>
                <c:pt idx="4">
                  <c:v>0</c:v>
                </c:pt>
                <c:pt idx="5">
                  <c:v>0</c:v>
                </c:pt>
              </c:numCache>
            </c:numRef>
          </c:val>
        </c:ser>
        <c:ser>
          <c:idx val="5"/>
          <c:order val="5"/>
          <c:tx>
            <c:strRef>
              <c:f>TODOS!$G$6:$G$7</c:f>
              <c:strCache>
                <c:ptCount val="1"/>
                <c:pt idx="0">
                  <c:v>M.I. Produbanco</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TODOS!$G$8:$G$13</c:f>
              <c:numCache>
                <c:formatCode>#,##0.00</c:formatCode>
                <c:ptCount val="6"/>
                <c:pt idx="0">
                  <c:v>6000</c:v>
                </c:pt>
                <c:pt idx="1">
                  <c:v>8928.0300000000007</c:v>
                </c:pt>
                <c:pt idx="2" formatCode="0.00">
                  <c:v>102.48729999992071</c:v>
                </c:pt>
                <c:pt idx="3">
                  <c:v>60.000000000058208</c:v>
                </c:pt>
                <c:pt idx="4">
                  <c:v>1000.8999999999942</c:v>
                </c:pt>
                <c:pt idx="5">
                  <c:v>0</c:v>
                </c:pt>
              </c:numCache>
            </c:numRef>
          </c:val>
        </c:ser>
        <c:ser>
          <c:idx val="6"/>
          <c:order val="6"/>
          <c:tx>
            <c:strRef>
              <c:f>TODOS!$H$6:$H$7</c:f>
              <c:strCache>
                <c:ptCount val="1"/>
                <c:pt idx="0">
                  <c:v>M.I. Produfondos</c:v>
                </c:pt>
              </c:strCache>
            </c:strRef>
          </c:tx>
          <c:spPr>
            <a:ln w="12700">
              <a:solidFill>
                <a:srgbClr val="008080"/>
              </a:solidFill>
              <a:prstDash val="solid"/>
            </a:ln>
          </c:spPr>
          <c:marker>
            <c:symbol val="plus"/>
            <c:size val="5"/>
            <c:spPr>
              <a:noFill/>
              <a:ln>
                <a:solidFill>
                  <a:srgbClr val="008080"/>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TODOS!$H$8:$H$13</c:f>
              <c:numCache>
                <c:formatCode>#,##0.00</c:formatCode>
                <c:ptCount val="6"/>
                <c:pt idx="0">
                  <c:v>7.4899999999997835</c:v>
                </c:pt>
                <c:pt idx="1">
                  <c:v>50.9399999999996</c:v>
                </c:pt>
                <c:pt idx="2" formatCode="General">
                  <c:v>100</c:v>
                </c:pt>
                <c:pt idx="3">
                  <c:v>50.409999999999862</c:v>
                </c:pt>
                <c:pt idx="4">
                  <c:v>33.58</c:v>
                </c:pt>
                <c:pt idx="5">
                  <c:v>0</c:v>
                </c:pt>
              </c:numCache>
            </c:numRef>
          </c:val>
        </c:ser>
        <c:ser>
          <c:idx val="7"/>
          <c:order val="7"/>
          <c:tx>
            <c:strRef>
              <c:f>TODOS!$I$6:$I$7</c:f>
              <c:strCache>
                <c:ptCount val="1"/>
                <c:pt idx="0">
                  <c:v>F.A. Produbanco</c:v>
                </c:pt>
              </c:strCache>
            </c:strRef>
          </c:tx>
          <c:spPr>
            <a:ln w="12700">
              <a:solidFill>
                <a:srgbClr val="0000FF"/>
              </a:solidFill>
              <a:prstDash val="solid"/>
            </a:ln>
          </c:spPr>
          <c:marker>
            <c:symbol val="dot"/>
            <c:size val="5"/>
            <c:spPr>
              <a:noFill/>
              <a:ln>
                <a:solidFill>
                  <a:srgbClr val="0000FF"/>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TODOS!$I$8:$I$13</c:f>
              <c:numCache>
                <c:formatCode>#,##0.00</c:formatCode>
                <c:ptCount val="6"/>
                <c:pt idx="0">
                  <c:v>203.0499999999883</c:v>
                </c:pt>
                <c:pt idx="1">
                  <c:v>4.0500000000465661</c:v>
                </c:pt>
                <c:pt idx="2" formatCode="General">
                  <c:v>3.0500000000465661</c:v>
                </c:pt>
                <c:pt idx="3">
                  <c:v>3.0500000000174632</c:v>
                </c:pt>
                <c:pt idx="4">
                  <c:v>50</c:v>
                </c:pt>
                <c:pt idx="5">
                  <c:v>0</c:v>
                </c:pt>
              </c:numCache>
            </c:numRef>
          </c:val>
        </c:ser>
        <c:ser>
          <c:idx val="8"/>
          <c:order val="8"/>
          <c:tx>
            <c:strRef>
              <c:f>TODOS!$J$6:$J$7</c:f>
              <c:strCache>
                <c:ptCount val="1"/>
                <c:pt idx="0">
                  <c:v>F.A. Produfondos</c:v>
                </c:pt>
              </c:strCache>
            </c:strRef>
          </c:tx>
          <c:spPr>
            <a:ln w="12700">
              <a:solidFill>
                <a:srgbClr val="00CCFF"/>
              </a:solidFill>
              <a:prstDash val="solid"/>
            </a:ln>
          </c:spPr>
          <c:marker>
            <c:symbol val="dash"/>
            <c:size val="5"/>
            <c:spPr>
              <a:noFill/>
              <a:ln>
                <a:solidFill>
                  <a:srgbClr val="00CCFF"/>
                </a:solidFill>
                <a:prstDash val="solid"/>
              </a:ln>
            </c:spPr>
          </c:marker>
          <c:cat>
            <c:strRef>
              <c:f>TODOS!$A$8:$A$13</c:f>
              <c:strCache>
                <c:ptCount val="6"/>
                <c:pt idx="0">
                  <c:v>ENERO</c:v>
                </c:pt>
                <c:pt idx="1">
                  <c:v>FEBRERO</c:v>
                </c:pt>
                <c:pt idx="2">
                  <c:v>MARZO</c:v>
                </c:pt>
                <c:pt idx="3">
                  <c:v>ABRIL</c:v>
                </c:pt>
                <c:pt idx="4">
                  <c:v>MAYO</c:v>
                </c:pt>
                <c:pt idx="5">
                  <c:v>JUNIO</c:v>
                </c:pt>
              </c:strCache>
            </c:strRef>
          </c:cat>
          <c:val>
            <c:numRef>
              <c:f>TODOS!$J$8:$J$13</c:f>
              <c:numCache>
                <c:formatCode>#,##0.00</c:formatCode>
                <c:ptCount val="6"/>
                <c:pt idx="0">
                  <c:v>50.02</c:v>
                </c:pt>
                <c:pt idx="1">
                  <c:v>51.99</c:v>
                </c:pt>
                <c:pt idx="2" formatCode="General">
                  <c:v>1.9900000000000095</c:v>
                </c:pt>
                <c:pt idx="3">
                  <c:v>0</c:v>
                </c:pt>
                <c:pt idx="4">
                  <c:v>45.569999999999951</c:v>
                </c:pt>
                <c:pt idx="5">
                  <c:v>0</c:v>
                </c:pt>
              </c:numCache>
            </c:numRef>
          </c:val>
        </c:ser>
        <c:marker val="1"/>
        <c:axId val="314425728"/>
        <c:axId val="314427648"/>
      </c:lineChart>
      <c:catAx>
        <c:axId val="31442572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14427648"/>
        <c:crosses val="autoZero"/>
        <c:auto val="1"/>
        <c:lblAlgn val="ctr"/>
        <c:lblOffset val="100"/>
        <c:tickLblSkip val="1"/>
        <c:tickMarkSkip val="1"/>
      </c:catAx>
      <c:valAx>
        <c:axId val="314427648"/>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14425728"/>
        <c:crosses val="autoZero"/>
        <c:crossBetween val="between"/>
      </c:valAx>
      <c:spPr>
        <a:solidFill>
          <a:srgbClr val="C0C0C0"/>
        </a:solidFill>
        <a:ln w="12700">
          <a:solidFill>
            <a:srgbClr val="808080"/>
          </a:solidFill>
          <a:prstDash val="solid"/>
        </a:ln>
      </c:spPr>
    </c:plotArea>
    <c:legend>
      <c:legendPos val="b"/>
      <c:layout>
        <c:manualLayout>
          <c:xMode val="edge"/>
          <c:yMode val="edge"/>
          <c:x val="0.19438877755511022"/>
          <c:y val="0.79139072847682124"/>
          <c:w val="0.72545090180360716"/>
          <c:h val="0.19867549668874168"/>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1" b="1" i="0" u="none" strike="noStrike" baseline="0">
                <a:solidFill>
                  <a:srgbClr val="000000"/>
                </a:solidFill>
                <a:latin typeface="Arial"/>
                <a:ea typeface="Arial"/>
                <a:cs typeface="Arial"/>
              </a:defRPr>
            </a:pPr>
            <a:r>
              <a:t>DIAGRAMA DE DISPERSION</a:t>
            </a:r>
          </a:p>
        </c:rich>
      </c:tx>
      <c:layout>
        <c:manualLayout>
          <c:xMode val="edge"/>
          <c:yMode val="edge"/>
          <c:x val="0.24829157175398633"/>
          <c:y val="1.2765957446808515E-2"/>
        </c:manualLayout>
      </c:layout>
      <c:spPr>
        <a:noFill/>
        <a:ln w="25419">
          <a:noFill/>
        </a:ln>
      </c:spPr>
    </c:title>
    <c:plotArea>
      <c:layout>
        <c:manualLayout>
          <c:layoutTarget val="inner"/>
          <c:xMode val="edge"/>
          <c:yMode val="edge"/>
          <c:x val="0.2642369020501138"/>
          <c:y val="0.25957446808510637"/>
          <c:w val="0.42141230068337132"/>
          <c:h val="0.37872340425531925"/>
        </c:manualLayout>
      </c:layout>
      <c:scatterChart>
        <c:scatterStyle val="lineMarker"/>
        <c:ser>
          <c:idx val="0"/>
          <c:order val="0"/>
          <c:tx>
            <c:v>DIAGRAMA DE DISPERSION</c:v>
          </c:tx>
          <c:spPr>
            <a:ln w="28596">
              <a:noFill/>
            </a:ln>
          </c:spPr>
          <c:marker>
            <c:symbol val="diamond"/>
            <c:size val="5"/>
            <c:spPr>
              <a:solidFill>
                <a:srgbClr val="000080"/>
              </a:solidFill>
              <a:ln>
                <a:solidFill>
                  <a:srgbClr val="000080"/>
                </a:solidFill>
                <a:prstDash val="solid"/>
              </a:ln>
            </c:spPr>
          </c:marker>
          <c:xVal>
            <c:numRef>
              <c:f>'[1]cuartiles y dif. histo y disper'!$N$51:$N$58</c:f>
              <c:numCache>
                <c:formatCode>General</c:formatCode>
                <c:ptCount val="8"/>
                <c:pt idx="0">
                  <c:v>28317.54</c:v>
                </c:pt>
                <c:pt idx="2">
                  <c:v>17148.133300000001</c:v>
                </c:pt>
                <c:pt idx="3">
                  <c:v>120.96000000000002</c:v>
                </c:pt>
                <c:pt idx="5">
                  <c:v>16333.84</c:v>
                </c:pt>
                <c:pt idx="7">
                  <c:v>412.77</c:v>
                </c:pt>
              </c:numCache>
            </c:numRef>
          </c:xVal>
          <c:yVal>
            <c:numRef>
              <c:f>'[1]cuartiles y dif. histo y disper'!$M$51:$M$58</c:f>
              <c:numCache>
                <c:formatCode>General</c:formatCode>
                <c:ptCount val="8"/>
                <c:pt idx="0">
                  <c:v>2</c:v>
                </c:pt>
                <c:pt idx="2">
                  <c:v>3</c:v>
                </c:pt>
                <c:pt idx="3">
                  <c:v>6</c:v>
                </c:pt>
                <c:pt idx="5">
                  <c:v>4</c:v>
                </c:pt>
                <c:pt idx="7">
                  <c:v>5</c:v>
                </c:pt>
              </c:numCache>
            </c:numRef>
          </c:yVal>
        </c:ser>
        <c:axId val="314397824"/>
        <c:axId val="314400128"/>
      </c:scatterChart>
      <c:valAx>
        <c:axId val="314397824"/>
        <c:scaling>
          <c:orientation val="minMax"/>
        </c:scaling>
        <c:axPos val="b"/>
        <c:title>
          <c:tx>
            <c:rich>
              <a:bodyPr/>
              <a:lstStyle/>
              <a:p>
                <a:pPr>
                  <a:defRPr sz="650" b="1" i="0" u="none" strike="noStrike" baseline="0">
                    <a:solidFill>
                      <a:srgbClr val="000000"/>
                    </a:solidFill>
                    <a:latin typeface="Arial"/>
                    <a:ea typeface="Arial"/>
                    <a:cs typeface="Arial"/>
                  </a:defRPr>
                </a:pPr>
                <a:r>
                  <a:t>TOTAL DE DIFERENCIA EN LOS SALDOS</a:t>
                </a:r>
              </a:p>
            </c:rich>
          </c:tx>
          <c:layout>
            <c:manualLayout>
              <c:xMode val="edge"/>
              <c:yMode val="edge"/>
              <c:x val="0.22551252847380412"/>
              <c:y val="0.79148936170212736"/>
            </c:manualLayout>
          </c:layout>
          <c:spPr>
            <a:noFill/>
            <a:ln w="25419">
              <a:noFill/>
            </a:ln>
          </c:spPr>
        </c:title>
        <c:numFmt formatCode="General" sourceLinked="1"/>
        <c:tickLblPos val="nextTo"/>
        <c:spPr>
          <a:ln w="3177">
            <a:solidFill>
              <a:srgbClr val="000000"/>
            </a:solidFill>
            <a:prstDash val="solid"/>
          </a:ln>
        </c:spPr>
        <c:txPr>
          <a:bodyPr rot="0" vert="horz"/>
          <a:lstStyle/>
          <a:p>
            <a:pPr>
              <a:defRPr sz="1201" b="0" i="0" u="none" strike="noStrike" baseline="0">
                <a:solidFill>
                  <a:srgbClr val="000000"/>
                </a:solidFill>
                <a:latin typeface="Arial"/>
                <a:ea typeface="Arial"/>
                <a:cs typeface="Arial"/>
              </a:defRPr>
            </a:pPr>
            <a:endParaRPr lang="es-ES"/>
          </a:p>
        </c:txPr>
        <c:crossAx val="314400128"/>
        <c:crosses val="autoZero"/>
        <c:crossBetween val="midCat"/>
      </c:valAx>
      <c:valAx>
        <c:axId val="314400128"/>
        <c:scaling>
          <c:orientation val="minMax"/>
        </c:scaling>
        <c:axPos val="l"/>
        <c:majorGridlines>
          <c:spPr>
            <a:ln w="3177">
              <a:solidFill>
                <a:srgbClr val="000000"/>
              </a:solidFill>
              <a:prstDash val="solid"/>
            </a:ln>
          </c:spPr>
        </c:majorGridlines>
        <c:title>
          <c:tx>
            <c:rich>
              <a:bodyPr/>
              <a:lstStyle/>
              <a:p>
                <a:pPr>
                  <a:defRPr sz="650" b="1" i="0" u="none" strike="noStrike" baseline="0">
                    <a:solidFill>
                      <a:srgbClr val="000000"/>
                    </a:solidFill>
                    <a:latin typeface="Arial"/>
                    <a:ea typeface="Arial"/>
                    <a:cs typeface="Arial"/>
                  </a:defRPr>
                </a:pPr>
                <a:r>
                  <a:t>NÚMERO DE REQUISITOS REVISADOS PARA EL CONTROL</a:t>
                </a:r>
              </a:p>
            </c:rich>
          </c:tx>
          <c:layout>
            <c:manualLayout>
              <c:xMode val="edge"/>
              <c:yMode val="edge"/>
              <c:x val="0.11617312072892948"/>
              <c:y val="0.15319148936170224"/>
            </c:manualLayout>
          </c:layout>
          <c:spPr>
            <a:noFill/>
            <a:ln w="25419">
              <a:noFill/>
            </a:ln>
          </c:spPr>
        </c:title>
        <c:numFmt formatCode="General" sourceLinked="1"/>
        <c:tickLblPos val="nextTo"/>
        <c:spPr>
          <a:ln w="3177">
            <a:solidFill>
              <a:srgbClr val="000000"/>
            </a:solidFill>
            <a:prstDash val="solid"/>
          </a:ln>
        </c:spPr>
        <c:txPr>
          <a:bodyPr rot="0" vert="horz"/>
          <a:lstStyle/>
          <a:p>
            <a:pPr>
              <a:defRPr sz="1201" b="0" i="0" u="none" strike="noStrike" baseline="0">
                <a:solidFill>
                  <a:srgbClr val="000000"/>
                </a:solidFill>
                <a:latin typeface="Arial"/>
                <a:ea typeface="Arial"/>
                <a:cs typeface="Arial"/>
              </a:defRPr>
            </a:pPr>
            <a:endParaRPr lang="es-ES"/>
          </a:p>
        </c:txPr>
        <c:crossAx val="314397824"/>
        <c:crosses val="autoZero"/>
        <c:crossBetween val="midCat"/>
      </c:valAx>
      <c:spPr>
        <a:solidFill>
          <a:srgbClr val="C0C0C0"/>
        </a:solidFill>
        <a:ln w="12710">
          <a:solidFill>
            <a:srgbClr val="808080"/>
          </a:solidFill>
          <a:prstDash val="solid"/>
        </a:ln>
      </c:spPr>
    </c:plotArea>
    <c:plotVisOnly val="1"/>
    <c:dispBlanksAs val="gap"/>
  </c:chart>
  <c:spPr>
    <a:solidFill>
      <a:srgbClr val="FFFFFF"/>
    </a:solidFill>
    <a:ln w="3177">
      <a:solidFill>
        <a:srgbClr val="000000"/>
      </a:solidFill>
      <a:prstDash val="solid"/>
    </a:ln>
  </c:spPr>
  <c:txPr>
    <a:bodyPr/>
    <a:lstStyle/>
    <a:p>
      <a:pPr>
        <a:defRPr sz="1201"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959287531806616"/>
          <c:y val="8.0188679245283015E-2"/>
          <c:w val="0.65139949109414785"/>
          <c:h val="0.78301886792452835"/>
        </c:manualLayout>
      </c:layout>
      <c:lineChart>
        <c:grouping val="standard"/>
        <c:ser>
          <c:idx val="0"/>
          <c:order val="0"/>
          <c:tx>
            <c:strRef>
              <c:f>M.O.!$C$3</c:f>
              <c:strCache>
                <c:ptCount val="1"/>
                <c:pt idx="0">
                  <c:v>Produbanco</c:v>
                </c:pt>
              </c:strCache>
            </c:strRef>
          </c:tx>
          <c:spPr>
            <a:ln w="12683">
              <a:solidFill>
                <a:srgbClr val="000080"/>
              </a:solidFill>
              <a:prstDash val="solid"/>
            </a:ln>
          </c:spPr>
          <c:marker>
            <c:symbol val="diamond"/>
            <c:size val="4"/>
            <c:spPr>
              <a:solidFill>
                <a:srgbClr val="000080"/>
              </a:solidFill>
              <a:ln>
                <a:solidFill>
                  <a:srgbClr val="000080"/>
                </a:solidFill>
                <a:prstDash val="solid"/>
              </a:ln>
            </c:spPr>
          </c:marker>
          <c:cat>
            <c:strRef>
              <c:f>M.O.!$B$4:$B$9</c:f>
              <c:strCache>
                <c:ptCount val="6"/>
                <c:pt idx="0">
                  <c:v>ENERO</c:v>
                </c:pt>
                <c:pt idx="1">
                  <c:v>FEBRERO</c:v>
                </c:pt>
                <c:pt idx="2">
                  <c:v>MARZO</c:v>
                </c:pt>
                <c:pt idx="3">
                  <c:v>ABRIL</c:v>
                </c:pt>
                <c:pt idx="4">
                  <c:v>MAYO</c:v>
                </c:pt>
                <c:pt idx="5">
                  <c:v>JUNIO</c:v>
                </c:pt>
              </c:strCache>
            </c:strRef>
          </c:cat>
          <c:val>
            <c:numRef>
              <c:f>M.O.!$C$4:$C$9</c:f>
              <c:numCache>
                <c:formatCode>#,##0.00</c:formatCode>
                <c:ptCount val="6"/>
                <c:pt idx="0">
                  <c:v>10002.34</c:v>
                </c:pt>
                <c:pt idx="1">
                  <c:v>2.3399999999965067</c:v>
                </c:pt>
                <c:pt idx="2" formatCode="0.00">
                  <c:v>2.5397000000011758</c:v>
                </c:pt>
                <c:pt idx="3">
                  <c:v>5.5379999998840503</c:v>
                </c:pt>
                <c:pt idx="4">
                  <c:v>10002.34</c:v>
                </c:pt>
                <c:pt idx="5">
                  <c:v>1002.4374000000244</c:v>
                </c:pt>
              </c:numCache>
            </c:numRef>
          </c:val>
        </c:ser>
        <c:ser>
          <c:idx val="1"/>
          <c:order val="1"/>
          <c:tx>
            <c:strRef>
              <c:f>M.O.!$D$3</c:f>
              <c:strCache>
                <c:ptCount val="1"/>
                <c:pt idx="0">
                  <c:v>Pichincha</c:v>
                </c:pt>
              </c:strCache>
            </c:strRef>
          </c:tx>
          <c:spPr>
            <a:ln w="12683">
              <a:solidFill>
                <a:srgbClr val="FF00FF"/>
              </a:solidFill>
              <a:prstDash val="solid"/>
            </a:ln>
          </c:spPr>
          <c:marker>
            <c:symbol val="square"/>
            <c:size val="4"/>
            <c:spPr>
              <a:solidFill>
                <a:srgbClr val="FF00FF"/>
              </a:solidFill>
              <a:ln>
                <a:solidFill>
                  <a:srgbClr val="FF00FF"/>
                </a:solidFill>
                <a:prstDash val="solid"/>
              </a:ln>
            </c:spPr>
          </c:marker>
          <c:cat>
            <c:strRef>
              <c:f>M.O.!$B$4:$B$9</c:f>
              <c:strCache>
                <c:ptCount val="6"/>
                <c:pt idx="0">
                  <c:v>ENERO</c:v>
                </c:pt>
                <c:pt idx="1">
                  <c:v>FEBRERO</c:v>
                </c:pt>
                <c:pt idx="2">
                  <c:v>MARZO</c:v>
                </c:pt>
                <c:pt idx="3">
                  <c:v>ABRIL</c:v>
                </c:pt>
                <c:pt idx="4">
                  <c:v>MAYO</c:v>
                </c:pt>
                <c:pt idx="5">
                  <c:v>JUNIO</c:v>
                </c:pt>
              </c:strCache>
            </c:strRef>
          </c:cat>
          <c:val>
            <c:numRef>
              <c:f>M.O.!$D$4:$D$9</c:f>
              <c:numCache>
                <c:formatCode>#,##0.00</c:formatCode>
                <c:ptCount val="6"/>
                <c:pt idx="0">
                  <c:v>1000</c:v>
                </c:pt>
                <c:pt idx="1">
                  <c:v>0</c:v>
                </c:pt>
                <c:pt idx="2">
                  <c:v>3000</c:v>
                </c:pt>
                <c:pt idx="3">
                  <c:v>3000</c:v>
                </c:pt>
                <c:pt idx="4">
                  <c:v>300</c:v>
                </c:pt>
                <c:pt idx="5">
                  <c:v>0</c:v>
                </c:pt>
              </c:numCache>
            </c:numRef>
          </c:val>
        </c:ser>
        <c:marker val="1"/>
        <c:axId val="165859328"/>
        <c:axId val="165861248"/>
      </c:lineChart>
      <c:catAx>
        <c:axId val="165859328"/>
        <c:scaling>
          <c:orientation val="minMax"/>
        </c:scaling>
        <c:axPos val="b"/>
        <c:numFmt formatCode="General" sourceLinked="1"/>
        <c:tickLblPos val="nextTo"/>
        <c:spPr>
          <a:ln w="3171">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165861248"/>
        <c:crosses val="autoZero"/>
        <c:auto val="1"/>
        <c:lblAlgn val="ctr"/>
        <c:lblOffset val="100"/>
        <c:tickLblSkip val="1"/>
        <c:tickMarkSkip val="1"/>
      </c:catAx>
      <c:valAx>
        <c:axId val="165861248"/>
        <c:scaling>
          <c:orientation val="minMax"/>
        </c:scaling>
        <c:axPos val="l"/>
        <c:majorGridlines>
          <c:spPr>
            <a:ln w="3171">
              <a:solidFill>
                <a:srgbClr val="000000"/>
              </a:solidFill>
              <a:prstDash val="solid"/>
            </a:ln>
          </c:spPr>
        </c:majorGridlines>
        <c:numFmt formatCode="#,##0.00" sourceLinked="1"/>
        <c:tickLblPos val="nextTo"/>
        <c:spPr>
          <a:ln w="3171">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165859328"/>
        <c:crosses val="autoZero"/>
        <c:crossBetween val="between"/>
      </c:valAx>
      <c:spPr>
        <a:solidFill>
          <a:srgbClr val="C0C0C0"/>
        </a:solidFill>
        <a:ln w="12683">
          <a:solidFill>
            <a:srgbClr val="808080"/>
          </a:solidFill>
          <a:prstDash val="solid"/>
        </a:ln>
      </c:spPr>
    </c:plotArea>
    <c:legend>
      <c:legendPos val="r"/>
      <c:layout>
        <c:manualLayout>
          <c:xMode val="edge"/>
          <c:yMode val="edge"/>
          <c:x val="0.79898218829516521"/>
          <c:y val="0.41037735849056606"/>
          <c:w val="0.19083969465648856"/>
          <c:h val="0.12735849056603779"/>
        </c:manualLayout>
      </c:layout>
      <c:spPr>
        <a:solidFill>
          <a:srgbClr val="FFFFFF"/>
        </a:solidFill>
        <a:ln w="3171">
          <a:solidFill>
            <a:srgbClr val="000000"/>
          </a:solidFill>
          <a:prstDash val="solid"/>
        </a:ln>
      </c:spPr>
      <c:txPr>
        <a:bodyPr/>
        <a:lstStyle/>
        <a:p>
          <a:pPr>
            <a:defRPr sz="5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1">
      <a:solidFill>
        <a:srgbClr val="000000"/>
      </a:solidFill>
      <a:prstDash val="solid"/>
    </a:ln>
  </c:spPr>
  <c:txPr>
    <a:bodyPr/>
    <a:lstStyle/>
    <a:p>
      <a:pPr>
        <a:defRPr sz="549"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0" u="none" strike="noStrike" baseline="0">
                <a:solidFill>
                  <a:srgbClr val="000000"/>
                </a:solidFill>
                <a:latin typeface="Arial"/>
                <a:ea typeface="Arial"/>
                <a:cs typeface="Arial"/>
              </a:defRPr>
            </a:pPr>
            <a:r>
              <a:t>PICHINCHA CIA M.O.</a:t>
            </a:r>
          </a:p>
        </c:rich>
      </c:tx>
      <c:layout>
        <c:manualLayout>
          <c:xMode val="edge"/>
          <c:yMode val="edge"/>
          <c:x val="0.38877755511022055"/>
          <c:y val="2.1276595744680847E-2"/>
        </c:manualLayout>
      </c:layout>
      <c:spPr>
        <a:noFill/>
        <a:ln w="25350">
          <a:noFill/>
        </a:ln>
      </c:spPr>
    </c:title>
    <c:plotArea>
      <c:layout>
        <c:manualLayout>
          <c:layoutTarget val="inner"/>
          <c:xMode val="edge"/>
          <c:yMode val="edge"/>
          <c:x val="0.12825651302605207"/>
          <c:y val="0.15501519756838916"/>
          <c:w val="0.67735470941883791"/>
          <c:h val="0.70820668693009114"/>
        </c:manualLayout>
      </c:layout>
      <c:barChart>
        <c:barDir val="col"/>
        <c:grouping val="clustered"/>
        <c:ser>
          <c:idx val="0"/>
          <c:order val="0"/>
          <c:tx>
            <c:v>Valor de conciliación</c:v>
          </c:tx>
          <c:spPr>
            <a:solidFill>
              <a:srgbClr val="9999FF"/>
            </a:solidFill>
            <a:ln w="12675">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general'!$D$8,'Cuadro general'!$G$8,'Cuadro general'!$J$8,'Cuadro general'!$M$8,'Cuadro general'!$P$8,'Cuadro general'!$S$8)</c:f>
              <c:numCache>
                <c:formatCode>#,##0.00</c:formatCode>
                <c:ptCount val="6"/>
                <c:pt idx="0">
                  <c:v>3523.9300000000007</c:v>
                </c:pt>
                <c:pt idx="1">
                  <c:v>35034.340000000011</c:v>
                </c:pt>
                <c:pt idx="2">
                  <c:v>38025.340000000011</c:v>
                </c:pt>
                <c:pt idx="3">
                  <c:v>38014.340000000011</c:v>
                </c:pt>
                <c:pt idx="4">
                  <c:v>75918.36</c:v>
                </c:pt>
                <c:pt idx="5">
                  <c:v>75617.36</c:v>
                </c:pt>
              </c:numCache>
            </c:numRef>
          </c:val>
        </c:ser>
        <c:ser>
          <c:idx val="1"/>
          <c:order val="1"/>
          <c:tx>
            <c:v>Valor en libros</c:v>
          </c:tx>
          <c:spPr>
            <a:solidFill>
              <a:srgbClr val="993366"/>
            </a:solidFill>
            <a:ln w="12675">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general'!$E$8,'Cuadro general'!$H$8,'Cuadro general'!$K$8,'Cuadro general'!$N$8,'Cuadro general'!$Q$8,'Cuadro general'!$T$8)</c:f>
              <c:numCache>
                <c:formatCode>#,##0.00</c:formatCode>
                <c:ptCount val="6"/>
                <c:pt idx="0">
                  <c:v>2523.9299999999998</c:v>
                </c:pt>
                <c:pt idx="1">
                  <c:v>35034.340000000011</c:v>
                </c:pt>
                <c:pt idx="2">
                  <c:v>35025.340000000011</c:v>
                </c:pt>
                <c:pt idx="3">
                  <c:v>35014.340000000011</c:v>
                </c:pt>
                <c:pt idx="4">
                  <c:v>75618.36</c:v>
                </c:pt>
                <c:pt idx="5">
                  <c:v>75617.36</c:v>
                </c:pt>
              </c:numCache>
            </c:numRef>
          </c:val>
        </c:ser>
        <c:axId val="284333952"/>
        <c:axId val="284442624"/>
      </c:barChart>
      <c:catAx>
        <c:axId val="284333952"/>
        <c:scaling>
          <c:orientation val="minMax"/>
        </c:scaling>
        <c:axPos val="b"/>
        <c:title>
          <c:tx>
            <c:rich>
              <a:bodyPr/>
              <a:lstStyle/>
              <a:p>
                <a:pPr>
                  <a:defRPr sz="524" b="1" i="0" u="none" strike="noStrike" baseline="0">
                    <a:solidFill>
                      <a:srgbClr val="000000"/>
                    </a:solidFill>
                    <a:latin typeface="Arial"/>
                    <a:ea typeface="Arial"/>
                    <a:cs typeface="Arial"/>
                  </a:defRPr>
                </a:pPr>
                <a:r>
                  <a:t>MESES</a:t>
                </a:r>
              </a:p>
            </c:rich>
          </c:tx>
          <c:layout>
            <c:manualLayout>
              <c:xMode val="edge"/>
              <c:yMode val="edge"/>
              <c:x val="0.43286573146292595"/>
              <c:y val="0.92097264437689974"/>
            </c:manualLayout>
          </c:layout>
          <c:spPr>
            <a:noFill/>
            <a:ln w="25350">
              <a:noFill/>
            </a:ln>
          </c:spPr>
        </c:title>
        <c:numFmt formatCode="General" sourceLinked="1"/>
        <c:tickLblPos val="nextTo"/>
        <c:spPr>
          <a:ln w="3169">
            <a:solidFill>
              <a:srgbClr val="000000"/>
            </a:solidFill>
            <a:prstDash val="solid"/>
          </a:ln>
        </c:spPr>
        <c:txPr>
          <a:bodyPr rot="0" vert="horz"/>
          <a:lstStyle/>
          <a:p>
            <a:pPr>
              <a:defRPr sz="524" b="0" i="0" u="none" strike="noStrike" baseline="0">
                <a:solidFill>
                  <a:srgbClr val="000000"/>
                </a:solidFill>
                <a:latin typeface="Arial"/>
                <a:ea typeface="Arial"/>
                <a:cs typeface="Arial"/>
              </a:defRPr>
            </a:pPr>
            <a:endParaRPr lang="es-ES"/>
          </a:p>
        </c:txPr>
        <c:crossAx val="284442624"/>
        <c:crosses val="autoZero"/>
        <c:auto val="1"/>
        <c:lblAlgn val="ctr"/>
        <c:lblOffset val="100"/>
        <c:tickLblSkip val="1"/>
        <c:tickMarkSkip val="1"/>
      </c:catAx>
      <c:valAx>
        <c:axId val="284442624"/>
        <c:scaling>
          <c:orientation val="minMax"/>
          <c:max val="80000"/>
        </c:scaling>
        <c:axPos val="l"/>
        <c:majorGridlines>
          <c:spPr>
            <a:ln w="3169">
              <a:solidFill>
                <a:srgbClr val="000000"/>
              </a:solidFill>
              <a:prstDash val="solid"/>
            </a:ln>
          </c:spPr>
        </c:majorGridlines>
        <c:title>
          <c:tx>
            <c:rich>
              <a:bodyPr/>
              <a:lstStyle/>
              <a:p>
                <a:pPr>
                  <a:defRPr sz="524" b="1" i="0" u="none" strike="noStrike" baseline="0">
                    <a:solidFill>
                      <a:srgbClr val="000000"/>
                    </a:solidFill>
                    <a:latin typeface="Arial"/>
                    <a:ea typeface="Arial"/>
                    <a:cs typeface="Arial"/>
                  </a:defRPr>
                </a:pPr>
                <a:r>
                  <a:t>VALORES</a:t>
                </a:r>
              </a:p>
            </c:rich>
          </c:tx>
          <c:layout>
            <c:manualLayout>
              <c:xMode val="edge"/>
              <c:yMode val="edge"/>
              <c:x val="2.2044088176352717E-2"/>
              <c:y val="0.44072948328267492"/>
            </c:manualLayout>
          </c:layout>
          <c:spPr>
            <a:noFill/>
            <a:ln w="25350">
              <a:noFill/>
            </a:ln>
          </c:spPr>
        </c:title>
        <c:numFmt formatCode="#,##0.00" sourceLinked="1"/>
        <c:tickLblPos val="nextTo"/>
        <c:spPr>
          <a:ln w="3169">
            <a:solidFill>
              <a:srgbClr val="000000"/>
            </a:solidFill>
            <a:prstDash val="solid"/>
          </a:ln>
        </c:spPr>
        <c:txPr>
          <a:bodyPr rot="0" vert="horz"/>
          <a:lstStyle/>
          <a:p>
            <a:pPr>
              <a:defRPr sz="524" b="0" i="0" u="none" strike="noStrike" baseline="0">
                <a:solidFill>
                  <a:srgbClr val="000000"/>
                </a:solidFill>
                <a:latin typeface="Arial"/>
                <a:ea typeface="Arial"/>
                <a:cs typeface="Arial"/>
              </a:defRPr>
            </a:pPr>
            <a:endParaRPr lang="es-ES"/>
          </a:p>
        </c:txPr>
        <c:crossAx val="284333952"/>
        <c:crosses val="autoZero"/>
        <c:crossBetween val="between"/>
      </c:valAx>
      <c:spPr>
        <a:solidFill>
          <a:srgbClr val="C0C0C0"/>
        </a:solidFill>
        <a:ln w="12675">
          <a:solidFill>
            <a:srgbClr val="808080"/>
          </a:solidFill>
          <a:prstDash val="solid"/>
        </a:ln>
      </c:spPr>
    </c:plotArea>
    <c:legend>
      <c:legendPos val="r"/>
      <c:layout>
        <c:manualLayout>
          <c:xMode val="edge"/>
          <c:yMode val="edge"/>
          <c:x val="0.82765531062124265"/>
          <c:y val="0.4680851063829789"/>
          <c:w val="0.1643286573146292"/>
          <c:h val="8.2066869300911865E-2"/>
        </c:manualLayout>
      </c:layout>
      <c:spPr>
        <a:solidFill>
          <a:srgbClr val="FFFFFF"/>
        </a:solidFill>
        <a:ln w="3169">
          <a:solidFill>
            <a:srgbClr val="000000"/>
          </a:solidFill>
          <a:prstDash val="solid"/>
        </a:ln>
      </c:spPr>
      <c:txPr>
        <a:bodyPr/>
        <a:lstStyle/>
        <a:p>
          <a:pPr>
            <a:defRPr sz="479"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524"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6" b="1" i="0" u="none" strike="noStrike" baseline="0">
                <a:solidFill>
                  <a:srgbClr val="000000"/>
                </a:solidFill>
                <a:latin typeface="Arial"/>
                <a:ea typeface="Arial"/>
                <a:cs typeface="Arial"/>
              </a:defRPr>
            </a:pPr>
            <a:r>
              <a:t> PICHINCHA CIA M.O.</a:t>
            </a:r>
          </a:p>
        </c:rich>
      </c:tx>
      <c:layout>
        <c:manualLayout>
          <c:xMode val="edge"/>
          <c:yMode val="edge"/>
          <c:x val="0.29076086956521752"/>
          <c:y val="1.7341040462427744E-2"/>
        </c:manualLayout>
      </c:layout>
      <c:spPr>
        <a:noFill/>
        <a:ln w="23154">
          <a:noFill/>
        </a:ln>
      </c:spPr>
    </c:title>
    <c:plotArea>
      <c:layout>
        <c:manualLayout>
          <c:layoutTarget val="inner"/>
          <c:xMode val="edge"/>
          <c:yMode val="edge"/>
          <c:x val="0.30978260869565238"/>
          <c:y val="0.439306358381503"/>
          <c:w val="0.15217391304347827"/>
          <c:h val="0.32369942196531792"/>
        </c:manualLayout>
      </c:layout>
      <c:pieChart>
        <c:varyColors val="1"/>
        <c:ser>
          <c:idx val="0"/>
          <c:order val="0"/>
          <c:tx>
            <c:v>PORCENTAJES</c:v>
          </c:tx>
          <c:spPr>
            <a:solidFill>
              <a:srgbClr val="9999FF"/>
            </a:solidFill>
            <a:ln w="11577">
              <a:solidFill>
                <a:srgbClr val="000000"/>
              </a:solidFill>
              <a:prstDash val="solid"/>
            </a:ln>
          </c:spPr>
          <c:dPt>
            <c:idx val="1"/>
            <c:spPr>
              <a:solidFill>
                <a:srgbClr val="993366"/>
              </a:solidFill>
              <a:ln w="11577">
                <a:solidFill>
                  <a:srgbClr val="000000"/>
                </a:solidFill>
                <a:prstDash val="solid"/>
              </a:ln>
            </c:spPr>
          </c:dPt>
          <c:dPt>
            <c:idx val="2"/>
            <c:spPr>
              <a:solidFill>
                <a:srgbClr val="FFFFCC"/>
              </a:solidFill>
              <a:ln w="11577">
                <a:solidFill>
                  <a:srgbClr val="000000"/>
                </a:solidFill>
                <a:prstDash val="solid"/>
              </a:ln>
            </c:spPr>
          </c:dPt>
          <c:dPt>
            <c:idx val="3"/>
            <c:spPr>
              <a:solidFill>
                <a:srgbClr val="CCFFFF"/>
              </a:solidFill>
              <a:ln w="11577">
                <a:solidFill>
                  <a:srgbClr val="000000"/>
                </a:solidFill>
                <a:prstDash val="solid"/>
              </a:ln>
            </c:spPr>
          </c:dPt>
          <c:dPt>
            <c:idx val="4"/>
            <c:spPr>
              <a:solidFill>
                <a:srgbClr val="660066"/>
              </a:solidFill>
              <a:ln w="11577">
                <a:solidFill>
                  <a:srgbClr val="000000"/>
                </a:solidFill>
                <a:prstDash val="solid"/>
              </a:ln>
            </c:spPr>
          </c:dPt>
          <c:dPt>
            <c:idx val="5"/>
            <c:spPr>
              <a:solidFill>
                <a:srgbClr val="FF8080"/>
              </a:solidFill>
              <a:ln w="11577">
                <a:solidFill>
                  <a:srgbClr val="000000"/>
                </a:solidFill>
                <a:prstDash val="solid"/>
              </a:ln>
            </c:spPr>
          </c:dPt>
          <c:dLbls>
            <c:numFmt formatCode="0%" sourceLinked="0"/>
            <c:spPr>
              <a:noFill/>
              <a:ln w="23154">
                <a:noFill/>
              </a:ln>
            </c:spPr>
            <c:txPr>
              <a:bodyPr/>
              <a:lstStyle/>
              <a:p>
                <a:pPr>
                  <a:defRPr sz="843" b="0" i="0" u="none" strike="noStrike" baseline="0">
                    <a:solidFill>
                      <a:srgbClr val="000000"/>
                    </a:solidFill>
                    <a:latin typeface="Arial"/>
                    <a:ea typeface="Arial"/>
                    <a:cs typeface="Arial"/>
                  </a:defRPr>
                </a:pPr>
                <a:endParaRPr lang="es-ES"/>
              </a:p>
            </c:txPr>
            <c:showPercent val="1"/>
            <c:showLeaderLines val="1"/>
          </c:dLbls>
          <c:cat>
            <c:strRef>
              <c:f>('cuadro diferencia'!$C$5,'cuadro diferencia'!$E$5,'cuadro diferencia'!$G$5,'cuadro diferencia'!$I$5,'cuadro diferencia'!$K$5,'cuadro diferencia'!$M$5)</c:f>
              <c:strCache>
                <c:ptCount val="6"/>
                <c:pt idx="0">
                  <c:v>ENERO</c:v>
                </c:pt>
                <c:pt idx="1">
                  <c:v>FEBRERO</c:v>
                </c:pt>
                <c:pt idx="2">
                  <c:v>MARZO</c:v>
                </c:pt>
                <c:pt idx="3">
                  <c:v>ABRIL</c:v>
                </c:pt>
                <c:pt idx="4">
                  <c:v>MAYO</c:v>
                </c:pt>
                <c:pt idx="5">
                  <c:v>JUNIO</c:v>
                </c:pt>
              </c:strCache>
            </c:strRef>
          </c:cat>
          <c:val>
            <c:numRef>
              <c:f>('cuadro diferencia'!$D$8,'cuadro diferencia'!$F$8,'cuadro diferencia'!$H$8,'cuadro diferencia'!$J$8,'cuadro diferencia'!$L$8,'cuadro diferencia'!$N$8)</c:f>
              <c:numCache>
                <c:formatCode>0%</c:formatCode>
                <c:ptCount val="6"/>
                <c:pt idx="0">
                  <c:v>0.13698630136986306</c:v>
                </c:pt>
                <c:pt idx="1">
                  <c:v>0</c:v>
                </c:pt>
                <c:pt idx="2">
                  <c:v>0.41095890410958913</c:v>
                </c:pt>
                <c:pt idx="3">
                  <c:v>0.41095890410958913</c:v>
                </c:pt>
                <c:pt idx="4">
                  <c:v>4.1095890410958895E-2</c:v>
                </c:pt>
                <c:pt idx="5">
                  <c:v>0</c:v>
                </c:pt>
              </c:numCache>
            </c:numRef>
          </c:val>
        </c:ser>
        <c:dLbls>
          <c:showPercent val="1"/>
        </c:dLbls>
        <c:firstSliceAng val="0"/>
      </c:pieChart>
      <c:spPr>
        <a:noFill/>
        <a:ln w="23154">
          <a:noFill/>
        </a:ln>
      </c:spPr>
    </c:plotArea>
    <c:legend>
      <c:legendPos val="r"/>
      <c:layout>
        <c:manualLayout>
          <c:xMode val="edge"/>
          <c:yMode val="edge"/>
          <c:x val="0.77717391304347883"/>
          <c:y val="0.2485549132947977"/>
          <c:w val="0.21195652173913043"/>
          <c:h val="0.69942196531791889"/>
        </c:manualLayout>
      </c:layout>
      <c:spPr>
        <a:solidFill>
          <a:srgbClr val="FFFFFF"/>
        </a:solidFill>
        <a:ln w="2894">
          <a:solidFill>
            <a:srgbClr val="000000"/>
          </a:solidFill>
          <a:prstDash val="solid"/>
        </a:ln>
      </c:spPr>
      <c:txPr>
        <a:bodyPr/>
        <a:lstStyle/>
        <a:p>
          <a:pPr>
            <a:defRPr sz="77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2894">
      <a:solidFill>
        <a:srgbClr val="000000"/>
      </a:solidFill>
      <a:prstDash val="solid"/>
    </a:ln>
  </c:spPr>
  <c:txPr>
    <a:bodyPr/>
    <a:lstStyle/>
    <a:p>
      <a:pPr>
        <a:defRPr sz="843"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BANCO PRODUBANCO CIA SER.</a:t>
            </a:r>
          </a:p>
        </c:rich>
      </c:tx>
      <c:layout>
        <c:manualLayout>
          <c:xMode val="edge"/>
          <c:yMode val="edge"/>
          <c:x val="0.33595284872298642"/>
          <c:y val="2.0565552699228787E-2"/>
        </c:manualLayout>
      </c:layout>
      <c:spPr>
        <a:noFill/>
        <a:ln w="25379">
          <a:noFill/>
        </a:ln>
      </c:spPr>
    </c:title>
    <c:plotArea>
      <c:layout>
        <c:manualLayout>
          <c:layoutTarget val="inner"/>
          <c:xMode val="edge"/>
          <c:yMode val="edge"/>
          <c:x val="0.15324165029469553"/>
          <c:y val="0.13881748071979444"/>
          <c:w val="0.64047151277013781"/>
          <c:h val="0.74550128534704352"/>
        </c:manualLayout>
      </c:layout>
      <c:barChart>
        <c:barDir val="col"/>
        <c:grouping val="clustered"/>
        <c:ser>
          <c:idx val="0"/>
          <c:order val="0"/>
          <c:tx>
            <c:v>Valor de conciliación</c:v>
          </c:tx>
          <c:spPr>
            <a:solidFill>
              <a:srgbClr val="9999FF"/>
            </a:solidFill>
            <a:ln w="12689">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general'!$D$9,'Cuadro general'!$G$9,'Cuadro general'!$J$9,'Cuadro general'!$M$9,'Cuadro general'!$P$9,'Cuadro general'!$S$9)</c:f>
              <c:numCache>
                <c:formatCode>#,##0.00</c:formatCode>
                <c:ptCount val="6"/>
                <c:pt idx="0">
                  <c:v>110569</c:v>
                </c:pt>
                <c:pt idx="1">
                  <c:v>61797</c:v>
                </c:pt>
                <c:pt idx="2">
                  <c:v>17502.849999999991</c:v>
                </c:pt>
                <c:pt idx="3">
                  <c:v>399051.80200000003</c:v>
                </c:pt>
                <c:pt idx="4">
                  <c:v>141978.57759999999</c:v>
                </c:pt>
                <c:pt idx="5">
                  <c:v>108179.90259999996</c:v>
                </c:pt>
              </c:numCache>
            </c:numRef>
          </c:val>
        </c:ser>
        <c:ser>
          <c:idx val="1"/>
          <c:order val="1"/>
          <c:tx>
            <c:v>Valor en libros</c:v>
          </c:tx>
          <c:spPr>
            <a:solidFill>
              <a:srgbClr val="993366"/>
            </a:solidFill>
            <a:ln w="12689">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general'!$E$9,'Cuadro general'!$H$9,'Cuadro general'!$K$9,'Cuadro general'!$N$9,'Cuadro general'!$Q$9,'Cuadro general'!$T$9)</c:f>
              <c:numCache>
                <c:formatCode>#,##0.00</c:formatCode>
                <c:ptCount val="6"/>
                <c:pt idx="0">
                  <c:v>104566.08</c:v>
                </c:pt>
                <c:pt idx="1">
                  <c:v>61761.196399999993</c:v>
                </c:pt>
                <c:pt idx="2">
                  <c:v>17200.460299999999</c:v>
                </c:pt>
                <c:pt idx="3">
                  <c:v>389049.462</c:v>
                </c:pt>
                <c:pt idx="4">
                  <c:v>141176.23759999999</c:v>
                </c:pt>
                <c:pt idx="5">
                  <c:v>108177.56259999995</c:v>
                </c:pt>
              </c:numCache>
            </c:numRef>
          </c:val>
        </c:ser>
        <c:axId val="285025408"/>
        <c:axId val="285027328"/>
      </c:barChart>
      <c:catAx>
        <c:axId val="285025408"/>
        <c:scaling>
          <c:orientation val="minMax"/>
        </c:scaling>
        <c:axPos val="b"/>
        <c:title>
          <c:tx>
            <c:rich>
              <a:bodyPr/>
              <a:lstStyle/>
              <a:p>
                <a:pPr>
                  <a:defRPr sz="575" b="1" i="0" u="none" strike="noStrike" baseline="0">
                    <a:solidFill>
                      <a:srgbClr val="000000"/>
                    </a:solidFill>
                    <a:latin typeface="Arial"/>
                    <a:ea typeface="Arial"/>
                    <a:cs typeface="Arial"/>
                  </a:defRPr>
                </a:pPr>
                <a:r>
                  <a:t>MESES</a:t>
                </a:r>
              </a:p>
            </c:rich>
          </c:tx>
          <c:layout>
            <c:manualLayout>
              <c:xMode val="edge"/>
              <c:yMode val="edge"/>
              <c:x val="0.43614931237721033"/>
              <c:y val="0.93316195372750643"/>
            </c:manualLayout>
          </c:layout>
          <c:spPr>
            <a:noFill/>
            <a:ln w="25379">
              <a:noFill/>
            </a:ln>
          </c:spPr>
        </c:title>
        <c:numFmt formatCode="General" sourceLinked="1"/>
        <c:tickLblPos val="nextTo"/>
        <c:spPr>
          <a:ln w="3172">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85027328"/>
        <c:crosses val="autoZero"/>
        <c:auto val="1"/>
        <c:lblAlgn val="ctr"/>
        <c:lblOffset val="100"/>
        <c:tickLblSkip val="1"/>
        <c:tickMarkSkip val="1"/>
      </c:catAx>
      <c:valAx>
        <c:axId val="285027328"/>
        <c:scaling>
          <c:orientation val="minMax"/>
          <c:max val="400000"/>
        </c:scaling>
        <c:axPos val="l"/>
        <c:majorGridlines>
          <c:spPr>
            <a:ln w="3172">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VALORES</a:t>
                </a:r>
              </a:p>
            </c:rich>
          </c:tx>
          <c:layout>
            <c:manualLayout>
              <c:xMode val="edge"/>
              <c:yMode val="edge"/>
              <c:x val="2.1611001964636542E-2"/>
              <c:y val="0.44730077120822637"/>
            </c:manualLayout>
          </c:layout>
          <c:spPr>
            <a:noFill/>
            <a:ln w="25379">
              <a:noFill/>
            </a:ln>
          </c:spPr>
        </c:title>
        <c:numFmt formatCode="#,##0.00" sourceLinked="1"/>
        <c:tickLblPos val="nextTo"/>
        <c:spPr>
          <a:ln w="3172">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85025408"/>
        <c:crosses val="autoZero"/>
        <c:crossBetween val="between"/>
      </c:valAx>
      <c:spPr>
        <a:solidFill>
          <a:srgbClr val="C0C0C0"/>
        </a:solidFill>
        <a:ln w="12689">
          <a:solidFill>
            <a:srgbClr val="808080"/>
          </a:solidFill>
          <a:prstDash val="solid"/>
        </a:ln>
      </c:spPr>
    </c:plotArea>
    <c:legend>
      <c:legendPos val="r"/>
      <c:layout>
        <c:manualLayout>
          <c:xMode val="edge"/>
          <c:yMode val="edge"/>
          <c:x val="0.81532416502946958"/>
          <c:y val="0.47814910025706941"/>
          <c:w val="0.17681728880157177"/>
          <c:h val="6.9408740359897192E-2"/>
        </c:manualLayout>
      </c:layout>
      <c:spPr>
        <a:solidFill>
          <a:srgbClr val="FFFFFF"/>
        </a:solidFill>
        <a:ln w="3172">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575"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8" b="1" i="0" u="none" strike="noStrike" baseline="0">
                <a:solidFill>
                  <a:srgbClr val="000000"/>
                </a:solidFill>
                <a:latin typeface="Arial"/>
                <a:ea typeface="Arial"/>
                <a:cs typeface="Arial"/>
              </a:defRPr>
            </a:pPr>
            <a:r>
              <a:t> PRODUBANCO CIA SER</a:t>
            </a:r>
          </a:p>
        </c:rich>
      </c:tx>
      <c:layout>
        <c:manualLayout>
          <c:xMode val="edge"/>
          <c:yMode val="edge"/>
          <c:x val="0.25474254742547425"/>
          <c:y val="1.7241379310344827E-2"/>
        </c:manualLayout>
      </c:layout>
      <c:spPr>
        <a:noFill/>
        <a:ln w="23208">
          <a:noFill/>
        </a:ln>
      </c:spPr>
    </c:title>
    <c:plotArea>
      <c:layout>
        <c:manualLayout>
          <c:layoutTarget val="inner"/>
          <c:xMode val="edge"/>
          <c:yMode val="edge"/>
          <c:x val="0.31165311653116529"/>
          <c:y val="0.44252873563218392"/>
          <c:w val="0.14905149051490524"/>
          <c:h val="0.31609195402298851"/>
        </c:manualLayout>
      </c:layout>
      <c:pieChart>
        <c:varyColors val="1"/>
        <c:ser>
          <c:idx val="0"/>
          <c:order val="0"/>
          <c:tx>
            <c:v>PORCENTAJES</c:v>
          </c:tx>
          <c:spPr>
            <a:solidFill>
              <a:srgbClr val="9999FF"/>
            </a:solidFill>
            <a:ln w="11604">
              <a:solidFill>
                <a:srgbClr val="000000"/>
              </a:solidFill>
              <a:prstDash val="solid"/>
            </a:ln>
          </c:spPr>
          <c:dPt>
            <c:idx val="1"/>
            <c:spPr>
              <a:solidFill>
                <a:srgbClr val="993366"/>
              </a:solidFill>
              <a:ln w="11604">
                <a:solidFill>
                  <a:srgbClr val="000000"/>
                </a:solidFill>
                <a:prstDash val="solid"/>
              </a:ln>
            </c:spPr>
          </c:dPt>
          <c:dPt>
            <c:idx val="2"/>
            <c:spPr>
              <a:solidFill>
                <a:srgbClr val="FFFFCC"/>
              </a:solidFill>
              <a:ln w="11604">
                <a:solidFill>
                  <a:srgbClr val="000000"/>
                </a:solidFill>
                <a:prstDash val="solid"/>
              </a:ln>
            </c:spPr>
          </c:dPt>
          <c:dPt>
            <c:idx val="3"/>
            <c:spPr>
              <a:solidFill>
                <a:srgbClr val="CCFFFF"/>
              </a:solidFill>
              <a:ln w="11604">
                <a:solidFill>
                  <a:srgbClr val="000000"/>
                </a:solidFill>
                <a:prstDash val="solid"/>
              </a:ln>
            </c:spPr>
          </c:dPt>
          <c:dPt>
            <c:idx val="4"/>
            <c:spPr>
              <a:solidFill>
                <a:srgbClr val="660066"/>
              </a:solidFill>
              <a:ln w="11604">
                <a:solidFill>
                  <a:srgbClr val="000000"/>
                </a:solidFill>
                <a:prstDash val="solid"/>
              </a:ln>
            </c:spPr>
          </c:dPt>
          <c:dPt>
            <c:idx val="5"/>
            <c:spPr>
              <a:solidFill>
                <a:srgbClr val="FF8080"/>
              </a:solidFill>
              <a:ln w="11604">
                <a:solidFill>
                  <a:srgbClr val="000000"/>
                </a:solidFill>
                <a:prstDash val="solid"/>
              </a:ln>
            </c:spPr>
          </c:dPt>
          <c:dLbls>
            <c:numFmt formatCode="0%" sourceLinked="0"/>
            <c:spPr>
              <a:noFill/>
              <a:ln w="23208">
                <a:noFill/>
              </a:ln>
            </c:spPr>
            <c:txPr>
              <a:bodyPr/>
              <a:lstStyle/>
              <a:p>
                <a:pPr>
                  <a:defRPr sz="845" b="0" i="0" u="none" strike="noStrike" baseline="0">
                    <a:solidFill>
                      <a:srgbClr val="000000"/>
                    </a:solidFill>
                    <a:latin typeface="Arial"/>
                    <a:ea typeface="Arial"/>
                    <a:cs typeface="Arial"/>
                  </a:defRPr>
                </a:pPr>
                <a:endParaRPr lang="es-ES"/>
              </a:p>
            </c:txPr>
            <c:showPercent val="1"/>
            <c:showLeaderLines val="1"/>
          </c:dLbls>
          <c:cat>
            <c:strRef>
              <c:f>('cuadro diferencia'!$C$5,'cuadro diferencia'!$E$5,'cuadro diferencia'!$G$5,'cuadro diferencia'!$I$5,'cuadro diferencia'!$K$5,'cuadro diferencia'!$M$5)</c:f>
              <c:strCache>
                <c:ptCount val="6"/>
                <c:pt idx="0">
                  <c:v>ENERO</c:v>
                </c:pt>
                <c:pt idx="1">
                  <c:v>FEBRERO</c:v>
                </c:pt>
                <c:pt idx="2">
                  <c:v>MARZO</c:v>
                </c:pt>
                <c:pt idx="3">
                  <c:v>ABRIL</c:v>
                </c:pt>
                <c:pt idx="4">
                  <c:v>MAYO</c:v>
                </c:pt>
                <c:pt idx="5">
                  <c:v>JUNIO</c:v>
                </c:pt>
              </c:strCache>
            </c:strRef>
          </c:cat>
          <c:val>
            <c:numRef>
              <c:f>('cuadro diferencia'!$D$9,'cuadro diferencia'!$F$9,'cuadro diferencia'!$H$9,'cuadro diferencia'!$J$9,'cuadro diferencia'!$L$9,'cuadro diferencia'!$N$9)</c:f>
              <c:numCache>
                <c:formatCode>0%</c:formatCode>
                <c:ptCount val="6"/>
                <c:pt idx="0">
                  <c:v>0.35006259252719935</c:v>
                </c:pt>
                <c:pt idx="1">
                  <c:v>2.087900727946831E-3</c:v>
                </c:pt>
                <c:pt idx="2">
                  <c:v>1.7633971856283601E-2</c:v>
                </c:pt>
                <c:pt idx="3">
                  <c:v>0.58329031067189074</c:v>
                </c:pt>
                <c:pt idx="4">
                  <c:v>4.6788766215153925E-2</c:v>
                </c:pt>
                <c:pt idx="5">
                  <c:v>1.3645800152551062E-4</c:v>
                </c:pt>
              </c:numCache>
            </c:numRef>
          </c:val>
        </c:ser>
        <c:dLbls>
          <c:showPercent val="1"/>
        </c:dLbls>
        <c:firstSliceAng val="0"/>
      </c:pieChart>
      <c:spPr>
        <a:noFill/>
        <a:ln w="23208">
          <a:noFill/>
        </a:ln>
      </c:spPr>
    </c:plotArea>
    <c:legend>
      <c:legendPos val="r"/>
      <c:layout>
        <c:manualLayout>
          <c:xMode val="edge"/>
          <c:yMode val="edge"/>
          <c:x val="0.77777777777777801"/>
          <c:y val="0.25287356321839088"/>
          <c:w val="0.21138211382113828"/>
          <c:h val="0.6954022988505747"/>
        </c:manualLayout>
      </c:layout>
      <c:spPr>
        <a:solidFill>
          <a:srgbClr val="FFFFFF"/>
        </a:solidFill>
        <a:ln w="2901">
          <a:solidFill>
            <a:srgbClr val="000000"/>
          </a:solidFill>
          <a:prstDash val="solid"/>
        </a:ln>
      </c:spPr>
      <c:txPr>
        <a:bodyPr/>
        <a:lstStyle/>
        <a:p>
          <a:pPr>
            <a:defRPr sz="777"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2901">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020460358056269"/>
          <c:y val="8.0568720379146988E-2"/>
          <c:w val="0.64961636828644498"/>
          <c:h val="0.78199052132701419"/>
        </c:manualLayout>
      </c:layout>
      <c:lineChart>
        <c:grouping val="standard"/>
        <c:ser>
          <c:idx val="0"/>
          <c:order val="0"/>
          <c:tx>
            <c:strRef>
              <c:f>SER!$C$2</c:f>
              <c:strCache>
                <c:ptCount val="1"/>
                <c:pt idx="0">
                  <c:v>Produbanco</c:v>
                </c:pt>
              </c:strCache>
            </c:strRef>
          </c:tx>
          <c:spPr>
            <a:ln w="12689">
              <a:solidFill>
                <a:srgbClr val="000080"/>
              </a:solidFill>
              <a:prstDash val="solid"/>
            </a:ln>
          </c:spPr>
          <c:marker>
            <c:symbol val="diamond"/>
            <c:size val="4"/>
            <c:spPr>
              <a:solidFill>
                <a:srgbClr val="000080"/>
              </a:solidFill>
              <a:ln>
                <a:solidFill>
                  <a:srgbClr val="000080"/>
                </a:solidFill>
                <a:prstDash val="solid"/>
              </a:ln>
            </c:spPr>
          </c:marker>
          <c:cat>
            <c:strRef>
              <c:f>SER!$B$3:$B$8</c:f>
              <c:strCache>
                <c:ptCount val="6"/>
                <c:pt idx="0">
                  <c:v>ENERO</c:v>
                </c:pt>
                <c:pt idx="1">
                  <c:v>FEBRERO</c:v>
                </c:pt>
                <c:pt idx="2">
                  <c:v>MARZO</c:v>
                </c:pt>
                <c:pt idx="3">
                  <c:v>ABRIL</c:v>
                </c:pt>
                <c:pt idx="4">
                  <c:v>MAYO</c:v>
                </c:pt>
                <c:pt idx="5">
                  <c:v>JUNIO</c:v>
                </c:pt>
              </c:strCache>
            </c:strRef>
          </c:cat>
          <c:val>
            <c:numRef>
              <c:f>SER!$C$3:$C$8</c:f>
              <c:numCache>
                <c:formatCode>#,##0.00</c:formatCode>
                <c:ptCount val="6"/>
                <c:pt idx="0">
                  <c:v>6002.92</c:v>
                </c:pt>
                <c:pt idx="1">
                  <c:v>35.803599999999278</c:v>
                </c:pt>
                <c:pt idx="2" formatCode="0.00">
                  <c:v>302.38969999999966</c:v>
                </c:pt>
                <c:pt idx="3">
                  <c:v>10002.34</c:v>
                </c:pt>
                <c:pt idx="4">
                  <c:v>802.33999999999639</c:v>
                </c:pt>
                <c:pt idx="5">
                  <c:v>2.3400000000110595</c:v>
                </c:pt>
              </c:numCache>
            </c:numRef>
          </c:val>
        </c:ser>
        <c:marker val="1"/>
        <c:axId val="285182976"/>
        <c:axId val="285205632"/>
      </c:lineChart>
      <c:catAx>
        <c:axId val="285182976"/>
        <c:scaling>
          <c:orientation val="minMax"/>
        </c:scaling>
        <c:axPos val="b"/>
        <c:numFmt formatCode="General" sourceLinked="1"/>
        <c:tickLblPos val="nextTo"/>
        <c:spPr>
          <a:ln w="3172">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285205632"/>
        <c:crosses val="autoZero"/>
        <c:auto val="1"/>
        <c:lblAlgn val="ctr"/>
        <c:lblOffset val="100"/>
        <c:tickLblSkip val="1"/>
        <c:tickMarkSkip val="1"/>
      </c:catAx>
      <c:valAx>
        <c:axId val="285205632"/>
        <c:scaling>
          <c:orientation val="minMax"/>
        </c:scaling>
        <c:axPos val="l"/>
        <c:majorGridlines>
          <c:spPr>
            <a:ln w="3172">
              <a:solidFill>
                <a:srgbClr val="000000"/>
              </a:solidFill>
              <a:prstDash val="solid"/>
            </a:ln>
          </c:spPr>
        </c:majorGridlines>
        <c:numFmt formatCode="#,##0.00" sourceLinked="1"/>
        <c:tickLblPos val="nextTo"/>
        <c:spPr>
          <a:ln w="3172">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285182976"/>
        <c:crosses val="autoZero"/>
        <c:crossBetween val="between"/>
      </c:valAx>
      <c:spPr>
        <a:solidFill>
          <a:srgbClr val="C0C0C0"/>
        </a:solidFill>
        <a:ln w="12689">
          <a:solidFill>
            <a:srgbClr val="808080"/>
          </a:solidFill>
          <a:prstDash val="solid"/>
        </a:ln>
      </c:spPr>
    </c:plotArea>
    <c:legend>
      <c:legendPos val="r"/>
      <c:layout>
        <c:manualLayout>
          <c:xMode val="edge"/>
          <c:yMode val="edge"/>
          <c:x val="0.79795396419437359"/>
          <c:y val="0.44075829383886267"/>
          <c:w val="0.19181585677749372"/>
          <c:h val="6.6350710900473939E-2"/>
        </c:manualLayout>
      </c:layout>
      <c:spPr>
        <a:solidFill>
          <a:srgbClr val="FFFFFF"/>
        </a:solidFill>
        <a:ln w="3172">
          <a:solidFill>
            <a:srgbClr val="000000"/>
          </a:solidFill>
          <a:prstDash val="solid"/>
        </a:ln>
      </c:spPr>
      <c:txPr>
        <a:bodyPr/>
        <a:lstStyle/>
        <a:p>
          <a:pPr>
            <a:defRPr sz="50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1" b="1" i="0" u="none" strike="noStrike" baseline="0">
                <a:solidFill>
                  <a:srgbClr val="000000"/>
                </a:solidFill>
                <a:latin typeface="Arial"/>
                <a:ea typeface="Arial"/>
                <a:cs typeface="Arial"/>
              </a:defRPr>
            </a:pPr>
            <a:r>
              <a:t>BANCO PRODUFONDOS CIA D.U. </a:t>
            </a:r>
          </a:p>
        </c:rich>
      </c:tx>
      <c:layout>
        <c:manualLayout>
          <c:xMode val="edge"/>
          <c:yMode val="edge"/>
          <c:x val="0.32359081419624236"/>
          <c:y val="2.1148036253776436E-2"/>
        </c:manualLayout>
      </c:layout>
      <c:spPr>
        <a:noFill/>
        <a:ln w="25417">
          <a:noFill/>
        </a:ln>
      </c:spPr>
    </c:title>
    <c:plotArea>
      <c:layout>
        <c:manualLayout>
          <c:layoutTarget val="inner"/>
          <c:xMode val="edge"/>
          <c:yMode val="edge"/>
          <c:x val="0.13152400835073069"/>
          <c:y val="0.15407854984894259"/>
          <c:w val="0.66597077244258918"/>
          <c:h val="0.74622356495468278"/>
        </c:manualLayout>
      </c:layout>
      <c:barChart>
        <c:barDir val="col"/>
        <c:grouping val="clustered"/>
        <c:ser>
          <c:idx val="0"/>
          <c:order val="0"/>
          <c:tx>
            <c:v>Valor de conciliacion</c:v>
          </c:tx>
          <c:spPr>
            <a:solidFill>
              <a:srgbClr val="9999FF"/>
            </a:solidFill>
            <a:ln w="12709">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general'!$D$11,'Cuadro general'!$G$11,'Cuadro general'!$J$11,'Cuadro general'!$M$11,'Cuadro general'!$P$11,'Cuadro general'!$S$11)</c:f>
              <c:numCache>
                <c:formatCode>#,##0.00</c:formatCode>
                <c:ptCount val="6"/>
                <c:pt idx="0">
                  <c:v>11918.04</c:v>
                </c:pt>
                <c:pt idx="1">
                  <c:v>11938.04</c:v>
                </c:pt>
                <c:pt idx="2">
                  <c:v>1869</c:v>
                </c:pt>
                <c:pt idx="3">
                  <c:v>4494.4699999999993</c:v>
                </c:pt>
                <c:pt idx="4">
                  <c:v>10.54</c:v>
                </c:pt>
                <c:pt idx="5">
                  <c:v>25.49</c:v>
                </c:pt>
              </c:numCache>
            </c:numRef>
          </c:val>
        </c:ser>
        <c:ser>
          <c:idx val="1"/>
          <c:order val="1"/>
          <c:tx>
            <c:v>Valor en libros</c:v>
          </c:tx>
          <c:spPr>
            <a:solidFill>
              <a:srgbClr val="993366"/>
            </a:solidFill>
            <a:ln w="12709">
              <a:solidFill>
                <a:srgbClr val="000000"/>
              </a:solidFill>
              <a:prstDash val="solid"/>
            </a:ln>
          </c:spPr>
          <c:cat>
            <c:strRef>
              <c:f>'Cuadro general'!$B$17:$B$22</c:f>
              <c:strCache>
                <c:ptCount val="6"/>
                <c:pt idx="0">
                  <c:v>ENERO</c:v>
                </c:pt>
                <c:pt idx="1">
                  <c:v>FEBRERO</c:v>
                </c:pt>
                <c:pt idx="2">
                  <c:v>MARZO</c:v>
                </c:pt>
                <c:pt idx="3">
                  <c:v>ABRIL</c:v>
                </c:pt>
                <c:pt idx="4">
                  <c:v>MAYO</c:v>
                </c:pt>
                <c:pt idx="5">
                  <c:v>JUNIO</c:v>
                </c:pt>
              </c:strCache>
            </c:strRef>
          </c:cat>
          <c:val>
            <c:numRef>
              <c:f>('Cuadro general'!$E$11,'Cuadro general'!$H$11,'Cuadro general'!$K$11,'Cuadro general'!$N$11,'Cuadro general'!$Q$11,'Cuadro general'!$T$11)</c:f>
              <c:numCache>
                <c:formatCode>#,##0.00</c:formatCode>
                <c:ptCount val="6"/>
                <c:pt idx="0">
                  <c:v>11868.04</c:v>
                </c:pt>
                <c:pt idx="1">
                  <c:v>11868.04</c:v>
                </c:pt>
                <c:pt idx="2">
                  <c:v>1868.04</c:v>
                </c:pt>
                <c:pt idx="3">
                  <c:v>4494.4699999999993</c:v>
                </c:pt>
                <c:pt idx="4">
                  <c:v>10.54</c:v>
                </c:pt>
                <c:pt idx="5">
                  <c:v>25.49</c:v>
                </c:pt>
              </c:numCache>
            </c:numRef>
          </c:val>
        </c:ser>
        <c:axId val="310862976"/>
        <c:axId val="310864896"/>
      </c:barChart>
      <c:catAx>
        <c:axId val="310862976"/>
        <c:scaling>
          <c:orientation val="minMax"/>
        </c:scaling>
        <c:axPos val="b"/>
        <c:title>
          <c:tx>
            <c:rich>
              <a:bodyPr/>
              <a:lstStyle/>
              <a:p>
                <a:pPr>
                  <a:defRPr sz="525" b="1" i="0" u="none" strike="noStrike" baseline="0">
                    <a:solidFill>
                      <a:srgbClr val="000000"/>
                    </a:solidFill>
                    <a:latin typeface="Arial"/>
                    <a:ea typeface="Arial"/>
                    <a:cs typeface="Arial"/>
                  </a:defRPr>
                </a:pPr>
                <a:r>
                  <a:t>MESES</a:t>
                </a:r>
              </a:p>
            </c:rich>
          </c:tx>
          <c:layout>
            <c:manualLayout>
              <c:xMode val="edge"/>
              <c:yMode val="edge"/>
              <c:x val="0.42797494780793344"/>
              <c:y val="0.92145015105740158"/>
            </c:manualLayout>
          </c:layout>
          <c:spPr>
            <a:noFill/>
            <a:ln w="25417">
              <a:noFill/>
            </a:ln>
          </c:spPr>
        </c:title>
        <c:numFmt formatCode="General" sourceLinked="1"/>
        <c:tickLblPos val="nextTo"/>
        <c:spPr>
          <a:ln w="3177">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310864896"/>
        <c:crosses val="autoZero"/>
        <c:auto val="1"/>
        <c:lblAlgn val="ctr"/>
        <c:lblOffset val="100"/>
        <c:tickLblSkip val="1"/>
        <c:tickMarkSkip val="1"/>
      </c:catAx>
      <c:valAx>
        <c:axId val="310864896"/>
        <c:scaling>
          <c:orientation val="minMax"/>
          <c:max val="15000"/>
        </c:scaling>
        <c:axPos val="l"/>
        <c:majorGridlines>
          <c:spPr>
            <a:ln w="3177">
              <a:solidFill>
                <a:srgbClr val="000000"/>
              </a:solidFill>
              <a:prstDash val="solid"/>
            </a:ln>
          </c:spPr>
        </c:majorGridlines>
        <c:title>
          <c:tx>
            <c:rich>
              <a:bodyPr/>
              <a:lstStyle/>
              <a:p>
                <a:pPr>
                  <a:defRPr sz="525" b="1" i="0" u="none" strike="noStrike" baseline="0">
                    <a:solidFill>
                      <a:srgbClr val="000000"/>
                    </a:solidFill>
                    <a:latin typeface="Arial"/>
                    <a:ea typeface="Arial"/>
                    <a:cs typeface="Arial"/>
                  </a:defRPr>
                </a:pPr>
                <a:r>
                  <a:t>VALORES</a:t>
                </a:r>
              </a:p>
            </c:rich>
          </c:tx>
          <c:layout>
            <c:manualLayout>
              <c:xMode val="edge"/>
              <c:yMode val="edge"/>
              <c:x val="2.2964509394572018E-2"/>
              <c:y val="0.45921450151057402"/>
            </c:manualLayout>
          </c:layout>
          <c:spPr>
            <a:noFill/>
            <a:ln w="25417">
              <a:noFill/>
            </a:ln>
          </c:spPr>
        </c:title>
        <c:numFmt formatCode="#,##0.00" sourceLinked="1"/>
        <c:tickLblPos val="nextTo"/>
        <c:spPr>
          <a:ln w="3177">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310862976"/>
        <c:crosses val="autoZero"/>
        <c:crossBetween val="between"/>
      </c:valAx>
      <c:spPr>
        <a:solidFill>
          <a:srgbClr val="C0C0C0"/>
        </a:solidFill>
        <a:ln w="12709">
          <a:solidFill>
            <a:srgbClr val="808080"/>
          </a:solidFill>
          <a:prstDash val="solid"/>
        </a:ln>
      </c:spPr>
    </c:plotArea>
    <c:legend>
      <c:legendPos val="r"/>
      <c:layout>
        <c:manualLayout>
          <c:xMode val="edge"/>
          <c:yMode val="edge"/>
          <c:x val="0.82045929018789165"/>
          <c:y val="0.48640483383685823"/>
          <c:w val="0.17118997912317327"/>
          <c:h val="8.1570996978852006E-2"/>
        </c:manualLayout>
      </c:layout>
      <c:spPr>
        <a:solidFill>
          <a:srgbClr val="FFFFFF"/>
        </a:solidFill>
        <a:ln w="3177">
          <a:solidFill>
            <a:srgbClr val="000000"/>
          </a:solidFill>
          <a:prstDash val="solid"/>
        </a:ln>
      </c:spPr>
      <c:txPr>
        <a:bodyPr/>
        <a:lstStyle/>
        <a:p>
          <a:pPr>
            <a:defRPr sz="48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87</Pages>
  <Words>14085</Words>
  <Characters>77470</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Capítulo I</vt:lpstr>
    </vt:vector>
  </TitlesOfParts>
  <Company>home</Company>
  <LinksUpToDate>false</LinksUpToDate>
  <CharactersWithSpaces>91373</CharactersWithSpaces>
  <SharedDoc>false</SharedDoc>
  <HLinks>
    <vt:vector size="24" baseType="variant">
      <vt:variant>
        <vt:i4>3801188</vt:i4>
      </vt:variant>
      <vt:variant>
        <vt:i4>432</vt:i4>
      </vt:variant>
      <vt:variant>
        <vt:i4>0</vt:i4>
      </vt:variant>
      <vt:variant>
        <vt:i4>5</vt:i4>
      </vt:variant>
      <vt:variant>
        <vt:lpwstr>http://www.monografias.com/</vt:lpwstr>
      </vt:variant>
      <vt:variant>
        <vt:lpwstr/>
      </vt:variant>
      <vt:variant>
        <vt:i4>4063354</vt:i4>
      </vt:variant>
      <vt:variant>
        <vt:i4>342</vt:i4>
      </vt:variant>
      <vt:variant>
        <vt:i4>0</vt:i4>
      </vt:variant>
      <vt:variant>
        <vt:i4>5</vt:i4>
      </vt:variant>
      <vt:variant>
        <vt:lpwstr>http://www.monografias.com/cgi-bin/search.cgi?query=procedimientos&amp;?intersearch</vt:lpwstr>
      </vt:variant>
      <vt:variant>
        <vt:lpwstr/>
      </vt:variant>
      <vt:variant>
        <vt:i4>5898270</vt:i4>
      </vt:variant>
      <vt:variant>
        <vt:i4>339</vt:i4>
      </vt:variant>
      <vt:variant>
        <vt:i4>0</vt:i4>
      </vt:variant>
      <vt:variant>
        <vt:i4>5</vt:i4>
      </vt:variant>
      <vt:variant>
        <vt:lpwstr>http://www.monografias.com/cgi-bin/search.cgi?query=probabilidad&amp;?intersearch</vt:lpwstr>
      </vt:variant>
      <vt:variant>
        <vt:lpwstr/>
      </vt:variant>
      <vt:variant>
        <vt:i4>2228329</vt:i4>
      </vt:variant>
      <vt:variant>
        <vt:i4>336</vt:i4>
      </vt:variant>
      <vt:variant>
        <vt:i4>0</vt:i4>
      </vt:variant>
      <vt:variant>
        <vt:i4>5</vt:i4>
      </vt:variant>
      <vt:variant>
        <vt:lpwstr>http://www.monografias.com/cgi-bin/search.cgi?query=programas&amp;?intersearch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dc:title>
  <dc:subject/>
  <dc:creator>tania</dc:creator>
  <cp:keywords/>
  <dc:description/>
  <cp:lastModifiedBy>silgivar</cp:lastModifiedBy>
  <cp:revision>2</cp:revision>
  <cp:lastPrinted>2007-11-25T23:38:00Z</cp:lastPrinted>
  <dcterms:created xsi:type="dcterms:W3CDTF">2010-06-14T15:22:00Z</dcterms:created>
  <dcterms:modified xsi:type="dcterms:W3CDTF">2010-06-14T15:22:00Z</dcterms:modified>
</cp:coreProperties>
</file>