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4F" w:rsidRPr="00E00743" w:rsidRDefault="00850437" w:rsidP="00E00743">
      <w:pPr>
        <w:spacing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ES"/>
        </w:rPr>
        <w:t>APÉNDICE 16</w:t>
      </w:r>
      <w:r w:rsidR="00E00743" w:rsidRPr="00E00743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.  </w:t>
      </w:r>
      <w:r w:rsidR="00845DEF" w:rsidRPr="00E00743">
        <w:rPr>
          <w:rFonts w:ascii="Arial" w:eastAsia="Times New Roman" w:hAnsi="Arial" w:cs="Arial"/>
          <w:b/>
          <w:bCs/>
          <w:sz w:val="28"/>
          <w:szCs w:val="28"/>
          <w:lang w:val="es-ES"/>
        </w:rPr>
        <w:t>INSTRUCTIVO DE CONTROL DE PROCESOS POR ESPECIFICACIONES PARA EL PROCESO DE EXTRUSIÓN Y SELLADO PARA EL ÁREA DE PELÍCULA</w:t>
      </w:r>
    </w:p>
    <w:p w:rsidR="004B1B11" w:rsidRDefault="004B1B11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</w:p>
    <w:p w:rsidR="007122AD" w:rsidRPr="007122AD" w:rsidRDefault="007122AD" w:rsidP="00C6316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C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Introducci</w:t>
      </w:r>
      <w:r>
        <w:rPr>
          <w:rFonts w:ascii="Arial" w:eastAsia="Times New Roman" w:hAnsi="Arial" w:cs="Arial"/>
          <w:b/>
          <w:bCs/>
          <w:sz w:val="24"/>
          <w:szCs w:val="24"/>
          <w:lang w:val="es-EC"/>
        </w:rPr>
        <w:t>ón</w:t>
      </w:r>
    </w:p>
    <w:p w:rsidR="00416B7A" w:rsidRPr="00C6316B" w:rsidRDefault="00C6316B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Parte del control de calidad se hace durante el proceso productivo lo cual resulta muy provechoso y evita contratiempos posteriores cuando las acciones correctivas pueden ser muy costosas.</w:t>
      </w:r>
    </w:p>
    <w:p w:rsidR="00C6316B" w:rsidRDefault="00C6316B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En este instructivo se muestra una forma de monitoreo del proceso de elaboración de película y fundas de polietileno, esta actividad se denomina precontrol.</w:t>
      </w:r>
    </w:p>
    <w:p w:rsidR="00E00743" w:rsidRPr="00C6316B" w:rsidRDefault="00E00743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</w:p>
    <w:p w:rsidR="00CD5A26" w:rsidRPr="00C6316B" w:rsidRDefault="00CD5A26" w:rsidP="00C6316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/>
          <w:bCs/>
          <w:sz w:val="24"/>
          <w:szCs w:val="24"/>
          <w:lang w:val="es-ES"/>
        </w:rPr>
        <w:t>Precontrol</w:t>
      </w:r>
    </w:p>
    <w:p w:rsidR="00CD5A26" w:rsidRPr="00C6316B" w:rsidRDefault="00CD5A26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Las gr</w:t>
      </w:r>
      <w:r w:rsidR="00D864F1" w:rsidRPr="00C6316B">
        <w:rPr>
          <w:rFonts w:ascii="Arial" w:eastAsia="Times New Roman" w:hAnsi="Arial" w:cs="Arial"/>
          <w:bCs/>
          <w:sz w:val="24"/>
          <w:szCs w:val="24"/>
          <w:lang w:val="es-ES"/>
        </w:rPr>
        <w:t>á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ficas de precontrol sirven para monitorear los procesos 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cuando hay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corridas cortas 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o continuidad,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como es el caso de la elaboración de láminas y fundas </w:t>
      </w:r>
      <w:r w:rsidR="00C6316B" w:rsidRPr="00C6316B">
        <w:rPr>
          <w:rFonts w:ascii="Arial" w:eastAsia="Times New Roman" w:hAnsi="Arial" w:cs="Arial"/>
          <w:bCs/>
          <w:sz w:val="24"/>
          <w:szCs w:val="24"/>
          <w:lang w:val="es-ES"/>
        </w:rPr>
        <w:t>plásticas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bajo pedido.</w:t>
      </w:r>
    </w:p>
    <w:p w:rsidR="00CD5A26" w:rsidRDefault="00CD5A26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A diferencia de las gr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á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ficas de control los oper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adores no tienen que calcular lí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mites de control.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Con 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el precontrol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se evita la confusión frecuente entre l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ímites de control y lí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mites de especificación.</w:t>
      </w:r>
      <w:r w:rsidR="004B1B11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A continuación se muestra un diagrama de flujo que indica que el precontrol se realiza simultáneamente al proceso productivo.</w:t>
      </w:r>
    </w:p>
    <w:p w:rsidR="004B1B11" w:rsidRDefault="004B1B11" w:rsidP="004B1B11">
      <w:pPr>
        <w:keepNext/>
        <w:spacing w:line="360" w:lineRule="auto"/>
        <w:jc w:val="center"/>
      </w:pPr>
      <w:r>
        <w:object w:dxaOrig="11743" w:dyaOrig="16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36.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339498712" r:id="rId9"/>
        </w:object>
      </w:r>
    </w:p>
    <w:p w:rsidR="004B1B11" w:rsidRDefault="004B1B11" w:rsidP="004B1B11">
      <w:pPr>
        <w:pStyle w:val="Epgrafe"/>
        <w:jc w:val="center"/>
        <w:rPr>
          <w:rFonts w:ascii="Arial" w:hAnsi="Arial" w:cs="Arial"/>
          <w:sz w:val="24"/>
          <w:szCs w:val="24"/>
          <w:lang w:val="es-EC"/>
        </w:rPr>
      </w:pPr>
      <w:r w:rsidRPr="004B1B11">
        <w:rPr>
          <w:rFonts w:ascii="Arial" w:hAnsi="Arial" w:cs="Arial"/>
          <w:sz w:val="24"/>
          <w:szCs w:val="24"/>
          <w:lang w:val="es-EC"/>
        </w:rPr>
        <w:t xml:space="preserve">Figura </w:t>
      </w:r>
      <w:r w:rsidR="00775EB8" w:rsidRPr="004B1B11">
        <w:rPr>
          <w:rFonts w:ascii="Arial" w:hAnsi="Arial" w:cs="Arial"/>
          <w:sz w:val="24"/>
          <w:szCs w:val="24"/>
        </w:rPr>
        <w:fldChar w:fldCharType="begin"/>
      </w:r>
      <w:r w:rsidRPr="004B1B11">
        <w:rPr>
          <w:rFonts w:ascii="Arial" w:hAnsi="Arial" w:cs="Arial"/>
          <w:sz w:val="24"/>
          <w:szCs w:val="24"/>
          <w:lang w:val="es-EC"/>
        </w:rPr>
        <w:instrText xml:space="preserve"> SEQ Figura \* ARABIC </w:instrText>
      </w:r>
      <w:r w:rsidR="00775EB8" w:rsidRPr="004B1B11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  <w:lang w:val="es-EC"/>
        </w:rPr>
        <w:t>1</w:t>
      </w:r>
      <w:r w:rsidR="00775EB8" w:rsidRPr="004B1B11">
        <w:rPr>
          <w:rFonts w:ascii="Arial" w:hAnsi="Arial" w:cs="Arial"/>
          <w:sz w:val="24"/>
          <w:szCs w:val="24"/>
        </w:rPr>
        <w:fldChar w:fldCharType="end"/>
      </w:r>
      <w:r w:rsidRPr="004B1B11">
        <w:rPr>
          <w:rFonts w:ascii="Arial" w:hAnsi="Arial" w:cs="Arial"/>
          <w:sz w:val="24"/>
          <w:szCs w:val="24"/>
          <w:lang w:val="es-EC"/>
        </w:rPr>
        <w:t>. Flujo de proceso del monitoreo de calidad con gráficas de precontrol</w:t>
      </w:r>
    </w:p>
    <w:p w:rsidR="004B1B11" w:rsidRPr="004B1B11" w:rsidRDefault="004B1B11" w:rsidP="004B1B11">
      <w:pPr>
        <w:rPr>
          <w:lang w:val="es-EC"/>
        </w:rPr>
      </w:pPr>
    </w:p>
    <w:p w:rsidR="00845DEF" w:rsidRPr="00C6316B" w:rsidRDefault="00CD5A26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Para 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construir la grá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fica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primero se definen las líneas de precontrol (PC) dividiendo el rango de tolerancia (Límite de especificación superior menos Límite de especificación inferior) en </w:t>
      </w:r>
      <w:r w:rsidR="00B61F30" w:rsidRPr="00C6316B">
        <w:rPr>
          <w:rFonts w:ascii="Arial" w:eastAsia="Times New Roman" w:hAnsi="Arial" w:cs="Arial"/>
          <w:bCs/>
          <w:sz w:val="24"/>
          <w:szCs w:val="24"/>
          <w:lang w:val="es-ES"/>
        </w:rPr>
        <w:t>cuatro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partes</w:t>
      </w:r>
      <w:r w:rsidR="00B61F30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iguales, con el valor nominal o de especificación en el medio</w:t>
      </w:r>
      <w:r w:rsidR="00845DEF" w:rsidRPr="00C6316B">
        <w:rPr>
          <w:rFonts w:ascii="Arial" w:eastAsia="Times New Roman" w:hAnsi="Arial" w:cs="Arial"/>
          <w:bCs/>
          <w:sz w:val="24"/>
          <w:szCs w:val="24"/>
          <w:lang w:val="es-ES"/>
        </w:rPr>
        <w:t>.</w:t>
      </w:r>
    </w:p>
    <w:p w:rsidR="00B61F30" w:rsidRPr="00C6316B" w:rsidRDefault="00B61F30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A continuación se muestra el esquema de </w:t>
      </w:r>
      <w:r w:rsidR="009414EA" w:rsidRPr="00C6316B">
        <w:rPr>
          <w:rFonts w:ascii="Arial" w:eastAsia="Times New Roman" w:hAnsi="Arial" w:cs="Arial"/>
          <w:bCs/>
          <w:sz w:val="24"/>
          <w:szCs w:val="24"/>
          <w:lang w:val="es-ES"/>
        </w:rPr>
        <w:t>Líneas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PC bilateral </w:t>
      </w:r>
      <w:r w:rsidR="00D864F1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(como para las variables espesor)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y unilateral</w:t>
      </w:r>
      <w:r w:rsidR="00D864F1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(como para </w:t>
      </w:r>
      <w:r w:rsidR="00C6316B" w:rsidRPr="00C6316B">
        <w:rPr>
          <w:rFonts w:ascii="Arial" w:eastAsia="Times New Roman" w:hAnsi="Arial" w:cs="Arial"/>
          <w:bCs/>
          <w:sz w:val="24"/>
          <w:szCs w:val="24"/>
          <w:lang w:val="es-ES"/>
        </w:rPr>
        <w:t>variables</w:t>
      </w:r>
      <w:r w:rsidR="00D864F1"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largo y ancho)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:</w:t>
      </w:r>
    </w:p>
    <w:p w:rsidR="00837DF2" w:rsidRPr="00C6316B" w:rsidRDefault="00837DF2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</w:p>
    <w:p w:rsidR="00416B7A" w:rsidRPr="00C6316B" w:rsidRDefault="00243EEF" w:rsidP="004B1B11">
      <w:pPr>
        <w:keepNext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070604" cy="3009900"/>
            <wp:effectExtent l="6096" t="0" r="0" b="0"/>
            <wp:docPr id="2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15200" cy="5169932"/>
                      <a:chOff x="914400" y="1219200"/>
                      <a:chExt cx="7315200" cy="5169932"/>
                    </a:xfrm>
                  </a:grpSpPr>
                  <a:cxnSp>
                    <a:nvCxnSpPr>
                      <a:cNvPr id="10" name="Straight Connector 9"/>
                      <a:cNvCxnSpPr/>
                    </a:nvCxnSpPr>
                    <a:spPr>
                      <a:xfrm rot="5400000" flipH="1" flipV="1">
                        <a:off x="2743200" y="3200400"/>
                        <a:ext cx="30480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15" name="Group 14"/>
                      <a:cNvGrpSpPr/>
                    </a:nvGrpSpPr>
                    <a:grpSpPr>
                      <a:xfrm>
                        <a:off x="3352800" y="4876800"/>
                        <a:ext cx="2438400" cy="304800"/>
                        <a:chOff x="228600" y="1828800"/>
                        <a:chExt cx="1828800" cy="304800"/>
                      </a:xfrm>
                    </a:grpSpPr>
                    <a:cxnSp>
                      <a:nvCxnSpPr>
                        <a:cNvPr id="16" name="Straight Connector 15"/>
                        <a:cNvCxnSpPr/>
                      </a:nvCxnSpPr>
                      <a:spPr>
                        <a:xfrm rot="5400000">
                          <a:off x="76200" y="198120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Straight Connector 16"/>
                        <a:cNvCxnSpPr/>
                      </a:nvCxnSpPr>
                      <a:spPr>
                        <a:xfrm>
                          <a:off x="228600" y="205740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Straight Connector 17"/>
                        <a:cNvCxnSpPr/>
                      </a:nvCxnSpPr>
                      <a:spPr>
                        <a:xfrm rot="5400000">
                          <a:off x="1905000" y="198120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cxnSp>
                    <a:nvCxnSpPr>
                      <a:cNvPr id="20" name="Straight Connector 19"/>
                      <a:cNvCxnSpPr/>
                    </a:nvCxnSpPr>
                    <a:spPr>
                      <a:xfrm rot="5400000">
                        <a:off x="1562100" y="5372100"/>
                        <a:ext cx="1143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Connector 20"/>
                      <a:cNvCxnSpPr/>
                    </a:nvCxnSpPr>
                    <a:spPr>
                      <a:xfrm>
                        <a:off x="2133600" y="5867400"/>
                        <a:ext cx="4876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rot="5400000">
                        <a:off x="6438900" y="5372100"/>
                        <a:ext cx="1143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9144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2133600" y="1676400"/>
                        <a:ext cx="1219200" cy="3048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33528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45720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5791200" y="1676400"/>
                        <a:ext cx="1219200" cy="3048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70104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3886200" y="5181600"/>
                        <a:ext cx="134402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½ </a:t>
                          </a:r>
                          <a:r>
                            <a:rPr lang="en-US" dirty="0" err="1" smtClean="0"/>
                            <a:t>Tolerancia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4038600" y="6019800"/>
                        <a:ext cx="11356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/>
                            <a:t>Tolerancia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4343400" y="1219200"/>
                        <a:ext cx="4224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5334000" y="1219200"/>
                        <a:ext cx="97815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/>
                            <a:t>Línea</a:t>
                          </a:r>
                          <a:r>
                            <a:rPr lang="en-US" dirty="0" smtClean="0"/>
                            <a:t> PC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1905000" y="1219200"/>
                        <a:ext cx="4523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LIE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6781800" y="1219200"/>
                        <a:ext cx="50045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LSE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0" name="TextBox 39"/>
                      <a:cNvSpPr txBox="1"/>
                    </a:nvSpPr>
                    <a:spPr>
                      <a:xfrm>
                        <a:off x="2895600" y="1219200"/>
                        <a:ext cx="97815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/>
                            <a:t>Línea</a:t>
                          </a:r>
                          <a:r>
                            <a:rPr lang="en-US" dirty="0" smtClean="0"/>
                            <a:t> PC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1219200" y="4114800"/>
                        <a:ext cx="616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err="1" smtClean="0"/>
                            <a:t>Rojo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2286000" y="4114800"/>
                        <a:ext cx="99899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Amarillo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3581400" y="4114800"/>
                        <a:ext cx="7422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Verde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4800600" y="4114800"/>
                        <a:ext cx="7422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Verde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5943600" y="4114800"/>
                        <a:ext cx="99899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Amarillo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7315200" y="4114800"/>
                        <a:ext cx="616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err="1" smtClean="0"/>
                            <a:t>Rojo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61F30" w:rsidRPr="00C6316B" w:rsidRDefault="00416B7A" w:rsidP="004B1B11">
      <w:pPr>
        <w:pStyle w:val="Epgrafe"/>
        <w:jc w:val="center"/>
        <w:rPr>
          <w:rFonts w:ascii="Arial" w:eastAsia="Times New Roman" w:hAnsi="Arial" w:cs="Arial"/>
          <w:bCs w:val="0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Figura </w:t>
      </w:r>
      <w:r w:rsidR="00775EB8" w:rsidRPr="00C6316B">
        <w:rPr>
          <w:rFonts w:ascii="Arial" w:hAnsi="Arial" w:cs="Arial"/>
          <w:sz w:val="24"/>
          <w:szCs w:val="24"/>
        </w:rPr>
        <w:fldChar w:fldCharType="begin"/>
      </w:r>
      <w:r w:rsidRPr="00C6316B">
        <w:rPr>
          <w:rFonts w:ascii="Arial" w:hAnsi="Arial" w:cs="Arial"/>
          <w:sz w:val="24"/>
          <w:szCs w:val="24"/>
          <w:lang w:val="es-EC"/>
        </w:rPr>
        <w:instrText xml:space="preserve"> SEQ Figura \* ARABIC </w:instrText>
      </w:r>
      <w:r w:rsidR="00775EB8" w:rsidRPr="00C6316B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  <w:lang w:val="es-EC"/>
        </w:rPr>
        <w:t>2</w:t>
      </w:r>
      <w:r w:rsidR="00775EB8" w:rsidRPr="00C6316B">
        <w:rPr>
          <w:rFonts w:ascii="Arial" w:hAnsi="Arial" w:cs="Arial"/>
          <w:sz w:val="24"/>
          <w:szCs w:val="24"/>
        </w:rPr>
        <w:fldChar w:fldCharType="end"/>
      </w:r>
      <w:r w:rsidRPr="00C6316B">
        <w:rPr>
          <w:rFonts w:ascii="Arial" w:hAnsi="Arial" w:cs="Arial"/>
          <w:sz w:val="24"/>
          <w:szCs w:val="24"/>
          <w:lang w:val="es-EC"/>
        </w:rPr>
        <w:t xml:space="preserve">. Gráfica </w:t>
      </w:r>
      <w:r w:rsidR="009414EA" w:rsidRPr="00C6316B">
        <w:rPr>
          <w:rFonts w:ascii="Arial" w:hAnsi="Arial" w:cs="Arial"/>
          <w:sz w:val="24"/>
          <w:szCs w:val="24"/>
          <w:lang w:val="es-EC"/>
        </w:rPr>
        <w:t>de precontrol bilateral</w:t>
      </w:r>
    </w:p>
    <w:p w:rsidR="00D864F1" w:rsidRPr="00C6316B" w:rsidRDefault="00243EEF" w:rsidP="004B1B11">
      <w:pPr>
        <w:keepNext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2847975" cy="2895600"/>
            <wp:effectExtent l="0" t="0" r="0" b="0"/>
            <wp:docPr id="3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4255532"/>
                      <a:chOff x="4343400" y="1219200"/>
                      <a:chExt cx="3886200" cy="4255532"/>
                    </a:xfrm>
                  </a:grpSpPr>
                  <a:cxnSp>
                    <a:nvCxnSpPr>
                      <a:cNvPr id="20" name="Straight Connector 19"/>
                      <a:cNvCxnSpPr/>
                    </a:nvCxnSpPr>
                    <a:spPr>
                      <a:xfrm rot="5400000">
                        <a:off x="4381500" y="4991100"/>
                        <a:ext cx="381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Connector 20"/>
                      <a:cNvCxnSpPr/>
                    </a:nvCxnSpPr>
                    <a:spPr>
                      <a:xfrm>
                        <a:off x="4572000" y="5105400"/>
                        <a:ext cx="2438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rot="5400000">
                        <a:off x="6819900" y="4991100"/>
                        <a:ext cx="381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45720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5791200" y="1676400"/>
                        <a:ext cx="1219200" cy="3048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7010400" y="1676400"/>
                        <a:ext cx="1219200" cy="3048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5257800" y="5105400"/>
                        <a:ext cx="11356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/>
                            <a:t>Tolerancia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4343400" y="1219200"/>
                        <a:ext cx="4224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5334000" y="1219200"/>
                        <a:ext cx="97815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/>
                            <a:t>Línea</a:t>
                          </a:r>
                          <a:r>
                            <a:rPr lang="en-US" dirty="0" smtClean="0"/>
                            <a:t> PC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6781800" y="1219200"/>
                        <a:ext cx="50045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LSE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4800600" y="4114800"/>
                        <a:ext cx="7422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Verde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5943600" y="4114800"/>
                        <a:ext cx="99899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Amarillo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7315200" y="4114800"/>
                        <a:ext cx="616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err="1" smtClean="0"/>
                            <a:t>Rojo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16B7A" w:rsidRPr="00C6316B" w:rsidRDefault="00D864F1" w:rsidP="004B1B11">
      <w:pPr>
        <w:pStyle w:val="Epgrafe"/>
        <w:jc w:val="center"/>
        <w:rPr>
          <w:rFonts w:ascii="Arial" w:eastAsia="Times New Roman" w:hAnsi="Arial" w:cs="Arial"/>
          <w:bCs w:val="0"/>
          <w:sz w:val="24"/>
          <w:szCs w:val="24"/>
          <w:lang w:val="es-ES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Figura </w:t>
      </w:r>
      <w:r w:rsidR="00775EB8" w:rsidRPr="00C6316B">
        <w:rPr>
          <w:rFonts w:ascii="Arial" w:hAnsi="Arial" w:cs="Arial"/>
          <w:sz w:val="24"/>
          <w:szCs w:val="24"/>
        </w:rPr>
        <w:fldChar w:fldCharType="begin"/>
      </w:r>
      <w:r w:rsidRPr="00C6316B">
        <w:rPr>
          <w:rFonts w:ascii="Arial" w:hAnsi="Arial" w:cs="Arial"/>
          <w:sz w:val="24"/>
          <w:szCs w:val="24"/>
          <w:lang w:val="es-EC"/>
        </w:rPr>
        <w:instrText xml:space="preserve"> SEQ Figura \* ARABIC </w:instrText>
      </w:r>
      <w:r w:rsidR="00775EB8" w:rsidRPr="00C6316B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  <w:lang w:val="es-EC"/>
        </w:rPr>
        <w:t>3</w:t>
      </w:r>
      <w:r w:rsidR="00775EB8" w:rsidRPr="00C6316B">
        <w:rPr>
          <w:rFonts w:ascii="Arial" w:hAnsi="Arial" w:cs="Arial"/>
          <w:sz w:val="24"/>
          <w:szCs w:val="24"/>
        </w:rPr>
        <w:fldChar w:fldCharType="end"/>
      </w:r>
      <w:r w:rsidRPr="00C6316B">
        <w:rPr>
          <w:rFonts w:ascii="Arial" w:hAnsi="Arial" w:cs="Arial"/>
          <w:sz w:val="24"/>
          <w:szCs w:val="24"/>
          <w:lang w:val="es-EC"/>
        </w:rPr>
        <w:t>. Gráfica de precontrol unilateral</w:t>
      </w:r>
    </w:p>
    <w:p w:rsidR="00CD5A26" w:rsidRPr="00C6316B" w:rsidRDefault="00CD5A26" w:rsidP="00C6316B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</w:p>
    <w:p w:rsidR="00623B58" w:rsidRPr="00C6316B" w:rsidRDefault="00623B58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En ambos casos la zona verde </w:t>
      </w:r>
      <w:r w:rsidR="00DC118B" w:rsidRPr="00C6316B">
        <w:rPr>
          <w:rFonts w:ascii="Arial" w:hAnsi="Arial" w:cs="Arial"/>
          <w:sz w:val="24"/>
          <w:szCs w:val="24"/>
          <w:lang w:val="es-EC"/>
        </w:rPr>
        <w:t xml:space="preserve">es la mitad de la tolerancia, al lado la zona amarilla cada una representa un cuarto de la tolerancia total, y por último la zona roja es lo que se encuentra fuera de especificación. </w:t>
      </w:r>
    </w:p>
    <w:p w:rsidR="00DC118B" w:rsidRPr="00C6316B" w:rsidRDefault="00DC118B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lastRenderedPageBreak/>
        <w:t xml:space="preserve">El precontrol </w:t>
      </w:r>
      <w:r w:rsidR="00CC3799">
        <w:rPr>
          <w:rFonts w:ascii="Arial" w:hAnsi="Arial" w:cs="Arial"/>
          <w:sz w:val="24"/>
          <w:szCs w:val="24"/>
          <w:lang w:val="es-EC"/>
        </w:rPr>
        <w:t xml:space="preserve">(PC) </w:t>
      </w:r>
      <w:r w:rsidRPr="00C6316B">
        <w:rPr>
          <w:rFonts w:ascii="Arial" w:hAnsi="Arial" w:cs="Arial"/>
          <w:sz w:val="24"/>
          <w:szCs w:val="24"/>
          <w:lang w:val="es-EC"/>
        </w:rPr>
        <w:t>consta de dos etapas: arranque y operación.</w:t>
      </w:r>
      <w:r w:rsidR="002B5A43" w:rsidRPr="00C6316B">
        <w:rPr>
          <w:rFonts w:ascii="Arial" w:hAnsi="Arial" w:cs="Arial"/>
          <w:sz w:val="24"/>
          <w:szCs w:val="24"/>
          <w:lang w:val="es-EC"/>
        </w:rPr>
        <w:t xml:space="preserve"> Se muestra el procedimiento resumido en el siguiente gráfico:</w:t>
      </w:r>
    </w:p>
    <w:p w:rsidR="002B5A43" w:rsidRPr="00C6316B" w:rsidRDefault="00CC3799" w:rsidP="00C6316B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316B">
        <w:rPr>
          <w:rFonts w:ascii="Arial" w:hAnsi="Arial" w:cs="Arial"/>
          <w:sz w:val="24"/>
          <w:szCs w:val="24"/>
        </w:rPr>
        <w:object w:dxaOrig="9612" w:dyaOrig="6007">
          <v:shape id="_x0000_i1026" type="#_x0000_t75" style="width:426pt;height:267pt" o:ole="">
            <v:imagedata r:id="rId10" o:title=""/>
          </v:shape>
          <o:OLEObject Type="Embed" ProgID="Visio.Drawing.11" ShapeID="_x0000_i1026" DrawAspect="Content" ObjectID="_1339498713" r:id="rId11"/>
        </w:object>
      </w:r>
    </w:p>
    <w:p w:rsidR="002B5A43" w:rsidRPr="00C6316B" w:rsidRDefault="002B5A43" w:rsidP="00C6316B">
      <w:pPr>
        <w:pStyle w:val="Epgrafe"/>
        <w:spacing w:line="360" w:lineRule="auto"/>
        <w:jc w:val="center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Figura </w:t>
      </w:r>
      <w:r w:rsidR="00775EB8" w:rsidRPr="00C6316B">
        <w:rPr>
          <w:rFonts w:ascii="Arial" w:hAnsi="Arial" w:cs="Arial"/>
          <w:sz w:val="24"/>
          <w:szCs w:val="24"/>
        </w:rPr>
        <w:fldChar w:fldCharType="begin"/>
      </w:r>
      <w:r w:rsidRPr="00C6316B">
        <w:rPr>
          <w:rFonts w:ascii="Arial" w:hAnsi="Arial" w:cs="Arial"/>
          <w:sz w:val="24"/>
          <w:szCs w:val="24"/>
          <w:lang w:val="es-EC"/>
        </w:rPr>
        <w:instrText xml:space="preserve"> SEQ Figura \* ARABIC </w:instrText>
      </w:r>
      <w:r w:rsidR="00775EB8" w:rsidRPr="00C6316B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  <w:lang w:val="es-EC"/>
        </w:rPr>
        <w:t>4</w:t>
      </w:r>
      <w:r w:rsidR="00775EB8" w:rsidRPr="00C6316B">
        <w:rPr>
          <w:rFonts w:ascii="Arial" w:hAnsi="Arial" w:cs="Arial"/>
          <w:sz w:val="24"/>
          <w:szCs w:val="24"/>
        </w:rPr>
        <w:fldChar w:fldCharType="end"/>
      </w:r>
      <w:r w:rsidRPr="00C6316B">
        <w:rPr>
          <w:rFonts w:ascii="Arial" w:hAnsi="Arial" w:cs="Arial"/>
          <w:sz w:val="24"/>
          <w:szCs w:val="24"/>
          <w:lang w:val="es-EC"/>
        </w:rPr>
        <w:t>. Procedimiento resumido para el Precontrol</w:t>
      </w:r>
    </w:p>
    <w:p w:rsidR="00DC118B" w:rsidRPr="00C6316B" w:rsidRDefault="00DC118B" w:rsidP="00C6316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C6316B">
        <w:rPr>
          <w:rFonts w:ascii="Arial" w:hAnsi="Arial" w:cs="Arial"/>
          <w:b/>
          <w:sz w:val="24"/>
          <w:szCs w:val="24"/>
          <w:lang w:val="es-EC"/>
        </w:rPr>
        <w:t>Arranque</w:t>
      </w:r>
    </w:p>
    <w:p w:rsidR="00DC118B" w:rsidRPr="00C6316B" w:rsidRDefault="00954212" w:rsidP="00C6316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Se inspecciona una muestra (lámina de rollo o funda terminada), el resultado puede caer en una de las tres zonas:</w:t>
      </w:r>
    </w:p>
    <w:p w:rsidR="00954212" w:rsidRPr="00C6316B" w:rsidRDefault="00954212" w:rsidP="00C6316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ROJO: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se para el proceso y se restablece.</w:t>
      </w:r>
    </w:p>
    <w:p w:rsidR="00954212" w:rsidRPr="00C6316B" w:rsidRDefault="00954212" w:rsidP="00C6316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AMARILLO: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se inspecciona otra parte y si cae en la región amarilla de nuevo se para y se restablece el proceso.</w:t>
      </w:r>
    </w:p>
    <w:p w:rsidR="00954212" w:rsidRPr="00E00743" w:rsidRDefault="00954212" w:rsidP="00C6316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VERDE: </w:t>
      </w:r>
      <w:r w:rsidRPr="00C6316B">
        <w:rPr>
          <w:rFonts w:ascii="Arial" w:eastAsia="Times New Roman" w:hAnsi="Arial" w:cs="Arial"/>
          <w:bCs/>
          <w:sz w:val="24"/>
          <w:szCs w:val="24"/>
          <w:lang w:val="es-ES"/>
        </w:rPr>
        <w:t>tomar más muestras hasta que 5 caigan consecutivamente en la región verde.</w:t>
      </w:r>
    </w:p>
    <w:p w:rsidR="00E00743" w:rsidRPr="00C6316B" w:rsidRDefault="00E00743" w:rsidP="00E00743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s-EC"/>
        </w:rPr>
      </w:pPr>
    </w:p>
    <w:p w:rsidR="00954212" w:rsidRDefault="00954212" w:rsidP="00C6316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Una vez que se obtienen 5 muestras en la región verde se procede a la etapa de operación.</w:t>
      </w:r>
    </w:p>
    <w:p w:rsidR="00E00743" w:rsidRDefault="00E00743" w:rsidP="00E0074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00743" w:rsidRPr="00C6316B" w:rsidRDefault="00E00743" w:rsidP="00E0074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954212" w:rsidRPr="00C6316B" w:rsidRDefault="00954212" w:rsidP="00C6316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C6316B">
        <w:rPr>
          <w:rFonts w:ascii="Arial" w:hAnsi="Arial" w:cs="Arial"/>
          <w:b/>
          <w:sz w:val="24"/>
          <w:szCs w:val="24"/>
          <w:lang w:val="es-EC"/>
        </w:rPr>
        <w:lastRenderedPageBreak/>
        <w:t>Operación</w:t>
      </w:r>
    </w:p>
    <w:p w:rsidR="00B35D40" w:rsidRDefault="00B35D40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b/>
          <w:sz w:val="24"/>
          <w:szCs w:val="24"/>
          <w:lang w:val="es-EC"/>
        </w:rPr>
        <w:t>Frecuencia.-</w:t>
      </w:r>
      <w:r w:rsidRPr="00C6316B">
        <w:rPr>
          <w:rFonts w:ascii="Arial" w:hAnsi="Arial" w:cs="Arial"/>
          <w:sz w:val="24"/>
          <w:szCs w:val="24"/>
          <w:lang w:val="es-EC"/>
        </w:rPr>
        <w:t xml:space="preserve"> </w:t>
      </w:r>
      <w:r w:rsidR="00CC3799">
        <w:rPr>
          <w:rFonts w:ascii="Arial" w:hAnsi="Arial" w:cs="Arial"/>
          <w:sz w:val="24"/>
          <w:szCs w:val="24"/>
          <w:lang w:val="es-EC"/>
        </w:rPr>
        <w:t xml:space="preserve">De acuerdo al procedimiento conceptual del precontrol (PC) esta etapa </w:t>
      </w:r>
      <w:r w:rsidRPr="00C6316B">
        <w:rPr>
          <w:rFonts w:ascii="Arial" w:hAnsi="Arial" w:cs="Arial"/>
          <w:sz w:val="24"/>
          <w:szCs w:val="24"/>
          <w:lang w:val="es-EC"/>
        </w:rPr>
        <w:t xml:space="preserve">consiste en obtener 6 pares de muestras entre un ajuste y otro. Dependiendo del lapso de tiempo entre ajustes se elije la frecuencia </w:t>
      </w:r>
      <w:r w:rsidR="002B5A43" w:rsidRPr="00C6316B">
        <w:rPr>
          <w:rFonts w:ascii="Arial" w:hAnsi="Arial" w:cs="Arial"/>
          <w:sz w:val="24"/>
          <w:szCs w:val="24"/>
          <w:lang w:val="es-EC"/>
        </w:rPr>
        <w:t>de</w:t>
      </w:r>
      <w:r w:rsidRPr="00C6316B">
        <w:rPr>
          <w:rFonts w:ascii="Arial" w:hAnsi="Arial" w:cs="Arial"/>
          <w:sz w:val="24"/>
          <w:szCs w:val="24"/>
          <w:lang w:val="es-EC"/>
        </w:rPr>
        <w:t xml:space="preserve"> acuerdo a la siguiente tabla:</w:t>
      </w:r>
    </w:p>
    <w:p w:rsidR="00E00743" w:rsidRPr="00C6316B" w:rsidRDefault="00E00743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2660"/>
        <w:gridCol w:w="3417"/>
      </w:tblGrid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LAPSO ENTRE AJUSTE (HORAS)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LAPSO ENTRE MEDICIONES (MINUTOS)</w:t>
            </w:r>
          </w:p>
        </w:tc>
      </w:tr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1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70A55">
              <w:rPr>
                <w:rFonts w:ascii="Arial" w:hAnsi="Arial" w:cs="Arial"/>
                <w:sz w:val="24"/>
                <w:szCs w:val="24"/>
                <w:lang w:val="es-EC"/>
              </w:rPr>
              <w:t>10</w:t>
            </w:r>
          </w:p>
        </w:tc>
      </w:tr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2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70A55">
              <w:rPr>
                <w:rFonts w:ascii="Arial" w:hAnsi="Arial" w:cs="Arial"/>
                <w:sz w:val="24"/>
                <w:szCs w:val="24"/>
                <w:lang w:val="es-EC"/>
              </w:rPr>
              <w:t>20</w:t>
            </w:r>
          </w:p>
        </w:tc>
      </w:tr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3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70A55">
              <w:rPr>
                <w:rFonts w:ascii="Arial" w:hAnsi="Arial" w:cs="Arial"/>
                <w:sz w:val="24"/>
                <w:szCs w:val="24"/>
                <w:lang w:val="es-EC"/>
              </w:rPr>
              <w:t>30</w:t>
            </w:r>
          </w:p>
        </w:tc>
      </w:tr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4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70A55">
              <w:rPr>
                <w:rFonts w:ascii="Arial" w:hAnsi="Arial" w:cs="Arial"/>
                <w:sz w:val="24"/>
                <w:szCs w:val="24"/>
                <w:lang w:val="es-EC"/>
              </w:rPr>
              <w:t>40</w:t>
            </w:r>
          </w:p>
        </w:tc>
      </w:tr>
      <w:tr w:rsidR="00B35D40" w:rsidRPr="00570A55" w:rsidTr="00570A55">
        <w:trPr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C"/>
              </w:rPr>
            </w:pPr>
            <w:r w:rsidRPr="00570A55">
              <w:rPr>
                <w:rFonts w:ascii="Arial" w:eastAsia="Times New Roman" w:hAnsi="Arial" w:cs="Arial"/>
                <w:bCs/>
                <w:sz w:val="24"/>
                <w:szCs w:val="24"/>
                <w:lang w:val="es-EC"/>
              </w:rPr>
              <w:t>…</w:t>
            </w:r>
          </w:p>
        </w:tc>
        <w:tc>
          <w:tcPr>
            <w:tcW w:w="3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5D40" w:rsidRPr="00570A55" w:rsidRDefault="00B35D40" w:rsidP="00570A55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70A55">
              <w:rPr>
                <w:rFonts w:ascii="Arial" w:hAnsi="Arial" w:cs="Arial"/>
                <w:sz w:val="24"/>
                <w:szCs w:val="24"/>
                <w:lang w:val="es-EC"/>
              </w:rPr>
              <w:t>…</w:t>
            </w:r>
          </w:p>
        </w:tc>
      </w:tr>
    </w:tbl>
    <w:p w:rsidR="00B35D40" w:rsidRDefault="00B35D40" w:rsidP="00C6316B">
      <w:pPr>
        <w:pStyle w:val="Epgrafe"/>
        <w:spacing w:line="360" w:lineRule="auto"/>
        <w:jc w:val="center"/>
        <w:rPr>
          <w:rFonts w:ascii="Arial" w:hAnsi="Arial" w:cs="Arial"/>
          <w:sz w:val="24"/>
          <w:szCs w:val="24"/>
          <w:lang w:val="es-EC"/>
        </w:rPr>
      </w:pPr>
      <w:r w:rsidRPr="00CB243C">
        <w:rPr>
          <w:rFonts w:ascii="Arial" w:hAnsi="Arial" w:cs="Arial"/>
          <w:sz w:val="24"/>
          <w:szCs w:val="24"/>
          <w:lang w:val="es-EC"/>
        </w:rPr>
        <w:t xml:space="preserve">Tabla </w:t>
      </w:r>
      <w:r w:rsidR="00775EB8" w:rsidRPr="00C6316B">
        <w:rPr>
          <w:rFonts w:ascii="Arial" w:hAnsi="Arial" w:cs="Arial"/>
          <w:sz w:val="24"/>
          <w:szCs w:val="24"/>
        </w:rPr>
        <w:fldChar w:fldCharType="begin"/>
      </w:r>
      <w:r w:rsidRPr="00CB243C">
        <w:rPr>
          <w:rFonts w:ascii="Arial" w:hAnsi="Arial" w:cs="Arial"/>
          <w:sz w:val="24"/>
          <w:szCs w:val="24"/>
          <w:lang w:val="es-EC"/>
        </w:rPr>
        <w:instrText xml:space="preserve"> SEQ Tabla \* ARABIC </w:instrText>
      </w:r>
      <w:r w:rsidR="00775EB8" w:rsidRPr="00C6316B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  <w:lang w:val="es-EC"/>
        </w:rPr>
        <w:t>1</w:t>
      </w:r>
      <w:r w:rsidR="00775EB8" w:rsidRPr="00C6316B">
        <w:rPr>
          <w:rFonts w:ascii="Arial" w:hAnsi="Arial" w:cs="Arial"/>
          <w:sz w:val="24"/>
          <w:szCs w:val="24"/>
        </w:rPr>
        <w:fldChar w:fldCharType="end"/>
      </w:r>
      <w:r w:rsidRPr="00CB243C">
        <w:rPr>
          <w:rFonts w:ascii="Arial" w:hAnsi="Arial" w:cs="Arial"/>
          <w:sz w:val="24"/>
          <w:szCs w:val="24"/>
          <w:lang w:val="es-EC"/>
        </w:rPr>
        <w:t>. Frecuencia de las mediciones</w:t>
      </w:r>
    </w:p>
    <w:p w:rsidR="00E00743" w:rsidRPr="00E00743" w:rsidRDefault="00E00743" w:rsidP="00E00743">
      <w:pPr>
        <w:rPr>
          <w:lang w:val="es-EC"/>
        </w:rPr>
      </w:pPr>
    </w:p>
    <w:p w:rsidR="00B35D40" w:rsidRPr="00C6316B" w:rsidRDefault="00B35D40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 xml:space="preserve">Existe una </w:t>
      </w:r>
      <w:r w:rsidR="00E00743" w:rsidRPr="00C6316B">
        <w:rPr>
          <w:rFonts w:ascii="Arial" w:hAnsi="Arial" w:cs="Arial"/>
          <w:sz w:val="24"/>
          <w:szCs w:val="24"/>
          <w:lang w:val="es-EC"/>
        </w:rPr>
        <w:t>relación</w:t>
      </w:r>
      <w:r w:rsidRPr="00C6316B">
        <w:rPr>
          <w:rFonts w:ascii="Arial" w:hAnsi="Arial" w:cs="Arial"/>
          <w:sz w:val="24"/>
          <w:szCs w:val="24"/>
          <w:lang w:val="es-EC"/>
        </w:rPr>
        <w:t xml:space="preserve"> lineal entre ambos. El lapso entre ajustes lo define el operador con el supervisor de acuerdo a datos históricos. Los ajustes se dan cuando se hace cambio de medidas o especificaciones en las órdenes de producción. Por ejemplo: si en el turno de 12 horas el </w:t>
      </w:r>
      <w:r w:rsidR="00F6153C" w:rsidRPr="00C6316B">
        <w:rPr>
          <w:rFonts w:ascii="Arial" w:hAnsi="Arial" w:cs="Arial"/>
          <w:sz w:val="24"/>
          <w:szCs w:val="24"/>
          <w:lang w:val="es-EC"/>
        </w:rPr>
        <w:t>área</w:t>
      </w:r>
      <w:r w:rsidRPr="00C6316B">
        <w:rPr>
          <w:rFonts w:ascii="Arial" w:hAnsi="Arial" w:cs="Arial"/>
          <w:sz w:val="24"/>
          <w:szCs w:val="24"/>
          <w:lang w:val="es-EC"/>
        </w:rPr>
        <w:t xml:space="preserve"> de extrusión </w:t>
      </w:r>
      <w:r w:rsidR="00F6153C" w:rsidRPr="00C6316B">
        <w:rPr>
          <w:rFonts w:ascii="Arial" w:hAnsi="Arial" w:cs="Arial"/>
          <w:sz w:val="24"/>
          <w:szCs w:val="24"/>
          <w:lang w:val="es-EC"/>
        </w:rPr>
        <w:t>recibe 3 órdenes de producción distintas se hacen 3 ajustes, y la frecuencia de toma de muestras sería 30 minutos.</w:t>
      </w:r>
    </w:p>
    <w:p w:rsidR="00F6153C" w:rsidRPr="00C6316B" w:rsidRDefault="00F6153C" w:rsidP="00C6316B">
      <w:p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Se siguen los siguientes pasos:</w:t>
      </w:r>
    </w:p>
    <w:p w:rsidR="00F6153C" w:rsidRPr="00C6316B" w:rsidRDefault="00954212" w:rsidP="00C6316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Se evalúan 2 muestras</w:t>
      </w:r>
      <w:r w:rsidR="00F6153C" w:rsidRPr="00C6316B">
        <w:rPr>
          <w:rFonts w:ascii="Arial" w:hAnsi="Arial" w:cs="Arial"/>
          <w:sz w:val="24"/>
          <w:szCs w:val="24"/>
          <w:lang w:val="es-EC"/>
        </w:rPr>
        <w:t xml:space="preserve"> (lámina o funda).</w:t>
      </w:r>
    </w:p>
    <w:p w:rsidR="00F6153C" w:rsidRPr="00C6316B" w:rsidRDefault="00F6153C" w:rsidP="00C6316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Dependiendo de las posibilidades de caer en las zonas de color se toman decisiones</w:t>
      </w:r>
      <w:r w:rsidR="00CF4F19" w:rsidRPr="00C6316B">
        <w:rPr>
          <w:rFonts w:ascii="Arial" w:hAnsi="Arial" w:cs="Arial"/>
          <w:sz w:val="24"/>
          <w:szCs w:val="24"/>
          <w:lang w:val="es-EC"/>
        </w:rPr>
        <w:t xml:space="preserve"> como se muestra en la figura:</w:t>
      </w:r>
    </w:p>
    <w:p w:rsidR="00CF4F19" w:rsidRPr="00C6316B" w:rsidRDefault="00963A9E" w:rsidP="004B1B11">
      <w:pPr>
        <w:keepNext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6B46">
        <w:rPr>
          <w:rFonts w:ascii="Arial" w:eastAsia="Times New Roman" w:hAnsi="Arial" w:cs="Arial"/>
          <w:bCs/>
          <w:sz w:val="24"/>
          <w:szCs w:val="24"/>
          <w:lang w:val="es-ES"/>
        </w:rPr>
        <w:object w:dxaOrig="8600" w:dyaOrig="8089">
          <v:shape id="_x0000_i1027" type="#_x0000_t75" style="width:347.25pt;height:306pt" o:ole="">
            <v:imagedata r:id="rId12" o:title=""/>
          </v:shape>
          <o:OLEObject Type="Embed" ProgID="Excel.Sheet.12" ShapeID="_x0000_i1027" DrawAspect="Content" ObjectID="_1339498714" r:id="rId13"/>
        </w:object>
      </w:r>
    </w:p>
    <w:p w:rsidR="00CF4F19" w:rsidRPr="00C6316B" w:rsidRDefault="00CF4F19" w:rsidP="004B1B11">
      <w:pPr>
        <w:pStyle w:val="Epgrafe"/>
        <w:jc w:val="center"/>
        <w:rPr>
          <w:rFonts w:ascii="Arial" w:hAnsi="Arial" w:cs="Arial"/>
          <w:sz w:val="24"/>
          <w:szCs w:val="24"/>
        </w:rPr>
      </w:pPr>
      <w:r w:rsidRPr="00E00743">
        <w:rPr>
          <w:rFonts w:ascii="Arial" w:hAnsi="Arial" w:cs="Arial"/>
          <w:sz w:val="24"/>
          <w:szCs w:val="24"/>
          <w:lang w:val="es-EC"/>
        </w:rPr>
        <w:t>Figura</w:t>
      </w:r>
      <w:r w:rsidRPr="00C6316B">
        <w:rPr>
          <w:rFonts w:ascii="Arial" w:hAnsi="Arial" w:cs="Arial"/>
          <w:sz w:val="24"/>
          <w:szCs w:val="24"/>
        </w:rPr>
        <w:t xml:space="preserve"> </w:t>
      </w:r>
      <w:r w:rsidR="00775EB8" w:rsidRPr="00C6316B">
        <w:rPr>
          <w:rFonts w:ascii="Arial" w:hAnsi="Arial" w:cs="Arial"/>
          <w:sz w:val="24"/>
          <w:szCs w:val="24"/>
        </w:rPr>
        <w:fldChar w:fldCharType="begin"/>
      </w:r>
      <w:r w:rsidRPr="00C6316B">
        <w:rPr>
          <w:rFonts w:ascii="Arial" w:hAnsi="Arial" w:cs="Arial"/>
          <w:sz w:val="24"/>
          <w:szCs w:val="24"/>
        </w:rPr>
        <w:instrText xml:space="preserve"> SEQ Figura \* ARABIC </w:instrText>
      </w:r>
      <w:r w:rsidR="00775EB8" w:rsidRPr="00C6316B">
        <w:rPr>
          <w:rFonts w:ascii="Arial" w:hAnsi="Arial" w:cs="Arial"/>
          <w:sz w:val="24"/>
          <w:szCs w:val="24"/>
        </w:rPr>
        <w:fldChar w:fldCharType="separate"/>
      </w:r>
      <w:r w:rsidR="00B91D63">
        <w:rPr>
          <w:rFonts w:ascii="Arial" w:hAnsi="Arial" w:cs="Arial"/>
          <w:noProof/>
          <w:sz w:val="24"/>
          <w:szCs w:val="24"/>
        </w:rPr>
        <w:t>5</w:t>
      </w:r>
      <w:r w:rsidR="00775EB8" w:rsidRPr="00C6316B">
        <w:rPr>
          <w:rFonts w:ascii="Arial" w:hAnsi="Arial" w:cs="Arial"/>
          <w:sz w:val="24"/>
          <w:szCs w:val="24"/>
        </w:rPr>
        <w:fldChar w:fldCharType="end"/>
      </w:r>
      <w:r w:rsidRPr="00C6316B">
        <w:rPr>
          <w:rFonts w:ascii="Arial" w:hAnsi="Arial" w:cs="Arial"/>
          <w:sz w:val="24"/>
          <w:szCs w:val="24"/>
        </w:rPr>
        <w:t xml:space="preserve">. </w:t>
      </w:r>
      <w:r w:rsidRPr="00E00743">
        <w:rPr>
          <w:rFonts w:ascii="Arial" w:hAnsi="Arial" w:cs="Arial"/>
          <w:sz w:val="24"/>
          <w:szCs w:val="24"/>
          <w:lang w:val="es-EC"/>
        </w:rPr>
        <w:t>Decisiones</w:t>
      </w:r>
      <w:r w:rsidRPr="00C6316B">
        <w:rPr>
          <w:rFonts w:ascii="Arial" w:hAnsi="Arial" w:cs="Arial"/>
          <w:sz w:val="24"/>
          <w:szCs w:val="24"/>
        </w:rPr>
        <w:t xml:space="preserve"> de </w:t>
      </w:r>
      <w:r w:rsidRPr="00E00743">
        <w:rPr>
          <w:rFonts w:ascii="Arial" w:hAnsi="Arial" w:cs="Arial"/>
          <w:sz w:val="24"/>
          <w:szCs w:val="24"/>
          <w:lang w:val="es-EC"/>
        </w:rPr>
        <w:t>operación</w:t>
      </w:r>
    </w:p>
    <w:p w:rsidR="004C6E5E" w:rsidRPr="00C6316B" w:rsidRDefault="004C6E5E" w:rsidP="00C6316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Si una parte cae en la zona roja, se para el proceso se restablece y el procedimiento regresa a la etapa de arranque.</w:t>
      </w:r>
    </w:p>
    <w:p w:rsidR="00E601AC" w:rsidRPr="00C6316B" w:rsidRDefault="00E601AC" w:rsidP="00C6316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Si un par cae en zonas amarillas opuestas, se para el proceso y se pide ayuda, posiblemente el ajuste que se necesite es complejo.</w:t>
      </w:r>
    </w:p>
    <w:p w:rsidR="00E601AC" w:rsidRPr="00C6316B" w:rsidRDefault="00E601AC" w:rsidP="00C6316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Si un par cae en la misma zona amarilla, se ajusta el proceso y el procedimiento vuelve a la etapa de arranque.</w:t>
      </w:r>
    </w:p>
    <w:p w:rsidR="00963A9E" w:rsidRPr="00963A9E" w:rsidRDefault="00E601AC" w:rsidP="00963A9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C"/>
        </w:rPr>
      </w:pPr>
      <w:r w:rsidRPr="00963A9E">
        <w:rPr>
          <w:rFonts w:ascii="Arial" w:hAnsi="Arial" w:cs="Arial"/>
          <w:sz w:val="24"/>
          <w:szCs w:val="24"/>
          <w:lang w:val="es-EC"/>
        </w:rPr>
        <w:t>Si una de las muestras o ambas caen dentro de la zona verde, se deja que el proceso continúe.</w:t>
      </w:r>
    </w:p>
    <w:p w:rsidR="00DC118B" w:rsidRDefault="00C6316B" w:rsidP="004B1B1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6316B">
        <w:rPr>
          <w:rFonts w:ascii="Arial" w:hAnsi="Arial" w:cs="Arial"/>
          <w:sz w:val="24"/>
          <w:szCs w:val="24"/>
          <w:lang w:val="es-EC"/>
        </w:rPr>
        <w:t>Actividades de precontrol presentan una mejor comprensión para administradores y operarios, responsabilidad en el proceso para mantener la calidad, disminución de rechazos, reducción de ajustes, menos frustración y mejor desempeño.</w:t>
      </w:r>
    </w:p>
    <w:p w:rsidR="00F0105E" w:rsidRDefault="00F0105E" w:rsidP="004B1B1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F0105E" w:rsidRPr="00C6316B" w:rsidRDefault="00F0105E" w:rsidP="004B1B1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AE3015">
        <w:rPr>
          <w:noProof/>
          <w:lang w:val="es-EC"/>
        </w:rPr>
        <w:t>Referencias:</w:t>
      </w:r>
      <w:r w:rsidRPr="00F0105E">
        <w:rPr>
          <w:b/>
          <w:bCs/>
          <w:noProof/>
          <w:lang w:val="es-EC"/>
        </w:rPr>
        <w:t xml:space="preserve"> </w:t>
      </w:r>
      <w:r w:rsidRPr="00963A9E">
        <w:rPr>
          <w:b/>
          <w:bCs/>
          <w:noProof/>
          <w:lang w:val="es-EC"/>
        </w:rPr>
        <w:t>Besterfield, Dale H.</w:t>
      </w:r>
      <w:r w:rsidRPr="00963A9E">
        <w:rPr>
          <w:noProof/>
          <w:lang w:val="es-EC"/>
        </w:rPr>
        <w:t xml:space="preserve"> </w:t>
      </w:r>
      <w:r w:rsidRPr="00963A9E">
        <w:rPr>
          <w:i/>
          <w:iCs/>
          <w:noProof/>
          <w:lang w:val="es-EC"/>
        </w:rPr>
        <w:t xml:space="preserve">Control de Calidad. </w:t>
      </w:r>
      <w:r w:rsidRPr="00963A9E">
        <w:rPr>
          <w:noProof/>
          <w:lang w:val="es-EC"/>
        </w:rPr>
        <w:t>Naucalpan de Juarez : Prentice Hall, 1995.</w:t>
      </w:r>
    </w:p>
    <w:sectPr w:rsidR="00F0105E" w:rsidRPr="00C6316B" w:rsidSect="00963A9E">
      <w:headerReference w:type="default" r:id="rId14"/>
      <w:pgSz w:w="12240" w:h="15840"/>
      <w:pgMar w:top="1440" w:right="1440" w:bottom="12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E2" w:rsidRDefault="004732E2" w:rsidP="00845DEF">
      <w:pPr>
        <w:spacing w:after="0" w:line="240" w:lineRule="auto"/>
      </w:pPr>
      <w:r>
        <w:separator/>
      </w:r>
    </w:p>
  </w:endnote>
  <w:endnote w:type="continuationSeparator" w:id="1">
    <w:p w:rsidR="004732E2" w:rsidRDefault="004732E2" w:rsidP="0084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E2" w:rsidRDefault="004732E2" w:rsidP="00845DEF">
      <w:pPr>
        <w:spacing w:after="0" w:line="240" w:lineRule="auto"/>
      </w:pPr>
      <w:r>
        <w:separator/>
      </w:r>
    </w:p>
  </w:footnote>
  <w:footnote w:type="continuationSeparator" w:id="1">
    <w:p w:rsidR="004732E2" w:rsidRDefault="004732E2" w:rsidP="0084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6B" w:rsidRPr="00845DEF" w:rsidRDefault="00C6316B" w:rsidP="00845DEF">
    <w:pPr>
      <w:pStyle w:val="Encabezado"/>
      <w:jc w:val="center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22C"/>
    <w:multiLevelType w:val="hybridMultilevel"/>
    <w:tmpl w:val="80E2E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B7DC3"/>
    <w:multiLevelType w:val="hybridMultilevel"/>
    <w:tmpl w:val="03C2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54D28"/>
    <w:multiLevelType w:val="hybridMultilevel"/>
    <w:tmpl w:val="3D32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6508B"/>
    <w:multiLevelType w:val="hybridMultilevel"/>
    <w:tmpl w:val="6866833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26"/>
    <w:rsid w:val="00042854"/>
    <w:rsid w:val="000620D9"/>
    <w:rsid w:val="000842F2"/>
    <w:rsid w:val="00113F4F"/>
    <w:rsid w:val="001828BF"/>
    <w:rsid w:val="001A2C3B"/>
    <w:rsid w:val="001B0231"/>
    <w:rsid w:val="001F4D20"/>
    <w:rsid w:val="002039F0"/>
    <w:rsid w:val="00243EEF"/>
    <w:rsid w:val="0026465D"/>
    <w:rsid w:val="00277945"/>
    <w:rsid w:val="002B5A43"/>
    <w:rsid w:val="002C3861"/>
    <w:rsid w:val="003867B1"/>
    <w:rsid w:val="00416B7A"/>
    <w:rsid w:val="00454A76"/>
    <w:rsid w:val="004732E2"/>
    <w:rsid w:val="004B1B11"/>
    <w:rsid w:val="004B519B"/>
    <w:rsid w:val="004C6E5E"/>
    <w:rsid w:val="004D0712"/>
    <w:rsid w:val="00570A55"/>
    <w:rsid w:val="00623B58"/>
    <w:rsid w:val="006F4591"/>
    <w:rsid w:val="007122AD"/>
    <w:rsid w:val="00763256"/>
    <w:rsid w:val="0077481F"/>
    <w:rsid w:val="00775EB8"/>
    <w:rsid w:val="007B7828"/>
    <w:rsid w:val="008133A4"/>
    <w:rsid w:val="00837DF2"/>
    <w:rsid w:val="00845DEF"/>
    <w:rsid w:val="00850437"/>
    <w:rsid w:val="009414EA"/>
    <w:rsid w:val="00954212"/>
    <w:rsid w:val="00963A9E"/>
    <w:rsid w:val="00A473F8"/>
    <w:rsid w:val="00A70AB1"/>
    <w:rsid w:val="00AE3015"/>
    <w:rsid w:val="00B35D40"/>
    <w:rsid w:val="00B40FD2"/>
    <w:rsid w:val="00B53791"/>
    <w:rsid w:val="00B61F30"/>
    <w:rsid w:val="00B91D63"/>
    <w:rsid w:val="00C04498"/>
    <w:rsid w:val="00C6316B"/>
    <w:rsid w:val="00C71134"/>
    <w:rsid w:val="00C96192"/>
    <w:rsid w:val="00CB243C"/>
    <w:rsid w:val="00CC3799"/>
    <w:rsid w:val="00CD5A26"/>
    <w:rsid w:val="00CF4F19"/>
    <w:rsid w:val="00D864F1"/>
    <w:rsid w:val="00DC0B1E"/>
    <w:rsid w:val="00DC118B"/>
    <w:rsid w:val="00DE49C0"/>
    <w:rsid w:val="00DE651B"/>
    <w:rsid w:val="00E00743"/>
    <w:rsid w:val="00E377AD"/>
    <w:rsid w:val="00E51619"/>
    <w:rsid w:val="00E601AC"/>
    <w:rsid w:val="00EF547D"/>
    <w:rsid w:val="00F0105E"/>
    <w:rsid w:val="00F06B46"/>
    <w:rsid w:val="00F45825"/>
    <w:rsid w:val="00F6153C"/>
    <w:rsid w:val="00F64421"/>
    <w:rsid w:val="00FA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4F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67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DEF"/>
  </w:style>
  <w:style w:type="paragraph" w:styleId="Piedepgina">
    <w:name w:val="footer"/>
    <w:basedOn w:val="Normal"/>
    <w:link w:val="PiedepginaCar"/>
    <w:uiPriority w:val="99"/>
    <w:semiHidden/>
    <w:unhideWhenUsed/>
    <w:rsid w:val="0084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5DEF"/>
  </w:style>
  <w:style w:type="paragraph" w:styleId="Textodeglobo">
    <w:name w:val="Balloon Text"/>
    <w:basedOn w:val="Normal"/>
    <w:link w:val="TextodegloboCar"/>
    <w:uiPriority w:val="99"/>
    <w:semiHidden/>
    <w:unhideWhenUsed/>
    <w:rsid w:val="0084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D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5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416B7A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7DF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54212"/>
    <w:pPr>
      <w:ind w:left="720"/>
      <w:contextualSpacing/>
    </w:pPr>
  </w:style>
  <w:style w:type="table" w:styleId="Sombreadomedio1-nfasis5">
    <w:name w:val="Medium Shading 1 Accent 5"/>
    <w:basedOn w:val="Tablanormal"/>
    <w:uiPriority w:val="63"/>
    <w:rsid w:val="00B35D4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B35D4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clara-nfasis5">
    <w:name w:val="Light Grid Accent 5"/>
    <w:basedOn w:val="Tablanormal"/>
    <w:uiPriority w:val="62"/>
    <w:rsid w:val="00B35D4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67B1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867B1"/>
  </w:style>
  <w:style w:type="paragraph" w:styleId="Textonotapie">
    <w:name w:val="footnote text"/>
    <w:basedOn w:val="Normal"/>
    <w:link w:val="TextonotapieCar"/>
    <w:uiPriority w:val="99"/>
    <w:semiHidden/>
    <w:unhideWhenUsed/>
    <w:rsid w:val="003867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67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67B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67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67B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867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Bes95</b:Tag>
    <b:SourceType>Book</b:SourceType>
    <b:Guid>{5B7B85CB-3639-4752-BC3E-FA1269CCCA34}</b:Guid>
    <b:LCID>0</b:LCID>
    <b:Author>
      <b:Author>
        <b:NameList>
          <b:Person>
            <b:Last>Besterfield</b:Last>
            <b:First>Dale</b:First>
            <b:Middle>H.</b:Middle>
          </b:Person>
        </b:NameList>
      </b:Author>
    </b:Author>
    <b:Title>Control de Calidad</b:Title>
    <b:Year>1995</b:Year>
    <b:City>Naucalpan de Juarez</b:City>
    <b:Publisher>Prentice Hall</b:Publisher>
    <b:RefOrder>1</b:RefOrder>
  </b:Source>
</b:Sources>
</file>

<file path=customXml/itemProps1.xml><?xml version="1.0" encoding="utf-8"?>
<ds:datastoreItem xmlns:ds="http://schemas.openxmlformats.org/officeDocument/2006/customXml" ds:itemID="{2FFCE763-276E-439B-AC3F-09778ADE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andreita</dc:creator>
  <cp:keywords/>
  <cp:lastModifiedBy>biblio2</cp:lastModifiedBy>
  <cp:revision>2</cp:revision>
  <cp:lastPrinted>2010-01-22T05:16:00Z</cp:lastPrinted>
  <dcterms:created xsi:type="dcterms:W3CDTF">2010-07-01T19:12:00Z</dcterms:created>
  <dcterms:modified xsi:type="dcterms:W3CDTF">2010-07-01T19:12:00Z</dcterms:modified>
</cp:coreProperties>
</file>