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539E" w:rsidRPr="005D6698" w:rsidRDefault="007F539E" w:rsidP="005E4AC5">
      <w:pPr>
        <w:spacing w:after="0" w:line="240" w:lineRule="auto"/>
        <w:jc w:val="center"/>
        <w:rPr>
          <w:rFonts w:ascii="Arial" w:eastAsia="Times New Roman" w:hAnsi="Arial" w:cs="Arial"/>
          <w:b/>
          <w:sz w:val="32"/>
          <w:szCs w:val="32"/>
          <w:lang w:val="es-SV" w:eastAsia="es-SV"/>
        </w:rPr>
      </w:pPr>
      <w:r w:rsidRPr="005D6698">
        <w:rPr>
          <w:rFonts w:ascii="Arial" w:eastAsia="Times New Roman" w:hAnsi="Arial" w:cs="Arial"/>
          <w:b/>
          <w:sz w:val="32"/>
          <w:szCs w:val="32"/>
          <w:lang w:val="es-SV" w:eastAsia="es-SV"/>
        </w:rPr>
        <w:t>ESCUELA SUPERIOR POLITÉCNICA DEL LITORAL</w:t>
      </w:r>
    </w:p>
    <w:p w:rsidR="007F539E" w:rsidRPr="00F672A7" w:rsidRDefault="007F539E" w:rsidP="005E4AC5">
      <w:pPr>
        <w:spacing w:after="0" w:line="240" w:lineRule="auto"/>
        <w:jc w:val="center"/>
        <w:rPr>
          <w:rFonts w:ascii="Arial" w:eastAsia="Times New Roman" w:hAnsi="Arial" w:cs="Arial"/>
          <w:b/>
          <w:sz w:val="28"/>
          <w:szCs w:val="28"/>
          <w:lang w:val="es-SV" w:eastAsia="es-SV"/>
        </w:rPr>
      </w:pPr>
    </w:p>
    <w:p w:rsidR="007F539E" w:rsidRPr="00F672A7" w:rsidRDefault="00362759" w:rsidP="005E4AC5">
      <w:pPr>
        <w:spacing w:after="0" w:line="240" w:lineRule="auto"/>
        <w:jc w:val="center"/>
        <w:rPr>
          <w:rFonts w:ascii="Arial" w:eastAsia="Times New Roman" w:hAnsi="Arial" w:cs="Arial"/>
          <w:sz w:val="28"/>
          <w:szCs w:val="28"/>
          <w:lang w:val="es-SV" w:eastAsia="es-SV"/>
        </w:rPr>
      </w:pPr>
      <w:r>
        <w:rPr>
          <w:rFonts w:ascii="Arial" w:eastAsia="Times New Roman" w:hAnsi="Arial" w:cs="Arial"/>
          <w:noProof/>
          <w:sz w:val="28"/>
          <w:szCs w:val="28"/>
          <w:lang w:eastAsia="es-ES"/>
        </w:rPr>
        <w:drawing>
          <wp:inline distT="0" distB="0" distL="0" distR="0">
            <wp:extent cx="1152525" cy="1152525"/>
            <wp:effectExtent l="19050" t="0" r="9525" b="0"/>
            <wp:docPr id="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cstate="print"/>
                    <a:srcRect/>
                    <a:stretch>
                      <a:fillRect/>
                    </a:stretch>
                  </pic:blipFill>
                  <pic:spPr bwMode="auto">
                    <a:xfrm>
                      <a:off x="0" y="0"/>
                      <a:ext cx="1152525" cy="1152525"/>
                    </a:xfrm>
                    <a:prstGeom prst="rect">
                      <a:avLst/>
                    </a:prstGeom>
                    <a:noFill/>
                    <a:ln w="9525">
                      <a:noFill/>
                      <a:miter lim="800000"/>
                      <a:headEnd/>
                      <a:tailEnd/>
                    </a:ln>
                  </pic:spPr>
                </pic:pic>
              </a:graphicData>
            </a:graphic>
          </wp:inline>
        </w:drawing>
      </w:r>
    </w:p>
    <w:p w:rsidR="005E4AC5" w:rsidRDefault="007F539E" w:rsidP="005E4AC5">
      <w:pPr>
        <w:spacing w:after="0" w:line="240" w:lineRule="auto"/>
        <w:jc w:val="center"/>
        <w:rPr>
          <w:rFonts w:eastAsia="Times New Roman" w:cs="Arial"/>
          <w:i/>
          <w:sz w:val="28"/>
          <w:szCs w:val="28"/>
          <w:lang w:val="es-SV" w:eastAsia="es-SV"/>
        </w:rPr>
      </w:pPr>
      <w:r w:rsidRPr="00F672A7">
        <w:rPr>
          <w:rFonts w:ascii="Arial" w:eastAsia="Times New Roman" w:hAnsi="Arial" w:cs="Arial"/>
          <w:sz w:val="28"/>
          <w:szCs w:val="28"/>
          <w:lang w:val="es-SV" w:eastAsia="es-SV"/>
        </w:rPr>
        <w:br/>
      </w:r>
      <w:r w:rsidRPr="005D6698">
        <w:rPr>
          <w:rFonts w:ascii="Arial" w:eastAsia="Times New Roman" w:hAnsi="Arial" w:cs="Arial"/>
          <w:b/>
          <w:sz w:val="32"/>
          <w:szCs w:val="32"/>
          <w:lang w:val="es-SV" w:eastAsia="es-SV"/>
        </w:rPr>
        <w:t>Facultad de Ingeniería en Electricidad y Computación</w:t>
      </w:r>
      <w:r w:rsidRPr="005D6698">
        <w:rPr>
          <w:rFonts w:ascii="Arial" w:eastAsia="Times New Roman" w:hAnsi="Arial" w:cs="Arial"/>
          <w:b/>
          <w:sz w:val="32"/>
          <w:szCs w:val="32"/>
          <w:lang w:val="es-SV" w:eastAsia="es-SV"/>
        </w:rPr>
        <w:br/>
      </w:r>
      <w:r w:rsidR="005D6698" w:rsidRPr="005D6698">
        <w:rPr>
          <w:rFonts w:eastAsia="Times New Roman" w:cs="Arial"/>
          <w:i/>
          <w:sz w:val="32"/>
          <w:szCs w:val="28"/>
          <w:lang w:val="es-SV" w:eastAsia="es-SV"/>
        </w:rPr>
        <w:br/>
        <w:t>“Análisis</w:t>
      </w:r>
      <w:r w:rsidR="005D6698" w:rsidRPr="005D6698">
        <w:rPr>
          <w:rFonts w:cs="Arial"/>
          <w:i/>
          <w:sz w:val="32"/>
        </w:rPr>
        <w:t xml:space="preserve"> de Mediciones de Radiaciones No Ionizantes en Ambientes Interiores y Exteriores en Predios de la ESPOL</w:t>
      </w:r>
      <w:r w:rsidR="005D6698" w:rsidRPr="005D6698">
        <w:rPr>
          <w:rFonts w:eastAsia="Times New Roman" w:cs="Arial"/>
          <w:i/>
          <w:sz w:val="32"/>
          <w:szCs w:val="28"/>
          <w:lang w:val="es-SV" w:eastAsia="es-SV"/>
        </w:rPr>
        <w:t>"</w:t>
      </w:r>
      <w:r w:rsidRPr="005D6698">
        <w:rPr>
          <w:rFonts w:eastAsia="Times New Roman" w:cs="Arial"/>
          <w:i/>
          <w:sz w:val="28"/>
          <w:szCs w:val="28"/>
          <w:lang w:val="es-SV" w:eastAsia="es-SV"/>
        </w:rPr>
        <w:br/>
      </w:r>
    </w:p>
    <w:p w:rsidR="005E4AC5" w:rsidRDefault="007F539E" w:rsidP="005E4AC5">
      <w:pPr>
        <w:spacing w:after="0" w:line="240" w:lineRule="auto"/>
        <w:jc w:val="center"/>
        <w:rPr>
          <w:rFonts w:ascii="Arial" w:eastAsia="Times New Roman" w:hAnsi="Arial" w:cs="Arial"/>
          <w:b/>
          <w:sz w:val="32"/>
          <w:szCs w:val="28"/>
          <w:lang w:val="es-SV" w:eastAsia="es-SV"/>
        </w:rPr>
      </w:pPr>
      <w:r w:rsidRPr="005D6698">
        <w:rPr>
          <w:rFonts w:eastAsia="Times New Roman" w:cs="Arial"/>
          <w:i/>
          <w:sz w:val="28"/>
          <w:szCs w:val="28"/>
          <w:lang w:val="es-SV" w:eastAsia="es-SV"/>
        </w:rPr>
        <w:br/>
      </w:r>
      <w:r w:rsidRPr="005D6698">
        <w:rPr>
          <w:rFonts w:ascii="Arial" w:eastAsia="Times New Roman" w:hAnsi="Arial" w:cs="Arial"/>
          <w:b/>
          <w:sz w:val="32"/>
          <w:szCs w:val="28"/>
          <w:lang w:val="es-SV" w:eastAsia="es-SV"/>
        </w:rPr>
        <w:t>INFORME DE PROYECTO DE GRADUACIÓN</w:t>
      </w:r>
    </w:p>
    <w:p w:rsidR="005E4AC5" w:rsidRDefault="007F539E" w:rsidP="005E4AC5">
      <w:pPr>
        <w:spacing w:after="0" w:line="360" w:lineRule="auto"/>
        <w:jc w:val="center"/>
        <w:rPr>
          <w:rFonts w:ascii="Arial" w:eastAsia="Times New Roman" w:hAnsi="Arial" w:cs="Arial"/>
          <w:sz w:val="32"/>
          <w:szCs w:val="28"/>
          <w:lang w:val="es-SV" w:eastAsia="es-SV"/>
        </w:rPr>
      </w:pPr>
      <w:r w:rsidRPr="00F672A7">
        <w:rPr>
          <w:rFonts w:ascii="Arial" w:eastAsia="Times New Roman" w:hAnsi="Arial" w:cs="Arial"/>
          <w:b/>
          <w:sz w:val="28"/>
          <w:szCs w:val="28"/>
          <w:lang w:val="es-SV" w:eastAsia="es-SV"/>
        </w:rPr>
        <w:br/>
      </w:r>
      <w:r w:rsidRPr="005D6698">
        <w:rPr>
          <w:rFonts w:ascii="Arial" w:eastAsia="Times New Roman" w:hAnsi="Arial" w:cs="Arial"/>
          <w:sz w:val="32"/>
          <w:szCs w:val="28"/>
          <w:lang w:val="es-SV" w:eastAsia="es-SV"/>
        </w:rPr>
        <w:t>Pr</w:t>
      </w:r>
      <w:r w:rsidR="005D6698" w:rsidRPr="005D6698">
        <w:rPr>
          <w:rFonts w:ascii="Arial" w:eastAsia="Times New Roman" w:hAnsi="Arial" w:cs="Arial"/>
          <w:sz w:val="32"/>
          <w:szCs w:val="28"/>
          <w:lang w:val="es-SV" w:eastAsia="es-SV"/>
        </w:rPr>
        <w:t>evia a la obtención del t</w:t>
      </w:r>
      <w:r w:rsidRPr="005D6698">
        <w:rPr>
          <w:rFonts w:ascii="Arial" w:eastAsia="Times New Roman" w:hAnsi="Arial" w:cs="Arial"/>
          <w:sz w:val="32"/>
          <w:szCs w:val="28"/>
          <w:lang w:val="es-SV" w:eastAsia="es-SV"/>
        </w:rPr>
        <w:t>ítulo de:</w:t>
      </w:r>
    </w:p>
    <w:p w:rsidR="005E4AC5" w:rsidRDefault="007F539E" w:rsidP="005E4AC5">
      <w:pPr>
        <w:spacing w:after="0" w:line="360" w:lineRule="auto"/>
        <w:jc w:val="center"/>
        <w:rPr>
          <w:rFonts w:ascii="Arial" w:eastAsia="Times New Roman" w:hAnsi="Arial" w:cs="Arial"/>
          <w:b/>
          <w:sz w:val="32"/>
          <w:szCs w:val="28"/>
          <w:lang w:val="es-SV" w:eastAsia="es-SV"/>
        </w:rPr>
      </w:pPr>
      <w:r w:rsidRPr="005D6698">
        <w:rPr>
          <w:rFonts w:ascii="Arial" w:eastAsia="Times New Roman" w:hAnsi="Arial" w:cs="Arial"/>
          <w:sz w:val="28"/>
          <w:szCs w:val="28"/>
          <w:lang w:val="es-SV" w:eastAsia="es-SV"/>
        </w:rPr>
        <w:br/>
      </w:r>
      <w:r w:rsidRPr="005D6698">
        <w:rPr>
          <w:rFonts w:ascii="Arial" w:eastAsia="Times New Roman" w:hAnsi="Arial" w:cs="Arial"/>
          <w:b/>
          <w:sz w:val="32"/>
          <w:szCs w:val="28"/>
          <w:lang w:val="es-SV" w:eastAsia="es-SV"/>
        </w:rPr>
        <w:t>INGENIERO EN ELECTRÓNICA Y TELECOMUNICACIONES</w:t>
      </w:r>
    </w:p>
    <w:p w:rsidR="005D6698" w:rsidRDefault="007F539E" w:rsidP="005E4AC5">
      <w:pPr>
        <w:spacing w:after="0" w:line="360" w:lineRule="auto"/>
        <w:jc w:val="center"/>
        <w:rPr>
          <w:rFonts w:ascii="Arial" w:eastAsia="Times New Roman" w:hAnsi="Arial" w:cs="Arial"/>
          <w:b/>
          <w:sz w:val="28"/>
          <w:szCs w:val="28"/>
          <w:lang w:val="es-SV" w:eastAsia="es-SV"/>
        </w:rPr>
      </w:pPr>
      <w:r w:rsidRPr="005D6698">
        <w:rPr>
          <w:rFonts w:ascii="Arial" w:eastAsia="Times New Roman" w:hAnsi="Arial" w:cs="Arial"/>
          <w:b/>
          <w:sz w:val="32"/>
          <w:szCs w:val="28"/>
          <w:lang w:val="es-SV" w:eastAsia="es-SV"/>
        </w:rPr>
        <w:br/>
      </w:r>
      <w:r w:rsidRPr="00F672A7">
        <w:rPr>
          <w:rFonts w:ascii="Arial" w:eastAsia="Times New Roman" w:hAnsi="Arial" w:cs="Arial"/>
          <w:b/>
          <w:sz w:val="28"/>
          <w:szCs w:val="28"/>
          <w:lang w:val="es-SV" w:eastAsia="es-SV"/>
        </w:rPr>
        <w:t>Presentado por:</w:t>
      </w:r>
    </w:p>
    <w:p w:rsidR="005E4AC5" w:rsidRDefault="005E4AC5" w:rsidP="005E4AC5">
      <w:pPr>
        <w:spacing w:after="0" w:line="360" w:lineRule="auto"/>
        <w:jc w:val="center"/>
        <w:rPr>
          <w:rFonts w:ascii="Arial" w:eastAsia="Times New Roman" w:hAnsi="Arial" w:cs="Arial"/>
          <w:b/>
          <w:sz w:val="28"/>
          <w:szCs w:val="28"/>
          <w:lang w:val="es-SV" w:eastAsia="es-SV"/>
        </w:rPr>
      </w:pPr>
    </w:p>
    <w:p w:rsidR="003E5D50" w:rsidRDefault="003E5D50" w:rsidP="003E5D50">
      <w:pPr>
        <w:spacing w:after="0" w:line="360" w:lineRule="auto"/>
        <w:jc w:val="center"/>
        <w:rPr>
          <w:rFonts w:ascii="Arial" w:eastAsia="Times New Roman" w:hAnsi="Arial" w:cs="Arial"/>
          <w:sz w:val="28"/>
          <w:szCs w:val="28"/>
          <w:lang w:val="es-SV" w:eastAsia="es-SV"/>
        </w:rPr>
      </w:pPr>
      <w:r>
        <w:rPr>
          <w:rFonts w:ascii="Arial" w:eastAsia="Times New Roman" w:hAnsi="Arial" w:cs="Arial"/>
          <w:sz w:val="28"/>
          <w:szCs w:val="28"/>
          <w:lang w:val="es-SV" w:eastAsia="es-SV"/>
        </w:rPr>
        <w:t>Wilson A</w:t>
      </w:r>
      <w:r w:rsidRPr="00F672A7">
        <w:rPr>
          <w:rFonts w:ascii="Arial" w:eastAsia="Times New Roman" w:hAnsi="Arial" w:cs="Arial"/>
          <w:sz w:val="28"/>
          <w:szCs w:val="28"/>
          <w:lang w:val="es-SV" w:eastAsia="es-SV"/>
        </w:rPr>
        <w:t>lejandro</w:t>
      </w:r>
      <w:r>
        <w:rPr>
          <w:rFonts w:ascii="Arial" w:eastAsia="Times New Roman" w:hAnsi="Arial" w:cs="Arial"/>
          <w:sz w:val="28"/>
          <w:szCs w:val="28"/>
          <w:lang w:val="es-SV" w:eastAsia="es-SV"/>
        </w:rPr>
        <w:t xml:space="preserve"> Díaz G</w:t>
      </w:r>
      <w:r w:rsidRPr="00F672A7">
        <w:rPr>
          <w:rFonts w:ascii="Arial" w:eastAsia="Times New Roman" w:hAnsi="Arial" w:cs="Arial"/>
          <w:sz w:val="28"/>
          <w:szCs w:val="28"/>
          <w:lang w:val="es-SV" w:eastAsia="es-SV"/>
        </w:rPr>
        <w:t>arcía</w:t>
      </w:r>
      <w:r>
        <w:rPr>
          <w:rFonts w:ascii="Arial" w:eastAsia="Times New Roman" w:hAnsi="Arial" w:cs="Arial"/>
          <w:sz w:val="28"/>
          <w:szCs w:val="28"/>
          <w:lang w:val="es-SV" w:eastAsia="es-SV"/>
        </w:rPr>
        <w:t xml:space="preserve"> </w:t>
      </w:r>
    </w:p>
    <w:p w:rsidR="005D6698" w:rsidRDefault="005D6698" w:rsidP="005E4AC5">
      <w:pPr>
        <w:spacing w:after="0" w:line="360" w:lineRule="auto"/>
        <w:jc w:val="center"/>
        <w:rPr>
          <w:rFonts w:ascii="Arial" w:eastAsia="Times New Roman" w:hAnsi="Arial" w:cs="Arial"/>
          <w:sz w:val="28"/>
          <w:szCs w:val="28"/>
          <w:lang w:val="es-SV" w:eastAsia="es-SV"/>
        </w:rPr>
      </w:pPr>
      <w:r>
        <w:rPr>
          <w:rFonts w:ascii="Arial" w:eastAsia="Times New Roman" w:hAnsi="Arial" w:cs="Arial"/>
          <w:sz w:val="28"/>
          <w:szCs w:val="28"/>
          <w:lang w:val="es-SV" w:eastAsia="es-SV"/>
        </w:rPr>
        <w:t>Felipe W</w:t>
      </w:r>
      <w:r w:rsidRPr="00F672A7">
        <w:rPr>
          <w:rFonts w:ascii="Arial" w:eastAsia="Times New Roman" w:hAnsi="Arial" w:cs="Arial"/>
          <w:sz w:val="28"/>
          <w:szCs w:val="28"/>
          <w:lang w:val="es-SV" w:eastAsia="es-SV"/>
        </w:rPr>
        <w:t>alkir</w:t>
      </w:r>
      <w:r>
        <w:rPr>
          <w:rFonts w:ascii="Arial" w:eastAsia="Times New Roman" w:hAnsi="Arial" w:cs="Arial"/>
          <w:sz w:val="28"/>
          <w:szCs w:val="28"/>
          <w:lang w:val="es-SV" w:eastAsia="es-SV"/>
        </w:rPr>
        <w:t xml:space="preserve"> Proaño S</w:t>
      </w:r>
      <w:r w:rsidRPr="00F672A7">
        <w:rPr>
          <w:rFonts w:ascii="Arial" w:eastAsia="Times New Roman" w:hAnsi="Arial" w:cs="Arial"/>
          <w:sz w:val="28"/>
          <w:szCs w:val="28"/>
          <w:lang w:val="es-SV" w:eastAsia="es-SV"/>
        </w:rPr>
        <w:t>alvati</w:t>
      </w:r>
      <w:r>
        <w:rPr>
          <w:rFonts w:ascii="Arial" w:eastAsia="Times New Roman" w:hAnsi="Arial" w:cs="Arial"/>
          <w:sz w:val="28"/>
          <w:szCs w:val="28"/>
          <w:lang w:val="es-SV" w:eastAsia="es-SV"/>
        </w:rPr>
        <w:t xml:space="preserve">erra </w:t>
      </w:r>
    </w:p>
    <w:p w:rsidR="005E4AC5" w:rsidRPr="00F672A7" w:rsidRDefault="005E4AC5" w:rsidP="005E4AC5">
      <w:pPr>
        <w:spacing w:after="0"/>
        <w:jc w:val="center"/>
        <w:rPr>
          <w:rFonts w:ascii="Arial" w:eastAsia="Times New Roman" w:hAnsi="Arial" w:cs="Arial"/>
          <w:sz w:val="28"/>
          <w:szCs w:val="28"/>
          <w:lang w:val="es-SV" w:eastAsia="es-SV"/>
        </w:rPr>
      </w:pPr>
    </w:p>
    <w:p w:rsidR="005E4AC5" w:rsidRDefault="005E4AC5" w:rsidP="005E4AC5">
      <w:pPr>
        <w:jc w:val="center"/>
        <w:rPr>
          <w:rFonts w:ascii="Arial" w:hAnsi="Arial" w:cs="Arial"/>
          <w:sz w:val="28"/>
          <w:szCs w:val="28"/>
        </w:rPr>
      </w:pPr>
      <w:r w:rsidRPr="00277976">
        <w:rPr>
          <w:rFonts w:ascii="Arial" w:hAnsi="Arial" w:cs="Arial"/>
          <w:sz w:val="28"/>
          <w:szCs w:val="28"/>
        </w:rPr>
        <w:t>GUAYAQUIL – ECUADOR</w:t>
      </w:r>
    </w:p>
    <w:p w:rsidR="002A7B85" w:rsidRDefault="005E4AC5" w:rsidP="005E4AC5">
      <w:pPr>
        <w:jc w:val="center"/>
        <w:rPr>
          <w:rFonts w:ascii="Arial" w:hAnsi="Arial" w:cs="Arial"/>
          <w:sz w:val="28"/>
          <w:szCs w:val="28"/>
        </w:rPr>
        <w:sectPr w:rsidR="002A7B85" w:rsidSect="002A7B85">
          <w:headerReference w:type="default" r:id="rId9"/>
          <w:headerReference w:type="first" r:id="rId10"/>
          <w:type w:val="continuous"/>
          <w:pgSz w:w="11906" w:h="16838" w:code="9"/>
          <w:pgMar w:top="2268" w:right="1361" w:bottom="2268" w:left="2268" w:header="709" w:footer="709" w:gutter="0"/>
          <w:pgNumType w:fmt="upperRoman"/>
          <w:cols w:space="708"/>
          <w:titlePg/>
          <w:docGrid w:linePitch="360"/>
        </w:sectPr>
      </w:pPr>
      <w:r>
        <w:rPr>
          <w:rFonts w:ascii="Arial" w:hAnsi="Arial" w:cs="Arial"/>
          <w:sz w:val="28"/>
          <w:szCs w:val="28"/>
        </w:rPr>
        <w:t>2010</w:t>
      </w:r>
    </w:p>
    <w:p w:rsidR="005E4AC5" w:rsidRDefault="005E4AC5" w:rsidP="005E4AC5">
      <w:pPr>
        <w:jc w:val="center"/>
        <w:rPr>
          <w:rFonts w:ascii="Arial" w:hAnsi="Arial" w:cs="Arial"/>
          <w:sz w:val="28"/>
          <w:szCs w:val="28"/>
        </w:rPr>
      </w:pPr>
    </w:p>
    <w:p w:rsidR="007D4232" w:rsidRPr="007D4232" w:rsidRDefault="007D4232" w:rsidP="007D4232">
      <w:pPr>
        <w:spacing w:line="360" w:lineRule="auto"/>
        <w:jc w:val="center"/>
        <w:rPr>
          <w:rFonts w:ascii="Arial" w:hAnsi="Arial" w:cs="Arial"/>
          <w:b/>
          <w:sz w:val="28"/>
          <w:szCs w:val="28"/>
        </w:rPr>
      </w:pPr>
    </w:p>
    <w:p w:rsidR="007D4232" w:rsidRDefault="007D4232" w:rsidP="007D4232">
      <w:pPr>
        <w:spacing w:line="360" w:lineRule="auto"/>
        <w:jc w:val="center"/>
        <w:rPr>
          <w:rFonts w:ascii="Arial" w:hAnsi="Arial" w:cs="Arial"/>
          <w:b/>
          <w:sz w:val="24"/>
          <w:szCs w:val="24"/>
        </w:rPr>
      </w:pPr>
    </w:p>
    <w:p w:rsidR="007D4232" w:rsidRDefault="007D4232" w:rsidP="007D4232">
      <w:pPr>
        <w:spacing w:line="360" w:lineRule="auto"/>
        <w:jc w:val="center"/>
        <w:rPr>
          <w:rFonts w:ascii="Arial" w:hAnsi="Arial" w:cs="Arial"/>
          <w:b/>
          <w:sz w:val="24"/>
          <w:szCs w:val="24"/>
        </w:rPr>
      </w:pPr>
    </w:p>
    <w:p w:rsidR="007A5A40" w:rsidRDefault="007A5A40" w:rsidP="007D4232">
      <w:pPr>
        <w:spacing w:line="360" w:lineRule="auto"/>
        <w:jc w:val="center"/>
        <w:rPr>
          <w:rFonts w:ascii="Arial" w:hAnsi="Arial" w:cs="Arial"/>
          <w:b/>
          <w:sz w:val="24"/>
          <w:szCs w:val="24"/>
        </w:rPr>
      </w:pPr>
    </w:p>
    <w:p w:rsidR="007A5A40" w:rsidRDefault="007A5A40" w:rsidP="007D4232">
      <w:pPr>
        <w:spacing w:line="360" w:lineRule="auto"/>
        <w:jc w:val="center"/>
        <w:rPr>
          <w:rFonts w:ascii="Arial" w:hAnsi="Arial" w:cs="Arial"/>
          <w:b/>
          <w:sz w:val="24"/>
          <w:szCs w:val="24"/>
        </w:rPr>
      </w:pPr>
    </w:p>
    <w:p w:rsidR="007F539E" w:rsidRPr="00F672A7" w:rsidRDefault="007F539E" w:rsidP="007F539E">
      <w:pPr>
        <w:spacing w:line="360" w:lineRule="auto"/>
        <w:jc w:val="center"/>
        <w:rPr>
          <w:rFonts w:ascii="Arial" w:hAnsi="Arial" w:cs="Arial"/>
          <w:b/>
          <w:sz w:val="36"/>
          <w:szCs w:val="36"/>
        </w:rPr>
      </w:pPr>
      <w:r w:rsidRPr="00F672A7">
        <w:rPr>
          <w:rFonts w:ascii="Arial" w:hAnsi="Arial" w:cs="Arial"/>
          <w:b/>
          <w:sz w:val="36"/>
          <w:szCs w:val="36"/>
        </w:rPr>
        <w:t>AGRADECIMIENTO</w:t>
      </w:r>
    </w:p>
    <w:p w:rsidR="007F539E" w:rsidRPr="00F672A7" w:rsidRDefault="007F539E" w:rsidP="007F539E">
      <w:pPr>
        <w:spacing w:line="360" w:lineRule="auto"/>
        <w:jc w:val="right"/>
        <w:rPr>
          <w:rFonts w:ascii="Arial" w:hAnsi="Arial" w:cs="Arial"/>
          <w:b/>
          <w:sz w:val="28"/>
          <w:szCs w:val="28"/>
        </w:rPr>
      </w:pPr>
    </w:p>
    <w:p w:rsidR="00074BEB" w:rsidRPr="00B571B3" w:rsidRDefault="007F539E" w:rsidP="007F539E">
      <w:pPr>
        <w:tabs>
          <w:tab w:val="left" w:pos="4820"/>
        </w:tabs>
        <w:spacing w:line="360" w:lineRule="auto"/>
        <w:ind w:left="4536"/>
        <w:jc w:val="both"/>
        <w:rPr>
          <w:rFonts w:ascii="Arial" w:hAnsi="Arial" w:cs="Arial"/>
          <w:sz w:val="28"/>
          <w:szCs w:val="28"/>
        </w:rPr>
      </w:pPr>
      <w:r w:rsidRPr="00F672A7">
        <w:rPr>
          <w:rFonts w:ascii="Arial" w:hAnsi="Arial" w:cs="Arial"/>
          <w:sz w:val="28"/>
          <w:szCs w:val="28"/>
        </w:rPr>
        <w:t>A todas las personas que colaboraron      con       la  realización de este trabajo  y    en    especial   al   PhD. Boris Ramos    por     su     invaluable ayuda</w:t>
      </w:r>
      <w:r w:rsidR="00B571B3">
        <w:rPr>
          <w:rFonts w:ascii="Arial" w:hAnsi="Arial" w:cs="Arial"/>
          <w:sz w:val="28"/>
          <w:szCs w:val="28"/>
        </w:rPr>
        <w:t>.</w:t>
      </w: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074BEB" w:rsidRDefault="00074BEB" w:rsidP="007D4232">
      <w:pPr>
        <w:spacing w:line="360" w:lineRule="auto"/>
        <w:jc w:val="center"/>
        <w:rPr>
          <w:rFonts w:ascii="Arial" w:hAnsi="Arial" w:cs="Arial"/>
          <w:b/>
          <w:sz w:val="24"/>
          <w:szCs w:val="24"/>
        </w:rPr>
      </w:pPr>
    </w:p>
    <w:p w:rsidR="002A7B85" w:rsidRDefault="002A7B85" w:rsidP="007D4232">
      <w:pPr>
        <w:spacing w:line="360" w:lineRule="auto"/>
        <w:jc w:val="center"/>
        <w:rPr>
          <w:rFonts w:ascii="Arial" w:hAnsi="Arial" w:cs="Arial"/>
          <w:b/>
          <w:sz w:val="24"/>
          <w:szCs w:val="24"/>
        </w:rPr>
        <w:sectPr w:rsidR="002A7B85" w:rsidSect="002A7B85">
          <w:pgSz w:w="11906" w:h="16838" w:code="9"/>
          <w:pgMar w:top="2268" w:right="1361" w:bottom="2268" w:left="2268" w:header="709" w:footer="709" w:gutter="0"/>
          <w:pgNumType w:fmt="upperRoman"/>
          <w:cols w:space="708"/>
          <w:titlePg/>
          <w:docGrid w:linePitch="360"/>
        </w:sectPr>
      </w:pPr>
    </w:p>
    <w:p w:rsidR="003A3F89" w:rsidRDefault="003A3F89" w:rsidP="003A3F89">
      <w:pPr>
        <w:spacing w:line="360" w:lineRule="auto"/>
        <w:jc w:val="center"/>
        <w:rPr>
          <w:rFonts w:ascii="Arial" w:hAnsi="Arial" w:cs="Arial"/>
          <w:b/>
          <w:sz w:val="24"/>
          <w:szCs w:val="24"/>
        </w:rPr>
      </w:pPr>
    </w:p>
    <w:p w:rsidR="003A3F89" w:rsidRDefault="003A3F89" w:rsidP="003A3F89">
      <w:pPr>
        <w:spacing w:line="480" w:lineRule="auto"/>
        <w:jc w:val="center"/>
        <w:rPr>
          <w:rFonts w:ascii="Arial" w:hAnsi="Arial" w:cs="Arial"/>
          <w:b/>
          <w:sz w:val="24"/>
          <w:szCs w:val="24"/>
        </w:rPr>
      </w:pPr>
    </w:p>
    <w:p w:rsidR="003A3F89" w:rsidRDefault="003A3F89" w:rsidP="003A3F89">
      <w:pPr>
        <w:spacing w:line="480" w:lineRule="auto"/>
        <w:jc w:val="center"/>
        <w:rPr>
          <w:rFonts w:ascii="Arial" w:hAnsi="Arial" w:cs="Arial"/>
          <w:b/>
          <w:sz w:val="24"/>
          <w:szCs w:val="24"/>
        </w:rPr>
      </w:pPr>
    </w:p>
    <w:p w:rsidR="003A3F89" w:rsidRDefault="003A3F89" w:rsidP="003A3F89">
      <w:pPr>
        <w:spacing w:line="360" w:lineRule="auto"/>
        <w:jc w:val="center"/>
        <w:rPr>
          <w:rFonts w:ascii="Arial" w:hAnsi="Arial" w:cs="Arial"/>
          <w:b/>
          <w:sz w:val="36"/>
          <w:szCs w:val="36"/>
        </w:rPr>
      </w:pPr>
      <w:r w:rsidRPr="00F672A7">
        <w:rPr>
          <w:rFonts w:ascii="Arial" w:hAnsi="Arial" w:cs="Arial"/>
          <w:b/>
          <w:sz w:val="36"/>
          <w:szCs w:val="36"/>
        </w:rPr>
        <w:t>DEDICATORIA</w:t>
      </w:r>
    </w:p>
    <w:p w:rsidR="003A3F89" w:rsidRPr="00F672A7" w:rsidRDefault="003A3F89" w:rsidP="003A3F89">
      <w:pPr>
        <w:spacing w:line="360" w:lineRule="auto"/>
        <w:jc w:val="center"/>
        <w:rPr>
          <w:rFonts w:ascii="Arial" w:hAnsi="Arial" w:cs="Arial"/>
          <w:b/>
          <w:sz w:val="36"/>
          <w:szCs w:val="36"/>
        </w:rPr>
      </w:pPr>
    </w:p>
    <w:p w:rsidR="003A3F89" w:rsidRDefault="003A3F89" w:rsidP="003A3F89">
      <w:pPr>
        <w:spacing w:line="360" w:lineRule="auto"/>
        <w:ind w:left="4536"/>
        <w:jc w:val="both"/>
        <w:rPr>
          <w:rFonts w:ascii="Arial" w:hAnsi="Arial" w:cs="Arial"/>
          <w:b/>
          <w:sz w:val="28"/>
          <w:szCs w:val="28"/>
          <w:lang w:val="es-ES_tradnl"/>
        </w:rPr>
      </w:pPr>
      <w:r>
        <w:rPr>
          <w:rFonts w:ascii="Arial" w:hAnsi="Arial" w:cs="Arial"/>
          <w:sz w:val="28"/>
          <w:szCs w:val="24"/>
          <w:lang w:val="es-ES_tradnl"/>
        </w:rPr>
        <w:t>Primero que todo a Dios por haberme ayudado a salir adelante</w:t>
      </w:r>
      <w:r w:rsidRPr="00F672A7">
        <w:rPr>
          <w:rFonts w:ascii="Arial" w:hAnsi="Arial" w:cs="Arial"/>
          <w:sz w:val="28"/>
          <w:szCs w:val="24"/>
          <w:lang w:val="es-ES_tradnl"/>
        </w:rPr>
        <w:t>, a mis padres</w:t>
      </w:r>
      <w:r>
        <w:rPr>
          <w:rFonts w:ascii="Arial" w:hAnsi="Arial" w:cs="Arial"/>
          <w:sz w:val="28"/>
          <w:szCs w:val="24"/>
          <w:lang w:val="es-ES_tradnl"/>
        </w:rPr>
        <w:t xml:space="preserve"> Susana y Wilson</w:t>
      </w:r>
      <w:r w:rsidRPr="00F672A7">
        <w:rPr>
          <w:rFonts w:ascii="Arial" w:hAnsi="Arial" w:cs="Arial"/>
          <w:sz w:val="28"/>
          <w:szCs w:val="24"/>
          <w:lang w:val="es-ES_tradnl"/>
        </w:rPr>
        <w:t xml:space="preserve">, a mi </w:t>
      </w:r>
      <w:r>
        <w:rPr>
          <w:rFonts w:ascii="Arial" w:hAnsi="Arial" w:cs="Arial"/>
          <w:sz w:val="28"/>
          <w:szCs w:val="24"/>
          <w:lang w:val="es-ES_tradnl"/>
        </w:rPr>
        <w:t>enamorada Lissette</w:t>
      </w:r>
      <w:r w:rsidRPr="00F672A7">
        <w:rPr>
          <w:rFonts w:ascii="Arial" w:hAnsi="Arial" w:cs="Arial"/>
          <w:sz w:val="28"/>
          <w:szCs w:val="24"/>
          <w:lang w:val="es-ES_tradnl"/>
        </w:rPr>
        <w:t xml:space="preserve">, </w:t>
      </w:r>
      <w:r>
        <w:rPr>
          <w:rFonts w:ascii="Arial" w:hAnsi="Arial" w:cs="Arial"/>
          <w:sz w:val="28"/>
          <w:szCs w:val="24"/>
          <w:lang w:val="es-ES_tradnl"/>
        </w:rPr>
        <w:t>a mis abuelos Rosa y Cesar, a mis tías Mercy, Narcisa y Flor, ustedes fueron mi inspiración y motivación para superarme cada día más</w:t>
      </w:r>
      <w:r>
        <w:rPr>
          <w:rFonts w:ascii="Arial" w:hAnsi="Arial" w:cs="Arial"/>
          <w:b/>
          <w:sz w:val="28"/>
          <w:szCs w:val="28"/>
          <w:lang w:val="es-ES_tradnl"/>
        </w:rPr>
        <w:t>.</w:t>
      </w:r>
    </w:p>
    <w:p w:rsidR="003A3F89" w:rsidRPr="00134420" w:rsidRDefault="003A3F89" w:rsidP="003A3F89">
      <w:pPr>
        <w:spacing w:line="360" w:lineRule="auto"/>
        <w:ind w:left="4536"/>
        <w:jc w:val="both"/>
        <w:rPr>
          <w:rFonts w:ascii="Arial" w:hAnsi="Arial" w:cs="Arial"/>
          <w:sz w:val="28"/>
          <w:szCs w:val="24"/>
          <w:lang w:val="es-ES_tradnl"/>
        </w:rPr>
      </w:pPr>
      <w:r w:rsidRPr="00134420">
        <w:rPr>
          <w:rFonts w:ascii="Arial" w:hAnsi="Arial" w:cs="Arial"/>
          <w:sz w:val="28"/>
          <w:szCs w:val="24"/>
          <w:lang w:val="es-ES_tradnl"/>
        </w:rPr>
        <w:t xml:space="preserve">A mis </w:t>
      </w:r>
      <w:r>
        <w:rPr>
          <w:rFonts w:ascii="Arial" w:hAnsi="Arial" w:cs="Arial"/>
          <w:sz w:val="28"/>
          <w:szCs w:val="24"/>
          <w:lang w:val="es-ES_tradnl"/>
        </w:rPr>
        <w:t>amigos por su apoyo, a cada uno de mis profesores, y a todas las personas que creyeron en mí.</w:t>
      </w:r>
    </w:p>
    <w:p w:rsidR="00A54BCF" w:rsidRDefault="003A3F89" w:rsidP="003A3F89">
      <w:pPr>
        <w:ind w:left="4536"/>
        <w:jc w:val="right"/>
        <w:rPr>
          <w:rFonts w:ascii="Arial" w:hAnsi="Arial" w:cs="Arial"/>
          <w:sz w:val="28"/>
          <w:szCs w:val="28"/>
        </w:rPr>
        <w:sectPr w:rsidR="00A54BCF" w:rsidSect="002A7B85">
          <w:pgSz w:w="11906" w:h="16838" w:code="9"/>
          <w:pgMar w:top="2268" w:right="1361" w:bottom="2268" w:left="2268" w:header="709" w:footer="709" w:gutter="0"/>
          <w:pgNumType w:fmt="upperRoman"/>
          <w:cols w:space="708"/>
          <w:titlePg/>
          <w:docGrid w:linePitch="360"/>
        </w:sectPr>
      </w:pPr>
      <w:r w:rsidRPr="00F672A7">
        <w:rPr>
          <w:rFonts w:ascii="Arial" w:hAnsi="Arial" w:cs="Arial"/>
          <w:b/>
          <w:sz w:val="28"/>
          <w:szCs w:val="28"/>
        </w:rPr>
        <w:tab/>
      </w:r>
      <w:r w:rsidRPr="00F672A7">
        <w:rPr>
          <w:rFonts w:ascii="Arial" w:hAnsi="Arial" w:cs="Arial"/>
          <w:b/>
          <w:sz w:val="28"/>
          <w:szCs w:val="28"/>
        </w:rPr>
        <w:tab/>
      </w:r>
      <w:r w:rsidRPr="00F672A7">
        <w:rPr>
          <w:rFonts w:ascii="Arial" w:hAnsi="Arial" w:cs="Arial"/>
          <w:b/>
          <w:sz w:val="28"/>
          <w:szCs w:val="28"/>
        </w:rPr>
        <w:tab/>
      </w:r>
      <w:r w:rsidRPr="00F672A7">
        <w:rPr>
          <w:rFonts w:ascii="Arial" w:hAnsi="Arial" w:cs="Arial"/>
          <w:b/>
          <w:sz w:val="28"/>
          <w:szCs w:val="28"/>
        </w:rPr>
        <w:tab/>
      </w:r>
      <w:r w:rsidRPr="00F672A7">
        <w:rPr>
          <w:rFonts w:ascii="Arial" w:hAnsi="Arial" w:cs="Arial"/>
          <w:b/>
          <w:sz w:val="28"/>
          <w:szCs w:val="28"/>
        </w:rPr>
        <w:tab/>
      </w:r>
      <w:r>
        <w:rPr>
          <w:rFonts w:ascii="Arial" w:hAnsi="Arial" w:cs="Arial"/>
          <w:b/>
          <w:sz w:val="28"/>
          <w:szCs w:val="28"/>
        </w:rPr>
        <w:t xml:space="preserve">     </w:t>
      </w:r>
      <w:r w:rsidRPr="0047264D">
        <w:rPr>
          <w:rFonts w:ascii="Arial" w:hAnsi="Arial" w:cs="Arial"/>
          <w:sz w:val="28"/>
          <w:szCs w:val="28"/>
        </w:rPr>
        <w:t>Wilson</w:t>
      </w:r>
      <w:r w:rsidRPr="0047264D">
        <w:rPr>
          <w:rFonts w:ascii="Arial" w:hAnsi="Arial" w:cs="Arial"/>
          <w:sz w:val="28"/>
          <w:szCs w:val="28"/>
        </w:rPr>
        <w:tab/>
      </w:r>
    </w:p>
    <w:p w:rsidR="003A3F89" w:rsidRPr="0047264D" w:rsidRDefault="003A3F89" w:rsidP="003A3F89">
      <w:pPr>
        <w:ind w:left="4536"/>
        <w:jc w:val="right"/>
        <w:rPr>
          <w:rFonts w:ascii="Arial" w:hAnsi="Arial" w:cs="Arial"/>
          <w:sz w:val="28"/>
          <w:szCs w:val="28"/>
        </w:rPr>
      </w:pPr>
    </w:p>
    <w:p w:rsidR="003A3F89" w:rsidRDefault="003A3F89" w:rsidP="003A3F89">
      <w:pPr>
        <w:spacing w:line="360" w:lineRule="auto"/>
        <w:jc w:val="center"/>
        <w:rPr>
          <w:rFonts w:ascii="Arial" w:hAnsi="Arial" w:cs="Arial"/>
          <w:b/>
          <w:sz w:val="24"/>
          <w:szCs w:val="24"/>
        </w:rPr>
      </w:pPr>
    </w:p>
    <w:p w:rsidR="003A3F89" w:rsidRDefault="003A3F89" w:rsidP="003A3F89">
      <w:pPr>
        <w:spacing w:line="360" w:lineRule="auto"/>
        <w:jc w:val="center"/>
        <w:rPr>
          <w:rFonts w:ascii="Arial" w:hAnsi="Arial" w:cs="Arial"/>
          <w:b/>
          <w:sz w:val="36"/>
          <w:szCs w:val="36"/>
        </w:rPr>
      </w:pPr>
    </w:p>
    <w:p w:rsidR="003A3F89" w:rsidRPr="00F672A7" w:rsidRDefault="003A3F89" w:rsidP="003A3F89">
      <w:pPr>
        <w:spacing w:line="360" w:lineRule="auto"/>
        <w:jc w:val="center"/>
        <w:rPr>
          <w:rFonts w:ascii="Arial" w:hAnsi="Arial" w:cs="Arial"/>
          <w:b/>
          <w:sz w:val="36"/>
          <w:szCs w:val="36"/>
        </w:rPr>
      </w:pPr>
      <w:r w:rsidRPr="00F672A7">
        <w:rPr>
          <w:rFonts w:ascii="Arial" w:hAnsi="Arial" w:cs="Arial"/>
          <w:b/>
          <w:sz w:val="36"/>
          <w:szCs w:val="36"/>
        </w:rPr>
        <w:t>DEDICATORIA</w:t>
      </w:r>
    </w:p>
    <w:p w:rsidR="003A3F89" w:rsidRPr="00F672A7" w:rsidRDefault="003A3F89" w:rsidP="003A3F89">
      <w:pPr>
        <w:jc w:val="right"/>
        <w:rPr>
          <w:rFonts w:ascii="Arial" w:hAnsi="Arial" w:cs="Arial"/>
          <w:sz w:val="28"/>
          <w:szCs w:val="28"/>
        </w:rPr>
      </w:pPr>
    </w:p>
    <w:p w:rsidR="003A3F89" w:rsidRDefault="003A3F89" w:rsidP="003A3F89">
      <w:pPr>
        <w:spacing w:line="360" w:lineRule="auto"/>
        <w:ind w:left="4536"/>
        <w:jc w:val="both"/>
        <w:rPr>
          <w:rFonts w:ascii="Arial" w:hAnsi="Arial" w:cs="Arial"/>
          <w:sz w:val="28"/>
          <w:szCs w:val="24"/>
          <w:lang w:val="es-ES_tradnl"/>
        </w:rPr>
      </w:pPr>
      <w:r w:rsidRPr="00F672A7">
        <w:rPr>
          <w:rFonts w:ascii="Arial" w:hAnsi="Arial" w:cs="Arial"/>
          <w:sz w:val="28"/>
          <w:szCs w:val="24"/>
          <w:lang w:val="es-ES_tradnl"/>
        </w:rPr>
        <w:t xml:space="preserve">Primero que todo a Dios por ser mi guía; a mis padres Gloria y Felipe, a mis hermanas Mayra, Cindy y Candy, a mis sobrinos Josué, Belén, Aryam, Emilio y Diego, todos ellos son </w:t>
      </w:r>
      <w:r w:rsidR="00180020">
        <w:rPr>
          <w:rFonts w:ascii="Arial" w:hAnsi="Arial" w:cs="Arial"/>
          <w:sz w:val="28"/>
          <w:szCs w:val="24"/>
          <w:lang w:val="es-ES_tradnl"/>
        </w:rPr>
        <w:t>el</w:t>
      </w:r>
      <w:r w:rsidRPr="00F672A7">
        <w:rPr>
          <w:rFonts w:ascii="Arial" w:hAnsi="Arial" w:cs="Arial"/>
          <w:sz w:val="28"/>
          <w:szCs w:val="24"/>
          <w:lang w:val="es-ES_tradnl"/>
        </w:rPr>
        <w:t xml:space="preserve"> </w:t>
      </w:r>
      <w:r>
        <w:rPr>
          <w:rFonts w:ascii="Arial" w:hAnsi="Arial" w:cs="Arial"/>
          <w:sz w:val="28"/>
          <w:szCs w:val="24"/>
          <w:lang w:val="es-ES_tradnl"/>
        </w:rPr>
        <w:t>mejor regalo que me ha dado la vida</w:t>
      </w:r>
      <w:r w:rsidRPr="00F672A7">
        <w:rPr>
          <w:rFonts w:ascii="Arial" w:hAnsi="Arial" w:cs="Arial"/>
          <w:sz w:val="28"/>
          <w:szCs w:val="24"/>
          <w:lang w:val="es-ES_tradnl"/>
        </w:rPr>
        <w:t xml:space="preserve"> y el incentivo para la culminación de este trabajo. </w:t>
      </w:r>
    </w:p>
    <w:p w:rsidR="003A3F89" w:rsidRPr="00F672A7" w:rsidRDefault="003A3F89" w:rsidP="003A3F89">
      <w:pPr>
        <w:spacing w:line="360" w:lineRule="auto"/>
        <w:ind w:left="4536"/>
        <w:jc w:val="both"/>
        <w:rPr>
          <w:rFonts w:ascii="Arial" w:hAnsi="Arial" w:cs="Arial"/>
          <w:sz w:val="28"/>
          <w:szCs w:val="24"/>
          <w:lang w:val="es-ES_tradnl"/>
        </w:rPr>
      </w:pPr>
      <w:r w:rsidRPr="00F672A7">
        <w:rPr>
          <w:rFonts w:ascii="Arial" w:hAnsi="Arial" w:cs="Arial"/>
          <w:sz w:val="28"/>
          <w:szCs w:val="24"/>
          <w:lang w:val="es-ES_tradnl"/>
        </w:rPr>
        <w:t>Además a mis ami</w:t>
      </w:r>
      <w:r>
        <w:rPr>
          <w:rFonts w:ascii="Arial" w:hAnsi="Arial" w:cs="Arial"/>
          <w:sz w:val="28"/>
          <w:szCs w:val="24"/>
          <w:lang w:val="es-ES_tradnl"/>
        </w:rPr>
        <w:t xml:space="preserve">gos, compañeros, </w:t>
      </w:r>
      <w:r w:rsidRPr="00F672A7">
        <w:rPr>
          <w:rFonts w:ascii="Arial" w:hAnsi="Arial" w:cs="Arial"/>
          <w:sz w:val="28"/>
          <w:szCs w:val="24"/>
          <w:lang w:val="es-ES_tradnl"/>
        </w:rPr>
        <w:t xml:space="preserve"> profesores</w:t>
      </w:r>
      <w:r>
        <w:rPr>
          <w:rFonts w:ascii="Arial" w:hAnsi="Arial" w:cs="Arial"/>
          <w:sz w:val="28"/>
          <w:szCs w:val="24"/>
          <w:lang w:val="es-ES_tradnl"/>
        </w:rPr>
        <w:t xml:space="preserve"> y demás familiares</w:t>
      </w:r>
      <w:r w:rsidRPr="00F672A7">
        <w:rPr>
          <w:rFonts w:ascii="Arial" w:hAnsi="Arial" w:cs="Arial"/>
          <w:sz w:val="28"/>
          <w:szCs w:val="24"/>
          <w:lang w:val="es-ES_tradnl"/>
        </w:rPr>
        <w:t>, por su confianza.</w:t>
      </w:r>
    </w:p>
    <w:p w:rsidR="003A3F89" w:rsidRPr="00F672A7" w:rsidRDefault="003A3F89" w:rsidP="003A3F89">
      <w:pPr>
        <w:spacing w:line="360" w:lineRule="auto"/>
        <w:ind w:left="4536"/>
        <w:jc w:val="right"/>
        <w:rPr>
          <w:rFonts w:ascii="Arial" w:hAnsi="Arial" w:cs="Arial"/>
          <w:sz w:val="28"/>
          <w:szCs w:val="24"/>
          <w:lang w:val="es-ES_tradnl"/>
        </w:rPr>
      </w:pPr>
    </w:p>
    <w:p w:rsidR="003A3F89" w:rsidRPr="009F3EA9" w:rsidRDefault="003A3F89" w:rsidP="003A3F89">
      <w:pPr>
        <w:jc w:val="right"/>
        <w:rPr>
          <w:rFonts w:ascii="Arial" w:hAnsi="Arial" w:cs="Arial"/>
          <w:sz w:val="28"/>
          <w:szCs w:val="28"/>
        </w:rPr>
      </w:pPr>
      <w:r w:rsidRPr="00F672A7">
        <w:rPr>
          <w:rFonts w:ascii="Arial" w:hAnsi="Arial" w:cs="Arial"/>
          <w:sz w:val="28"/>
          <w:szCs w:val="24"/>
          <w:lang w:val="es-ES_tradnl"/>
        </w:rPr>
        <w:t>Felipe</w:t>
      </w:r>
    </w:p>
    <w:p w:rsidR="00A54BCF" w:rsidRDefault="00A54BCF" w:rsidP="00D722F9">
      <w:pPr>
        <w:autoSpaceDE w:val="0"/>
        <w:autoSpaceDN w:val="0"/>
        <w:adjustRightInd w:val="0"/>
        <w:spacing w:line="480" w:lineRule="auto"/>
        <w:jc w:val="center"/>
        <w:rPr>
          <w:rFonts w:ascii="Arial" w:hAnsi="Arial" w:cs="Arial"/>
          <w:b/>
          <w:sz w:val="36"/>
          <w:szCs w:val="32"/>
        </w:rPr>
        <w:sectPr w:rsidR="00A54BCF" w:rsidSect="002A7B85">
          <w:pgSz w:w="11906" w:h="16838" w:code="9"/>
          <w:pgMar w:top="2268" w:right="1361" w:bottom="2268" w:left="2268" w:header="709" w:footer="709" w:gutter="0"/>
          <w:pgNumType w:fmt="upperRoman"/>
          <w:cols w:space="708"/>
          <w:titlePg/>
          <w:docGrid w:linePitch="360"/>
        </w:sectPr>
      </w:pPr>
    </w:p>
    <w:p w:rsidR="00D722F9" w:rsidRPr="00C15A04" w:rsidRDefault="00D722F9" w:rsidP="00D722F9">
      <w:pPr>
        <w:autoSpaceDE w:val="0"/>
        <w:autoSpaceDN w:val="0"/>
        <w:adjustRightInd w:val="0"/>
        <w:spacing w:line="480" w:lineRule="auto"/>
        <w:jc w:val="center"/>
        <w:rPr>
          <w:rFonts w:ascii="Arial" w:hAnsi="Arial" w:cs="Arial"/>
          <w:b/>
          <w:sz w:val="36"/>
          <w:szCs w:val="32"/>
        </w:rPr>
      </w:pPr>
      <w:r w:rsidRPr="00C15A04">
        <w:rPr>
          <w:rFonts w:ascii="Arial" w:hAnsi="Arial" w:cs="Arial"/>
          <w:b/>
          <w:sz w:val="36"/>
          <w:szCs w:val="32"/>
        </w:rPr>
        <w:lastRenderedPageBreak/>
        <w:t>TRIBUNAL DE SUSTENTACIÓN</w:t>
      </w:r>
    </w:p>
    <w:p w:rsidR="00D722F9" w:rsidRPr="00B33DB3" w:rsidRDefault="00D722F9" w:rsidP="00D722F9">
      <w:pPr>
        <w:autoSpaceDE w:val="0"/>
        <w:autoSpaceDN w:val="0"/>
        <w:adjustRightInd w:val="0"/>
        <w:spacing w:line="480" w:lineRule="auto"/>
        <w:rPr>
          <w:rFonts w:ascii="Arial" w:hAnsi="Arial" w:cs="Arial"/>
        </w:rPr>
      </w:pPr>
    </w:p>
    <w:p w:rsidR="00D722F9" w:rsidRPr="00B33DB3" w:rsidRDefault="00D722F9" w:rsidP="00D722F9">
      <w:pPr>
        <w:autoSpaceDE w:val="0"/>
        <w:autoSpaceDN w:val="0"/>
        <w:adjustRightInd w:val="0"/>
        <w:spacing w:line="480" w:lineRule="auto"/>
        <w:rPr>
          <w:rFonts w:ascii="Arial" w:hAnsi="Arial" w:cs="Arial"/>
        </w:rPr>
      </w:pPr>
    </w:p>
    <w:p w:rsidR="00D722F9" w:rsidRPr="00B33DB3" w:rsidRDefault="00D722F9" w:rsidP="00D722F9">
      <w:pPr>
        <w:autoSpaceDE w:val="0"/>
        <w:autoSpaceDN w:val="0"/>
        <w:adjustRightInd w:val="0"/>
        <w:spacing w:line="480" w:lineRule="auto"/>
        <w:rPr>
          <w:rFonts w:ascii="Arial" w:hAnsi="Arial" w:cs="Arial"/>
        </w:rPr>
      </w:pPr>
    </w:p>
    <w:p w:rsidR="00D722F9" w:rsidRPr="00B33DB3" w:rsidRDefault="00D722F9" w:rsidP="00D722F9">
      <w:pPr>
        <w:autoSpaceDE w:val="0"/>
        <w:autoSpaceDN w:val="0"/>
        <w:adjustRightInd w:val="0"/>
        <w:spacing w:line="480" w:lineRule="auto"/>
        <w:rPr>
          <w:rFonts w:ascii="Arial" w:hAnsi="Arial" w:cs="Arial"/>
        </w:rPr>
      </w:pPr>
    </w:p>
    <w:p w:rsidR="00D722F9" w:rsidRPr="00B33DB3" w:rsidRDefault="00D722F9" w:rsidP="00D722F9">
      <w:pPr>
        <w:autoSpaceDE w:val="0"/>
        <w:autoSpaceDN w:val="0"/>
        <w:adjustRightInd w:val="0"/>
        <w:spacing w:line="480" w:lineRule="auto"/>
        <w:rPr>
          <w:rFonts w:ascii="Arial" w:hAnsi="Arial" w:cs="Arial"/>
        </w:rPr>
      </w:pPr>
      <w:r w:rsidRPr="00B33DB3">
        <w:rPr>
          <w:rFonts w:ascii="Arial" w:hAnsi="Arial" w:cs="Arial"/>
        </w:rPr>
        <w:t xml:space="preserve">    </w:t>
      </w:r>
      <w:r>
        <w:rPr>
          <w:rFonts w:ascii="Arial" w:hAnsi="Arial" w:cs="Arial"/>
        </w:rPr>
        <w:t xml:space="preserve">   </w:t>
      </w:r>
      <w:r w:rsidRPr="00B33DB3">
        <w:rPr>
          <w:rFonts w:ascii="Arial" w:hAnsi="Arial" w:cs="Arial"/>
        </w:rPr>
        <w:t>__________________</w:t>
      </w:r>
      <w:r>
        <w:rPr>
          <w:rFonts w:ascii="Arial" w:hAnsi="Arial" w:cs="Arial"/>
        </w:rPr>
        <w:t>___</w:t>
      </w:r>
      <w:r w:rsidRPr="00B33DB3">
        <w:rPr>
          <w:rFonts w:ascii="Arial" w:hAnsi="Arial" w:cs="Arial"/>
        </w:rPr>
        <w:t xml:space="preserve">                       </w:t>
      </w:r>
      <w:r>
        <w:rPr>
          <w:rFonts w:ascii="Arial" w:hAnsi="Arial" w:cs="Arial"/>
        </w:rPr>
        <w:t xml:space="preserve">       </w:t>
      </w:r>
      <w:r>
        <w:rPr>
          <w:rFonts w:ascii="Arial" w:hAnsi="Arial" w:cs="Arial"/>
        </w:rPr>
        <w:tab/>
        <w:t xml:space="preserve">   </w:t>
      </w:r>
      <w:r w:rsidRPr="00B33DB3">
        <w:rPr>
          <w:rFonts w:ascii="Arial" w:hAnsi="Arial" w:cs="Arial"/>
        </w:rPr>
        <w:t>__________________</w:t>
      </w:r>
      <w:r>
        <w:rPr>
          <w:rFonts w:ascii="Arial" w:hAnsi="Arial" w:cs="Arial"/>
        </w:rPr>
        <w:t>___</w:t>
      </w:r>
    </w:p>
    <w:p w:rsidR="00D722F9" w:rsidRPr="00B362FF" w:rsidRDefault="00D722F9" w:rsidP="00D722F9">
      <w:pPr>
        <w:autoSpaceDE w:val="0"/>
        <w:autoSpaceDN w:val="0"/>
        <w:adjustRightInd w:val="0"/>
        <w:spacing w:line="480" w:lineRule="auto"/>
        <w:rPr>
          <w:rFonts w:ascii="Arial" w:hAnsi="Arial" w:cs="Arial"/>
        </w:rPr>
      </w:pPr>
      <w:r w:rsidRPr="00B33DB3">
        <w:rPr>
          <w:rFonts w:ascii="Arial" w:hAnsi="Arial" w:cs="Arial"/>
        </w:rPr>
        <w:t xml:space="preserve">         </w:t>
      </w:r>
      <w:r w:rsidRPr="00B362FF">
        <w:rPr>
          <w:rFonts w:ascii="Arial" w:hAnsi="Arial" w:cs="Arial"/>
        </w:rPr>
        <w:t>Ing. Jorge Aragundi</w:t>
      </w:r>
      <w:r w:rsidRPr="00B362FF">
        <w:rPr>
          <w:rFonts w:ascii="Arial" w:hAnsi="Arial" w:cs="Arial"/>
        </w:rPr>
        <w:tab/>
      </w:r>
      <w:r w:rsidRPr="00B362FF">
        <w:rPr>
          <w:rFonts w:ascii="Arial" w:hAnsi="Arial" w:cs="Arial"/>
        </w:rPr>
        <w:tab/>
      </w:r>
      <w:r w:rsidRPr="00B362FF">
        <w:rPr>
          <w:rFonts w:ascii="Arial" w:hAnsi="Arial" w:cs="Arial"/>
        </w:rPr>
        <w:tab/>
        <w:t xml:space="preserve">           </w:t>
      </w:r>
      <w:r w:rsidRPr="00B362FF">
        <w:rPr>
          <w:rFonts w:ascii="Arial" w:hAnsi="Arial" w:cs="Arial"/>
        </w:rPr>
        <w:tab/>
        <w:t xml:space="preserve">       </w:t>
      </w:r>
      <w:r w:rsidR="00151CD7">
        <w:rPr>
          <w:rFonts w:ascii="Arial" w:hAnsi="Arial" w:cs="Arial"/>
        </w:rPr>
        <w:t xml:space="preserve"> </w:t>
      </w:r>
      <w:r w:rsidRPr="00B362FF">
        <w:rPr>
          <w:rFonts w:ascii="Arial" w:hAnsi="Arial" w:cs="Arial"/>
        </w:rPr>
        <w:t xml:space="preserve"> PhD. Boris Ramos</w:t>
      </w:r>
    </w:p>
    <w:p w:rsidR="00D722F9" w:rsidRPr="00D722F9" w:rsidRDefault="00D722F9" w:rsidP="00151CD7">
      <w:pPr>
        <w:autoSpaceDE w:val="0"/>
        <w:autoSpaceDN w:val="0"/>
        <w:adjustRightInd w:val="0"/>
        <w:spacing w:line="480" w:lineRule="auto"/>
        <w:ind w:left="708" w:hanging="708"/>
        <w:rPr>
          <w:rFonts w:ascii="Arial" w:hAnsi="Arial" w:cs="Arial"/>
        </w:rPr>
      </w:pPr>
      <w:r w:rsidRPr="00B362FF">
        <w:rPr>
          <w:rFonts w:ascii="Arial" w:hAnsi="Arial" w:cs="Arial"/>
        </w:rPr>
        <w:t xml:space="preserve">    </w:t>
      </w:r>
      <w:r w:rsidRPr="00B33DB3">
        <w:rPr>
          <w:rFonts w:ascii="Arial" w:hAnsi="Arial" w:cs="Arial"/>
        </w:rPr>
        <w:t xml:space="preserve">SUB-DECANO DE LA FIEC                      </w:t>
      </w:r>
      <w:r w:rsidR="00151CD7">
        <w:rPr>
          <w:rFonts w:ascii="Arial" w:hAnsi="Arial" w:cs="Arial"/>
        </w:rPr>
        <w:t xml:space="preserve">   </w:t>
      </w:r>
      <w:r w:rsidR="00151CD7">
        <w:rPr>
          <w:rFonts w:ascii="Arial" w:hAnsi="Arial" w:cs="Arial"/>
        </w:rPr>
        <w:tab/>
        <w:t xml:space="preserve"> </w:t>
      </w:r>
      <w:r w:rsidRPr="00B33DB3">
        <w:rPr>
          <w:rFonts w:ascii="Arial" w:hAnsi="Arial" w:cs="Arial"/>
        </w:rPr>
        <w:t>DIRECTOR DE</w:t>
      </w:r>
      <w:r w:rsidR="00151CD7">
        <w:rPr>
          <w:rFonts w:ascii="Arial" w:hAnsi="Arial" w:cs="Arial"/>
        </w:rPr>
        <w:t>L PROYECTO</w:t>
      </w:r>
      <w:r w:rsidRPr="00B33DB3">
        <w:rPr>
          <w:rFonts w:ascii="Arial" w:hAnsi="Arial" w:cs="Arial"/>
        </w:rPr>
        <w:t xml:space="preserve">             </w:t>
      </w:r>
      <w:r w:rsidR="00151CD7">
        <w:rPr>
          <w:rFonts w:ascii="Arial" w:hAnsi="Arial" w:cs="Arial"/>
        </w:rPr>
        <w:t xml:space="preserve"> </w:t>
      </w:r>
      <w:r w:rsidRPr="00D722F9">
        <w:rPr>
          <w:rFonts w:ascii="Arial" w:hAnsi="Arial" w:cs="Arial"/>
        </w:rPr>
        <w:t>PRESIDENTE</w:t>
      </w:r>
    </w:p>
    <w:p w:rsidR="00D722F9" w:rsidRPr="00D722F9" w:rsidRDefault="00D722F9" w:rsidP="00D722F9">
      <w:pPr>
        <w:autoSpaceDE w:val="0"/>
        <w:autoSpaceDN w:val="0"/>
        <w:adjustRightInd w:val="0"/>
        <w:spacing w:line="480" w:lineRule="auto"/>
        <w:rPr>
          <w:rFonts w:ascii="Arial" w:hAnsi="Arial" w:cs="Arial"/>
        </w:rPr>
      </w:pPr>
    </w:p>
    <w:p w:rsidR="00D722F9" w:rsidRPr="00D722F9" w:rsidRDefault="00D722F9" w:rsidP="00D722F9">
      <w:pPr>
        <w:autoSpaceDE w:val="0"/>
        <w:autoSpaceDN w:val="0"/>
        <w:adjustRightInd w:val="0"/>
        <w:spacing w:line="480" w:lineRule="auto"/>
        <w:rPr>
          <w:rFonts w:ascii="Arial" w:hAnsi="Arial" w:cs="Arial"/>
        </w:rPr>
      </w:pPr>
    </w:p>
    <w:p w:rsidR="00D722F9" w:rsidRPr="00D722F9" w:rsidRDefault="00D722F9" w:rsidP="00D722F9">
      <w:pPr>
        <w:autoSpaceDE w:val="0"/>
        <w:autoSpaceDN w:val="0"/>
        <w:adjustRightInd w:val="0"/>
        <w:spacing w:line="480" w:lineRule="auto"/>
        <w:rPr>
          <w:rFonts w:ascii="Arial" w:hAnsi="Arial" w:cs="Arial"/>
        </w:rPr>
      </w:pPr>
    </w:p>
    <w:p w:rsidR="00D722F9" w:rsidRPr="00D722F9" w:rsidRDefault="00D722F9" w:rsidP="00D722F9">
      <w:pPr>
        <w:autoSpaceDE w:val="0"/>
        <w:autoSpaceDN w:val="0"/>
        <w:adjustRightInd w:val="0"/>
        <w:spacing w:line="480" w:lineRule="auto"/>
        <w:rPr>
          <w:rFonts w:ascii="Arial" w:hAnsi="Arial" w:cs="Arial"/>
        </w:rPr>
      </w:pPr>
    </w:p>
    <w:p w:rsidR="00D722F9" w:rsidRPr="00D722F9" w:rsidRDefault="00D722F9" w:rsidP="00D722F9">
      <w:pPr>
        <w:autoSpaceDE w:val="0"/>
        <w:autoSpaceDN w:val="0"/>
        <w:adjustRightInd w:val="0"/>
        <w:spacing w:line="480" w:lineRule="auto"/>
        <w:jc w:val="center"/>
        <w:rPr>
          <w:rFonts w:ascii="Arial" w:hAnsi="Arial" w:cs="Arial"/>
        </w:rPr>
      </w:pPr>
      <w:r w:rsidRPr="00D722F9">
        <w:rPr>
          <w:rFonts w:ascii="Arial" w:hAnsi="Arial" w:cs="Arial"/>
        </w:rPr>
        <w:t>__________________</w:t>
      </w:r>
    </w:p>
    <w:p w:rsidR="00D722F9" w:rsidRPr="00D722F9" w:rsidRDefault="00D722F9" w:rsidP="00D722F9">
      <w:pPr>
        <w:autoSpaceDE w:val="0"/>
        <w:autoSpaceDN w:val="0"/>
        <w:adjustRightInd w:val="0"/>
        <w:spacing w:line="480" w:lineRule="auto"/>
        <w:jc w:val="center"/>
        <w:rPr>
          <w:rFonts w:ascii="Arial" w:hAnsi="Arial" w:cs="Arial"/>
        </w:rPr>
      </w:pPr>
      <w:r w:rsidRPr="00D722F9">
        <w:rPr>
          <w:rFonts w:ascii="Arial" w:hAnsi="Arial" w:cs="Arial"/>
        </w:rPr>
        <w:t>Ing.</w:t>
      </w:r>
      <w:r>
        <w:rPr>
          <w:rFonts w:ascii="Arial" w:hAnsi="Arial" w:cs="Arial"/>
        </w:rPr>
        <w:t xml:space="preserve"> Washington Medina</w:t>
      </w:r>
      <w:r w:rsidRPr="00D722F9">
        <w:rPr>
          <w:rFonts w:ascii="Arial" w:hAnsi="Arial" w:cs="Arial"/>
        </w:rPr>
        <w:t>.</w:t>
      </w:r>
    </w:p>
    <w:p w:rsidR="002A7B85" w:rsidRDefault="00D722F9" w:rsidP="00D722F9">
      <w:pPr>
        <w:autoSpaceDE w:val="0"/>
        <w:autoSpaceDN w:val="0"/>
        <w:adjustRightInd w:val="0"/>
        <w:spacing w:line="480" w:lineRule="auto"/>
        <w:jc w:val="center"/>
        <w:rPr>
          <w:rFonts w:ascii="Arial" w:hAnsi="Arial" w:cs="Arial"/>
        </w:rPr>
        <w:sectPr w:rsidR="002A7B85" w:rsidSect="002A7B85">
          <w:pgSz w:w="11906" w:h="16838" w:code="9"/>
          <w:pgMar w:top="2268" w:right="1361" w:bottom="2268" w:left="2268" w:header="709" w:footer="709" w:gutter="0"/>
          <w:pgNumType w:fmt="upperRoman"/>
          <w:cols w:space="708"/>
          <w:titlePg/>
          <w:docGrid w:linePitch="360"/>
        </w:sectPr>
      </w:pPr>
      <w:r w:rsidRPr="00B33DB3">
        <w:rPr>
          <w:rFonts w:ascii="Arial" w:hAnsi="Arial" w:cs="Arial"/>
        </w:rPr>
        <w:t>VOCAL</w:t>
      </w:r>
      <w:r>
        <w:rPr>
          <w:rFonts w:ascii="Arial" w:hAnsi="Arial" w:cs="Arial"/>
        </w:rPr>
        <w:t xml:space="preserve"> PRINCIPAL</w:t>
      </w:r>
    </w:p>
    <w:p w:rsidR="00D722F9" w:rsidRPr="00767539" w:rsidRDefault="00D722F9" w:rsidP="00D722F9">
      <w:pPr>
        <w:tabs>
          <w:tab w:val="left" w:pos="4140"/>
        </w:tabs>
        <w:autoSpaceDE w:val="0"/>
        <w:autoSpaceDN w:val="0"/>
        <w:adjustRightInd w:val="0"/>
        <w:spacing w:line="480" w:lineRule="auto"/>
        <w:ind w:left="3600"/>
        <w:rPr>
          <w:rFonts w:ascii="Arial" w:hAnsi="Arial" w:cs="Arial"/>
          <w:sz w:val="24"/>
          <w:szCs w:val="24"/>
        </w:rPr>
      </w:pPr>
    </w:p>
    <w:p w:rsidR="00D722F9" w:rsidRPr="00C15A04" w:rsidRDefault="00D722F9" w:rsidP="00D722F9">
      <w:pPr>
        <w:autoSpaceDE w:val="0"/>
        <w:autoSpaceDN w:val="0"/>
        <w:adjustRightInd w:val="0"/>
        <w:spacing w:line="480" w:lineRule="auto"/>
        <w:jc w:val="center"/>
        <w:rPr>
          <w:rFonts w:ascii="Arial" w:hAnsi="Arial" w:cs="Arial"/>
          <w:b/>
          <w:sz w:val="36"/>
          <w:szCs w:val="32"/>
        </w:rPr>
      </w:pPr>
      <w:r w:rsidRPr="00C15A04">
        <w:rPr>
          <w:rFonts w:ascii="Arial" w:hAnsi="Arial" w:cs="Arial"/>
          <w:b/>
          <w:sz w:val="36"/>
          <w:szCs w:val="32"/>
        </w:rPr>
        <w:t>DECLARACIÓN EXPRESA</w:t>
      </w:r>
    </w:p>
    <w:p w:rsidR="00D722F9" w:rsidRPr="00B33DB3" w:rsidRDefault="00D722F9" w:rsidP="00D722F9">
      <w:pPr>
        <w:autoSpaceDE w:val="0"/>
        <w:autoSpaceDN w:val="0"/>
        <w:adjustRightInd w:val="0"/>
        <w:spacing w:line="480" w:lineRule="auto"/>
        <w:rPr>
          <w:rFonts w:ascii="Arial" w:hAnsi="Arial" w:cs="Arial"/>
        </w:rPr>
      </w:pPr>
      <w:r w:rsidRPr="00B33DB3">
        <w:rPr>
          <w:rFonts w:ascii="Arial" w:hAnsi="Arial" w:cs="Arial"/>
        </w:rPr>
        <w:t xml:space="preserve">          </w:t>
      </w:r>
    </w:p>
    <w:p w:rsidR="00D722F9" w:rsidRPr="00B33DB3" w:rsidRDefault="00D722F9" w:rsidP="00C15A04">
      <w:pPr>
        <w:autoSpaceDE w:val="0"/>
        <w:autoSpaceDN w:val="0"/>
        <w:adjustRightInd w:val="0"/>
        <w:spacing w:line="480" w:lineRule="auto"/>
        <w:ind w:left="1800"/>
        <w:jc w:val="both"/>
        <w:rPr>
          <w:rFonts w:ascii="Arial" w:hAnsi="Arial" w:cs="Arial"/>
        </w:rPr>
      </w:pPr>
      <w:r w:rsidRPr="00B33DB3">
        <w:rPr>
          <w:rFonts w:ascii="Arial" w:hAnsi="Arial" w:cs="Arial"/>
        </w:rPr>
        <w:t xml:space="preserve">                                                                                        </w:t>
      </w:r>
    </w:p>
    <w:p w:rsidR="00D722F9" w:rsidRDefault="00D722F9" w:rsidP="00A44D02">
      <w:pPr>
        <w:autoSpaceDE w:val="0"/>
        <w:autoSpaceDN w:val="0"/>
        <w:adjustRightInd w:val="0"/>
        <w:spacing w:line="480" w:lineRule="auto"/>
        <w:ind w:left="1800"/>
        <w:jc w:val="both"/>
        <w:rPr>
          <w:rFonts w:ascii="Arial" w:hAnsi="Arial" w:cs="Arial"/>
          <w:sz w:val="24"/>
        </w:rPr>
      </w:pPr>
      <w:r w:rsidRPr="00863AC5">
        <w:rPr>
          <w:rFonts w:ascii="Arial" w:hAnsi="Arial" w:cs="Arial"/>
          <w:sz w:val="24"/>
        </w:rPr>
        <w:t>“La  responsabilidad  del   contenido  de  est</w:t>
      </w:r>
      <w:r w:rsidR="00180020">
        <w:rPr>
          <w:rFonts w:ascii="Arial" w:hAnsi="Arial" w:cs="Arial"/>
          <w:sz w:val="24"/>
        </w:rPr>
        <w:t>e</w:t>
      </w:r>
      <w:r w:rsidR="00A44D02">
        <w:rPr>
          <w:rFonts w:ascii="Arial" w:hAnsi="Arial" w:cs="Arial"/>
          <w:sz w:val="24"/>
        </w:rPr>
        <w:t xml:space="preserve"> informe de Proyecto de Graduación</w:t>
      </w:r>
      <w:r w:rsidR="00C15A04">
        <w:rPr>
          <w:rFonts w:ascii="Arial" w:hAnsi="Arial" w:cs="Arial"/>
          <w:sz w:val="24"/>
        </w:rPr>
        <w:t>,</w:t>
      </w:r>
      <w:r w:rsidR="00A44D02">
        <w:rPr>
          <w:rFonts w:ascii="Arial" w:hAnsi="Arial" w:cs="Arial"/>
          <w:sz w:val="24"/>
        </w:rPr>
        <w:t xml:space="preserve"> nos</w:t>
      </w:r>
      <w:r w:rsidR="00C15A04">
        <w:rPr>
          <w:rFonts w:ascii="Arial" w:hAnsi="Arial" w:cs="Arial"/>
          <w:sz w:val="24"/>
        </w:rPr>
        <w:t xml:space="preserve"> corresponde e</w:t>
      </w:r>
      <w:r w:rsidRPr="00863AC5">
        <w:rPr>
          <w:rFonts w:ascii="Arial" w:hAnsi="Arial" w:cs="Arial"/>
          <w:sz w:val="24"/>
        </w:rPr>
        <w:t>xclusivamente</w:t>
      </w:r>
      <w:r w:rsidR="00C15A04">
        <w:rPr>
          <w:rFonts w:ascii="Arial" w:hAnsi="Arial" w:cs="Arial"/>
          <w:sz w:val="24"/>
        </w:rPr>
        <w:t xml:space="preserve"> a nosotros</w:t>
      </w:r>
      <w:r w:rsidRPr="00863AC5">
        <w:rPr>
          <w:rFonts w:ascii="Arial" w:hAnsi="Arial" w:cs="Arial"/>
          <w:sz w:val="24"/>
        </w:rPr>
        <w:t>; y el patrimonio intelectual de</w:t>
      </w:r>
      <w:r w:rsidR="00A44D02">
        <w:rPr>
          <w:rFonts w:ascii="Arial" w:hAnsi="Arial" w:cs="Arial"/>
          <w:sz w:val="24"/>
        </w:rPr>
        <w:t xml:space="preserve"> la misma a la   ESCUELA </w:t>
      </w:r>
      <w:r w:rsidRPr="00863AC5">
        <w:rPr>
          <w:rFonts w:ascii="Arial" w:hAnsi="Arial" w:cs="Arial"/>
          <w:sz w:val="24"/>
        </w:rPr>
        <w:t>SUPERIOR</w:t>
      </w:r>
      <w:r w:rsidR="00A44D02">
        <w:rPr>
          <w:rFonts w:ascii="Arial" w:hAnsi="Arial" w:cs="Arial"/>
          <w:sz w:val="24"/>
        </w:rPr>
        <w:t xml:space="preserve"> </w:t>
      </w:r>
      <w:r w:rsidRPr="00863AC5">
        <w:rPr>
          <w:rFonts w:ascii="Arial" w:hAnsi="Arial" w:cs="Arial"/>
          <w:sz w:val="24"/>
        </w:rPr>
        <w:t>POLITÉCNICA DEL LITORAL”</w:t>
      </w:r>
    </w:p>
    <w:p w:rsidR="00D722F9" w:rsidRPr="00863AC5" w:rsidRDefault="00D722F9" w:rsidP="00C15A04">
      <w:pPr>
        <w:autoSpaceDE w:val="0"/>
        <w:autoSpaceDN w:val="0"/>
        <w:adjustRightInd w:val="0"/>
        <w:spacing w:line="480" w:lineRule="auto"/>
        <w:ind w:left="1800"/>
        <w:jc w:val="both"/>
        <w:rPr>
          <w:rFonts w:ascii="Arial" w:hAnsi="Arial" w:cs="Arial"/>
          <w:sz w:val="24"/>
        </w:rPr>
      </w:pPr>
    </w:p>
    <w:p w:rsidR="00D722F9" w:rsidRPr="00863AC5" w:rsidRDefault="00D722F9" w:rsidP="00D722F9">
      <w:pPr>
        <w:autoSpaceDE w:val="0"/>
        <w:autoSpaceDN w:val="0"/>
        <w:adjustRightInd w:val="0"/>
        <w:spacing w:line="480" w:lineRule="auto"/>
        <w:ind w:left="1080" w:firstLine="720"/>
        <w:rPr>
          <w:rFonts w:ascii="Arial" w:hAnsi="Arial" w:cs="Arial"/>
          <w:sz w:val="24"/>
        </w:rPr>
      </w:pPr>
      <w:r w:rsidRPr="00863AC5">
        <w:rPr>
          <w:rFonts w:ascii="Arial" w:hAnsi="Arial" w:cs="Arial"/>
          <w:sz w:val="24"/>
        </w:rPr>
        <w:t xml:space="preserve"> (Reglamento de Graduación de </w:t>
      </w:r>
      <w:smartTag w:uri="urn:schemas-microsoft-com:office:smarttags" w:element="PersonName">
        <w:smartTagPr>
          <w:attr w:name="ProductID" w:val="la ESPOL"/>
        </w:smartTagPr>
        <w:r w:rsidRPr="00863AC5">
          <w:rPr>
            <w:rFonts w:ascii="Arial" w:hAnsi="Arial" w:cs="Arial"/>
            <w:sz w:val="24"/>
          </w:rPr>
          <w:t>la ESPOL</w:t>
        </w:r>
      </w:smartTag>
      <w:r w:rsidRPr="00863AC5">
        <w:rPr>
          <w:rFonts w:ascii="Arial" w:hAnsi="Arial" w:cs="Arial"/>
          <w:sz w:val="24"/>
        </w:rPr>
        <w:t>)</w:t>
      </w:r>
    </w:p>
    <w:p w:rsidR="00D722F9" w:rsidRDefault="00D722F9" w:rsidP="00D722F9">
      <w:pPr>
        <w:autoSpaceDE w:val="0"/>
        <w:autoSpaceDN w:val="0"/>
        <w:adjustRightInd w:val="0"/>
        <w:spacing w:line="480" w:lineRule="auto"/>
        <w:rPr>
          <w:rFonts w:ascii="Arial" w:hAnsi="Arial" w:cs="Arial"/>
          <w:sz w:val="24"/>
        </w:rPr>
      </w:pPr>
      <w:r w:rsidRPr="00863AC5">
        <w:rPr>
          <w:rFonts w:ascii="Arial" w:hAnsi="Arial" w:cs="Arial"/>
          <w:sz w:val="24"/>
        </w:rPr>
        <w:t xml:space="preserve">  </w:t>
      </w:r>
    </w:p>
    <w:p w:rsidR="003E5D50" w:rsidRPr="00863AC5" w:rsidRDefault="00D722F9" w:rsidP="003E5D50">
      <w:pPr>
        <w:autoSpaceDE w:val="0"/>
        <w:autoSpaceDN w:val="0"/>
        <w:adjustRightInd w:val="0"/>
        <w:spacing w:line="480" w:lineRule="auto"/>
        <w:ind w:left="4956"/>
        <w:jc w:val="both"/>
        <w:rPr>
          <w:rFonts w:ascii="Arial" w:hAnsi="Arial" w:cs="Arial"/>
          <w:sz w:val="24"/>
        </w:rPr>
      </w:pPr>
      <w:r w:rsidRPr="00863AC5">
        <w:rPr>
          <w:rFonts w:ascii="Arial" w:hAnsi="Arial" w:cs="Arial"/>
          <w:sz w:val="24"/>
        </w:rPr>
        <w:t xml:space="preserve">                                                                    </w:t>
      </w:r>
      <w:r w:rsidR="003E5D50" w:rsidRPr="00863AC5">
        <w:rPr>
          <w:rFonts w:ascii="Arial" w:hAnsi="Arial" w:cs="Arial"/>
          <w:sz w:val="24"/>
        </w:rPr>
        <w:t>______________________</w:t>
      </w:r>
    </w:p>
    <w:p w:rsidR="003E5D50" w:rsidRDefault="003E5D50" w:rsidP="003E5D50">
      <w:pPr>
        <w:spacing w:line="480" w:lineRule="auto"/>
        <w:ind w:left="2832" w:firstLine="708"/>
        <w:jc w:val="center"/>
        <w:rPr>
          <w:rFonts w:ascii="Arial" w:hAnsi="Arial" w:cs="Arial"/>
          <w:sz w:val="24"/>
        </w:rPr>
      </w:pPr>
      <w:r>
        <w:rPr>
          <w:rFonts w:ascii="Arial" w:hAnsi="Arial" w:cs="Arial"/>
          <w:sz w:val="24"/>
        </w:rPr>
        <w:t>Wilson Alejandro Díaz García</w:t>
      </w:r>
      <w:r w:rsidRPr="00863AC5">
        <w:rPr>
          <w:rFonts w:ascii="Arial" w:hAnsi="Arial" w:cs="Arial"/>
          <w:sz w:val="24"/>
        </w:rPr>
        <w:t>.</w:t>
      </w:r>
    </w:p>
    <w:p w:rsidR="003E5D50" w:rsidRDefault="003E5D50" w:rsidP="003E5D50">
      <w:pPr>
        <w:autoSpaceDE w:val="0"/>
        <w:autoSpaceDN w:val="0"/>
        <w:adjustRightInd w:val="0"/>
        <w:spacing w:line="480" w:lineRule="auto"/>
        <w:jc w:val="right"/>
        <w:rPr>
          <w:rFonts w:ascii="Arial" w:hAnsi="Arial" w:cs="Arial"/>
          <w:sz w:val="24"/>
        </w:rPr>
      </w:pPr>
    </w:p>
    <w:p w:rsidR="00D722F9" w:rsidRPr="00863AC5" w:rsidRDefault="00D722F9" w:rsidP="003E5D50">
      <w:pPr>
        <w:autoSpaceDE w:val="0"/>
        <w:autoSpaceDN w:val="0"/>
        <w:adjustRightInd w:val="0"/>
        <w:spacing w:line="480" w:lineRule="auto"/>
        <w:jc w:val="right"/>
        <w:rPr>
          <w:rFonts w:ascii="Arial" w:hAnsi="Arial" w:cs="Arial"/>
          <w:sz w:val="24"/>
        </w:rPr>
      </w:pPr>
      <w:r w:rsidRPr="00863AC5">
        <w:rPr>
          <w:rFonts w:ascii="Arial" w:hAnsi="Arial" w:cs="Arial"/>
          <w:sz w:val="24"/>
        </w:rPr>
        <w:t xml:space="preserve">  ______________________</w:t>
      </w:r>
    </w:p>
    <w:p w:rsidR="00D722F9" w:rsidRPr="00863AC5" w:rsidRDefault="00D722F9" w:rsidP="00D722F9">
      <w:pPr>
        <w:spacing w:line="480" w:lineRule="auto"/>
        <w:ind w:left="2832" w:firstLine="708"/>
        <w:jc w:val="center"/>
        <w:rPr>
          <w:rFonts w:ascii="Arial" w:hAnsi="Arial" w:cs="Arial"/>
          <w:sz w:val="24"/>
        </w:rPr>
      </w:pPr>
      <w:r>
        <w:rPr>
          <w:rFonts w:ascii="Arial" w:hAnsi="Arial" w:cs="Arial"/>
          <w:sz w:val="24"/>
        </w:rPr>
        <w:t>Felipe Walkir Proaño Salvatierra</w:t>
      </w:r>
      <w:r w:rsidRPr="00863AC5">
        <w:rPr>
          <w:rFonts w:ascii="Arial" w:hAnsi="Arial" w:cs="Arial"/>
          <w:sz w:val="24"/>
        </w:rPr>
        <w:t>.</w:t>
      </w:r>
    </w:p>
    <w:p w:rsidR="007F539E" w:rsidRPr="00F672A7" w:rsidRDefault="007F539E" w:rsidP="00D722F9">
      <w:pPr>
        <w:tabs>
          <w:tab w:val="left" w:pos="3100"/>
          <w:tab w:val="center" w:pos="4138"/>
        </w:tabs>
        <w:spacing w:line="480" w:lineRule="auto"/>
        <w:jc w:val="center"/>
        <w:rPr>
          <w:rFonts w:ascii="Arial" w:hAnsi="Arial" w:cs="Arial"/>
          <w:b/>
          <w:sz w:val="32"/>
          <w:szCs w:val="32"/>
        </w:rPr>
      </w:pPr>
      <w:r w:rsidRPr="00F672A7">
        <w:rPr>
          <w:rFonts w:ascii="Arial" w:hAnsi="Arial" w:cs="Arial"/>
          <w:b/>
          <w:sz w:val="32"/>
          <w:szCs w:val="32"/>
        </w:rPr>
        <w:lastRenderedPageBreak/>
        <w:t>RESUMEN</w:t>
      </w:r>
    </w:p>
    <w:p w:rsidR="002A43BB" w:rsidRPr="00F672A7" w:rsidRDefault="002A43BB" w:rsidP="00D722F9">
      <w:pPr>
        <w:spacing w:line="480" w:lineRule="auto"/>
        <w:jc w:val="both"/>
        <w:rPr>
          <w:rFonts w:ascii="Arial" w:hAnsi="Arial" w:cs="Arial"/>
          <w:sz w:val="24"/>
          <w:szCs w:val="24"/>
        </w:rPr>
      </w:pPr>
      <w:r>
        <w:rPr>
          <w:rFonts w:ascii="Arial" w:hAnsi="Arial" w:cs="Arial"/>
          <w:sz w:val="24"/>
          <w:szCs w:val="24"/>
        </w:rPr>
        <w:t xml:space="preserve">Una de las formas más conocidas en la actualidad para la trasmisión de energía son las ondas electromagnéticas, las cuales son capaces de diferenciarse por la cantidad de energía que trasmiten al igual que la frecuencia a </w:t>
      </w:r>
      <w:r w:rsidRPr="00DD5F2E">
        <w:rPr>
          <w:rFonts w:ascii="Arial" w:hAnsi="Arial" w:cs="Arial"/>
          <w:sz w:val="24"/>
          <w:szCs w:val="24"/>
        </w:rPr>
        <w:t>la cual trabajan. Debido al gran auge del uso de  las telecomunicaciones, y a la</w:t>
      </w:r>
      <w:r>
        <w:rPr>
          <w:rFonts w:ascii="Arial" w:hAnsi="Arial" w:cs="Arial"/>
          <w:sz w:val="24"/>
          <w:szCs w:val="24"/>
        </w:rPr>
        <w:t xml:space="preserve"> lluvia de radiación electromagnética no ionizante que emiten; el estudio del impacto que estas puedan producir sobre nosotros es constante, con lo cual existen recomendaciones nacionales e internacionales, para verificar el cumplimiento de los límites de emisiones de radiación electromagnética, las formas de medición de las mismas, y maneras de evaluar los resultados.</w:t>
      </w:r>
      <w:r w:rsidR="00CA2A06">
        <w:rPr>
          <w:rFonts w:ascii="Arial" w:hAnsi="Arial" w:cs="Arial"/>
          <w:sz w:val="24"/>
          <w:szCs w:val="24"/>
        </w:rPr>
        <w:t xml:space="preserve"> </w:t>
      </w:r>
      <w:r w:rsidRPr="00F672A7">
        <w:rPr>
          <w:rFonts w:ascii="Arial" w:hAnsi="Arial" w:cs="Arial"/>
          <w:sz w:val="24"/>
          <w:szCs w:val="24"/>
        </w:rPr>
        <w:t>Por lo tan</w:t>
      </w:r>
      <w:r w:rsidR="00180020">
        <w:rPr>
          <w:rFonts w:ascii="Arial" w:hAnsi="Arial" w:cs="Arial"/>
          <w:sz w:val="24"/>
          <w:szCs w:val="24"/>
        </w:rPr>
        <w:t xml:space="preserve">to </w:t>
      </w:r>
      <w:r>
        <w:rPr>
          <w:rFonts w:ascii="Arial" w:hAnsi="Arial" w:cs="Arial"/>
          <w:sz w:val="24"/>
          <w:szCs w:val="24"/>
        </w:rPr>
        <w:t xml:space="preserve">este proyecto se realiza con el objetivo de analizar el cumplimiento de recomendaciones sobre emisiones de radiaciones no ionizantes para mediciones realizadas dentro de ESPOL con la aplicación de dos procedimientos de medición, para bandas de frecuencias de tecnologías de Telefonía Móvil, Wireless LAN, Radio FM y Televisión Abierta. </w:t>
      </w:r>
    </w:p>
    <w:p w:rsidR="002A43BB" w:rsidRPr="00F672A7" w:rsidRDefault="002A43BB" w:rsidP="00D722F9">
      <w:pPr>
        <w:spacing w:line="480" w:lineRule="auto"/>
        <w:rPr>
          <w:rFonts w:ascii="Arial" w:hAnsi="Arial" w:cs="Arial"/>
          <w:sz w:val="24"/>
          <w:szCs w:val="24"/>
        </w:rPr>
      </w:pPr>
      <w:r w:rsidRPr="00F672A7">
        <w:rPr>
          <w:rFonts w:ascii="Arial" w:hAnsi="Arial" w:cs="Arial"/>
          <w:sz w:val="24"/>
          <w:szCs w:val="24"/>
        </w:rPr>
        <w:t xml:space="preserve"> </w:t>
      </w:r>
    </w:p>
    <w:p w:rsidR="002A43BB" w:rsidRDefault="002A43BB" w:rsidP="00D722F9">
      <w:pPr>
        <w:spacing w:line="480" w:lineRule="auto"/>
        <w:jc w:val="both"/>
        <w:rPr>
          <w:rFonts w:ascii="Arial" w:hAnsi="Arial" w:cs="Arial"/>
          <w:sz w:val="24"/>
          <w:szCs w:val="24"/>
        </w:rPr>
      </w:pPr>
      <w:r w:rsidRPr="00F672A7">
        <w:rPr>
          <w:rFonts w:ascii="Arial" w:hAnsi="Arial" w:cs="Arial"/>
          <w:sz w:val="24"/>
          <w:szCs w:val="24"/>
        </w:rPr>
        <w:t xml:space="preserve">En el Capítulo 1 </w:t>
      </w:r>
      <w:r>
        <w:rPr>
          <w:rFonts w:ascii="Arial" w:hAnsi="Arial" w:cs="Arial"/>
          <w:sz w:val="24"/>
          <w:szCs w:val="24"/>
        </w:rPr>
        <w:t>mostramos brevemente las consideraciones teóricas básicas para la compresión del electromagnetismo, la diferenciación entre la radiación ionizante y no ionizante, y descripciones de las tecnologías de radiocomunicaciones y  del espectro de frecuencia a analizar.</w:t>
      </w:r>
    </w:p>
    <w:p w:rsidR="002A43BB" w:rsidRPr="00F672A7" w:rsidRDefault="002A43BB" w:rsidP="00D722F9">
      <w:pPr>
        <w:spacing w:line="480" w:lineRule="auto"/>
        <w:jc w:val="both"/>
        <w:rPr>
          <w:rFonts w:ascii="Arial" w:hAnsi="Arial" w:cs="Arial"/>
          <w:sz w:val="24"/>
          <w:szCs w:val="24"/>
        </w:rPr>
      </w:pPr>
    </w:p>
    <w:p w:rsidR="002A43BB" w:rsidRDefault="002A43BB" w:rsidP="00D722F9">
      <w:pPr>
        <w:spacing w:line="480" w:lineRule="auto"/>
        <w:jc w:val="both"/>
        <w:rPr>
          <w:rFonts w:ascii="Arial" w:hAnsi="Arial" w:cs="Arial"/>
          <w:sz w:val="24"/>
          <w:szCs w:val="24"/>
        </w:rPr>
      </w:pPr>
      <w:r w:rsidRPr="00F672A7">
        <w:rPr>
          <w:rFonts w:ascii="Arial" w:hAnsi="Arial" w:cs="Arial"/>
          <w:sz w:val="24"/>
          <w:szCs w:val="24"/>
        </w:rPr>
        <w:t xml:space="preserve">En el Capítulo 2 </w:t>
      </w:r>
      <w:r>
        <w:rPr>
          <w:rFonts w:ascii="Arial" w:hAnsi="Arial" w:cs="Arial"/>
          <w:sz w:val="24"/>
          <w:szCs w:val="24"/>
        </w:rPr>
        <w:t xml:space="preserve">describiremos brevemente los posibles riesgos a la salud de las radiaciones no ionizantes, con un breve análisis de estudios realizados con la indicación de la existencia o no de riesgo; además de las medidas de prevención y los cálculos de los valores límites de exposición a ondas electromagnéticas.  </w:t>
      </w:r>
    </w:p>
    <w:p w:rsidR="00D722F9" w:rsidRPr="00F672A7" w:rsidRDefault="00D722F9" w:rsidP="00D722F9">
      <w:pPr>
        <w:spacing w:line="480" w:lineRule="auto"/>
        <w:jc w:val="both"/>
        <w:rPr>
          <w:rFonts w:ascii="Arial" w:hAnsi="Arial" w:cs="Arial"/>
          <w:sz w:val="24"/>
          <w:szCs w:val="24"/>
        </w:rPr>
      </w:pPr>
    </w:p>
    <w:p w:rsidR="002A43BB" w:rsidRDefault="002A43BB" w:rsidP="00D722F9">
      <w:pPr>
        <w:spacing w:line="480" w:lineRule="auto"/>
        <w:jc w:val="both"/>
        <w:rPr>
          <w:rFonts w:ascii="Arial" w:hAnsi="Arial" w:cs="Arial"/>
          <w:sz w:val="24"/>
          <w:szCs w:val="24"/>
        </w:rPr>
      </w:pPr>
      <w:r w:rsidRPr="00F672A7">
        <w:rPr>
          <w:rFonts w:ascii="Arial" w:hAnsi="Arial" w:cs="Arial"/>
          <w:sz w:val="24"/>
          <w:szCs w:val="24"/>
        </w:rPr>
        <w:t xml:space="preserve">En el Capítulo 3 </w:t>
      </w:r>
      <w:r>
        <w:rPr>
          <w:rFonts w:ascii="Arial" w:hAnsi="Arial" w:cs="Arial"/>
          <w:sz w:val="24"/>
          <w:szCs w:val="24"/>
        </w:rPr>
        <w:t>se muestra las metodologías y los procedimientos para la realización de las mediciones de radiaciones no ionizantes en ambientes interiores y exteriores en predios de ESPOL; se da referencia a las recomendaciones aplicadas para la realización de las mediciones</w:t>
      </w:r>
      <w:r w:rsidR="00180020">
        <w:rPr>
          <w:rFonts w:ascii="Arial" w:hAnsi="Arial" w:cs="Arial"/>
          <w:sz w:val="24"/>
          <w:szCs w:val="24"/>
        </w:rPr>
        <w:t>,</w:t>
      </w:r>
      <w:r>
        <w:rPr>
          <w:rFonts w:ascii="Arial" w:hAnsi="Arial" w:cs="Arial"/>
          <w:sz w:val="24"/>
          <w:szCs w:val="24"/>
        </w:rPr>
        <w:t xml:space="preserve"> además las características y forma de utilización de los equipos</w:t>
      </w:r>
    </w:p>
    <w:p w:rsidR="002A43BB" w:rsidRPr="00F672A7" w:rsidRDefault="002A43BB" w:rsidP="00D722F9">
      <w:pPr>
        <w:spacing w:line="480" w:lineRule="auto"/>
        <w:jc w:val="both"/>
        <w:rPr>
          <w:rFonts w:ascii="Arial" w:hAnsi="Arial" w:cs="Arial"/>
          <w:sz w:val="24"/>
          <w:szCs w:val="24"/>
        </w:rPr>
      </w:pPr>
    </w:p>
    <w:p w:rsidR="002A43BB" w:rsidRPr="00F672A7" w:rsidRDefault="002A43BB" w:rsidP="00D722F9">
      <w:pPr>
        <w:spacing w:line="480" w:lineRule="auto"/>
        <w:jc w:val="both"/>
        <w:rPr>
          <w:rFonts w:ascii="Arial" w:hAnsi="Arial" w:cs="Arial"/>
          <w:sz w:val="24"/>
          <w:szCs w:val="24"/>
        </w:rPr>
      </w:pPr>
      <w:r w:rsidRPr="00F672A7">
        <w:rPr>
          <w:rFonts w:ascii="Arial" w:hAnsi="Arial" w:cs="Arial"/>
          <w:sz w:val="24"/>
          <w:szCs w:val="24"/>
        </w:rPr>
        <w:t xml:space="preserve">En el Capítulo 4 </w:t>
      </w:r>
      <w:r>
        <w:rPr>
          <w:rFonts w:ascii="Arial" w:hAnsi="Arial" w:cs="Arial"/>
          <w:sz w:val="24"/>
          <w:szCs w:val="24"/>
        </w:rPr>
        <w:t>mostramos los resultados obtenidos  de las mediciones, representaciones gráficas y estadísticas, de la comparación de los dos procedimientos de medición, de los cálculos de la variabilidad de los resultados  mostrando cual de los procedimientos resulta más confiable, y  la verificación del cumplimiento por debajo de los límites  de exposición a radiofrecuencias  de todas las mediciones realizadas dentro de ESPOL.</w:t>
      </w:r>
    </w:p>
    <w:p w:rsidR="00074BEB" w:rsidRDefault="00074BEB" w:rsidP="007D4232">
      <w:pPr>
        <w:spacing w:line="360" w:lineRule="auto"/>
        <w:jc w:val="center"/>
        <w:rPr>
          <w:rFonts w:ascii="Arial" w:hAnsi="Arial" w:cs="Arial"/>
          <w:b/>
          <w:sz w:val="24"/>
          <w:szCs w:val="24"/>
        </w:rPr>
      </w:pPr>
    </w:p>
    <w:p w:rsidR="003A3F89" w:rsidRDefault="003A3F89" w:rsidP="003A3F89">
      <w:pPr>
        <w:pStyle w:val="TOCHeading"/>
        <w:spacing w:line="360" w:lineRule="auto"/>
        <w:jc w:val="center"/>
        <w:rPr>
          <w:rFonts w:ascii="Arial" w:hAnsi="Arial" w:cs="Arial"/>
          <w:sz w:val="24"/>
          <w:szCs w:val="24"/>
        </w:rPr>
      </w:pPr>
      <w:r w:rsidRPr="006B1CC6">
        <w:rPr>
          <w:rFonts w:ascii="Arial" w:hAnsi="Arial" w:cs="Arial"/>
          <w:color w:val="auto"/>
          <w:sz w:val="32"/>
          <w:szCs w:val="32"/>
        </w:rPr>
        <w:lastRenderedPageBreak/>
        <w:t>ÍNDICE GENERAL</w:t>
      </w:r>
    </w:p>
    <w:p w:rsidR="003A3F89" w:rsidRDefault="003A3F89" w:rsidP="003A3F89">
      <w:pPr>
        <w:spacing w:line="360" w:lineRule="auto"/>
        <w:rPr>
          <w:rFonts w:ascii="Arial" w:hAnsi="Arial" w:cs="Arial"/>
          <w:sz w:val="24"/>
          <w:szCs w:val="24"/>
        </w:rPr>
      </w:pPr>
    </w:p>
    <w:p w:rsidR="003A3F89" w:rsidRDefault="003A3F89" w:rsidP="003A3F89">
      <w:pPr>
        <w:pStyle w:val="TOC1"/>
      </w:pPr>
      <w:r w:rsidRPr="001E5F31">
        <w:rPr>
          <w:rFonts w:ascii="Arial" w:hAnsi="Arial" w:cs="Arial"/>
          <w:sz w:val="24"/>
        </w:rPr>
        <w:t>Resumen</w:t>
      </w:r>
      <w:r>
        <w:tab/>
      </w:r>
      <w:r w:rsidRPr="001E5F31">
        <w:rPr>
          <w:rFonts w:ascii="Arial" w:hAnsi="Arial" w:cs="Arial"/>
          <w:sz w:val="24"/>
        </w:rPr>
        <w:t xml:space="preserve"> VII</w:t>
      </w:r>
    </w:p>
    <w:p w:rsidR="003A3F89" w:rsidRDefault="003E5D50" w:rsidP="003A3F89">
      <w:pPr>
        <w:tabs>
          <w:tab w:val="right" w:leader="dot" w:pos="8277"/>
        </w:tabs>
        <w:spacing w:line="360" w:lineRule="auto"/>
        <w:rPr>
          <w:rFonts w:ascii="Arial" w:hAnsi="Arial" w:cs="Arial"/>
          <w:sz w:val="24"/>
          <w:szCs w:val="24"/>
        </w:rPr>
      </w:pPr>
      <w:r>
        <w:rPr>
          <w:rFonts w:ascii="Arial" w:hAnsi="Arial" w:cs="Arial"/>
          <w:sz w:val="24"/>
          <w:szCs w:val="24"/>
        </w:rPr>
        <w:t xml:space="preserve">Indice General </w:t>
      </w:r>
      <w:r>
        <w:rPr>
          <w:rFonts w:ascii="Arial" w:hAnsi="Arial" w:cs="Arial"/>
          <w:sz w:val="24"/>
          <w:szCs w:val="24"/>
        </w:rPr>
        <w:tab/>
      </w:r>
      <w:r w:rsidR="003A3F89">
        <w:rPr>
          <w:rFonts w:ascii="Arial" w:hAnsi="Arial" w:cs="Arial"/>
          <w:sz w:val="24"/>
          <w:szCs w:val="24"/>
        </w:rPr>
        <w:t>X</w:t>
      </w:r>
    </w:p>
    <w:p w:rsidR="003A3F89" w:rsidRDefault="003A3F89" w:rsidP="003A3F89">
      <w:pPr>
        <w:tabs>
          <w:tab w:val="right" w:leader="dot" w:pos="8277"/>
        </w:tabs>
        <w:spacing w:line="360" w:lineRule="auto"/>
        <w:rPr>
          <w:rFonts w:ascii="Arial" w:hAnsi="Arial" w:cs="Arial"/>
          <w:sz w:val="24"/>
          <w:szCs w:val="24"/>
        </w:rPr>
      </w:pPr>
      <w:r>
        <w:rPr>
          <w:rFonts w:ascii="Arial" w:hAnsi="Arial" w:cs="Arial"/>
          <w:sz w:val="24"/>
          <w:szCs w:val="24"/>
        </w:rPr>
        <w:t>Abreviaturas</w:t>
      </w:r>
      <w:r>
        <w:rPr>
          <w:rFonts w:ascii="Arial" w:hAnsi="Arial" w:cs="Arial"/>
          <w:sz w:val="24"/>
          <w:szCs w:val="24"/>
        </w:rPr>
        <w:tab/>
        <w:t xml:space="preserve"> XV</w:t>
      </w:r>
      <w:r w:rsidR="003E5D50">
        <w:rPr>
          <w:rFonts w:ascii="Arial" w:hAnsi="Arial" w:cs="Arial"/>
          <w:sz w:val="24"/>
          <w:szCs w:val="24"/>
        </w:rPr>
        <w:t>I</w:t>
      </w:r>
    </w:p>
    <w:p w:rsidR="003A3F89" w:rsidRDefault="003A3F89" w:rsidP="003A3F89">
      <w:pPr>
        <w:tabs>
          <w:tab w:val="right" w:leader="dot" w:pos="8277"/>
        </w:tabs>
        <w:spacing w:line="360" w:lineRule="auto"/>
        <w:rPr>
          <w:rFonts w:ascii="Arial" w:hAnsi="Arial" w:cs="Arial"/>
          <w:sz w:val="24"/>
          <w:szCs w:val="24"/>
        </w:rPr>
      </w:pPr>
      <w:r>
        <w:rPr>
          <w:rFonts w:ascii="Arial" w:hAnsi="Arial" w:cs="Arial"/>
          <w:sz w:val="24"/>
          <w:szCs w:val="24"/>
        </w:rPr>
        <w:t>Indice de Figuras</w:t>
      </w:r>
      <w:r>
        <w:rPr>
          <w:rFonts w:ascii="Arial" w:hAnsi="Arial" w:cs="Arial"/>
          <w:sz w:val="24"/>
          <w:szCs w:val="24"/>
        </w:rPr>
        <w:tab/>
        <w:t xml:space="preserve"> XVII</w:t>
      </w:r>
      <w:r w:rsidR="003E5D50">
        <w:rPr>
          <w:rFonts w:ascii="Arial" w:hAnsi="Arial" w:cs="Arial"/>
          <w:sz w:val="24"/>
          <w:szCs w:val="24"/>
        </w:rPr>
        <w:t>I</w:t>
      </w:r>
    </w:p>
    <w:p w:rsidR="003A3F89" w:rsidRDefault="003A3F89" w:rsidP="003A3F89">
      <w:pPr>
        <w:tabs>
          <w:tab w:val="right" w:leader="dot" w:pos="8277"/>
        </w:tabs>
        <w:spacing w:line="360" w:lineRule="auto"/>
        <w:rPr>
          <w:rFonts w:ascii="Arial" w:hAnsi="Arial" w:cs="Arial"/>
          <w:sz w:val="24"/>
          <w:szCs w:val="24"/>
        </w:rPr>
      </w:pPr>
      <w:r>
        <w:rPr>
          <w:rFonts w:ascii="Arial" w:hAnsi="Arial" w:cs="Arial"/>
          <w:sz w:val="24"/>
          <w:szCs w:val="24"/>
        </w:rPr>
        <w:t>Indice de Tablas</w:t>
      </w:r>
      <w:r>
        <w:rPr>
          <w:rFonts w:ascii="Arial" w:hAnsi="Arial" w:cs="Arial"/>
          <w:sz w:val="24"/>
          <w:szCs w:val="24"/>
        </w:rPr>
        <w:tab/>
        <w:t xml:space="preserve"> XXI</w:t>
      </w:r>
      <w:r w:rsidR="003E5D50">
        <w:rPr>
          <w:rFonts w:ascii="Arial" w:hAnsi="Arial" w:cs="Arial"/>
          <w:sz w:val="24"/>
          <w:szCs w:val="24"/>
        </w:rPr>
        <w:t>V</w:t>
      </w:r>
    </w:p>
    <w:p w:rsidR="003A3F89" w:rsidRDefault="003A3F89" w:rsidP="003A3F89">
      <w:pPr>
        <w:tabs>
          <w:tab w:val="right" w:leader="dot" w:pos="8277"/>
        </w:tabs>
        <w:spacing w:line="360" w:lineRule="auto"/>
        <w:rPr>
          <w:rFonts w:ascii="Arial" w:hAnsi="Arial" w:cs="Arial"/>
          <w:sz w:val="24"/>
          <w:szCs w:val="24"/>
        </w:rPr>
      </w:pPr>
      <w:r>
        <w:rPr>
          <w:rFonts w:ascii="Arial" w:hAnsi="Arial" w:cs="Arial"/>
          <w:sz w:val="24"/>
          <w:szCs w:val="24"/>
        </w:rPr>
        <w:t>Introducción</w:t>
      </w:r>
      <w:r>
        <w:rPr>
          <w:rFonts w:ascii="Arial" w:hAnsi="Arial" w:cs="Arial"/>
          <w:sz w:val="24"/>
          <w:szCs w:val="24"/>
        </w:rPr>
        <w:tab/>
        <w:t>XX</w:t>
      </w:r>
      <w:r w:rsidR="003E5D50">
        <w:rPr>
          <w:rFonts w:ascii="Arial" w:hAnsi="Arial" w:cs="Arial"/>
          <w:sz w:val="24"/>
          <w:szCs w:val="24"/>
        </w:rPr>
        <w:t>VII</w:t>
      </w:r>
    </w:p>
    <w:p w:rsidR="003A3F89" w:rsidRDefault="003A3F89" w:rsidP="003A3F89">
      <w:pPr>
        <w:pStyle w:val="TOC2"/>
        <w:spacing w:line="360" w:lineRule="auto"/>
        <w:ind w:left="0"/>
        <w:rPr>
          <w:rFonts w:ascii="Arial" w:hAnsi="Arial" w:cs="Arial"/>
          <w:b/>
          <w:sz w:val="24"/>
          <w:szCs w:val="24"/>
        </w:rPr>
      </w:pPr>
      <w:r>
        <w:rPr>
          <w:rFonts w:ascii="Arial" w:hAnsi="Arial" w:cs="Arial"/>
          <w:b/>
          <w:sz w:val="24"/>
          <w:szCs w:val="24"/>
        </w:rPr>
        <w:t>CAPÍTULO 1</w:t>
      </w:r>
    </w:p>
    <w:p w:rsidR="003A3F89" w:rsidRDefault="003A3F89" w:rsidP="003A3F89">
      <w:pPr>
        <w:pStyle w:val="ListParagraph"/>
        <w:numPr>
          <w:ilvl w:val="0"/>
          <w:numId w:val="3"/>
        </w:numPr>
        <w:spacing w:line="360" w:lineRule="auto"/>
        <w:ind w:left="284" w:hanging="284"/>
        <w:rPr>
          <w:rFonts w:ascii="Arial" w:hAnsi="Arial" w:cs="Arial"/>
          <w:sz w:val="24"/>
          <w:szCs w:val="24"/>
        </w:rPr>
      </w:pPr>
      <w:r>
        <w:rPr>
          <w:rFonts w:ascii="Arial" w:hAnsi="Arial" w:cs="Arial"/>
          <w:sz w:val="24"/>
          <w:szCs w:val="24"/>
        </w:rPr>
        <w:t>MARCO TEORICO</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1.1 Antecedentes</w:t>
      </w:r>
      <w:r>
        <w:rPr>
          <w:rFonts w:ascii="Arial" w:hAnsi="Arial" w:cs="Arial"/>
          <w:sz w:val="24"/>
          <w:szCs w:val="24"/>
        </w:rPr>
        <w:tab/>
        <w:t xml:space="preserve"> 1</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1.1.1 Campo Eléctrico</w:t>
      </w:r>
      <w:r>
        <w:rPr>
          <w:rFonts w:ascii="Arial" w:hAnsi="Arial" w:cs="Arial"/>
          <w:sz w:val="24"/>
          <w:szCs w:val="24"/>
        </w:rPr>
        <w:tab/>
        <w:t xml:space="preserve"> 2</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1.1.2 Campo Magnético</w:t>
      </w:r>
      <w:r>
        <w:rPr>
          <w:rFonts w:ascii="Arial" w:hAnsi="Arial" w:cs="Arial"/>
          <w:sz w:val="24"/>
          <w:szCs w:val="24"/>
        </w:rPr>
        <w:tab/>
        <w:t xml:space="preserve"> 3</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1.1.3 Diferencias y similitudes de Campos Eléctricos y Magnéticos</w:t>
      </w:r>
      <w:r>
        <w:rPr>
          <w:rFonts w:ascii="Arial" w:hAnsi="Arial" w:cs="Arial"/>
          <w:sz w:val="24"/>
          <w:szCs w:val="24"/>
        </w:rPr>
        <w:tab/>
        <w:t xml:space="preserve"> 4</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1.1.4 Campos Estáticos y Variables en el Tiempo</w:t>
      </w:r>
      <w:r>
        <w:rPr>
          <w:rFonts w:ascii="Arial" w:hAnsi="Arial" w:cs="Arial"/>
          <w:sz w:val="24"/>
          <w:szCs w:val="24"/>
        </w:rPr>
        <w:tab/>
        <w:t xml:space="preserve"> </w:t>
      </w:r>
      <w:r w:rsidR="003E5D50">
        <w:rPr>
          <w:rFonts w:ascii="Arial" w:hAnsi="Arial" w:cs="Arial"/>
          <w:sz w:val="24"/>
          <w:szCs w:val="24"/>
        </w:rPr>
        <w:t>5</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1.2 Campos Electromagnéticos</w:t>
      </w:r>
      <w:r>
        <w:rPr>
          <w:rFonts w:ascii="Arial" w:hAnsi="Arial" w:cs="Arial"/>
          <w:sz w:val="24"/>
          <w:szCs w:val="24"/>
        </w:rPr>
        <w:tab/>
        <w:t xml:space="preserve"> </w:t>
      </w:r>
      <w:r w:rsidR="003E5D50">
        <w:rPr>
          <w:rFonts w:ascii="Arial" w:hAnsi="Arial" w:cs="Arial"/>
          <w:sz w:val="24"/>
          <w:szCs w:val="24"/>
        </w:rPr>
        <w:t>6</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1.2.1 Características Físicas</w:t>
      </w:r>
      <w:r>
        <w:rPr>
          <w:rFonts w:ascii="Arial" w:hAnsi="Arial" w:cs="Arial"/>
          <w:sz w:val="24"/>
          <w:szCs w:val="24"/>
        </w:rPr>
        <w:tab/>
        <w:t xml:space="preserve"> 6</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1.2.2 Ecuaciones de Maxwell</w:t>
      </w:r>
      <w:r>
        <w:rPr>
          <w:rFonts w:ascii="Arial" w:hAnsi="Arial" w:cs="Arial"/>
          <w:sz w:val="24"/>
          <w:szCs w:val="24"/>
        </w:rPr>
        <w:tab/>
        <w:t xml:space="preserve"> 7</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1.2.3 Cantidades y Unidades</w:t>
      </w:r>
      <w:r>
        <w:rPr>
          <w:rFonts w:ascii="Arial" w:hAnsi="Arial" w:cs="Arial"/>
          <w:sz w:val="24"/>
          <w:szCs w:val="24"/>
        </w:rPr>
        <w:tab/>
        <w:t xml:space="preserve"> 9</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1.3 Espectro Electromagnético</w:t>
      </w:r>
      <w:r>
        <w:rPr>
          <w:rFonts w:ascii="Arial" w:hAnsi="Arial" w:cs="Arial"/>
          <w:sz w:val="24"/>
          <w:szCs w:val="24"/>
        </w:rPr>
        <w:tab/>
        <w:t xml:space="preserve"> 11</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1.4 Tipos de Radiación</w:t>
      </w:r>
      <w:r>
        <w:rPr>
          <w:rFonts w:ascii="Arial" w:hAnsi="Arial" w:cs="Arial"/>
          <w:sz w:val="24"/>
          <w:szCs w:val="24"/>
        </w:rPr>
        <w:tab/>
        <w:t xml:space="preserve"> 12</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1.4.1 Radiaciones Ionizantes</w:t>
      </w:r>
      <w:r>
        <w:rPr>
          <w:rFonts w:ascii="Arial" w:hAnsi="Arial" w:cs="Arial"/>
          <w:sz w:val="24"/>
          <w:szCs w:val="24"/>
        </w:rPr>
        <w:tab/>
        <w:t>12</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lastRenderedPageBreak/>
        <w:t>1.4.2 Radiaciones No Ionizantes</w:t>
      </w:r>
      <w:r>
        <w:rPr>
          <w:rFonts w:ascii="Arial" w:hAnsi="Arial" w:cs="Arial"/>
          <w:sz w:val="24"/>
          <w:szCs w:val="24"/>
        </w:rPr>
        <w:tab/>
        <w:t xml:space="preserve"> 13</w:t>
      </w:r>
    </w:p>
    <w:p w:rsidR="003A3F89" w:rsidRDefault="003A3F89" w:rsidP="003A3F89">
      <w:pPr>
        <w:pStyle w:val="TOC3"/>
        <w:tabs>
          <w:tab w:val="right" w:leader="dot" w:pos="8277"/>
        </w:tabs>
        <w:spacing w:line="360" w:lineRule="auto"/>
        <w:ind w:left="993" w:hanging="142"/>
        <w:rPr>
          <w:rFonts w:ascii="Arial" w:hAnsi="Arial" w:cs="Arial"/>
          <w:sz w:val="24"/>
          <w:szCs w:val="24"/>
        </w:rPr>
      </w:pPr>
      <w:r>
        <w:rPr>
          <w:rFonts w:ascii="Arial" w:hAnsi="Arial" w:cs="Arial"/>
          <w:sz w:val="24"/>
          <w:szCs w:val="24"/>
        </w:rPr>
        <w:t>1.4.3 Radiaciones Ionizantes y No Ionizantes en el Espectro    Electromagnético</w:t>
      </w:r>
      <w:r>
        <w:rPr>
          <w:rFonts w:ascii="Arial" w:hAnsi="Arial" w:cs="Arial"/>
          <w:sz w:val="24"/>
          <w:szCs w:val="24"/>
        </w:rPr>
        <w:tab/>
        <w:t xml:space="preserve"> 14</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1.5 Radiaciones de Radiofrecuencia</w:t>
      </w:r>
      <w:r>
        <w:rPr>
          <w:rFonts w:ascii="Arial" w:hAnsi="Arial" w:cs="Arial"/>
          <w:sz w:val="24"/>
          <w:szCs w:val="24"/>
        </w:rPr>
        <w:tab/>
        <w:t xml:space="preserve"> 15</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1.5.1 Espectro Electromagnético de Radiofrecuencia</w:t>
      </w:r>
      <w:r>
        <w:rPr>
          <w:rFonts w:ascii="Arial" w:hAnsi="Arial" w:cs="Arial"/>
          <w:sz w:val="24"/>
          <w:szCs w:val="24"/>
        </w:rPr>
        <w:tab/>
        <w:t xml:space="preserve"> 15</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1.5.2 Usos del Espectro de Radiofrecuencia</w:t>
      </w:r>
      <w:r>
        <w:rPr>
          <w:rFonts w:ascii="Arial" w:hAnsi="Arial" w:cs="Arial"/>
          <w:sz w:val="24"/>
          <w:szCs w:val="24"/>
        </w:rPr>
        <w:tab/>
        <w:t xml:space="preserve"> 17</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1.6 Sistemas de Frecuencia a Analizar</w:t>
      </w:r>
      <w:r>
        <w:rPr>
          <w:rFonts w:ascii="Arial" w:hAnsi="Arial" w:cs="Arial"/>
          <w:sz w:val="24"/>
          <w:szCs w:val="24"/>
        </w:rPr>
        <w:tab/>
        <w:t xml:space="preserve"> 18</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1.6.1 Telefonía Móvil</w:t>
      </w:r>
      <w:r>
        <w:rPr>
          <w:rFonts w:ascii="Arial" w:hAnsi="Arial" w:cs="Arial"/>
          <w:sz w:val="24"/>
          <w:szCs w:val="24"/>
        </w:rPr>
        <w:tab/>
        <w:t xml:space="preserve"> 18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1.6.1.1 Características y Componentes</w:t>
      </w:r>
      <w:r>
        <w:rPr>
          <w:rFonts w:ascii="Arial" w:hAnsi="Arial" w:cs="Arial"/>
          <w:sz w:val="24"/>
          <w:szCs w:val="24"/>
        </w:rPr>
        <w:tab/>
        <w:t xml:space="preserve"> 18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1.6.1.2 Funcionamiento</w:t>
      </w:r>
      <w:r>
        <w:rPr>
          <w:rFonts w:ascii="Arial" w:hAnsi="Arial" w:cs="Arial"/>
          <w:sz w:val="24"/>
          <w:szCs w:val="24"/>
        </w:rPr>
        <w:tab/>
        <w:t xml:space="preserve"> 22</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1.6.1.3 Evolución y Convergencia Tecnológica</w:t>
      </w:r>
      <w:r>
        <w:rPr>
          <w:rFonts w:ascii="Arial" w:hAnsi="Arial" w:cs="Arial"/>
          <w:sz w:val="24"/>
          <w:szCs w:val="24"/>
        </w:rPr>
        <w:tab/>
        <w:t xml:space="preserve"> 22</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1.6.1.4 Espectro de Telefonía Móvil en el Ecuador</w:t>
      </w:r>
      <w:r>
        <w:rPr>
          <w:rFonts w:ascii="Arial" w:hAnsi="Arial" w:cs="Arial"/>
          <w:sz w:val="24"/>
          <w:szCs w:val="24"/>
        </w:rPr>
        <w:tab/>
        <w:t xml:space="preserve"> 24</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1.6.2 Red Wireless LAN</w:t>
      </w:r>
      <w:r>
        <w:rPr>
          <w:rFonts w:ascii="Arial" w:hAnsi="Arial" w:cs="Arial"/>
          <w:sz w:val="24"/>
          <w:szCs w:val="24"/>
        </w:rPr>
        <w:tab/>
        <w:t xml:space="preserve"> 25</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1.6.2.1 Características de las Redes WLAN</w:t>
      </w:r>
      <w:r>
        <w:rPr>
          <w:rFonts w:ascii="Arial" w:hAnsi="Arial" w:cs="Arial"/>
          <w:sz w:val="24"/>
          <w:szCs w:val="24"/>
        </w:rPr>
        <w:tab/>
        <w:t xml:space="preserve"> 26</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1.6.2.2 Principios de las Redes WLAN</w:t>
      </w:r>
      <w:r>
        <w:rPr>
          <w:rFonts w:ascii="Arial" w:hAnsi="Arial" w:cs="Arial"/>
          <w:sz w:val="24"/>
          <w:szCs w:val="24"/>
        </w:rPr>
        <w:tab/>
        <w:t xml:space="preserve"> 26</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1.6.2.3 Espectro de Redes Wireless LAN</w:t>
      </w:r>
      <w:r>
        <w:rPr>
          <w:rFonts w:ascii="Arial" w:hAnsi="Arial" w:cs="Arial"/>
          <w:sz w:val="24"/>
          <w:szCs w:val="24"/>
        </w:rPr>
        <w:tab/>
        <w:t xml:space="preserve"> 29</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1.6.3 Radiodifusión</w:t>
      </w:r>
      <w:r>
        <w:rPr>
          <w:rFonts w:ascii="Arial" w:hAnsi="Arial" w:cs="Arial"/>
          <w:sz w:val="24"/>
          <w:szCs w:val="24"/>
        </w:rPr>
        <w:tab/>
        <w:t xml:space="preserve"> 30</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1.6.3.1 Características</w:t>
      </w:r>
      <w:r>
        <w:rPr>
          <w:rFonts w:ascii="Arial" w:hAnsi="Arial" w:cs="Arial"/>
          <w:sz w:val="24"/>
          <w:szCs w:val="24"/>
        </w:rPr>
        <w:tab/>
        <w:t xml:space="preserve"> 30</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1.6.3.2 Espectro de Radiodifusión en el Ecuador</w:t>
      </w:r>
      <w:r>
        <w:rPr>
          <w:rFonts w:ascii="Arial" w:hAnsi="Arial" w:cs="Arial"/>
          <w:sz w:val="24"/>
          <w:szCs w:val="24"/>
        </w:rPr>
        <w:tab/>
        <w:t xml:space="preserve"> 31</w:t>
      </w:r>
    </w:p>
    <w:p w:rsidR="003A3F89" w:rsidRDefault="003A3F89" w:rsidP="003A3F89">
      <w:pPr>
        <w:pStyle w:val="TOC2"/>
        <w:spacing w:line="360" w:lineRule="auto"/>
        <w:ind w:left="0"/>
        <w:rPr>
          <w:rFonts w:ascii="Arial" w:hAnsi="Arial" w:cs="Arial"/>
          <w:b/>
          <w:sz w:val="24"/>
          <w:szCs w:val="24"/>
        </w:rPr>
      </w:pPr>
      <w:r>
        <w:rPr>
          <w:rFonts w:ascii="Arial" w:hAnsi="Arial" w:cs="Arial"/>
          <w:b/>
          <w:sz w:val="24"/>
          <w:szCs w:val="24"/>
        </w:rPr>
        <w:t>CAPÍTULO 2</w:t>
      </w:r>
    </w:p>
    <w:p w:rsidR="003A3F89" w:rsidRDefault="003A3F89" w:rsidP="003A3F89">
      <w:pPr>
        <w:pStyle w:val="ListParagraph"/>
        <w:numPr>
          <w:ilvl w:val="0"/>
          <w:numId w:val="3"/>
        </w:numPr>
        <w:spacing w:line="360" w:lineRule="auto"/>
        <w:ind w:left="284" w:hanging="284"/>
        <w:rPr>
          <w:rFonts w:ascii="Arial" w:hAnsi="Arial" w:cs="Arial"/>
          <w:sz w:val="24"/>
          <w:szCs w:val="24"/>
        </w:rPr>
      </w:pPr>
      <w:r>
        <w:rPr>
          <w:rFonts w:ascii="Arial" w:hAnsi="Arial" w:cs="Arial"/>
          <w:sz w:val="24"/>
          <w:szCs w:val="24"/>
        </w:rPr>
        <w:t>RIESGOS PARA LA SALUD Y MEDIDAS DE PREVENCION DE LAS RADIACIONES NO IONIZANTES</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 xml:space="preserve">2.1 Efectos Biológicos de las Radiaciones No Ionizantes </w:t>
      </w:r>
      <w:r>
        <w:rPr>
          <w:rFonts w:ascii="Arial" w:hAnsi="Arial" w:cs="Arial"/>
          <w:sz w:val="24"/>
          <w:szCs w:val="24"/>
        </w:rPr>
        <w:tab/>
        <w:t>34</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2.1.1 Efectos Térmicos</w:t>
      </w:r>
      <w:r>
        <w:rPr>
          <w:rFonts w:ascii="Arial" w:hAnsi="Arial" w:cs="Arial"/>
          <w:sz w:val="24"/>
          <w:szCs w:val="24"/>
        </w:rPr>
        <w:tab/>
        <w:t xml:space="preserve"> 35</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lastRenderedPageBreak/>
        <w:t>2.1.2 Efectos No Térmicos</w:t>
      </w:r>
      <w:r>
        <w:rPr>
          <w:rFonts w:ascii="Arial" w:hAnsi="Arial" w:cs="Arial"/>
          <w:sz w:val="24"/>
          <w:szCs w:val="24"/>
        </w:rPr>
        <w:tab/>
        <w:t xml:space="preserve"> 36</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2.1.3 Confirmación de Riesgo a la Salud de las Radiaciones No Ionizantes</w:t>
      </w:r>
      <w:r>
        <w:rPr>
          <w:rFonts w:ascii="Arial" w:hAnsi="Arial" w:cs="Arial"/>
          <w:sz w:val="24"/>
          <w:szCs w:val="24"/>
        </w:rPr>
        <w:tab/>
        <w:t xml:space="preserve"> 37</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2.2 Límites de Exposición</w:t>
      </w:r>
      <w:r>
        <w:rPr>
          <w:rFonts w:ascii="Arial" w:hAnsi="Arial" w:cs="Arial"/>
          <w:sz w:val="24"/>
          <w:szCs w:val="24"/>
        </w:rPr>
        <w:tab/>
        <w:t xml:space="preserve"> 41</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2.2.1 Límites de Exposición Poblacional</w:t>
      </w:r>
      <w:r>
        <w:rPr>
          <w:rFonts w:ascii="Arial" w:hAnsi="Arial" w:cs="Arial"/>
          <w:sz w:val="24"/>
          <w:szCs w:val="24"/>
        </w:rPr>
        <w:tab/>
        <w:t xml:space="preserve"> 42</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2.2.2 Límites de Exposición Ocupacional</w:t>
      </w:r>
      <w:r>
        <w:rPr>
          <w:rFonts w:ascii="Arial" w:hAnsi="Arial" w:cs="Arial"/>
          <w:sz w:val="24"/>
          <w:szCs w:val="24"/>
        </w:rPr>
        <w:tab/>
        <w:t xml:space="preserve"> 43</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2.3 Restricciones Básicas y Niveles de Referencias</w:t>
      </w:r>
      <w:r>
        <w:rPr>
          <w:rFonts w:ascii="Arial" w:hAnsi="Arial" w:cs="Arial"/>
          <w:sz w:val="24"/>
          <w:szCs w:val="24"/>
        </w:rPr>
        <w:tab/>
        <w:t xml:space="preserve"> 44</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2.3.1 Niveles de referencia para exposición ocupacional a campos eléctricos y magnéticos</w:t>
      </w:r>
      <w:r>
        <w:rPr>
          <w:rFonts w:ascii="Arial" w:hAnsi="Arial" w:cs="Arial"/>
          <w:sz w:val="24"/>
          <w:szCs w:val="24"/>
        </w:rPr>
        <w:tab/>
        <w:t xml:space="preserve"> 46</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2.3.2 Niveles de referencia para exposición poblacional a campos eléctricos y magnéticos</w:t>
      </w:r>
      <w:r>
        <w:rPr>
          <w:rFonts w:ascii="Arial" w:hAnsi="Arial" w:cs="Arial"/>
          <w:sz w:val="24"/>
          <w:szCs w:val="24"/>
        </w:rPr>
        <w:tab/>
        <w:t xml:space="preserve"> 47</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 xml:space="preserve">2.3.3 Niveles de referencia para el espectro de radiofrecuencia a analizar </w:t>
      </w:r>
      <w:r>
        <w:rPr>
          <w:rFonts w:ascii="Arial" w:hAnsi="Arial" w:cs="Arial"/>
          <w:sz w:val="24"/>
          <w:szCs w:val="24"/>
        </w:rPr>
        <w:tab/>
        <w:t xml:space="preserve"> 47</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2.4 Norma Regulatoria Actual</w:t>
      </w:r>
      <w:r>
        <w:rPr>
          <w:rFonts w:ascii="Arial" w:hAnsi="Arial" w:cs="Arial"/>
          <w:sz w:val="24"/>
          <w:szCs w:val="24"/>
        </w:rPr>
        <w:tab/>
        <w:t xml:space="preserve"> 48</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2.4.1 Reglamento de Protección de Radiación de Emisiones de Radiación No Ionizantes</w:t>
      </w:r>
      <w:r>
        <w:rPr>
          <w:rFonts w:ascii="Arial" w:hAnsi="Arial" w:cs="Arial"/>
          <w:sz w:val="24"/>
          <w:szCs w:val="24"/>
        </w:rPr>
        <w:tab/>
        <w:t xml:space="preserve"> 48</w:t>
      </w:r>
    </w:p>
    <w:p w:rsidR="003A3F89" w:rsidRDefault="003A3F89" w:rsidP="003A3F89">
      <w:pPr>
        <w:pStyle w:val="TOC3"/>
        <w:spacing w:line="360" w:lineRule="auto"/>
        <w:ind w:left="0"/>
        <w:rPr>
          <w:rFonts w:ascii="Arial" w:hAnsi="Arial" w:cs="Arial"/>
          <w:b/>
          <w:sz w:val="24"/>
          <w:szCs w:val="24"/>
        </w:rPr>
      </w:pPr>
    </w:p>
    <w:p w:rsidR="003A3F89" w:rsidRDefault="003A3F89" w:rsidP="003A3F89">
      <w:pPr>
        <w:pStyle w:val="TOC3"/>
        <w:spacing w:line="360" w:lineRule="auto"/>
        <w:ind w:left="0"/>
        <w:rPr>
          <w:rFonts w:ascii="Arial" w:hAnsi="Arial" w:cs="Arial"/>
          <w:b/>
          <w:sz w:val="24"/>
          <w:szCs w:val="24"/>
        </w:rPr>
      </w:pPr>
      <w:r>
        <w:rPr>
          <w:rFonts w:ascii="Arial" w:hAnsi="Arial" w:cs="Arial"/>
          <w:b/>
          <w:sz w:val="24"/>
          <w:szCs w:val="24"/>
        </w:rPr>
        <w:t>CAPÍTULO 3</w:t>
      </w:r>
    </w:p>
    <w:p w:rsidR="003A3F89" w:rsidRDefault="003A3F89" w:rsidP="003A3F89">
      <w:pPr>
        <w:pStyle w:val="ListParagraph"/>
        <w:numPr>
          <w:ilvl w:val="0"/>
          <w:numId w:val="3"/>
        </w:numPr>
        <w:spacing w:line="360" w:lineRule="auto"/>
        <w:ind w:left="284" w:hanging="284"/>
        <w:jc w:val="both"/>
        <w:rPr>
          <w:rFonts w:ascii="Arial" w:hAnsi="Arial" w:cs="Arial"/>
          <w:sz w:val="24"/>
          <w:szCs w:val="24"/>
        </w:rPr>
      </w:pPr>
      <w:r>
        <w:rPr>
          <w:rFonts w:ascii="Arial" w:hAnsi="Arial" w:cs="Arial"/>
          <w:sz w:val="24"/>
          <w:szCs w:val="24"/>
        </w:rPr>
        <w:t>METODOLOGÍA Y PROCEDIMIENTOS DE MEDICIONES DE RADIACIONES NO IONIZANTES</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 xml:space="preserve">3.1 Aplicación de Recomendaciones </w:t>
      </w:r>
      <w:r>
        <w:rPr>
          <w:rFonts w:ascii="Arial" w:hAnsi="Arial" w:cs="Arial"/>
          <w:sz w:val="24"/>
          <w:szCs w:val="24"/>
        </w:rPr>
        <w:tab/>
        <w:t>51</w:t>
      </w:r>
    </w:p>
    <w:p w:rsidR="003A3F89" w:rsidRDefault="003A3F89" w:rsidP="003A3F89">
      <w:pPr>
        <w:pStyle w:val="TOC3"/>
        <w:tabs>
          <w:tab w:val="right" w:leader="dot" w:pos="8277"/>
        </w:tabs>
        <w:spacing w:line="360" w:lineRule="auto"/>
        <w:ind w:left="446"/>
        <w:rPr>
          <w:rFonts w:ascii="Arial" w:hAnsi="Arial" w:cs="Arial"/>
          <w:sz w:val="24"/>
          <w:szCs w:val="24"/>
        </w:rPr>
      </w:pPr>
      <w:r w:rsidRPr="005D34D4">
        <w:rPr>
          <w:rFonts w:ascii="Arial" w:hAnsi="Arial" w:cs="Arial"/>
          <w:sz w:val="24"/>
          <w:szCs w:val="24"/>
        </w:rPr>
        <w:t>3.1.1 Comisión Internacional sobre Protección frente a Radiaciones No Ionizantes ICNIRP</w:t>
      </w:r>
      <w:r>
        <w:rPr>
          <w:rFonts w:ascii="Arial" w:hAnsi="Arial" w:cs="Arial"/>
          <w:sz w:val="24"/>
          <w:szCs w:val="24"/>
        </w:rPr>
        <w:tab/>
        <w:t xml:space="preserve"> 52</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3.1.2 Unión internacional de Telecomunicaciones</w:t>
      </w:r>
      <w:r>
        <w:rPr>
          <w:rFonts w:ascii="Arial" w:hAnsi="Arial" w:cs="Arial"/>
          <w:sz w:val="24"/>
          <w:szCs w:val="24"/>
        </w:rPr>
        <w:tab/>
        <w:t xml:space="preserve"> 55</w:t>
      </w:r>
    </w:p>
    <w:p w:rsidR="003A3F89" w:rsidRPr="004C5193" w:rsidRDefault="003A3F89" w:rsidP="003A3F89">
      <w:pPr>
        <w:pStyle w:val="TOC3"/>
        <w:tabs>
          <w:tab w:val="right" w:leader="dot" w:pos="8277"/>
        </w:tabs>
        <w:spacing w:line="360" w:lineRule="auto"/>
        <w:ind w:left="446" w:firstLine="262"/>
        <w:rPr>
          <w:rFonts w:ascii="Arial" w:hAnsi="Arial" w:cs="Arial"/>
          <w:sz w:val="24"/>
          <w:szCs w:val="24"/>
        </w:rPr>
      </w:pPr>
      <w:r w:rsidRPr="004C5193">
        <w:rPr>
          <w:rFonts w:ascii="Arial" w:hAnsi="Arial" w:cs="Arial"/>
          <w:sz w:val="24"/>
          <w:szCs w:val="24"/>
        </w:rPr>
        <w:t>3.1.2.1 ITU-T K.52</w:t>
      </w:r>
      <w:r w:rsidRPr="004C5193">
        <w:rPr>
          <w:rFonts w:ascii="Arial" w:hAnsi="Arial" w:cs="Arial"/>
          <w:sz w:val="24"/>
          <w:szCs w:val="24"/>
        </w:rPr>
        <w:tab/>
        <w:t xml:space="preserve"> 5</w:t>
      </w:r>
      <w:r>
        <w:rPr>
          <w:rFonts w:ascii="Arial" w:hAnsi="Arial" w:cs="Arial"/>
          <w:sz w:val="24"/>
          <w:szCs w:val="24"/>
        </w:rPr>
        <w:t>7</w:t>
      </w:r>
    </w:p>
    <w:p w:rsidR="003A3F89" w:rsidRPr="00C66F69" w:rsidRDefault="003A3F89" w:rsidP="003A3F89">
      <w:pPr>
        <w:pStyle w:val="TOC3"/>
        <w:tabs>
          <w:tab w:val="right" w:leader="dot" w:pos="8277"/>
        </w:tabs>
        <w:spacing w:line="360" w:lineRule="auto"/>
        <w:ind w:left="446" w:firstLine="262"/>
        <w:rPr>
          <w:rFonts w:ascii="Arial" w:hAnsi="Arial" w:cs="Arial"/>
          <w:sz w:val="24"/>
          <w:szCs w:val="24"/>
        </w:rPr>
      </w:pPr>
      <w:r w:rsidRPr="00C66F69">
        <w:rPr>
          <w:rFonts w:ascii="Arial" w:hAnsi="Arial" w:cs="Arial"/>
          <w:sz w:val="24"/>
          <w:szCs w:val="24"/>
        </w:rPr>
        <w:lastRenderedPageBreak/>
        <w:t>3.1.2.2 ITU-T K.61</w:t>
      </w:r>
      <w:r w:rsidRPr="00C66F69">
        <w:rPr>
          <w:rFonts w:ascii="Arial" w:hAnsi="Arial" w:cs="Arial"/>
          <w:sz w:val="24"/>
          <w:szCs w:val="24"/>
        </w:rPr>
        <w:tab/>
        <w:t xml:space="preserve"> </w:t>
      </w:r>
      <w:r>
        <w:rPr>
          <w:rFonts w:ascii="Arial" w:hAnsi="Arial" w:cs="Arial"/>
          <w:sz w:val="24"/>
          <w:szCs w:val="24"/>
        </w:rPr>
        <w:t>60</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3.1.3 Comité Europeo de Normalización Electrotécnica CENELEC</w:t>
      </w:r>
      <w:r>
        <w:rPr>
          <w:rFonts w:ascii="Arial" w:hAnsi="Arial" w:cs="Arial"/>
          <w:sz w:val="24"/>
          <w:szCs w:val="24"/>
        </w:rPr>
        <w:tab/>
        <w:t xml:space="preserve"> 62</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3.1.3.1 EN 54000</w:t>
      </w:r>
      <w:r>
        <w:rPr>
          <w:rFonts w:ascii="Arial" w:hAnsi="Arial" w:cs="Arial"/>
          <w:sz w:val="24"/>
          <w:szCs w:val="24"/>
        </w:rPr>
        <w:tab/>
        <w:t xml:space="preserve"> 64</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3.1.3.2 EN 54383</w:t>
      </w:r>
      <w:r>
        <w:rPr>
          <w:rFonts w:ascii="Arial" w:hAnsi="Arial" w:cs="Arial"/>
          <w:sz w:val="24"/>
          <w:szCs w:val="24"/>
        </w:rPr>
        <w:tab/>
        <w:t xml:space="preserve"> 66</w:t>
      </w:r>
    </w:p>
    <w:p w:rsidR="003A3F89" w:rsidRDefault="003A3F89" w:rsidP="003A3F89">
      <w:pPr>
        <w:pStyle w:val="TOC2"/>
        <w:tabs>
          <w:tab w:val="right" w:leader="dot" w:pos="8277"/>
        </w:tabs>
        <w:spacing w:line="360" w:lineRule="auto"/>
        <w:ind w:left="216"/>
        <w:rPr>
          <w:rFonts w:ascii="Arial" w:hAnsi="Arial" w:cs="Arial"/>
          <w:sz w:val="24"/>
          <w:szCs w:val="24"/>
        </w:rPr>
      </w:pPr>
      <w:r>
        <w:rPr>
          <w:rFonts w:ascii="Arial" w:hAnsi="Arial" w:cs="Arial"/>
          <w:sz w:val="24"/>
          <w:szCs w:val="24"/>
        </w:rPr>
        <w:t xml:space="preserve">3.2 Instrumentaciones utilizadas en las Mediciones </w:t>
      </w:r>
      <w:r>
        <w:rPr>
          <w:rFonts w:ascii="Arial" w:hAnsi="Arial" w:cs="Arial"/>
          <w:sz w:val="24"/>
          <w:szCs w:val="24"/>
        </w:rPr>
        <w:tab/>
        <w:t>69</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3.2.1 Instrumentación de Medición 1</w:t>
      </w:r>
      <w:r>
        <w:rPr>
          <w:rFonts w:ascii="Arial" w:hAnsi="Arial" w:cs="Arial"/>
          <w:sz w:val="24"/>
          <w:szCs w:val="24"/>
        </w:rPr>
        <w:tab/>
        <w:t xml:space="preserve"> 69</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3.2.1.1 Equipos</w:t>
      </w:r>
      <w:r>
        <w:rPr>
          <w:rFonts w:ascii="Arial" w:hAnsi="Arial" w:cs="Arial"/>
          <w:sz w:val="24"/>
          <w:szCs w:val="24"/>
        </w:rPr>
        <w:tab/>
        <w:t xml:space="preserve"> 70</w:t>
      </w:r>
    </w:p>
    <w:p w:rsidR="003A3F89" w:rsidRDefault="003A3F89" w:rsidP="003A3F89">
      <w:pPr>
        <w:pStyle w:val="TOC3"/>
        <w:tabs>
          <w:tab w:val="right" w:leader="dot" w:pos="8277"/>
        </w:tabs>
        <w:spacing w:line="360" w:lineRule="auto"/>
        <w:ind w:left="709" w:firstLine="284"/>
        <w:rPr>
          <w:rFonts w:ascii="Arial" w:hAnsi="Arial" w:cs="Arial"/>
          <w:sz w:val="24"/>
          <w:szCs w:val="24"/>
        </w:rPr>
      </w:pPr>
      <w:r>
        <w:rPr>
          <w:rFonts w:ascii="Arial" w:hAnsi="Arial" w:cs="Arial"/>
          <w:sz w:val="24"/>
          <w:szCs w:val="24"/>
        </w:rPr>
        <w:t>3.2.1.1.1 Equipo Medidor Selectivo de Radiación SMR 3000</w:t>
      </w:r>
      <w:r>
        <w:rPr>
          <w:rFonts w:ascii="Arial" w:hAnsi="Arial" w:cs="Arial"/>
          <w:sz w:val="24"/>
          <w:szCs w:val="24"/>
        </w:rPr>
        <w:tab/>
        <w:t xml:space="preserve"> 70</w:t>
      </w:r>
    </w:p>
    <w:p w:rsidR="003A3F89" w:rsidRDefault="003A3F89" w:rsidP="003A3F89">
      <w:pPr>
        <w:pStyle w:val="TOC3"/>
        <w:tabs>
          <w:tab w:val="right" w:leader="dot" w:pos="8277"/>
        </w:tabs>
        <w:spacing w:line="360" w:lineRule="auto"/>
        <w:ind w:left="709" w:firstLine="284"/>
        <w:rPr>
          <w:rFonts w:ascii="Arial" w:hAnsi="Arial" w:cs="Arial"/>
          <w:sz w:val="24"/>
          <w:szCs w:val="24"/>
        </w:rPr>
      </w:pPr>
      <w:r>
        <w:rPr>
          <w:rFonts w:ascii="Arial" w:hAnsi="Arial" w:cs="Arial"/>
          <w:sz w:val="24"/>
          <w:szCs w:val="24"/>
        </w:rPr>
        <w:t>3.2.1.1.2 Antena Isotrópica del SMR 3000</w:t>
      </w:r>
      <w:r>
        <w:rPr>
          <w:rFonts w:ascii="Arial" w:hAnsi="Arial" w:cs="Arial"/>
          <w:sz w:val="24"/>
          <w:szCs w:val="24"/>
        </w:rPr>
        <w:tab/>
        <w:t xml:space="preserve"> 73</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3.2.1.2 Configuración de los Equipos para Instrumentación de Medición 1</w:t>
      </w:r>
      <w:r>
        <w:rPr>
          <w:rFonts w:ascii="Arial" w:hAnsi="Arial" w:cs="Arial"/>
          <w:sz w:val="24"/>
          <w:szCs w:val="24"/>
        </w:rPr>
        <w:tab/>
        <w:t xml:space="preserve"> 75</w:t>
      </w:r>
    </w:p>
    <w:p w:rsidR="003A3F89" w:rsidRDefault="003A3F89" w:rsidP="003A3F89">
      <w:pPr>
        <w:pStyle w:val="TOC3"/>
        <w:tabs>
          <w:tab w:val="right" w:leader="dot" w:pos="8277"/>
        </w:tabs>
        <w:spacing w:line="360" w:lineRule="auto"/>
        <w:ind w:left="446"/>
        <w:rPr>
          <w:rFonts w:ascii="Arial" w:hAnsi="Arial" w:cs="Arial"/>
          <w:sz w:val="24"/>
          <w:szCs w:val="24"/>
        </w:rPr>
      </w:pPr>
      <w:r>
        <w:rPr>
          <w:rFonts w:ascii="Arial" w:hAnsi="Arial" w:cs="Arial"/>
          <w:sz w:val="24"/>
          <w:szCs w:val="24"/>
        </w:rPr>
        <w:t>3.2.2 Instrumentación de Medición 2</w:t>
      </w:r>
      <w:r>
        <w:rPr>
          <w:rFonts w:ascii="Arial" w:hAnsi="Arial" w:cs="Arial"/>
          <w:sz w:val="24"/>
          <w:szCs w:val="24"/>
        </w:rPr>
        <w:tab/>
        <w:t xml:space="preserve"> 7</w:t>
      </w:r>
      <w:r w:rsidR="000723A4">
        <w:rPr>
          <w:rFonts w:ascii="Arial" w:hAnsi="Arial" w:cs="Arial"/>
          <w:sz w:val="24"/>
          <w:szCs w:val="24"/>
        </w:rPr>
        <w:t>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3.2.2.1 Equipos</w:t>
      </w:r>
      <w:r>
        <w:rPr>
          <w:rFonts w:ascii="Arial" w:hAnsi="Arial" w:cs="Arial"/>
          <w:sz w:val="24"/>
          <w:szCs w:val="24"/>
        </w:rPr>
        <w:tab/>
        <w:t xml:space="preserve"> 80</w:t>
      </w:r>
    </w:p>
    <w:p w:rsidR="003A3F89" w:rsidRDefault="003A3F89" w:rsidP="003A3F89">
      <w:pPr>
        <w:pStyle w:val="TOC3"/>
        <w:tabs>
          <w:tab w:val="right" w:leader="dot" w:pos="8277"/>
        </w:tabs>
        <w:spacing w:line="360" w:lineRule="auto"/>
        <w:ind w:left="709" w:firstLine="284"/>
        <w:rPr>
          <w:rFonts w:ascii="Arial" w:hAnsi="Arial" w:cs="Arial"/>
          <w:sz w:val="24"/>
          <w:szCs w:val="24"/>
        </w:rPr>
      </w:pPr>
      <w:r>
        <w:rPr>
          <w:rFonts w:ascii="Arial" w:hAnsi="Arial" w:cs="Arial"/>
          <w:sz w:val="24"/>
          <w:szCs w:val="24"/>
        </w:rPr>
        <w:t>3.2.2.1.1 Equipo Medidor Selectivo de Radiación SMR 3000</w:t>
      </w:r>
      <w:r>
        <w:rPr>
          <w:rFonts w:ascii="Arial" w:hAnsi="Arial" w:cs="Arial"/>
          <w:sz w:val="24"/>
          <w:szCs w:val="24"/>
        </w:rPr>
        <w:tab/>
        <w:t xml:space="preserve"> 80</w:t>
      </w:r>
    </w:p>
    <w:p w:rsidR="003A3F89" w:rsidRDefault="003A3F89" w:rsidP="003A3F89">
      <w:pPr>
        <w:pStyle w:val="TOC3"/>
        <w:tabs>
          <w:tab w:val="right" w:leader="dot" w:pos="8277"/>
        </w:tabs>
        <w:spacing w:line="360" w:lineRule="auto"/>
        <w:ind w:left="709" w:firstLine="284"/>
        <w:rPr>
          <w:rFonts w:ascii="Arial" w:hAnsi="Arial" w:cs="Arial"/>
          <w:sz w:val="24"/>
          <w:szCs w:val="24"/>
        </w:rPr>
      </w:pPr>
      <w:r>
        <w:rPr>
          <w:rFonts w:ascii="Arial" w:hAnsi="Arial" w:cs="Arial"/>
          <w:sz w:val="24"/>
          <w:szCs w:val="24"/>
        </w:rPr>
        <w:t>3.2.2.1.2 Antena Cónica Dipolo PCD 8250 Field Nose</w:t>
      </w:r>
      <w:r>
        <w:rPr>
          <w:rFonts w:ascii="Arial" w:hAnsi="Arial" w:cs="Arial"/>
          <w:sz w:val="24"/>
          <w:szCs w:val="24"/>
        </w:rPr>
        <w:tab/>
        <w:t xml:space="preserve"> 81</w:t>
      </w:r>
    </w:p>
    <w:p w:rsidR="003A3F89" w:rsidRDefault="003A3F89" w:rsidP="003A3F89">
      <w:pPr>
        <w:pStyle w:val="TOC3"/>
        <w:tabs>
          <w:tab w:val="right" w:leader="dot" w:pos="8277"/>
        </w:tabs>
        <w:spacing w:line="360" w:lineRule="auto"/>
        <w:ind w:left="709" w:firstLine="284"/>
        <w:rPr>
          <w:rFonts w:ascii="Arial" w:hAnsi="Arial" w:cs="Arial"/>
          <w:sz w:val="24"/>
          <w:szCs w:val="24"/>
        </w:rPr>
      </w:pPr>
      <w:r>
        <w:rPr>
          <w:rFonts w:ascii="Arial" w:hAnsi="Arial" w:cs="Arial"/>
          <w:sz w:val="24"/>
          <w:szCs w:val="24"/>
        </w:rPr>
        <w:t>3.2.2.1.3 Software Nose Pro</w:t>
      </w:r>
      <w:r>
        <w:rPr>
          <w:rFonts w:ascii="Arial" w:hAnsi="Arial" w:cs="Arial"/>
          <w:sz w:val="24"/>
          <w:szCs w:val="24"/>
        </w:rPr>
        <w:tab/>
        <w:t xml:space="preserve"> 83</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3.2.2.2 Configuración de los Equipos para Instrumentación de Medición 2</w:t>
      </w:r>
      <w:r>
        <w:rPr>
          <w:rFonts w:ascii="Arial" w:hAnsi="Arial" w:cs="Arial"/>
          <w:sz w:val="24"/>
          <w:szCs w:val="24"/>
        </w:rPr>
        <w:tab/>
        <w:t xml:space="preserve"> 84</w:t>
      </w:r>
    </w:p>
    <w:p w:rsidR="003A3F89" w:rsidRDefault="003A3F89" w:rsidP="003A3F89">
      <w:pPr>
        <w:pStyle w:val="TOC2"/>
        <w:tabs>
          <w:tab w:val="right" w:leader="dot" w:pos="8277"/>
        </w:tabs>
        <w:spacing w:line="360" w:lineRule="auto"/>
        <w:ind w:left="1134"/>
        <w:rPr>
          <w:rFonts w:ascii="Arial" w:hAnsi="Arial" w:cs="Arial"/>
          <w:sz w:val="24"/>
          <w:szCs w:val="24"/>
        </w:rPr>
      </w:pPr>
    </w:p>
    <w:p w:rsidR="003A3F89" w:rsidRDefault="003A3F89" w:rsidP="003A3F89">
      <w:pPr>
        <w:pStyle w:val="TOC2"/>
        <w:spacing w:line="360" w:lineRule="auto"/>
        <w:ind w:left="0"/>
        <w:rPr>
          <w:rFonts w:ascii="Arial" w:hAnsi="Arial" w:cs="Arial"/>
          <w:b/>
          <w:sz w:val="24"/>
          <w:szCs w:val="24"/>
        </w:rPr>
      </w:pPr>
      <w:r>
        <w:rPr>
          <w:rFonts w:ascii="Arial" w:hAnsi="Arial" w:cs="Arial"/>
          <w:b/>
          <w:sz w:val="24"/>
          <w:szCs w:val="24"/>
        </w:rPr>
        <w:t>CAPÍTULO 4</w:t>
      </w:r>
    </w:p>
    <w:p w:rsidR="003A3F89" w:rsidRDefault="003A3F89" w:rsidP="003A3F89">
      <w:pPr>
        <w:pStyle w:val="ListParagraph"/>
        <w:numPr>
          <w:ilvl w:val="0"/>
          <w:numId w:val="3"/>
        </w:numPr>
        <w:spacing w:line="360" w:lineRule="auto"/>
        <w:ind w:left="216" w:hanging="284"/>
        <w:jc w:val="both"/>
        <w:rPr>
          <w:rFonts w:ascii="Arial" w:hAnsi="Arial" w:cs="Arial"/>
          <w:sz w:val="24"/>
          <w:szCs w:val="24"/>
        </w:rPr>
      </w:pPr>
      <w:r>
        <w:rPr>
          <w:rFonts w:ascii="Arial" w:hAnsi="Arial" w:cs="Arial"/>
          <w:sz w:val="24"/>
          <w:szCs w:val="24"/>
        </w:rPr>
        <w:t>ANALISIS DE RESULTADOS</w:t>
      </w:r>
    </w:p>
    <w:p w:rsidR="003A3F89" w:rsidRDefault="003A3F89" w:rsidP="003A3F89">
      <w:pPr>
        <w:pStyle w:val="ListParagraph"/>
        <w:tabs>
          <w:tab w:val="right" w:leader="dot" w:pos="8277"/>
        </w:tabs>
        <w:spacing w:before="240" w:line="360" w:lineRule="auto"/>
        <w:ind w:left="216"/>
        <w:jc w:val="both"/>
        <w:rPr>
          <w:rFonts w:ascii="Arial" w:hAnsi="Arial" w:cs="Arial"/>
          <w:sz w:val="24"/>
          <w:szCs w:val="24"/>
        </w:rPr>
      </w:pPr>
      <w:r>
        <w:rPr>
          <w:rFonts w:ascii="Arial" w:hAnsi="Arial" w:cs="Arial"/>
          <w:sz w:val="24"/>
          <w:szCs w:val="24"/>
        </w:rPr>
        <w:t>4.1 Información referente a los puntos de medición</w:t>
      </w:r>
      <w:r>
        <w:rPr>
          <w:rFonts w:ascii="Arial" w:hAnsi="Arial" w:cs="Arial"/>
          <w:sz w:val="24"/>
          <w:szCs w:val="24"/>
        </w:rPr>
        <w:tab/>
        <w:t>91</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4.1.1. Distribución de los puntos de Medición</w:t>
      </w:r>
      <w:r>
        <w:rPr>
          <w:rFonts w:ascii="Arial" w:hAnsi="Arial" w:cs="Arial"/>
          <w:sz w:val="24"/>
          <w:szCs w:val="24"/>
        </w:rPr>
        <w:tab/>
        <w:t xml:space="preserve"> 91</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4.1.1.1 Puntos de Medición para Redes de Telefonía Móvil</w:t>
      </w:r>
      <w:r>
        <w:rPr>
          <w:rFonts w:ascii="Arial" w:hAnsi="Arial" w:cs="Arial"/>
          <w:sz w:val="24"/>
          <w:szCs w:val="24"/>
        </w:rPr>
        <w:tab/>
        <w:t xml:space="preserve"> 95</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lastRenderedPageBreak/>
        <w:t>4.1.1.2 Punto de Medición para Redes Wireless LAN</w:t>
      </w:r>
      <w:r>
        <w:rPr>
          <w:rFonts w:ascii="Arial" w:hAnsi="Arial" w:cs="Arial"/>
          <w:sz w:val="24"/>
          <w:szCs w:val="24"/>
        </w:rPr>
        <w:tab/>
        <w:t xml:space="preserve"> 99</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4.1.1.3 Punto de Medición para Múltiples Fuentes</w:t>
      </w:r>
      <w:r>
        <w:rPr>
          <w:rFonts w:ascii="Arial" w:hAnsi="Arial" w:cs="Arial"/>
          <w:sz w:val="24"/>
          <w:szCs w:val="24"/>
        </w:rPr>
        <w:tab/>
        <w:t xml:space="preserve"> 100</w:t>
      </w:r>
    </w:p>
    <w:p w:rsidR="003A3F89" w:rsidRDefault="003A3F89" w:rsidP="003A3F89">
      <w:pPr>
        <w:pStyle w:val="ListParagraph"/>
        <w:tabs>
          <w:tab w:val="right" w:leader="dot" w:pos="8277"/>
        </w:tabs>
        <w:spacing w:line="360" w:lineRule="auto"/>
        <w:ind w:left="216"/>
        <w:jc w:val="both"/>
        <w:rPr>
          <w:rFonts w:ascii="Arial" w:hAnsi="Arial" w:cs="Arial"/>
          <w:sz w:val="24"/>
          <w:szCs w:val="24"/>
        </w:rPr>
      </w:pPr>
      <w:r>
        <w:rPr>
          <w:rFonts w:ascii="Arial" w:hAnsi="Arial" w:cs="Arial"/>
          <w:sz w:val="24"/>
          <w:szCs w:val="24"/>
        </w:rPr>
        <w:t>4.2 Tabla de valores Obtenidos de las mediciones</w:t>
      </w:r>
      <w:r>
        <w:rPr>
          <w:rFonts w:ascii="Arial" w:hAnsi="Arial" w:cs="Arial"/>
          <w:sz w:val="24"/>
          <w:szCs w:val="24"/>
        </w:rPr>
        <w:tab/>
        <w:t xml:space="preserve"> 101</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4.2.1 Tabla de Valores de las Mediciones por Instrumentación 1</w:t>
      </w:r>
      <w:r>
        <w:rPr>
          <w:rFonts w:ascii="Arial" w:hAnsi="Arial" w:cs="Arial"/>
          <w:sz w:val="24"/>
          <w:szCs w:val="24"/>
        </w:rPr>
        <w:tab/>
        <w:t xml:space="preserve"> 102</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4.2.1.1 Mediciones en Ambientes Exteriores de Telefonía Móvil</w:t>
      </w:r>
      <w:r>
        <w:rPr>
          <w:rFonts w:ascii="Arial" w:hAnsi="Arial" w:cs="Arial"/>
          <w:sz w:val="24"/>
          <w:szCs w:val="24"/>
        </w:rPr>
        <w:tab/>
        <w:t xml:space="preserve"> 102</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4.2.1.2 Mediciones en Ambientes Interiores de Telefonía Móvil</w:t>
      </w:r>
      <w:r>
        <w:rPr>
          <w:rFonts w:ascii="Arial" w:hAnsi="Arial" w:cs="Arial"/>
          <w:sz w:val="24"/>
          <w:szCs w:val="24"/>
        </w:rPr>
        <w:tab/>
        <w:t xml:space="preserve"> 10</w:t>
      </w:r>
      <w:r w:rsidR="00C03BDD">
        <w:rPr>
          <w:rFonts w:ascii="Arial" w:hAnsi="Arial" w:cs="Arial"/>
          <w:sz w:val="24"/>
          <w:szCs w:val="24"/>
        </w:rPr>
        <w:t>4</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4.2.1.3 Mediciones en Ambientes Interiores de Red Wireless LAN</w:t>
      </w:r>
      <w:r>
        <w:rPr>
          <w:rFonts w:ascii="Arial" w:hAnsi="Arial" w:cs="Arial"/>
          <w:sz w:val="24"/>
          <w:szCs w:val="24"/>
        </w:rPr>
        <w:tab/>
        <w:t xml:space="preserve"> 105</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4.2.2 Tabla de Valores de las Mediciones por Instrumentación 2</w:t>
      </w:r>
      <w:r>
        <w:rPr>
          <w:rFonts w:ascii="Arial" w:hAnsi="Arial" w:cs="Arial"/>
          <w:sz w:val="24"/>
          <w:szCs w:val="24"/>
        </w:rPr>
        <w:tab/>
        <w:t xml:space="preserve"> 106</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4.2.2.1 Mediciones en Ambientes Exteriores de Telefonía Móvil</w:t>
      </w:r>
      <w:r>
        <w:rPr>
          <w:rFonts w:ascii="Arial" w:hAnsi="Arial" w:cs="Arial"/>
          <w:sz w:val="24"/>
          <w:szCs w:val="24"/>
        </w:rPr>
        <w:tab/>
        <w:t xml:space="preserve"> 106</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4.2.2.2 Mediciones en Ambientes Interiores de Telefonía Móvil</w:t>
      </w:r>
      <w:r>
        <w:rPr>
          <w:rFonts w:ascii="Arial" w:hAnsi="Arial" w:cs="Arial"/>
          <w:sz w:val="24"/>
          <w:szCs w:val="24"/>
        </w:rPr>
        <w:tab/>
        <w:t xml:space="preserve"> 108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4.2.2.3 Mediciones en Ambientes In</w:t>
      </w:r>
      <w:r w:rsidR="000723A4">
        <w:rPr>
          <w:rFonts w:ascii="Arial" w:hAnsi="Arial" w:cs="Arial"/>
          <w:sz w:val="24"/>
          <w:szCs w:val="24"/>
        </w:rPr>
        <w:t>teriores de Red Wireless LAN</w:t>
      </w:r>
      <w:r w:rsidR="000723A4">
        <w:rPr>
          <w:rFonts w:ascii="Arial" w:hAnsi="Arial" w:cs="Arial"/>
          <w:sz w:val="24"/>
          <w:szCs w:val="24"/>
        </w:rPr>
        <w:tab/>
        <w:t xml:space="preserve"> 10</w:t>
      </w:r>
      <w:r>
        <w:rPr>
          <w:rFonts w:ascii="Arial" w:hAnsi="Arial" w:cs="Arial"/>
          <w:sz w:val="24"/>
          <w:szCs w:val="24"/>
        </w:rPr>
        <w:t>9</w:t>
      </w:r>
    </w:p>
    <w:p w:rsidR="003A3F89" w:rsidRDefault="003A3F89" w:rsidP="003A3F89">
      <w:pPr>
        <w:pStyle w:val="ListParagraph"/>
        <w:tabs>
          <w:tab w:val="right" w:leader="dot" w:pos="8277"/>
        </w:tabs>
        <w:spacing w:line="360" w:lineRule="auto"/>
        <w:ind w:left="216"/>
        <w:jc w:val="both"/>
        <w:rPr>
          <w:rFonts w:ascii="Arial" w:hAnsi="Arial" w:cs="Arial"/>
          <w:sz w:val="24"/>
          <w:szCs w:val="24"/>
        </w:rPr>
      </w:pPr>
      <w:r>
        <w:rPr>
          <w:rFonts w:ascii="Arial" w:hAnsi="Arial" w:cs="Arial"/>
          <w:sz w:val="24"/>
          <w:szCs w:val="24"/>
        </w:rPr>
        <w:t>4.3 Cálculos de Confiabilidad de las Mediciones</w:t>
      </w:r>
      <w:r>
        <w:rPr>
          <w:rFonts w:ascii="Arial" w:hAnsi="Arial" w:cs="Arial"/>
          <w:sz w:val="24"/>
          <w:szCs w:val="24"/>
        </w:rPr>
        <w:tab/>
        <w:t xml:space="preserve"> 110</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 xml:space="preserve">4.3.1 Comparación Porcentual de las Mediciones por  Procedimientos       </w:t>
      </w:r>
      <w:r>
        <w:rPr>
          <w:rFonts w:ascii="Arial" w:hAnsi="Arial" w:cs="Arial"/>
          <w:sz w:val="24"/>
          <w:szCs w:val="24"/>
        </w:rPr>
        <w:tab/>
        <w:t xml:space="preserve"> 110</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4.3.1.1 Ilustración Porcentual para las Mediciones en Ambientes Interiores</w:t>
      </w:r>
      <w:r>
        <w:rPr>
          <w:rFonts w:ascii="Arial" w:hAnsi="Arial" w:cs="Arial"/>
          <w:sz w:val="24"/>
          <w:szCs w:val="24"/>
        </w:rPr>
        <w:tab/>
        <w:t xml:space="preserve"> 111</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4.3.1.2 Ilustración Porcentual para las Mediciones en Ambientes Exteriores</w:t>
      </w:r>
      <w:r>
        <w:rPr>
          <w:rFonts w:ascii="Arial" w:hAnsi="Arial" w:cs="Arial"/>
          <w:sz w:val="24"/>
          <w:szCs w:val="24"/>
        </w:rPr>
        <w:tab/>
        <w:t xml:space="preserve"> 115</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4.3.2 Cálculo de Desviación Máxima de las mediciones con respecto al promedio de las alturas</w:t>
      </w:r>
      <w:r>
        <w:rPr>
          <w:rFonts w:ascii="Arial" w:hAnsi="Arial" w:cs="Arial"/>
          <w:sz w:val="24"/>
          <w:szCs w:val="24"/>
        </w:rPr>
        <w:tab/>
        <w:t xml:space="preserve"> 118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4.3.2.1 Ilustración Porcentual para las Mediciones en Ambientes Interiores</w:t>
      </w:r>
      <w:r>
        <w:rPr>
          <w:rFonts w:ascii="Arial" w:hAnsi="Arial" w:cs="Arial"/>
          <w:sz w:val="24"/>
          <w:szCs w:val="24"/>
        </w:rPr>
        <w:tab/>
        <w:t xml:space="preserve"> 118</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4.3.2.2 Ilustración Porcentual para las Mediciones en Ambientes Exteriores</w:t>
      </w:r>
      <w:r>
        <w:rPr>
          <w:rFonts w:ascii="Arial" w:hAnsi="Arial" w:cs="Arial"/>
          <w:sz w:val="24"/>
          <w:szCs w:val="24"/>
        </w:rPr>
        <w:tab/>
        <w:t>125</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t>4.3.3 Cálculo del Efecto de Medición a Múltiples Fuentes</w:t>
      </w:r>
      <w:r>
        <w:rPr>
          <w:rFonts w:ascii="Arial" w:hAnsi="Arial" w:cs="Arial"/>
          <w:sz w:val="24"/>
          <w:szCs w:val="24"/>
        </w:rPr>
        <w:tab/>
        <w:t xml:space="preserve"> 131</w:t>
      </w:r>
    </w:p>
    <w:p w:rsidR="003A3F89" w:rsidRDefault="003A3F89" w:rsidP="003A3F89">
      <w:pPr>
        <w:pStyle w:val="TOC3"/>
        <w:tabs>
          <w:tab w:val="right" w:leader="dot" w:pos="8277"/>
        </w:tabs>
        <w:spacing w:line="360" w:lineRule="auto"/>
        <w:ind w:left="446" w:hanging="20"/>
        <w:rPr>
          <w:rFonts w:ascii="Arial" w:hAnsi="Arial" w:cs="Arial"/>
          <w:sz w:val="24"/>
          <w:szCs w:val="24"/>
        </w:rPr>
      </w:pPr>
      <w:r>
        <w:rPr>
          <w:rFonts w:ascii="Arial" w:hAnsi="Arial" w:cs="Arial"/>
          <w:sz w:val="24"/>
          <w:szCs w:val="24"/>
        </w:rPr>
        <w:lastRenderedPageBreak/>
        <w:t>4.3.4 Cálculo de la Relación Porcentual de las mediciones con respecto a los límites fijados por ICNIRP</w:t>
      </w:r>
      <w:r>
        <w:rPr>
          <w:rFonts w:ascii="Arial" w:hAnsi="Arial" w:cs="Arial"/>
          <w:sz w:val="24"/>
          <w:szCs w:val="24"/>
        </w:rPr>
        <w:tab/>
        <w:t xml:space="preserve"> 135</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4.3.4.1 Ilustración Porcentual para Mediciones de Telefonía Móvil</w:t>
      </w:r>
      <w:r>
        <w:rPr>
          <w:rFonts w:ascii="Arial" w:hAnsi="Arial" w:cs="Arial"/>
          <w:sz w:val="24"/>
          <w:szCs w:val="24"/>
        </w:rPr>
        <w:tab/>
        <w:t xml:space="preserve"> 136</w:t>
      </w:r>
    </w:p>
    <w:p w:rsidR="003A3F89" w:rsidRDefault="003A3F89" w:rsidP="003A3F89">
      <w:pPr>
        <w:pStyle w:val="TOC3"/>
        <w:tabs>
          <w:tab w:val="right" w:leader="dot" w:pos="8277"/>
        </w:tabs>
        <w:spacing w:line="360" w:lineRule="auto"/>
        <w:ind w:left="446" w:firstLine="262"/>
        <w:rPr>
          <w:rFonts w:ascii="Arial" w:hAnsi="Arial" w:cs="Arial"/>
          <w:sz w:val="24"/>
          <w:szCs w:val="24"/>
        </w:rPr>
      </w:pPr>
      <w:r>
        <w:rPr>
          <w:rFonts w:ascii="Arial" w:hAnsi="Arial" w:cs="Arial"/>
          <w:sz w:val="24"/>
          <w:szCs w:val="24"/>
        </w:rPr>
        <w:t>4.3.4.2 Ilustración Porcentual para Mediciones de Redes Wireless  LAN</w:t>
      </w:r>
      <w:r>
        <w:rPr>
          <w:rFonts w:ascii="Arial" w:hAnsi="Arial" w:cs="Arial"/>
          <w:sz w:val="24"/>
          <w:szCs w:val="24"/>
        </w:rPr>
        <w:tab/>
        <w:t xml:space="preserve"> 148</w:t>
      </w:r>
    </w:p>
    <w:p w:rsidR="003A3F89" w:rsidRPr="00946D89" w:rsidRDefault="003A3F89" w:rsidP="003A3F89">
      <w:pPr>
        <w:pStyle w:val="TOC3"/>
        <w:tabs>
          <w:tab w:val="right" w:leader="dot" w:pos="8277"/>
        </w:tabs>
        <w:spacing w:line="360" w:lineRule="auto"/>
        <w:ind w:left="446" w:firstLine="262"/>
        <w:rPr>
          <w:rFonts w:ascii="Arial" w:hAnsi="Arial" w:cs="Arial"/>
          <w:sz w:val="24"/>
          <w:szCs w:val="24"/>
        </w:rPr>
      </w:pPr>
      <w:r w:rsidRPr="00946D89">
        <w:rPr>
          <w:rFonts w:ascii="Arial" w:hAnsi="Arial" w:cs="Arial"/>
          <w:sz w:val="24"/>
          <w:szCs w:val="24"/>
        </w:rPr>
        <w:t>4.3.4.3 Ilustración Porcentual para medición de Broadcasting</w:t>
      </w:r>
      <w:r w:rsidRPr="00946D89">
        <w:rPr>
          <w:rFonts w:ascii="Arial" w:hAnsi="Arial" w:cs="Arial"/>
          <w:sz w:val="24"/>
          <w:szCs w:val="24"/>
        </w:rPr>
        <w:tab/>
        <w:t xml:space="preserve"> 1</w:t>
      </w:r>
      <w:r>
        <w:rPr>
          <w:rFonts w:ascii="Arial" w:hAnsi="Arial" w:cs="Arial"/>
          <w:sz w:val="24"/>
          <w:szCs w:val="24"/>
        </w:rPr>
        <w:t>52</w:t>
      </w:r>
    </w:p>
    <w:p w:rsidR="003A3F89" w:rsidRDefault="003A3F89" w:rsidP="003A3F89">
      <w:pPr>
        <w:jc w:val="center"/>
        <w:rPr>
          <w:rFonts w:ascii="Arial" w:hAnsi="Arial" w:cs="Arial"/>
          <w:b/>
          <w:sz w:val="32"/>
          <w:szCs w:val="32"/>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3A3F89" w:rsidRDefault="003A3F89" w:rsidP="003A3F89">
      <w:pPr>
        <w:spacing w:line="360" w:lineRule="auto"/>
        <w:rPr>
          <w:rFonts w:ascii="Arial" w:hAnsi="Arial" w:cs="Arial"/>
          <w:sz w:val="24"/>
          <w:szCs w:val="24"/>
        </w:rPr>
      </w:pPr>
    </w:p>
    <w:p w:rsidR="00BA2E9D" w:rsidRDefault="00BA2E9D" w:rsidP="003A3F89">
      <w:pPr>
        <w:spacing w:line="360" w:lineRule="auto"/>
        <w:jc w:val="center"/>
        <w:rPr>
          <w:rFonts w:ascii="Arial" w:hAnsi="Arial" w:cs="Arial"/>
          <w:b/>
          <w:sz w:val="32"/>
          <w:szCs w:val="32"/>
        </w:rPr>
      </w:pPr>
    </w:p>
    <w:p w:rsidR="00BA2E9D" w:rsidRDefault="00BA2E9D" w:rsidP="003A3F89">
      <w:pPr>
        <w:spacing w:line="360" w:lineRule="auto"/>
        <w:jc w:val="center"/>
        <w:rPr>
          <w:rFonts w:ascii="Arial" w:hAnsi="Arial" w:cs="Arial"/>
          <w:b/>
          <w:sz w:val="32"/>
          <w:szCs w:val="32"/>
        </w:rPr>
      </w:pPr>
    </w:p>
    <w:p w:rsidR="003A3F89" w:rsidRDefault="003A3F89" w:rsidP="003A3F89">
      <w:pPr>
        <w:spacing w:line="360" w:lineRule="auto"/>
        <w:jc w:val="center"/>
        <w:rPr>
          <w:rFonts w:ascii="Arial" w:hAnsi="Arial" w:cs="Arial"/>
          <w:b/>
          <w:sz w:val="32"/>
          <w:szCs w:val="32"/>
        </w:rPr>
      </w:pPr>
      <w:r w:rsidRPr="00214B09">
        <w:rPr>
          <w:rFonts w:ascii="Arial" w:hAnsi="Arial" w:cs="Arial"/>
          <w:b/>
          <w:sz w:val="32"/>
          <w:szCs w:val="32"/>
        </w:rPr>
        <w:lastRenderedPageBreak/>
        <w:t>ABREVIATURAS</w:t>
      </w:r>
    </w:p>
    <w:p w:rsidR="003A3F89" w:rsidRPr="00214B09" w:rsidRDefault="003A3F89" w:rsidP="003A3F89">
      <w:pPr>
        <w:spacing w:line="360" w:lineRule="auto"/>
        <w:jc w:val="center"/>
        <w:rPr>
          <w:rFonts w:ascii="Arial" w:hAnsi="Arial" w:cs="Arial"/>
          <w:b/>
          <w:sz w:val="32"/>
          <w:szCs w:val="32"/>
        </w:rPr>
      </w:pPr>
    </w:p>
    <w:p w:rsidR="003A3F89" w:rsidRDefault="003A3F89" w:rsidP="003A3F89">
      <w:pPr>
        <w:spacing w:line="240" w:lineRule="auto"/>
        <w:jc w:val="both"/>
        <w:rPr>
          <w:rFonts w:ascii="Arial" w:hAnsi="Arial" w:cs="Arial"/>
          <w:sz w:val="24"/>
          <w:szCs w:val="24"/>
        </w:rPr>
      </w:pPr>
      <w:r w:rsidRPr="00573106">
        <w:rPr>
          <w:rFonts w:ascii="Arial" w:hAnsi="Arial" w:cs="Arial"/>
          <w:b/>
          <w:sz w:val="24"/>
          <w:szCs w:val="24"/>
        </w:rPr>
        <w:t>Hz</w:t>
      </w:r>
      <w:r w:rsidRPr="00DD6F7B">
        <w:rPr>
          <w:rFonts w:ascii="Arial" w:hAnsi="Arial" w:cs="Arial"/>
          <w:b/>
          <w:sz w:val="24"/>
          <w:szCs w:val="24"/>
        </w:rPr>
        <w:t xml:space="preserve"> </w:t>
      </w:r>
      <w:r>
        <w:rPr>
          <w:rFonts w:ascii="Arial" w:hAnsi="Arial" w:cs="Arial"/>
          <w:b/>
          <w:sz w:val="24"/>
          <w:szCs w:val="24"/>
        </w:rPr>
        <w:tab/>
      </w:r>
      <w:r>
        <w:rPr>
          <w:rFonts w:ascii="Arial" w:hAnsi="Arial" w:cs="Arial"/>
          <w:b/>
          <w:sz w:val="24"/>
          <w:szCs w:val="24"/>
        </w:rPr>
        <w:tab/>
      </w:r>
      <w:r>
        <w:rPr>
          <w:rFonts w:ascii="Arial" w:hAnsi="Arial" w:cs="Arial"/>
          <w:sz w:val="24"/>
          <w:szCs w:val="24"/>
        </w:rPr>
        <w:t>He</w:t>
      </w:r>
      <w:r w:rsidRPr="00573106">
        <w:rPr>
          <w:rFonts w:ascii="Arial" w:hAnsi="Arial" w:cs="Arial"/>
          <w:sz w:val="24"/>
          <w:szCs w:val="24"/>
        </w:rPr>
        <w:t>r</w:t>
      </w:r>
      <w:r>
        <w:rPr>
          <w:rFonts w:ascii="Arial" w:hAnsi="Arial" w:cs="Arial"/>
          <w:sz w:val="24"/>
          <w:szCs w:val="24"/>
        </w:rPr>
        <w:t>tz</w:t>
      </w:r>
      <w:r w:rsidRPr="00573106">
        <w:rPr>
          <w:rFonts w:ascii="Arial" w:hAnsi="Arial" w:cs="Arial"/>
          <w:sz w:val="24"/>
          <w:szCs w:val="24"/>
        </w:rPr>
        <w:t>io</w:t>
      </w:r>
      <w:r w:rsidRPr="00DD6F7B">
        <w:rPr>
          <w:rFonts w:ascii="Arial" w:hAnsi="Arial" w:cs="Arial"/>
          <w:sz w:val="24"/>
          <w:szCs w:val="24"/>
        </w:rPr>
        <w:t xml:space="preserve"> </w:t>
      </w:r>
    </w:p>
    <w:p w:rsidR="003A3F89" w:rsidRPr="00F613CF" w:rsidRDefault="003E5D50" w:rsidP="003A3F89">
      <w:pPr>
        <w:spacing w:line="240" w:lineRule="auto"/>
        <w:jc w:val="both"/>
        <w:rPr>
          <w:rFonts w:ascii="Arial" w:hAnsi="Arial" w:cs="Arial"/>
          <w:sz w:val="24"/>
          <w:szCs w:val="24"/>
        </w:rPr>
      </w:pPr>
      <w:r w:rsidRPr="00F613CF">
        <w:rPr>
          <w:rFonts w:ascii="Arial" w:hAnsi="Arial" w:cs="Arial"/>
          <w:b/>
          <w:sz w:val="24"/>
          <w:szCs w:val="24"/>
        </w:rPr>
        <w:t>M</w:t>
      </w:r>
      <w:r>
        <w:rPr>
          <w:rFonts w:ascii="Arial" w:hAnsi="Arial" w:cs="Arial"/>
          <w:b/>
          <w:sz w:val="24"/>
          <w:szCs w:val="24"/>
        </w:rPr>
        <w:t>h</w:t>
      </w:r>
      <w:r w:rsidRPr="00F613CF">
        <w:rPr>
          <w:rFonts w:ascii="Arial" w:hAnsi="Arial" w:cs="Arial"/>
          <w:b/>
          <w:sz w:val="24"/>
          <w:szCs w:val="24"/>
        </w:rPr>
        <w:t>z</w:t>
      </w:r>
      <w:r w:rsidR="003A3F89" w:rsidRPr="00F613CF">
        <w:rPr>
          <w:rFonts w:ascii="Arial" w:hAnsi="Arial" w:cs="Arial"/>
          <w:sz w:val="24"/>
          <w:szCs w:val="24"/>
        </w:rPr>
        <w:t xml:space="preserve"> </w:t>
      </w:r>
      <w:r w:rsidR="003A3F89" w:rsidRPr="00F613CF">
        <w:rPr>
          <w:rFonts w:ascii="Arial" w:hAnsi="Arial" w:cs="Arial"/>
          <w:sz w:val="24"/>
          <w:szCs w:val="24"/>
        </w:rPr>
        <w:tab/>
      </w:r>
      <w:r w:rsidR="003A3F89" w:rsidRPr="00F613CF">
        <w:rPr>
          <w:rFonts w:ascii="Arial" w:hAnsi="Arial" w:cs="Arial"/>
          <w:sz w:val="24"/>
          <w:szCs w:val="24"/>
        </w:rPr>
        <w:tab/>
        <w:t>kilohercio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Mhz</w:t>
      </w:r>
      <w:r w:rsidRPr="00F613CF">
        <w:rPr>
          <w:rFonts w:ascii="Arial" w:hAnsi="Arial" w:cs="Arial"/>
          <w:sz w:val="24"/>
          <w:szCs w:val="24"/>
        </w:rPr>
        <w:t xml:space="preserve"> </w:t>
      </w:r>
      <w:r w:rsidRPr="00F613CF">
        <w:rPr>
          <w:rFonts w:ascii="Arial" w:hAnsi="Arial" w:cs="Arial"/>
          <w:sz w:val="24"/>
          <w:szCs w:val="24"/>
        </w:rPr>
        <w:tab/>
      </w:r>
      <w:r w:rsidRPr="00F613CF">
        <w:rPr>
          <w:rFonts w:ascii="Arial" w:hAnsi="Arial" w:cs="Arial"/>
          <w:sz w:val="24"/>
          <w:szCs w:val="24"/>
        </w:rPr>
        <w:tab/>
        <w:t>megahercio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 xml:space="preserve">Ghz </w:t>
      </w:r>
      <w:r w:rsidRPr="00F613CF">
        <w:rPr>
          <w:rFonts w:ascii="Arial" w:hAnsi="Arial" w:cs="Arial"/>
          <w:sz w:val="24"/>
          <w:szCs w:val="24"/>
        </w:rPr>
        <w:tab/>
      </w:r>
      <w:r w:rsidRPr="00F613CF">
        <w:rPr>
          <w:rFonts w:ascii="Arial" w:hAnsi="Arial" w:cs="Arial"/>
          <w:sz w:val="24"/>
          <w:szCs w:val="24"/>
        </w:rPr>
        <w:tab/>
        <w:t>gigahercio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S/m</w:t>
      </w:r>
      <w:r w:rsidRPr="00F613CF">
        <w:rPr>
          <w:rFonts w:ascii="Arial" w:hAnsi="Arial" w:cs="Arial"/>
          <w:sz w:val="24"/>
          <w:szCs w:val="24"/>
        </w:rPr>
        <w:tab/>
      </w:r>
      <w:r w:rsidRPr="00F613CF">
        <w:rPr>
          <w:rFonts w:ascii="Arial" w:hAnsi="Arial" w:cs="Arial"/>
          <w:sz w:val="24"/>
          <w:szCs w:val="24"/>
        </w:rPr>
        <w:tab/>
        <w:t>Siemens por metro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A</w:t>
      </w:r>
      <w:r w:rsidRPr="00F613CF">
        <w:rPr>
          <w:rFonts w:ascii="Arial" w:hAnsi="Arial" w:cs="Arial"/>
          <w:sz w:val="24"/>
          <w:szCs w:val="24"/>
        </w:rPr>
        <w:tab/>
      </w:r>
      <w:r w:rsidRPr="00F613CF">
        <w:rPr>
          <w:rFonts w:ascii="Arial" w:hAnsi="Arial" w:cs="Arial"/>
          <w:sz w:val="24"/>
          <w:szCs w:val="24"/>
        </w:rPr>
        <w:tab/>
        <w:t>Amperio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V/m</w:t>
      </w:r>
      <w:r w:rsidRPr="00F613CF">
        <w:rPr>
          <w:rFonts w:ascii="Arial" w:hAnsi="Arial" w:cs="Arial"/>
          <w:sz w:val="24"/>
          <w:szCs w:val="24"/>
        </w:rPr>
        <w:tab/>
      </w:r>
      <w:r w:rsidRPr="00F613CF">
        <w:rPr>
          <w:rFonts w:ascii="Arial" w:hAnsi="Arial" w:cs="Arial"/>
          <w:sz w:val="24"/>
          <w:szCs w:val="24"/>
        </w:rPr>
        <w:tab/>
        <w:t>Voltio por metro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A/m</w:t>
      </w:r>
      <w:r w:rsidRPr="00F613CF">
        <w:rPr>
          <w:rFonts w:ascii="Arial" w:hAnsi="Arial" w:cs="Arial"/>
          <w:sz w:val="24"/>
          <w:szCs w:val="24"/>
        </w:rPr>
        <w:tab/>
      </w:r>
      <w:r w:rsidRPr="00F613CF">
        <w:rPr>
          <w:rFonts w:ascii="Arial" w:hAnsi="Arial" w:cs="Arial"/>
          <w:sz w:val="24"/>
          <w:szCs w:val="24"/>
        </w:rPr>
        <w:tab/>
        <w:t>Amperio por metro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T</w:t>
      </w:r>
      <w:r w:rsidRPr="00F613CF">
        <w:rPr>
          <w:rFonts w:ascii="Arial" w:hAnsi="Arial" w:cs="Arial"/>
          <w:sz w:val="24"/>
          <w:szCs w:val="24"/>
        </w:rPr>
        <w:tab/>
      </w:r>
      <w:r w:rsidRPr="00F613CF">
        <w:rPr>
          <w:rFonts w:ascii="Arial" w:hAnsi="Arial" w:cs="Arial"/>
          <w:sz w:val="24"/>
          <w:szCs w:val="24"/>
        </w:rPr>
        <w:tab/>
        <w:t>Tesla</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ut</w:t>
      </w:r>
      <w:r w:rsidRPr="00F613CF">
        <w:rPr>
          <w:rFonts w:ascii="Arial" w:hAnsi="Arial" w:cs="Arial"/>
          <w:sz w:val="24"/>
          <w:szCs w:val="24"/>
        </w:rPr>
        <w:tab/>
      </w:r>
      <w:r w:rsidRPr="00F613CF">
        <w:rPr>
          <w:rFonts w:ascii="Arial" w:hAnsi="Arial" w:cs="Arial"/>
          <w:sz w:val="24"/>
          <w:szCs w:val="24"/>
        </w:rPr>
        <w:tab/>
        <w:t>Microtesla</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H/m</w:t>
      </w:r>
      <w:r w:rsidRPr="00F613CF">
        <w:rPr>
          <w:rFonts w:ascii="Arial" w:hAnsi="Arial" w:cs="Arial"/>
          <w:sz w:val="24"/>
          <w:szCs w:val="24"/>
        </w:rPr>
        <w:tab/>
      </w:r>
      <w:r w:rsidRPr="00F613CF">
        <w:rPr>
          <w:rFonts w:ascii="Arial" w:hAnsi="Arial" w:cs="Arial"/>
          <w:sz w:val="24"/>
          <w:szCs w:val="24"/>
        </w:rPr>
        <w:tab/>
        <w:t>Henrio por metro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F/m</w:t>
      </w:r>
      <w:r w:rsidRPr="00F613CF">
        <w:rPr>
          <w:rFonts w:ascii="Arial" w:hAnsi="Arial" w:cs="Arial"/>
          <w:sz w:val="24"/>
          <w:szCs w:val="24"/>
        </w:rPr>
        <w:tab/>
      </w:r>
      <w:r w:rsidRPr="00F613CF">
        <w:rPr>
          <w:rFonts w:ascii="Arial" w:hAnsi="Arial" w:cs="Arial"/>
          <w:sz w:val="24"/>
          <w:szCs w:val="24"/>
        </w:rPr>
        <w:tab/>
        <w:t>Faradio por metro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W/m</w:t>
      </w:r>
      <w:r w:rsidRPr="00F613CF">
        <w:rPr>
          <w:rFonts w:ascii="Arial" w:hAnsi="Arial" w:cs="Arial"/>
          <w:b/>
          <w:sz w:val="24"/>
          <w:szCs w:val="24"/>
          <w:vertAlign w:val="superscript"/>
        </w:rPr>
        <w:t>2</w:t>
      </w:r>
      <w:r w:rsidRPr="00F613CF">
        <w:rPr>
          <w:rFonts w:ascii="Arial" w:hAnsi="Arial" w:cs="Arial"/>
          <w:b/>
          <w:sz w:val="24"/>
          <w:szCs w:val="24"/>
        </w:rPr>
        <w:t xml:space="preserve"> </w:t>
      </w:r>
      <w:r w:rsidRPr="00F613CF">
        <w:rPr>
          <w:rFonts w:ascii="Arial" w:hAnsi="Arial" w:cs="Arial"/>
          <w:b/>
          <w:sz w:val="24"/>
          <w:szCs w:val="24"/>
        </w:rPr>
        <w:tab/>
      </w:r>
      <w:r w:rsidRPr="00F613CF">
        <w:rPr>
          <w:rFonts w:ascii="Arial" w:hAnsi="Arial" w:cs="Arial"/>
          <w:sz w:val="24"/>
          <w:szCs w:val="24"/>
        </w:rPr>
        <w:tab/>
        <w:t>Vatio por metro cuadrado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J/kg</w:t>
      </w:r>
      <w:r w:rsidRPr="00F613CF">
        <w:rPr>
          <w:rFonts w:ascii="Arial" w:hAnsi="Arial" w:cs="Arial"/>
          <w:sz w:val="24"/>
          <w:szCs w:val="24"/>
        </w:rPr>
        <w:tab/>
      </w:r>
      <w:r w:rsidRPr="00F613CF">
        <w:rPr>
          <w:rFonts w:ascii="Arial" w:hAnsi="Arial" w:cs="Arial"/>
          <w:sz w:val="24"/>
          <w:szCs w:val="24"/>
        </w:rPr>
        <w:tab/>
        <w:t>Julio por Kilogramo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W/kg</w:t>
      </w:r>
      <w:r w:rsidRPr="00F613CF">
        <w:rPr>
          <w:rFonts w:ascii="Arial" w:hAnsi="Arial" w:cs="Arial"/>
          <w:sz w:val="24"/>
          <w:szCs w:val="24"/>
        </w:rPr>
        <w:tab/>
      </w:r>
      <w:r w:rsidRPr="00F613CF">
        <w:rPr>
          <w:rFonts w:ascii="Arial" w:hAnsi="Arial" w:cs="Arial"/>
          <w:sz w:val="24"/>
          <w:szCs w:val="24"/>
        </w:rPr>
        <w:tab/>
        <w:t>Vatio por kilogramo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E</w:t>
      </w:r>
      <w:r w:rsidRPr="00F613CF">
        <w:rPr>
          <w:rFonts w:ascii="Arial" w:hAnsi="Arial" w:cs="Arial"/>
          <w:sz w:val="24"/>
          <w:szCs w:val="24"/>
        </w:rPr>
        <w:tab/>
      </w:r>
      <w:r w:rsidRPr="00F613CF">
        <w:rPr>
          <w:rFonts w:ascii="Arial" w:hAnsi="Arial" w:cs="Arial"/>
          <w:sz w:val="24"/>
          <w:szCs w:val="24"/>
        </w:rPr>
        <w:tab/>
        <w:t>Intensidad de campo eléctrico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H</w:t>
      </w:r>
      <w:r w:rsidRPr="00F613CF">
        <w:rPr>
          <w:rFonts w:ascii="Arial" w:hAnsi="Arial" w:cs="Arial"/>
          <w:sz w:val="24"/>
          <w:szCs w:val="24"/>
        </w:rPr>
        <w:tab/>
      </w:r>
      <w:r w:rsidRPr="00F613CF">
        <w:rPr>
          <w:rFonts w:ascii="Arial" w:hAnsi="Arial" w:cs="Arial"/>
          <w:sz w:val="24"/>
          <w:szCs w:val="24"/>
        </w:rPr>
        <w:tab/>
        <w:t>Intensidad de campo magnético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B</w:t>
      </w:r>
      <w:r w:rsidRPr="00F613CF">
        <w:rPr>
          <w:rFonts w:ascii="Arial" w:hAnsi="Arial" w:cs="Arial"/>
          <w:sz w:val="24"/>
          <w:szCs w:val="24"/>
        </w:rPr>
        <w:tab/>
      </w:r>
      <w:r w:rsidRPr="00F613CF">
        <w:rPr>
          <w:rFonts w:ascii="Arial" w:hAnsi="Arial" w:cs="Arial"/>
          <w:sz w:val="24"/>
          <w:szCs w:val="24"/>
        </w:rPr>
        <w:tab/>
        <w:t>Densidad de flujo</w:t>
      </w:r>
    </w:p>
    <w:p w:rsidR="003A3F89" w:rsidRPr="00F613CF"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G</w:t>
      </w:r>
      <w:r w:rsidRPr="00F613CF">
        <w:rPr>
          <w:rFonts w:ascii="Arial" w:hAnsi="Arial" w:cs="Arial"/>
          <w:sz w:val="24"/>
          <w:szCs w:val="24"/>
        </w:rPr>
        <w:tab/>
      </w:r>
      <w:r w:rsidRPr="00F613CF">
        <w:rPr>
          <w:rFonts w:ascii="Arial" w:hAnsi="Arial" w:cs="Arial"/>
          <w:sz w:val="24"/>
          <w:szCs w:val="24"/>
        </w:rPr>
        <w:tab/>
        <w:t>Gauss</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ELF</w:t>
      </w:r>
      <w:r w:rsidRPr="00F613CF">
        <w:rPr>
          <w:rFonts w:ascii="Arial" w:hAnsi="Arial" w:cs="Arial"/>
          <w:sz w:val="24"/>
          <w:szCs w:val="24"/>
          <w:lang w:val="en-US"/>
        </w:rPr>
        <w:tab/>
      </w:r>
      <w:r w:rsidRPr="00F613CF">
        <w:rPr>
          <w:rFonts w:ascii="Arial" w:hAnsi="Arial" w:cs="Arial"/>
          <w:sz w:val="24"/>
          <w:szCs w:val="24"/>
          <w:lang w:val="en-US"/>
        </w:rPr>
        <w:tab/>
        <w:t>Extremely low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SLF</w:t>
      </w:r>
      <w:r w:rsidRPr="00F613CF">
        <w:rPr>
          <w:rFonts w:ascii="Arial" w:hAnsi="Arial" w:cs="Arial"/>
          <w:sz w:val="24"/>
          <w:szCs w:val="24"/>
          <w:lang w:val="en-US"/>
        </w:rPr>
        <w:tab/>
      </w:r>
      <w:r w:rsidRPr="00F613CF">
        <w:rPr>
          <w:rFonts w:ascii="Arial" w:hAnsi="Arial" w:cs="Arial"/>
          <w:sz w:val="24"/>
          <w:szCs w:val="24"/>
          <w:lang w:val="en-US"/>
        </w:rPr>
        <w:tab/>
        <w:t>Super low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ULF</w:t>
      </w:r>
      <w:r w:rsidRPr="00F613CF">
        <w:rPr>
          <w:rFonts w:ascii="Arial" w:hAnsi="Arial" w:cs="Arial"/>
          <w:sz w:val="24"/>
          <w:szCs w:val="24"/>
          <w:lang w:val="en-US"/>
        </w:rPr>
        <w:tab/>
      </w:r>
      <w:r w:rsidRPr="00F613CF">
        <w:rPr>
          <w:rFonts w:ascii="Arial" w:hAnsi="Arial" w:cs="Arial"/>
          <w:sz w:val="24"/>
          <w:szCs w:val="24"/>
          <w:lang w:val="en-US"/>
        </w:rPr>
        <w:tab/>
        <w:t>Ultra low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VLF</w:t>
      </w:r>
      <w:r w:rsidRPr="00F613CF">
        <w:rPr>
          <w:rFonts w:ascii="Arial" w:hAnsi="Arial" w:cs="Arial"/>
          <w:sz w:val="24"/>
          <w:szCs w:val="24"/>
          <w:lang w:val="en-US"/>
        </w:rPr>
        <w:tab/>
      </w:r>
      <w:r w:rsidRPr="00F613CF">
        <w:rPr>
          <w:rFonts w:ascii="Arial" w:hAnsi="Arial" w:cs="Arial"/>
          <w:sz w:val="24"/>
          <w:szCs w:val="24"/>
          <w:lang w:val="en-US"/>
        </w:rPr>
        <w:tab/>
        <w:t>Very low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LF</w:t>
      </w:r>
      <w:r w:rsidRPr="00F613CF">
        <w:rPr>
          <w:rFonts w:ascii="Arial" w:hAnsi="Arial" w:cs="Arial"/>
          <w:sz w:val="24"/>
          <w:szCs w:val="24"/>
          <w:lang w:val="en-US"/>
        </w:rPr>
        <w:tab/>
      </w:r>
      <w:r w:rsidRPr="00F613CF">
        <w:rPr>
          <w:rFonts w:ascii="Arial" w:hAnsi="Arial" w:cs="Arial"/>
          <w:sz w:val="24"/>
          <w:szCs w:val="24"/>
          <w:lang w:val="en-US"/>
        </w:rPr>
        <w:tab/>
        <w:t>Low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MF</w:t>
      </w:r>
      <w:r w:rsidRPr="00F613CF">
        <w:rPr>
          <w:rFonts w:ascii="Arial" w:hAnsi="Arial" w:cs="Arial"/>
          <w:sz w:val="24"/>
          <w:szCs w:val="24"/>
          <w:lang w:val="en-US"/>
        </w:rPr>
        <w:tab/>
      </w:r>
      <w:r w:rsidRPr="00F613CF">
        <w:rPr>
          <w:rFonts w:ascii="Arial" w:hAnsi="Arial" w:cs="Arial"/>
          <w:sz w:val="24"/>
          <w:szCs w:val="24"/>
          <w:lang w:val="en-US"/>
        </w:rPr>
        <w:tab/>
        <w:t>Medium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HF</w:t>
      </w:r>
      <w:r w:rsidRPr="00F613CF">
        <w:rPr>
          <w:rFonts w:ascii="Arial" w:hAnsi="Arial" w:cs="Arial"/>
          <w:sz w:val="24"/>
          <w:szCs w:val="24"/>
          <w:lang w:val="en-US"/>
        </w:rPr>
        <w:tab/>
      </w:r>
      <w:r w:rsidRPr="00F613CF">
        <w:rPr>
          <w:rFonts w:ascii="Arial" w:hAnsi="Arial" w:cs="Arial"/>
          <w:sz w:val="24"/>
          <w:szCs w:val="24"/>
          <w:lang w:val="en-US"/>
        </w:rPr>
        <w:tab/>
        <w:t>High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lastRenderedPageBreak/>
        <w:t>VHF</w:t>
      </w:r>
      <w:r w:rsidRPr="00F613CF">
        <w:rPr>
          <w:rFonts w:ascii="Arial" w:hAnsi="Arial" w:cs="Arial"/>
          <w:sz w:val="24"/>
          <w:szCs w:val="24"/>
          <w:lang w:val="en-US"/>
        </w:rPr>
        <w:tab/>
      </w:r>
      <w:r w:rsidRPr="00F613CF">
        <w:rPr>
          <w:rFonts w:ascii="Arial" w:hAnsi="Arial" w:cs="Arial"/>
          <w:sz w:val="24"/>
          <w:szCs w:val="24"/>
          <w:lang w:val="en-US"/>
        </w:rPr>
        <w:tab/>
        <w:t>Very high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UHF</w:t>
      </w:r>
      <w:r w:rsidRPr="00F613CF">
        <w:rPr>
          <w:rFonts w:ascii="Arial" w:hAnsi="Arial" w:cs="Arial"/>
          <w:sz w:val="24"/>
          <w:szCs w:val="24"/>
          <w:lang w:val="en-US"/>
        </w:rPr>
        <w:tab/>
      </w:r>
      <w:r w:rsidRPr="00F613CF">
        <w:rPr>
          <w:rFonts w:ascii="Arial" w:hAnsi="Arial" w:cs="Arial"/>
          <w:sz w:val="24"/>
          <w:szCs w:val="24"/>
          <w:lang w:val="en-US"/>
        </w:rPr>
        <w:tab/>
        <w:t>Ultra high frequency</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SHF</w:t>
      </w:r>
      <w:r w:rsidRPr="00F613CF">
        <w:rPr>
          <w:rFonts w:ascii="Arial" w:hAnsi="Arial" w:cs="Arial"/>
          <w:sz w:val="24"/>
          <w:szCs w:val="24"/>
          <w:lang w:val="en-US"/>
        </w:rPr>
        <w:tab/>
      </w:r>
      <w:r w:rsidRPr="00F613CF">
        <w:rPr>
          <w:rFonts w:ascii="Arial" w:hAnsi="Arial" w:cs="Arial"/>
          <w:sz w:val="24"/>
          <w:szCs w:val="24"/>
          <w:lang w:val="en-US"/>
        </w:rPr>
        <w:tab/>
        <w:t>Super high frequency</w:t>
      </w:r>
    </w:p>
    <w:p w:rsidR="003A3F89" w:rsidRPr="00475D9F" w:rsidRDefault="003A3F89" w:rsidP="003A3F89">
      <w:pPr>
        <w:pStyle w:val="ListParagraph"/>
        <w:spacing w:line="360" w:lineRule="auto"/>
        <w:ind w:left="0"/>
        <w:jc w:val="both"/>
        <w:rPr>
          <w:rFonts w:ascii="Arial" w:hAnsi="Arial" w:cs="Arial"/>
          <w:sz w:val="24"/>
          <w:szCs w:val="24"/>
          <w:lang w:val="en-US"/>
        </w:rPr>
      </w:pPr>
      <w:r w:rsidRPr="00475D9F">
        <w:rPr>
          <w:rFonts w:ascii="Arial" w:hAnsi="Arial" w:cs="Arial"/>
          <w:b/>
          <w:sz w:val="24"/>
          <w:szCs w:val="24"/>
          <w:lang w:val="en-US"/>
        </w:rPr>
        <w:t>EHF</w:t>
      </w:r>
      <w:r w:rsidRPr="00475D9F">
        <w:rPr>
          <w:rFonts w:ascii="Arial" w:hAnsi="Arial" w:cs="Arial"/>
          <w:sz w:val="24"/>
          <w:szCs w:val="24"/>
          <w:lang w:val="en-US"/>
        </w:rPr>
        <w:tab/>
      </w:r>
      <w:r w:rsidRPr="00475D9F">
        <w:rPr>
          <w:rFonts w:ascii="Arial" w:hAnsi="Arial" w:cs="Arial"/>
          <w:sz w:val="24"/>
          <w:szCs w:val="24"/>
          <w:lang w:val="en-US"/>
        </w:rPr>
        <w:tab/>
        <w:t>Extremely high frequency</w:t>
      </w:r>
    </w:p>
    <w:p w:rsidR="003A3F89" w:rsidRPr="00475D9F" w:rsidRDefault="003A3F89" w:rsidP="003A3F89">
      <w:pPr>
        <w:pStyle w:val="ListParagraph"/>
        <w:spacing w:line="360" w:lineRule="auto"/>
        <w:ind w:left="0"/>
        <w:jc w:val="both"/>
        <w:rPr>
          <w:rFonts w:ascii="Arial" w:eastAsia="Times New Roman" w:hAnsi="Arial" w:cs="Arial"/>
          <w:b/>
          <w:bCs/>
          <w:sz w:val="24"/>
          <w:szCs w:val="24"/>
          <w:lang w:val="en-US"/>
        </w:rPr>
      </w:pPr>
      <w:r w:rsidRPr="00475D9F">
        <w:rPr>
          <w:rFonts w:ascii="Arial" w:hAnsi="Arial" w:cs="Arial"/>
          <w:b/>
          <w:sz w:val="24"/>
          <w:szCs w:val="24"/>
          <w:lang w:val="en-US"/>
        </w:rPr>
        <w:t>BTS</w:t>
      </w:r>
      <w:r w:rsidRPr="00475D9F">
        <w:rPr>
          <w:rFonts w:ascii="Arial" w:hAnsi="Arial" w:cs="Arial"/>
          <w:sz w:val="24"/>
          <w:szCs w:val="24"/>
          <w:lang w:val="en-US"/>
        </w:rPr>
        <w:tab/>
      </w:r>
      <w:r w:rsidRPr="00475D9F">
        <w:rPr>
          <w:rFonts w:ascii="Arial" w:hAnsi="Arial" w:cs="Arial"/>
          <w:sz w:val="24"/>
          <w:szCs w:val="24"/>
          <w:lang w:val="en-US"/>
        </w:rPr>
        <w:tab/>
        <w:t>Base transceiver station</w:t>
      </w:r>
    </w:p>
    <w:p w:rsidR="003A3F89" w:rsidRPr="00475D9F" w:rsidRDefault="003A3F89" w:rsidP="003A3F89">
      <w:pPr>
        <w:pStyle w:val="ListParagraph"/>
        <w:spacing w:line="360" w:lineRule="auto"/>
        <w:ind w:left="0"/>
        <w:jc w:val="both"/>
        <w:rPr>
          <w:rFonts w:ascii="Arial" w:hAnsi="Arial" w:cs="Arial"/>
          <w:sz w:val="24"/>
          <w:szCs w:val="24"/>
          <w:lang w:val="en-US"/>
        </w:rPr>
      </w:pPr>
      <w:r w:rsidRPr="00475D9F">
        <w:rPr>
          <w:rFonts w:ascii="Arial" w:hAnsi="Arial" w:cs="Arial"/>
          <w:b/>
          <w:sz w:val="24"/>
          <w:szCs w:val="24"/>
          <w:lang w:val="en-US"/>
        </w:rPr>
        <w:t>MSC</w:t>
      </w:r>
      <w:r w:rsidRPr="00475D9F">
        <w:rPr>
          <w:rFonts w:ascii="Arial" w:hAnsi="Arial" w:cs="Arial"/>
          <w:sz w:val="24"/>
          <w:szCs w:val="24"/>
          <w:lang w:val="en-US"/>
        </w:rPr>
        <w:tab/>
      </w:r>
      <w:r w:rsidRPr="00475D9F">
        <w:rPr>
          <w:rFonts w:ascii="Arial" w:hAnsi="Arial" w:cs="Arial"/>
          <w:sz w:val="24"/>
          <w:szCs w:val="24"/>
          <w:lang w:val="en-US"/>
        </w:rPr>
        <w:tab/>
        <w:t>Mobile Switching Central</w:t>
      </w:r>
    </w:p>
    <w:p w:rsidR="003A3F89" w:rsidRPr="00F613CF" w:rsidRDefault="003A3F89" w:rsidP="003A3F89">
      <w:pPr>
        <w:pStyle w:val="ListParagraph"/>
        <w:spacing w:line="360" w:lineRule="auto"/>
        <w:ind w:left="0"/>
        <w:jc w:val="both"/>
        <w:rPr>
          <w:rFonts w:ascii="Arial" w:hAnsi="Arial" w:cs="Arial"/>
          <w:b/>
          <w:sz w:val="24"/>
          <w:szCs w:val="24"/>
          <w:lang w:val="en-US"/>
        </w:rPr>
      </w:pPr>
      <w:r w:rsidRPr="00F613CF">
        <w:rPr>
          <w:rFonts w:ascii="Arial" w:hAnsi="Arial" w:cs="Arial"/>
          <w:b/>
          <w:sz w:val="24"/>
          <w:szCs w:val="24"/>
          <w:lang w:val="en-US"/>
        </w:rPr>
        <w:t>SMS</w:t>
      </w:r>
      <w:r w:rsidRPr="00F613CF">
        <w:rPr>
          <w:rFonts w:ascii="Arial" w:hAnsi="Arial" w:cs="Arial"/>
          <w:b/>
          <w:sz w:val="24"/>
          <w:szCs w:val="24"/>
          <w:lang w:val="en-US"/>
        </w:rPr>
        <w:tab/>
      </w:r>
      <w:r w:rsidRPr="00F613CF">
        <w:rPr>
          <w:rFonts w:ascii="Arial" w:hAnsi="Arial" w:cs="Arial"/>
          <w:b/>
          <w:sz w:val="24"/>
          <w:szCs w:val="24"/>
          <w:lang w:val="en-US"/>
        </w:rPr>
        <w:tab/>
      </w:r>
      <w:r w:rsidRPr="00F613CF">
        <w:rPr>
          <w:rFonts w:ascii="Arial" w:hAnsi="Arial" w:cs="Arial"/>
          <w:sz w:val="24"/>
          <w:szCs w:val="24"/>
          <w:lang w:val="en-US"/>
        </w:rPr>
        <w:t>Short Message Service</w:t>
      </w:r>
    </w:p>
    <w:p w:rsidR="003A3F89" w:rsidRPr="00F613CF" w:rsidRDefault="003A3F89" w:rsidP="003A3F89">
      <w:pPr>
        <w:pStyle w:val="ListParagraph"/>
        <w:spacing w:line="360" w:lineRule="auto"/>
        <w:ind w:left="0"/>
        <w:jc w:val="both"/>
        <w:rPr>
          <w:rFonts w:ascii="Arial" w:hAnsi="Arial" w:cs="Arial"/>
          <w:b/>
          <w:sz w:val="24"/>
          <w:szCs w:val="24"/>
          <w:lang w:val="en-US"/>
        </w:rPr>
      </w:pPr>
      <w:r w:rsidRPr="00F613CF">
        <w:rPr>
          <w:rFonts w:ascii="Arial" w:hAnsi="Arial" w:cs="Arial"/>
          <w:b/>
          <w:sz w:val="24"/>
          <w:szCs w:val="24"/>
          <w:lang w:val="en-US"/>
        </w:rPr>
        <w:t>PDA</w:t>
      </w:r>
      <w:r w:rsidRPr="00F613CF">
        <w:rPr>
          <w:rFonts w:ascii="Arial" w:hAnsi="Arial" w:cs="Arial"/>
          <w:b/>
          <w:sz w:val="24"/>
          <w:szCs w:val="24"/>
          <w:lang w:val="en-US"/>
        </w:rPr>
        <w:tab/>
      </w:r>
      <w:r w:rsidRPr="00F613CF">
        <w:rPr>
          <w:rFonts w:ascii="Arial" w:hAnsi="Arial" w:cs="Arial"/>
          <w:b/>
          <w:sz w:val="24"/>
          <w:szCs w:val="24"/>
          <w:lang w:val="en-US"/>
        </w:rPr>
        <w:tab/>
      </w:r>
      <w:r w:rsidRPr="00F613CF">
        <w:rPr>
          <w:rFonts w:ascii="Arial" w:hAnsi="Arial" w:cs="Arial"/>
          <w:iCs/>
          <w:sz w:val="24"/>
          <w:szCs w:val="24"/>
          <w:lang w:val="en-US"/>
        </w:rPr>
        <w:t>Personal Digital Assistant</w:t>
      </w:r>
    </w:p>
    <w:p w:rsidR="003A3F89" w:rsidRPr="00F613CF" w:rsidRDefault="003A3F89" w:rsidP="003A3F89">
      <w:pPr>
        <w:pStyle w:val="ListParagraph"/>
        <w:spacing w:line="360" w:lineRule="auto"/>
        <w:ind w:left="0"/>
        <w:jc w:val="both"/>
        <w:rPr>
          <w:rFonts w:ascii="Arial" w:hAnsi="Arial" w:cs="Arial"/>
          <w:sz w:val="24"/>
          <w:szCs w:val="24"/>
          <w:lang w:val="en-US"/>
        </w:rPr>
      </w:pPr>
      <w:r w:rsidRPr="00F613CF">
        <w:rPr>
          <w:rFonts w:ascii="Arial" w:hAnsi="Arial" w:cs="Arial"/>
          <w:b/>
          <w:sz w:val="24"/>
          <w:szCs w:val="24"/>
          <w:lang w:val="en-US"/>
        </w:rPr>
        <w:t>WLAN </w:t>
      </w:r>
      <w:r w:rsidRPr="00F613CF">
        <w:rPr>
          <w:rFonts w:ascii="Arial" w:hAnsi="Arial" w:cs="Arial"/>
          <w:sz w:val="24"/>
          <w:szCs w:val="24"/>
          <w:lang w:val="en-US"/>
        </w:rPr>
        <w:tab/>
        <w:t>Wireless Local Area Network</w:t>
      </w:r>
    </w:p>
    <w:p w:rsidR="003A3F89" w:rsidRPr="00F613CF" w:rsidRDefault="00985E19" w:rsidP="003A3F89">
      <w:pPr>
        <w:pStyle w:val="ListParagraph"/>
        <w:spacing w:line="360" w:lineRule="auto"/>
        <w:ind w:left="0"/>
        <w:jc w:val="both"/>
        <w:rPr>
          <w:rFonts w:ascii="Arial" w:hAnsi="Arial" w:cs="Arial"/>
          <w:b/>
          <w:sz w:val="24"/>
          <w:szCs w:val="24"/>
          <w:lang w:val="en-US"/>
        </w:rPr>
      </w:pPr>
      <w:hyperlink r:id="rId11" w:tooltip="Red de área local" w:history="1">
        <w:r w:rsidR="003A3F89" w:rsidRPr="00F613CF">
          <w:rPr>
            <w:rFonts w:ascii="Arial" w:hAnsi="Arial" w:cs="Arial"/>
            <w:b/>
            <w:color w:val="000000"/>
            <w:sz w:val="24"/>
            <w:szCs w:val="24"/>
            <w:lang w:val="en-US"/>
          </w:rPr>
          <w:t>LAN</w:t>
        </w:r>
      </w:hyperlink>
      <w:r w:rsidR="003A3F89" w:rsidRPr="00F613CF">
        <w:rPr>
          <w:rFonts w:ascii="Arial" w:hAnsi="Arial" w:cs="Arial"/>
          <w:b/>
          <w:sz w:val="24"/>
          <w:szCs w:val="24"/>
          <w:lang w:val="en-US"/>
        </w:rPr>
        <w:t xml:space="preserve"> </w:t>
      </w:r>
      <w:r w:rsidR="003A3F89">
        <w:rPr>
          <w:rFonts w:ascii="Arial" w:hAnsi="Arial" w:cs="Arial"/>
          <w:b/>
          <w:sz w:val="24"/>
          <w:szCs w:val="24"/>
          <w:lang w:val="en-US"/>
        </w:rPr>
        <w:tab/>
      </w:r>
      <w:r w:rsidR="003A3F89">
        <w:rPr>
          <w:rFonts w:ascii="Arial" w:hAnsi="Arial" w:cs="Arial"/>
          <w:b/>
          <w:sz w:val="24"/>
          <w:szCs w:val="24"/>
          <w:lang w:val="en-US"/>
        </w:rPr>
        <w:tab/>
      </w:r>
      <w:r w:rsidR="003A3F89" w:rsidRPr="00F613CF">
        <w:rPr>
          <w:rFonts w:ascii="Arial" w:hAnsi="Arial" w:cs="Arial"/>
          <w:sz w:val="24"/>
          <w:szCs w:val="24"/>
          <w:lang w:val="en-US"/>
        </w:rPr>
        <w:t>Local Area Network</w:t>
      </w:r>
      <w:r w:rsidR="003A3F89">
        <w:rPr>
          <w:rFonts w:ascii="Arial" w:hAnsi="Arial" w:cs="Arial"/>
          <w:b/>
          <w:sz w:val="24"/>
          <w:szCs w:val="24"/>
          <w:lang w:val="en-US"/>
        </w:rPr>
        <w:t xml:space="preserve"> </w:t>
      </w:r>
      <w:r w:rsidR="003A3F89">
        <w:rPr>
          <w:rFonts w:ascii="Arial" w:hAnsi="Arial" w:cs="Arial"/>
          <w:b/>
          <w:sz w:val="24"/>
          <w:szCs w:val="24"/>
          <w:lang w:val="en-US"/>
        </w:rPr>
        <w:tab/>
      </w:r>
    </w:p>
    <w:p w:rsidR="003A3F89" w:rsidRPr="00F613CF" w:rsidRDefault="003A3F89" w:rsidP="003A3F89">
      <w:pPr>
        <w:pStyle w:val="ListParagraph"/>
        <w:spacing w:line="360" w:lineRule="auto"/>
        <w:ind w:left="0"/>
        <w:jc w:val="both"/>
        <w:rPr>
          <w:rFonts w:ascii="Arial" w:hAnsi="Arial" w:cs="Arial"/>
          <w:b/>
          <w:sz w:val="24"/>
          <w:szCs w:val="24"/>
          <w:lang w:val="en-US"/>
        </w:rPr>
      </w:pPr>
      <w:r w:rsidRPr="00F613CF">
        <w:rPr>
          <w:rFonts w:ascii="Arial" w:hAnsi="Arial" w:cs="Arial"/>
          <w:b/>
          <w:sz w:val="24"/>
          <w:szCs w:val="24"/>
          <w:lang w:val="en-US"/>
        </w:rPr>
        <w:t>WIFI</w:t>
      </w:r>
      <w:r w:rsidRPr="00F613CF">
        <w:rPr>
          <w:rFonts w:ascii="Arial" w:hAnsi="Arial" w:cs="Arial"/>
          <w:b/>
          <w:sz w:val="24"/>
          <w:szCs w:val="24"/>
          <w:lang w:val="en-US"/>
        </w:rPr>
        <w:tab/>
      </w:r>
      <w:r w:rsidRPr="00F613CF">
        <w:rPr>
          <w:rFonts w:ascii="Arial" w:hAnsi="Arial" w:cs="Arial"/>
          <w:b/>
          <w:sz w:val="24"/>
          <w:szCs w:val="24"/>
          <w:lang w:val="en-US"/>
        </w:rPr>
        <w:tab/>
      </w:r>
      <w:r w:rsidRPr="00F613CF">
        <w:rPr>
          <w:rFonts w:ascii="Arial" w:hAnsi="Arial" w:cs="Arial"/>
          <w:sz w:val="24"/>
          <w:szCs w:val="24"/>
          <w:lang w:val="en-US"/>
        </w:rPr>
        <w:t>Wireless Fidelity</w:t>
      </w:r>
      <w:r w:rsidRPr="00F613CF">
        <w:rPr>
          <w:rFonts w:ascii="Arial" w:hAnsi="Arial" w:cs="Arial"/>
          <w:sz w:val="24"/>
          <w:szCs w:val="24"/>
          <w:lang w:val="en-US"/>
        </w:rPr>
        <w:tab/>
      </w:r>
    </w:p>
    <w:p w:rsidR="003A3F89" w:rsidRPr="00F613CF" w:rsidRDefault="003A3F89" w:rsidP="003A3F89">
      <w:pPr>
        <w:pStyle w:val="ListParagraph"/>
        <w:spacing w:line="360" w:lineRule="auto"/>
        <w:ind w:left="0"/>
        <w:jc w:val="both"/>
        <w:rPr>
          <w:rFonts w:ascii="Arial" w:hAnsi="Arial" w:cs="Arial"/>
          <w:b/>
          <w:sz w:val="24"/>
          <w:szCs w:val="24"/>
        </w:rPr>
      </w:pPr>
      <w:r w:rsidRPr="00F613CF">
        <w:rPr>
          <w:rFonts w:ascii="Arial" w:hAnsi="Arial" w:cs="Arial"/>
          <w:b/>
          <w:sz w:val="24"/>
          <w:szCs w:val="24"/>
        </w:rPr>
        <w:t>AM</w:t>
      </w:r>
      <w:r>
        <w:rPr>
          <w:rFonts w:ascii="Arial" w:hAnsi="Arial" w:cs="Arial"/>
          <w:b/>
          <w:sz w:val="24"/>
          <w:szCs w:val="24"/>
        </w:rPr>
        <w:tab/>
      </w:r>
      <w:r>
        <w:rPr>
          <w:rFonts w:ascii="Arial" w:hAnsi="Arial" w:cs="Arial"/>
          <w:b/>
          <w:sz w:val="24"/>
          <w:szCs w:val="24"/>
        </w:rPr>
        <w:tab/>
      </w:r>
      <w:r w:rsidRPr="008E0D15">
        <w:rPr>
          <w:rFonts w:ascii="Arial" w:hAnsi="Arial" w:cs="Arial"/>
          <w:sz w:val="24"/>
          <w:szCs w:val="24"/>
        </w:rPr>
        <w:t>Amplitud Modulada</w:t>
      </w:r>
    </w:p>
    <w:p w:rsidR="003A3F89" w:rsidRPr="008E0D15"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 xml:space="preserve">FM </w:t>
      </w:r>
      <w:r>
        <w:rPr>
          <w:rFonts w:ascii="Arial" w:hAnsi="Arial" w:cs="Arial"/>
          <w:b/>
          <w:sz w:val="24"/>
          <w:szCs w:val="24"/>
        </w:rPr>
        <w:tab/>
      </w:r>
      <w:r>
        <w:rPr>
          <w:rFonts w:ascii="Arial" w:hAnsi="Arial" w:cs="Arial"/>
          <w:b/>
          <w:sz w:val="24"/>
          <w:szCs w:val="24"/>
        </w:rPr>
        <w:tab/>
      </w:r>
      <w:r w:rsidRPr="008E0D15">
        <w:rPr>
          <w:rFonts w:ascii="Arial" w:hAnsi="Arial" w:cs="Arial"/>
          <w:sz w:val="24"/>
          <w:szCs w:val="24"/>
        </w:rPr>
        <w:t>Fase Modulada</w:t>
      </w:r>
    </w:p>
    <w:p w:rsidR="003A3F89" w:rsidRPr="00F613CF" w:rsidRDefault="003A3F89" w:rsidP="003A3F89">
      <w:pPr>
        <w:pStyle w:val="ListParagraph"/>
        <w:spacing w:line="360" w:lineRule="auto"/>
        <w:ind w:left="0"/>
        <w:jc w:val="both"/>
        <w:rPr>
          <w:rFonts w:ascii="Arial" w:hAnsi="Arial" w:cs="Arial"/>
          <w:color w:val="231F20"/>
          <w:sz w:val="24"/>
          <w:szCs w:val="24"/>
        </w:rPr>
      </w:pPr>
      <w:r w:rsidRPr="00F613CF">
        <w:rPr>
          <w:rFonts w:ascii="Arial" w:hAnsi="Arial" w:cs="Arial"/>
          <w:b/>
          <w:sz w:val="24"/>
          <w:szCs w:val="24"/>
        </w:rPr>
        <w:t>OMS</w:t>
      </w:r>
      <w:r w:rsidRPr="00F613CF">
        <w:rPr>
          <w:rFonts w:ascii="Arial" w:hAnsi="Arial" w:cs="Arial"/>
          <w:sz w:val="24"/>
          <w:szCs w:val="24"/>
        </w:rPr>
        <w:tab/>
      </w:r>
      <w:r w:rsidRPr="00F613CF">
        <w:rPr>
          <w:rFonts w:ascii="Arial" w:hAnsi="Arial" w:cs="Arial"/>
          <w:sz w:val="24"/>
          <w:szCs w:val="24"/>
        </w:rPr>
        <w:tab/>
      </w:r>
      <w:r w:rsidRPr="00F613CF">
        <w:rPr>
          <w:rFonts w:ascii="Arial" w:hAnsi="Arial" w:cs="Arial"/>
          <w:color w:val="231F20"/>
          <w:sz w:val="24"/>
          <w:szCs w:val="24"/>
        </w:rPr>
        <w:t xml:space="preserve">Organización Mundial de la Salud </w:t>
      </w:r>
    </w:p>
    <w:p w:rsidR="003A3F89" w:rsidRPr="00E10D93" w:rsidRDefault="003A3F89" w:rsidP="003A3F89">
      <w:pPr>
        <w:pStyle w:val="ListParagraph"/>
        <w:spacing w:line="360" w:lineRule="auto"/>
        <w:ind w:left="0"/>
        <w:jc w:val="both"/>
        <w:rPr>
          <w:rFonts w:ascii="Arial" w:hAnsi="Arial" w:cs="Arial"/>
          <w:color w:val="231F20"/>
          <w:sz w:val="24"/>
          <w:szCs w:val="24"/>
          <w:lang w:val="en-US"/>
        </w:rPr>
      </w:pPr>
      <w:r w:rsidRPr="008E0D15">
        <w:rPr>
          <w:rFonts w:ascii="Arial" w:hAnsi="Arial" w:cs="Arial"/>
          <w:b/>
          <w:color w:val="231F20"/>
          <w:sz w:val="24"/>
          <w:szCs w:val="24"/>
          <w:lang w:val="en-US"/>
        </w:rPr>
        <w:t>CEM</w:t>
      </w:r>
      <w:r>
        <w:rPr>
          <w:rFonts w:ascii="Arial" w:hAnsi="Arial" w:cs="Arial"/>
          <w:b/>
          <w:color w:val="231F20"/>
          <w:sz w:val="24"/>
          <w:szCs w:val="24"/>
          <w:lang w:val="en-US"/>
        </w:rPr>
        <w:tab/>
      </w:r>
      <w:r>
        <w:rPr>
          <w:rFonts w:ascii="Arial" w:hAnsi="Arial" w:cs="Arial"/>
          <w:b/>
          <w:color w:val="231F20"/>
          <w:sz w:val="24"/>
          <w:szCs w:val="24"/>
          <w:lang w:val="en-US"/>
        </w:rPr>
        <w:tab/>
      </w:r>
      <w:r>
        <w:rPr>
          <w:rFonts w:ascii="Arial" w:hAnsi="Arial" w:cs="Arial"/>
          <w:color w:val="231F20"/>
          <w:sz w:val="24"/>
          <w:szCs w:val="24"/>
          <w:lang w:val="en-US"/>
        </w:rPr>
        <w:t>Campo electromagnetic</w:t>
      </w:r>
    </w:p>
    <w:p w:rsidR="003A3F89" w:rsidRPr="00F613CF" w:rsidRDefault="003A3F89" w:rsidP="003A3F89">
      <w:pPr>
        <w:pStyle w:val="ListParagraph"/>
        <w:spacing w:line="360" w:lineRule="auto"/>
        <w:ind w:left="1410" w:hanging="1410"/>
        <w:jc w:val="both"/>
        <w:rPr>
          <w:rFonts w:ascii="Arial" w:hAnsi="Arial" w:cs="Arial"/>
          <w:b/>
          <w:color w:val="000000"/>
          <w:sz w:val="24"/>
          <w:szCs w:val="24"/>
          <w:lang w:val="en-US"/>
        </w:rPr>
      </w:pPr>
      <w:r w:rsidRPr="00F613CF">
        <w:rPr>
          <w:rFonts w:ascii="Arial" w:hAnsi="Arial" w:cs="Arial"/>
          <w:b/>
          <w:color w:val="000000"/>
          <w:sz w:val="24"/>
          <w:szCs w:val="24"/>
          <w:lang w:val="en-US"/>
        </w:rPr>
        <w:t>ICNIRP</w:t>
      </w:r>
      <w:r w:rsidRPr="00F613CF">
        <w:rPr>
          <w:rFonts w:ascii="Arial" w:hAnsi="Arial" w:cs="Arial"/>
          <w:b/>
          <w:color w:val="000000"/>
          <w:sz w:val="24"/>
          <w:szCs w:val="24"/>
          <w:lang w:val="en-US"/>
        </w:rPr>
        <w:tab/>
      </w:r>
      <w:r w:rsidRPr="008E0D15">
        <w:rPr>
          <w:rFonts w:ascii="Arial" w:hAnsi="Arial" w:cs="Arial"/>
          <w:color w:val="000000"/>
          <w:sz w:val="24"/>
          <w:szCs w:val="24"/>
          <w:lang w:val="en-US"/>
        </w:rPr>
        <w:t>I</w:t>
      </w:r>
      <w:r w:rsidRPr="008E0D15">
        <w:rPr>
          <w:rFonts w:ascii="Arial" w:hAnsi="Arial" w:cs="Arial"/>
          <w:bCs/>
          <w:iCs/>
          <w:color w:val="231F20"/>
          <w:sz w:val="24"/>
          <w:szCs w:val="24"/>
          <w:lang w:val="en-US"/>
        </w:rPr>
        <w:t>nternational commission on non-ionizing radiation protection</w:t>
      </w:r>
      <w:r w:rsidRPr="00F613CF">
        <w:rPr>
          <w:rFonts w:ascii="Arial" w:hAnsi="Arial" w:cs="Arial"/>
          <w:b/>
          <w:bCs/>
          <w:color w:val="231F20"/>
          <w:sz w:val="24"/>
          <w:szCs w:val="24"/>
          <w:lang w:val="en-US"/>
        </w:rPr>
        <w:t xml:space="preserve"> </w:t>
      </w:r>
    </w:p>
    <w:p w:rsidR="003A3F89" w:rsidRPr="00F613CF" w:rsidRDefault="003A3F89" w:rsidP="003A3F89">
      <w:pPr>
        <w:pStyle w:val="ListParagraph"/>
        <w:spacing w:line="360" w:lineRule="auto"/>
        <w:ind w:left="0"/>
        <w:jc w:val="both"/>
        <w:rPr>
          <w:rFonts w:ascii="Arial" w:hAnsi="Arial" w:cs="Arial"/>
          <w:color w:val="000000"/>
          <w:sz w:val="24"/>
          <w:szCs w:val="24"/>
        </w:rPr>
      </w:pPr>
      <w:r w:rsidRPr="00F613CF">
        <w:rPr>
          <w:rFonts w:ascii="Arial" w:hAnsi="Arial" w:cs="Arial"/>
          <w:b/>
          <w:color w:val="000000"/>
          <w:sz w:val="24"/>
          <w:szCs w:val="24"/>
        </w:rPr>
        <w:t>RNI</w:t>
      </w:r>
      <w:r w:rsidRPr="00F613CF">
        <w:rPr>
          <w:rFonts w:ascii="Arial" w:hAnsi="Arial" w:cs="Arial"/>
          <w:color w:val="000000"/>
          <w:sz w:val="24"/>
          <w:szCs w:val="24"/>
        </w:rPr>
        <w:tab/>
      </w:r>
      <w:r w:rsidRPr="00F613CF">
        <w:rPr>
          <w:rFonts w:ascii="Arial" w:hAnsi="Arial" w:cs="Arial"/>
          <w:color w:val="000000"/>
          <w:sz w:val="24"/>
          <w:szCs w:val="24"/>
        </w:rPr>
        <w:tab/>
        <w:t>Radiación No Ionizante</w:t>
      </w:r>
    </w:p>
    <w:p w:rsidR="003A3F89" w:rsidRPr="00F613CF" w:rsidRDefault="003A3F89" w:rsidP="003A3F89">
      <w:pPr>
        <w:pStyle w:val="ListParagraph"/>
        <w:spacing w:line="360" w:lineRule="auto"/>
        <w:ind w:left="0"/>
        <w:jc w:val="both"/>
        <w:rPr>
          <w:rStyle w:val="apple-style-span"/>
          <w:rFonts w:ascii="Arial" w:hAnsi="Arial" w:cs="Arial"/>
          <w:bCs/>
          <w:sz w:val="24"/>
          <w:szCs w:val="24"/>
        </w:rPr>
      </w:pPr>
      <w:r w:rsidRPr="00F613CF">
        <w:rPr>
          <w:rStyle w:val="apple-style-span"/>
          <w:rFonts w:ascii="Arial" w:hAnsi="Arial" w:cs="Arial"/>
          <w:b/>
          <w:bCs/>
          <w:sz w:val="24"/>
          <w:szCs w:val="24"/>
        </w:rPr>
        <w:t>UIT</w:t>
      </w:r>
      <w:r w:rsidRPr="00F613CF">
        <w:rPr>
          <w:rStyle w:val="apple-style-span"/>
          <w:rFonts w:ascii="Arial" w:hAnsi="Arial" w:cs="Arial"/>
          <w:bCs/>
          <w:sz w:val="24"/>
          <w:szCs w:val="24"/>
        </w:rPr>
        <w:tab/>
      </w:r>
      <w:r w:rsidRPr="00F613CF">
        <w:rPr>
          <w:rStyle w:val="apple-style-span"/>
          <w:rFonts w:ascii="Arial" w:hAnsi="Arial" w:cs="Arial"/>
          <w:bCs/>
          <w:sz w:val="24"/>
          <w:szCs w:val="24"/>
        </w:rPr>
        <w:tab/>
        <w:t>Unión Internacional de Telecomunicaciones</w:t>
      </w:r>
    </w:p>
    <w:p w:rsidR="003A3F89" w:rsidRPr="00F613CF" w:rsidRDefault="00985E19" w:rsidP="003A3F89">
      <w:pPr>
        <w:pStyle w:val="ListParagraph"/>
        <w:spacing w:line="360" w:lineRule="auto"/>
        <w:ind w:left="0"/>
        <w:jc w:val="both"/>
        <w:rPr>
          <w:rFonts w:ascii="Arial" w:eastAsia="Times New Roman" w:hAnsi="Arial" w:cs="Arial"/>
          <w:sz w:val="24"/>
          <w:szCs w:val="24"/>
          <w:lang w:eastAsia="es-ES"/>
        </w:rPr>
      </w:pPr>
      <w:hyperlink r:id="rId12" w:tooltip="Sector de Normalización de las Telecomunicaciones de la UIT" w:history="1">
        <w:r w:rsidR="003A3F89" w:rsidRPr="00F613CF">
          <w:rPr>
            <w:rFonts w:ascii="Arial" w:eastAsia="Times New Roman" w:hAnsi="Arial" w:cs="Arial"/>
            <w:b/>
            <w:sz w:val="24"/>
            <w:szCs w:val="24"/>
            <w:lang w:eastAsia="es-ES"/>
          </w:rPr>
          <w:t>UIT-T</w:t>
        </w:r>
      </w:hyperlink>
      <w:r w:rsidR="003A3F89" w:rsidRPr="00F613CF">
        <w:rPr>
          <w:rFonts w:ascii="Arial" w:hAnsi="Arial" w:cs="Arial"/>
          <w:sz w:val="24"/>
          <w:szCs w:val="24"/>
        </w:rPr>
        <w:tab/>
      </w:r>
      <w:r w:rsidR="003A3F89" w:rsidRPr="00F613CF">
        <w:rPr>
          <w:rFonts w:ascii="Arial" w:hAnsi="Arial" w:cs="Arial"/>
          <w:sz w:val="24"/>
          <w:szCs w:val="24"/>
        </w:rPr>
        <w:tab/>
      </w:r>
      <w:r w:rsidR="003A3F89" w:rsidRPr="00F613CF">
        <w:rPr>
          <w:rFonts w:ascii="Arial" w:eastAsia="Times New Roman" w:hAnsi="Arial" w:cs="Arial"/>
          <w:sz w:val="24"/>
          <w:szCs w:val="24"/>
          <w:lang w:eastAsia="es-ES"/>
        </w:rPr>
        <w:t xml:space="preserve">Sector de Normalización de las Telecomunicaciones </w:t>
      </w:r>
    </w:p>
    <w:p w:rsidR="003A3F89" w:rsidRPr="00F613CF" w:rsidRDefault="00985E19" w:rsidP="003A3F89">
      <w:pPr>
        <w:pStyle w:val="ListParagraph"/>
        <w:spacing w:line="360" w:lineRule="auto"/>
        <w:ind w:left="0"/>
        <w:jc w:val="both"/>
        <w:rPr>
          <w:rFonts w:ascii="Arial" w:eastAsia="Times New Roman" w:hAnsi="Arial" w:cs="Arial"/>
          <w:sz w:val="24"/>
          <w:szCs w:val="24"/>
          <w:lang w:eastAsia="es-ES"/>
        </w:rPr>
      </w:pPr>
      <w:hyperlink r:id="rId13" w:tooltip="CCIR" w:history="1">
        <w:r w:rsidR="003A3F89" w:rsidRPr="00F613CF">
          <w:rPr>
            <w:rFonts w:ascii="Arial" w:eastAsia="Times New Roman" w:hAnsi="Arial" w:cs="Arial"/>
            <w:b/>
            <w:sz w:val="24"/>
            <w:szCs w:val="24"/>
            <w:lang w:eastAsia="es-ES"/>
          </w:rPr>
          <w:t>UIT-R</w:t>
        </w:r>
      </w:hyperlink>
      <w:r w:rsidR="003A3F89" w:rsidRPr="00F613CF">
        <w:rPr>
          <w:rFonts w:ascii="Arial" w:hAnsi="Arial" w:cs="Arial"/>
          <w:b/>
          <w:sz w:val="24"/>
          <w:szCs w:val="24"/>
        </w:rPr>
        <w:tab/>
      </w:r>
      <w:r w:rsidR="003A3F89" w:rsidRPr="00F613CF">
        <w:rPr>
          <w:rFonts w:ascii="Arial" w:hAnsi="Arial" w:cs="Arial"/>
          <w:sz w:val="24"/>
          <w:szCs w:val="24"/>
        </w:rPr>
        <w:tab/>
      </w:r>
      <w:r w:rsidR="003A3F89" w:rsidRPr="00F613CF">
        <w:rPr>
          <w:rFonts w:ascii="Arial" w:eastAsia="Times New Roman" w:hAnsi="Arial" w:cs="Arial"/>
          <w:sz w:val="24"/>
          <w:szCs w:val="24"/>
          <w:lang w:eastAsia="es-ES"/>
        </w:rPr>
        <w:t xml:space="preserve">Sector de Normalización de las Radiocomunicaciones </w:t>
      </w:r>
    </w:p>
    <w:p w:rsidR="003A3F89" w:rsidRPr="00F613CF" w:rsidRDefault="00985E19" w:rsidP="003A3F89">
      <w:pPr>
        <w:pStyle w:val="ListParagraph"/>
        <w:spacing w:line="360" w:lineRule="auto"/>
        <w:ind w:left="0"/>
        <w:jc w:val="both"/>
        <w:rPr>
          <w:rFonts w:ascii="Arial" w:eastAsia="Times New Roman" w:hAnsi="Arial" w:cs="Arial"/>
          <w:sz w:val="24"/>
          <w:szCs w:val="24"/>
          <w:lang w:eastAsia="es-ES"/>
        </w:rPr>
      </w:pPr>
      <w:hyperlink r:id="rId14" w:tooltip="Sector de Desarrollo de las Telecomunicaciones de la UIT" w:history="1">
        <w:r w:rsidR="003A3F89" w:rsidRPr="00F613CF">
          <w:rPr>
            <w:rFonts w:ascii="Arial" w:eastAsia="Times New Roman" w:hAnsi="Arial" w:cs="Arial"/>
            <w:b/>
            <w:sz w:val="24"/>
            <w:szCs w:val="24"/>
            <w:lang w:eastAsia="es-ES"/>
          </w:rPr>
          <w:t>UIT-D</w:t>
        </w:r>
      </w:hyperlink>
      <w:r w:rsidR="003A3F89" w:rsidRPr="00F613CF">
        <w:rPr>
          <w:rFonts w:ascii="Arial" w:hAnsi="Arial" w:cs="Arial"/>
          <w:b/>
          <w:sz w:val="24"/>
          <w:szCs w:val="24"/>
        </w:rPr>
        <w:tab/>
      </w:r>
      <w:r w:rsidR="003A3F89" w:rsidRPr="00F613CF">
        <w:rPr>
          <w:rFonts w:ascii="Arial" w:hAnsi="Arial" w:cs="Arial"/>
          <w:sz w:val="24"/>
          <w:szCs w:val="24"/>
        </w:rPr>
        <w:tab/>
      </w:r>
      <w:hyperlink r:id="rId15" w:tooltip="Sector de Desarrollo de las Telecomunicaciones de la UIT" w:history="1">
        <w:r w:rsidR="003A3F89" w:rsidRPr="00F613CF">
          <w:rPr>
            <w:rFonts w:ascii="Arial" w:eastAsia="Times New Roman" w:hAnsi="Arial" w:cs="Arial"/>
            <w:sz w:val="24"/>
            <w:szCs w:val="24"/>
            <w:lang w:eastAsia="es-ES"/>
          </w:rPr>
          <w:t>Sector de Desarrollo de las Telecomunicaciones de la UIT</w:t>
        </w:r>
      </w:hyperlink>
      <w:r w:rsidR="003A3F89" w:rsidRPr="00F613CF">
        <w:rPr>
          <w:rFonts w:ascii="Arial" w:eastAsia="Times New Roman" w:hAnsi="Arial" w:cs="Arial"/>
          <w:sz w:val="24"/>
          <w:szCs w:val="24"/>
          <w:lang w:eastAsia="es-ES"/>
        </w:rPr>
        <w:t> </w:t>
      </w:r>
    </w:p>
    <w:p w:rsidR="003A3F89" w:rsidRPr="008E0D15" w:rsidRDefault="003A3F89" w:rsidP="003A3F89">
      <w:pPr>
        <w:pStyle w:val="ListParagraph"/>
        <w:spacing w:line="360" w:lineRule="auto"/>
        <w:ind w:left="0"/>
        <w:jc w:val="both"/>
        <w:rPr>
          <w:rFonts w:eastAsia="Times New Roman"/>
          <w:lang w:eastAsia="es-ES"/>
        </w:rPr>
      </w:pPr>
      <w:r w:rsidRPr="00F613CF">
        <w:rPr>
          <w:rStyle w:val="apple-style-span"/>
          <w:rFonts w:ascii="Arial" w:hAnsi="Arial" w:cs="Arial"/>
          <w:b/>
          <w:sz w:val="24"/>
          <w:szCs w:val="24"/>
        </w:rPr>
        <w:t>CENELEC</w:t>
      </w:r>
      <w:r>
        <w:rPr>
          <w:rStyle w:val="apple-style-span"/>
          <w:rFonts w:ascii="Arial" w:hAnsi="Arial" w:cs="Arial"/>
          <w:b/>
          <w:sz w:val="24"/>
          <w:szCs w:val="24"/>
        </w:rPr>
        <w:tab/>
      </w:r>
      <w:r w:rsidRPr="008E0D15">
        <w:rPr>
          <w:rFonts w:ascii="Arial" w:eastAsia="Times New Roman" w:hAnsi="Arial" w:cs="Arial"/>
          <w:sz w:val="24"/>
          <w:szCs w:val="24"/>
          <w:lang w:eastAsia="es-ES"/>
        </w:rPr>
        <w:t>Comité Europeo de Normalización Electrotécnica</w:t>
      </w:r>
      <w:r w:rsidRPr="008E0D15">
        <w:rPr>
          <w:rFonts w:eastAsia="Times New Roman"/>
          <w:lang w:eastAsia="es-ES"/>
        </w:rPr>
        <w:t xml:space="preserve"> </w:t>
      </w:r>
    </w:p>
    <w:p w:rsidR="003A3F89" w:rsidRPr="00C55078" w:rsidRDefault="003A3F89" w:rsidP="003A3F89">
      <w:pPr>
        <w:pStyle w:val="ListParagraph"/>
        <w:spacing w:line="360" w:lineRule="auto"/>
        <w:ind w:left="0"/>
        <w:jc w:val="both"/>
        <w:rPr>
          <w:rFonts w:eastAsia="Times New Roman"/>
          <w:lang w:eastAsia="es-ES"/>
        </w:rPr>
      </w:pPr>
      <w:r w:rsidRPr="00F613CF">
        <w:rPr>
          <w:rStyle w:val="apple-style-span"/>
          <w:rFonts w:ascii="Arial" w:hAnsi="Arial" w:cs="Arial"/>
          <w:b/>
          <w:color w:val="000000"/>
          <w:sz w:val="24"/>
          <w:szCs w:val="24"/>
        </w:rPr>
        <w:t xml:space="preserve">SAR </w:t>
      </w:r>
      <w:r>
        <w:rPr>
          <w:rStyle w:val="apple-style-span"/>
          <w:rFonts w:ascii="Arial" w:hAnsi="Arial" w:cs="Arial"/>
          <w:b/>
          <w:color w:val="000000"/>
          <w:sz w:val="24"/>
          <w:szCs w:val="24"/>
        </w:rPr>
        <w:tab/>
      </w:r>
      <w:r>
        <w:rPr>
          <w:rStyle w:val="apple-style-span"/>
          <w:rFonts w:ascii="Arial" w:hAnsi="Arial" w:cs="Arial"/>
          <w:b/>
          <w:color w:val="000000"/>
          <w:sz w:val="24"/>
          <w:szCs w:val="24"/>
        </w:rPr>
        <w:tab/>
      </w:r>
      <w:r w:rsidRPr="00C55078">
        <w:rPr>
          <w:rFonts w:ascii="Arial" w:eastAsia="Times New Roman" w:hAnsi="Arial" w:cs="Arial"/>
          <w:sz w:val="24"/>
          <w:szCs w:val="24"/>
          <w:lang w:eastAsia="es-ES"/>
        </w:rPr>
        <w:t>Specific Absorption Rate</w:t>
      </w:r>
    </w:p>
    <w:p w:rsidR="003A3F89" w:rsidRDefault="003A3F89" w:rsidP="003A3F89">
      <w:pPr>
        <w:pStyle w:val="ListParagraph"/>
        <w:spacing w:line="360" w:lineRule="auto"/>
        <w:ind w:left="0"/>
        <w:jc w:val="both"/>
        <w:rPr>
          <w:rFonts w:ascii="Arial" w:hAnsi="Arial" w:cs="Arial"/>
          <w:sz w:val="24"/>
          <w:szCs w:val="24"/>
        </w:rPr>
      </w:pPr>
      <w:r w:rsidRPr="00F613CF">
        <w:rPr>
          <w:rFonts w:ascii="Arial" w:hAnsi="Arial" w:cs="Arial"/>
          <w:b/>
          <w:sz w:val="24"/>
          <w:szCs w:val="24"/>
        </w:rPr>
        <w:t>RBW</w:t>
      </w:r>
      <w:r w:rsidRPr="00F613CF">
        <w:rPr>
          <w:rFonts w:ascii="Arial" w:hAnsi="Arial" w:cs="Arial"/>
          <w:sz w:val="24"/>
          <w:szCs w:val="24"/>
        </w:rPr>
        <w:t xml:space="preserve"> </w:t>
      </w:r>
      <w:r w:rsidRPr="00F613CF">
        <w:rPr>
          <w:rFonts w:ascii="Arial" w:hAnsi="Arial" w:cs="Arial"/>
          <w:sz w:val="24"/>
          <w:szCs w:val="24"/>
        </w:rPr>
        <w:tab/>
      </w:r>
      <w:r w:rsidRPr="00F613CF">
        <w:rPr>
          <w:rFonts w:ascii="Arial" w:hAnsi="Arial" w:cs="Arial"/>
          <w:sz w:val="24"/>
          <w:szCs w:val="24"/>
        </w:rPr>
        <w:tab/>
      </w:r>
      <w:r>
        <w:rPr>
          <w:rFonts w:ascii="Arial" w:hAnsi="Arial" w:cs="Arial"/>
          <w:sz w:val="24"/>
          <w:szCs w:val="24"/>
        </w:rPr>
        <w:t>R</w:t>
      </w:r>
      <w:r w:rsidRPr="00F613CF">
        <w:rPr>
          <w:rFonts w:ascii="Arial" w:hAnsi="Arial" w:cs="Arial"/>
          <w:sz w:val="24"/>
          <w:szCs w:val="24"/>
        </w:rPr>
        <w:t xml:space="preserve">esolución de Ancho de Banda </w:t>
      </w:r>
    </w:p>
    <w:p w:rsidR="003A3F89" w:rsidRPr="00475D9F" w:rsidRDefault="003A3F89" w:rsidP="003A3F89">
      <w:pPr>
        <w:pStyle w:val="ListParagraph"/>
        <w:spacing w:line="360" w:lineRule="auto"/>
        <w:ind w:left="0"/>
        <w:jc w:val="both"/>
        <w:rPr>
          <w:rFonts w:ascii="Arial" w:hAnsi="Arial" w:cs="Arial"/>
          <w:sz w:val="32"/>
          <w:szCs w:val="32"/>
          <w:lang w:val="en-US"/>
        </w:rPr>
      </w:pPr>
      <w:r w:rsidRPr="00475D9F">
        <w:rPr>
          <w:rFonts w:ascii="Arial" w:hAnsi="Arial" w:cs="Arial"/>
          <w:b/>
          <w:sz w:val="24"/>
          <w:szCs w:val="24"/>
          <w:lang w:val="en-US"/>
        </w:rPr>
        <w:t>GSM</w:t>
      </w:r>
      <w:r w:rsidRPr="00475D9F">
        <w:rPr>
          <w:rFonts w:ascii="Arial" w:hAnsi="Arial" w:cs="Arial"/>
          <w:b/>
          <w:sz w:val="24"/>
          <w:szCs w:val="24"/>
          <w:lang w:val="en-US"/>
        </w:rPr>
        <w:tab/>
      </w:r>
      <w:r w:rsidRPr="00475D9F">
        <w:rPr>
          <w:rFonts w:ascii="Arial" w:hAnsi="Arial" w:cs="Arial"/>
          <w:b/>
          <w:sz w:val="24"/>
          <w:szCs w:val="24"/>
          <w:lang w:val="en-US"/>
        </w:rPr>
        <w:tab/>
      </w:r>
      <w:r w:rsidRPr="00475D9F">
        <w:rPr>
          <w:rFonts w:ascii="Arial" w:hAnsi="Arial" w:cs="Arial"/>
          <w:sz w:val="24"/>
          <w:szCs w:val="24"/>
          <w:lang w:val="en-US"/>
        </w:rPr>
        <w:t>Global System for Mobile communications</w:t>
      </w:r>
    </w:p>
    <w:p w:rsidR="003A3F89" w:rsidRDefault="003A3F89" w:rsidP="003A3F89">
      <w:pPr>
        <w:pStyle w:val="TOCHeading"/>
        <w:spacing w:line="360" w:lineRule="auto"/>
        <w:jc w:val="center"/>
        <w:rPr>
          <w:rFonts w:ascii="Arial" w:hAnsi="Arial" w:cs="Arial"/>
          <w:color w:val="auto"/>
          <w:sz w:val="32"/>
          <w:szCs w:val="32"/>
          <w:lang w:val="en-US"/>
        </w:rPr>
      </w:pPr>
    </w:p>
    <w:p w:rsidR="003A3F89" w:rsidRPr="00CD34BB" w:rsidRDefault="003A3F89" w:rsidP="003A3F89">
      <w:pPr>
        <w:rPr>
          <w:lang w:val="en-US"/>
        </w:rPr>
      </w:pPr>
    </w:p>
    <w:p w:rsidR="003A3F89" w:rsidRPr="007645D5" w:rsidRDefault="003A3F89" w:rsidP="003A3F89">
      <w:pPr>
        <w:pStyle w:val="TOCHeading"/>
        <w:spacing w:line="360" w:lineRule="auto"/>
        <w:jc w:val="center"/>
        <w:rPr>
          <w:rFonts w:ascii="Arial" w:hAnsi="Arial" w:cs="Arial"/>
          <w:color w:val="auto"/>
          <w:sz w:val="24"/>
          <w:szCs w:val="24"/>
        </w:rPr>
      </w:pPr>
      <w:r w:rsidRPr="007645D5">
        <w:rPr>
          <w:rFonts w:ascii="Arial" w:hAnsi="Arial" w:cs="Arial"/>
          <w:color w:val="auto"/>
          <w:sz w:val="32"/>
          <w:szCs w:val="24"/>
        </w:rPr>
        <w:lastRenderedPageBreak/>
        <w:t>ÍNDICE DE FIGURAS</w:t>
      </w:r>
    </w:p>
    <w:p w:rsidR="003A3F89" w:rsidRPr="007645D5" w:rsidRDefault="003A3F89" w:rsidP="003A3F89">
      <w:pPr>
        <w:spacing w:line="360" w:lineRule="auto"/>
        <w:rPr>
          <w:rFonts w:ascii="Arial" w:hAnsi="Arial" w:cs="Arial"/>
          <w:sz w:val="24"/>
          <w:szCs w:val="24"/>
        </w:rPr>
      </w:pPr>
    </w:p>
    <w:p w:rsidR="003A3F89" w:rsidRPr="007645D5" w:rsidRDefault="003A3F89" w:rsidP="003A3F89">
      <w:pPr>
        <w:spacing w:line="360" w:lineRule="auto"/>
        <w:rPr>
          <w:rFonts w:ascii="Arial" w:hAnsi="Arial" w:cs="Arial"/>
          <w:sz w:val="24"/>
          <w:szCs w:val="24"/>
        </w:rPr>
      </w:pP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1.1 Representación de los Campos Eléctricos</w:t>
      </w:r>
      <w:r w:rsidRPr="007645D5">
        <w:rPr>
          <w:rFonts w:ascii="Arial" w:hAnsi="Arial" w:cs="Arial"/>
          <w:sz w:val="24"/>
          <w:szCs w:val="24"/>
        </w:rPr>
        <w:tab/>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1.2 Representación de los Campos Magnéticos</w:t>
      </w:r>
      <w:r w:rsidRPr="007645D5">
        <w:rPr>
          <w:rFonts w:ascii="Arial" w:hAnsi="Arial" w:cs="Arial"/>
          <w:sz w:val="24"/>
          <w:szCs w:val="24"/>
        </w:rPr>
        <w:tab/>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1.3 Espectro Electromagnético</w:t>
      </w:r>
      <w:r w:rsidRPr="007645D5">
        <w:rPr>
          <w:rFonts w:ascii="Arial" w:hAnsi="Arial" w:cs="Arial"/>
          <w:sz w:val="24"/>
          <w:szCs w:val="24"/>
        </w:rPr>
        <w:tab/>
        <w:t>1</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1.4 Representación de radiación ionizante con un fotón</w:t>
      </w:r>
      <w:r w:rsidRPr="007645D5">
        <w:rPr>
          <w:rFonts w:ascii="Arial" w:hAnsi="Arial" w:cs="Arial"/>
          <w:sz w:val="24"/>
          <w:szCs w:val="24"/>
        </w:rPr>
        <w:tab/>
        <w:t>1</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1.5 Espectro de radiaciones ionizantes y no ionizantes</w:t>
      </w:r>
      <w:r w:rsidRPr="007645D5">
        <w:rPr>
          <w:rFonts w:ascii="Arial" w:hAnsi="Arial" w:cs="Arial"/>
          <w:sz w:val="24"/>
          <w:szCs w:val="24"/>
        </w:rPr>
        <w:tab/>
        <w:t>1</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1.6 Partes del teléfono móvil</w:t>
      </w:r>
      <w:r w:rsidRPr="007645D5">
        <w:rPr>
          <w:rFonts w:ascii="Arial" w:hAnsi="Arial" w:cs="Arial"/>
          <w:sz w:val="24"/>
          <w:szCs w:val="24"/>
        </w:rPr>
        <w:tab/>
      </w:r>
      <w:r>
        <w:rPr>
          <w:rFonts w:ascii="Arial" w:hAnsi="Arial" w:cs="Arial"/>
          <w:sz w:val="24"/>
          <w:szCs w:val="24"/>
        </w:rPr>
        <w:t>19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1.7 Celdas con su respectiva estación base</w:t>
      </w:r>
      <w:r w:rsidRPr="007645D5">
        <w:rPr>
          <w:rFonts w:ascii="Arial" w:hAnsi="Arial" w:cs="Arial"/>
          <w:sz w:val="24"/>
          <w:szCs w:val="24"/>
        </w:rPr>
        <w:tab/>
        <w:t>2</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1.8 Estación base y antenas Telefonía Móvil </w:t>
      </w:r>
      <w:r w:rsidRPr="007645D5">
        <w:rPr>
          <w:rFonts w:ascii="Arial" w:hAnsi="Arial" w:cs="Arial"/>
          <w:sz w:val="24"/>
          <w:szCs w:val="24"/>
        </w:rPr>
        <w:tab/>
        <w:t>2</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1.9 Evolución del número de usuarios de telefonía móvil según el estándar que emplean</w:t>
      </w:r>
      <w:r w:rsidRPr="007645D5">
        <w:rPr>
          <w:rFonts w:ascii="Arial" w:hAnsi="Arial" w:cs="Arial"/>
          <w:sz w:val="24"/>
          <w:szCs w:val="24"/>
        </w:rPr>
        <w:tab/>
        <w:t>2</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1.10 Frecuencias concesionadas Telefonía Móvil en Ecuador, Banda 800 MHz</w:t>
      </w:r>
      <w:r w:rsidRPr="007645D5">
        <w:rPr>
          <w:rFonts w:ascii="Arial" w:hAnsi="Arial" w:cs="Arial"/>
          <w:sz w:val="24"/>
          <w:szCs w:val="24"/>
        </w:rPr>
        <w:tab/>
        <w:t>2</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1.11 Frecuencias concesionadas Telefonía Móvil en Ecuador, Banda 1900 MHz</w:t>
      </w:r>
      <w:r w:rsidRPr="007645D5">
        <w:rPr>
          <w:rFonts w:ascii="Arial" w:hAnsi="Arial" w:cs="Arial"/>
          <w:sz w:val="24"/>
          <w:szCs w:val="24"/>
        </w:rPr>
        <w:tab/>
        <w:t>2</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1.12 Ejemplo de Red Wireless LAN </w:t>
      </w:r>
      <w:r w:rsidRPr="007645D5">
        <w:rPr>
          <w:rFonts w:ascii="Arial" w:hAnsi="Arial" w:cs="Arial"/>
          <w:sz w:val="24"/>
          <w:szCs w:val="24"/>
        </w:rPr>
        <w:tab/>
        <w:t>2</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1.13 Punto de Acceso WLAN de Red ESPOL </w:t>
      </w:r>
      <w:r w:rsidRPr="007645D5">
        <w:rPr>
          <w:rFonts w:ascii="Arial" w:hAnsi="Arial" w:cs="Arial"/>
          <w:sz w:val="24"/>
          <w:szCs w:val="24"/>
        </w:rPr>
        <w:tab/>
        <w:t>2</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1.14 Espectro Radio FM 88-108 MHZ </w:t>
      </w:r>
      <w:r w:rsidRPr="007645D5">
        <w:rPr>
          <w:rFonts w:ascii="Arial" w:hAnsi="Arial" w:cs="Arial"/>
          <w:sz w:val="24"/>
          <w:szCs w:val="24"/>
        </w:rPr>
        <w:tab/>
        <w:t>3</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1.15 Espectro TV Abierta 54-72 MHZ </w:t>
      </w:r>
      <w:r w:rsidRPr="007645D5">
        <w:rPr>
          <w:rFonts w:ascii="Arial" w:hAnsi="Arial" w:cs="Arial"/>
          <w:sz w:val="24"/>
          <w:szCs w:val="24"/>
        </w:rPr>
        <w:tab/>
        <w:t>3</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1.16 Espectro TV Abierta 174-216 MHZ </w:t>
      </w:r>
      <w:r w:rsidRPr="007645D5">
        <w:rPr>
          <w:rFonts w:ascii="Arial" w:hAnsi="Arial" w:cs="Arial"/>
          <w:sz w:val="24"/>
          <w:szCs w:val="24"/>
        </w:rPr>
        <w:tab/>
        <w:t>3</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1.17 Espectro TV Abierta 500-608 MHZ </w:t>
      </w:r>
      <w:r w:rsidRPr="007645D5">
        <w:rPr>
          <w:rFonts w:ascii="Arial" w:hAnsi="Arial" w:cs="Arial"/>
          <w:sz w:val="24"/>
          <w:szCs w:val="24"/>
        </w:rPr>
        <w:tab/>
        <w:t>3</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1.18 Espectro TV Abierta 644-686 MHZ</w:t>
      </w:r>
      <w:r w:rsidRPr="007645D5">
        <w:rPr>
          <w:rFonts w:ascii="Arial" w:hAnsi="Arial" w:cs="Arial"/>
          <w:sz w:val="24"/>
          <w:szCs w:val="24"/>
        </w:rPr>
        <w:tab/>
        <w:t>3</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lastRenderedPageBreak/>
        <w:t>Figura 2.1 Representación  de los límites de exposición a campo electromagnético</w:t>
      </w:r>
      <w:r w:rsidRPr="007645D5">
        <w:rPr>
          <w:rFonts w:ascii="Arial" w:hAnsi="Arial" w:cs="Arial"/>
          <w:sz w:val="24"/>
          <w:szCs w:val="24"/>
        </w:rPr>
        <w:tab/>
        <w:t>4</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2.2 Limites de exposición poblacional E [V/m] Vs f [Hz].</w:t>
      </w:r>
      <w:r w:rsidRPr="007645D5">
        <w:rPr>
          <w:rFonts w:ascii="Arial" w:hAnsi="Arial" w:cs="Arial"/>
          <w:sz w:val="24"/>
          <w:szCs w:val="24"/>
        </w:rPr>
        <w:tab/>
        <w:t>4</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2.3 Limites de exposición ocupacional E [V/m] Vs f [Hz].</w:t>
      </w:r>
      <w:r w:rsidRPr="007645D5">
        <w:rPr>
          <w:rFonts w:ascii="Arial" w:hAnsi="Arial" w:cs="Arial"/>
          <w:sz w:val="24"/>
          <w:szCs w:val="24"/>
        </w:rPr>
        <w:tab/>
        <w:t>4</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Figura 2.4 Niveles de Referencia campo eléctrico, magnético y densidad de potencia, para exposición </w:t>
      </w:r>
      <w:r w:rsidR="00F561BF">
        <w:rPr>
          <w:rFonts w:ascii="Arial" w:hAnsi="Arial" w:cs="Arial"/>
          <w:sz w:val="24"/>
          <w:szCs w:val="24"/>
        </w:rPr>
        <w:t>ocup</w:t>
      </w:r>
      <w:r w:rsidR="00F561BF" w:rsidRPr="007645D5">
        <w:rPr>
          <w:rFonts w:ascii="Arial" w:hAnsi="Arial" w:cs="Arial"/>
          <w:sz w:val="24"/>
          <w:szCs w:val="24"/>
        </w:rPr>
        <w:t>acional</w:t>
      </w:r>
      <w:r w:rsidRPr="007645D5">
        <w:rPr>
          <w:rFonts w:ascii="Arial" w:hAnsi="Arial" w:cs="Arial"/>
          <w:sz w:val="24"/>
          <w:szCs w:val="24"/>
        </w:rPr>
        <w:tab/>
        <w:t>4</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2.5 Niveles de Referencia campo eléctrico, magnético y densidad d</w:t>
      </w:r>
      <w:r w:rsidR="00F561BF">
        <w:rPr>
          <w:rFonts w:ascii="Arial" w:hAnsi="Arial" w:cs="Arial"/>
          <w:sz w:val="24"/>
          <w:szCs w:val="24"/>
        </w:rPr>
        <w:t>e potencia, para exposición poblac</w:t>
      </w:r>
      <w:r w:rsidR="00F561BF" w:rsidRPr="007645D5">
        <w:rPr>
          <w:rFonts w:ascii="Arial" w:hAnsi="Arial" w:cs="Arial"/>
          <w:sz w:val="24"/>
          <w:szCs w:val="24"/>
        </w:rPr>
        <w:t>ional</w:t>
      </w:r>
      <w:r w:rsidRPr="007645D5">
        <w:rPr>
          <w:rFonts w:ascii="Arial" w:hAnsi="Arial" w:cs="Arial"/>
          <w:sz w:val="24"/>
          <w:szCs w:val="24"/>
        </w:rPr>
        <w:t>.</w:t>
      </w:r>
      <w:r w:rsidRPr="007645D5">
        <w:rPr>
          <w:rFonts w:ascii="Arial" w:hAnsi="Arial" w:cs="Arial"/>
          <w:sz w:val="24"/>
          <w:szCs w:val="24"/>
        </w:rPr>
        <w:tab/>
        <w:t>4</w:t>
      </w:r>
      <w:r w:rsidR="00EF4C0A">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2.6 Niveles de referencia de intensidad de campo eléctrico para exposición poblacional de rangos de frecuencia a analizar</w:t>
      </w:r>
      <w:r w:rsidRPr="007645D5">
        <w:rPr>
          <w:rFonts w:ascii="Arial" w:hAnsi="Arial" w:cs="Arial"/>
          <w:sz w:val="24"/>
          <w:szCs w:val="24"/>
        </w:rPr>
        <w:tab/>
        <w:t>4</w:t>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3.1 Localización de las tres alturas para cada punto de investigación</w:t>
      </w:r>
      <w:r w:rsidRPr="007645D5">
        <w:rPr>
          <w:rFonts w:ascii="Arial" w:hAnsi="Arial" w:cs="Arial"/>
          <w:sz w:val="24"/>
          <w:szCs w:val="24"/>
        </w:rPr>
        <w:tab/>
      </w:r>
      <w:r w:rsidRPr="007645D5">
        <w:rPr>
          <w:rFonts w:ascii="Arial" w:hAnsi="Arial" w:cs="Arial"/>
          <w:sz w:val="24"/>
          <w:szCs w:val="24"/>
        </w:rPr>
        <w:tab/>
        <w:t>6</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3.2 Representación del método de evaluación de volumen</w:t>
      </w:r>
      <w:r w:rsidRPr="007645D5">
        <w:rPr>
          <w:rFonts w:ascii="Arial" w:hAnsi="Arial" w:cs="Arial"/>
          <w:sz w:val="24"/>
          <w:szCs w:val="24"/>
        </w:rPr>
        <w:tab/>
        <w:t>6</w:t>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3.3 Representación la instrumentación de medición 1 con el equipo NARDA SRM 3000</w:t>
      </w:r>
      <w:r w:rsidRPr="007645D5">
        <w:rPr>
          <w:rFonts w:ascii="Arial" w:hAnsi="Arial" w:cs="Arial"/>
          <w:sz w:val="24"/>
          <w:szCs w:val="24"/>
        </w:rPr>
        <w:tab/>
      </w:r>
      <w:r>
        <w:rPr>
          <w:rFonts w:ascii="Arial" w:hAnsi="Arial" w:cs="Arial"/>
          <w:sz w:val="24"/>
          <w:szCs w:val="24"/>
        </w:rPr>
        <w:t>69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3.4 Equipo Narda SRM 3000</w:t>
      </w:r>
      <w:r w:rsidRPr="007645D5">
        <w:rPr>
          <w:rFonts w:ascii="Arial" w:hAnsi="Arial" w:cs="Arial"/>
          <w:sz w:val="24"/>
          <w:szCs w:val="24"/>
        </w:rPr>
        <w:tab/>
        <w:t>7</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3.5 Antena Triaxial del SRM 3000, con cable adaptador RF</w:t>
      </w:r>
      <w:r w:rsidRPr="007645D5">
        <w:rPr>
          <w:rFonts w:ascii="Arial" w:hAnsi="Arial" w:cs="Arial"/>
          <w:sz w:val="24"/>
          <w:szCs w:val="24"/>
        </w:rPr>
        <w:tab/>
        <w:t>7</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3.6 Imagen de la pantalla principal en modo Spectrum Analyzer, Narda SRM 3000</w:t>
      </w:r>
      <w:r w:rsidRPr="007645D5">
        <w:rPr>
          <w:rFonts w:ascii="Arial" w:hAnsi="Arial" w:cs="Arial"/>
          <w:sz w:val="24"/>
          <w:szCs w:val="24"/>
        </w:rPr>
        <w:tab/>
        <w:t>7</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3.7 Imagen de la pantalla Narda SRM 3000 luego</w:t>
      </w:r>
      <w:r>
        <w:rPr>
          <w:rFonts w:ascii="Arial" w:hAnsi="Arial" w:cs="Arial"/>
          <w:sz w:val="24"/>
          <w:szCs w:val="24"/>
        </w:rPr>
        <w:t xml:space="preserve"> </w:t>
      </w:r>
      <w:r w:rsidRPr="007645D5">
        <w:rPr>
          <w:rFonts w:ascii="Arial" w:hAnsi="Arial" w:cs="Arial"/>
          <w:sz w:val="24"/>
          <w:szCs w:val="24"/>
        </w:rPr>
        <w:t xml:space="preserve"> de</w:t>
      </w:r>
      <w:r>
        <w:rPr>
          <w:rFonts w:ascii="Arial" w:hAnsi="Arial" w:cs="Arial"/>
          <w:sz w:val="24"/>
          <w:szCs w:val="24"/>
        </w:rPr>
        <w:t xml:space="preserve"> </w:t>
      </w:r>
      <w:r w:rsidRPr="007645D5">
        <w:rPr>
          <w:rFonts w:ascii="Arial" w:hAnsi="Arial" w:cs="Arial"/>
          <w:sz w:val="24"/>
          <w:szCs w:val="24"/>
        </w:rPr>
        <w:t xml:space="preserve"> aplicar </w:t>
      </w:r>
      <w:r>
        <w:rPr>
          <w:rFonts w:ascii="Arial" w:hAnsi="Arial" w:cs="Arial"/>
          <w:sz w:val="24"/>
          <w:szCs w:val="24"/>
        </w:rPr>
        <w:t xml:space="preserve"> </w:t>
      </w:r>
      <w:r w:rsidRPr="007645D5">
        <w:rPr>
          <w:rFonts w:ascii="Arial" w:hAnsi="Arial" w:cs="Arial"/>
          <w:sz w:val="24"/>
          <w:szCs w:val="24"/>
        </w:rPr>
        <w:t>los</w:t>
      </w:r>
      <w:r>
        <w:rPr>
          <w:rFonts w:ascii="Arial" w:hAnsi="Arial" w:cs="Arial"/>
          <w:sz w:val="24"/>
          <w:szCs w:val="24"/>
        </w:rPr>
        <w:t xml:space="preserve">   </w:t>
      </w:r>
      <w:r w:rsidRPr="007645D5">
        <w:rPr>
          <w:rFonts w:ascii="Arial" w:hAnsi="Arial" w:cs="Arial"/>
          <w:sz w:val="24"/>
          <w:szCs w:val="24"/>
        </w:rPr>
        <w:t xml:space="preserve"> pasos de la medición</w:t>
      </w:r>
      <w:r w:rsidRPr="007645D5">
        <w:rPr>
          <w:rFonts w:ascii="Arial" w:hAnsi="Arial" w:cs="Arial"/>
          <w:sz w:val="24"/>
          <w:szCs w:val="24"/>
        </w:rPr>
        <w:tab/>
        <w:t>7</w:t>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3.8 Representación le instrumentación de medición 2</w:t>
      </w:r>
      <w:r w:rsidRPr="007645D5">
        <w:rPr>
          <w:rFonts w:ascii="Arial" w:hAnsi="Arial" w:cs="Arial"/>
          <w:sz w:val="24"/>
          <w:szCs w:val="24"/>
        </w:rPr>
        <w:tab/>
      </w:r>
      <w:r>
        <w:rPr>
          <w:rFonts w:ascii="Arial" w:hAnsi="Arial" w:cs="Arial"/>
          <w:sz w:val="24"/>
          <w:szCs w:val="24"/>
        </w:rPr>
        <w:t>79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3.9 Representación de los quipos utilizados en la instrumentación de medición 2</w:t>
      </w:r>
      <w:r w:rsidRPr="007645D5">
        <w:rPr>
          <w:rFonts w:ascii="Arial" w:hAnsi="Arial" w:cs="Arial"/>
          <w:sz w:val="24"/>
          <w:szCs w:val="24"/>
        </w:rPr>
        <w:tab/>
        <w:t>8</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3.10 Pantalla principal del programa Nose Pro</w:t>
      </w:r>
      <w:r w:rsidRPr="007645D5">
        <w:rPr>
          <w:rFonts w:ascii="Arial" w:hAnsi="Arial" w:cs="Arial"/>
          <w:sz w:val="24"/>
          <w:szCs w:val="24"/>
        </w:rPr>
        <w:tab/>
        <w:t>8</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3.11 Pantalla inicial del programa Nose Pro.</w:t>
      </w:r>
      <w:r w:rsidRPr="007645D5">
        <w:rPr>
          <w:rFonts w:ascii="Arial" w:hAnsi="Arial" w:cs="Arial"/>
          <w:sz w:val="24"/>
          <w:szCs w:val="24"/>
        </w:rPr>
        <w:tab/>
        <w:t>8</w:t>
      </w:r>
      <w:r>
        <w:rPr>
          <w:rFonts w:ascii="Arial" w:hAnsi="Arial" w:cs="Arial"/>
          <w:sz w:val="24"/>
          <w:szCs w:val="24"/>
        </w:rPr>
        <w:t>6</w:t>
      </w:r>
    </w:p>
    <w:p w:rsidR="003A3F89" w:rsidRPr="007645D5" w:rsidRDefault="003A3F89" w:rsidP="003A3F89">
      <w:pPr>
        <w:pStyle w:val="TOC1"/>
        <w:jc w:val="left"/>
        <w:rPr>
          <w:rFonts w:ascii="Arial" w:hAnsi="Arial" w:cs="Arial"/>
          <w:sz w:val="24"/>
          <w:szCs w:val="24"/>
          <w:lang w:val="en-US"/>
        </w:rPr>
      </w:pPr>
      <w:r w:rsidRPr="007645D5">
        <w:rPr>
          <w:rFonts w:ascii="Arial" w:hAnsi="Arial" w:cs="Arial"/>
          <w:sz w:val="24"/>
          <w:szCs w:val="24"/>
          <w:lang w:val="en-US"/>
        </w:rPr>
        <w:lastRenderedPageBreak/>
        <w:t>Figura 3.12 Opción Station Manager de Nose Pro</w:t>
      </w:r>
      <w:r w:rsidRPr="007645D5">
        <w:rPr>
          <w:rFonts w:ascii="Arial" w:hAnsi="Arial" w:cs="Arial"/>
          <w:sz w:val="24"/>
          <w:szCs w:val="24"/>
          <w:lang w:val="en-US"/>
        </w:rPr>
        <w:tab/>
        <w:t>8</w:t>
      </w:r>
      <w:r>
        <w:rPr>
          <w:rFonts w:ascii="Arial" w:hAnsi="Arial" w:cs="Arial"/>
          <w:sz w:val="24"/>
          <w:szCs w:val="24"/>
          <w:lang w:val="en-US"/>
        </w:rPr>
        <w:t>6</w:t>
      </w:r>
    </w:p>
    <w:p w:rsidR="003A3F89" w:rsidRPr="007645D5" w:rsidRDefault="003A3F89" w:rsidP="003A3F89">
      <w:pPr>
        <w:pStyle w:val="TOC1"/>
        <w:jc w:val="left"/>
        <w:rPr>
          <w:rFonts w:ascii="Arial" w:hAnsi="Arial" w:cs="Arial"/>
          <w:sz w:val="24"/>
          <w:szCs w:val="24"/>
          <w:lang w:val="en-US"/>
        </w:rPr>
      </w:pPr>
      <w:r w:rsidRPr="007645D5">
        <w:rPr>
          <w:rFonts w:ascii="Arial" w:hAnsi="Arial" w:cs="Arial"/>
          <w:sz w:val="24"/>
          <w:szCs w:val="24"/>
          <w:lang w:val="en-US"/>
        </w:rPr>
        <w:t>Figura 3.13 Opción Measurement Setting, Setup de Station Manager, Nose Pro</w:t>
      </w:r>
      <w:r w:rsidRPr="007645D5">
        <w:rPr>
          <w:rFonts w:ascii="Arial" w:hAnsi="Arial" w:cs="Arial"/>
          <w:sz w:val="24"/>
          <w:szCs w:val="24"/>
          <w:lang w:val="en-US"/>
        </w:rPr>
        <w:tab/>
        <w:t>8</w:t>
      </w:r>
      <w:r>
        <w:rPr>
          <w:rFonts w:ascii="Arial" w:hAnsi="Arial" w:cs="Arial"/>
          <w:sz w:val="24"/>
          <w:szCs w:val="24"/>
          <w:lang w:val="en-US"/>
        </w:rPr>
        <w:t>7</w:t>
      </w:r>
    </w:p>
    <w:p w:rsidR="003A3F89" w:rsidRPr="007645D5" w:rsidRDefault="003A3F89" w:rsidP="003A3F89">
      <w:pPr>
        <w:pStyle w:val="TOC1"/>
        <w:jc w:val="left"/>
        <w:rPr>
          <w:rFonts w:ascii="Arial" w:hAnsi="Arial" w:cs="Arial"/>
          <w:sz w:val="24"/>
          <w:szCs w:val="24"/>
          <w:lang w:val="en-US"/>
        </w:rPr>
      </w:pPr>
      <w:r w:rsidRPr="007645D5">
        <w:rPr>
          <w:rFonts w:ascii="Arial" w:hAnsi="Arial" w:cs="Arial"/>
          <w:sz w:val="24"/>
          <w:szCs w:val="24"/>
          <w:lang w:val="en-US"/>
        </w:rPr>
        <w:t>Figura 3.14 Opción Hardware, Setup de Station Manager, Nose Pro</w:t>
      </w:r>
      <w:r w:rsidRPr="007645D5">
        <w:rPr>
          <w:rFonts w:ascii="Arial" w:hAnsi="Arial" w:cs="Arial"/>
          <w:sz w:val="24"/>
          <w:szCs w:val="24"/>
          <w:lang w:val="en-US"/>
        </w:rPr>
        <w:tab/>
      </w:r>
      <w:r>
        <w:rPr>
          <w:rFonts w:ascii="Arial" w:hAnsi="Arial" w:cs="Arial"/>
          <w:sz w:val="24"/>
          <w:szCs w:val="24"/>
          <w:lang w:val="en-US"/>
        </w:rPr>
        <w:t>88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3.15 Imagen en pantalla del programa Nose Pro, luego de aplicar los pasos de la medición</w:t>
      </w:r>
      <w:r w:rsidRPr="007645D5">
        <w:rPr>
          <w:rFonts w:ascii="Arial" w:hAnsi="Arial" w:cs="Arial"/>
          <w:sz w:val="24"/>
          <w:szCs w:val="24"/>
        </w:rPr>
        <w:tab/>
        <w:t>9</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 Ubicación de puntos de medición en la Radio Base de Porta (Superior) y Radio Base Movistar (Inferior) en predios de ESPOL</w:t>
      </w:r>
      <w:r w:rsidRPr="007645D5">
        <w:rPr>
          <w:rFonts w:ascii="Arial" w:hAnsi="Arial" w:cs="Arial"/>
          <w:sz w:val="24"/>
          <w:szCs w:val="24"/>
        </w:rPr>
        <w:tab/>
        <w:t>9</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 Comparación valores obtenidos con procedimientos 1 y 2, puntos de mediciones WLAN</w:t>
      </w:r>
      <w:r w:rsidRPr="007645D5">
        <w:rPr>
          <w:rFonts w:ascii="Arial" w:hAnsi="Arial" w:cs="Arial"/>
          <w:sz w:val="24"/>
          <w:szCs w:val="24"/>
        </w:rPr>
        <w:tab/>
        <w:t>11</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 Comparación valores obtenidos con procedimientos 1 y 2, puntos de mediciones interiores Telefonía Móvil Porta</w:t>
      </w:r>
      <w:r w:rsidRPr="007645D5">
        <w:rPr>
          <w:rFonts w:ascii="Arial" w:hAnsi="Arial" w:cs="Arial"/>
          <w:sz w:val="24"/>
          <w:szCs w:val="24"/>
        </w:rPr>
        <w:tab/>
        <w:t>11</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4.4 Comparación valores obtenidos con procedimientos 1 y 2, puntos de mediciones interiores Telefonía Móvil Movistar</w:t>
      </w:r>
      <w:r w:rsidRPr="007645D5">
        <w:rPr>
          <w:rFonts w:ascii="Arial" w:hAnsi="Arial" w:cs="Arial"/>
          <w:sz w:val="24"/>
          <w:szCs w:val="24"/>
        </w:rPr>
        <w:tab/>
        <w:t>11</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4.5 Comparación Porcentual entre Procedimientos de Medición en Ambientes Interiores</w:t>
      </w:r>
      <w:r w:rsidRPr="007645D5">
        <w:rPr>
          <w:rFonts w:ascii="Arial" w:hAnsi="Arial" w:cs="Arial"/>
          <w:sz w:val="24"/>
          <w:szCs w:val="24"/>
        </w:rPr>
        <w:tab/>
        <w:t>11</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4.6 Comparación valores obtenidos con procedimientos 1 y 2, puntos de mediciones exteriores Telefonía Móvil Porta</w:t>
      </w:r>
      <w:r w:rsidRPr="007645D5">
        <w:rPr>
          <w:rFonts w:ascii="Arial" w:hAnsi="Arial" w:cs="Arial"/>
          <w:sz w:val="24"/>
          <w:szCs w:val="24"/>
        </w:rPr>
        <w:tab/>
        <w:t>11</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4.7 Comparación valores obtenidos con procedimientos 1 y 2, puntos de mediciones exteriores Telefonía Móvil Movistar</w:t>
      </w:r>
      <w:r w:rsidRPr="007645D5">
        <w:rPr>
          <w:rFonts w:ascii="Arial" w:hAnsi="Arial" w:cs="Arial"/>
          <w:sz w:val="24"/>
          <w:szCs w:val="24"/>
        </w:rPr>
        <w:tab/>
        <w:t>11</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4.8 Comparación Porcentual entre Procedimientos de Medición en Ambientes Exteriores</w:t>
      </w:r>
      <w:r w:rsidRPr="007645D5">
        <w:rPr>
          <w:rFonts w:ascii="Arial" w:hAnsi="Arial" w:cs="Arial"/>
          <w:sz w:val="24"/>
          <w:szCs w:val="24"/>
        </w:rPr>
        <w:tab/>
        <w:t>11</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4.9 Porcentaje de Desviación Máxima para mediciones WLAN con procedimiento 1</w:t>
      </w:r>
      <w:r w:rsidRPr="007645D5">
        <w:rPr>
          <w:rFonts w:ascii="Arial" w:hAnsi="Arial" w:cs="Arial"/>
          <w:sz w:val="24"/>
          <w:szCs w:val="24"/>
        </w:rPr>
        <w:tab/>
        <w:t>1</w:t>
      </w:r>
      <w:r>
        <w:rPr>
          <w:rFonts w:ascii="Arial" w:hAnsi="Arial" w:cs="Arial"/>
          <w:sz w:val="24"/>
          <w:szCs w:val="24"/>
        </w:rPr>
        <w:t>19</w:t>
      </w:r>
    </w:p>
    <w:p w:rsidR="003A3F89" w:rsidRPr="007645D5" w:rsidRDefault="003A3F89" w:rsidP="003A3F89">
      <w:pPr>
        <w:pStyle w:val="TOC1"/>
        <w:jc w:val="left"/>
        <w:rPr>
          <w:rFonts w:ascii="Arial" w:hAnsi="Arial" w:cs="Arial"/>
          <w:sz w:val="24"/>
          <w:szCs w:val="24"/>
        </w:rPr>
      </w:pP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lastRenderedPageBreak/>
        <w:t>Figura 4.10  Porcentaje de Desviación Máxima para mediciones  interiores  telefonía móvil Porta con procedimiento 1</w:t>
      </w:r>
      <w:r w:rsidRPr="007645D5">
        <w:rPr>
          <w:rFonts w:ascii="Arial" w:hAnsi="Arial" w:cs="Arial"/>
          <w:sz w:val="24"/>
          <w:szCs w:val="24"/>
        </w:rPr>
        <w:tab/>
        <w:t>12</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4.11  Porcentaje de Desviación Máxima para mediciones interiores telefonía móvil Movistar con procedimiento 1</w:t>
      </w:r>
      <w:r w:rsidRPr="007645D5">
        <w:rPr>
          <w:rFonts w:ascii="Arial" w:hAnsi="Arial" w:cs="Arial"/>
          <w:sz w:val="24"/>
          <w:szCs w:val="24"/>
        </w:rPr>
        <w:tab/>
        <w:t>12</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4.12  Porcentaje de Desviación Máxima para mediciones WLAN con procedimiento 2</w:t>
      </w:r>
      <w:r w:rsidRPr="007645D5">
        <w:rPr>
          <w:rFonts w:ascii="Arial" w:hAnsi="Arial" w:cs="Arial"/>
          <w:sz w:val="24"/>
          <w:szCs w:val="24"/>
        </w:rPr>
        <w:tab/>
        <w:t>12</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4.13  Porcentaje de Desviación Máxima para mediciones interiores telefonía móvil Porta con procedimiento 2</w:t>
      </w:r>
      <w:r w:rsidRPr="007645D5">
        <w:rPr>
          <w:rFonts w:ascii="Arial" w:hAnsi="Arial" w:cs="Arial"/>
          <w:sz w:val="24"/>
          <w:szCs w:val="24"/>
        </w:rPr>
        <w:tab/>
        <w:t>1</w:t>
      </w:r>
      <w:r>
        <w:rPr>
          <w:rFonts w:ascii="Arial" w:hAnsi="Arial" w:cs="Arial"/>
          <w:sz w:val="24"/>
          <w:szCs w:val="24"/>
        </w:rPr>
        <w:t>23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4.14  Porcentaje de Desviación Máxima para mediciones interiores telefonía móvil Movistar con procedimiento 2</w:t>
      </w:r>
      <w:r w:rsidRPr="007645D5">
        <w:rPr>
          <w:rFonts w:ascii="Arial" w:hAnsi="Arial" w:cs="Arial"/>
          <w:sz w:val="24"/>
          <w:szCs w:val="24"/>
        </w:rPr>
        <w:tab/>
        <w:t>12</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4.15  Porcentaje de Desviación Máxima para mediciones exteriores telefonía móvil Porta con procedimiento 1</w:t>
      </w:r>
      <w:r w:rsidRPr="007645D5">
        <w:rPr>
          <w:rFonts w:ascii="Arial" w:hAnsi="Arial" w:cs="Arial"/>
          <w:sz w:val="24"/>
          <w:szCs w:val="24"/>
        </w:rPr>
        <w:tab/>
        <w:t>12</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4.16  Porcentaje de Desviación Máxima para mediciones exteriores telefonía móvil Movistar con procedimiento 1</w:t>
      </w:r>
      <w:r w:rsidRPr="007645D5">
        <w:rPr>
          <w:rFonts w:ascii="Arial" w:hAnsi="Arial" w:cs="Arial"/>
          <w:sz w:val="24"/>
          <w:szCs w:val="24"/>
        </w:rPr>
        <w:tab/>
        <w:t>12</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4.17 Porcentaje de Desviación Máxima para mediciones exteriores telefonía móvil Porta con procedimiento 2</w:t>
      </w:r>
      <w:r w:rsidRPr="007645D5">
        <w:rPr>
          <w:rFonts w:ascii="Arial" w:hAnsi="Arial" w:cs="Arial"/>
          <w:sz w:val="24"/>
          <w:szCs w:val="24"/>
        </w:rPr>
        <w:tab/>
        <w:t>12</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4.18  Porcentaje de Desviación Máxima para mediciones exteriores telefonía móvil Movistar con procedimiento 2</w:t>
      </w:r>
      <w:r w:rsidRPr="007645D5">
        <w:rPr>
          <w:rFonts w:ascii="Arial" w:hAnsi="Arial" w:cs="Arial"/>
          <w:sz w:val="24"/>
          <w:szCs w:val="24"/>
        </w:rPr>
        <w:tab/>
        <w:t>1</w:t>
      </w:r>
      <w:r>
        <w:rPr>
          <w:rFonts w:ascii="Arial" w:hAnsi="Arial" w:cs="Arial"/>
          <w:sz w:val="24"/>
          <w:szCs w:val="24"/>
        </w:rPr>
        <w:t>28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4.19  Histograma de la desviación máxima para las mediciones con el procedimiento 1</w:t>
      </w:r>
      <w:r w:rsidRPr="007645D5">
        <w:rPr>
          <w:rFonts w:ascii="Arial" w:hAnsi="Arial" w:cs="Arial"/>
          <w:sz w:val="24"/>
          <w:szCs w:val="24"/>
        </w:rPr>
        <w:tab/>
        <w:t>1</w:t>
      </w:r>
      <w:r>
        <w:rPr>
          <w:rFonts w:ascii="Arial" w:hAnsi="Arial" w:cs="Arial"/>
          <w:sz w:val="24"/>
          <w:szCs w:val="24"/>
        </w:rPr>
        <w:t>29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4.20  Histograma de la desviación máxima para las mediciones con el procedimiento 2</w:t>
      </w:r>
      <w:r w:rsidRPr="007645D5">
        <w:rPr>
          <w:rFonts w:ascii="Arial" w:hAnsi="Arial" w:cs="Arial"/>
          <w:sz w:val="24"/>
          <w:szCs w:val="24"/>
        </w:rPr>
        <w:tab/>
        <w:t>1</w:t>
      </w:r>
      <w:r>
        <w:rPr>
          <w:rFonts w:ascii="Arial" w:hAnsi="Arial" w:cs="Arial"/>
          <w:sz w:val="24"/>
          <w:szCs w:val="24"/>
        </w:rPr>
        <w:t>29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4.21  Comparación de la Distribución normal de los histogramas de desviación máximas de los procedimientos de medición 1 y 2</w:t>
      </w:r>
      <w:r w:rsidRPr="007645D5">
        <w:rPr>
          <w:rFonts w:ascii="Arial" w:hAnsi="Arial" w:cs="Arial"/>
          <w:sz w:val="24"/>
          <w:szCs w:val="24"/>
        </w:rPr>
        <w:tab/>
        <w:t>13</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4.22 Valores de Análisis de Múltiples Fuentes, para procedimiento de medición 1</w:t>
      </w:r>
      <w:r w:rsidRPr="007645D5">
        <w:rPr>
          <w:rFonts w:ascii="Arial" w:hAnsi="Arial" w:cs="Arial"/>
          <w:sz w:val="24"/>
          <w:szCs w:val="24"/>
        </w:rPr>
        <w:tab/>
        <w:t>13</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lastRenderedPageBreak/>
        <w:t>Figura 4.23 Valores de Análisis de Múltiples Fuentes, para procedimiento de medición 2</w:t>
      </w:r>
      <w:r w:rsidRPr="007645D5">
        <w:rPr>
          <w:rFonts w:ascii="Arial" w:hAnsi="Arial" w:cs="Arial"/>
          <w:sz w:val="24"/>
          <w:szCs w:val="24"/>
        </w:rPr>
        <w:tab/>
        <w:t>13</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4.24 Límite Vs. Valores de las mediciones realizadas Banda  869-880 MHz con el procedimiento de medición 1</w:t>
      </w:r>
      <w:r w:rsidRPr="007645D5">
        <w:rPr>
          <w:rFonts w:ascii="Arial" w:hAnsi="Arial" w:cs="Arial"/>
          <w:sz w:val="24"/>
          <w:szCs w:val="24"/>
        </w:rPr>
        <w:tab/>
        <w:t>13</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4.25 Límite Vs. Valores de las mediciones realizadas Banda  890-891,5 MHz con el procedimiento de medición 1</w:t>
      </w:r>
      <w:r w:rsidRPr="007645D5">
        <w:rPr>
          <w:rFonts w:ascii="Arial" w:hAnsi="Arial" w:cs="Arial"/>
          <w:sz w:val="24"/>
          <w:szCs w:val="24"/>
        </w:rPr>
        <w:tab/>
        <w:t>1</w:t>
      </w:r>
      <w:r>
        <w:rPr>
          <w:rFonts w:ascii="Arial" w:hAnsi="Arial" w:cs="Arial"/>
          <w:sz w:val="24"/>
          <w:szCs w:val="24"/>
        </w:rPr>
        <w:t>38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4.26 Número de Mediciones por Rango de Relación Porcentual al Nivel de Referencia. Telefonía Móvil PORTA Procedimiento Medición 1</w:t>
      </w:r>
      <w:r w:rsidRPr="007645D5">
        <w:rPr>
          <w:rFonts w:ascii="Arial" w:hAnsi="Arial" w:cs="Arial"/>
          <w:sz w:val="24"/>
          <w:szCs w:val="24"/>
        </w:rPr>
        <w:tab/>
        <w:t>1</w:t>
      </w:r>
      <w:r>
        <w:rPr>
          <w:rFonts w:ascii="Arial" w:hAnsi="Arial" w:cs="Arial"/>
          <w:sz w:val="24"/>
          <w:szCs w:val="24"/>
        </w:rPr>
        <w:t>39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4.27 Límite Vs. Valores de las mediciones realizadas en la banda  869-890 MHz con el procedimiento de medición 2</w:t>
      </w:r>
      <w:r w:rsidRPr="007645D5">
        <w:rPr>
          <w:rFonts w:ascii="Arial" w:hAnsi="Arial" w:cs="Arial"/>
          <w:sz w:val="24"/>
          <w:szCs w:val="24"/>
        </w:rPr>
        <w:tab/>
      </w:r>
      <w:r>
        <w:rPr>
          <w:rFonts w:ascii="Arial" w:hAnsi="Arial" w:cs="Arial"/>
          <w:sz w:val="24"/>
          <w:szCs w:val="24"/>
        </w:rPr>
        <w:t>1</w:t>
      </w:r>
      <w:r w:rsidRPr="007645D5">
        <w:rPr>
          <w:rFonts w:ascii="Arial" w:hAnsi="Arial" w:cs="Arial"/>
          <w:sz w:val="24"/>
          <w:szCs w:val="24"/>
        </w:rPr>
        <w:t>4</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4.28 Límite Vs. Valores de las mediciones realizadas en la banda de 890-891,5 MHz con el procedimiento de medición 2</w:t>
      </w:r>
      <w:r w:rsidRPr="007645D5">
        <w:rPr>
          <w:rFonts w:ascii="Arial" w:hAnsi="Arial" w:cs="Arial"/>
          <w:sz w:val="24"/>
          <w:szCs w:val="24"/>
        </w:rPr>
        <w:tab/>
        <w:t>14</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4.29 Número de Mediciones por Rango de Relación Porcentual al Nivel de Referencia. Telefonía Móvil Porta Procedimiento Medición 2</w:t>
      </w:r>
      <w:r w:rsidRPr="007645D5">
        <w:rPr>
          <w:rFonts w:ascii="Arial" w:hAnsi="Arial" w:cs="Arial"/>
          <w:sz w:val="24"/>
          <w:szCs w:val="24"/>
        </w:rPr>
        <w:tab/>
        <w:t>14</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4.30 Límite Vs. Valores de las mediciones realizadas Banda  880-890 MHz con el procedimiento de medición 1</w:t>
      </w:r>
      <w:r w:rsidRPr="007645D5">
        <w:rPr>
          <w:rFonts w:ascii="Arial" w:hAnsi="Arial" w:cs="Arial"/>
          <w:sz w:val="24"/>
          <w:szCs w:val="24"/>
        </w:rPr>
        <w:tab/>
        <w:t>14</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4.31 Límite Vs. Valores de las mediciones realizadas Banda  891,5-894 MHz con el procedimiento de medición 1</w:t>
      </w:r>
      <w:r w:rsidRPr="007645D5">
        <w:rPr>
          <w:rFonts w:ascii="Arial" w:hAnsi="Arial" w:cs="Arial"/>
          <w:sz w:val="24"/>
          <w:szCs w:val="24"/>
        </w:rPr>
        <w:tab/>
        <w:t>14</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4.32 Número de Mediciones por Rango de Relación Porcentual al Nivel de Referencia. Telefonía Móvil Movistar con procedimiento de medición 1</w:t>
      </w:r>
      <w:r w:rsidRPr="007645D5">
        <w:rPr>
          <w:rFonts w:ascii="Arial" w:hAnsi="Arial" w:cs="Arial"/>
          <w:sz w:val="24"/>
          <w:szCs w:val="24"/>
        </w:rPr>
        <w:tab/>
        <w:t>14</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4.33 Límite Vs. Valores de las mediciones realizadas en la banda  880-890 MHz con el procedimiento de medición 2</w:t>
      </w:r>
      <w:r w:rsidRPr="007645D5">
        <w:rPr>
          <w:rFonts w:ascii="Arial" w:hAnsi="Arial" w:cs="Arial"/>
          <w:sz w:val="24"/>
          <w:szCs w:val="24"/>
        </w:rPr>
        <w:tab/>
        <w:t>14</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4.34 Límite Vs. Valores de las mediciones realizadas Banda  891,5-894 MHz con el procedimiento de medición 2</w:t>
      </w:r>
      <w:r w:rsidRPr="007645D5">
        <w:rPr>
          <w:rFonts w:ascii="Arial" w:hAnsi="Arial" w:cs="Arial"/>
          <w:sz w:val="24"/>
          <w:szCs w:val="24"/>
        </w:rPr>
        <w:tab/>
        <w:t>14</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4.35 Número de Mediciones por Rango de Relación Porcentual al Nivel de Referencia. Telefonía Móvil Movistar Procedimiento Medición 2</w:t>
      </w:r>
      <w:r w:rsidRPr="007645D5">
        <w:rPr>
          <w:rFonts w:ascii="Arial" w:hAnsi="Arial" w:cs="Arial"/>
          <w:sz w:val="24"/>
          <w:szCs w:val="24"/>
        </w:rPr>
        <w:tab/>
        <w:t>1</w:t>
      </w:r>
      <w:r>
        <w:rPr>
          <w:rFonts w:ascii="Arial" w:hAnsi="Arial" w:cs="Arial"/>
          <w:sz w:val="24"/>
          <w:szCs w:val="24"/>
        </w:rPr>
        <w:t>48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lastRenderedPageBreak/>
        <w:t xml:space="preserve">Figura 4.36 Límite Vs. Valores de las mediciones </w:t>
      </w:r>
      <w:r>
        <w:rPr>
          <w:rFonts w:ascii="Arial" w:hAnsi="Arial" w:cs="Arial"/>
          <w:sz w:val="24"/>
          <w:szCs w:val="24"/>
        </w:rPr>
        <w:t>realizadas en la banda  2,4</w:t>
      </w:r>
      <w:r w:rsidR="00C37AB2">
        <w:rPr>
          <w:rFonts w:ascii="Arial" w:hAnsi="Arial" w:cs="Arial"/>
          <w:sz w:val="24"/>
          <w:szCs w:val="24"/>
        </w:rPr>
        <w:t>-2,5</w:t>
      </w:r>
      <w:r w:rsidRPr="007645D5">
        <w:rPr>
          <w:rFonts w:ascii="Arial" w:hAnsi="Arial" w:cs="Arial"/>
          <w:sz w:val="24"/>
          <w:szCs w:val="24"/>
        </w:rPr>
        <w:t xml:space="preserve"> GHz con el procedimiento de medición 1</w:t>
      </w:r>
      <w:r w:rsidRPr="007645D5">
        <w:rPr>
          <w:rFonts w:ascii="Arial" w:hAnsi="Arial" w:cs="Arial"/>
          <w:sz w:val="24"/>
          <w:szCs w:val="24"/>
        </w:rPr>
        <w:tab/>
        <w:t>1</w:t>
      </w:r>
      <w:r>
        <w:rPr>
          <w:rFonts w:ascii="Arial" w:hAnsi="Arial" w:cs="Arial"/>
          <w:sz w:val="24"/>
          <w:szCs w:val="24"/>
        </w:rPr>
        <w:t>49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4.37 Número de Mediciones por Rango de Relación Porcentual al Nivel de Referencia. WLAN con procedimiento de medición 1</w:t>
      </w:r>
      <w:r w:rsidRPr="007645D5">
        <w:rPr>
          <w:rFonts w:ascii="Arial" w:hAnsi="Arial" w:cs="Arial"/>
          <w:sz w:val="24"/>
          <w:szCs w:val="24"/>
        </w:rPr>
        <w:tab/>
        <w:t>15</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4.38 Límite Vs. Valores de las mediciones r</w:t>
      </w:r>
      <w:r>
        <w:rPr>
          <w:rFonts w:ascii="Arial" w:hAnsi="Arial" w:cs="Arial"/>
          <w:sz w:val="24"/>
          <w:szCs w:val="24"/>
        </w:rPr>
        <w:t>ealizadas en la banda  2,4</w:t>
      </w:r>
      <w:r w:rsidR="00C37AB2">
        <w:rPr>
          <w:rFonts w:ascii="Arial" w:hAnsi="Arial" w:cs="Arial"/>
          <w:sz w:val="24"/>
          <w:szCs w:val="24"/>
        </w:rPr>
        <w:t>-2,5</w:t>
      </w:r>
      <w:r w:rsidRPr="007645D5">
        <w:rPr>
          <w:rFonts w:ascii="Arial" w:hAnsi="Arial" w:cs="Arial"/>
          <w:sz w:val="24"/>
          <w:szCs w:val="24"/>
        </w:rPr>
        <w:t xml:space="preserve"> GHz con el procedimiento de medición 2</w:t>
      </w:r>
      <w:r w:rsidRPr="007645D5">
        <w:rPr>
          <w:rFonts w:ascii="Arial" w:hAnsi="Arial" w:cs="Arial"/>
          <w:sz w:val="24"/>
          <w:szCs w:val="24"/>
        </w:rPr>
        <w:tab/>
        <w:t>15</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4.39 Número de Mediciones por Rango de Relación Porcentual al Nivel de Referencia. WLAN Procedimiento Medición 2</w:t>
      </w:r>
      <w:r w:rsidRPr="007645D5">
        <w:rPr>
          <w:rFonts w:ascii="Arial" w:hAnsi="Arial" w:cs="Arial"/>
          <w:sz w:val="24"/>
          <w:szCs w:val="24"/>
        </w:rPr>
        <w:tab/>
        <w:t>15</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w:t>
      </w:r>
      <w:r>
        <w:rPr>
          <w:rFonts w:ascii="Arial" w:hAnsi="Arial" w:cs="Arial"/>
          <w:sz w:val="24"/>
          <w:szCs w:val="24"/>
        </w:rPr>
        <w:t xml:space="preserve"> </w:t>
      </w:r>
      <w:r w:rsidRPr="007645D5">
        <w:rPr>
          <w:rFonts w:ascii="Arial" w:hAnsi="Arial" w:cs="Arial"/>
          <w:sz w:val="24"/>
          <w:szCs w:val="24"/>
        </w:rPr>
        <w:t>4.40 Límite Vs. Valores de las mediciones Broadcasting Procedimiento de medición 1</w:t>
      </w:r>
      <w:r w:rsidRPr="007645D5">
        <w:rPr>
          <w:rFonts w:ascii="Arial" w:hAnsi="Arial" w:cs="Arial"/>
          <w:sz w:val="24"/>
          <w:szCs w:val="24"/>
        </w:rPr>
        <w:tab/>
        <w:t>15</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4.41 Relación Porcentual al nivel de Referencia de mediciones Broadcasting con Procedimiento de medición 1</w:t>
      </w:r>
      <w:r w:rsidRPr="007645D5">
        <w:rPr>
          <w:rFonts w:ascii="Arial" w:hAnsi="Arial" w:cs="Arial"/>
          <w:sz w:val="24"/>
          <w:szCs w:val="24"/>
        </w:rPr>
        <w:tab/>
        <w:t>15</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4.42 Límite Vs. Valores de las mediciones Broadcasting Procedimiento de medición 2</w:t>
      </w:r>
      <w:r w:rsidRPr="007645D5">
        <w:rPr>
          <w:rFonts w:ascii="Arial" w:hAnsi="Arial" w:cs="Arial"/>
          <w:sz w:val="24"/>
          <w:szCs w:val="24"/>
        </w:rPr>
        <w:tab/>
        <w:t>15</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Figura 4.43 Relación Porcentual al nivel de Referencia de mediciones Broadcasting con Procedimiento de medición 2</w:t>
      </w:r>
      <w:r w:rsidRPr="007645D5">
        <w:rPr>
          <w:rFonts w:ascii="Arial" w:hAnsi="Arial" w:cs="Arial"/>
          <w:sz w:val="24"/>
          <w:szCs w:val="24"/>
        </w:rPr>
        <w:tab/>
        <w:t>15</w:t>
      </w:r>
      <w:r>
        <w:rPr>
          <w:rFonts w:ascii="Arial" w:hAnsi="Arial" w:cs="Arial"/>
          <w:sz w:val="24"/>
          <w:szCs w:val="24"/>
        </w:rPr>
        <w:t>6</w:t>
      </w:r>
    </w:p>
    <w:p w:rsidR="003A3F89" w:rsidRPr="00764917" w:rsidRDefault="003A3F89" w:rsidP="003A3F89">
      <w:pPr>
        <w:spacing w:line="360" w:lineRule="auto"/>
        <w:jc w:val="center"/>
        <w:rPr>
          <w:rFonts w:ascii="Arial" w:hAnsi="Arial" w:cs="Arial"/>
          <w:b/>
          <w:sz w:val="24"/>
          <w:szCs w:val="24"/>
        </w:rPr>
      </w:pPr>
    </w:p>
    <w:p w:rsidR="003A3F89" w:rsidRPr="00764917" w:rsidRDefault="003A3F89" w:rsidP="003A3F89">
      <w:pPr>
        <w:spacing w:line="360" w:lineRule="auto"/>
        <w:jc w:val="center"/>
        <w:rPr>
          <w:rFonts w:ascii="Arial" w:hAnsi="Arial" w:cs="Arial"/>
          <w:b/>
          <w:sz w:val="24"/>
          <w:szCs w:val="24"/>
        </w:rPr>
      </w:pPr>
    </w:p>
    <w:p w:rsidR="003A3F89" w:rsidRPr="00764917" w:rsidRDefault="003A3F89" w:rsidP="003A3F89">
      <w:pPr>
        <w:spacing w:line="360" w:lineRule="auto"/>
        <w:jc w:val="center"/>
        <w:rPr>
          <w:rFonts w:ascii="Arial" w:hAnsi="Arial" w:cs="Arial"/>
          <w:b/>
          <w:sz w:val="24"/>
          <w:szCs w:val="24"/>
        </w:rPr>
      </w:pPr>
    </w:p>
    <w:p w:rsidR="003A3F89" w:rsidRDefault="003A3F89" w:rsidP="003A3F89">
      <w:pPr>
        <w:spacing w:line="360" w:lineRule="auto"/>
        <w:jc w:val="center"/>
        <w:rPr>
          <w:rFonts w:ascii="Arial" w:hAnsi="Arial" w:cs="Arial"/>
          <w:b/>
          <w:sz w:val="24"/>
          <w:szCs w:val="24"/>
        </w:rPr>
      </w:pPr>
    </w:p>
    <w:p w:rsidR="00E03F63" w:rsidRDefault="00E03F63" w:rsidP="003A3F89">
      <w:pPr>
        <w:spacing w:line="360" w:lineRule="auto"/>
        <w:jc w:val="center"/>
        <w:rPr>
          <w:rFonts w:ascii="Arial" w:hAnsi="Arial" w:cs="Arial"/>
          <w:b/>
          <w:sz w:val="24"/>
          <w:szCs w:val="24"/>
        </w:rPr>
      </w:pPr>
    </w:p>
    <w:p w:rsidR="00E03F63" w:rsidRPr="00764917" w:rsidRDefault="00E03F63" w:rsidP="003A3F89">
      <w:pPr>
        <w:spacing w:line="360" w:lineRule="auto"/>
        <w:jc w:val="center"/>
        <w:rPr>
          <w:rFonts w:ascii="Arial" w:hAnsi="Arial" w:cs="Arial"/>
          <w:b/>
          <w:sz w:val="24"/>
          <w:szCs w:val="24"/>
        </w:rPr>
      </w:pPr>
    </w:p>
    <w:p w:rsidR="003A3F89" w:rsidRPr="00764917" w:rsidRDefault="003A3F89" w:rsidP="003A3F89">
      <w:pPr>
        <w:spacing w:line="360" w:lineRule="auto"/>
        <w:jc w:val="center"/>
        <w:rPr>
          <w:rFonts w:ascii="Arial" w:hAnsi="Arial" w:cs="Arial"/>
          <w:b/>
          <w:sz w:val="24"/>
          <w:szCs w:val="24"/>
        </w:rPr>
      </w:pPr>
    </w:p>
    <w:p w:rsidR="003A3F89" w:rsidRPr="00764917" w:rsidRDefault="003A3F89" w:rsidP="003A3F89">
      <w:pPr>
        <w:pStyle w:val="TOCHeading"/>
        <w:spacing w:line="360" w:lineRule="auto"/>
        <w:jc w:val="center"/>
        <w:rPr>
          <w:rFonts w:ascii="Arial" w:hAnsi="Arial" w:cs="Arial"/>
          <w:sz w:val="24"/>
          <w:szCs w:val="24"/>
        </w:rPr>
      </w:pPr>
      <w:r w:rsidRPr="00764917">
        <w:rPr>
          <w:rFonts w:ascii="Arial" w:hAnsi="Arial" w:cs="Arial"/>
          <w:color w:val="auto"/>
          <w:sz w:val="24"/>
          <w:szCs w:val="24"/>
        </w:rPr>
        <w:lastRenderedPageBreak/>
        <w:t>ÍNDICE DE TABLAS</w:t>
      </w:r>
    </w:p>
    <w:p w:rsidR="003A3F89" w:rsidRPr="00764917" w:rsidRDefault="003A3F89" w:rsidP="003A3F89">
      <w:pPr>
        <w:spacing w:line="360" w:lineRule="auto"/>
        <w:rPr>
          <w:rFonts w:ascii="Arial" w:hAnsi="Arial" w:cs="Arial"/>
          <w:sz w:val="24"/>
          <w:szCs w:val="24"/>
        </w:rPr>
      </w:pP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I Campos Eléctricos y Magnéticos.</w:t>
      </w:r>
      <w:r w:rsidRPr="007645D5">
        <w:rPr>
          <w:rFonts w:ascii="Arial" w:hAnsi="Arial" w:cs="Arial"/>
          <w:sz w:val="24"/>
          <w:szCs w:val="24"/>
        </w:rPr>
        <w:tab/>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II Ecuaciones de Maxwell.</w:t>
      </w:r>
      <w:r w:rsidRPr="007645D5">
        <w:rPr>
          <w:rFonts w:ascii="Arial" w:hAnsi="Arial" w:cs="Arial"/>
          <w:sz w:val="24"/>
          <w:szCs w:val="24"/>
        </w:rPr>
        <w:tab/>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III Valores de la velocidad de la luz, la permitividad y la permeabilidad magnética</w:t>
      </w:r>
      <w:r w:rsidRPr="007645D5">
        <w:rPr>
          <w:rFonts w:ascii="Arial" w:hAnsi="Arial" w:cs="Arial"/>
          <w:sz w:val="24"/>
          <w:szCs w:val="24"/>
        </w:rPr>
        <w:tab/>
      </w:r>
      <w:r>
        <w:rPr>
          <w:rFonts w:ascii="Arial" w:hAnsi="Arial" w:cs="Arial"/>
          <w:sz w:val="24"/>
          <w:szCs w:val="24"/>
        </w:rPr>
        <w:t>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IV</w:t>
      </w:r>
      <w:r>
        <w:rPr>
          <w:rFonts w:ascii="Arial" w:hAnsi="Arial" w:cs="Arial"/>
          <w:sz w:val="24"/>
          <w:szCs w:val="24"/>
        </w:rPr>
        <w:t xml:space="preserve"> </w:t>
      </w:r>
      <w:r w:rsidRPr="007645D5">
        <w:rPr>
          <w:rFonts w:ascii="Arial" w:hAnsi="Arial" w:cs="Arial"/>
          <w:sz w:val="24"/>
          <w:szCs w:val="24"/>
        </w:rPr>
        <w:t>Cantidades y Unidades Electromagnéticas</w:t>
      </w:r>
      <w:r w:rsidRPr="007645D5">
        <w:rPr>
          <w:rFonts w:ascii="Arial" w:hAnsi="Arial" w:cs="Arial"/>
          <w:sz w:val="24"/>
          <w:szCs w:val="24"/>
        </w:rPr>
        <w:tab/>
      </w:r>
      <w:r>
        <w:rPr>
          <w:rFonts w:ascii="Arial" w:hAnsi="Arial" w:cs="Arial"/>
          <w:sz w:val="24"/>
          <w:szCs w:val="24"/>
        </w:rPr>
        <w:t>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V </w:t>
      </w:r>
      <w:r>
        <w:rPr>
          <w:rFonts w:ascii="Arial" w:hAnsi="Arial" w:cs="Arial"/>
          <w:sz w:val="24"/>
          <w:szCs w:val="24"/>
        </w:rPr>
        <w:t xml:space="preserve"> </w:t>
      </w:r>
      <w:r w:rsidRPr="007645D5">
        <w:rPr>
          <w:rFonts w:ascii="Arial" w:hAnsi="Arial" w:cs="Arial"/>
          <w:sz w:val="24"/>
          <w:szCs w:val="24"/>
        </w:rPr>
        <w:t>Clasificación de radiaciones ionizantes y no ionizantes</w:t>
      </w:r>
      <w:r w:rsidRPr="007645D5">
        <w:rPr>
          <w:rFonts w:ascii="Arial" w:hAnsi="Arial" w:cs="Arial"/>
          <w:sz w:val="24"/>
          <w:szCs w:val="24"/>
        </w:rPr>
        <w:tab/>
        <w:t>1</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VI Espectro de radiofrecuencia</w:t>
      </w:r>
      <w:r w:rsidRPr="007645D5">
        <w:rPr>
          <w:rFonts w:ascii="Arial" w:hAnsi="Arial" w:cs="Arial"/>
          <w:sz w:val="24"/>
          <w:szCs w:val="24"/>
        </w:rPr>
        <w:tab/>
        <w:t>1</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VII Distintos Estándares WIFI</w:t>
      </w:r>
      <w:r w:rsidRPr="007645D5">
        <w:rPr>
          <w:rFonts w:ascii="Arial" w:hAnsi="Arial" w:cs="Arial"/>
          <w:sz w:val="24"/>
          <w:szCs w:val="24"/>
        </w:rPr>
        <w:tab/>
      </w:r>
      <w:r>
        <w:rPr>
          <w:rFonts w:ascii="Arial" w:hAnsi="Arial" w:cs="Arial"/>
          <w:sz w:val="24"/>
          <w:szCs w:val="24"/>
        </w:rPr>
        <w:t>29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VIII Distribución de Mediciones Telefonía Móvil en Exteriores</w:t>
      </w:r>
      <w:r w:rsidRPr="007645D5">
        <w:rPr>
          <w:rFonts w:ascii="Arial" w:hAnsi="Arial" w:cs="Arial"/>
          <w:sz w:val="24"/>
          <w:szCs w:val="24"/>
        </w:rPr>
        <w:tab/>
        <w:t>9</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IX Distribución de Mediciones Telefonía Móvil en Edificios Cercanos  </w:t>
      </w:r>
      <w:r w:rsidRPr="007645D5">
        <w:rPr>
          <w:rFonts w:ascii="Arial" w:hAnsi="Arial" w:cs="Arial"/>
          <w:sz w:val="24"/>
          <w:szCs w:val="24"/>
        </w:rPr>
        <w:tab/>
        <w:t>9</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X </w:t>
      </w:r>
      <w:r>
        <w:rPr>
          <w:rFonts w:ascii="Arial" w:hAnsi="Arial" w:cs="Arial"/>
          <w:sz w:val="24"/>
          <w:szCs w:val="24"/>
        </w:rPr>
        <w:t xml:space="preserve"> </w:t>
      </w:r>
      <w:r w:rsidRPr="007645D5">
        <w:rPr>
          <w:rFonts w:ascii="Arial" w:hAnsi="Arial" w:cs="Arial"/>
          <w:sz w:val="24"/>
          <w:szCs w:val="24"/>
        </w:rPr>
        <w:t>Distribución de Mediciones de los puntos de acceso inalámbrico de la Red ESPOL</w:t>
      </w:r>
      <w:r w:rsidRPr="007645D5">
        <w:rPr>
          <w:rFonts w:ascii="Arial" w:hAnsi="Arial" w:cs="Arial"/>
          <w:sz w:val="24"/>
          <w:szCs w:val="24"/>
        </w:rPr>
        <w:tab/>
        <w:t>9</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XI  </w:t>
      </w:r>
      <w:r w:rsidRPr="007645D5">
        <w:rPr>
          <w:rFonts w:ascii="Arial" w:hAnsi="Arial" w:cs="Arial"/>
          <w:sz w:val="24"/>
          <w:szCs w:val="24"/>
        </w:rPr>
        <w:t>Distribución de Mediciones de los puntos de acceso inalámbrico de la Red</w:t>
      </w:r>
      <w:r w:rsidRPr="007645D5">
        <w:rPr>
          <w:rFonts w:ascii="Arial" w:hAnsi="Arial" w:cs="Arial"/>
          <w:sz w:val="24"/>
          <w:szCs w:val="24"/>
        </w:rPr>
        <w:tab/>
        <w:t>9</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XII </w:t>
      </w:r>
      <w:r w:rsidRPr="007645D5">
        <w:rPr>
          <w:rFonts w:ascii="Arial" w:hAnsi="Arial" w:cs="Arial"/>
          <w:sz w:val="24"/>
          <w:szCs w:val="24"/>
        </w:rPr>
        <w:t>Información puntos de medición alrededor Radio Base Porta en predios de ESPOL</w:t>
      </w:r>
      <w:r w:rsidRPr="007645D5">
        <w:rPr>
          <w:rFonts w:ascii="Arial" w:hAnsi="Arial" w:cs="Arial"/>
          <w:sz w:val="24"/>
          <w:szCs w:val="24"/>
        </w:rPr>
        <w:tab/>
        <w:t>9</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XIII Información puntos de medición edificios cercanos a la Radio Base Porta en predios de ESPOL</w:t>
      </w:r>
      <w:r w:rsidRPr="007645D5">
        <w:rPr>
          <w:rFonts w:ascii="Arial" w:hAnsi="Arial" w:cs="Arial"/>
          <w:sz w:val="24"/>
          <w:szCs w:val="24"/>
        </w:rPr>
        <w:tab/>
        <w:t>9</w:t>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XIV </w:t>
      </w:r>
      <w:r w:rsidRPr="007645D5">
        <w:rPr>
          <w:rFonts w:ascii="Arial" w:hAnsi="Arial" w:cs="Arial"/>
          <w:sz w:val="24"/>
          <w:szCs w:val="24"/>
        </w:rPr>
        <w:tab/>
        <w:t>Información puntos de medición alrededor Radio Base Movistar en predios de ESPOL</w:t>
      </w:r>
      <w:r w:rsidRPr="007645D5">
        <w:rPr>
          <w:rFonts w:ascii="Arial" w:hAnsi="Arial" w:cs="Arial"/>
          <w:sz w:val="24"/>
          <w:szCs w:val="24"/>
        </w:rPr>
        <w:tab/>
        <w:t>9</w:t>
      </w:r>
      <w:r>
        <w:rPr>
          <w:rFonts w:ascii="Arial" w:hAnsi="Arial" w:cs="Arial"/>
          <w:sz w:val="24"/>
          <w:szCs w:val="24"/>
        </w:rPr>
        <w:t>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XV </w:t>
      </w:r>
      <w:r>
        <w:rPr>
          <w:rFonts w:ascii="Arial" w:hAnsi="Arial" w:cs="Arial"/>
          <w:sz w:val="24"/>
          <w:szCs w:val="24"/>
        </w:rPr>
        <w:t xml:space="preserve"> </w:t>
      </w:r>
      <w:r w:rsidRPr="007645D5">
        <w:rPr>
          <w:rFonts w:ascii="Arial" w:hAnsi="Arial" w:cs="Arial"/>
          <w:sz w:val="24"/>
          <w:szCs w:val="24"/>
        </w:rPr>
        <w:t>Información puntos de medición edificios cercanos a la Radio Base Movistar en predios de ESPOL</w:t>
      </w:r>
      <w:r w:rsidRPr="007645D5">
        <w:rPr>
          <w:rFonts w:ascii="Arial" w:hAnsi="Arial" w:cs="Arial"/>
          <w:sz w:val="24"/>
          <w:szCs w:val="24"/>
        </w:rPr>
        <w:tab/>
      </w:r>
      <w:r>
        <w:rPr>
          <w:rFonts w:ascii="Arial" w:hAnsi="Arial" w:cs="Arial"/>
          <w:sz w:val="24"/>
          <w:szCs w:val="24"/>
        </w:rPr>
        <w:t>99</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lastRenderedPageBreak/>
        <w:t>Tabla XVI</w:t>
      </w:r>
      <w:r>
        <w:rPr>
          <w:rFonts w:ascii="Arial" w:hAnsi="Arial" w:cs="Arial"/>
          <w:sz w:val="24"/>
          <w:szCs w:val="24"/>
        </w:rPr>
        <w:t xml:space="preserve"> </w:t>
      </w:r>
      <w:r w:rsidRPr="007645D5">
        <w:rPr>
          <w:rFonts w:ascii="Arial" w:hAnsi="Arial" w:cs="Arial"/>
          <w:sz w:val="24"/>
          <w:szCs w:val="24"/>
        </w:rPr>
        <w:t xml:space="preserve"> Información puntos de medición puntos de acceso WLAN, en predios de ESPOL</w:t>
      </w:r>
      <w:r w:rsidRPr="007645D5">
        <w:rPr>
          <w:rFonts w:ascii="Arial" w:hAnsi="Arial" w:cs="Arial"/>
          <w:sz w:val="24"/>
          <w:szCs w:val="24"/>
        </w:rPr>
        <w:tab/>
        <w:t>10</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XVII </w:t>
      </w:r>
      <w:r w:rsidRPr="007645D5">
        <w:rPr>
          <w:rFonts w:ascii="Arial" w:hAnsi="Arial" w:cs="Arial"/>
          <w:sz w:val="24"/>
          <w:szCs w:val="24"/>
        </w:rPr>
        <w:t>Información punto de medición de Análisis a Múltiples Fuentes, en predios de ESPOL</w:t>
      </w:r>
      <w:r w:rsidRPr="007645D5">
        <w:rPr>
          <w:rFonts w:ascii="Arial" w:hAnsi="Arial" w:cs="Arial"/>
          <w:sz w:val="24"/>
          <w:szCs w:val="24"/>
        </w:rPr>
        <w:tab/>
        <w:t>10</w:t>
      </w:r>
      <w:r>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XVIII</w:t>
      </w:r>
      <w:r>
        <w:rPr>
          <w:rFonts w:ascii="Arial" w:hAnsi="Arial" w:cs="Arial"/>
          <w:sz w:val="24"/>
          <w:szCs w:val="24"/>
        </w:rPr>
        <w:t xml:space="preserve"> </w:t>
      </w:r>
      <w:r w:rsidRPr="007645D5">
        <w:rPr>
          <w:rFonts w:ascii="Arial" w:hAnsi="Arial" w:cs="Arial"/>
          <w:sz w:val="24"/>
          <w:szCs w:val="24"/>
        </w:rPr>
        <w:t>Valores de mediciones Telefonía Móvil Porta con  procedimiento 1,  realizadas en ambientes exteriores</w:t>
      </w:r>
      <w:r w:rsidRPr="007645D5">
        <w:rPr>
          <w:rFonts w:ascii="Arial" w:hAnsi="Arial" w:cs="Arial"/>
          <w:sz w:val="24"/>
          <w:szCs w:val="24"/>
        </w:rPr>
        <w:tab/>
        <w:t>10</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XIX Valores de mediciones Telefonía Móvil Movistar con  procedimiento 1,  realizadas en ambientes exteriores</w:t>
      </w:r>
      <w:r w:rsidRPr="007645D5">
        <w:rPr>
          <w:rFonts w:ascii="Arial" w:hAnsi="Arial" w:cs="Arial"/>
          <w:sz w:val="24"/>
          <w:szCs w:val="24"/>
        </w:rPr>
        <w:tab/>
        <w:t>10</w:t>
      </w:r>
      <w:r>
        <w:rPr>
          <w:rFonts w:ascii="Arial" w:hAnsi="Arial" w:cs="Arial"/>
          <w:sz w:val="24"/>
          <w:szCs w:val="24"/>
        </w:rPr>
        <w:t>3</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w:t>
      </w:r>
      <w:r>
        <w:rPr>
          <w:rFonts w:ascii="Arial" w:hAnsi="Arial" w:cs="Arial"/>
          <w:sz w:val="24"/>
          <w:szCs w:val="24"/>
        </w:rPr>
        <w:t xml:space="preserve"> </w:t>
      </w:r>
      <w:r w:rsidRPr="007645D5">
        <w:rPr>
          <w:rFonts w:ascii="Arial" w:hAnsi="Arial" w:cs="Arial"/>
          <w:sz w:val="24"/>
          <w:szCs w:val="24"/>
        </w:rPr>
        <w:t>Valores de mediciones de Telefonía Móvil Porta procedimiento 1, realizadas en ambientes interiores</w:t>
      </w:r>
      <w:r w:rsidRPr="007645D5">
        <w:rPr>
          <w:rFonts w:ascii="Arial" w:hAnsi="Arial" w:cs="Arial"/>
          <w:sz w:val="24"/>
          <w:szCs w:val="24"/>
        </w:rPr>
        <w:tab/>
        <w:t>10</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XXI</w:t>
      </w:r>
      <w:r>
        <w:rPr>
          <w:rFonts w:ascii="Arial" w:hAnsi="Arial" w:cs="Arial"/>
          <w:sz w:val="24"/>
          <w:szCs w:val="24"/>
        </w:rPr>
        <w:t xml:space="preserve"> </w:t>
      </w:r>
      <w:r w:rsidRPr="007645D5">
        <w:rPr>
          <w:rFonts w:ascii="Arial" w:hAnsi="Arial" w:cs="Arial"/>
          <w:sz w:val="24"/>
          <w:szCs w:val="24"/>
        </w:rPr>
        <w:t>Valores de mediciones de Telefonía Móvil Movistar con procedimiento 1, realizadas en ambientes interiores</w:t>
      </w:r>
      <w:r w:rsidRPr="007645D5">
        <w:rPr>
          <w:rFonts w:ascii="Arial" w:hAnsi="Arial" w:cs="Arial"/>
          <w:sz w:val="24"/>
          <w:szCs w:val="24"/>
        </w:rPr>
        <w:tab/>
        <w:t>10</w:t>
      </w:r>
      <w:r>
        <w:rPr>
          <w:rFonts w:ascii="Arial" w:hAnsi="Arial" w:cs="Arial"/>
          <w:sz w:val="24"/>
          <w:szCs w:val="24"/>
        </w:rPr>
        <w:t>4</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XXII</w:t>
      </w:r>
      <w:r>
        <w:rPr>
          <w:rFonts w:ascii="Arial" w:hAnsi="Arial" w:cs="Arial"/>
          <w:sz w:val="24"/>
          <w:szCs w:val="24"/>
        </w:rPr>
        <w:t xml:space="preserve"> </w:t>
      </w:r>
      <w:r w:rsidRPr="007645D5">
        <w:rPr>
          <w:rFonts w:ascii="Arial" w:hAnsi="Arial" w:cs="Arial"/>
          <w:sz w:val="24"/>
          <w:szCs w:val="24"/>
        </w:rPr>
        <w:t xml:space="preserve">Valores de mediciones de WLAN con procedimiento 1, en ambientes interiores </w:t>
      </w:r>
      <w:r w:rsidRPr="007645D5">
        <w:rPr>
          <w:rFonts w:ascii="Arial" w:hAnsi="Arial" w:cs="Arial"/>
          <w:sz w:val="24"/>
          <w:szCs w:val="24"/>
        </w:rPr>
        <w:tab/>
        <w:t>10</w:t>
      </w:r>
      <w:r>
        <w:rPr>
          <w:rFonts w:ascii="Arial" w:hAnsi="Arial" w:cs="Arial"/>
          <w:sz w:val="24"/>
          <w:szCs w:val="24"/>
        </w:rPr>
        <w:t>5</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XXIII </w:t>
      </w:r>
      <w:r>
        <w:rPr>
          <w:rFonts w:ascii="Arial" w:hAnsi="Arial" w:cs="Arial"/>
          <w:sz w:val="24"/>
          <w:szCs w:val="24"/>
        </w:rPr>
        <w:t xml:space="preserve"> </w:t>
      </w:r>
      <w:r w:rsidRPr="007645D5">
        <w:rPr>
          <w:rFonts w:ascii="Arial" w:hAnsi="Arial" w:cs="Arial"/>
          <w:sz w:val="24"/>
          <w:szCs w:val="24"/>
        </w:rPr>
        <w:t>Valores de mediciones de múltiples fuentes con procedimiento  1</w:t>
      </w:r>
      <w:r w:rsidRPr="007645D5">
        <w:rPr>
          <w:rFonts w:ascii="Arial" w:hAnsi="Arial" w:cs="Arial"/>
          <w:sz w:val="24"/>
          <w:szCs w:val="24"/>
        </w:rPr>
        <w:tab/>
        <w:t>10</w:t>
      </w:r>
      <w:r>
        <w:rPr>
          <w:rFonts w:ascii="Arial" w:hAnsi="Arial" w:cs="Arial"/>
          <w:sz w:val="24"/>
          <w:szCs w:val="24"/>
        </w:rPr>
        <w:t>6</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XXIV Valores de mediciones de Telefonía Móvil Porta con  procedimiento 2,  realizadas en ambientes exteriores.</w:t>
      </w:r>
      <w:r w:rsidRPr="007645D5">
        <w:rPr>
          <w:rFonts w:ascii="Arial" w:hAnsi="Arial" w:cs="Arial"/>
          <w:sz w:val="24"/>
          <w:szCs w:val="24"/>
        </w:rPr>
        <w:tab/>
        <w:t>10</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XXV</w:t>
      </w:r>
      <w:r>
        <w:rPr>
          <w:rFonts w:ascii="Arial" w:hAnsi="Arial" w:cs="Arial"/>
          <w:sz w:val="24"/>
          <w:szCs w:val="24"/>
        </w:rPr>
        <w:t xml:space="preserve"> </w:t>
      </w:r>
      <w:r w:rsidRPr="007645D5">
        <w:rPr>
          <w:rFonts w:ascii="Arial" w:hAnsi="Arial" w:cs="Arial"/>
          <w:sz w:val="24"/>
          <w:szCs w:val="24"/>
        </w:rPr>
        <w:t>Valores de mediciones Telefonía Móvil Movistar con  procedimiento 2,  realizadas en ambientes exteriores</w:t>
      </w:r>
      <w:r w:rsidRPr="007645D5">
        <w:rPr>
          <w:rFonts w:ascii="Arial" w:hAnsi="Arial" w:cs="Arial"/>
          <w:sz w:val="24"/>
          <w:szCs w:val="24"/>
        </w:rPr>
        <w:tab/>
        <w:t>10</w:t>
      </w:r>
      <w:r>
        <w:rPr>
          <w:rFonts w:ascii="Arial" w:hAnsi="Arial" w:cs="Arial"/>
          <w:sz w:val="24"/>
          <w:szCs w:val="24"/>
        </w:rPr>
        <w:t>7</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XXVI Valores de mediciones de Telefonía Móvil Porta con procedimiento 2, realizadas en ambientes interiores</w:t>
      </w:r>
      <w:r w:rsidRPr="007645D5">
        <w:rPr>
          <w:rFonts w:ascii="Arial" w:hAnsi="Arial" w:cs="Arial"/>
          <w:sz w:val="24"/>
          <w:szCs w:val="24"/>
        </w:rPr>
        <w:tab/>
        <w:t>1</w:t>
      </w:r>
      <w:r>
        <w:rPr>
          <w:rFonts w:ascii="Arial" w:hAnsi="Arial" w:cs="Arial"/>
          <w:sz w:val="24"/>
          <w:szCs w:val="24"/>
        </w:rPr>
        <w:t>08</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XXVII </w:t>
      </w:r>
      <w:r w:rsidRPr="007645D5">
        <w:rPr>
          <w:rFonts w:ascii="Arial" w:hAnsi="Arial" w:cs="Arial"/>
          <w:sz w:val="24"/>
          <w:szCs w:val="24"/>
        </w:rPr>
        <w:t>Valores de mediciones de Telefonía Movistar con procedimiento 2, realizadas en ambientes interiores</w:t>
      </w:r>
      <w:r w:rsidRPr="007645D5">
        <w:rPr>
          <w:rFonts w:ascii="Arial" w:hAnsi="Arial" w:cs="Arial"/>
          <w:sz w:val="24"/>
          <w:szCs w:val="24"/>
        </w:rPr>
        <w:tab/>
        <w:t>1</w:t>
      </w:r>
      <w:r>
        <w:rPr>
          <w:rFonts w:ascii="Arial" w:hAnsi="Arial" w:cs="Arial"/>
          <w:sz w:val="24"/>
          <w:szCs w:val="24"/>
        </w:rPr>
        <w:t>08</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 xml:space="preserve">Tabla XXVIII </w:t>
      </w:r>
      <w:r>
        <w:rPr>
          <w:rFonts w:ascii="Arial" w:hAnsi="Arial" w:cs="Arial"/>
          <w:sz w:val="24"/>
          <w:szCs w:val="24"/>
        </w:rPr>
        <w:t xml:space="preserve"> </w:t>
      </w:r>
      <w:r w:rsidRPr="007645D5">
        <w:rPr>
          <w:rFonts w:ascii="Arial" w:hAnsi="Arial" w:cs="Arial"/>
          <w:sz w:val="24"/>
          <w:szCs w:val="24"/>
        </w:rPr>
        <w:t>Valores de mediciones de WLAN con procedimiento 2, en ambientes interiores</w:t>
      </w:r>
      <w:r w:rsidRPr="007645D5">
        <w:rPr>
          <w:rFonts w:ascii="Arial" w:hAnsi="Arial" w:cs="Arial"/>
          <w:sz w:val="24"/>
          <w:szCs w:val="24"/>
        </w:rPr>
        <w:tab/>
      </w:r>
      <w:r>
        <w:rPr>
          <w:rFonts w:ascii="Arial" w:hAnsi="Arial" w:cs="Arial"/>
          <w:sz w:val="24"/>
          <w:szCs w:val="24"/>
        </w:rPr>
        <w:t>109</w:t>
      </w:r>
    </w:p>
    <w:p w:rsidR="003A3F89" w:rsidRPr="007645D5" w:rsidRDefault="003A3F89" w:rsidP="003A3F89">
      <w:pPr>
        <w:pStyle w:val="TOC1"/>
        <w:jc w:val="left"/>
        <w:rPr>
          <w:rFonts w:ascii="Arial" w:hAnsi="Arial" w:cs="Arial"/>
          <w:sz w:val="24"/>
          <w:szCs w:val="24"/>
        </w:rPr>
      </w:pPr>
      <w:r>
        <w:rPr>
          <w:rFonts w:ascii="Arial" w:hAnsi="Arial" w:cs="Arial"/>
          <w:sz w:val="24"/>
          <w:szCs w:val="24"/>
        </w:rPr>
        <w:lastRenderedPageBreak/>
        <w:t xml:space="preserve">Tabla XXIX  </w:t>
      </w:r>
      <w:r w:rsidRPr="007645D5">
        <w:rPr>
          <w:rFonts w:ascii="Arial" w:hAnsi="Arial" w:cs="Arial"/>
          <w:sz w:val="24"/>
          <w:szCs w:val="24"/>
        </w:rPr>
        <w:t>Valores de mediciones de múltiples fuentes con  procedimiento 2</w:t>
      </w:r>
      <w:r w:rsidRPr="007645D5">
        <w:rPr>
          <w:rFonts w:ascii="Arial" w:hAnsi="Arial" w:cs="Arial"/>
          <w:sz w:val="24"/>
          <w:szCs w:val="24"/>
        </w:rPr>
        <w:tab/>
        <w:t xml:space="preserve"> </w:t>
      </w:r>
      <w:r>
        <w:rPr>
          <w:rFonts w:ascii="Arial" w:hAnsi="Arial" w:cs="Arial"/>
          <w:sz w:val="24"/>
          <w:szCs w:val="24"/>
        </w:rPr>
        <w:t xml:space="preserve">………………………………………………………………………………….. </w:t>
      </w:r>
      <w:r w:rsidRPr="007645D5">
        <w:rPr>
          <w:rFonts w:ascii="Arial" w:hAnsi="Arial" w:cs="Arial"/>
          <w:sz w:val="24"/>
          <w:szCs w:val="24"/>
        </w:rPr>
        <w:t>11</w:t>
      </w:r>
      <w:r>
        <w:rPr>
          <w:rFonts w:ascii="Arial" w:hAnsi="Arial" w:cs="Arial"/>
          <w:sz w:val="24"/>
          <w:szCs w:val="24"/>
        </w:rPr>
        <w:t>0</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XXX  </w:t>
      </w:r>
      <w:r w:rsidRPr="007645D5">
        <w:rPr>
          <w:rFonts w:ascii="Arial" w:hAnsi="Arial" w:cs="Arial"/>
          <w:sz w:val="24"/>
          <w:szCs w:val="24"/>
        </w:rPr>
        <w:t xml:space="preserve">Valores de componente  Ei,j  para medición  a  múltiples  </w:t>
      </w:r>
      <w:r>
        <w:rPr>
          <w:rFonts w:ascii="Arial" w:hAnsi="Arial" w:cs="Arial"/>
          <w:sz w:val="24"/>
          <w:szCs w:val="24"/>
        </w:rPr>
        <w:t xml:space="preserve"> </w:t>
      </w:r>
      <w:r w:rsidRPr="007645D5">
        <w:rPr>
          <w:rFonts w:ascii="Arial" w:hAnsi="Arial" w:cs="Arial"/>
          <w:sz w:val="24"/>
          <w:szCs w:val="24"/>
        </w:rPr>
        <w:t>fuentes</w:t>
      </w:r>
      <w:r w:rsidRPr="007645D5">
        <w:rPr>
          <w:rFonts w:ascii="Arial" w:hAnsi="Arial" w:cs="Arial"/>
          <w:sz w:val="24"/>
          <w:szCs w:val="24"/>
        </w:rPr>
        <w:tab/>
        <w:t xml:space="preserve"> 13</w:t>
      </w:r>
      <w:r w:rsidR="00E03F63">
        <w:rPr>
          <w:rFonts w:ascii="Arial" w:hAnsi="Arial" w:cs="Arial"/>
          <w:sz w:val="24"/>
          <w:szCs w:val="24"/>
        </w:rPr>
        <w:t>1</w:t>
      </w:r>
    </w:p>
    <w:p w:rsidR="003A3F89" w:rsidRPr="007645D5" w:rsidRDefault="003A3F89" w:rsidP="003A3F89">
      <w:pPr>
        <w:pStyle w:val="TOC1"/>
        <w:jc w:val="left"/>
        <w:rPr>
          <w:rFonts w:ascii="Arial" w:hAnsi="Arial" w:cs="Arial"/>
          <w:sz w:val="24"/>
          <w:szCs w:val="24"/>
        </w:rPr>
      </w:pPr>
      <w:r>
        <w:rPr>
          <w:rFonts w:ascii="Arial" w:hAnsi="Arial" w:cs="Arial"/>
          <w:sz w:val="24"/>
          <w:szCs w:val="24"/>
        </w:rPr>
        <w:t xml:space="preserve">Tabla XXXI </w:t>
      </w:r>
      <w:r w:rsidRPr="007645D5">
        <w:rPr>
          <w:rFonts w:ascii="Arial" w:hAnsi="Arial" w:cs="Arial"/>
          <w:sz w:val="24"/>
          <w:szCs w:val="24"/>
        </w:rPr>
        <w:t>Valores de componente Ei para medición a múltiples fuentes con procedimiento de medición 1</w:t>
      </w:r>
      <w:r w:rsidRPr="007645D5">
        <w:rPr>
          <w:rFonts w:ascii="Arial" w:hAnsi="Arial" w:cs="Arial"/>
          <w:sz w:val="24"/>
          <w:szCs w:val="24"/>
        </w:rPr>
        <w:tab/>
        <w:t>13</w:t>
      </w:r>
      <w:r>
        <w:rPr>
          <w:rFonts w:ascii="Arial" w:hAnsi="Arial" w:cs="Arial"/>
          <w:sz w:val="24"/>
          <w:szCs w:val="24"/>
        </w:rPr>
        <w:t>2</w:t>
      </w:r>
    </w:p>
    <w:p w:rsidR="003A3F89" w:rsidRPr="007645D5" w:rsidRDefault="003A3F89" w:rsidP="003A3F89">
      <w:pPr>
        <w:pStyle w:val="TOC1"/>
        <w:jc w:val="left"/>
        <w:rPr>
          <w:rFonts w:ascii="Arial" w:hAnsi="Arial" w:cs="Arial"/>
          <w:sz w:val="24"/>
          <w:szCs w:val="24"/>
        </w:rPr>
      </w:pPr>
      <w:r w:rsidRPr="007645D5">
        <w:rPr>
          <w:rFonts w:ascii="Arial" w:hAnsi="Arial" w:cs="Arial"/>
          <w:sz w:val="24"/>
          <w:szCs w:val="24"/>
        </w:rPr>
        <w:t>Tabla XXXII</w:t>
      </w:r>
      <w:r>
        <w:rPr>
          <w:rFonts w:ascii="Arial" w:hAnsi="Arial" w:cs="Arial"/>
          <w:sz w:val="24"/>
          <w:szCs w:val="24"/>
        </w:rPr>
        <w:t xml:space="preserve"> </w:t>
      </w:r>
      <w:r w:rsidRPr="007645D5">
        <w:rPr>
          <w:rFonts w:ascii="Arial" w:hAnsi="Arial" w:cs="Arial"/>
          <w:sz w:val="24"/>
          <w:szCs w:val="24"/>
        </w:rPr>
        <w:t>Valores de componente Ei para medición a múltiples fuentes con procedimiento de medición 2</w:t>
      </w:r>
      <w:r w:rsidRPr="007645D5">
        <w:rPr>
          <w:rFonts w:ascii="Arial" w:hAnsi="Arial" w:cs="Arial"/>
          <w:sz w:val="24"/>
          <w:szCs w:val="24"/>
        </w:rPr>
        <w:tab/>
        <w:t>13</w:t>
      </w:r>
      <w:r>
        <w:rPr>
          <w:rFonts w:ascii="Arial" w:hAnsi="Arial" w:cs="Arial"/>
          <w:sz w:val="24"/>
          <w:szCs w:val="24"/>
        </w:rPr>
        <w:t>4</w:t>
      </w:r>
    </w:p>
    <w:p w:rsidR="007757BD" w:rsidRPr="007645D5" w:rsidRDefault="007757BD" w:rsidP="007645D5">
      <w:pPr>
        <w:rPr>
          <w:rFonts w:ascii="Arial" w:hAnsi="Arial" w:cs="Arial"/>
          <w:sz w:val="24"/>
          <w:szCs w:val="24"/>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7D4232">
      <w:pPr>
        <w:spacing w:line="360" w:lineRule="auto"/>
        <w:jc w:val="center"/>
        <w:rPr>
          <w:rFonts w:ascii="Arial" w:hAnsi="Arial" w:cs="Arial"/>
          <w:b/>
          <w:sz w:val="32"/>
          <w:szCs w:val="32"/>
        </w:rPr>
      </w:pPr>
    </w:p>
    <w:p w:rsidR="002A7B85" w:rsidRDefault="002A7B85" w:rsidP="002A7B85">
      <w:pPr>
        <w:spacing w:line="360" w:lineRule="auto"/>
        <w:jc w:val="center"/>
        <w:rPr>
          <w:rFonts w:ascii="Arial" w:hAnsi="Arial" w:cs="Arial"/>
          <w:b/>
          <w:sz w:val="32"/>
          <w:szCs w:val="32"/>
        </w:rPr>
      </w:pPr>
      <w:r w:rsidRPr="00F672A7">
        <w:rPr>
          <w:rFonts w:ascii="Arial" w:hAnsi="Arial" w:cs="Arial"/>
          <w:b/>
          <w:sz w:val="32"/>
          <w:szCs w:val="32"/>
        </w:rPr>
        <w:lastRenderedPageBreak/>
        <w:t>INTRODUCCIÓN</w:t>
      </w:r>
    </w:p>
    <w:p w:rsidR="002A7B85" w:rsidRPr="00F672A7" w:rsidRDefault="002A7B85" w:rsidP="002A7B85">
      <w:pPr>
        <w:spacing w:line="360" w:lineRule="auto"/>
        <w:jc w:val="center"/>
        <w:rPr>
          <w:rFonts w:ascii="Arial" w:hAnsi="Arial" w:cs="Arial"/>
          <w:b/>
          <w:sz w:val="32"/>
          <w:szCs w:val="32"/>
        </w:rPr>
      </w:pPr>
    </w:p>
    <w:p w:rsidR="002A7B85" w:rsidRDefault="002A7B85" w:rsidP="002A7B85">
      <w:pPr>
        <w:spacing w:line="360" w:lineRule="auto"/>
        <w:jc w:val="both"/>
        <w:rPr>
          <w:rFonts w:ascii="Arial" w:hAnsi="Arial" w:cs="Arial"/>
          <w:sz w:val="24"/>
          <w:szCs w:val="24"/>
        </w:rPr>
      </w:pPr>
      <w:r>
        <w:rPr>
          <w:rFonts w:ascii="Arial" w:hAnsi="Arial" w:cs="Arial"/>
          <w:sz w:val="24"/>
          <w:szCs w:val="24"/>
        </w:rPr>
        <w:t xml:space="preserve">En el Ecuador el tema de las radiaciones no ionizantes, es poco conocido, pero con una alta creencia de que son peligrosas para nuestra salud; en el país solo se conoce estudios y mediciones de RNI de entidades estatales para tecnología de telefonía móvil. </w:t>
      </w:r>
    </w:p>
    <w:p w:rsidR="002A7B85" w:rsidRDefault="002A7B85" w:rsidP="002A7B85">
      <w:pPr>
        <w:spacing w:line="360" w:lineRule="auto"/>
        <w:jc w:val="both"/>
        <w:rPr>
          <w:rFonts w:ascii="Arial" w:hAnsi="Arial" w:cs="Arial"/>
          <w:sz w:val="24"/>
          <w:szCs w:val="24"/>
        </w:rPr>
      </w:pPr>
    </w:p>
    <w:p w:rsidR="002A7B85" w:rsidRDefault="002A7B85" w:rsidP="002A7B85">
      <w:pPr>
        <w:spacing w:line="360" w:lineRule="auto"/>
        <w:jc w:val="both"/>
        <w:rPr>
          <w:rFonts w:ascii="Arial" w:hAnsi="Arial" w:cs="Arial"/>
          <w:sz w:val="24"/>
          <w:szCs w:val="24"/>
        </w:rPr>
      </w:pPr>
      <w:r w:rsidRPr="00F672A7">
        <w:rPr>
          <w:rFonts w:ascii="Arial" w:hAnsi="Arial" w:cs="Arial"/>
          <w:sz w:val="24"/>
          <w:szCs w:val="24"/>
        </w:rPr>
        <w:t xml:space="preserve">El presente trabajo muestra </w:t>
      </w:r>
      <w:r>
        <w:rPr>
          <w:rFonts w:ascii="Arial" w:hAnsi="Arial" w:cs="Arial"/>
          <w:sz w:val="24"/>
          <w:szCs w:val="24"/>
        </w:rPr>
        <w:t>un estudio sobre análisis de mediciones de radiaciones no ionizantes, convirtiéndose  en un reto para los autores ya que se analiza y se toma recomendaciones de normativas estatales e internacionales, con la utilización de dos pro</w:t>
      </w:r>
      <w:r w:rsidR="001C0DF9">
        <w:rPr>
          <w:rFonts w:ascii="Arial" w:hAnsi="Arial" w:cs="Arial"/>
          <w:sz w:val="24"/>
          <w:szCs w:val="24"/>
        </w:rPr>
        <w:t xml:space="preserve">cedimientos de medición y para </w:t>
      </w:r>
      <w:r>
        <w:rPr>
          <w:rFonts w:ascii="Arial" w:hAnsi="Arial" w:cs="Arial"/>
          <w:sz w:val="24"/>
          <w:szCs w:val="24"/>
        </w:rPr>
        <w:t>diferentes tecnologías de telecomunicaciones como wireless LAN, telefonía móvil, televisión y radiodifusión.</w:t>
      </w:r>
    </w:p>
    <w:p w:rsidR="002A7B85" w:rsidRDefault="002A7B85" w:rsidP="002A7B85">
      <w:pPr>
        <w:spacing w:line="360" w:lineRule="auto"/>
        <w:jc w:val="both"/>
        <w:rPr>
          <w:rFonts w:ascii="Arial" w:hAnsi="Arial" w:cs="Arial"/>
          <w:sz w:val="24"/>
          <w:szCs w:val="24"/>
        </w:rPr>
      </w:pPr>
    </w:p>
    <w:p w:rsidR="002A7B85" w:rsidRDefault="002A7B85" w:rsidP="002A7B85">
      <w:pPr>
        <w:spacing w:line="360" w:lineRule="auto"/>
        <w:jc w:val="both"/>
        <w:rPr>
          <w:rFonts w:ascii="Arial" w:hAnsi="Arial" w:cs="Arial"/>
          <w:sz w:val="24"/>
          <w:szCs w:val="24"/>
        </w:rPr>
      </w:pPr>
      <w:r w:rsidRPr="00F672A7">
        <w:rPr>
          <w:rFonts w:ascii="Arial" w:hAnsi="Arial" w:cs="Arial"/>
          <w:sz w:val="24"/>
          <w:szCs w:val="24"/>
        </w:rPr>
        <w:t>Mediante el e</w:t>
      </w:r>
      <w:r>
        <w:rPr>
          <w:rFonts w:ascii="Arial" w:hAnsi="Arial" w:cs="Arial"/>
          <w:sz w:val="24"/>
          <w:szCs w:val="24"/>
        </w:rPr>
        <w:t>studio rea</w:t>
      </w:r>
      <w:r w:rsidR="0044526E">
        <w:rPr>
          <w:rFonts w:ascii="Arial" w:hAnsi="Arial" w:cs="Arial"/>
          <w:sz w:val="24"/>
          <w:szCs w:val="24"/>
        </w:rPr>
        <w:t>lizado se evaluará y se mostrará</w:t>
      </w:r>
      <w:r>
        <w:rPr>
          <w:rFonts w:ascii="Arial" w:hAnsi="Arial" w:cs="Arial"/>
          <w:sz w:val="24"/>
          <w:szCs w:val="24"/>
        </w:rPr>
        <w:t xml:space="preserve"> por gráficos, si todos los valores obtenidos están por debajo de los niveles de referencia correspondientes a su frecuencia, para la exposición poblacional a campos electromagnéticos. </w:t>
      </w:r>
    </w:p>
    <w:p w:rsidR="002A7B85" w:rsidRDefault="002A7B85" w:rsidP="002A7B85">
      <w:pPr>
        <w:spacing w:line="360" w:lineRule="auto"/>
        <w:jc w:val="both"/>
        <w:rPr>
          <w:rFonts w:ascii="Arial" w:hAnsi="Arial" w:cs="Arial"/>
          <w:sz w:val="24"/>
          <w:szCs w:val="24"/>
        </w:rPr>
      </w:pPr>
    </w:p>
    <w:p w:rsidR="002A7B85" w:rsidRPr="00F672A7" w:rsidRDefault="002A7B85" w:rsidP="002A7B85">
      <w:pPr>
        <w:spacing w:line="360" w:lineRule="auto"/>
        <w:jc w:val="both"/>
        <w:rPr>
          <w:rFonts w:ascii="Arial" w:hAnsi="Arial" w:cs="Arial"/>
          <w:sz w:val="24"/>
          <w:szCs w:val="24"/>
        </w:rPr>
      </w:pPr>
      <w:r>
        <w:rPr>
          <w:rFonts w:ascii="Arial" w:hAnsi="Arial" w:cs="Arial"/>
          <w:sz w:val="24"/>
          <w:szCs w:val="24"/>
        </w:rPr>
        <w:t>En cada punto de medición se toman tres valores de medición, a diferentes alturas para cada uno de los dos procedimientos de medición de radiaciones no ionizantes, y  representaremos la verificación de  la confiabilidad de dichos procedimientos con el cálculo de la desviación máxima o diferencia porcentual máxima con respecto al promedio de las alturas.</w:t>
      </w:r>
    </w:p>
    <w:p w:rsidR="004A5D40" w:rsidRDefault="004A5D40" w:rsidP="007D4232">
      <w:pPr>
        <w:spacing w:line="360" w:lineRule="auto"/>
        <w:jc w:val="center"/>
        <w:rPr>
          <w:rFonts w:ascii="Arial" w:hAnsi="Arial" w:cs="Arial"/>
          <w:b/>
          <w:sz w:val="32"/>
          <w:szCs w:val="32"/>
        </w:rPr>
        <w:sectPr w:rsidR="004A5D40" w:rsidSect="002A7B85">
          <w:pgSz w:w="11906" w:h="16838" w:code="9"/>
          <w:pgMar w:top="2268" w:right="1361" w:bottom="2268" w:left="2268" w:header="709" w:footer="709" w:gutter="0"/>
          <w:pgNumType w:fmt="upperRoman" w:start="7"/>
          <w:cols w:space="708"/>
          <w:docGrid w:linePitch="360"/>
        </w:sectPr>
      </w:pPr>
    </w:p>
    <w:p w:rsidR="0025315F" w:rsidRDefault="0025315F" w:rsidP="0025315F">
      <w:pPr>
        <w:spacing w:line="360" w:lineRule="auto"/>
        <w:jc w:val="center"/>
        <w:rPr>
          <w:rFonts w:ascii="Arial" w:hAnsi="Arial" w:cs="Arial"/>
          <w:b/>
          <w:sz w:val="48"/>
          <w:szCs w:val="48"/>
        </w:rPr>
      </w:pPr>
    </w:p>
    <w:p w:rsidR="0025315F" w:rsidRDefault="0025315F" w:rsidP="0025315F">
      <w:pPr>
        <w:spacing w:line="360" w:lineRule="auto"/>
        <w:jc w:val="center"/>
        <w:rPr>
          <w:rFonts w:ascii="Arial" w:hAnsi="Arial" w:cs="Arial"/>
          <w:b/>
          <w:sz w:val="48"/>
          <w:szCs w:val="48"/>
        </w:rPr>
      </w:pPr>
    </w:p>
    <w:p w:rsidR="0025315F" w:rsidRDefault="0025315F" w:rsidP="0025315F">
      <w:pPr>
        <w:spacing w:line="360" w:lineRule="auto"/>
        <w:jc w:val="center"/>
        <w:rPr>
          <w:rFonts w:ascii="Arial" w:hAnsi="Arial" w:cs="Arial"/>
          <w:b/>
          <w:sz w:val="48"/>
          <w:szCs w:val="48"/>
        </w:rPr>
      </w:pPr>
    </w:p>
    <w:p w:rsidR="0025315F" w:rsidRPr="005C5DBE" w:rsidRDefault="0025315F" w:rsidP="0025315F">
      <w:pPr>
        <w:spacing w:line="360" w:lineRule="auto"/>
        <w:jc w:val="center"/>
        <w:rPr>
          <w:rFonts w:ascii="Arial" w:hAnsi="Arial" w:cs="Arial"/>
          <w:b/>
          <w:sz w:val="24"/>
          <w:szCs w:val="24"/>
        </w:rPr>
      </w:pPr>
      <w:r w:rsidRPr="00F95ECA">
        <w:rPr>
          <w:rFonts w:ascii="Arial" w:hAnsi="Arial" w:cs="Arial"/>
          <w:b/>
          <w:sz w:val="48"/>
          <w:szCs w:val="48"/>
        </w:rPr>
        <w:t>CAPÍTULO 1</w:t>
      </w:r>
    </w:p>
    <w:p w:rsidR="0025315F" w:rsidRPr="007F539E" w:rsidRDefault="0025315F" w:rsidP="0025315F">
      <w:pPr>
        <w:pStyle w:val="ListParagraph"/>
        <w:numPr>
          <w:ilvl w:val="0"/>
          <w:numId w:val="1"/>
        </w:numPr>
        <w:spacing w:line="360" w:lineRule="auto"/>
        <w:rPr>
          <w:rFonts w:ascii="Arial" w:hAnsi="Arial" w:cs="Arial"/>
          <w:b/>
          <w:sz w:val="32"/>
          <w:szCs w:val="24"/>
        </w:rPr>
      </w:pPr>
      <w:r w:rsidRPr="007F539E">
        <w:rPr>
          <w:rFonts w:ascii="Arial" w:hAnsi="Arial" w:cs="Arial"/>
          <w:b/>
          <w:sz w:val="32"/>
          <w:szCs w:val="24"/>
        </w:rPr>
        <w:t>MARCO TEÓRICO</w:t>
      </w:r>
    </w:p>
    <w:p w:rsidR="0025315F" w:rsidRPr="003344F1" w:rsidRDefault="0025315F" w:rsidP="0025315F">
      <w:pPr>
        <w:spacing w:line="360" w:lineRule="auto"/>
        <w:jc w:val="both"/>
        <w:rPr>
          <w:rFonts w:ascii="Arial" w:hAnsi="Arial" w:cs="Arial"/>
          <w:b/>
          <w:sz w:val="18"/>
          <w:szCs w:val="24"/>
        </w:rPr>
      </w:pPr>
    </w:p>
    <w:p w:rsidR="0025315F" w:rsidRPr="005C5DBE" w:rsidRDefault="0025315F" w:rsidP="0025315F">
      <w:pPr>
        <w:pStyle w:val="ListParagraph"/>
        <w:numPr>
          <w:ilvl w:val="1"/>
          <w:numId w:val="2"/>
        </w:numPr>
        <w:tabs>
          <w:tab w:val="left" w:pos="1134"/>
        </w:tabs>
        <w:spacing w:line="360" w:lineRule="auto"/>
        <w:ind w:left="993" w:hanging="284"/>
        <w:jc w:val="both"/>
        <w:rPr>
          <w:rFonts w:ascii="Arial" w:hAnsi="Arial" w:cs="Arial"/>
          <w:b/>
          <w:sz w:val="24"/>
          <w:szCs w:val="24"/>
        </w:rPr>
      </w:pPr>
      <w:r w:rsidRPr="005C5DBE">
        <w:rPr>
          <w:rFonts w:ascii="Arial" w:hAnsi="Arial" w:cs="Arial"/>
          <w:b/>
          <w:sz w:val="24"/>
          <w:szCs w:val="24"/>
        </w:rPr>
        <w:t xml:space="preserve">  Antecedentes</w:t>
      </w:r>
    </w:p>
    <w:p w:rsidR="0025315F" w:rsidRPr="005C5DBE" w:rsidRDefault="0025315F" w:rsidP="0025315F">
      <w:pPr>
        <w:spacing w:after="90" w:line="360" w:lineRule="auto"/>
        <w:ind w:left="1276"/>
        <w:jc w:val="both"/>
        <w:rPr>
          <w:rFonts w:ascii="Arial" w:hAnsi="Arial" w:cs="Arial"/>
          <w:sz w:val="24"/>
          <w:szCs w:val="24"/>
        </w:rPr>
      </w:pPr>
      <w:r w:rsidRPr="005C5DBE">
        <w:rPr>
          <w:rFonts w:ascii="Arial" w:hAnsi="Arial" w:cs="Arial"/>
          <w:sz w:val="24"/>
          <w:szCs w:val="24"/>
        </w:rPr>
        <w:t xml:space="preserve">La carga eléctrica es transportada por los electrones y protones, partículas eléctricamente cargadas de los átomos. Los electrones están negativamente cargados; los protones tienen una carga igual pero positiva. Cargas iguales se repelen; cargas opuestas se atraen. Cuando un átomo o una molécula tiene un exceso de ya sea protones o electrones, transporta una carga eléctrica neta y se llama un ion. </w:t>
      </w:r>
    </w:p>
    <w:p w:rsidR="0025315F" w:rsidRPr="005C5DBE" w:rsidRDefault="0025315F" w:rsidP="0025315F">
      <w:pPr>
        <w:spacing w:after="90" w:line="360" w:lineRule="auto"/>
        <w:ind w:left="1276"/>
        <w:jc w:val="both"/>
        <w:rPr>
          <w:rFonts w:ascii="Arial" w:hAnsi="Arial" w:cs="Arial"/>
          <w:sz w:val="24"/>
          <w:szCs w:val="24"/>
        </w:rPr>
      </w:pPr>
    </w:p>
    <w:p w:rsidR="0025315F" w:rsidRPr="005C5DBE" w:rsidRDefault="0025315F" w:rsidP="0025315F">
      <w:pPr>
        <w:spacing w:after="90" w:line="360" w:lineRule="auto"/>
        <w:ind w:left="1276"/>
        <w:jc w:val="both"/>
        <w:rPr>
          <w:rFonts w:ascii="Arial" w:hAnsi="Arial" w:cs="Arial"/>
          <w:sz w:val="24"/>
          <w:szCs w:val="24"/>
        </w:rPr>
      </w:pPr>
      <w:r w:rsidRPr="005C5DBE">
        <w:rPr>
          <w:rFonts w:ascii="Arial" w:hAnsi="Arial" w:cs="Arial"/>
          <w:sz w:val="24"/>
          <w:szCs w:val="24"/>
        </w:rPr>
        <w:t xml:space="preserve">Un conductor es cualquier material en el cual los electrones pueden moverse libremente y redistribuir la carga. Conductividad es la propiedad de un material que determina la cantidad de corriente que fluirá a través de la unidad de área del material. Cuando los electrones en un material no están libres para moverse fácilmente el material es un aislante. La propiedad que </w:t>
      </w:r>
      <w:r w:rsidRPr="005C5DBE">
        <w:rPr>
          <w:rFonts w:ascii="Arial" w:hAnsi="Arial" w:cs="Arial"/>
          <w:sz w:val="24"/>
          <w:szCs w:val="24"/>
        </w:rPr>
        <w:lastRenderedPageBreak/>
        <w:t xml:space="preserve">define las características aislantes de un material es la resistencia </w:t>
      </w:r>
    </w:p>
    <w:p w:rsidR="0025315F" w:rsidRPr="005C5DBE" w:rsidRDefault="0025315F" w:rsidP="0025315F">
      <w:pPr>
        <w:spacing w:after="90" w:line="360" w:lineRule="auto"/>
        <w:ind w:left="1276"/>
        <w:jc w:val="both"/>
        <w:rPr>
          <w:rFonts w:ascii="Arial" w:hAnsi="Arial" w:cs="Arial"/>
          <w:b/>
          <w:sz w:val="24"/>
          <w:szCs w:val="24"/>
        </w:rPr>
      </w:pPr>
    </w:p>
    <w:p w:rsidR="0025315F" w:rsidRPr="005C5DBE" w:rsidRDefault="0025315F" w:rsidP="0025315F">
      <w:pPr>
        <w:spacing w:after="90" w:line="360" w:lineRule="auto"/>
        <w:ind w:left="1276"/>
        <w:jc w:val="both"/>
        <w:rPr>
          <w:rFonts w:ascii="Arial" w:hAnsi="Arial" w:cs="Arial"/>
          <w:sz w:val="24"/>
          <w:szCs w:val="24"/>
        </w:rPr>
      </w:pPr>
      <w:r w:rsidRPr="005C5DBE">
        <w:rPr>
          <w:rFonts w:ascii="Arial" w:hAnsi="Arial" w:cs="Arial"/>
          <w:sz w:val="24"/>
          <w:szCs w:val="24"/>
        </w:rPr>
        <w:t>El movimiento de la carga a través del conductor se llama corriente y se mide en amperios. Con la corriente directa, esta fluye en una dirección a un ritmo constante; con la corriente alterna tanto la dirección como cantidad del flujo de corriente cambian periódicamente en el tiempo.</w:t>
      </w:r>
    </w:p>
    <w:p w:rsidR="0025315F" w:rsidRPr="005C5DBE" w:rsidRDefault="0025315F" w:rsidP="0025315F">
      <w:pPr>
        <w:spacing w:after="90" w:line="360" w:lineRule="auto"/>
        <w:ind w:left="1276"/>
        <w:jc w:val="both"/>
        <w:rPr>
          <w:rFonts w:ascii="Arial" w:hAnsi="Arial" w:cs="Arial"/>
          <w:b/>
          <w:sz w:val="24"/>
          <w:szCs w:val="24"/>
        </w:rPr>
      </w:pPr>
    </w:p>
    <w:p w:rsidR="0025315F" w:rsidRPr="005C5DBE" w:rsidRDefault="0025315F" w:rsidP="0025315F">
      <w:pPr>
        <w:spacing w:after="90" w:line="360" w:lineRule="auto"/>
        <w:ind w:left="1276"/>
        <w:jc w:val="both"/>
        <w:rPr>
          <w:rFonts w:ascii="Arial" w:hAnsi="Arial" w:cs="Arial"/>
          <w:i/>
          <w:sz w:val="24"/>
          <w:szCs w:val="24"/>
        </w:rPr>
      </w:pPr>
      <w:r w:rsidRPr="005C5DBE">
        <w:rPr>
          <w:rFonts w:ascii="Arial" w:hAnsi="Arial" w:cs="Arial"/>
          <w:sz w:val="24"/>
          <w:szCs w:val="24"/>
        </w:rPr>
        <w:t xml:space="preserve">Si una corriente ha de fluir desde un punto a otro, debe de existir una diferencia de potencial eléctrico entre los dos puntos. Una diferencia de potencial se define como el trabajo necesario para transportar una unidad de carga desde un punto a otro, lo cual se mide en voltios. Por lo tanto una diferencia de potencial o voltaje en un conductor causa que las cargas se muevan, creando corriente. </w:t>
      </w:r>
    </w:p>
    <w:p w:rsidR="0025315F" w:rsidRPr="005C5DBE" w:rsidRDefault="0025315F" w:rsidP="0025315F">
      <w:pPr>
        <w:spacing w:after="90" w:line="360" w:lineRule="auto"/>
        <w:ind w:left="1276"/>
        <w:jc w:val="both"/>
        <w:rPr>
          <w:rFonts w:ascii="Arial" w:hAnsi="Arial" w:cs="Arial"/>
          <w:i/>
          <w:sz w:val="24"/>
          <w:szCs w:val="24"/>
        </w:rPr>
      </w:pPr>
      <w:r w:rsidRPr="005C5DBE">
        <w:rPr>
          <w:rFonts w:ascii="Arial" w:hAnsi="Arial" w:cs="Arial"/>
          <w:sz w:val="24"/>
          <w:szCs w:val="24"/>
        </w:rPr>
        <w:t>Se llama campo a un grupo de fuerzas que actúan sin contacto físico. Se le define como cualquier cantidad física que puede tomar diferentes valores en diferentes puntos en el espacio</w:t>
      </w:r>
      <w:r w:rsidRPr="005C5DBE">
        <w:rPr>
          <w:rFonts w:ascii="Arial" w:hAnsi="Arial" w:cs="Arial"/>
          <w:i/>
          <w:sz w:val="24"/>
          <w:szCs w:val="24"/>
        </w:rPr>
        <w:t xml:space="preserve">. </w:t>
      </w:r>
    </w:p>
    <w:p w:rsidR="0025315F" w:rsidRPr="005C5DBE" w:rsidRDefault="0025315F" w:rsidP="0025315F">
      <w:pPr>
        <w:tabs>
          <w:tab w:val="left" w:pos="1134"/>
        </w:tabs>
        <w:spacing w:line="360" w:lineRule="auto"/>
        <w:jc w:val="both"/>
        <w:rPr>
          <w:rFonts w:ascii="Arial" w:hAnsi="Arial" w:cs="Arial"/>
          <w:b/>
          <w:sz w:val="24"/>
          <w:szCs w:val="24"/>
        </w:rPr>
      </w:pPr>
    </w:p>
    <w:p w:rsidR="0025315F" w:rsidRPr="0030418D" w:rsidRDefault="0025315F" w:rsidP="0025315F">
      <w:pPr>
        <w:pStyle w:val="ListParagraph"/>
        <w:numPr>
          <w:ilvl w:val="2"/>
          <w:numId w:val="2"/>
        </w:numPr>
        <w:spacing w:line="360" w:lineRule="auto"/>
        <w:ind w:left="1276" w:firstLine="142"/>
        <w:jc w:val="both"/>
        <w:rPr>
          <w:rFonts w:ascii="Arial" w:hAnsi="Arial" w:cs="Arial"/>
          <w:b/>
          <w:sz w:val="24"/>
          <w:szCs w:val="24"/>
        </w:rPr>
      </w:pPr>
      <w:r w:rsidRPr="0030418D">
        <w:rPr>
          <w:rFonts w:ascii="Arial" w:hAnsi="Arial" w:cs="Arial"/>
          <w:b/>
          <w:sz w:val="24"/>
          <w:szCs w:val="24"/>
        </w:rPr>
        <w:t>Campo Eléctrico</w:t>
      </w: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Los campos eléctricos se producen por la presencia de cargas eléctricas. Cuando un objeto se carga eléctricamente, determina fuerzas y movimientos en las cargas que se encuentran a su alcance, ya sea de repulsión cuando son del mismo signo</w:t>
      </w:r>
      <w:r w:rsidR="00F23CD8">
        <w:rPr>
          <w:rFonts w:ascii="Arial" w:hAnsi="Arial" w:cs="Arial"/>
          <w:sz w:val="24"/>
          <w:szCs w:val="24"/>
        </w:rPr>
        <w:t>, o de atracción cuando son de signo</w:t>
      </w:r>
      <w:r w:rsidRPr="005C5DBE">
        <w:rPr>
          <w:rFonts w:ascii="Arial" w:hAnsi="Arial" w:cs="Arial"/>
          <w:sz w:val="24"/>
          <w:szCs w:val="24"/>
        </w:rPr>
        <w:t xml:space="preserve"> opuesto. Estas fuerzas que se generan son la tensión eléctrica o voltaje.</w:t>
      </w:r>
    </w:p>
    <w:p w:rsidR="0025315F" w:rsidRPr="005C5DBE"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Por lo tanto, los campos eléctricos se originan cuando existe una diferencia de voltaje, y no es necesario que fluya corriente eléctrica. La intensidad de un campo eléctrico depende de la tensión o diferencia de voltaje, y de la distancia con respecto al artefacto conductor. Así, el campo eléctrico es más intenso cuanto mayor sea la tensión, y cuanto mayor sea la proximidad al conductor que los genera y disminuye en la medida que la distancia aumenta.</w:t>
      </w:r>
    </w:p>
    <w:p w:rsidR="0025315F" w:rsidRPr="003344F1" w:rsidRDefault="0025315F" w:rsidP="0025315F">
      <w:pPr>
        <w:pStyle w:val="ListParagraph"/>
        <w:spacing w:line="360" w:lineRule="auto"/>
        <w:ind w:left="2127"/>
        <w:jc w:val="both"/>
        <w:rPr>
          <w:rFonts w:ascii="Arial" w:hAnsi="Arial" w:cs="Arial"/>
          <w:sz w:val="12"/>
          <w:szCs w:val="24"/>
        </w:rPr>
      </w:pPr>
    </w:p>
    <w:p w:rsidR="0025315F" w:rsidRPr="005C5DBE" w:rsidRDefault="0025315F" w:rsidP="0025315F">
      <w:pPr>
        <w:pStyle w:val="ListParagraph"/>
        <w:spacing w:line="360" w:lineRule="auto"/>
        <w:ind w:left="2127"/>
        <w:jc w:val="center"/>
        <w:rPr>
          <w:rFonts w:ascii="Arial" w:hAnsi="Arial" w:cs="Arial"/>
          <w:sz w:val="24"/>
          <w:szCs w:val="24"/>
        </w:rPr>
      </w:pPr>
      <w:r>
        <w:rPr>
          <w:rFonts w:ascii="Arial" w:hAnsi="Arial" w:cs="Arial"/>
          <w:noProof/>
          <w:sz w:val="24"/>
          <w:szCs w:val="24"/>
          <w:lang w:eastAsia="es-ES"/>
        </w:rPr>
        <w:drawing>
          <wp:inline distT="0" distB="0" distL="0" distR="0">
            <wp:extent cx="3562350" cy="1624330"/>
            <wp:effectExtent l="19050" t="0" r="0"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562350" cy="1624330"/>
                    </a:xfrm>
                    <a:prstGeom prst="rect">
                      <a:avLst/>
                    </a:prstGeom>
                    <a:noFill/>
                    <a:ln w="9525">
                      <a:noFill/>
                      <a:miter lim="800000"/>
                      <a:headEnd/>
                      <a:tailEnd/>
                    </a:ln>
                  </pic:spPr>
                </pic:pic>
              </a:graphicData>
            </a:graphic>
          </wp:inline>
        </w:drawing>
      </w:r>
    </w:p>
    <w:p w:rsidR="0025315F" w:rsidRPr="005C5DBE" w:rsidRDefault="0025315F" w:rsidP="0025315F">
      <w:pPr>
        <w:pStyle w:val="ListParagraph"/>
        <w:spacing w:line="360" w:lineRule="auto"/>
        <w:ind w:left="2127"/>
        <w:jc w:val="center"/>
        <w:rPr>
          <w:rFonts w:ascii="Arial" w:hAnsi="Arial" w:cs="Arial"/>
          <w:sz w:val="24"/>
          <w:szCs w:val="24"/>
        </w:rPr>
      </w:pPr>
      <w:r w:rsidRPr="005C5DBE">
        <w:rPr>
          <w:rFonts w:ascii="Arial" w:hAnsi="Arial" w:cs="Arial"/>
          <w:b/>
          <w:sz w:val="24"/>
          <w:szCs w:val="24"/>
        </w:rPr>
        <w:t>Figura 1.1 Representación de los Campos Eléctricos</w:t>
      </w:r>
      <w:r w:rsidRPr="005C5DBE">
        <w:rPr>
          <w:rStyle w:val="FootnoteReference"/>
          <w:rFonts w:ascii="Arial" w:hAnsi="Arial" w:cs="Arial"/>
          <w:b/>
          <w:sz w:val="24"/>
          <w:szCs w:val="24"/>
        </w:rPr>
        <w:footnoteReference w:id="1"/>
      </w:r>
    </w:p>
    <w:p w:rsidR="0025315F" w:rsidRPr="005C5DBE" w:rsidRDefault="0025315F" w:rsidP="0025315F">
      <w:pPr>
        <w:pStyle w:val="ListParagraph"/>
        <w:spacing w:after="0" w:line="360" w:lineRule="auto"/>
        <w:ind w:left="2126"/>
        <w:jc w:val="both"/>
        <w:rPr>
          <w:rFonts w:ascii="Arial" w:hAnsi="Arial" w:cs="Arial"/>
          <w:b/>
          <w:sz w:val="24"/>
          <w:szCs w:val="24"/>
        </w:rPr>
      </w:pPr>
    </w:p>
    <w:p w:rsidR="0025315F" w:rsidRPr="005C5DBE" w:rsidRDefault="0025315F" w:rsidP="0025315F">
      <w:pPr>
        <w:pStyle w:val="ListParagraph"/>
        <w:numPr>
          <w:ilvl w:val="2"/>
          <w:numId w:val="2"/>
        </w:numPr>
        <w:spacing w:line="360" w:lineRule="auto"/>
        <w:ind w:left="1134" w:firstLine="142"/>
        <w:jc w:val="both"/>
        <w:rPr>
          <w:rFonts w:ascii="Arial" w:hAnsi="Arial" w:cs="Arial"/>
          <w:b/>
          <w:sz w:val="24"/>
          <w:szCs w:val="24"/>
        </w:rPr>
      </w:pPr>
      <w:r w:rsidRPr="005C5DBE">
        <w:rPr>
          <w:rFonts w:ascii="Arial" w:hAnsi="Arial" w:cs="Arial"/>
          <w:b/>
          <w:sz w:val="24"/>
          <w:szCs w:val="24"/>
        </w:rPr>
        <w:t>Campo Magnético</w:t>
      </w:r>
    </w:p>
    <w:p w:rsidR="0025315F" w:rsidRPr="005C5DBE" w:rsidRDefault="0025315F" w:rsidP="0025315F">
      <w:pPr>
        <w:pStyle w:val="ListParagraph"/>
        <w:spacing w:line="360" w:lineRule="auto"/>
        <w:ind w:left="2127"/>
        <w:jc w:val="both"/>
        <w:rPr>
          <w:rFonts w:ascii="Arial" w:hAnsi="Arial" w:cs="Arial"/>
          <w:b/>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Los campos magnéticos se originan por el movimiento de cargas eléctricas, por lo cual se generan únicamente cuando fluye la corriente eléctrica. En este caso, coexisten campos eléctricos y magnéticos, en el entorno de los equipos eléctricos.</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lastRenderedPageBreak/>
        <w:t>La intensidad del campo magnético aumenta en función de la intensidad de la corriente eléctrica y varía en función del consumo de energía, a diferencia de los campos eléctricos que permanecen inalterados ante idénticas modificaciones.</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Con respecto a la distancia de la fuente, al igual que los campos eléctricos, la intensidad de los campos magnéticos es mayor en las proximidades de la fuente, y disminuye a medida que aumenta la distancia.</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center"/>
        <w:rPr>
          <w:rFonts w:ascii="Arial" w:hAnsi="Arial" w:cs="Arial"/>
          <w:sz w:val="24"/>
          <w:szCs w:val="24"/>
        </w:rPr>
      </w:pPr>
      <w:r>
        <w:rPr>
          <w:rFonts w:ascii="Arial" w:hAnsi="Arial" w:cs="Arial"/>
          <w:noProof/>
          <w:sz w:val="24"/>
          <w:szCs w:val="24"/>
          <w:lang w:eastAsia="es-ES"/>
        </w:rPr>
        <w:drawing>
          <wp:inline distT="0" distB="0" distL="0" distR="0">
            <wp:extent cx="3371215" cy="1965325"/>
            <wp:effectExtent l="19050" t="0" r="635"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371215" cy="1965325"/>
                    </a:xfrm>
                    <a:prstGeom prst="rect">
                      <a:avLst/>
                    </a:prstGeom>
                    <a:noFill/>
                    <a:ln w="9525">
                      <a:noFill/>
                      <a:miter lim="800000"/>
                      <a:headEnd/>
                      <a:tailEnd/>
                    </a:ln>
                  </pic:spPr>
                </pic:pic>
              </a:graphicData>
            </a:graphic>
          </wp:inline>
        </w:drawing>
      </w:r>
    </w:p>
    <w:p w:rsidR="0025315F" w:rsidRPr="005C5DBE" w:rsidRDefault="0025315F" w:rsidP="0025315F">
      <w:pPr>
        <w:pStyle w:val="NormalWeb"/>
        <w:spacing w:line="360" w:lineRule="auto"/>
        <w:ind w:left="2127"/>
        <w:jc w:val="both"/>
        <w:rPr>
          <w:rFonts w:ascii="Arial" w:hAnsi="Arial" w:cs="Arial"/>
          <w:b/>
        </w:rPr>
      </w:pPr>
      <w:r w:rsidRPr="005C5DBE">
        <w:rPr>
          <w:rFonts w:ascii="Arial" w:hAnsi="Arial" w:cs="Arial"/>
          <w:b/>
        </w:rPr>
        <w:t>Figura 1.2 Representación de los Campos Magnéticos</w:t>
      </w:r>
      <w:r w:rsidRPr="005C5DBE">
        <w:rPr>
          <w:rStyle w:val="FootnoteReference"/>
          <w:rFonts w:ascii="Arial" w:hAnsi="Arial" w:cs="Arial"/>
          <w:b/>
        </w:rPr>
        <w:footnoteReference w:id="2"/>
      </w:r>
    </w:p>
    <w:p w:rsidR="0025315F" w:rsidRDefault="0025315F" w:rsidP="0025315F">
      <w:pPr>
        <w:pStyle w:val="ListParagraph"/>
        <w:spacing w:line="360" w:lineRule="auto"/>
        <w:ind w:left="2127"/>
        <w:jc w:val="both"/>
        <w:rPr>
          <w:rFonts w:ascii="Arial" w:hAnsi="Arial" w:cs="Arial"/>
          <w:sz w:val="24"/>
          <w:szCs w:val="24"/>
          <w:lang w:val="es-SV"/>
        </w:rPr>
      </w:pPr>
    </w:p>
    <w:p w:rsidR="0025315F" w:rsidRPr="005C5DBE" w:rsidRDefault="0025315F" w:rsidP="0025315F">
      <w:pPr>
        <w:pStyle w:val="ListParagraph"/>
        <w:numPr>
          <w:ilvl w:val="2"/>
          <w:numId w:val="2"/>
        </w:numPr>
        <w:spacing w:line="360" w:lineRule="auto"/>
        <w:ind w:left="2127" w:hanging="851"/>
        <w:jc w:val="both"/>
        <w:rPr>
          <w:rFonts w:ascii="Arial" w:hAnsi="Arial" w:cs="Arial"/>
          <w:b/>
          <w:sz w:val="24"/>
          <w:szCs w:val="24"/>
        </w:rPr>
      </w:pPr>
      <w:r w:rsidRPr="005C5DBE">
        <w:rPr>
          <w:rFonts w:ascii="Arial" w:hAnsi="Arial" w:cs="Arial"/>
          <w:b/>
          <w:sz w:val="24"/>
          <w:szCs w:val="24"/>
        </w:rPr>
        <w:t>Diferencia y Similitudes de Campos Eléctricos y Magnéticos</w:t>
      </w:r>
    </w:p>
    <w:p w:rsidR="0025315F" w:rsidRPr="005C5DBE" w:rsidRDefault="0025315F" w:rsidP="0025315F">
      <w:pPr>
        <w:pStyle w:val="ListParagraph"/>
        <w:spacing w:line="360" w:lineRule="auto"/>
        <w:ind w:left="2127"/>
        <w:jc w:val="both"/>
        <w:rPr>
          <w:rFonts w:ascii="Arial" w:hAnsi="Arial" w:cs="Arial"/>
          <w:b/>
          <w:sz w:val="24"/>
          <w:szCs w:val="24"/>
        </w:rPr>
      </w:pPr>
    </w:p>
    <w:p w:rsidR="0025315F"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Entre las diferencias y similitudes básicas entre los campos eléctricos y magnéticos tenemos:</w:t>
      </w: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spacing w:line="360" w:lineRule="auto"/>
        <w:ind w:firstLine="1418"/>
        <w:jc w:val="center"/>
        <w:rPr>
          <w:rFonts w:ascii="Arial" w:hAnsi="Arial" w:cs="Arial"/>
          <w:b/>
          <w:sz w:val="24"/>
          <w:szCs w:val="24"/>
        </w:rPr>
      </w:pPr>
      <w:r w:rsidRPr="005C5DBE">
        <w:rPr>
          <w:rFonts w:ascii="Arial" w:hAnsi="Arial" w:cs="Arial"/>
          <w:b/>
          <w:sz w:val="24"/>
          <w:szCs w:val="24"/>
        </w:rPr>
        <w:t xml:space="preserve">           Tabla I. Campos Eléctricos y Magnéticos</w:t>
      </w:r>
      <w:r w:rsidRPr="005C5DBE">
        <w:rPr>
          <w:rStyle w:val="FootnoteReference"/>
          <w:rFonts w:ascii="Arial" w:hAnsi="Arial" w:cs="Arial"/>
          <w:b/>
          <w:sz w:val="24"/>
          <w:szCs w:val="24"/>
        </w:rPr>
        <w:footnoteReference w:id="3"/>
      </w:r>
    </w:p>
    <w:p w:rsidR="0025315F" w:rsidRPr="005C5DBE" w:rsidRDefault="0025315F" w:rsidP="0025315F">
      <w:pPr>
        <w:pStyle w:val="ListParagraph"/>
        <w:spacing w:line="360" w:lineRule="auto"/>
        <w:ind w:left="2127"/>
        <w:jc w:val="both"/>
        <w:rPr>
          <w:rFonts w:ascii="Arial" w:hAnsi="Arial" w:cs="Arial"/>
          <w:sz w:val="24"/>
          <w:szCs w:val="24"/>
        </w:rPr>
      </w:pPr>
      <w:r>
        <w:rPr>
          <w:rFonts w:ascii="Arial" w:hAnsi="Arial" w:cs="Arial"/>
          <w:noProof/>
          <w:sz w:val="24"/>
          <w:szCs w:val="24"/>
          <w:lang w:eastAsia="es-ES"/>
        </w:rPr>
        <w:drawing>
          <wp:anchor distT="0" distB="0" distL="114300" distR="114300" simplePos="0" relativeHeight="251660288" behindDoc="0" locked="0" layoutInCell="1" allowOverlap="1">
            <wp:simplePos x="0" y="0"/>
            <wp:positionH relativeFrom="column">
              <wp:posOffset>1339215</wp:posOffset>
            </wp:positionH>
            <wp:positionV relativeFrom="paragraph">
              <wp:posOffset>161290</wp:posOffset>
            </wp:positionV>
            <wp:extent cx="3905250" cy="2094230"/>
            <wp:effectExtent l="19050" t="0" r="0" b="0"/>
            <wp:wrapNone/>
            <wp:docPr id="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905250" cy="2094230"/>
                    </a:xfrm>
                    <a:prstGeom prst="rect">
                      <a:avLst/>
                    </a:prstGeom>
                    <a:noFill/>
                    <a:ln w="9525">
                      <a:noFill/>
                      <a:miter lim="800000"/>
                      <a:headEnd/>
                      <a:tailEnd/>
                    </a:ln>
                  </pic:spPr>
                </pic:pic>
              </a:graphicData>
            </a:graphic>
          </wp:anchor>
        </w:drawing>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numPr>
          <w:ilvl w:val="2"/>
          <w:numId w:val="2"/>
        </w:numPr>
        <w:spacing w:line="360" w:lineRule="auto"/>
        <w:ind w:left="2127" w:hanging="851"/>
        <w:jc w:val="both"/>
        <w:rPr>
          <w:rFonts w:ascii="Arial" w:hAnsi="Arial" w:cs="Arial"/>
          <w:b/>
          <w:sz w:val="24"/>
          <w:szCs w:val="24"/>
        </w:rPr>
      </w:pPr>
      <w:r w:rsidRPr="005C5DBE">
        <w:rPr>
          <w:rFonts w:ascii="Arial" w:hAnsi="Arial" w:cs="Arial"/>
          <w:b/>
          <w:sz w:val="24"/>
          <w:szCs w:val="24"/>
        </w:rPr>
        <w:t>Campos Estáticos y Variables en el Tiempo</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Los campos estáticos se producen cuando la corriente eléctrica es continua, es decir, que fluye siempre en el mismo sentido. Reciben ese nombre porque no varían en el tiempo. Son campos magnéticos estáticos, el campo magnético terrestre y el que rodea los respectivos polos magnéticos de ciertos objetos con propiedades magnéticas.</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 xml:space="preserve">En cambio la corriente eléctrica alterna invierte su sentido de forma periódica. Este movimiento cíclico de cargas eléctricas en el circuito genera espontáneamente, en </w:t>
      </w:r>
      <w:r w:rsidRPr="005C5DBE">
        <w:rPr>
          <w:rFonts w:ascii="Arial" w:hAnsi="Arial" w:cs="Arial"/>
          <w:sz w:val="24"/>
          <w:szCs w:val="24"/>
        </w:rPr>
        <w:lastRenderedPageBreak/>
        <w:t>todo el espacio que lo rodea, dos campos inducidos, variables en el tiempo o cíclicos, que son propagados a mayor o menor distancia, dependiendo de la magnitud de las cargas en movimiento y de la geometría del cuerpo emisor o antena. Estas perturbaciones electromagnéticas se denominan radiaciones o campos electromagnéticos.</w:t>
      </w:r>
    </w:p>
    <w:p w:rsidR="0025315F" w:rsidRPr="005C5DBE" w:rsidRDefault="0025315F" w:rsidP="0025315F">
      <w:pPr>
        <w:pStyle w:val="ListParagraph"/>
        <w:spacing w:line="360" w:lineRule="auto"/>
        <w:rPr>
          <w:rFonts w:ascii="Arial" w:hAnsi="Arial" w:cs="Arial"/>
          <w:b/>
          <w:sz w:val="24"/>
          <w:szCs w:val="24"/>
        </w:rPr>
      </w:pPr>
    </w:p>
    <w:p w:rsidR="0025315F" w:rsidRPr="005C5DBE" w:rsidRDefault="0025315F" w:rsidP="0025315F">
      <w:pPr>
        <w:pStyle w:val="ListParagraph"/>
        <w:numPr>
          <w:ilvl w:val="1"/>
          <w:numId w:val="2"/>
        </w:numPr>
        <w:spacing w:line="360" w:lineRule="auto"/>
        <w:jc w:val="both"/>
        <w:rPr>
          <w:rFonts w:ascii="Arial" w:hAnsi="Arial" w:cs="Arial"/>
          <w:b/>
          <w:sz w:val="24"/>
          <w:szCs w:val="24"/>
        </w:rPr>
      </w:pPr>
      <w:r w:rsidRPr="005C5DBE">
        <w:rPr>
          <w:rFonts w:ascii="Arial" w:hAnsi="Arial" w:cs="Arial"/>
          <w:b/>
          <w:sz w:val="24"/>
          <w:szCs w:val="24"/>
        </w:rPr>
        <w:t xml:space="preserve">   Campos Electromagnéticos  </w:t>
      </w:r>
    </w:p>
    <w:p w:rsidR="0025315F" w:rsidRPr="005C5DBE" w:rsidRDefault="0025315F" w:rsidP="0025315F">
      <w:pPr>
        <w:pStyle w:val="ListParagraph"/>
        <w:spacing w:line="360" w:lineRule="auto"/>
        <w:ind w:left="1276"/>
        <w:jc w:val="both"/>
        <w:rPr>
          <w:rFonts w:ascii="Arial" w:hAnsi="Arial" w:cs="Arial"/>
          <w:b/>
          <w:sz w:val="24"/>
          <w:szCs w:val="24"/>
        </w:rPr>
      </w:pPr>
    </w:p>
    <w:p w:rsidR="0025315F" w:rsidRPr="005C5DBE" w:rsidRDefault="0025315F" w:rsidP="0025315F">
      <w:pPr>
        <w:pStyle w:val="ListParagraph"/>
        <w:numPr>
          <w:ilvl w:val="2"/>
          <w:numId w:val="2"/>
        </w:numPr>
        <w:spacing w:line="360" w:lineRule="auto"/>
        <w:jc w:val="both"/>
        <w:rPr>
          <w:rFonts w:ascii="Arial" w:hAnsi="Arial" w:cs="Arial"/>
          <w:b/>
          <w:sz w:val="24"/>
          <w:szCs w:val="24"/>
        </w:rPr>
      </w:pPr>
      <w:r w:rsidRPr="005C5DBE">
        <w:rPr>
          <w:rFonts w:ascii="Arial" w:hAnsi="Arial" w:cs="Arial"/>
          <w:b/>
          <w:sz w:val="24"/>
          <w:szCs w:val="24"/>
        </w:rPr>
        <w:t>Características Físicas</w:t>
      </w:r>
    </w:p>
    <w:p w:rsidR="0025315F" w:rsidRDefault="0025315F" w:rsidP="0025315F">
      <w:pPr>
        <w:pStyle w:val="NormalWeb"/>
        <w:spacing w:line="360" w:lineRule="auto"/>
        <w:ind w:left="2268"/>
        <w:jc w:val="both"/>
        <w:rPr>
          <w:rFonts w:ascii="Arial" w:eastAsia="Calibri" w:hAnsi="Arial" w:cs="Arial"/>
          <w:lang w:val="es-ES" w:eastAsia="en-US"/>
        </w:rPr>
      </w:pPr>
      <w:r w:rsidRPr="005C5DBE">
        <w:rPr>
          <w:rFonts w:ascii="Arial" w:eastAsia="Calibri" w:hAnsi="Arial" w:cs="Arial"/>
          <w:lang w:val="es-ES" w:eastAsia="en-US"/>
        </w:rPr>
        <w:t xml:space="preserve">Las ondas electromagnéticas pueden caracterizarse por su longitud, frecuencia o energía. Los tres parámetros se relacionan entre sí. </w:t>
      </w:r>
    </w:p>
    <w:p w:rsidR="0025315F" w:rsidRDefault="0025315F" w:rsidP="0025315F">
      <w:pPr>
        <w:pStyle w:val="NormalWeb"/>
        <w:spacing w:line="360" w:lineRule="auto"/>
        <w:ind w:left="2340"/>
        <w:jc w:val="both"/>
        <w:rPr>
          <w:rFonts w:ascii="Arial" w:eastAsia="Calibri" w:hAnsi="Arial" w:cs="Arial"/>
          <w:lang w:val="es-ES" w:eastAsia="en-US"/>
        </w:rPr>
      </w:pPr>
    </w:p>
    <w:p w:rsidR="0025315F" w:rsidRPr="005C5DBE" w:rsidRDefault="0025315F" w:rsidP="00882934">
      <w:pPr>
        <w:pStyle w:val="NormalWeb"/>
        <w:spacing w:line="360" w:lineRule="auto"/>
        <w:ind w:left="2340"/>
        <w:jc w:val="both"/>
        <w:rPr>
          <w:rFonts w:ascii="Arial" w:eastAsia="Calibri" w:hAnsi="Arial" w:cs="Arial"/>
          <w:lang w:val="es-ES" w:eastAsia="en-US"/>
        </w:rPr>
      </w:pPr>
      <w:r w:rsidRPr="005C5DBE">
        <w:rPr>
          <w:rFonts w:ascii="Arial" w:eastAsia="Calibri" w:hAnsi="Arial" w:cs="Arial"/>
          <w:lang w:val="es-ES" w:eastAsia="en-US"/>
        </w:rPr>
        <w:t>La frecuencia de una onda electromagnética es en definitiva el número de oscilaciones que pasan por un punto en una unidad de tiempo. Se mide en ciclos por segundo, o hercios. Un ciclo por segundo equivale a un hercio (Hz). Normalmente, los campos de radiofrecuencias se designan con unidades superiores, en particular el kilohercio (k</w:t>
      </w:r>
      <w:r w:rsidR="003E5D50">
        <w:rPr>
          <w:rFonts w:ascii="Arial" w:eastAsia="Calibri" w:hAnsi="Arial" w:cs="Arial"/>
          <w:lang w:val="es-ES" w:eastAsia="en-US"/>
        </w:rPr>
        <w:t>h</w:t>
      </w:r>
      <w:r w:rsidRPr="005C5DBE">
        <w:rPr>
          <w:rFonts w:ascii="Arial" w:eastAsia="Calibri" w:hAnsi="Arial" w:cs="Arial"/>
          <w:lang w:val="es-ES" w:eastAsia="en-US"/>
        </w:rPr>
        <w:t>z), o mil ciclos por segundo; el megahercio (Mhz), o un millón de ciclos por segundo; y el gigahercio (Ghz), o mil millones de ciclos por segundo.</w:t>
      </w:r>
    </w:p>
    <w:p w:rsidR="0025315F" w:rsidRPr="005C5DBE" w:rsidRDefault="0025315F" w:rsidP="0025315F">
      <w:pPr>
        <w:pStyle w:val="NormalWeb"/>
        <w:spacing w:line="360" w:lineRule="auto"/>
        <w:ind w:left="2340"/>
        <w:jc w:val="both"/>
        <w:rPr>
          <w:rFonts w:ascii="Arial" w:eastAsia="Calibri" w:hAnsi="Arial" w:cs="Arial"/>
          <w:lang w:val="es-ES" w:eastAsia="en-US"/>
        </w:rPr>
      </w:pPr>
    </w:p>
    <w:p w:rsidR="0025315F" w:rsidRDefault="0025315F" w:rsidP="00882934">
      <w:pPr>
        <w:pStyle w:val="NormalWeb"/>
        <w:spacing w:line="360" w:lineRule="auto"/>
        <w:ind w:left="2340"/>
        <w:jc w:val="both"/>
        <w:rPr>
          <w:rFonts w:ascii="Arial" w:eastAsia="Calibri" w:hAnsi="Arial" w:cs="Arial"/>
          <w:lang w:val="es-ES" w:eastAsia="en-US"/>
        </w:rPr>
      </w:pPr>
      <w:r w:rsidRPr="005C5DBE">
        <w:rPr>
          <w:rFonts w:ascii="Arial" w:eastAsia="Calibri" w:hAnsi="Arial" w:cs="Arial"/>
          <w:lang w:val="es-ES" w:eastAsia="en-US"/>
        </w:rPr>
        <w:lastRenderedPageBreak/>
        <w:t>Cuanto más corta es la longitud de onda, más alta es la frecuencia. Por ejemplo, el tramo intermedio de una banda de radiodifusión de amplitud modulada tiene una frecuencia de un millón de hercios (1 Mhz) y una longitud de onda de aproximadamente 300 metros. Los hornos de microondas utilizan una frecuencia de 2.450 millones de hercios (2,45 GHz) y tienen una longitud de onda de 12 centímetros.</w:t>
      </w:r>
    </w:p>
    <w:p w:rsidR="0025315F" w:rsidRDefault="0025315F" w:rsidP="0025315F">
      <w:pPr>
        <w:pStyle w:val="ListParagraph"/>
        <w:rPr>
          <w:rFonts w:ascii="Arial" w:hAnsi="Arial" w:cs="Arial"/>
        </w:rPr>
      </w:pPr>
    </w:p>
    <w:p w:rsidR="0025315F" w:rsidRPr="005C5DBE" w:rsidRDefault="0025315F" w:rsidP="0025315F">
      <w:pPr>
        <w:pStyle w:val="NormalWeb"/>
        <w:spacing w:line="360" w:lineRule="auto"/>
        <w:ind w:left="2340"/>
        <w:jc w:val="both"/>
        <w:rPr>
          <w:rFonts w:ascii="Arial" w:eastAsia="Calibri" w:hAnsi="Arial" w:cs="Arial"/>
          <w:lang w:val="es-ES" w:eastAsia="en-US"/>
        </w:rPr>
      </w:pPr>
      <w:r w:rsidRPr="005C5DBE">
        <w:rPr>
          <w:rFonts w:ascii="Arial" w:eastAsia="Calibri" w:hAnsi="Arial" w:cs="Arial"/>
          <w:lang w:val="es-ES" w:eastAsia="en-US"/>
        </w:rPr>
        <w:t>Una onda electromagnética está formada por paquetes muy pequeños de energía llamados fotones. La energía de cada paquete o fotón es directamente proporcional a la frecuencia de la onda: Cuanto más alta es la frecuencia, mayor es la cantidad de energía contenida en cada fotón.</w:t>
      </w:r>
    </w:p>
    <w:p w:rsidR="0025315F" w:rsidRPr="005C5DBE" w:rsidRDefault="0025315F" w:rsidP="0025315F">
      <w:pPr>
        <w:autoSpaceDE w:val="0"/>
        <w:autoSpaceDN w:val="0"/>
        <w:adjustRightInd w:val="0"/>
        <w:spacing w:after="0" w:line="360" w:lineRule="auto"/>
        <w:ind w:left="2127"/>
        <w:jc w:val="both"/>
        <w:rPr>
          <w:rFonts w:ascii="Arial" w:hAnsi="Arial" w:cs="Arial"/>
          <w:i/>
          <w:iCs/>
          <w:sz w:val="24"/>
          <w:szCs w:val="24"/>
          <w:lang w:val="es-SV"/>
        </w:rPr>
      </w:pPr>
    </w:p>
    <w:p w:rsidR="0025315F" w:rsidRPr="005C5DBE" w:rsidRDefault="0025315F" w:rsidP="0025315F">
      <w:pPr>
        <w:pStyle w:val="ListParagraph"/>
        <w:tabs>
          <w:tab w:val="left" w:pos="2127"/>
        </w:tabs>
        <w:spacing w:line="360" w:lineRule="auto"/>
        <w:ind w:left="2127" w:hanging="851"/>
        <w:rPr>
          <w:rFonts w:ascii="Arial" w:hAnsi="Arial" w:cs="Arial"/>
          <w:b/>
          <w:sz w:val="24"/>
          <w:szCs w:val="24"/>
        </w:rPr>
      </w:pPr>
      <w:r w:rsidRPr="005C5DBE">
        <w:rPr>
          <w:rFonts w:ascii="Arial" w:hAnsi="Arial" w:cs="Arial"/>
          <w:b/>
          <w:sz w:val="24"/>
          <w:szCs w:val="24"/>
        </w:rPr>
        <w:t>1.2.2.</w:t>
      </w:r>
      <w:r w:rsidRPr="005C5DBE">
        <w:rPr>
          <w:rFonts w:ascii="Arial" w:hAnsi="Arial" w:cs="Arial"/>
          <w:sz w:val="24"/>
          <w:szCs w:val="24"/>
        </w:rPr>
        <w:t xml:space="preserve">  </w:t>
      </w:r>
      <w:r w:rsidRPr="005C5DBE">
        <w:rPr>
          <w:rFonts w:ascii="Arial" w:hAnsi="Arial" w:cs="Arial"/>
          <w:b/>
          <w:sz w:val="24"/>
          <w:szCs w:val="24"/>
        </w:rPr>
        <w:t>Ecuaciones de Maxwell</w:t>
      </w:r>
    </w:p>
    <w:p w:rsidR="0025315F" w:rsidRPr="005C5DBE" w:rsidRDefault="0025315F" w:rsidP="0025315F">
      <w:pPr>
        <w:pStyle w:val="ListParagraph"/>
        <w:spacing w:line="360" w:lineRule="auto"/>
        <w:ind w:left="2127"/>
        <w:jc w:val="both"/>
        <w:rPr>
          <w:rFonts w:ascii="Arial" w:hAnsi="Arial" w:cs="Arial"/>
          <w:sz w:val="24"/>
          <w:szCs w:val="24"/>
        </w:rPr>
      </w:pPr>
    </w:p>
    <w:p w:rsidR="0025315F" w:rsidRPr="005C5DBE" w:rsidRDefault="0025315F" w:rsidP="0025315F">
      <w:pPr>
        <w:pStyle w:val="ListParagraph"/>
        <w:spacing w:line="360" w:lineRule="auto"/>
        <w:ind w:left="2127"/>
        <w:jc w:val="both"/>
        <w:rPr>
          <w:rFonts w:ascii="Arial" w:hAnsi="Arial" w:cs="Arial"/>
          <w:sz w:val="24"/>
          <w:szCs w:val="24"/>
        </w:rPr>
      </w:pPr>
      <w:r w:rsidRPr="005C5DBE">
        <w:rPr>
          <w:rFonts w:ascii="Arial" w:hAnsi="Arial" w:cs="Arial"/>
          <w:sz w:val="24"/>
          <w:szCs w:val="24"/>
        </w:rPr>
        <w:t>Las ecuaciones de Maxwell son un conjunto de cuatro ecuaciones que describen por completo los </w:t>
      </w:r>
      <w:hyperlink r:id="rId19" w:tooltip="Electromagnetismo" w:history="1">
        <w:r w:rsidRPr="005C5DBE">
          <w:rPr>
            <w:rFonts w:ascii="Arial" w:hAnsi="Arial" w:cs="Arial"/>
            <w:sz w:val="24"/>
            <w:szCs w:val="24"/>
          </w:rPr>
          <w:t>fenómenos electromagnéticos</w:t>
        </w:r>
      </w:hyperlink>
      <w:r w:rsidRPr="005C5DBE">
        <w:rPr>
          <w:rFonts w:ascii="Arial" w:hAnsi="Arial" w:cs="Arial"/>
          <w:sz w:val="24"/>
          <w:szCs w:val="24"/>
        </w:rPr>
        <w:t>. La gran contribución de </w:t>
      </w:r>
      <w:hyperlink r:id="rId20" w:tooltip="James Clerk Maxwell" w:history="1">
        <w:r w:rsidRPr="005C5DBE">
          <w:rPr>
            <w:rFonts w:ascii="Arial" w:hAnsi="Arial" w:cs="Arial"/>
            <w:sz w:val="24"/>
            <w:szCs w:val="24"/>
          </w:rPr>
          <w:t>James Clerk Maxwell</w:t>
        </w:r>
      </w:hyperlink>
      <w:r w:rsidRPr="005C5DBE">
        <w:rPr>
          <w:rFonts w:ascii="Arial" w:hAnsi="Arial" w:cs="Arial"/>
          <w:sz w:val="24"/>
          <w:szCs w:val="24"/>
        </w:rPr>
        <w:t> fue reunir en estas ecuaciones largos años de resultados experimentales, debido a </w:t>
      </w:r>
      <w:hyperlink r:id="rId21" w:tooltip="Charles-Augustin de Coulomb" w:history="1">
        <w:r w:rsidRPr="005C5DBE">
          <w:rPr>
            <w:rFonts w:ascii="Arial" w:hAnsi="Arial" w:cs="Arial"/>
            <w:sz w:val="24"/>
            <w:szCs w:val="24"/>
          </w:rPr>
          <w:t>Coulomb</w:t>
        </w:r>
      </w:hyperlink>
      <w:r w:rsidRPr="005C5DBE">
        <w:rPr>
          <w:rFonts w:ascii="Arial" w:hAnsi="Arial" w:cs="Arial"/>
          <w:sz w:val="24"/>
          <w:szCs w:val="24"/>
        </w:rPr>
        <w:t xml:space="preserve">,  </w:t>
      </w:r>
      <w:hyperlink r:id="rId22" w:tooltip="Carl Friedrich Gauss" w:history="1">
        <w:r w:rsidRPr="005C5DBE">
          <w:rPr>
            <w:rFonts w:ascii="Arial" w:hAnsi="Arial" w:cs="Arial"/>
            <w:sz w:val="24"/>
            <w:szCs w:val="24"/>
          </w:rPr>
          <w:t>Gauss</w:t>
        </w:r>
      </w:hyperlink>
      <w:r w:rsidRPr="005C5DBE">
        <w:rPr>
          <w:rFonts w:ascii="Arial" w:hAnsi="Arial" w:cs="Arial"/>
          <w:sz w:val="24"/>
          <w:szCs w:val="24"/>
        </w:rPr>
        <w:t xml:space="preserve">,  </w:t>
      </w:r>
      <w:hyperlink r:id="rId23" w:tooltip="André-Marie Ampère" w:history="1">
        <w:r w:rsidRPr="005C5DBE">
          <w:rPr>
            <w:rFonts w:ascii="Arial" w:hAnsi="Arial" w:cs="Arial"/>
            <w:sz w:val="24"/>
            <w:szCs w:val="24"/>
          </w:rPr>
          <w:t>Ampere</w:t>
        </w:r>
      </w:hyperlink>
      <w:r w:rsidRPr="005C5DBE">
        <w:rPr>
          <w:rFonts w:ascii="Arial" w:hAnsi="Arial" w:cs="Arial"/>
          <w:sz w:val="24"/>
          <w:szCs w:val="24"/>
        </w:rPr>
        <w:t>, </w:t>
      </w:r>
      <w:hyperlink r:id="rId24" w:tooltip="Michael Faraday" w:history="1">
        <w:r w:rsidRPr="005C5DBE">
          <w:rPr>
            <w:rFonts w:ascii="Arial" w:hAnsi="Arial" w:cs="Arial"/>
            <w:sz w:val="24"/>
            <w:szCs w:val="24"/>
          </w:rPr>
          <w:t>Faraday</w:t>
        </w:r>
      </w:hyperlink>
      <w:r w:rsidRPr="005C5DBE">
        <w:rPr>
          <w:rFonts w:ascii="Arial" w:hAnsi="Arial" w:cs="Arial"/>
          <w:sz w:val="24"/>
          <w:szCs w:val="24"/>
        </w:rPr>
        <w:t> y otros, introduciendo los conceptos de campo y corriente de desplazamiento, y unificando los campos eléctricos y magnéticos en un solo concepto: el </w:t>
      </w:r>
      <w:hyperlink r:id="rId25" w:tooltip="Campo electromagnético" w:history="1">
        <w:r w:rsidRPr="005C5DBE">
          <w:rPr>
            <w:rFonts w:ascii="Arial" w:hAnsi="Arial" w:cs="Arial"/>
            <w:sz w:val="24"/>
            <w:szCs w:val="24"/>
          </w:rPr>
          <w:t>campo electromagnético</w:t>
        </w:r>
      </w:hyperlink>
      <w:r w:rsidRPr="005C5DBE">
        <w:rPr>
          <w:rFonts w:ascii="Arial" w:hAnsi="Arial" w:cs="Arial"/>
          <w:sz w:val="24"/>
          <w:szCs w:val="24"/>
        </w:rPr>
        <w:t>.</w:t>
      </w: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center"/>
        <w:rPr>
          <w:rFonts w:ascii="Arial" w:hAnsi="Arial" w:cs="Arial"/>
          <w:b/>
          <w:sz w:val="24"/>
          <w:szCs w:val="24"/>
        </w:rPr>
      </w:pPr>
      <w:r w:rsidRPr="005C5DBE">
        <w:rPr>
          <w:rFonts w:ascii="Arial" w:hAnsi="Arial" w:cs="Arial"/>
          <w:b/>
          <w:sz w:val="24"/>
          <w:szCs w:val="24"/>
        </w:rPr>
        <w:t>Tabla II. Ecuaciones de Maxwell</w:t>
      </w:r>
      <w:r w:rsidRPr="00664A36">
        <w:rPr>
          <w:rStyle w:val="FootnoteReference"/>
          <w:rFonts w:ascii="Arial" w:hAnsi="Arial" w:cs="Arial"/>
          <w:b/>
          <w:sz w:val="24"/>
          <w:szCs w:val="24"/>
        </w:rPr>
        <w:footnoteReference w:id="4"/>
      </w:r>
    </w:p>
    <w:p w:rsidR="0025315F" w:rsidRPr="005C5DBE"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1134"/>
        <w:jc w:val="right"/>
        <w:rPr>
          <w:rFonts w:ascii="Arial" w:hAnsi="Arial" w:cs="Arial"/>
          <w:noProof/>
          <w:sz w:val="24"/>
          <w:szCs w:val="24"/>
          <w:lang w:eastAsia="es-ES"/>
        </w:rPr>
      </w:pPr>
      <w:r>
        <w:rPr>
          <w:rFonts w:ascii="Arial" w:hAnsi="Arial" w:cs="Arial"/>
          <w:noProof/>
          <w:sz w:val="24"/>
          <w:szCs w:val="24"/>
          <w:lang w:eastAsia="es-ES"/>
        </w:rPr>
        <w:drawing>
          <wp:inline distT="0" distB="0" distL="0" distR="0">
            <wp:extent cx="3943985" cy="1624330"/>
            <wp:effectExtent l="19050" t="0" r="0" b="0"/>
            <wp:docPr id="232"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26" cstate="print"/>
                    <a:srcRect/>
                    <a:stretch>
                      <a:fillRect/>
                    </a:stretch>
                  </pic:blipFill>
                  <pic:spPr bwMode="auto">
                    <a:xfrm>
                      <a:off x="0" y="0"/>
                      <a:ext cx="3943985" cy="1624330"/>
                    </a:xfrm>
                    <a:prstGeom prst="rect">
                      <a:avLst/>
                    </a:prstGeom>
                    <a:noFill/>
                    <a:ln w="9525">
                      <a:noFill/>
                      <a:miter lim="800000"/>
                      <a:headEnd/>
                      <a:tailEnd/>
                    </a:ln>
                  </pic:spPr>
                </pic:pic>
              </a:graphicData>
            </a:graphic>
          </wp:inline>
        </w:drawing>
      </w:r>
    </w:p>
    <w:p w:rsidR="0025315F" w:rsidRPr="005C5DBE" w:rsidRDefault="0025315F" w:rsidP="0025315F">
      <w:pPr>
        <w:pStyle w:val="ListParagraph"/>
        <w:spacing w:line="360" w:lineRule="auto"/>
        <w:ind w:left="1134"/>
        <w:jc w:val="right"/>
        <w:rPr>
          <w:rFonts w:ascii="Arial" w:hAnsi="Arial" w:cs="Arial"/>
          <w:sz w:val="24"/>
          <w:szCs w:val="24"/>
        </w:rPr>
      </w:pPr>
    </w:p>
    <w:p w:rsidR="0025315F" w:rsidRDefault="0025315F" w:rsidP="0025315F">
      <w:pPr>
        <w:pStyle w:val="NormalWeb"/>
        <w:spacing w:line="360" w:lineRule="auto"/>
        <w:ind w:left="2127"/>
        <w:jc w:val="both"/>
        <w:rPr>
          <w:rFonts w:ascii="Arial" w:eastAsia="Calibri" w:hAnsi="Arial" w:cs="Arial"/>
          <w:lang w:val="es-ES" w:eastAsia="en-US"/>
        </w:rPr>
      </w:pPr>
      <w:r w:rsidRPr="005C5DBE">
        <w:rPr>
          <w:rFonts w:ascii="Arial" w:eastAsia="Calibri" w:hAnsi="Arial" w:cs="Arial"/>
          <w:lang w:val="es-ES" w:eastAsia="en-US"/>
        </w:rPr>
        <w:t xml:space="preserve">Estas cuatro ecuaciones junto con la </w:t>
      </w:r>
      <w:hyperlink r:id="rId27" w:tooltip="Fuerza de &#10;Lorentz" w:history="1">
        <w:r w:rsidRPr="005C5DBE">
          <w:rPr>
            <w:rFonts w:ascii="Arial" w:eastAsia="Calibri" w:hAnsi="Arial" w:cs="Arial"/>
            <w:lang w:val="es-ES" w:eastAsia="en-US"/>
          </w:rPr>
          <w:t>fuerza de Lorentz</w:t>
        </w:r>
      </w:hyperlink>
      <w:r w:rsidRPr="005C5DBE">
        <w:rPr>
          <w:rFonts w:ascii="Arial" w:eastAsia="Calibri" w:hAnsi="Arial" w:cs="Arial"/>
          <w:lang w:val="es-ES" w:eastAsia="en-US"/>
        </w:rPr>
        <w:t xml:space="preserve"> son las que explican cualquier tipo de fenómeno electromagnético. Una fortaleza de las ecuaciones de Maxwell es que</w:t>
      </w:r>
      <w:r w:rsidRPr="005C5DBE">
        <w:rPr>
          <w:rFonts w:ascii="Arial" w:hAnsi="Arial" w:cs="Arial"/>
        </w:rPr>
        <w:t xml:space="preserve"> </w:t>
      </w:r>
      <w:r w:rsidRPr="005C5DBE">
        <w:rPr>
          <w:rFonts w:ascii="Arial" w:eastAsia="Calibri" w:hAnsi="Arial" w:cs="Arial"/>
          <w:lang w:val="es-ES" w:eastAsia="en-US"/>
        </w:rPr>
        <w:t xml:space="preserve">permanecen invariantes en cualquier sistema de unidades, salvo de pequeñas excepciones, y que son compatibles con la </w:t>
      </w:r>
      <w:hyperlink r:id="rId28" w:tooltip="Relatividad especial" w:history="1">
        <w:r w:rsidRPr="005C5DBE">
          <w:rPr>
            <w:rFonts w:ascii="Arial" w:eastAsia="Calibri" w:hAnsi="Arial" w:cs="Arial"/>
            <w:lang w:val="es-ES" w:eastAsia="en-US"/>
          </w:rPr>
          <w:t>relatividad especial</w:t>
        </w:r>
      </w:hyperlink>
      <w:r w:rsidRPr="005C5DBE">
        <w:rPr>
          <w:rFonts w:ascii="Arial" w:eastAsia="Calibri" w:hAnsi="Arial" w:cs="Arial"/>
          <w:lang w:val="es-ES" w:eastAsia="en-US"/>
        </w:rPr>
        <w:t xml:space="preserve"> y </w:t>
      </w:r>
      <w:hyperlink r:id="rId29" w:tooltip="Relatividad general" w:history="1">
        <w:r w:rsidRPr="005C5DBE">
          <w:rPr>
            <w:rFonts w:ascii="Arial" w:eastAsia="Calibri" w:hAnsi="Arial" w:cs="Arial"/>
            <w:lang w:val="es-ES" w:eastAsia="en-US"/>
          </w:rPr>
          <w:t>general</w:t>
        </w:r>
      </w:hyperlink>
      <w:r w:rsidRPr="005C5DBE">
        <w:rPr>
          <w:rFonts w:ascii="Arial" w:eastAsia="Calibri" w:hAnsi="Arial" w:cs="Arial"/>
          <w:lang w:val="es-ES" w:eastAsia="en-US"/>
        </w:rPr>
        <w:t xml:space="preserve">. </w:t>
      </w:r>
    </w:p>
    <w:p w:rsidR="0025315F" w:rsidRDefault="0025315F" w:rsidP="0025315F">
      <w:pPr>
        <w:pStyle w:val="NormalWeb"/>
        <w:spacing w:line="360" w:lineRule="auto"/>
        <w:ind w:left="2127"/>
        <w:jc w:val="both"/>
        <w:rPr>
          <w:rFonts w:ascii="Arial" w:eastAsia="Calibri" w:hAnsi="Arial" w:cs="Arial"/>
          <w:lang w:val="es-ES" w:eastAsia="en-US"/>
        </w:rPr>
      </w:pPr>
    </w:p>
    <w:p w:rsidR="0025315F" w:rsidRDefault="0025315F" w:rsidP="0025315F">
      <w:pPr>
        <w:pStyle w:val="NormalWeb"/>
        <w:spacing w:line="360" w:lineRule="auto"/>
        <w:ind w:left="2127"/>
        <w:jc w:val="both"/>
        <w:rPr>
          <w:rFonts w:ascii="Arial" w:eastAsia="Calibri" w:hAnsi="Arial" w:cs="Arial"/>
          <w:lang w:val="es-ES" w:eastAsia="en-US"/>
        </w:rPr>
      </w:pPr>
      <w:r w:rsidRPr="005C5DBE">
        <w:rPr>
          <w:rFonts w:ascii="Arial" w:eastAsia="Calibri" w:hAnsi="Arial" w:cs="Arial"/>
          <w:lang w:val="es-ES" w:eastAsia="en-US"/>
        </w:rPr>
        <w:t xml:space="preserve">Además Maxwell descubrió que la cantidad era simplemente la </w:t>
      </w:r>
      <w:hyperlink r:id="rId30" w:tooltip="Velocidad&#10; de la luz" w:history="1">
        <w:r w:rsidRPr="005C5DBE">
          <w:rPr>
            <w:rFonts w:ascii="Arial" w:eastAsia="Calibri" w:hAnsi="Arial" w:cs="Arial"/>
            <w:lang w:val="es-ES" w:eastAsia="en-US"/>
          </w:rPr>
          <w:t>velocidad de la luz</w:t>
        </w:r>
      </w:hyperlink>
      <w:r w:rsidRPr="005C5DBE">
        <w:rPr>
          <w:rFonts w:ascii="Arial" w:eastAsia="Calibri" w:hAnsi="Arial" w:cs="Arial"/>
          <w:lang w:val="es-ES" w:eastAsia="en-US"/>
        </w:rPr>
        <w:t xml:space="preserve"> en el vacío, por lo que la luz es una forma de </w:t>
      </w:r>
      <w:hyperlink r:id="rId31" w:tooltip="Radiación electromagnética" w:history="1">
        <w:r w:rsidRPr="005C5DBE">
          <w:rPr>
            <w:rFonts w:ascii="Arial" w:eastAsia="Calibri" w:hAnsi="Arial" w:cs="Arial"/>
            <w:lang w:val="es-ES" w:eastAsia="en-US"/>
          </w:rPr>
          <w:t>radiación electromagnética</w:t>
        </w:r>
      </w:hyperlink>
      <w:r w:rsidRPr="005C5DBE">
        <w:rPr>
          <w:rFonts w:ascii="Arial" w:eastAsia="Calibri" w:hAnsi="Arial" w:cs="Arial"/>
          <w:lang w:val="es-ES" w:eastAsia="en-US"/>
        </w:rPr>
        <w:t>. Los valores aceptados actualmente para la velocidad de la luz, la permitividad y la permeabilidad magnética se resumen en la siguiente tabla:</w:t>
      </w:r>
    </w:p>
    <w:p w:rsidR="0025315F" w:rsidRDefault="0025315F" w:rsidP="00882934">
      <w:pPr>
        <w:pStyle w:val="NormalWeb"/>
        <w:spacing w:line="360" w:lineRule="auto"/>
        <w:ind w:left="2127"/>
        <w:jc w:val="both"/>
        <w:rPr>
          <w:rFonts w:ascii="Arial" w:eastAsia="Calibri" w:hAnsi="Arial" w:cs="Arial"/>
          <w:lang w:val="es-ES" w:eastAsia="en-US"/>
        </w:rPr>
      </w:pPr>
    </w:p>
    <w:p w:rsidR="0025315F" w:rsidRPr="00016933" w:rsidRDefault="0025315F" w:rsidP="0025315F">
      <w:pPr>
        <w:pStyle w:val="NormalWeb"/>
        <w:spacing w:line="360" w:lineRule="auto"/>
        <w:ind w:left="2127"/>
        <w:jc w:val="center"/>
        <w:rPr>
          <w:rFonts w:ascii="Arial" w:hAnsi="Arial" w:cs="Arial"/>
        </w:rPr>
      </w:pPr>
      <w:r w:rsidRPr="005C5DBE">
        <w:rPr>
          <w:rFonts w:ascii="Arial" w:hAnsi="Arial" w:cs="Arial"/>
          <w:b/>
        </w:rPr>
        <w:lastRenderedPageBreak/>
        <w:t xml:space="preserve">Tabla III. </w:t>
      </w:r>
      <w:r w:rsidRPr="005C5DBE">
        <w:rPr>
          <w:rFonts w:ascii="Arial" w:eastAsia="Calibri" w:hAnsi="Arial" w:cs="Arial"/>
          <w:b/>
          <w:lang w:val="es-ES" w:eastAsia="en-US"/>
        </w:rPr>
        <w:t>Valores de la velocidad de la luz, la permitividad y la permeabilidad magnética</w:t>
      </w:r>
      <w:r w:rsidRPr="00664A36">
        <w:rPr>
          <w:rStyle w:val="FootnoteReference"/>
          <w:rFonts w:ascii="Arial" w:eastAsia="Calibri" w:hAnsi="Arial" w:cs="Arial"/>
          <w:b/>
        </w:rPr>
        <w:footnoteReference w:id="5"/>
      </w:r>
    </w:p>
    <w:p w:rsidR="0025315F" w:rsidRDefault="0025315F" w:rsidP="0025315F">
      <w:pPr>
        <w:pStyle w:val="NormalWeb"/>
        <w:spacing w:line="360" w:lineRule="auto"/>
        <w:ind w:left="1985"/>
        <w:jc w:val="right"/>
        <w:rPr>
          <w:rFonts w:ascii="Arial" w:eastAsia="Calibri" w:hAnsi="Arial" w:cs="Arial"/>
          <w:noProof/>
          <w:lang w:val="es-ES" w:eastAsia="es-ES"/>
        </w:rPr>
      </w:pPr>
      <w:r>
        <w:rPr>
          <w:rFonts w:ascii="Arial" w:eastAsia="Calibri" w:hAnsi="Arial" w:cs="Arial"/>
          <w:noProof/>
          <w:lang w:val="es-ES" w:eastAsia="es-ES"/>
        </w:rPr>
        <w:drawing>
          <wp:inline distT="0" distB="0" distL="0" distR="0">
            <wp:extent cx="3985260" cy="969010"/>
            <wp:effectExtent l="19050" t="0" r="0" b="0"/>
            <wp:docPr id="23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32" cstate="print"/>
                    <a:srcRect/>
                    <a:stretch>
                      <a:fillRect/>
                    </a:stretch>
                  </pic:blipFill>
                  <pic:spPr bwMode="auto">
                    <a:xfrm>
                      <a:off x="0" y="0"/>
                      <a:ext cx="3985260" cy="969010"/>
                    </a:xfrm>
                    <a:prstGeom prst="rect">
                      <a:avLst/>
                    </a:prstGeom>
                    <a:noFill/>
                    <a:ln w="9525">
                      <a:noFill/>
                      <a:miter lim="800000"/>
                      <a:headEnd/>
                      <a:tailEnd/>
                    </a:ln>
                  </pic:spPr>
                </pic:pic>
              </a:graphicData>
            </a:graphic>
          </wp:inline>
        </w:drawing>
      </w:r>
    </w:p>
    <w:p w:rsidR="0025315F" w:rsidRPr="005C5DBE" w:rsidRDefault="0025315F" w:rsidP="0025315F">
      <w:pPr>
        <w:pStyle w:val="NormalWeb"/>
        <w:spacing w:line="360" w:lineRule="auto"/>
        <w:ind w:left="1985"/>
        <w:jc w:val="right"/>
        <w:rPr>
          <w:rFonts w:ascii="Arial" w:eastAsia="Calibri" w:hAnsi="Arial" w:cs="Arial"/>
          <w:lang w:val="es-ES" w:eastAsia="en-US"/>
        </w:rPr>
      </w:pPr>
    </w:p>
    <w:p w:rsidR="0025315F" w:rsidRPr="005C5DBE" w:rsidRDefault="0025315F" w:rsidP="0025315F">
      <w:pPr>
        <w:spacing w:line="360" w:lineRule="auto"/>
        <w:ind w:firstLine="708"/>
        <w:rPr>
          <w:rFonts w:ascii="Arial" w:hAnsi="Arial" w:cs="Arial"/>
          <w:b/>
          <w:sz w:val="24"/>
          <w:szCs w:val="24"/>
        </w:rPr>
      </w:pPr>
      <w:r w:rsidRPr="005C5DBE">
        <w:rPr>
          <w:rFonts w:ascii="Arial" w:hAnsi="Arial" w:cs="Arial"/>
          <w:b/>
          <w:sz w:val="24"/>
          <w:szCs w:val="24"/>
        </w:rPr>
        <w:t>1.2.3. Cantidades y Unidades</w:t>
      </w:r>
    </w:p>
    <w:p w:rsidR="0025315F" w:rsidRPr="005C5DBE" w:rsidRDefault="0025315F" w:rsidP="0025315F">
      <w:pPr>
        <w:pStyle w:val="NormalWeb"/>
        <w:spacing w:line="360" w:lineRule="auto"/>
        <w:ind w:left="2127"/>
        <w:jc w:val="center"/>
        <w:rPr>
          <w:rFonts w:ascii="Arial" w:hAnsi="Arial" w:cs="Arial"/>
        </w:rPr>
      </w:pPr>
      <w:r w:rsidRPr="005C5DBE">
        <w:rPr>
          <w:rFonts w:ascii="Arial" w:hAnsi="Arial" w:cs="Arial"/>
          <w:b/>
        </w:rPr>
        <w:t xml:space="preserve">Tabla IV. </w:t>
      </w:r>
      <w:r w:rsidRPr="005C5DBE">
        <w:rPr>
          <w:rFonts w:ascii="Arial" w:eastAsia="Calibri" w:hAnsi="Arial" w:cs="Arial"/>
          <w:b/>
          <w:lang w:val="es-ES" w:eastAsia="en-US"/>
        </w:rPr>
        <w:t>Cantidades y Unidades Electromagnéticas</w:t>
      </w:r>
      <w:r w:rsidRPr="00664A36">
        <w:rPr>
          <w:rStyle w:val="FootnoteReference"/>
          <w:rFonts w:ascii="Arial" w:eastAsia="Calibri" w:hAnsi="Arial" w:cs="Arial"/>
          <w:b/>
        </w:rPr>
        <w:footnoteReference w:id="6"/>
      </w:r>
    </w:p>
    <w:p w:rsidR="0025315F" w:rsidRPr="005C5DBE" w:rsidRDefault="0025315F" w:rsidP="0025315F">
      <w:pPr>
        <w:spacing w:line="360" w:lineRule="auto"/>
        <w:ind w:left="2127"/>
        <w:jc w:val="center"/>
        <w:rPr>
          <w:rFonts w:ascii="Arial" w:hAnsi="Arial" w:cs="Arial"/>
          <w:b/>
          <w:sz w:val="24"/>
          <w:szCs w:val="24"/>
        </w:rPr>
      </w:pPr>
      <w:r>
        <w:rPr>
          <w:rFonts w:ascii="Arial" w:hAnsi="Arial" w:cs="Arial"/>
          <w:b/>
          <w:noProof/>
          <w:sz w:val="24"/>
          <w:szCs w:val="24"/>
          <w:lang w:eastAsia="es-ES"/>
        </w:rPr>
        <w:drawing>
          <wp:inline distT="0" distB="0" distL="0" distR="0">
            <wp:extent cx="3056890" cy="2429510"/>
            <wp:effectExtent l="19050" t="0" r="0" b="0"/>
            <wp:docPr id="2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3" cstate="print"/>
                    <a:srcRect/>
                    <a:stretch>
                      <a:fillRect/>
                    </a:stretch>
                  </pic:blipFill>
                  <pic:spPr bwMode="auto">
                    <a:xfrm>
                      <a:off x="0" y="0"/>
                      <a:ext cx="3056890" cy="2429510"/>
                    </a:xfrm>
                    <a:prstGeom prst="rect">
                      <a:avLst/>
                    </a:prstGeom>
                    <a:noFill/>
                    <a:ln w="9525">
                      <a:noFill/>
                      <a:miter lim="800000"/>
                      <a:headEnd/>
                      <a:tailEnd/>
                    </a:ln>
                  </pic:spPr>
                </pic:pic>
              </a:graphicData>
            </a:graphic>
          </wp:inline>
        </w:drawing>
      </w: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 xml:space="preserve">A frecuencias inferiores a 300 MHz aproximadamente, los campos se cuantifican en términos de intensidad de campo eléctrico (E) e intensidad de campo magnético </w:t>
      </w:r>
      <w:r w:rsidRPr="005C5DBE">
        <w:rPr>
          <w:rFonts w:ascii="Arial" w:hAnsi="Arial" w:cs="Arial"/>
          <w:sz w:val="24"/>
          <w:szCs w:val="24"/>
        </w:rPr>
        <w:lastRenderedPageBreak/>
        <w:t>(H). E se expresa en voltios por metro (V/m) y H en amperios por metro (A/m).</w:t>
      </w:r>
    </w:p>
    <w:p w:rsidR="0025315F"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Ambos son campos vectoriales: se caracterizan por la magnitud y dirección en cada punto. En el intervalo de baja frecuencia, el campo magnético suele expresarse en términos de densidad de flujo, B, por medio de la unidad SI denominada tesla (T).</w:t>
      </w: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p>
    <w:p w:rsidR="0025315F"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 xml:space="preserve">Al hablar de los campos de nuestro entorno diario, suele preferirse como unidad el submúltiplo microtesla (µT). En algunos textos, la densidad de flujo se expresa en gauss (G), </w:t>
      </w:r>
    </w:p>
    <w:p w:rsidR="0025315F" w:rsidRDefault="0025315F" w:rsidP="0025315F">
      <w:pPr>
        <w:autoSpaceDE w:val="0"/>
        <w:autoSpaceDN w:val="0"/>
        <w:adjustRightInd w:val="0"/>
        <w:spacing w:after="0" w:line="360" w:lineRule="auto"/>
        <w:ind w:left="2127"/>
        <w:jc w:val="both"/>
        <w:rPr>
          <w:rFonts w:ascii="Arial" w:hAnsi="Arial" w:cs="Arial"/>
          <w:sz w:val="24"/>
          <w:szCs w:val="24"/>
        </w:rPr>
      </w:pP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El término radiación significa simplemente energía transmitida por ondas. Las ondas electromagnéticas son ondas de fuerzas eléctricas y magnéticas, cuyo movimiento ondulatorio se define como propagación de perturbaciones en un sistema físico. Todo cambio en el campo eléctrico va acompañado de un cambio en el campo magnético y viceversa. Estos fenómenos fueron descritos en 1865 por J.C. Maxwell en cuatro ecuaciones que ahora se conocen como ecuaciones de Maxwell.</w:t>
      </w: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Default="0025315F" w:rsidP="0025315F">
      <w:pPr>
        <w:autoSpaceDE w:val="0"/>
        <w:autoSpaceDN w:val="0"/>
        <w:adjustRightInd w:val="0"/>
        <w:spacing w:after="0" w:line="360" w:lineRule="auto"/>
        <w:jc w:val="right"/>
        <w:rPr>
          <w:rFonts w:ascii="Arial" w:hAnsi="Arial" w:cs="Arial"/>
          <w:b/>
          <w:sz w:val="24"/>
          <w:szCs w:val="24"/>
        </w:rPr>
      </w:pPr>
    </w:p>
    <w:p w:rsidR="0025315F" w:rsidRPr="005C5DBE" w:rsidRDefault="0025315F" w:rsidP="0025315F">
      <w:pPr>
        <w:pStyle w:val="ListParagraph"/>
        <w:numPr>
          <w:ilvl w:val="1"/>
          <w:numId w:val="4"/>
        </w:numPr>
        <w:spacing w:line="360" w:lineRule="auto"/>
        <w:rPr>
          <w:rFonts w:ascii="Arial" w:hAnsi="Arial" w:cs="Arial"/>
          <w:b/>
          <w:sz w:val="24"/>
          <w:szCs w:val="24"/>
        </w:rPr>
      </w:pPr>
      <w:r w:rsidRPr="005C5DBE">
        <w:rPr>
          <w:rFonts w:ascii="Arial" w:hAnsi="Arial" w:cs="Arial"/>
          <w:b/>
          <w:sz w:val="24"/>
          <w:szCs w:val="24"/>
        </w:rPr>
        <w:lastRenderedPageBreak/>
        <w:t>Espectro Electromagnético</w:t>
      </w:r>
    </w:p>
    <w:p w:rsidR="0025315F" w:rsidRPr="005C5DBE" w:rsidRDefault="0025315F" w:rsidP="0025315F">
      <w:pPr>
        <w:pStyle w:val="ListParagraph"/>
        <w:spacing w:line="360" w:lineRule="auto"/>
        <w:ind w:left="1080"/>
        <w:rPr>
          <w:rFonts w:ascii="Arial" w:hAnsi="Arial" w:cs="Arial"/>
          <w:b/>
          <w:sz w:val="24"/>
          <w:szCs w:val="24"/>
        </w:rPr>
      </w:pPr>
    </w:p>
    <w:p w:rsidR="0025315F" w:rsidRPr="005C5DBE" w:rsidRDefault="0025315F" w:rsidP="0025315F">
      <w:pPr>
        <w:pStyle w:val="NormalWeb"/>
        <w:spacing w:before="96" w:beforeAutospacing="0" w:after="120" w:afterAutospacing="0" w:line="360" w:lineRule="auto"/>
        <w:ind w:left="1418"/>
        <w:jc w:val="right"/>
        <w:rPr>
          <w:rFonts w:ascii="Arial" w:hAnsi="Arial" w:cs="Arial"/>
          <w:color w:val="000000"/>
        </w:rPr>
      </w:pPr>
      <w:r>
        <w:rPr>
          <w:rFonts w:ascii="Arial" w:hAnsi="Arial" w:cs="Arial"/>
          <w:noProof/>
          <w:color w:val="000000"/>
          <w:lang w:val="es-ES" w:eastAsia="es-ES"/>
        </w:rPr>
        <w:drawing>
          <wp:inline distT="0" distB="0" distL="0" distR="0">
            <wp:extent cx="4353560" cy="1788160"/>
            <wp:effectExtent l="19050" t="0" r="8890"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4353560" cy="1788160"/>
                    </a:xfrm>
                    <a:prstGeom prst="rect">
                      <a:avLst/>
                    </a:prstGeom>
                    <a:noFill/>
                    <a:ln w="9525">
                      <a:noFill/>
                      <a:miter lim="800000"/>
                      <a:headEnd/>
                      <a:tailEnd/>
                    </a:ln>
                  </pic:spPr>
                </pic:pic>
              </a:graphicData>
            </a:graphic>
          </wp:inline>
        </w:drawing>
      </w:r>
    </w:p>
    <w:p w:rsidR="0025315F" w:rsidRPr="005C5DBE" w:rsidRDefault="0025315F" w:rsidP="0025315F">
      <w:pPr>
        <w:pStyle w:val="ListParagraph"/>
        <w:spacing w:line="360" w:lineRule="auto"/>
        <w:ind w:left="2127"/>
        <w:jc w:val="center"/>
        <w:rPr>
          <w:rFonts w:ascii="Arial" w:hAnsi="Arial" w:cs="Arial"/>
          <w:b/>
          <w:sz w:val="24"/>
          <w:szCs w:val="24"/>
        </w:rPr>
      </w:pPr>
      <w:r w:rsidRPr="005C5DBE">
        <w:rPr>
          <w:rFonts w:ascii="Arial" w:hAnsi="Arial" w:cs="Arial"/>
          <w:b/>
          <w:sz w:val="24"/>
          <w:szCs w:val="24"/>
        </w:rPr>
        <w:t>Figura 1.</w:t>
      </w:r>
      <w:r>
        <w:rPr>
          <w:rFonts w:ascii="Arial" w:hAnsi="Arial" w:cs="Arial"/>
          <w:b/>
          <w:sz w:val="24"/>
          <w:szCs w:val="24"/>
        </w:rPr>
        <w:t>3</w:t>
      </w:r>
      <w:r w:rsidRPr="005C5DBE">
        <w:rPr>
          <w:rFonts w:ascii="Arial" w:hAnsi="Arial" w:cs="Arial"/>
          <w:b/>
          <w:sz w:val="24"/>
          <w:szCs w:val="24"/>
        </w:rPr>
        <w:t xml:space="preserve"> Espectro Electromagnético</w:t>
      </w:r>
      <w:r w:rsidRPr="00664A36">
        <w:rPr>
          <w:rStyle w:val="FootnoteReference"/>
          <w:rFonts w:ascii="Arial" w:hAnsi="Arial" w:cs="Arial"/>
          <w:b/>
          <w:sz w:val="24"/>
          <w:szCs w:val="24"/>
        </w:rPr>
        <w:footnoteReference w:id="7"/>
      </w:r>
    </w:p>
    <w:p w:rsidR="0025315F" w:rsidRPr="005C5DBE" w:rsidRDefault="0025315F" w:rsidP="0025315F">
      <w:pPr>
        <w:pStyle w:val="NormalWeb"/>
        <w:spacing w:before="96" w:beforeAutospacing="0" w:after="120" w:afterAutospacing="0" w:line="360" w:lineRule="auto"/>
        <w:rPr>
          <w:rFonts w:ascii="Arial" w:hAnsi="Arial" w:cs="Arial"/>
          <w:color w:val="000000"/>
          <w:lang w:val="es-ES"/>
        </w:rPr>
      </w:pPr>
    </w:p>
    <w:p w:rsidR="0025315F" w:rsidRPr="005C5DBE" w:rsidRDefault="0025315F" w:rsidP="0025315F">
      <w:pPr>
        <w:pStyle w:val="NormalWeb"/>
        <w:spacing w:before="96" w:beforeAutospacing="0" w:after="120" w:afterAutospacing="0" w:line="360" w:lineRule="auto"/>
        <w:ind w:left="1418"/>
        <w:jc w:val="both"/>
        <w:rPr>
          <w:rFonts w:ascii="Arial" w:eastAsia="Calibri" w:hAnsi="Arial" w:cs="Arial"/>
          <w:lang w:val="es-ES" w:eastAsia="en-US"/>
        </w:rPr>
      </w:pPr>
      <w:r w:rsidRPr="005C5DBE">
        <w:rPr>
          <w:rFonts w:ascii="Arial" w:eastAsia="Calibri" w:hAnsi="Arial" w:cs="Arial"/>
          <w:lang w:val="es-ES" w:eastAsia="en-US"/>
        </w:rPr>
        <w:t>Se denomina espectro electromagnético a la distribución energética del conjunto de las </w:t>
      </w:r>
      <w:hyperlink r:id="rId35" w:tooltip="Onda electromagnética" w:history="1">
        <w:r w:rsidRPr="005C5DBE">
          <w:rPr>
            <w:rFonts w:ascii="Arial" w:eastAsia="Calibri" w:hAnsi="Arial" w:cs="Arial"/>
            <w:lang w:val="es-ES" w:eastAsia="en-US"/>
          </w:rPr>
          <w:t>ondas electromagnéticas</w:t>
        </w:r>
      </w:hyperlink>
      <w:r w:rsidRPr="005C5DBE">
        <w:rPr>
          <w:rFonts w:ascii="Arial" w:eastAsia="Calibri" w:hAnsi="Arial" w:cs="Arial"/>
          <w:lang w:val="es-ES" w:eastAsia="en-US"/>
        </w:rPr>
        <w:t>. Referido a un objeto se denomina espectro electromagnético o simplemente espectro a la </w:t>
      </w:r>
      <w:hyperlink r:id="rId36" w:tooltip="Radiación electromagnética" w:history="1">
        <w:r w:rsidRPr="005C5DBE">
          <w:rPr>
            <w:rFonts w:ascii="Arial" w:eastAsia="Calibri" w:hAnsi="Arial" w:cs="Arial"/>
            <w:lang w:val="es-ES" w:eastAsia="en-US"/>
          </w:rPr>
          <w:t>radiación electromagnética</w:t>
        </w:r>
      </w:hyperlink>
      <w:r w:rsidRPr="005C5DBE">
        <w:rPr>
          <w:rFonts w:ascii="Arial" w:hAnsi="Arial" w:cs="Arial"/>
        </w:rPr>
        <w:t xml:space="preserve"> </w:t>
      </w:r>
      <w:r w:rsidRPr="005C5DBE">
        <w:rPr>
          <w:rFonts w:ascii="Arial" w:eastAsia="Calibri" w:hAnsi="Arial" w:cs="Arial"/>
          <w:lang w:val="es-ES" w:eastAsia="en-US"/>
        </w:rPr>
        <w:t>que emite (</w:t>
      </w:r>
      <w:hyperlink r:id="rId37" w:tooltip="Espectro de emisión" w:history="1">
        <w:r w:rsidRPr="005C5DBE">
          <w:rPr>
            <w:rFonts w:ascii="Arial" w:eastAsia="Calibri" w:hAnsi="Arial" w:cs="Arial"/>
            <w:lang w:val="es-ES" w:eastAsia="en-US"/>
          </w:rPr>
          <w:t>espectro de emisión</w:t>
        </w:r>
      </w:hyperlink>
      <w:r w:rsidRPr="005C5DBE">
        <w:rPr>
          <w:rFonts w:ascii="Arial" w:eastAsia="Calibri" w:hAnsi="Arial" w:cs="Arial"/>
          <w:lang w:val="es-ES" w:eastAsia="en-US"/>
        </w:rPr>
        <w:t>) o absorbe (</w:t>
      </w:r>
      <w:hyperlink r:id="rId38" w:tooltip="Espectro de absorción" w:history="1">
        <w:r w:rsidRPr="005C5DBE">
          <w:rPr>
            <w:rFonts w:ascii="Arial" w:eastAsia="Calibri" w:hAnsi="Arial" w:cs="Arial"/>
            <w:lang w:val="es-ES" w:eastAsia="en-US"/>
          </w:rPr>
          <w:t>espectro de absorción</w:t>
        </w:r>
      </w:hyperlink>
      <w:r w:rsidRPr="005C5DBE">
        <w:rPr>
          <w:rFonts w:ascii="Arial" w:eastAsia="Calibri" w:hAnsi="Arial" w:cs="Arial"/>
          <w:lang w:val="es-ES" w:eastAsia="en-US"/>
        </w:rPr>
        <w:t>) una sustancia. Los espectros se pueden observar mediante espectroscopios</w:t>
      </w:r>
      <w:r w:rsidRPr="005C5DBE">
        <w:rPr>
          <w:rFonts w:ascii="Arial" w:hAnsi="Arial" w:cs="Arial"/>
        </w:rPr>
        <w:t xml:space="preserve"> </w:t>
      </w:r>
      <w:r w:rsidRPr="005C5DBE">
        <w:rPr>
          <w:rFonts w:ascii="Arial" w:eastAsia="Calibri" w:hAnsi="Arial" w:cs="Arial"/>
          <w:lang w:val="es-ES" w:eastAsia="en-US"/>
        </w:rPr>
        <w:t>que, además de permitir observar el espectro, permiten realizar medidas sobre éste, como la </w:t>
      </w:r>
      <w:hyperlink r:id="rId39" w:tooltip="Longitud de onda" w:history="1">
        <w:r w:rsidRPr="005C5DBE">
          <w:rPr>
            <w:rFonts w:ascii="Arial" w:eastAsia="Calibri" w:hAnsi="Arial" w:cs="Arial"/>
            <w:lang w:val="es-ES" w:eastAsia="en-US"/>
          </w:rPr>
          <w:t>longitud de onda</w:t>
        </w:r>
      </w:hyperlink>
      <w:r w:rsidRPr="005C5DBE">
        <w:rPr>
          <w:rFonts w:ascii="Arial" w:eastAsia="Calibri" w:hAnsi="Arial" w:cs="Arial"/>
          <w:lang w:val="es-ES" w:eastAsia="en-US"/>
        </w:rPr>
        <w:t xml:space="preserve">, la </w:t>
      </w:r>
      <w:hyperlink r:id="rId40" w:tooltip="Frecuencia" w:history="1">
        <w:r w:rsidRPr="005C5DBE">
          <w:rPr>
            <w:rFonts w:ascii="Arial" w:eastAsia="Calibri" w:hAnsi="Arial" w:cs="Arial"/>
            <w:lang w:val="es-ES" w:eastAsia="en-US"/>
          </w:rPr>
          <w:t>frecuencia</w:t>
        </w:r>
      </w:hyperlink>
      <w:r w:rsidRPr="005C5DBE">
        <w:rPr>
          <w:rFonts w:ascii="Arial" w:eastAsia="Calibri" w:hAnsi="Arial" w:cs="Arial"/>
          <w:lang w:val="es-ES" w:eastAsia="en-US"/>
        </w:rPr>
        <w:t> y la intensidad de la radiación.</w:t>
      </w:r>
    </w:p>
    <w:p w:rsidR="0025315F" w:rsidRPr="005C5DBE" w:rsidRDefault="0025315F" w:rsidP="0025315F">
      <w:pPr>
        <w:pStyle w:val="NormalWeb"/>
        <w:spacing w:before="96" w:beforeAutospacing="0" w:after="120" w:afterAutospacing="0" w:line="360" w:lineRule="auto"/>
        <w:ind w:left="1416" w:firstLine="2"/>
        <w:jc w:val="both"/>
        <w:rPr>
          <w:rFonts w:ascii="Arial" w:eastAsia="Calibri" w:hAnsi="Arial" w:cs="Arial"/>
          <w:lang w:val="es-ES" w:eastAsia="en-US"/>
        </w:rPr>
      </w:pPr>
      <w:r w:rsidRPr="005C5DBE">
        <w:rPr>
          <w:rFonts w:ascii="Arial" w:eastAsia="Calibri" w:hAnsi="Arial" w:cs="Arial"/>
          <w:lang w:val="es-ES" w:eastAsia="en-US"/>
        </w:rPr>
        <w:t>El espectro electromagnético se extiende desde la radiación de menor longitud de onda, como los </w:t>
      </w:r>
      <w:hyperlink r:id="rId41" w:tooltip="Rayos gamma" w:history="1">
        <w:r w:rsidRPr="005C5DBE">
          <w:rPr>
            <w:rFonts w:ascii="Arial" w:eastAsia="Calibri" w:hAnsi="Arial" w:cs="Arial"/>
            <w:lang w:val="es-ES" w:eastAsia="en-US"/>
          </w:rPr>
          <w:t>rayos gamma</w:t>
        </w:r>
      </w:hyperlink>
      <w:r w:rsidRPr="005C5DBE">
        <w:rPr>
          <w:rFonts w:ascii="Arial" w:eastAsia="Calibri" w:hAnsi="Arial" w:cs="Arial"/>
          <w:lang w:val="es-ES" w:eastAsia="en-US"/>
        </w:rPr>
        <w:t xml:space="preserve"> y los </w:t>
      </w:r>
      <w:hyperlink r:id="rId42" w:tooltip="Rayos X" w:history="1">
        <w:r w:rsidRPr="005C5DBE">
          <w:rPr>
            <w:rFonts w:ascii="Arial" w:eastAsia="Calibri" w:hAnsi="Arial" w:cs="Arial"/>
            <w:lang w:val="es-ES" w:eastAsia="en-US"/>
          </w:rPr>
          <w:t>rayos X</w:t>
        </w:r>
      </w:hyperlink>
      <w:r w:rsidRPr="005C5DBE">
        <w:rPr>
          <w:rFonts w:ascii="Arial" w:eastAsia="Calibri" w:hAnsi="Arial" w:cs="Arial"/>
          <w:lang w:val="es-ES" w:eastAsia="en-US"/>
        </w:rPr>
        <w:t>, pasando por la </w:t>
      </w:r>
      <w:hyperlink r:id="rId43" w:tooltip="Luz ultravioleta" w:history="1">
        <w:r w:rsidRPr="005C5DBE">
          <w:rPr>
            <w:rFonts w:ascii="Arial" w:eastAsia="Calibri" w:hAnsi="Arial" w:cs="Arial"/>
            <w:lang w:val="es-ES" w:eastAsia="en-US"/>
          </w:rPr>
          <w:t>luz ultravioleta</w:t>
        </w:r>
      </w:hyperlink>
      <w:r w:rsidRPr="005C5DBE">
        <w:rPr>
          <w:rFonts w:ascii="Arial" w:eastAsia="Calibri" w:hAnsi="Arial" w:cs="Arial"/>
          <w:lang w:val="es-ES" w:eastAsia="en-US"/>
        </w:rPr>
        <w:t>, la </w:t>
      </w:r>
      <w:hyperlink r:id="rId44" w:tooltip="Luz" w:history="1">
        <w:r w:rsidRPr="005C5DBE">
          <w:rPr>
            <w:rFonts w:ascii="Arial" w:eastAsia="Calibri" w:hAnsi="Arial" w:cs="Arial"/>
            <w:lang w:val="es-ES" w:eastAsia="en-US"/>
          </w:rPr>
          <w:t>luz visible</w:t>
        </w:r>
      </w:hyperlink>
      <w:r w:rsidRPr="005C5DBE">
        <w:rPr>
          <w:rFonts w:ascii="Arial" w:eastAsia="Calibri" w:hAnsi="Arial" w:cs="Arial"/>
          <w:lang w:val="es-ES" w:eastAsia="en-US"/>
        </w:rPr>
        <w:t> y los </w:t>
      </w:r>
      <w:hyperlink r:id="rId45" w:tooltip="Rayos infrarrojos" w:history="1">
        <w:r w:rsidRPr="005C5DBE">
          <w:rPr>
            <w:rFonts w:ascii="Arial" w:eastAsia="Calibri" w:hAnsi="Arial" w:cs="Arial"/>
            <w:lang w:val="es-ES" w:eastAsia="en-US"/>
          </w:rPr>
          <w:t>rayos infrarrojos</w:t>
        </w:r>
      </w:hyperlink>
      <w:r w:rsidRPr="005C5DBE">
        <w:rPr>
          <w:rFonts w:ascii="Arial" w:eastAsia="Calibri" w:hAnsi="Arial" w:cs="Arial"/>
          <w:lang w:val="es-ES" w:eastAsia="en-US"/>
        </w:rPr>
        <w:t>, hasta las ondas electromagnéticas de mayor longitud de onda, como son las </w:t>
      </w:r>
      <w:hyperlink r:id="rId46" w:tooltip="Radiofrecuencia" w:history="1">
        <w:r w:rsidRPr="005C5DBE">
          <w:rPr>
            <w:rFonts w:ascii="Arial" w:eastAsia="Calibri" w:hAnsi="Arial" w:cs="Arial"/>
            <w:lang w:val="es-ES" w:eastAsia="en-US"/>
          </w:rPr>
          <w:t>ondas de radio</w:t>
        </w:r>
      </w:hyperlink>
      <w:r w:rsidRPr="005C5DBE">
        <w:rPr>
          <w:rFonts w:ascii="Arial" w:eastAsia="Calibri" w:hAnsi="Arial" w:cs="Arial"/>
          <w:lang w:val="es-ES" w:eastAsia="en-US"/>
        </w:rPr>
        <w:t xml:space="preserve">. Se cree que el límite para la longitud de onda más pequeña posible es </w:t>
      </w:r>
      <w:r w:rsidRPr="005C5DBE">
        <w:rPr>
          <w:rFonts w:ascii="Arial" w:eastAsia="Calibri" w:hAnsi="Arial" w:cs="Arial"/>
          <w:lang w:val="es-ES" w:eastAsia="en-US"/>
        </w:rPr>
        <w:lastRenderedPageBreak/>
        <w:t>la </w:t>
      </w:r>
      <w:hyperlink r:id="rId47" w:tooltip="Longitud de Planck" w:history="1">
        <w:r w:rsidRPr="005C5DBE">
          <w:rPr>
            <w:rFonts w:ascii="Arial" w:eastAsia="Calibri" w:hAnsi="Arial" w:cs="Arial"/>
            <w:lang w:val="es-ES" w:eastAsia="en-US"/>
          </w:rPr>
          <w:t>longitud de Planck</w:t>
        </w:r>
      </w:hyperlink>
      <w:r w:rsidRPr="005C5DBE">
        <w:rPr>
          <w:rFonts w:ascii="Arial" w:eastAsia="Calibri" w:hAnsi="Arial" w:cs="Arial"/>
          <w:lang w:val="es-ES" w:eastAsia="en-US"/>
        </w:rPr>
        <w:t> mientras que el límite máximo sería el </w:t>
      </w:r>
      <w:hyperlink r:id="rId48" w:tooltip="Universo observable" w:history="1">
        <w:r w:rsidRPr="005C5DBE">
          <w:rPr>
            <w:rFonts w:ascii="Arial" w:eastAsia="Calibri" w:hAnsi="Arial" w:cs="Arial"/>
            <w:lang w:val="es-ES" w:eastAsia="en-US"/>
          </w:rPr>
          <w:t>tamaño del Universo</w:t>
        </w:r>
      </w:hyperlink>
      <w:r w:rsidRPr="005C5DBE">
        <w:rPr>
          <w:rFonts w:ascii="Arial" w:eastAsia="Calibri" w:hAnsi="Arial" w:cs="Arial"/>
          <w:lang w:val="es-ES" w:eastAsia="en-US"/>
        </w:rPr>
        <w:t> aunque formalmente el espectro electromagnético es </w:t>
      </w:r>
      <w:hyperlink r:id="rId49" w:tooltip="Infinito" w:history="1">
        <w:r w:rsidRPr="005C5DBE">
          <w:rPr>
            <w:rFonts w:ascii="Arial" w:eastAsia="Calibri" w:hAnsi="Arial" w:cs="Arial"/>
            <w:lang w:val="es-ES" w:eastAsia="en-US"/>
          </w:rPr>
          <w:t>infinito</w:t>
        </w:r>
      </w:hyperlink>
      <w:r w:rsidRPr="005C5DBE">
        <w:rPr>
          <w:rFonts w:ascii="Arial" w:eastAsia="Calibri" w:hAnsi="Arial" w:cs="Arial"/>
          <w:lang w:val="es-ES" w:eastAsia="en-US"/>
        </w:rPr>
        <w:t> y continuo.</w:t>
      </w:r>
    </w:p>
    <w:p w:rsidR="0025315F" w:rsidRPr="005C5DBE" w:rsidRDefault="0025315F" w:rsidP="0025315F">
      <w:pPr>
        <w:pStyle w:val="ListParagraph"/>
        <w:spacing w:line="360" w:lineRule="auto"/>
        <w:ind w:left="1080"/>
        <w:rPr>
          <w:rFonts w:ascii="Arial" w:hAnsi="Arial" w:cs="Arial"/>
          <w:b/>
          <w:sz w:val="24"/>
          <w:szCs w:val="24"/>
        </w:rPr>
      </w:pPr>
    </w:p>
    <w:p w:rsidR="0025315F" w:rsidRDefault="0025315F" w:rsidP="0025315F">
      <w:pPr>
        <w:pStyle w:val="ListParagraph"/>
        <w:numPr>
          <w:ilvl w:val="1"/>
          <w:numId w:val="4"/>
        </w:numPr>
        <w:spacing w:line="360" w:lineRule="auto"/>
        <w:rPr>
          <w:rFonts w:ascii="Arial" w:hAnsi="Arial" w:cs="Arial"/>
          <w:b/>
          <w:sz w:val="24"/>
          <w:szCs w:val="24"/>
        </w:rPr>
      </w:pPr>
      <w:r w:rsidRPr="005C5DBE">
        <w:rPr>
          <w:rFonts w:ascii="Arial" w:hAnsi="Arial" w:cs="Arial"/>
          <w:b/>
          <w:sz w:val="24"/>
          <w:szCs w:val="24"/>
        </w:rPr>
        <w:t>Tipos de Radiación.</w:t>
      </w:r>
    </w:p>
    <w:p w:rsidR="0025315F" w:rsidRDefault="0025315F" w:rsidP="0025315F">
      <w:pPr>
        <w:pStyle w:val="ListParagraph"/>
        <w:spacing w:line="360" w:lineRule="auto"/>
        <w:ind w:left="1080"/>
        <w:rPr>
          <w:rFonts w:ascii="Arial" w:hAnsi="Arial" w:cs="Arial"/>
          <w:b/>
          <w:sz w:val="24"/>
          <w:szCs w:val="24"/>
        </w:rPr>
      </w:pPr>
    </w:p>
    <w:p w:rsidR="0025315F" w:rsidRPr="005C5DBE"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t>Radiaciones Ionizantes.</w:t>
      </w:r>
    </w:p>
    <w:p w:rsidR="0025315F" w:rsidRPr="005C5DBE" w:rsidRDefault="0025315F" w:rsidP="0025315F">
      <w:pPr>
        <w:pStyle w:val="ListParagraph"/>
        <w:spacing w:line="360" w:lineRule="auto"/>
        <w:ind w:left="1800"/>
        <w:rPr>
          <w:rFonts w:ascii="Arial" w:hAnsi="Arial" w:cs="Arial"/>
          <w:b/>
          <w:sz w:val="24"/>
          <w:szCs w:val="24"/>
        </w:rPr>
      </w:pPr>
    </w:p>
    <w:p w:rsidR="0025315F" w:rsidRPr="005C5DBE" w:rsidRDefault="0025315F" w:rsidP="0025315F">
      <w:pPr>
        <w:pStyle w:val="NormalWeb"/>
        <w:spacing w:before="96" w:beforeAutospacing="0" w:after="120" w:afterAutospacing="0" w:line="360" w:lineRule="auto"/>
        <w:ind w:left="2127"/>
        <w:jc w:val="center"/>
        <w:rPr>
          <w:rFonts w:ascii="Arial" w:eastAsia="Calibri" w:hAnsi="Arial" w:cs="Arial"/>
          <w:lang w:val="es-ES" w:eastAsia="en-US"/>
        </w:rPr>
      </w:pPr>
      <w:r>
        <w:rPr>
          <w:rFonts w:ascii="Arial" w:eastAsia="Calibri" w:hAnsi="Arial" w:cs="Arial"/>
          <w:noProof/>
          <w:lang w:val="es-ES" w:eastAsia="es-ES"/>
        </w:rPr>
        <w:drawing>
          <wp:inline distT="0" distB="0" distL="0" distR="0">
            <wp:extent cx="1597025" cy="1938020"/>
            <wp:effectExtent l="19050" t="0" r="3175" b="0"/>
            <wp:docPr id="22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0" cstate="print"/>
                    <a:srcRect/>
                    <a:stretch>
                      <a:fillRect/>
                    </a:stretch>
                  </pic:blipFill>
                  <pic:spPr bwMode="auto">
                    <a:xfrm>
                      <a:off x="0" y="0"/>
                      <a:ext cx="1597025" cy="1938020"/>
                    </a:xfrm>
                    <a:prstGeom prst="rect">
                      <a:avLst/>
                    </a:prstGeom>
                    <a:noFill/>
                    <a:ln w="9525">
                      <a:noFill/>
                      <a:miter lim="800000"/>
                      <a:headEnd/>
                      <a:tailEnd/>
                    </a:ln>
                  </pic:spPr>
                </pic:pic>
              </a:graphicData>
            </a:graphic>
          </wp:inline>
        </w:drawing>
      </w:r>
    </w:p>
    <w:p w:rsidR="0025315F" w:rsidRPr="005C5DBE" w:rsidRDefault="0025315F" w:rsidP="0025315F">
      <w:pPr>
        <w:pStyle w:val="ListParagraph"/>
        <w:spacing w:line="360" w:lineRule="auto"/>
        <w:ind w:left="2127"/>
        <w:jc w:val="center"/>
        <w:rPr>
          <w:rFonts w:ascii="Arial" w:hAnsi="Arial" w:cs="Arial"/>
          <w:b/>
          <w:sz w:val="24"/>
          <w:szCs w:val="24"/>
        </w:rPr>
      </w:pPr>
      <w:r w:rsidRPr="005C5DBE">
        <w:rPr>
          <w:rFonts w:ascii="Arial" w:hAnsi="Arial" w:cs="Arial"/>
          <w:b/>
          <w:sz w:val="24"/>
          <w:szCs w:val="24"/>
        </w:rPr>
        <w:t>Figura 1.</w:t>
      </w:r>
      <w:r>
        <w:rPr>
          <w:rFonts w:ascii="Arial" w:hAnsi="Arial" w:cs="Arial"/>
          <w:b/>
          <w:sz w:val="24"/>
          <w:szCs w:val="24"/>
        </w:rPr>
        <w:t>4</w:t>
      </w:r>
      <w:r w:rsidRPr="005C5DBE">
        <w:rPr>
          <w:rFonts w:ascii="Arial" w:hAnsi="Arial" w:cs="Arial"/>
          <w:b/>
          <w:sz w:val="24"/>
          <w:szCs w:val="24"/>
        </w:rPr>
        <w:t xml:space="preserve"> Representación de radiación ionizante</w:t>
      </w:r>
      <w:r>
        <w:rPr>
          <w:rFonts w:ascii="Arial" w:hAnsi="Arial" w:cs="Arial"/>
          <w:b/>
          <w:sz w:val="24"/>
          <w:szCs w:val="24"/>
        </w:rPr>
        <w:t xml:space="preserve"> con un fotón</w:t>
      </w:r>
      <w:r w:rsidRPr="005C5DBE">
        <w:rPr>
          <w:rFonts w:ascii="Arial" w:hAnsi="Arial" w:cs="Arial"/>
          <w:b/>
          <w:sz w:val="24"/>
          <w:szCs w:val="24"/>
        </w:rPr>
        <w:t xml:space="preserve">. </w:t>
      </w:r>
      <w:r w:rsidRPr="00664A36">
        <w:rPr>
          <w:rStyle w:val="FootnoteReference"/>
          <w:rFonts w:ascii="Arial" w:hAnsi="Arial" w:cs="Arial"/>
          <w:b/>
          <w:sz w:val="24"/>
          <w:szCs w:val="24"/>
        </w:rPr>
        <w:footnoteReference w:id="8"/>
      </w: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Radiaciones ionizantes son</w:t>
      </w:r>
      <w:r>
        <w:rPr>
          <w:rFonts w:ascii="Arial" w:eastAsia="Calibri" w:hAnsi="Arial" w:cs="Arial"/>
          <w:lang w:val="es-ES" w:eastAsia="en-US"/>
        </w:rPr>
        <w:t xml:space="preserve"> </w:t>
      </w:r>
      <w:r w:rsidRPr="005C5DBE">
        <w:rPr>
          <w:rFonts w:ascii="Arial" w:eastAsia="Calibri" w:hAnsi="Arial" w:cs="Arial"/>
          <w:lang w:val="es-ES" w:eastAsia="en-US"/>
        </w:rPr>
        <w:t>aquellas </w:t>
      </w:r>
      <w:hyperlink r:id="rId51" w:tooltip="Radiación" w:history="1">
        <w:r w:rsidRPr="005C5DBE">
          <w:rPr>
            <w:rFonts w:ascii="Arial" w:eastAsia="Calibri" w:hAnsi="Arial" w:cs="Arial"/>
            <w:lang w:val="es-ES" w:eastAsia="en-US"/>
          </w:rPr>
          <w:t>radiaciones</w:t>
        </w:r>
      </w:hyperlink>
      <w:r w:rsidRPr="005C5DBE">
        <w:rPr>
          <w:rFonts w:ascii="Arial" w:eastAsia="Calibri" w:hAnsi="Arial" w:cs="Arial"/>
          <w:lang w:val="es-ES" w:eastAsia="en-US"/>
        </w:rPr>
        <w:t> con energía suficiente para </w:t>
      </w:r>
      <w:hyperlink r:id="rId52" w:tooltip="Ionizar" w:history="1">
        <w:r w:rsidRPr="005C5DBE">
          <w:rPr>
            <w:rFonts w:ascii="Arial" w:eastAsia="Calibri" w:hAnsi="Arial" w:cs="Arial"/>
            <w:lang w:val="es-ES" w:eastAsia="en-US"/>
          </w:rPr>
          <w:t>ionizar</w:t>
        </w:r>
      </w:hyperlink>
      <w:r w:rsidRPr="005C5DBE">
        <w:rPr>
          <w:rFonts w:ascii="Arial" w:eastAsia="Calibri" w:hAnsi="Arial" w:cs="Arial"/>
          <w:lang w:val="es-ES" w:eastAsia="en-US"/>
        </w:rPr>
        <w:t> la materia, extrayendo los </w:t>
      </w:r>
      <w:hyperlink r:id="rId53" w:tooltip="Electrón" w:history="1">
        <w:r w:rsidRPr="005C5DBE">
          <w:rPr>
            <w:rFonts w:ascii="Arial" w:eastAsia="Calibri" w:hAnsi="Arial" w:cs="Arial"/>
            <w:lang w:val="es-ES" w:eastAsia="en-US"/>
          </w:rPr>
          <w:t>electrones</w:t>
        </w:r>
      </w:hyperlink>
      <w:r w:rsidRPr="005C5DBE">
        <w:rPr>
          <w:rFonts w:ascii="Arial" w:eastAsia="Calibri" w:hAnsi="Arial" w:cs="Arial"/>
          <w:lang w:val="es-ES" w:eastAsia="en-US"/>
        </w:rPr>
        <w:t> de sus estados ligados al átomo.</w:t>
      </w: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Las radiaciones ionizantes pueden provenir de sustancias radiactivas, que emiten dichas radiaciones de forma espontánea, o de generadores artificiales, tales como los generadores de Rayos X y los aceleradores de partículas.</w:t>
      </w: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lastRenderedPageBreak/>
        <w:t>Las procedentes de fuentes de radiaciones ionizantes que se encuentran en la corteza terráquea de forma natural, pueden clasificarse como compuesta por </w:t>
      </w:r>
      <w:hyperlink r:id="rId54" w:tooltip="Partícula alfa" w:history="1">
        <w:r w:rsidRPr="005C5DBE">
          <w:rPr>
            <w:rFonts w:ascii="Arial" w:eastAsia="Calibri" w:hAnsi="Arial" w:cs="Arial"/>
            <w:lang w:val="es-ES" w:eastAsia="en-US"/>
          </w:rPr>
          <w:t>partículas alfa</w:t>
        </w:r>
      </w:hyperlink>
      <w:r w:rsidRPr="005C5DBE">
        <w:rPr>
          <w:rFonts w:ascii="Arial" w:eastAsia="Calibri" w:hAnsi="Arial" w:cs="Arial"/>
          <w:lang w:val="es-ES" w:eastAsia="en-US"/>
        </w:rPr>
        <w:t>, </w:t>
      </w:r>
      <w:hyperlink r:id="rId55" w:tooltip="Partícula beta" w:history="1">
        <w:r w:rsidRPr="005C5DBE">
          <w:rPr>
            <w:rFonts w:ascii="Arial" w:eastAsia="Calibri" w:hAnsi="Arial" w:cs="Arial"/>
            <w:lang w:val="es-ES" w:eastAsia="en-US"/>
          </w:rPr>
          <w:t>beta</w:t>
        </w:r>
      </w:hyperlink>
      <w:r w:rsidRPr="005C5DBE">
        <w:rPr>
          <w:rFonts w:ascii="Arial" w:eastAsia="Calibri" w:hAnsi="Arial" w:cs="Arial"/>
          <w:lang w:val="es-ES" w:eastAsia="en-US"/>
        </w:rPr>
        <w:t>, </w:t>
      </w:r>
      <w:hyperlink r:id="rId56" w:tooltip="Rayo gamma" w:history="1">
        <w:r w:rsidRPr="005C5DBE">
          <w:rPr>
            <w:rFonts w:ascii="Arial" w:eastAsia="Calibri" w:hAnsi="Arial" w:cs="Arial"/>
            <w:lang w:val="es-ES" w:eastAsia="en-US"/>
          </w:rPr>
          <w:t>rayos gamma</w:t>
        </w:r>
      </w:hyperlink>
      <w:r w:rsidRPr="005C5DBE">
        <w:rPr>
          <w:rFonts w:ascii="Arial" w:eastAsia="Calibri" w:hAnsi="Arial" w:cs="Arial"/>
          <w:lang w:val="es-ES" w:eastAsia="en-US"/>
        </w:rPr>
        <w:t> o </w:t>
      </w:r>
      <w:hyperlink r:id="rId57" w:tooltip="Rayos X" w:history="1">
        <w:r w:rsidRPr="005C5DBE">
          <w:rPr>
            <w:rFonts w:ascii="Arial" w:eastAsia="Calibri" w:hAnsi="Arial" w:cs="Arial"/>
            <w:lang w:val="es-ES" w:eastAsia="en-US"/>
          </w:rPr>
          <w:t>rayos X</w:t>
        </w:r>
      </w:hyperlink>
      <w:r w:rsidRPr="005C5DBE">
        <w:rPr>
          <w:rFonts w:ascii="Arial" w:eastAsia="Calibri" w:hAnsi="Arial" w:cs="Arial"/>
          <w:lang w:val="es-ES" w:eastAsia="en-US"/>
        </w:rPr>
        <w:t xml:space="preserve">. </w:t>
      </w:r>
    </w:p>
    <w:p w:rsidR="0025315F" w:rsidRDefault="0025315F" w:rsidP="0025315F">
      <w:pPr>
        <w:pStyle w:val="ListParagraph"/>
        <w:spacing w:line="360" w:lineRule="auto"/>
        <w:ind w:left="1800"/>
        <w:rPr>
          <w:rFonts w:ascii="Arial" w:hAnsi="Arial" w:cs="Arial"/>
          <w:b/>
          <w:sz w:val="24"/>
          <w:szCs w:val="24"/>
        </w:rPr>
      </w:pPr>
    </w:p>
    <w:p w:rsidR="0025315F" w:rsidRPr="005C5DBE" w:rsidRDefault="0025315F" w:rsidP="0025315F">
      <w:pPr>
        <w:pStyle w:val="ListParagraph"/>
        <w:numPr>
          <w:ilvl w:val="2"/>
          <w:numId w:val="4"/>
        </w:numPr>
        <w:spacing w:line="360" w:lineRule="auto"/>
        <w:ind w:left="1843"/>
        <w:rPr>
          <w:rFonts w:ascii="Arial" w:hAnsi="Arial" w:cs="Arial"/>
          <w:b/>
          <w:sz w:val="24"/>
          <w:szCs w:val="24"/>
        </w:rPr>
      </w:pPr>
      <w:r w:rsidRPr="005C5DBE">
        <w:rPr>
          <w:rFonts w:ascii="Arial" w:hAnsi="Arial" w:cs="Arial"/>
          <w:b/>
          <w:sz w:val="24"/>
          <w:szCs w:val="24"/>
        </w:rPr>
        <w:t>Radiaciones No Ionizantes.</w:t>
      </w:r>
    </w:p>
    <w:p w:rsidR="0025315F" w:rsidRPr="005C5DBE" w:rsidRDefault="0025315F" w:rsidP="0025315F">
      <w:pPr>
        <w:pStyle w:val="ListParagraph"/>
        <w:spacing w:line="360" w:lineRule="auto"/>
        <w:ind w:left="1080"/>
        <w:rPr>
          <w:rFonts w:ascii="Arial" w:hAnsi="Arial" w:cs="Arial"/>
          <w:b/>
          <w:sz w:val="24"/>
          <w:szCs w:val="24"/>
        </w:rPr>
      </w:pPr>
    </w:p>
    <w:p w:rsidR="0025315F" w:rsidRPr="005C5DBE" w:rsidRDefault="0025315F" w:rsidP="0025315F">
      <w:pPr>
        <w:pStyle w:val="NormalWeb"/>
        <w:spacing w:before="96" w:beforeAutospacing="0" w:after="120" w:afterAutospacing="0" w:line="360" w:lineRule="auto"/>
        <w:ind w:left="1843"/>
        <w:jc w:val="both"/>
        <w:rPr>
          <w:rFonts w:ascii="Arial" w:eastAsia="Calibri" w:hAnsi="Arial" w:cs="Arial"/>
          <w:lang w:val="es-ES" w:eastAsia="en-US"/>
        </w:rPr>
      </w:pPr>
      <w:r w:rsidRPr="005C5DBE">
        <w:rPr>
          <w:rFonts w:ascii="Arial" w:eastAsia="Calibri" w:hAnsi="Arial" w:cs="Arial"/>
          <w:lang w:val="es-ES" w:eastAsia="en-US"/>
        </w:rPr>
        <w:t xml:space="preserve">Se entiende por radiación no ionizante aquella  </w:t>
      </w:r>
      <w:hyperlink r:id="rId58" w:tooltip="Onda" w:history="1">
        <w:r w:rsidRPr="005C5DBE">
          <w:rPr>
            <w:rFonts w:ascii="Arial" w:eastAsia="Calibri" w:hAnsi="Arial" w:cs="Arial"/>
            <w:lang w:val="es-ES" w:eastAsia="en-US"/>
          </w:rPr>
          <w:t>onda</w:t>
        </w:r>
      </w:hyperlink>
      <w:r w:rsidRPr="005C5DBE">
        <w:rPr>
          <w:rFonts w:ascii="Arial" w:eastAsia="Calibri" w:hAnsi="Arial" w:cs="Arial"/>
          <w:lang w:val="es-ES" w:eastAsia="en-US"/>
        </w:rPr>
        <w:t xml:space="preserve"> o </w:t>
      </w:r>
      <w:hyperlink r:id="rId59" w:tooltip="Partícula subatómica" w:history="1">
        <w:r w:rsidRPr="005C5DBE">
          <w:rPr>
            <w:rFonts w:ascii="Arial" w:eastAsia="Calibri" w:hAnsi="Arial" w:cs="Arial"/>
            <w:lang w:val="es-ES" w:eastAsia="en-US"/>
          </w:rPr>
          <w:t>partícula</w:t>
        </w:r>
      </w:hyperlink>
      <w:r w:rsidRPr="005C5DBE">
        <w:rPr>
          <w:rFonts w:ascii="Arial" w:eastAsia="Calibri" w:hAnsi="Arial" w:cs="Arial"/>
          <w:lang w:val="es-ES" w:eastAsia="en-US"/>
        </w:rPr>
        <w:t> que no es capaz de arrancar electrones de la materia que ilumina produciendo, como much</w:t>
      </w:r>
      <w:r w:rsidR="008B7786">
        <w:rPr>
          <w:rFonts w:ascii="Arial" w:eastAsia="Calibri" w:hAnsi="Arial" w:cs="Arial"/>
          <w:lang w:val="es-ES" w:eastAsia="en-US"/>
        </w:rPr>
        <w:t>as</w:t>
      </w:r>
      <w:r w:rsidRPr="005C5DBE">
        <w:rPr>
          <w:rFonts w:ascii="Arial" w:eastAsia="Calibri" w:hAnsi="Arial" w:cs="Arial"/>
          <w:lang w:val="es-ES" w:eastAsia="en-US"/>
        </w:rPr>
        <w:t xml:space="preserve"> </w:t>
      </w:r>
      <w:hyperlink r:id="rId60" w:tooltip="Excitaciones electrónicas (aún no redactado)" w:history="1">
        <w:r w:rsidRPr="005C5DBE">
          <w:rPr>
            <w:rFonts w:ascii="Arial" w:eastAsia="Calibri" w:hAnsi="Arial" w:cs="Arial"/>
            <w:lang w:val="es-ES" w:eastAsia="en-US"/>
          </w:rPr>
          <w:t>excitaciones electrónicas</w:t>
        </w:r>
      </w:hyperlink>
      <w:r w:rsidRPr="005C5DBE">
        <w:rPr>
          <w:rFonts w:ascii="Arial" w:eastAsia="Calibri" w:hAnsi="Arial" w:cs="Arial"/>
          <w:lang w:val="es-ES" w:eastAsia="en-US"/>
        </w:rPr>
        <w:t>. Ciñéndose a la </w:t>
      </w:r>
      <w:hyperlink r:id="rId61" w:tooltip="Radiación electromagnética" w:history="1">
        <w:r w:rsidRPr="005C5DBE">
          <w:rPr>
            <w:rFonts w:ascii="Arial" w:eastAsia="Calibri" w:hAnsi="Arial" w:cs="Arial"/>
            <w:lang w:val="es-ES" w:eastAsia="en-US"/>
          </w:rPr>
          <w:t>radiación electromagnética</w:t>
        </w:r>
      </w:hyperlink>
      <w:r w:rsidRPr="005C5DBE">
        <w:rPr>
          <w:rFonts w:ascii="Arial" w:eastAsia="Calibri" w:hAnsi="Arial" w:cs="Arial"/>
          <w:lang w:val="es-ES" w:eastAsia="en-US"/>
        </w:rPr>
        <w:t>, la capacidad de arrancar  </w:t>
      </w:r>
      <w:hyperlink r:id="rId62" w:tooltip="Electrones" w:history="1">
        <w:r w:rsidRPr="005C5DBE">
          <w:rPr>
            <w:rFonts w:ascii="Arial" w:eastAsia="Calibri" w:hAnsi="Arial" w:cs="Arial"/>
            <w:lang w:val="es-ES" w:eastAsia="en-US"/>
          </w:rPr>
          <w:t>electrones</w:t>
        </w:r>
      </w:hyperlink>
      <w:r w:rsidRPr="005C5DBE">
        <w:rPr>
          <w:rFonts w:ascii="Arial" w:hAnsi="Arial" w:cs="Arial"/>
        </w:rPr>
        <w:t xml:space="preserve"> </w:t>
      </w:r>
      <w:r w:rsidRPr="005C5DBE">
        <w:rPr>
          <w:rFonts w:ascii="Arial" w:eastAsia="Calibri" w:hAnsi="Arial" w:cs="Arial"/>
          <w:lang w:val="es-ES" w:eastAsia="en-US"/>
        </w:rPr>
        <w:t>(</w:t>
      </w:r>
      <w:hyperlink r:id="rId63" w:tooltip="Ionizar" w:history="1">
        <w:r w:rsidRPr="005C5DBE">
          <w:rPr>
            <w:rFonts w:ascii="Arial" w:eastAsia="Calibri" w:hAnsi="Arial" w:cs="Arial"/>
            <w:lang w:val="es-ES" w:eastAsia="en-US"/>
          </w:rPr>
          <w:t>ionizar</w:t>
        </w:r>
      </w:hyperlink>
      <w:r w:rsidRPr="005C5DBE">
        <w:rPr>
          <w:rFonts w:ascii="Arial" w:eastAsia="Calibri" w:hAnsi="Arial" w:cs="Arial"/>
          <w:lang w:val="es-ES" w:eastAsia="en-US"/>
        </w:rPr>
        <w:t> átomos o moléculas) vendrá dada, en el caso lineal, por la </w:t>
      </w:r>
      <w:hyperlink r:id="rId64" w:tooltip="Frecuencia" w:history="1">
        <w:r w:rsidRPr="005C5DBE">
          <w:rPr>
            <w:rFonts w:ascii="Arial" w:eastAsia="Calibri" w:hAnsi="Arial" w:cs="Arial"/>
            <w:lang w:val="es-ES" w:eastAsia="en-US"/>
          </w:rPr>
          <w:t>frecuencia</w:t>
        </w:r>
      </w:hyperlink>
      <w:r w:rsidRPr="005C5DBE">
        <w:rPr>
          <w:rFonts w:ascii="Arial" w:eastAsia="Calibri" w:hAnsi="Arial" w:cs="Arial"/>
          <w:lang w:val="es-ES" w:eastAsia="en-US"/>
        </w:rPr>
        <w:t> de la radiación, que determina la energía por </w:t>
      </w:r>
      <w:hyperlink r:id="rId65" w:tooltip="Fotón" w:history="1">
        <w:r w:rsidRPr="005C5DBE">
          <w:rPr>
            <w:rFonts w:ascii="Arial" w:eastAsia="Calibri" w:hAnsi="Arial" w:cs="Arial"/>
            <w:lang w:val="es-ES" w:eastAsia="en-US"/>
          </w:rPr>
          <w:t>fotón</w:t>
        </w:r>
      </w:hyperlink>
      <w:r w:rsidRPr="005C5DBE">
        <w:rPr>
          <w:rFonts w:ascii="Arial" w:eastAsia="Calibri" w:hAnsi="Arial" w:cs="Arial"/>
          <w:lang w:val="es-ES" w:eastAsia="en-US"/>
        </w:rPr>
        <w:t>, y en el caso no-lineal también por la "fluencia" (energía por unidad de superficie) de dicha radiación; en este caso se habla de </w:t>
      </w:r>
      <w:hyperlink r:id="rId66" w:tooltip="Ionización no lineal (aún no redactado)" w:history="1">
        <w:r w:rsidRPr="005C5DBE">
          <w:rPr>
            <w:rFonts w:ascii="Arial" w:eastAsia="Calibri" w:hAnsi="Arial" w:cs="Arial"/>
            <w:lang w:val="es-ES" w:eastAsia="en-US"/>
          </w:rPr>
          <w:t>ionización no lineal</w:t>
        </w:r>
      </w:hyperlink>
      <w:r w:rsidRPr="005C5DBE">
        <w:rPr>
          <w:rFonts w:ascii="Arial" w:eastAsia="Calibri" w:hAnsi="Arial" w:cs="Arial"/>
          <w:lang w:val="es-ES" w:eastAsia="en-US"/>
        </w:rPr>
        <w:t>.</w:t>
      </w:r>
    </w:p>
    <w:p w:rsidR="0025315F" w:rsidRPr="005C5DBE" w:rsidRDefault="0025315F" w:rsidP="0025315F">
      <w:pPr>
        <w:pStyle w:val="NormalWeb"/>
        <w:spacing w:before="96" w:beforeAutospacing="0" w:after="120" w:afterAutospacing="0" w:line="360" w:lineRule="auto"/>
        <w:ind w:left="1843"/>
        <w:jc w:val="both"/>
        <w:rPr>
          <w:rFonts w:ascii="Arial" w:eastAsia="Calibri" w:hAnsi="Arial" w:cs="Arial"/>
          <w:lang w:val="es-ES" w:eastAsia="en-US"/>
        </w:rPr>
      </w:pPr>
      <w:r w:rsidRPr="005C5DBE">
        <w:rPr>
          <w:rFonts w:ascii="Arial" w:eastAsia="Calibri" w:hAnsi="Arial" w:cs="Arial"/>
          <w:lang w:val="es-ES" w:eastAsia="en-US"/>
        </w:rPr>
        <w:t>Así, atendiendo a la frecuencia de la radiación serán radiaciones no ionizantes las frecuencias comprendidas entre las frecuencias bajas o radio frecuencias y el ultravioleta aproximadamente, a partir del cual (</w:t>
      </w:r>
      <w:hyperlink r:id="rId67" w:tooltip="Rayos X" w:history="1">
        <w:r w:rsidRPr="005C5DBE">
          <w:rPr>
            <w:rFonts w:ascii="Arial" w:eastAsia="Calibri" w:hAnsi="Arial" w:cs="Arial"/>
            <w:lang w:val="es-ES" w:eastAsia="en-US"/>
          </w:rPr>
          <w:t>rayos X</w:t>
        </w:r>
      </w:hyperlink>
      <w:r w:rsidRPr="005C5DBE">
        <w:rPr>
          <w:rFonts w:ascii="Arial" w:eastAsia="Calibri" w:hAnsi="Arial" w:cs="Arial"/>
          <w:lang w:val="es-ES" w:eastAsia="en-US"/>
        </w:rPr>
        <w:t> y </w:t>
      </w:r>
      <w:hyperlink r:id="rId68" w:tooltip="Rayos gamma" w:history="1">
        <w:r w:rsidRPr="005C5DBE">
          <w:rPr>
            <w:rFonts w:ascii="Arial" w:eastAsia="Calibri" w:hAnsi="Arial" w:cs="Arial"/>
            <w:lang w:val="es-ES" w:eastAsia="en-US"/>
          </w:rPr>
          <w:t>rayos gamma</w:t>
        </w:r>
      </w:hyperlink>
      <w:r w:rsidRPr="005C5DBE">
        <w:rPr>
          <w:rFonts w:ascii="Arial" w:eastAsia="Calibri" w:hAnsi="Arial" w:cs="Arial"/>
          <w:lang w:val="es-ES" w:eastAsia="en-US"/>
        </w:rPr>
        <w:t>) se habla de </w:t>
      </w:r>
      <w:hyperlink r:id="rId69" w:tooltip="Radiación ionizante" w:history="1">
        <w:r w:rsidRPr="005C5DBE">
          <w:rPr>
            <w:rFonts w:ascii="Arial" w:eastAsia="Calibri" w:hAnsi="Arial" w:cs="Arial"/>
            <w:lang w:val="es-ES" w:eastAsia="en-US"/>
          </w:rPr>
          <w:t>radiación ionizante</w:t>
        </w:r>
      </w:hyperlink>
      <w:r w:rsidRPr="005C5DBE">
        <w:rPr>
          <w:rFonts w:ascii="Arial" w:eastAsia="Calibri" w:hAnsi="Arial" w:cs="Arial"/>
          <w:lang w:val="es-ES" w:eastAsia="en-US"/>
        </w:rPr>
        <w:t>. En el caso particular de radiaciones no ionizantes por su frecuencia pero extremadamente intensas (únicamente los </w:t>
      </w:r>
      <w:hyperlink r:id="rId70" w:tooltip="Láser" w:history="1">
        <w:r w:rsidRPr="005C5DBE">
          <w:rPr>
            <w:rFonts w:ascii="Arial" w:eastAsia="Calibri" w:hAnsi="Arial" w:cs="Arial"/>
            <w:lang w:val="es-ES" w:eastAsia="en-US"/>
          </w:rPr>
          <w:t>láseres</w:t>
        </w:r>
      </w:hyperlink>
      <w:r w:rsidRPr="005C5DBE">
        <w:rPr>
          <w:rFonts w:ascii="Arial" w:eastAsia="Calibri" w:hAnsi="Arial" w:cs="Arial"/>
          <w:lang w:val="es-ES" w:eastAsia="en-US"/>
        </w:rPr>
        <w:t> intensos) aparece el fenómeno de la </w:t>
      </w:r>
      <w:hyperlink r:id="rId71" w:tooltip="Ionización no lineal (aún no redactado)" w:history="1">
        <w:r w:rsidRPr="005C5DBE">
          <w:rPr>
            <w:rFonts w:ascii="Arial" w:eastAsia="Calibri" w:hAnsi="Arial" w:cs="Arial"/>
            <w:lang w:val="es-ES" w:eastAsia="en-US"/>
          </w:rPr>
          <w:t>ionización no lineal</w:t>
        </w:r>
      </w:hyperlink>
      <w:r w:rsidRPr="005C5DBE">
        <w:rPr>
          <w:rFonts w:ascii="Arial" w:eastAsia="Calibri" w:hAnsi="Arial" w:cs="Arial"/>
          <w:lang w:val="es-ES" w:eastAsia="en-US"/>
        </w:rPr>
        <w:t> siendo, por tanto, también ionizantes.</w:t>
      </w:r>
    </w:p>
    <w:p w:rsidR="0025315F" w:rsidRPr="005C5DBE" w:rsidRDefault="0025315F" w:rsidP="0025315F">
      <w:pPr>
        <w:pStyle w:val="NormalWeb"/>
        <w:spacing w:before="96" w:beforeAutospacing="0" w:after="120" w:afterAutospacing="0" w:line="360" w:lineRule="auto"/>
        <w:ind w:left="1843"/>
        <w:jc w:val="both"/>
        <w:rPr>
          <w:rFonts w:ascii="Arial" w:eastAsia="Calibri" w:hAnsi="Arial" w:cs="Arial"/>
          <w:lang w:val="es-ES" w:eastAsia="en-US"/>
        </w:rPr>
      </w:pPr>
      <w:r w:rsidRPr="005C5DBE">
        <w:rPr>
          <w:rFonts w:ascii="Arial" w:eastAsia="Calibri" w:hAnsi="Arial" w:cs="Arial"/>
          <w:lang w:val="es-ES" w:eastAsia="en-US"/>
        </w:rPr>
        <w:t xml:space="preserve">La emisión de neutrones termales corresponde a un tipo de radiación no ionizante tremendamente dañina para los </w:t>
      </w:r>
      <w:r w:rsidRPr="005C5DBE">
        <w:rPr>
          <w:rFonts w:ascii="Arial" w:eastAsia="Calibri" w:hAnsi="Arial" w:cs="Arial"/>
          <w:lang w:val="es-ES" w:eastAsia="en-US"/>
        </w:rPr>
        <w:lastRenderedPageBreak/>
        <w:t>seres vivientes. Un blindaje eficiente lo constituye cualquier fuente que posea hidrógeno, como el agua o los plásticos, aunque el mejor blindaje de todos para este tipo de neutrones, al igual que en la emisión de neutrones lentos, son: el cadmio natural (Cd), por captura reactiva, y el Boro (B), por reacciones de transmutación. Para este tipo de radiación los materiales como el plomo, acero, etc. son absolutamente transparentes.</w:t>
      </w:r>
    </w:p>
    <w:p w:rsidR="0025315F" w:rsidRDefault="0025315F" w:rsidP="0025315F">
      <w:pPr>
        <w:pStyle w:val="ListParagraph"/>
        <w:spacing w:line="360" w:lineRule="auto"/>
        <w:ind w:left="1080"/>
        <w:rPr>
          <w:rFonts w:ascii="Arial" w:hAnsi="Arial" w:cs="Arial"/>
          <w:b/>
          <w:sz w:val="14"/>
          <w:szCs w:val="24"/>
        </w:rPr>
      </w:pPr>
    </w:p>
    <w:p w:rsidR="0025315F" w:rsidRPr="007F539E" w:rsidRDefault="0025315F" w:rsidP="0025315F">
      <w:pPr>
        <w:pStyle w:val="ListParagraph"/>
        <w:spacing w:line="360" w:lineRule="auto"/>
        <w:ind w:left="1080"/>
        <w:rPr>
          <w:rFonts w:ascii="Arial" w:hAnsi="Arial" w:cs="Arial"/>
          <w:b/>
          <w:sz w:val="14"/>
          <w:szCs w:val="24"/>
        </w:rPr>
      </w:pPr>
    </w:p>
    <w:p w:rsidR="0025315F" w:rsidRPr="005C5DBE"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t>Radiaciones Ionizantes y No ionizantes en el Espectro Electromagnético.</w:t>
      </w:r>
    </w:p>
    <w:p w:rsidR="0025315F" w:rsidRPr="00054FE1" w:rsidRDefault="0025315F" w:rsidP="0025315F">
      <w:pPr>
        <w:pStyle w:val="NormalWeb"/>
        <w:spacing w:line="360" w:lineRule="auto"/>
        <w:ind w:left="2127"/>
        <w:jc w:val="center"/>
        <w:rPr>
          <w:rFonts w:ascii="Arial" w:hAnsi="Arial" w:cs="Arial"/>
        </w:rPr>
      </w:pPr>
      <w:r>
        <w:rPr>
          <w:noProof/>
          <w:lang w:val="es-ES" w:eastAsia="es-ES"/>
        </w:rPr>
        <w:drawing>
          <wp:anchor distT="0" distB="0" distL="114300" distR="114300" simplePos="0" relativeHeight="251662336" behindDoc="1" locked="0" layoutInCell="1" allowOverlap="1">
            <wp:simplePos x="0" y="0"/>
            <wp:positionH relativeFrom="column">
              <wp:posOffset>2351405</wp:posOffset>
            </wp:positionH>
            <wp:positionV relativeFrom="paragraph">
              <wp:posOffset>591185</wp:posOffset>
            </wp:positionV>
            <wp:extent cx="1778000" cy="2530475"/>
            <wp:effectExtent l="19050" t="0" r="0" b="0"/>
            <wp:wrapTight wrapText="bothSides">
              <wp:wrapPolygon edited="0">
                <wp:start x="-231" y="0"/>
                <wp:lineTo x="-231" y="21464"/>
                <wp:lineTo x="21523" y="21464"/>
                <wp:lineTo x="21523" y="0"/>
                <wp:lineTo x="-231" y="0"/>
              </wp:wrapPolygon>
            </wp:wrapTight>
            <wp:docPr id="236" name="Imagen 10" descr="http://farm3.static.flickr.com/2461/3616664301_5e5cd6170e.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farm3.static.flickr.com/2461/3616664301_5e5cd6170e.jpg?v=0"/>
                    <pic:cNvPicPr>
                      <a:picLocks noChangeAspect="1" noChangeArrowheads="1"/>
                    </pic:cNvPicPr>
                  </pic:nvPicPr>
                  <pic:blipFill>
                    <a:blip r:embed="rId72" cstate="print"/>
                    <a:srcRect/>
                    <a:stretch>
                      <a:fillRect/>
                    </a:stretch>
                  </pic:blipFill>
                  <pic:spPr bwMode="auto">
                    <a:xfrm>
                      <a:off x="0" y="0"/>
                      <a:ext cx="1778000" cy="2530475"/>
                    </a:xfrm>
                    <a:prstGeom prst="rect">
                      <a:avLst/>
                    </a:prstGeom>
                    <a:noFill/>
                    <a:ln w="9525">
                      <a:noFill/>
                      <a:miter lim="800000"/>
                      <a:headEnd/>
                      <a:tailEnd/>
                    </a:ln>
                  </pic:spPr>
                </pic:pic>
              </a:graphicData>
            </a:graphic>
          </wp:anchor>
        </w:drawing>
      </w:r>
      <w:r w:rsidRPr="005C5DBE">
        <w:rPr>
          <w:rFonts w:ascii="Arial" w:hAnsi="Arial" w:cs="Arial"/>
          <w:b/>
        </w:rPr>
        <w:t xml:space="preserve">Tabla V. </w:t>
      </w:r>
      <w:r w:rsidRPr="005C5DBE">
        <w:rPr>
          <w:rFonts w:ascii="Arial" w:eastAsia="Calibri" w:hAnsi="Arial" w:cs="Arial"/>
          <w:b/>
          <w:lang w:val="es-ES" w:eastAsia="en-US"/>
        </w:rPr>
        <w:t>Clasificación de radiaciones ionizantes y no ionizantes</w:t>
      </w:r>
      <w:r w:rsidRPr="00664A36">
        <w:rPr>
          <w:rStyle w:val="FootnoteReference"/>
          <w:rFonts w:ascii="Arial" w:eastAsia="Calibri" w:hAnsi="Arial" w:cs="Arial"/>
          <w:b/>
        </w:rPr>
        <w:footnoteReference w:id="9"/>
      </w:r>
    </w:p>
    <w:p w:rsidR="0025315F" w:rsidRDefault="0025315F" w:rsidP="0025315F">
      <w:pPr>
        <w:pStyle w:val="ListParagraph"/>
        <w:spacing w:line="360" w:lineRule="auto"/>
        <w:ind w:left="1800"/>
        <w:jc w:val="center"/>
        <w:rPr>
          <w:rFonts w:ascii="Arial" w:hAnsi="Arial" w:cs="Arial"/>
          <w:b/>
          <w:sz w:val="24"/>
          <w:szCs w:val="24"/>
        </w:rPr>
      </w:pPr>
    </w:p>
    <w:p w:rsidR="0025315F" w:rsidRPr="005C5DBE" w:rsidRDefault="0025315F" w:rsidP="0025315F">
      <w:pPr>
        <w:pStyle w:val="ListParagraph"/>
        <w:spacing w:line="360" w:lineRule="auto"/>
        <w:ind w:left="1800"/>
        <w:jc w:val="center"/>
        <w:rPr>
          <w:rFonts w:ascii="Arial" w:hAnsi="Arial" w:cs="Arial"/>
          <w:b/>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EA21EF" w:rsidRDefault="00EA21E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2127"/>
        <w:jc w:val="center"/>
        <w:rPr>
          <w:rFonts w:ascii="Arial" w:hAnsi="Arial" w:cs="Arial"/>
          <w:sz w:val="24"/>
          <w:szCs w:val="24"/>
        </w:rPr>
      </w:pPr>
    </w:p>
    <w:p w:rsidR="0025315F" w:rsidRPr="005C5DBE" w:rsidRDefault="0025315F" w:rsidP="0025315F">
      <w:pPr>
        <w:pStyle w:val="ListParagraph"/>
        <w:spacing w:line="360" w:lineRule="auto"/>
        <w:ind w:left="2127"/>
        <w:jc w:val="center"/>
        <w:rPr>
          <w:rFonts w:ascii="Arial" w:hAnsi="Arial" w:cs="Arial"/>
          <w:sz w:val="24"/>
          <w:szCs w:val="24"/>
        </w:rPr>
      </w:pPr>
      <w:r w:rsidRPr="005C5DBE">
        <w:rPr>
          <w:rFonts w:ascii="Arial" w:hAnsi="Arial" w:cs="Arial"/>
          <w:sz w:val="24"/>
          <w:szCs w:val="24"/>
        </w:rPr>
        <w:t>Dentro del espectro electromagnético se pueden localizar </w:t>
      </w:r>
      <w:hyperlink r:id="rId73" w:history="1">
        <w:r w:rsidRPr="005C5DBE">
          <w:rPr>
            <w:rFonts w:ascii="Arial" w:hAnsi="Arial" w:cs="Arial"/>
            <w:sz w:val="24"/>
            <w:szCs w:val="24"/>
          </w:rPr>
          <w:t>radiaciones ionizantes</w:t>
        </w:r>
      </w:hyperlink>
      <w:r w:rsidRPr="005C5DBE">
        <w:rPr>
          <w:rFonts w:ascii="Arial" w:hAnsi="Arial" w:cs="Arial"/>
          <w:sz w:val="24"/>
          <w:szCs w:val="24"/>
        </w:rPr>
        <w:t> y no ionizantes.</w:t>
      </w:r>
    </w:p>
    <w:p w:rsidR="0025315F" w:rsidRPr="005C5DBE" w:rsidRDefault="0025315F" w:rsidP="0025315F">
      <w:pPr>
        <w:pStyle w:val="ListParagraph"/>
        <w:spacing w:line="360" w:lineRule="auto"/>
        <w:ind w:left="2268"/>
        <w:jc w:val="center"/>
        <w:rPr>
          <w:rStyle w:val="apple-style-span"/>
          <w:rFonts w:ascii="Arial" w:hAnsi="Arial" w:cs="Arial"/>
          <w:sz w:val="24"/>
          <w:szCs w:val="24"/>
        </w:rPr>
      </w:pPr>
      <w:r>
        <w:rPr>
          <w:rFonts w:ascii="Arial" w:hAnsi="Arial" w:cs="Arial"/>
          <w:noProof/>
          <w:sz w:val="24"/>
          <w:szCs w:val="24"/>
          <w:lang w:eastAsia="es-ES"/>
        </w:rPr>
        <w:lastRenderedPageBreak/>
        <w:drawing>
          <wp:inline distT="0" distB="0" distL="0" distR="0">
            <wp:extent cx="3371215" cy="3261995"/>
            <wp:effectExtent l="19050" t="0" r="635" b="0"/>
            <wp:docPr id="227" name="Imagen 16" descr="http://www.afinidadelectrica.com.ar/html/Image/articulo067-contaminacion/art067-electromagneticos-espec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afinidadelectrica.com.ar/html/Image/articulo067-contaminacion/art067-electromagneticos-espectro2.jpg"/>
                    <pic:cNvPicPr>
                      <a:picLocks noChangeAspect="1" noChangeArrowheads="1"/>
                    </pic:cNvPicPr>
                  </pic:nvPicPr>
                  <pic:blipFill>
                    <a:blip r:embed="rId74" cstate="print"/>
                    <a:srcRect/>
                    <a:stretch>
                      <a:fillRect/>
                    </a:stretch>
                  </pic:blipFill>
                  <pic:spPr bwMode="auto">
                    <a:xfrm>
                      <a:off x="0" y="0"/>
                      <a:ext cx="3371215" cy="3261995"/>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center"/>
        <w:rPr>
          <w:rFonts w:ascii="Arial" w:hAnsi="Arial" w:cs="Arial"/>
          <w:sz w:val="24"/>
          <w:szCs w:val="24"/>
        </w:rPr>
      </w:pPr>
      <w:r>
        <w:rPr>
          <w:rFonts w:ascii="Arial" w:hAnsi="Arial" w:cs="Arial"/>
          <w:b/>
          <w:sz w:val="24"/>
          <w:szCs w:val="24"/>
        </w:rPr>
        <w:t>Figura 1.5</w:t>
      </w:r>
      <w:r w:rsidRPr="005C5DBE">
        <w:rPr>
          <w:rFonts w:ascii="Arial" w:hAnsi="Arial" w:cs="Arial"/>
          <w:b/>
          <w:sz w:val="24"/>
          <w:szCs w:val="24"/>
        </w:rPr>
        <w:t xml:space="preserve"> Espectro de radiaciones ionizantes y no ionizantes</w:t>
      </w:r>
      <w:r w:rsidRPr="00664A36">
        <w:rPr>
          <w:rStyle w:val="FootnoteReference"/>
          <w:rFonts w:ascii="Arial" w:hAnsi="Arial" w:cs="Arial"/>
          <w:b/>
          <w:sz w:val="24"/>
          <w:szCs w:val="24"/>
        </w:rPr>
        <w:footnoteReference w:id="10"/>
      </w:r>
    </w:p>
    <w:p w:rsidR="0025315F" w:rsidRDefault="0025315F" w:rsidP="0025315F">
      <w:pPr>
        <w:pStyle w:val="ListParagraph"/>
        <w:spacing w:line="360" w:lineRule="auto"/>
        <w:ind w:left="2127"/>
        <w:jc w:val="center"/>
        <w:rPr>
          <w:rFonts w:ascii="Arial" w:hAnsi="Arial" w:cs="Arial"/>
          <w:sz w:val="24"/>
          <w:szCs w:val="24"/>
        </w:rPr>
      </w:pPr>
    </w:p>
    <w:p w:rsidR="0025315F" w:rsidRPr="005C5DBE" w:rsidRDefault="0025315F" w:rsidP="0025315F">
      <w:pPr>
        <w:pStyle w:val="ListParagraph"/>
        <w:spacing w:line="360" w:lineRule="auto"/>
        <w:ind w:left="2127"/>
        <w:jc w:val="center"/>
        <w:rPr>
          <w:rFonts w:ascii="Arial" w:hAnsi="Arial" w:cs="Arial"/>
          <w:b/>
          <w:sz w:val="24"/>
          <w:szCs w:val="24"/>
        </w:rPr>
      </w:pPr>
    </w:p>
    <w:p w:rsidR="0025315F" w:rsidRDefault="0025315F" w:rsidP="0025315F">
      <w:pPr>
        <w:pStyle w:val="ListParagraph"/>
        <w:numPr>
          <w:ilvl w:val="1"/>
          <w:numId w:val="4"/>
        </w:numPr>
        <w:spacing w:line="360" w:lineRule="auto"/>
        <w:rPr>
          <w:rFonts w:ascii="Arial" w:hAnsi="Arial" w:cs="Arial"/>
          <w:b/>
          <w:sz w:val="24"/>
          <w:szCs w:val="24"/>
        </w:rPr>
      </w:pPr>
      <w:r w:rsidRPr="005C5DBE">
        <w:rPr>
          <w:rFonts w:ascii="Arial" w:hAnsi="Arial" w:cs="Arial"/>
          <w:b/>
          <w:sz w:val="24"/>
          <w:szCs w:val="24"/>
        </w:rPr>
        <w:t xml:space="preserve"> Radiaciones de Radiofrecuencia</w:t>
      </w:r>
    </w:p>
    <w:p w:rsidR="0025315F" w:rsidRPr="005C5DBE" w:rsidRDefault="0025315F" w:rsidP="0025315F">
      <w:pPr>
        <w:pStyle w:val="ListParagraph"/>
        <w:spacing w:line="360" w:lineRule="auto"/>
        <w:ind w:left="1080"/>
        <w:rPr>
          <w:rFonts w:ascii="Arial" w:hAnsi="Arial" w:cs="Arial"/>
          <w:b/>
          <w:sz w:val="24"/>
          <w:szCs w:val="24"/>
        </w:rPr>
      </w:pPr>
    </w:p>
    <w:p w:rsidR="0025315F" w:rsidRPr="005C5DBE"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t>Espectro Electromagnético de la Radiofrecuencia</w:t>
      </w: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La radiofrecuencia se puede dividir en las siguientes bandas del espectro:</w:t>
      </w:r>
    </w:p>
    <w:p w:rsidR="0025315F" w:rsidRDefault="0025315F" w:rsidP="0025315F">
      <w:pPr>
        <w:pStyle w:val="NormalWeb"/>
        <w:spacing w:line="360" w:lineRule="auto"/>
        <w:ind w:left="284"/>
        <w:jc w:val="center"/>
        <w:rPr>
          <w:rFonts w:ascii="Arial" w:hAnsi="Arial" w:cs="Arial"/>
          <w:b/>
        </w:rPr>
      </w:pPr>
    </w:p>
    <w:p w:rsidR="0025315F" w:rsidRDefault="0025315F" w:rsidP="0025315F">
      <w:pPr>
        <w:pStyle w:val="NormalWeb"/>
        <w:spacing w:line="360" w:lineRule="auto"/>
        <w:ind w:left="284"/>
        <w:jc w:val="center"/>
        <w:rPr>
          <w:rFonts w:ascii="Arial" w:hAnsi="Arial" w:cs="Arial"/>
          <w:b/>
        </w:rPr>
      </w:pPr>
    </w:p>
    <w:p w:rsidR="0025315F" w:rsidRDefault="0025315F" w:rsidP="0025315F">
      <w:pPr>
        <w:pStyle w:val="NormalWeb"/>
        <w:spacing w:line="360" w:lineRule="auto"/>
        <w:ind w:left="284"/>
        <w:jc w:val="center"/>
        <w:rPr>
          <w:rFonts w:ascii="Arial" w:hAnsi="Arial" w:cs="Arial"/>
          <w:b/>
        </w:rPr>
      </w:pPr>
    </w:p>
    <w:p w:rsidR="0025315F" w:rsidRPr="00303791" w:rsidRDefault="0025315F" w:rsidP="0025315F">
      <w:pPr>
        <w:pStyle w:val="NormalWeb"/>
        <w:spacing w:line="360" w:lineRule="auto"/>
        <w:ind w:left="2127"/>
        <w:jc w:val="center"/>
        <w:rPr>
          <w:rFonts w:ascii="Arial" w:hAnsi="Arial" w:cs="Arial"/>
          <w:b/>
          <w:vertAlign w:val="superscript"/>
        </w:rPr>
      </w:pPr>
      <w:r w:rsidRPr="005C5DBE">
        <w:rPr>
          <w:rFonts w:ascii="Arial" w:hAnsi="Arial" w:cs="Arial"/>
          <w:b/>
        </w:rPr>
        <w:lastRenderedPageBreak/>
        <w:t xml:space="preserve">Tabla VI. </w:t>
      </w:r>
      <w:r w:rsidRPr="005C5DBE">
        <w:rPr>
          <w:rFonts w:ascii="Arial" w:eastAsia="Calibri" w:hAnsi="Arial" w:cs="Arial"/>
          <w:b/>
          <w:lang w:val="es-ES" w:eastAsia="en-US"/>
        </w:rPr>
        <w:t>Espectro de radiofrecuencia</w:t>
      </w:r>
      <w:r w:rsidRPr="00664A36">
        <w:rPr>
          <w:rStyle w:val="FootnoteReference"/>
          <w:rFonts w:ascii="Arial" w:eastAsia="Calibri" w:hAnsi="Arial" w:cs="Arial"/>
          <w:b/>
        </w:rPr>
        <w:footnoteReference w:id="11"/>
      </w:r>
    </w:p>
    <w:p w:rsidR="0025315F" w:rsidRDefault="0025315F" w:rsidP="0025315F">
      <w:pPr>
        <w:pStyle w:val="NormalWeb"/>
        <w:spacing w:line="360" w:lineRule="auto"/>
        <w:ind w:left="2127"/>
        <w:rPr>
          <w:rFonts w:ascii="Arial" w:eastAsia="Calibri" w:hAnsi="Arial" w:cs="Arial"/>
          <w:lang w:val="es-ES" w:eastAsia="en-US"/>
        </w:rPr>
      </w:pPr>
      <w:r>
        <w:rPr>
          <w:rFonts w:ascii="Arial" w:eastAsia="Calibri" w:hAnsi="Arial" w:cs="Arial"/>
          <w:noProof/>
          <w:lang w:val="es-ES" w:eastAsia="es-ES"/>
        </w:rPr>
        <w:drawing>
          <wp:inline distT="0" distB="0" distL="0" distR="0">
            <wp:extent cx="3943985" cy="2893060"/>
            <wp:effectExtent l="19050" t="0" r="0" b="0"/>
            <wp:docPr id="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srcRect/>
                    <a:stretch>
                      <a:fillRect/>
                    </a:stretch>
                  </pic:blipFill>
                  <pic:spPr bwMode="auto">
                    <a:xfrm>
                      <a:off x="0" y="0"/>
                      <a:ext cx="3943985" cy="2893060"/>
                    </a:xfrm>
                    <a:prstGeom prst="rect">
                      <a:avLst/>
                    </a:prstGeom>
                    <a:noFill/>
                    <a:ln w="9525">
                      <a:noFill/>
                      <a:miter lim="800000"/>
                      <a:headEnd/>
                      <a:tailEnd/>
                    </a:ln>
                  </pic:spPr>
                </pic:pic>
              </a:graphicData>
            </a:graphic>
          </wp:inline>
        </w:drawing>
      </w:r>
    </w:p>
    <w:p w:rsidR="0025315F" w:rsidRPr="005C5DBE" w:rsidRDefault="0025315F" w:rsidP="0025315F">
      <w:pPr>
        <w:pStyle w:val="NormalWeb"/>
        <w:spacing w:line="360" w:lineRule="auto"/>
        <w:ind w:left="2127"/>
        <w:rPr>
          <w:rFonts w:ascii="Arial" w:eastAsia="Calibri" w:hAnsi="Arial" w:cs="Arial"/>
          <w:lang w:val="es-ES" w:eastAsia="en-US"/>
        </w:rPr>
      </w:pPr>
    </w:p>
    <w:p w:rsidR="0025315F" w:rsidRDefault="0025315F" w:rsidP="0025315F">
      <w:pPr>
        <w:pStyle w:val="NormalWeb"/>
        <w:spacing w:before="0" w:beforeAutospacing="0" w:after="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A partir de 1 GHz las bandas entran dentro del espectro de las </w:t>
      </w:r>
      <w:hyperlink r:id="rId76" w:tooltip="Microondas" w:history="1">
        <w:r w:rsidRPr="005C5DBE">
          <w:rPr>
            <w:rFonts w:ascii="Arial" w:eastAsia="Calibri" w:hAnsi="Arial" w:cs="Arial"/>
            <w:lang w:val="es-ES" w:eastAsia="en-US"/>
          </w:rPr>
          <w:t>microondas</w:t>
        </w:r>
      </w:hyperlink>
      <w:r w:rsidRPr="005C5DBE">
        <w:rPr>
          <w:rFonts w:ascii="Arial" w:eastAsia="Calibri" w:hAnsi="Arial" w:cs="Arial"/>
          <w:lang w:val="es-ES" w:eastAsia="en-US"/>
        </w:rPr>
        <w:t>. Por encima de 300 GHz la </w:t>
      </w:r>
      <w:hyperlink r:id="rId77" w:tooltip="Absorción (óptica)" w:history="1">
        <w:r w:rsidRPr="005C5DBE">
          <w:rPr>
            <w:rFonts w:ascii="Arial" w:eastAsia="Calibri" w:hAnsi="Arial" w:cs="Arial"/>
            <w:lang w:val="es-ES" w:eastAsia="en-US"/>
          </w:rPr>
          <w:t>absorción</w:t>
        </w:r>
      </w:hyperlink>
      <w:r w:rsidRPr="005C5DBE">
        <w:rPr>
          <w:rFonts w:ascii="Arial" w:eastAsia="Calibri" w:hAnsi="Arial" w:cs="Arial"/>
          <w:lang w:val="es-ES" w:eastAsia="en-US"/>
        </w:rPr>
        <w:t> de la </w:t>
      </w:r>
      <w:hyperlink r:id="rId78" w:tooltip="Radiación electromagnética" w:history="1">
        <w:r w:rsidRPr="005C5DBE">
          <w:rPr>
            <w:rFonts w:ascii="Arial" w:eastAsia="Calibri" w:hAnsi="Arial" w:cs="Arial"/>
            <w:lang w:val="es-ES" w:eastAsia="en-US"/>
          </w:rPr>
          <w:t>radiación electromagnética</w:t>
        </w:r>
      </w:hyperlink>
      <w:r w:rsidRPr="005C5DBE">
        <w:rPr>
          <w:rFonts w:ascii="Arial" w:eastAsia="Calibri" w:hAnsi="Arial" w:cs="Arial"/>
          <w:lang w:val="es-ES" w:eastAsia="en-US"/>
        </w:rPr>
        <w:t> por la </w:t>
      </w:r>
      <w:hyperlink r:id="rId79" w:tooltip="Atmósfera terrestre" w:history="1">
        <w:r w:rsidRPr="005C5DBE">
          <w:rPr>
            <w:rFonts w:ascii="Arial" w:eastAsia="Calibri" w:hAnsi="Arial" w:cs="Arial"/>
            <w:lang w:val="es-ES" w:eastAsia="en-US"/>
          </w:rPr>
          <w:t>atmósfera terrestre</w:t>
        </w:r>
      </w:hyperlink>
      <w:r w:rsidRPr="005C5DBE">
        <w:rPr>
          <w:rFonts w:ascii="Arial" w:eastAsia="Calibri" w:hAnsi="Arial" w:cs="Arial"/>
          <w:lang w:val="es-ES" w:eastAsia="en-US"/>
        </w:rPr>
        <w:t xml:space="preserve"> es tan alta que la atmósfera se vuelve opaca a ella, hasta que, en los denominados rangos de frecuencia </w:t>
      </w:r>
      <w:hyperlink r:id="rId80" w:tooltip="Infrarrojo" w:history="1">
        <w:r w:rsidRPr="005C5DBE">
          <w:rPr>
            <w:rFonts w:ascii="Arial" w:eastAsia="Calibri" w:hAnsi="Arial" w:cs="Arial"/>
            <w:lang w:val="es-ES" w:eastAsia="en-US"/>
          </w:rPr>
          <w:t>infrarrojos</w:t>
        </w:r>
      </w:hyperlink>
      <w:r w:rsidRPr="005C5DBE">
        <w:rPr>
          <w:rFonts w:ascii="Arial" w:eastAsia="Calibri" w:hAnsi="Arial" w:cs="Arial"/>
          <w:lang w:val="es-ES" w:eastAsia="en-US"/>
        </w:rPr>
        <w:t xml:space="preserve"> y </w:t>
      </w:r>
      <w:hyperlink r:id="rId81" w:tooltip="Espectro visible" w:history="1">
        <w:r w:rsidRPr="005C5DBE">
          <w:rPr>
            <w:rFonts w:ascii="Arial" w:eastAsia="Calibri" w:hAnsi="Arial" w:cs="Arial"/>
            <w:lang w:val="es-ES" w:eastAsia="en-US"/>
          </w:rPr>
          <w:t>ópticos</w:t>
        </w:r>
      </w:hyperlink>
      <w:r w:rsidRPr="005C5DBE">
        <w:rPr>
          <w:rFonts w:ascii="Arial" w:eastAsia="Calibri" w:hAnsi="Arial" w:cs="Arial"/>
          <w:lang w:val="es-ES" w:eastAsia="en-US"/>
        </w:rPr>
        <w:t>, vuelve de nuevo a ser transparente.</w:t>
      </w:r>
    </w:p>
    <w:p w:rsidR="0025315F" w:rsidRPr="005C5DBE" w:rsidRDefault="0025315F" w:rsidP="0025315F">
      <w:pPr>
        <w:pStyle w:val="NormalWeb"/>
        <w:spacing w:before="0" w:beforeAutospacing="0" w:after="0" w:afterAutospacing="0" w:line="360" w:lineRule="auto"/>
        <w:ind w:left="2127"/>
        <w:jc w:val="both"/>
        <w:rPr>
          <w:rFonts w:ascii="Arial" w:eastAsia="Calibri" w:hAnsi="Arial" w:cs="Arial"/>
          <w:lang w:val="es-ES" w:eastAsia="en-US"/>
        </w:rPr>
      </w:pP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Las bandas ELF, SLF, ULF y VLF comparten el espectro de la AF (</w:t>
      </w:r>
      <w:hyperlink r:id="rId82" w:tooltip="Audiofrecuencia" w:history="1">
        <w:r w:rsidRPr="005C5DBE">
          <w:rPr>
            <w:rFonts w:ascii="Arial" w:eastAsia="Calibri" w:hAnsi="Arial" w:cs="Arial"/>
            <w:lang w:val="es-ES" w:eastAsia="en-US"/>
          </w:rPr>
          <w:t>audiofrecuencia</w:t>
        </w:r>
      </w:hyperlink>
      <w:r w:rsidRPr="005C5DBE">
        <w:rPr>
          <w:rFonts w:ascii="Arial" w:eastAsia="Calibri" w:hAnsi="Arial" w:cs="Arial"/>
          <w:lang w:val="es-ES" w:eastAsia="en-US"/>
        </w:rPr>
        <w:t>), que se encuentra entre 20 y 20.000 </w:t>
      </w:r>
      <w:hyperlink r:id="rId83" w:tooltip="Hz" w:history="1">
        <w:r w:rsidRPr="005C5DBE">
          <w:rPr>
            <w:rFonts w:ascii="Arial" w:eastAsia="Calibri" w:hAnsi="Arial" w:cs="Arial"/>
            <w:lang w:val="es-ES" w:eastAsia="en-US"/>
          </w:rPr>
          <w:t>Hz</w:t>
        </w:r>
      </w:hyperlink>
      <w:r w:rsidRPr="005C5DBE">
        <w:rPr>
          <w:rFonts w:ascii="Arial" w:eastAsia="Calibri" w:hAnsi="Arial" w:cs="Arial"/>
          <w:lang w:val="es-ES" w:eastAsia="en-US"/>
        </w:rPr>
        <w:t> aproximadamente. Sin embargo, éstas se tratan de </w:t>
      </w:r>
      <w:hyperlink r:id="rId84" w:tooltip="Onda de presión" w:history="1">
        <w:r w:rsidRPr="005C5DBE">
          <w:rPr>
            <w:rFonts w:ascii="Arial" w:eastAsia="Calibri" w:hAnsi="Arial" w:cs="Arial"/>
            <w:lang w:val="es-ES" w:eastAsia="en-US"/>
          </w:rPr>
          <w:t>ondas de presión</w:t>
        </w:r>
      </w:hyperlink>
      <w:r w:rsidRPr="005C5DBE">
        <w:rPr>
          <w:rFonts w:ascii="Arial" w:eastAsia="Calibri" w:hAnsi="Arial" w:cs="Arial"/>
          <w:lang w:val="es-ES" w:eastAsia="en-US"/>
        </w:rPr>
        <w:t xml:space="preserve">, como el sonido, por lo que se </w:t>
      </w:r>
      <w:r w:rsidRPr="005C5DBE">
        <w:rPr>
          <w:rFonts w:ascii="Arial" w:eastAsia="Calibri" w:hAnsi="Arial" w:cs="Arial"/>
          <w:lang w:val="es-ES" w:eastAsia="en-US"/>
        </w:rPr>
        <w:lastRenderedPageBreak/>
        <w:t>desplazan a la </w:t>
      </w:r>
      <w:hyperlink r:id="rId85" w:tooltip="Velocidad del sonido" w:history="1">
        <w:r w:rsidRPr="005C5DBE">
          <w:rPr>
            <w:rFonts w:ascii="Arial" w:eastAsia="Calibri" w:hAnsi="Arial" w:cs="Arial"/>
            <w:lang w:val="es-ES" w:eastAsia="en-US"/>
          </w:rPr>
          <w:t>velocidad del sonido</w:t>
        </w:r>
      </w:hyperlink>
      <w:r w:rsidRPr="005C5DBE">
        <w:rPr>
          <w:rFonts w:ascii="Arial" w:eastAsia="Calibri" w:hAnsi="Arial" w:cs="Arial"/>
          <w:lang w:val="es-ES" w:eastAsia="en-US"/>
        </w:rPr>
        <w:t> sobre un medio material. Mientras que las ondas de radiofrecuencia, al ser </w:t>
      </w:r>
      <w:hyperlink r:id="rId86" w:tooltip="Ondas electromagnéticas" w:history="1">
        <w:r w:rsidRPr="005C5DBE">
          <w:rPr>
            <w:rFonts w:ascii="Arial" w:eastAsia="Calibri" w:hAnsi="Arial" w:cs="Arial"/>
            <w:lang w:val="es-ES" w:eastAsia="en-US"/>
          </w:rPr>
          <w:t>ondas electromagnéticas</w:t>
        </w:r>
      </w:hyperlink>
      <w:r w:rsidRPr="005C5DBE">
        <w:rPr>
          <w:rFonts w:ascii="Arial" w:eastAsia="Calibri" w:hAnsi="Arial" w:cs="Arial"/>
          <w:lang w:val="es-ES" w:eastAsia="en-US"/>
        </w:rPr>
        <w:t>, se desplazan a la </w:t>
      </w:r>
      <w:hyperlink r:id="rId87" w:tooltip="Velocidad de la luz" w:history="1">
        <w:r w:rsidRPr="005C5DBE">
          <w:rPr>
            <w:rFonts w:ascii="Arial" w:eastAsia="Calibri" w:hAnsi="Arial" w:cs="Arial"/>
            <w:lang w:val="es-ES" w:eastAsia="en-US"/>
          </w:rPr>
          <w:t>velocidad de la luz</w:t>
        </w:r>
      </w:hyperlink>
      <w:r w:rsidRPr="005C5DBE">
        <w:rPr>
          <w:rFonts w:ascii="Arial" w:eastAsia="Calibri" w:hAnsi="Arial" w:cs="Arial"/>
          <w:lang w:val="es-ES" w:eastAsia="en-US"/>
        </w:rPr>
        <w:t> y sin necesidad de un medio material.</w:t>
      </w:r>
    </w:p>
    <w:p w:rsidR="0025315F" w:rsidRPr="005C5DBE" w:rsidRDefault="0025315F" w:rsidP="0025315F">
      <w:pPr>
        <w:pStyle w:val="ListParagraph"/>
        <w:spacing w:line="360" w:lineRule="auto"/>
        <w:ind w:left="1800"/>
        <w:rPr>
          <w:rFonts w:ascii="Arial" w:hAnsi="Arial" w:cs="Arial"/>
          <w:b/>
          <w:sz w:val="24"/>
          <w:szCs w:val="24"/>
          <w:lang w:val="es-SV"/>
        </w:rPr>
      </w:pPr>
    </w:p>
    <w:p w:rsidR="0025315F" w:rsidRPr="005C5DBE"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t>Usos del Espectro de Radiofrecuencia</w:t>
      </w:r>
    </w:p>
    <w:p w:rsidR="0025315F" w:rsidRPr="00D63349" w:rsidRDefault="0025315F" w:rsidP="0025315F">
      <w:pPr>
        <w:pStyle w:val="ListParagraph"/>
        <w:spacing w:line="360" w:lineRule="auto"/>
        <w:jc w:val="both"/>
        <w:rPr>
          <w:rFonts w:ascii="Arial" w:hAnsi="Arial" w:cs="Arial"/>
          <w:sz w:val="24"/>
          <w:szCs w:val="24"/>
        </w:rPr>
      </w:pPr>
    </w:p>
    <w:p w:rsidR="0025315F" w:rsidRPr="00D63349" w:rsidRDefault="0025315F" w:rsidP="0025315F">
      <w:pPr>
        <w:pStyle w:val="Heading3"/>
        <w:spacing w:before="0" w:after="72" w:line="360" w:lineRule="auto"/>
        <w:ind w:left="1843"/>
        <w:jc w:val="both"/>
        <w:rPr>
          <w:rStyle w:val="mw-headline"/>
          <w:rFonts w:ascii="Arial" w:eastAsia="Calibri" w:hAnsi="Arial" w:cs="Arial"/>
          <w:b w:val="0"/>
          <w:color w:val="000000"/>
          <w:sz w:val="24"/>
          <w:szCs w:val="24"/>
        </w:rPr>
      </w:pPr>
      <w:r w:rsidRPr="00D63349">
        <w:rPr>
          <w:rStyle w:val="mw-headline"/>
          <w:rFonts w:ascii="Arial" w:eastAsia="Calibri" w:hAnsi="Arial" w:cs="Arial"/>
          <w:b w:val="0"/>
          <w:color w:val="000000"/>
          <w:sz w:val="24"/>
          <w:szCs w:val="24"/>
        </w:rPr>
        <w:t xml:space="preserve">Entre los principales usos que se le da al espectro electromagnético de radiofrecuencia  tenemos: </w:t>
      </w:r>
    </w:p>
    <w:p w:rsidR="0025315F" w:rsidRPr="00D63349" w:rsidRDefault="0025315F" w:rsidP="0025315F">
      <w:pPr>
        <w:pStyle w:val="Heading3"/>
        <w:keepNext w:val="0"/>
        <w:numPr>
          <w:ilvl w:val="0"/>
          <w:numId w:val="8"/>
        </w:numPr>
        <w:spacing w:before="96" w:after="120" w:line="360" w:lineRule="auto"/>
        <w:ind w:left="2127"/>
        <w:jc w:val="both"/>
        <w:rPr>
          <w:rFonts w:ascii="Arial" w:eastAsia="Calibri" w:hAnsi="Arial" w:cs="Arial"/>
          <w:b w:val="0"/>
          <w:sz w:val="24"/>
          <w:szCs w:val="24"/>
        </w:rPr>
      </w:pPr>
      <w:r w:rsidRPr="00D63349">
        <w:rPr>
          <w:rStyle w:val="mw-headline"/>
          <w:rFonts w:ascii="Arial" w:eastAsia="Calibri" w:hAnsi="Arial" w:cs="Arial"/>
          <w:b w:val="0"/>
          <w:color w:val="000000"/>
          <w:sz w:val="24"/>
          <w:szCs w:val="24"/>
        </w:rPr>
        <w:t xml:space="preserve">Radiocomunicaciones: </w:t>
      </w:r>
      <w:r w:rsidRPr="00D63349">
        <w:rPr>
          <w:rFonts w:ascii="Arial" w:eastAsia="Calibri" w:hAnsi="Arial" w:cs="Arial"/>
          <w:b w:val="0"/>
          <w:sz w:val="24"/>
          <w:szCs w:val="24"/>
        </w:rPr>
        <w:t>las transmisiones de  </w:t>
      </w:r>
      <w:hyperlink r:id="rId88" w:tooltip="Televisión" w:history="1">
        <w:r w:rsidRPr="00D63349">
          <w:rPr>
            <w:rFonts w:ascii="Arial" w:eastAsia="Calibri" w:hAnsi="Arial" w:cs="Arial"/>
            <w:b w:val="0"/>
            <w:sz w:val="24"/>
            <w:szCs w:val="24"/>
          </w:rPr>
          <w:t>televisión</w:t>
        </w:r>
      </w:hyperlink>
      <w:r w:rsidRPr="00D63349">
        <w:rPr>
          <w:rFonts w:ascii="Arial" w:eastAsia="Calibri" w:hAnsi="Arial" w:cs="Arial"/>
          <w:b w:val="0"/>
          <w:sz w:val="24"/>
          <w:szCs w:val="24"/>
        </w:rPr>
        <w:t xml:space="preserve">, </w:t>
      </w:r>
      <w:hyperlink r:id="rId89" w:tooltip="Radio (medio de comunicación)" w:history="1">
        <w:r w:rsidRPr="00D63349">
          <w:rPr>
            <w:rFonts w:ascii="Arial" w:eastAsia="Calibri" w:hAnsi="Arial" w:cs="Arial"/>
            <w:b w:val="0"/>
            <w:sz w:val="24"/>
            <w:szCs w:val="24"/>
          </w:rPr>
          <w:t>radio</w:t>
        </w:r>
      </w:hyperlink>
      <w:r w:rsidRPr="00D63349">
        <w:rPr>
          <w:rFonts w:ascii="Arial" w:eastAsia="Calibri" w:hAnsi="Arial" w:cs="Arial"/>
          <w:b w:val="0"/>
          <w:sz w:val="24"/>
          <w:szCs w:val="24"/>
        </w:rPr>
        <w:t>, radioaficionados, audio, video, radionavegación y  </w:t>
      </w:r>
      <w:hyperlink r:id="rId90" w:tooltip="Telefonía móvil" w:history="1">
        <w:r w:rsidRPr="00D63349">
          <w:rPr>
            <w:rFonts w:ascii="Arial" w:eastAsia="Calibri" w:hAnsi="Arial" w:cs="Arial"/>
            <w:b w:val="0"/>
            <w:sz w:val="24"/>
            <w:szCs w:val="24"/>
          </w:rPr>
          <w:t>telefonía móvil</w:t>
        </w:r>
      </w:hyperlink>
      <w:r w:rsidRPr="00D63349">
        <w:rPr>
          <w:rFonts w:ascii="Arial" w:eastAsia="Calibri" w:hAnsi="Arial" w:cs="Arial"/>
          <w:b w:val="0"/>
          <w:sz w:val="24"/>
          <w:szCs w:val="24"/>
        </w:rPr>
        <w:t> están incluidas en esta clase de emisiones de radiofrecuencia.</w:t>
      </w:r>
    </w:p>
    <w:p w:rsidR="0025315F" w:rsidRPr="00D63349" w:rsidRDefault="0025315F" w:rsidP="0025315F">
      <w:pPr>
        <w:pStyle w:val="Heading3"/>
        <w:keepNext w:val="0"/>
        <w:numPr>
          <w:ilvl w:val="0"/>
          <w:numId w:val="8"/>
        </w:numPr>
        <w:spacing w:before="96" w:after="120" w:line="360" w:lineRule="auto"/>
        <w:ind w:left="2127"/>
        <w:jc w:val="both"/>
        <w:rPr>
          <w:rStyle w:val="apple-style-span"/>
          <w:rFonts w:ascii="Arial" w:hAnsi="Arial" w:cs="Arial"/>
          <w:b w:val="0"/>
          <w:bCs w:val="0"/>
          <w:sz w:val="22"/>
          <w:szCs w:val="24"/>
        </w:rPr>
      </w:pPr>
      <w:r w:rsidRPr="00D63349">
        <w:rPr>
          <w:rStyle w:val="mw-headline"/>
          <w:rFonts w:ascii="Arial" w:eastAsia="Calibri" w:hAnsi="Arial" w:cs="Arial"/>
          <w:b w:val="0"/>
          <w:color w:val="000000"/>
          <w:sz w:val="24"/>
          <w:szCs w:val="24"/>
        </w:rPr>
        <w:t>Radioastronomía,</w:t>
      </w:r>
      <w:r w:rsidRPr="00D63349">
        <w:rPr>
          <w:rFonts w:ascii="Arial" w:hAnsi="Arial" w:cs="Arial"/>
          <w:b w:val="0"/>
          <w:color w:val="000000"/>
          <w:sz w:val="24"/>
          <w:szCs w:val="24"/>
        </w:rPr>
        <w:t xml:space="preserve"> ya que </w:t>
      </w:r>
      <w:r w:rsidRPr="00D63349">
        <w:rPr>
          <w:rFonts w:ascii="Arial" w:eastAsia="Calibri" w:hAnsi="Arial" w:cs="Arial"/>
          <w:b w:val="0"/>
          <w:sz w:val="24"/>
          <w:szCs w:val="24"/>
        </w:rPr>
        <w:t>algunos de los objetos astronómicos emiten en radiofrecuencia. En estos casos l</w:t>
      </w:r>
      <w:r w:rsidRPr="00D63349">
        <w:rPr>
          <w:rStyle w:val="apple-style-span"/>
          <w:rFonts w:ascii="Arial" w:hAnsi="Arial" w:cs="Arial"/>
          <w:b w:val="0"/>
          <w:sz w:val="24"/>
        </w:rPr>
        <w:t>as ondas de radio tienen una</w:t>
      </w:r>
      <w:r w:rsidRPr="00D63349">
        <w:rPr>
          <w:rStyle w:val="apple-converted-space"/>
          <w:rFonts w:ascii="Arial" w:hAnsi="Arial" w:cs="Arial"/>
          <w:b w:val="0"/>
          <w:sz w:val="24"/>
        </w:rPr>
        <w:t> </w:t>
      </w:r>
      <w:hyperlink r:id="rId91" w:tooltip="Longitud de onda" w:history="1">
        <w:r w:rsidRPr="00D63349">
          <w:rPr>
            <w:rStyle w:val="Hyperlink"/>
            <w:rFonts w:ascii="Arial" w:eastAsia="Calibri" w:hAnsi="Arial" w:cs="Arial"/>
            <w:b w:val="0"/>
            <w:color w:val="auto"/>
            <w:sz w:val="24"/>
            <w:u w:val="none"/>
          </w:rPr>
          <w:t>longitud de onda</w:t>
        </w:r>
      </w:hyperlink>
      <w:r w:rsidRPr="00D63349">
        <w:rPr>
          <w:rStyle w:val="apple-converted-space"/>
          <w:rFonts w:ascii="Arial" w:hAnsi="Arial" w:cs="Arial"/>
          <w:b w:val="0"/>
          <w:sz w:val="24"/>
        </w:rPr>
        <w:t> </w:t>
      </w:r>
      <w:r w:rsidRPr="00D63349">
        <w:rPr>
          <w:rStyle w:val="apple-style-span"/>
          <w:rFonts w:ascii="Arial" w:hAnsi="Arial" w:cs="Arial"/>
          <w:b w:val="0"/>
          <w:sz w:val="24"/>
        </w:rPr>
        <w:t>mayor que la de la</w:t>
      </w:r>
      <w:r w:rsidRPr="00D63349">
        <w:rPr>
          <w:rStyle w:val="apple-converted-space"/>
          <w:rFonts w:ascii="Arial" w:hAnsi="Arial" w:cs="Arial"/>
          <w:b w:val="0"/>
          <w:sz w:val="24"/>
        </w:rPr>
        <w:t> </w:t>
      </w:r>
      <w:hyperlink r:id="rId92" w:tooltip="Luz visible" w:history="1">
        <w:r w:rsidRPr="00D63349">
          <w:rPr>
            <w:rStyle w:val="Hyperlink"/>
            <w:rFonts w:ascii="Arial" w:eastAsia="Calibri" w:hAnsi="Arial" w:cs="Arial"/>
            <w:b w:val="0"/>
            <w:color w:val="auto"/>
            <w:sz w:val="24"/>
            <w:u w:val="none"/>
          </w:rPr>
          <w:t>luz visible</w:t>
        </w:r>
      </w:hyperlink>
      <w:r w:rsidRPr="00D63349">
        <w:rPr>
          <w:rStyle w:val="apple-style-span"/>
          <w:rFonts w:ascii="Arial" w:hAnsi="Arial" w:cs="Arial"/>
          <w:b w:val="0"/>
          <w:sz w:val="24"/>
        </w:rPr>
        <w:t>, para lo cual se necesitan buena calidad de recepción y amplificación de antena, con lo cual se llega a estudiar sobre la</w:t>
      </w:r>
      <w:r w:rsidRPr="00D63349">
        <w:rPr>
          <w:rStyle w:val="apple-converted-space"/>
          <w:rFonts w:ascii="Arial" w:hAnsi="Arial" w:cs="Arial"/>
          <w:b w:val="0"/>
          <w:sz w:val="24"/>
        </w:rPr>
        <w:t> </w:t>
      </w:r>
      <w:hyperlink r:id="rId93" w:tooltip="Formación estelar" w:history="1">
        <w:r w:rsidRPr="00D63349">
          <w:rPr>
            <w:rStyle w:val="Hyperlink"/>
            <w:rFonts w:ascii="Arial" w:eastAsia="Calibri" w:hAnsi="Arial" w:cs="Arial"/>
            <w:b w:val="0"/>
            <w:color w:val="auto"/>
            <w:sz w:val="24"/>
            <w:u w:val="none"/>
          </w:rPr>
          <w:t>formación estelar</w:t>
        </w:r>
      </w:hyperlink>
      <w:r w:rsidRPr="00D63349">
        <w:rPr>
          <w:rStyle w:val="apple-style-span"/>
          <w:rFonts w:ascii="Arial" w:hAnsi="Arial" w:cs="Arial"/>
          <w:b w:val="0"/>
          <w:sz w:val="24"/>
        </w:rPr>
        <w:t>, las</w:t>
      </w:r>
      <w:r w:rsidRPr="00D63349">
        <w:rPr>
          <w:rStyle w:val="apple-converted-space"/>
          <w:rFonts w:ascii="Arial" w:hAnsi="Arial" w:cs="Arial"/>
          <w:b w:val="0"/>
          <w:sz w:val="24"/>
        </w:rPr>
        <w:t> </w:t>
      </w:r>
      <w:hyperlink r:id="rId94" w:tooltip="Galaxia activa" w:history="1">
        <w:r w:rsidRPr="00D63349">
          <w:rPr>
            <w:rStyle w:val="Hyperlink"/>
            <w:rFonts w:ascii="Arial" w:eastAsia="Calibri" w:hAnsi="Arial" w:cs="Arial"/>
            <w:b w:val="0"/>
            <w:color w:val="auto"/>
            <w:sz w:val="24"/>
            <w:u w:val="none"/>
          </w:rPr>
          <w:t>galaxias activas</w:t>
        </w:r>
      </w:hyperlink>
      <w:r w:rsidRPr="00D63349">
        <w:rPr>
          <w:rStyle w:val="apple-style-span"/>
          <w:rFonts w:ascii="Arial" w:hAnsi="Arial" w:cs="Arial"/>
          <w:b w:val="0"/>
          <w:sz w:val="24"/>
        </w:rPr>
        <w:t>, la</w:t>
      </w:r>
      <w:r w:rsidRPr="00D63349">
        <w:rPr>
          <w:rStyle w:val="apple-converted-space"/>
          <w:rFonts w:ascii="Arial" w:hAnsi="Arial" w:cs="Arial"/>
          <w:b w:val="0"/>
          <w:sz w:val="24"/>
        </w:rPr>
        <w:t> </w:t>
      </w:r>
      <w:hyperlink r:id="rId95" w:tooltip="Cosmología" w:history="1">
        <w:r w:rsidRPr="00D63349">
          <w:rPr>
            <w:rStyle w:val="Hyperlink"/>
            <w:rFonts w:ascii="Arial" w:eastAsia="Calibri" w:hAnsi="Arial" w:cs="Arial"/>
            <w:b w:val="0"/>
            <w:color w:val="auto"/>
            <w:sz w:val="24"/>
            <w:u w:val="none"/>
          </w:rPr>
          <w:t>cosmología</w:t>
        </w:r>
      </w:hyperlink>
      <w:r w:rsidRPr="00D63349">
        <w:rPr>
          <w:rStyle w:val="apple-style-span"/>
          <w:rFonts w:ascii="Arial" w:hAnsi="Arial" w:cs="Arial"/>
          <w:b w:val="0"/>
          <w:sz w:val="24"/>
        </w:rPr>
        <w:t>, etc.</w:t>
      </w:r>
    </w:p>
    <w:p w:rsidR="0025315F" w:rsidRPr="00D63349" w:rsidRDefault="0025315F" w:rsidP="0025315F">
      <w:pPr>
        <w:pStyle w:val="Heading3"/>
        <w:keepNext w:val="0"/>
        <w:numPr>
          <w:ilvl w:val="0"/>
          <w:numId w:val="8"/>
        </w:numPr>
        <w:spacing w:before="0" w:after="72" w:line="360" w:lineRule="auto"/>
        <w:ind w:left="2127"/>
        <w:jc w:val="both"/>
        <w:rPr>
          <w:rFonts w:ascii="Arial" w:hAnsi="Arial" w:cs="Arial"/>
          <w:b w:val="0"/>
          <w:bCs w:val="0"/>
          <w:color w:val="000000"/>
          <w:sz w:val="24"/>
          <w:szCs w:val="24"/>
        </w:rPr>
      </w:pPr>
      <w:r w:rsidRPr="00D63349">
        <w:rPr>
          <w:rStyle w:val="mw-headline"/>
          <w:rFonts w:ascii="Arial" w:eastAsia="Calibri" w:hAnsi="Arial" w:cs="Arial"/>
          <w:b w:val="0"/>
          <w:color w:val="000000"/>
          <w:sz w:val="24"/>
          <w:szCs w:val="24"/>
        </w:rPr>
        <w:t xml:space="preserve">Radar, </w:t>
      </w:r>
      <w:r w:rsidRPr="00D63349">
        <w:rPr>
          <w:rFonts w:ascii="Arial" w:eastAsia="Calibri" w:hAnsi="Arial" w:cs="Arial"/>
          <w:b w:val="0"/>
          <w:sz w:val="24"/>
          <w:szCs w:val="24"/>
        </w:rPr>
        <w:t xml:space="preserve">es un sistema que usa ondas electromagnéticas para medir distancias, altitudes, direcciones y velocidades de objetos estáticos o móviles como aeronaves, barcos, vehículos motorizados, formaciones meteorológicas y el propio terreno. Su funcionamiento se basa en emitir un impulso de radio, que se refleja en el objetivo y se recibe típicamente en la misma posición del </w:t>
      </w:r>
      <w:r w:rsidRPr="00D63349">
        <w:rPr>
          <w:rFonts w:ascii="Arial" w:eastAsia="Calibri" w:hAnsi="Arial" w:cs="Arial"/>
          <w:b w:val="0"/>
          <w:sz w:val="24"/>
          <w:szCs w:val="24"/>
        </w:rPr>
        <w:lastRenderedPageBreak/>
        <w:t xml:space="preserve">emisor. El uso de ondas electromagnéticas permite detectar objetos más allá del rango de otro tipo de emisiones. </w:t>
      </w:r>
    </w:p>
    <w:p w:rsidR="0025315F" w:rsidRPr="00D63349" w:rsidRDefault="0025315F" w:rsidP="0025315F">
      <w:pPr>
        <w:pStyle w:val="Heading3"/>
        <w:keepNext w:val="0"/>
        <w:numPr>
          <w:ilvl w:val="0"/>
          <w:numId w:val="8"/>
        </w:numPr>
        <w:spacing w:before="96" w:after="120" w:line="360" w:lineRule="auto"/>
        <w:ind w:left="2127"/>
        <w:jc w:val="both"/>
        <w:rPr>
          <w:rFonts w:ascii="Arial" w:eastAsia="Calibri" w:hAnsi="Arial" w:cs="Arial"/>
          <w:b w:val="0"/>
          <w:sz w:val="24"/>
          <w:szCs w:val="24"/>
        </w:rPr>
      </w:pPr>
      <w:r w:rsidRPr="00D63349">
        <w:rPr>
          <w:rStyle w:val="mw-headline"/>
          <w:rFonts w:ascii="Arial" w:eastAsia="Calibri" w:hAnsi="Arial" w:cs="Arial"/>
          <w:b w:val="0"/>
          <w:color w:val="000000"/>
          <w:sz w:val="24"/>
          <w:szCs w:val="24"/>
        </w:rPr>
        <w:t xml:space="preserve">Resonancia magnética nuclear, </w:t>
      </w:r>
      <w:r w:rsidRPr="00D63349">
        <w:rPr>
          <w:rFonts w:ascii="Arial" w:eastAsia="Calibri" w:hAnsi="Arial" w:cs="Arial"/>
          <w:b w:val="0"/>
          <w:sz w:val="24"/>
          <w:szCs w:val="24"/>
        </w:rPr>
        <w:t xml:space="preserve">estudia los núcleos atómicos al alinearlos a un campo magnético constante para posteriormente perturbar este alineamiento con el uso de un campo magnético alterno, de orientación ortogonal. La resultante de esta perturbación es una diferencia de energía que se evidencia al ser excitados dichos átomos por radiación electromagnética de la misma frecuencia. Estas frecuencias corresponden típicamente al intervalo de radiofrecuencias del espectro electromagnético. </w:t>
      </w:r>
    </w:p>
    <w:p w:rsidR="0025315F" w:rsidRPr="00C10FA1" w:rsidRDefault="0025315F" w:rsidP="0025315F">
      <w:pPr>
        <w:pStyle w:val="Heading3"/>
        <w:spacing w:before="96" w:after="120" w:line="360" w:lineRule="auto"/>
        <w:ind w:left="2127"/>
        <w:jc w:val="both"/>
        <w:rPr>
          <w:rFonts w:ascii="Arial" w:eastAsia="Calibri" w:hAnsi="Arial" w:cs="Arial"/>
          <w:sz w:val="24"/>
          <w:szCs w:val="24"/>
        </w:rPr>
      </w:pPr>
    </w:p>
    <w:p w:rsidR="0025315F" w:rsidRDefault="0025315F" w:rsidP="0025315F">
      <w:pPr>
        <w:pStyle w:val="ListParagraph"/>
        <w:numPr>
          <w:ilvl w:val="1"/>
          <w:numId w:val="4"/>
        </w:numPr>
        <w:spacing w:line="360" w:lineRule="auto"/>
        <w:rPr>
          <w:rFonts w:ascii="Arial" w:hAnsi="Arial" w:cs="Arial"/>
          <w:b/>
          <w:sz w:val="24"/>
          <w:szCs w:val="24"/>
        </w:rPr>
      </w:pPr>
      <w:r w:rsidRPr="005C5DBE">
        <w:rPr>
          <w:rFonts w:ascii="Arial" w:hAnsi="Arial" w:cs="Arial"/>
          <w:b/>
          <w:sz w:val="24"/>
          <w:szCs w:val="24"/>
        </w:rPr>
        <w:t>Sistemas de Frecuencia  a Analizar</w:t>
      </w:r>
    </w:p>
    <w:p w:rsidR="0025315F" w:rsidRPr="005C5DBE" w:rsidRDefault="0025315F" w:rsidP="0025315F">
      <w:pPr>
        <w:pStyle w:val="ListParagraph"/>
        <w:spacing w:line="360" w:lineRule="auto"/>
        <w:ind w:left="1080"/>
        <w:rPr>
          <w:rFonts w:ascii="Arial" w:hAnsi="Arial" w:cs="Arial"/>
          <w:b/>
          <w:sz w:val="24"/>
          <w:szCs w:val="24"/>
        </w:rPr>
      </w:pPr>
    </w:p>
    <w:p w:rsidR="0025315F"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t>Telefonía Móvil</w:t>
      </w:r>
    </w:p>
    <w:p w:rsidR="0025315F" w:rsidRPr="005C5DBE" w:rsidRDefault="0025315F" w:rsidP="0025315F">
      <w:pPr>
        <w:pStyle w:val="ListParagraph"/>
        <w:spacing w:line="360" w:lineRule="auto"/>
        <w:ind w:left="1800"/>
        <w:rPr>
          <w:rFonts w:ascii="Arial" w:hAnsi="Arial" w:cs="Arial"/>
          <w:b/>
          <w:sz w:val="24"/>
          <w:szCs w:val="24"/>
        </w:rPr>
      </w:pPr>
    </w:p>
    <w:p w:rsidR="0025315F" w:rsidRPr="005C5DBE" w:rsidRDefault="0025315F" w:rsidP="0025315F">
      <w:pPr>
        <w:pStyle w:val="ListParagraph"/>
        <w:numPr>
          <w:ilvl w:val="3"/>
          <w:numId w:val="4"/>
        </w:numPr>
        <w:spacing w:line="360" w:lineRule="auto"/>
        <w:ind w:left="2268" w:hanging="850"/>
        <w:rPr>
          <w:rFonts w:ascii="Arial" w:hAnsi="Arial" w:cs="Arial"/>
          <w:b/>
          <w:sz w:val="24"/>
          <w:szCs w:val="24"/>
        </w:rPr>
      </w:pPr>
      <w:r w:rsidRPr="005C5DBE">
        <w:rPr>
          <w:rFonts w:ascii="Arial" w:hAnsi="Arial" w:cs="Arial"/>
          <w:b/>
          <w:sz w:val="24"/>
          <w:szCs w:val="24"/>
        </w:rPr>
        <w:t xml:space="preserve">Características y Componentes </w:t>
      </w:r>
    </w:p>
    <w:p w:rsidR="0025315F" w:rsidRPr="005C5DBE" w:rsidRDefault="0025315F" w:rsidP="0025315F">
      <w:pPr>
        <w:pStyle w:val="ListParagraph"/>
        <w:spacing w:line="360" w:lineRule="auto"/>
        <w:ind w:left="2160"/>
        <w:rPr>
          <w:rFonts w:ascii="Arial" w:hAnsi="Arial" w:cs="Arial"/>
          <w:b/>
          <w:sz w:val="24"/>
          <w:szCs w:val="24"/>
        </w:rPr>
      </w:pPr>
    </w:p>
    <w:p w:rsidR="0025315F" w:rsidRPr="003122A4" w:rsidRDefault="0025315F" w:rsidP="0025315F">
      <w:pPr>
        <w:autoSpaceDE w:val="0"/>
        <w:autoSpaceDN w:val="0"/>
        <w:adjustRightInd w:val="0"/>
        <w:spacing w:after="0" w:line="360" w:lineRule="auto"/>
        <w:ind w:left="2268"/>
        <w:jc w:val="both"/>
        <w:rPr>
          <w:rFonts w:ascii="Arial" w:hAnsi="Arial" w:cs="Arial"/>
          <w:sz w:val="24"/>
          <w:szCs w:val="24"/>
        </w:rPr>
      </w:pPr>
      <w:r w:rsidRPr="005C5DBE">
        <w:rPr>
          <w:rFonts w:ascii="Arial" w:hAnsi="Arial" w:cs="Arial"/>
          <w:sz w:val="24"/>
          <w:szCs w:val="24"/>
        </w:rPr>
        <w:t xml:space="preserve">La telefonía móvil es un servicio de telecomunicación que tiene por objetivo proporcionar un canal de comunicación entre los distintos usuarios, mediante el uso de terminales dentro de un área definida, pudiendo mantenerse una comunicación establecida, aunque uno o los dos </w:t>
      </w:r>
      <w:r w:rsidRPr="003122A4">
        <w:rPr>
          <w:rFonts w:ascii="Arial" w:hAnsi="Arial" w:cs="Arial"/>
          <w:sz w:val="24"/>
          <w:szCs w:val="24"/>
        </w:rPr>
        <w:t>comunicantes se estén desplazando.</w:t>
      </w:r>
    </w:p>
    <w:p w:rsidR="0025315F" w:rsidRPr="003122A4" w:rsidRDefault="0025315F" w:rsidP="0025315F">
      <w:pPr>
        <w:autoSpaceDE w:val="0"/>
        <w:autoSpaceDN w:val="0"/>
        <w:adjustRightInd w:val="0"/>
        <w:spacing w:after="0" w:line="360" w:lineRule="auto"/>
        <w:ind w:left="2268"/>
        <w:rPr>
          <w:rFonts w:ascii="Arial" w:hAnsi="Arial" w:cs="Arial"/>
          <w:color w:val="231F20"/>
          <w:sz w:val="24"/>
          <w:szCs w:val="24"/>
        </w:rPr>
      </w:pPr>
    </w:p>
    <w:p w:rsidR="0025315F" w:rsidRPr="003122A4" w:rsidRDefault="0025315F" w:rsidP="0025315F">
      <w:pPr>
        <w:autoSpaceDE w:val="0"/>
        <w:autoSpaceDN w:val="0"/>
        <w:adjustRightInd w:val="0"/>
        <w:spacing w:after="0" w:line="360" w:lineRule="auto"/>
        <w:ind w:left="2268"/>
        <w:rPr>
          <w:rFonts w:ascii="Arial" w:hAnsi="Arial" w:cs="Arial"/>
          <w:sz w:val="24"/>
          <w:szCs w:val="24"/>
        </w:rPr>
      </w:pPr>
      <w:r w:rsidRPr="003122A4">
        <w:rPr>
          <w:rFonts w:ascii="Arial" w:hAnsi="Arial" w:cs="Arial"/>
          <w:sz w:val="24"/>
          <w:szCs w:val="24"/>
        </w:rPr>
        <w:t>Entre sus principales componentes tenemos:</w:t>
      </w:r>
    </w:p>
    <w:p w:rsidR="0025315F" w:rsidRPr="003122A4" w:rsidRDefault="0025315F" w:rsidP="0025315F">
      <w:pPr>
        <w:autoSpaceDE w:val="0"/>
        <w:autoSpaceDN w:val="0"/>
        <w:adjustRightInd w:val="0"/>
        <w:spacing w:after="0" w:line="360" w:lineRule="auto"/>
        <w:ind w:left="2268"/>
        <w:rPr>
          <w:rFonts w:ascii="Arial" w:hAnsi="Arial" w:cs="Arial"/>
          <w:sz w:val="24"/>
          <w:szCs w:val="24"/>
        </w:rPr>
      </w:pPr>
    </w:p>
    <w:p w:rsidR="0025315F" w:rsidRPr="003122A4" w:rsidRDefault="0025315F" w:rsidP="0025315F">
      <w:pPr>
        <w:pStyle w:val="ListParagraph"/>
        <w:numPr>
          <w:ilvl w:val="0"/>
          <w:numId w:val="9"/>
        </w:numPr>
        <w:autoSpaceDE w:val="0"/>
        <w:autoSpaceDN w:val="0"/>
        <w:adjustRightInd w:val="0"/>
        <w:spacing w:after="0" w:line="360" w:lineRule="auto"/>
        <w:ind w:left="2694"/>
        <w:jc w:val="both"/>
        <w:rPr>
          <w:rFonts w:ascii="Arial" w:hAnsi="Arial" w:cs="Arial"/>
          <w:sz w:val="24"/>
          <w:szCs w:val="24"/>
        </w:rPr>
      </w:pPr>
      <w:r w:rsidRPr="003122A4">
        <w:rPr>
          <w:rFonts w:ascii="Arial" w:hAnsi="Arial" w:cs="Arial"/>
          <w:sz w:val="24"/>
          <w:szCs w:val="24"/>
        </w:rPr>
        <w:t>Teléfono móvil o terminal portátil, los cuales  mediante un microprocesador de señales  pueden comprimir y descomprimir señales digitales codificadas. Entres sus partes tenemos el micrófono microscópico, altavoz, pantalla de cristales líquidos o plasma, teclado, mini antena, batería y placa de circuitos.</w:t>
      </w:r>
      <w:r>
        <w:rPr>
          <w:rFonts w:ascii="Arial" w:hAnsi="Arial" w:cs="Arial"/>
          <w:sz w:val="24"/>
          <w:szCs w:val="24"/>
        </w:rPr>
        <w:t xml:space="preserve"> </w:t>
      </w:r>
      <w:r w:rsidRPr="003122A4">
        <w:rPr>
          <w:rFonts w:ascii="Arial" w:hAnsi="Arial" w:cs="Arial"/>
          <w:sz w:val="24"/>
          <w:szCs w:val="24"/>
        </w:rPr>
        <w:t>Los terminales pueden ser de distinta generación en función de la tecnología utilizada, analógica o digital</w:t>
      </w:r>
      <w:r>
        <w:rPr>
          <w:rFonts w:ascii="Arial" w:hAnsi="Arial" w:cs="Arial"/>
          <w:sz w:val="24"/>
          <w:szCs w:val="24"/>
        </w:rPr>
        <w:t>, con diferentes tipos de aplicaciones como</w:t>
      </w:r>
      <w:r w:rsidRPr="005C5DBE">
        <w:rPr>
          <w:rFonts w:ascii="Arial" w:hAnsi="Arial" w:cs="Arial"/>
          <w:sz w:val="24"/>
          <w:szCs w:val="24"/>
        </w:rPr>
        <w:t xml:space="preserve"> m</w:t>
      </w:r>
      <w:r>
        <w:rPr>
          <w:rFonts w:ascii="Arial" w:hAnsi="Arial" w:cs="Arial"/>
          <w:sz w:val="24"/>
          <w:szCs w:val="24"/>
        </w:rPr>
        <w:t>ensajería multimedia, imágenes,  navegación en i</w:t>
      </w:r>
      <w:r w:rsidRPr="005C5DBE">
        <w:rPr>
          <w:rFonts w:ascii="Arial" w:hAnsi="Arial" w:cs="Arial"/>
          <w:sz w:val="24"/>
          <w:szCs w:val="24"/>
        </w:rPr>
        <w:t>nternet</w:t>
      </w:r>
      <w:r>
        <w:rPr>
          <w:rFonts w:ascii="Arial" w:hAnsi="Arial" w:cs="Arial"/>
          <w:sz w:val="24"/>
          <w:szCs w:val="24"/>
        </w:rPr>
        <w:t>, etc.</w:t>
      </w:r>
    </w:p>
    <w:p w:rsidR="0025315F" w:rsidRPr="005C5DBE" w:rsidRDefault="0025315F" w:rsidP="0025315F">
      <w:pPr>
        <w:autoSpaceDE w:val="0"/>
        <w:autoSpaceDN w:val="0"/>
        <w:adjustRightInd w:val="0"/>
        <w:spacing w:after="0" w:line="360" w:lineRule="auto"/>
        <w:ind w:left="2268"/>
        <w:jc w:val="center"/>
        <w:rPr>
          <w:rFonts w:ascii="Arial" w:hAnsi="Arial" w:cs="Arial"/>
          <w:color w:val="231F20"/>
          <w:sz w:val="24"/>
          <w:szCs w:val="24"/>
        </w:rPr>
      </w:pPr>
      <w:r>
        <w:rPr>
          <w:rFonts w:ascii="Arial" w:hAnsi="Arial" w:cs="Arial"/>
          <w:noProof/>
          <w:color w:val="231F20"/>
          <w:sz w:val="24"/>
          <w:szCs w:val="24"/>
          <w:lang w:eastAsia="es-ES"/>
        </w:rPr>
        <w:drawing>
          <wp:inline distT="0" distB="0" distL="0" distR="0">
            <wp:extent cx="3002280" cy="2224405"/>
            <wp:effectExtent l="19050" t="0" r="7620" b="0"/>
            <wp:docPr id="22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6" cstate="print"/>
                    <a:srcRect/>
                    <a:stretch>
                      <a:fillRect/>
                    </a:stretch>
                  </pic:blipFill>
                  <pic:spPr bwMode="auto">
                    <a:xfrm>
                      <a:off x="0" y="0"/>
                      <a:ext cx="3002280" cy="2224405"/>
                    </a:xfrm>
                    <a:prstGeom prst="rect">
                      <a:avLst/>
                    </a:prstGeom>
                    <a:noFill/>
                    <a:ln w="9525">
                      <a:noFill/>
                      <a:miter lim="800000"/>
                      <a:headEnd/>
                      <a:tailEnd/>
                    </a:ln>
                  </pic:spPr>
                </pic:pic>
              </a:graphicData>
            </a:graphic>
          </wp:inline>
        </w:drawing>
      </w:r>
    </w:p>
    <w:p w:rsidR="0025315F" w:rsidRPr="005C5DBE" w:rsidRDefault="0025315F" w:rsidP="0025315F">
      <w:pPr>
        <w:pStyle w:val="Heading3"/>
        <w:spacing w:before="0" w:after="72" w:line="360" w:lineRule="auto"/>
        <w:ind w:left="2268"/>
        <w:jc w:val="center"/>
        <w:rPr>
          <w:rFonts w:ascii="Arial" w:eastAsia="Calibri" w:hAnsi="Arial" w:cs="Arial"/>
          <w:bCs w:val="0"/>
          <w:sz w:val="24"/>
          <w:szCs w:val="24"/>
        </w:rPr>
      </w:pPr>
      <w:r w:rsidRPr="005C5DBE">
        <w:rPr>
          <w:rFonts w:ascii="Arial" w:hAnsi="Arial" w:cs="Arial"/>
          <w:sz w:val="24"/>
          <w:szCs w:val="24"/>
        </w:rPr>
        <w:t>Figura 1.</w:t>
      </w:r>
      <w:r>
        <w:rPr>
          <w:rFonts w:ascii="Arial" w:hAnsi="Arial" w:cs="Arial"/>
          <w:sz w:val="24"/>
          <w:szCs w:val="24"/>
        </w:rPr>
        <w:t>6</w:t>
      </w:r>
      <w:r w:rsidRPr="005C5DBE">
        <w:rPr>
          <w:rFonts w:ascii="Arial" w:hAnsi="Arial" w:cs="Arial"/>
          <w:sz w:val="24"/>
          <w:szCs w:val="24"/>
        </w:rPr>
        <w:t xml:space="preserve"> Partes del</w:t>
      </w:r>
      <w:r w:rsidRPr="005C5DBE">
        <w:rPr>
          <w:rFonts w:ascii="Arial" w:hAnsi="Arial" w:cs="Arial"/>
          <w:b w:val="0"/>
          <w:sz w:val="24"/>
          <w:szCs w:val="24"/>
        </w:rPr>
        <w:t xml:space="preserve"> </w:t>
      </w:r>
      <w:r>
        <w:rPr>
          <w:rFonts w:ascii="Arial" w:hAnsi="Arial" w:cs="Arial"/>
          <w:sz w:val="24"/>
          <w:szCs w:val="24"/>
        </w:rPr>
        <w:t>t</w:t>
      </w:r>
      <w:r w:rsidRPr="005C5DBE">
        <w:rPr>
          <w:rFonts w:ascii="Arial" w:hAnsi="Arial" w:cs="Arial"/>
          <w:sz w:val="24"/>
          <w:szCs w:val="24"/>
        </w:rPr>
        <w:t>eléfono móvil</w:t>
      </w:r>
      <w:r w:rsidRPr="00664A36">
        <w:rPr>
          <w:rStyle w:val="FootnoteReference"/>
          <w:rFonts w:ascii="Arial" w:eastAsia="Calibri" w:hAnsi="Arial" w:cs="Arial"/>
          <w:b w:val="0"/>
          <w:sz w:val="24"/>
          <w:szCs w:val="24"/>
        </w:rPr>
        <w:footnoteReference w:id="12"/>
      </w:r>
    </w:p>
    <w:p w:rsidR="0025315F" w:rsidRPr="005C5DBE" w:rsidRDefault="0025315F" w:rsidP="0025315F">
      <w:pPr>
        <w:autoSpaceDE w:val="0"/>
        <w:autoSpaceDN w:val="0"/>
        <w:adjustRightInd w:val="0"/>
        <w:spacing w:after="0" w:line="360" w:lineRule="auto"/>
        <w:ind w:left="2268"/>
        <w:jc w:val="center"/>
        <w:rPr>
          <w:rFonts w:ascii="Arial" w:hAnsi="Arial" w:cs="Arial"/>
          <w:b/>
          <w:sz w:val="24"/>
          <w:szCs w:val="24"/>
        </w:rPr>
      </w:pPr>
    </w:p>
    <w:p w:rsidR="0025315F" w:rsidRPr="00780E87" w:rsidRDefault="0025315F" w:rsidP="0025315F">
      <w:pPr>
        <w:pStyle w:val="ListParagraph"/>
        <w:numPr>
          <w:ilvl w:val="0"/>
          <w:numId w:val="10"/>
        </w:numPr>
        <w:autoSpaceDE w:val="0"/>
        <w:autoSpaceDN w:val="0"/>
        <w:adjustRightInd w:val="0"/>
        <w:spacing w:after="0" w:line="360" w:lineRule="auto"/>
        <w:ind w:left="2268" w:hanging="426"/>
        <w:jc w:val="both"/>
        <w:rPr>
          <w:rFonts w:ascii="Arial" w:hAnsi="Arial" w:cs="Arial"/>
          <w:sz w:val="24"/>
          <w:szCs w:val="24"/>
        </w:rPr>
      </w:pPr>
      <w:r w:rsidRPr="00780E87">
        <w:rPr>
          <w:rFonts w:ascii="Arial" w:hAnsi="Arial" w:cs="Arial"/>
          <w:sz w:val="24"/>
          <w:szCs w:val="24"/>
        </w:rPr>
        <w:t>Celdas</w:t>
      </w:r>
      <w:r>
        <w:rPr>
          <w:rFonts w:ascii="Arial" w:hAnsi="Arial" w:cs="Arial"/>
          <w:sz w:val="24"/>
          <w:szCs w:val="24"/>
        </w:rPr>
        <w:t>, que consiste en la</w:t>
      </w:r>
      <w:r w:rsidRPr="00780E87">
        <w:rPr>
          <w:rFonts w:ascii="Arial" w:hAnsi="Arial" w:cs="Arial"/>
          <w:sz w:val="24"/>
          <w:szCs w:val="24"/>
        </w:rPr>
        <w:t xml:space="preserve"> división de la ciudad en pequeñas células o celdas. </w:t>
      </w:r>
      <w:r>
        <w:rPr>
          <w:rFonts w:ascii="Arial" w:hAnsi="Arial" w:cs="Arial"/>
          <w:sz w:val="24"/>
          <w:szCs w:val="24"/>
        </w:rPr>
        <w:t xml:space="preserve">Lo que </w:t>
      </w:r>
      <w:r w:rsidRPr="00780E87">
        <w:rPr>
          <w:rFonts w:ascii="Arial" w:hAnsi="Arial" w:cs="Arial"/>
          <w:sz w:val="24"/>
          <w:szCs w:val="24"/>
        </w:rPr>
        <w:t>permite la re-utilización de frecuencias a través de la ciudad, con lo que miles de personas pueden usar los teléfonos al mismo tiempo</w:t>
      </w:r>
      <w:r>
        <w:rPr>
          <w:rFonts w:ascii="Arial" w:hAnsi="Arial" w:cs="Arial"/>
          <w:sz w:val="24"/>
          <w:szCs w:val="24"/>
        </w:rPr>
        <w:t xml:space="preserve">, y evidenciando el efectividad del uso del </w:t>
      </w:r>
      <w:r>
        <w:rPr>
          <w:rFonts w:ascii="Arial" w:hAnsi="Arial" w:cs="Arial"/>
          <w:sz w:val="24"/>
          <w:szCs w:val="24"/>
        </w:rPr>
        <w:lastRenderedPageBreak/>
        <w:t xml:space="preserve">espectro. Las operadoras </w:t>
      </w:r>
      <w:r w:rsidRPr="00780E87">
        <w:rPr>
          <w:rFonts w:ascii="Arial" w:hAnsi="Arial" w:cs="Arial"/>
          <w:sz w:val="24"/>
          <w:szCs w:val="24"/>
        </w:rPr>
        <w:t>divide</w:t>
      </w:r>
      <w:r>
        <w:rPr>
          <w:rFonts w:ascii="Arial" w:hAnsi="Arial" w:cs="Arial"/>
          <w:sz w:val="24"/>
          <w:szCs w:val="24"/>
        </w:rPr>
        <w:t>n</w:t>
      </w:r>
      <w:r w:rsidRPr="00780E87">
        <w:rPr>
          <w:rFonts w:ascii="Arial" w:hAnsi="Arial" w:cs="Arial"/>
          <w:sz w:val="24"/>
          <w:szCs w:val="24"/>
        </w:rPr>
        <w:t xml:space="preserve"> la</w:t>
      </w:r>
      <w:r>
        <w:rPr>
          <w:rFonts w:ascii="Arial" w:hAnsi="Arial" w:cs="Arial"/>
          <w:sz w:val="24"/>
          <w:szCs w:val="24"/>
        </w:rPr>
        <w:t>s</w:t>
      </w:r>
      <w:r w:rsidRPr="00780E87">
        <w:rPr>
          <w:rFonts w:ascii="Arial" w:hAnsi="Arial" w:cs="Arial"/>
          <w:sz w:val="24"/>
          <w:szCs w:val="24"/>
        </w:rPr>
        <w:t xml:space="preserve"> ciudad</w:t>
      </w:r>
      <w:r>
        <w:rPr>
          <w:rFonts w:ascii="Arial" w:hAnsi="Arial" w:cs="Arial"/>
          <w:sz w:val="24"/>
          <w:szCs w:val="24"/>
        </w:rPr>
        <w:t>es</w:t>
      </w:r>
      <w:r w:rsidRPr="00780E87">
        <w:rPr>
          <w:rFonts w:ascii="Arial" w:hAnsi="Arial" w:cs="Arial"/>
          <w:sz w:val="24"/>
          <w:szCs w:val="24"/>
        </w:rPr>
        <w:t xml:space="preserve"> en celdas. Cada celda generalmente tiene un tamaño de 26 kilómetros cuadrados. Las celdas son normal</w:t>
      </w:r>
      <w:r>
        <w:rPr>
          <w:rFonts w:ascii="Arial" w:hAnsi="Arial" w:cs="Arial"/>
          <w:sz w:val="24"/>
          <w:szCs w:val="24"/>
        </w:rPr>
        <w:t xml:space="preserve">mente diseñadas como hexágonos, </w:t>
      </w:r>
      <w:r w:rsidRPr="00780E87">
        <w:rPr>
          <w:rFonts w:ascii="Arial" w:hAnsi="Arial" w:cs="Arial"/>
          <w:sz w:val="24"/>
          <w:szCs w:val="24"/>
        </w:rPr>
        <w:t>en una gran rejilla de hexágonos.</w:t>
      </w:r>
      <w:r>
        <w:rPr>
          <w:rFonts w:ascii="Arial" w:hAnsi="Arial" w:cs="Arial"/>
          <w:sz w:val="24"/>
          <w:szCs w:val="24"/>
        </w:rPr>
        <w:t xml:space="preserve"> </w:t>
      </w:r>
      <w:r w:rsidRPr="005C5DBE">
        <w:rPr>
          <w:rFonts w:ascii="Arial" w:hAnsi="Arial" w:cs="Arial"/>
          <w:sz w:val="24"/>
          <w:szCs w:val="24"/>
        </w:rPr>
        <w:t>Cada celda tiene una estación base que consiste de una torre y un pequeño edificio que contiene el equipo de radio</w:t>
      </w:r>
    </w:p>
    <w:p w:rsidR="0025315F" w:rsidRPr="005C5DBE" w:rsidRDefault="0025315F" w:rsidP="0025315F">
      <w:pPr>
        <w:pStyle w:val="NormalWeb"/>
        <w:spacing w:line="360" w:lineRule="auto"/>
        <w:ind w:left="2268"/>
        <w:jc w:val="center"/>
        <w:rPr>
          <w:rFonts w:ascii="Arial" w:hAnsi="Arial" w:cs="Arial"/>
          <w:color w:val="330099"/>
        </w:rPr>
      </w:pPr>
      <w:r>
        <w:rPr>
          <w:rFonts w:ascii="Arial" w:hAnsi="Arial" w:cs="Arial"/>
          <w:noProof/>
          <w:color w:val="330099"/>
          <w:lang w:val="es-ES" w:eastAsia="es-ES"/>
        </w:rPr>
        <w:drawing>
          <wp:inline distT="0" distB="0" distL="0" distR="0">
            <wp:extent cx="2374900" cy="1815465"/>
            <wp:effectExtent l="19050" t="0" r="6350" b="0"/>
            <wp:docPr id="224" name="Imagen 44" descr="http://www.yucatan.com.mx/especiales/celular/images/cell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http://www.yucatan.com.mx/especiales/celular/images/cellapproach.jpg"/>
                    <pic:cNvPicPr>
                      <a:picLocks noChangeAspect="1" noChangeArrowheads="1"/>
                    </pic:cNvPicPr>
                  </pic:nvPicPr>
                  <pic:blipFill>
                    <a:blip r:embed="rId97" cstate="print"/>
                    <a:srcRect/>
                    <a:stretch>
                      <a:fillRect/>
                    </a:stretch>
                  </pic:blipFill>
                  <pic:spPr bwMode="auto">
                    <a:xfrm>
                      <a:off x="0" y="0"/>
                      <a:ext cx="2374900" cy="1815465"/>
                    </a:xfrm>
                    <a:prstGeom prst="rect">
                      <a:avLst/>
                    </a:prstGeom>
                    <a:noFill/>
                    <a:ln w="9525">
                      <a:noFill/>
                      <a:miter lim="800000"/>
                      <a:headEnd/>
                      <a:tailEnd/>
                    </a:ln>
                  </pic:spPr>
                </pic:pic>
              </a:graphicData>
            </a:graphic>
          </wp:inline>
        </w:drawing>
      </w:r>
    </w:p>
    <w:p w:rsidR="0025315F" w:rsidRPr="005C5DBE" w:rsidRDefault="0025315F" w:rsidP="0025315F">
      <w:pPr>
        <w:pStyle w:val="Heading3"/>
        <w:spacing w:before="0" w:after="72" w:line="360" w:lineRule="auto"/>
        <w:ind w:left="2268"/>
        <w:jc w:val="center"/>
        <w:rPr>
          <w:rFonts w:ascii="Arial" w:eastAsia="Calibri" w:hAnsi="Arial" w:cs="Arial"/>
          <w:bCs w:val="0"/>
          <w:sz w:val="24"/>
          <w:szCs w:val="24"/>
        </w:rPr>
      </w:pPr>
      <w:r w:rsidRPr="005C5DBE">
        <w:rPr>
          <w:rFonts w:ascii="Arial" w:hAnsi="Arial" w:cs="Arial"/>
          <w:sz w:val="24"/>
          <w:szCs w:val="24"/>
        </w:rPr>
        <w:t>Fi 1.</w:t>
      </w:r>
      <w:r>
        <w:rPr>
          <w:rFonts w:ascii="Arial" w:hAnsi="Arial" w:cs="Arial"/>
          <w:sz w:val="24"/>
          <w:szCs w:val="24"/>
        </w:rPr>
        <w:t>7</w:t>
      </w:r>
      <w:r w:rsidRPr="005C5DBE">
        <w:rPr>
          <w:rFonts w:ascii="Arial" w:hAnsi="Arial" w:cs="Arial"/>
          <w:sz w:val="24"/>
          <w:szCs w:val="24"/>
        </w:rPr>
        <w:t xml:space="preserve"> Celdas con su respectiva estación base</w:t>
      </w:r>
      <w:r w:rsidRPr="00664A36">
        <w:rPr>
          <w:rStyle w:val="FootnoteReference"/>
          <w:rFonts w:ascii="Arial" w:eastAsia="Calibri" w:hAnsi="Arial" w:cs="Arial"/>
          <w:b w:val="0"/>
          <w:sz w:val="24"/>
          <w:szCs w:val="24"/>
        </w:rPr>
        <w:footnoteReference w:id="13"/>
      </w:r>
    </w:p>
    <w:p w:rsidR="0025315F" w:rsidRPr="005C5DBE" w:rsidRDefault="0025315F" w:rsidP="0025315F">
      <w:pPr>
        <w:pStyle w:val="NormalWeb"/>
        <w:spacing w:line="360" w:lineRule="auto"/>
        <w:ind w:left="2268"/>
        <w:jc w:val="center"/>
        <w:rPr>
          <w:rFonts w:ascii="Arial" w:hAnsi="Arial" w:cs="Arial"/>
          <w:color w:val="330099"/>
        </w:rPr>
      </w:pPr>
    </w:p>
    <w:p w:rsidR="0025315F" w:rsidRPr="00F45124" w:rsidRDefault="0025315F" w:rsidP="0025315F">
      <w:pPr>
        <w:pStyle w:val="textomio1"/>
        <w:numPr>
          <w:ilvl w:val="0"/>
          <w:numId w:val="10"/>
        </w:numPr>
        <w:spacing w:after="300" w:afterAutospacing="0" w:line="360" w:lineRule="auto"/>
        <w:ind w:left="2268" w:right="300" w:hanging="425"/>
        <w:jc w:val="both"/>
        <w:rPr>
          <w:rFonts w:ascii="Arial" w:eastAsia="Calibri" w:hAnsi="Arial" w:cs="Arial"/>
          <w:lang w:eastAsia="en-US"/>
        </w:rPr>
      </w:pPr>
      <w:r w:rsidRPr="00F45124">
        <w:rPr>
          <w:rFonts w:ascii="Arial" w:eastAsia="Calibri" w:hAnsi="Arial" w:cs="Arial"/>
          <w:lang w:eastAsia="en-US"/>
        </w:rPr>
        <w:t>Estaciones base o radio bases, son los encargados de gestionar las comunicaciones móviles que se generan en su zona de cobertura y enlazarlas con el resto del sistema, permitiendo el acceso de los usuarios a la red telefónica. Consta de una torre soporte con antenas, un controlador de canal y un centro de conmutación.</w:t>
      </w:r>
    </w:p>
    <w:p w:rsidR="0025315F" w:rsidRPr="005C5DBE" w:rsidRDefault="0025315F" w:rsidP="00882934">
      <w:pPr>
        <w:pStyle w:val="textomio1"/>
        <w:spacing w:after="300" w:afterAutospacing="0" w:line="360" w:lineRule="auto"/>
        <w:ind w:left="2268" w:right="300"/>
        <w:jc w:val="center"/>
        <w:rPr>
          <w:rFonts w:ascii="Arial" w:eastAsia="Calibri" w:hAnsi="Arial" w:cs="Arial"/>
          <w:lang w:eastAsia="en-US"/>
        </w:rPr>
      </w:pPr>
      <w:r>
        <w:rPr>
          <w:rFonts w:ascii="Arial" w:hAnsi="Arial" w:cs="Arial"/>
          <w:b/>
          <w:noProof/>
        </w:rPr>
        <w:lastRenderedPageBreak/>
        <w:drawing>
          <wp:inline distT="0" distB="0" distL="0" distR="0">
            <wp:extent cx="2484120" cy="3220720"/>
            <wp:effectExtent l="19050" t="0" r="0" b="0"/>
            <wp:docPr id="22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98" cstate="print"/>
                    <a:srcRect l="41798" t="12540" r="22046" b="4388"/>
                    <a:stretch>
                      <a:fillRect/>
                    </a:stretch>
                  </pic:blipFill>
                  <pic:spPr bwMode="auto">
                    <a:xfrm>
                      <a:off x="0" y="0"/>
                      <a:ext cx="2484120" cy="3220720"/>
                    </a:xfrm>
                    <a:prstGeom prst="rect">
                      <a:avLst/>
                    </a:prstGeom>
                    <a:noFill/>
                    <a:ln w="9525">
                      <a:noFill/>
                      <a:miter lim="800000"/>
                      <a:headEnd/>
                      <a:tailEnd/>
                    </a:ln>
                  </pic:spPr>
                </pic:pic>
              </a:graphicData>
            </a:graphic>
          </wp:inline>
        </w:drawing>
      </w:r>
    </w:p>
    <w:p w:rsidR="0025315F" w:rsidRPr="005C5DBE" w:rsidRDefault="0025315F" w:rsidP="0025315F">
      <w:pPr>
        <w:pStyle w:val="Heading3"/>
        <w:spacing w:before="0" w:after="72" w:line="360" w:lineRule="auto"/>
        <w:ind w:left="2268"/>
        <w:jc w:val="center"/>
        <w:rPr>
          <w:rFonts w:ascii="Arial" w:eastAsia="Calibri" w:hAnsi="Arial" w:cs="Arial"/>
          <w:bCs w:val="0"/>
          <w:sz w:val="24"/>
          <w:szCs w:val="24"/>
        </w:rPr>
      </w:pPr>
      <w:r>
        <w:rPr>
          <w:rFonts w:ascii="Arial" w:hAnsi="Arial" w:cs="Arial"/>
          <w:sz w:val="24"/>
          <w:szCs w:val="24"/>
        </w:rPr>
        <w:t>Figura 1.8</w:t>
      </w:r>
      <w:r w:rsidRPr="005C5DBE">
        <w:rPr>
          <w:rFonts w:ascii="Arial" w:hAnsi="Arial" w:cs="Arial"/>
          <w:sz w:val="24"/>
          <w:szCs w:val="24"/>
        </w:rPr>
        <w:t xml:space="preserve"> </w:t>
      </w:r>
      <w:r>
        <w:rPr>
          <w:rFonts w:ascii="Arial" w:hAnsi="Arial" w:cs="Arial"/>
          <w:sz w:val="24"/>
          <w:szCs w:val="24"/>
        </w:rPr>
        <w:t>Estación base y</w:t>
      </w:r>
      <w:r w:rsidRPr="005C5DBE">
        <w:rPr>
          <w:rFonts w:ascii="Arial" w:hAnsi="Arial" w:cs="Arial"/>
          <w:sz w:val="24"/>
          <w:szCs w:val="24"/>
        </w:rPr>
        <w:t xml:space="preserve"> antena</w:t>
      </w:r>
      <w:r>
        <w:rPr>
          <w:rFonts w:ascii="Arial" w:hAnsi="Arial" w:cs="Arial"/>
          <w:sz w:val="24"/>
          <w:szCs w:val="24"/>
        </w:rPr>
        <w:t>s Telefonía Móvil</w:t>
      </w:r>
      <w:r w:rsidRPr="00664A36">
        <w:rPr>
          <w:rStyle w:val="FootnoteReference"/>
          <w:rFonts w:ascii="Arial" w:eastAsia="Calibri" w:hAnsi="Arial" w:cs="Arial"/>
          <w:b w:val="0"/>
          <w:sz w:val="24"/>
          <w:szCs w:val="24"/>
        </w:rPr>
        <w:footnoteReference w:id="14"/>
      </w:r>
    </w:p>
    <w:p w:rsidR="0025315F" w:rsidRDefault="0025315F" w:rsidP="0025315F">
      <w:pPr>
        <w:pStyle w:val="textomio1"/>
        <w:numPr>
          <w:ilvl w:val="0"/>
          <w:numId w:val="10"/>
        </w:numPr>
        <w:autoSpaceDE w:val="0"/>
        <w:autoSpaceDN w:val="0"/>
        <w:adjustRightInd w:val="0"/>
        <w:spacing w:after="0" w:afterAutospacing="0" w:line="360" w:lineRule="auto"/>
        <w:ind w:left="2268" w:right="300" w:hanging="425"/>
        <w:jc w:val="both"/>
        <w:rPr>
          <w:rFonts w:ascii="Arial" w:eastAsia="Calibri" w:hAnsi="Arial" w:cs="Arial"/>
        </w:rPr>
      </w:pPr>
      <w:r w:rsidRPr="00236C00">
        <w:rPr>
          <w:rFonts w:ascii="Arial" w:eastAsia="Calibri" w:hAnsi="Arial" w:cs="Arial"/>
          <w:lang w:eastAsia="en-US"/>
        </w:rPr>
        <w:t xml:space="preserve">Antenas, en cada torre soporte es frecuente observar antenas de diferentes tipos, que proporcionan la posibilidad de transmisión. Así tenemos antenas de tipo: </w:t>
      </w:r>
      <w:r w:rsidRPr="00236C00">
        <w:rPr>
          <w:rFonts w:ascii="Arial" w:eastAsia="Calibri" w:hAnsi="Arial" w:cs="Arial"/>
        </w:rPr>
        <w:t>omnidireccionales las cuales tiene un radio de cobertura de irradiación de señales es de 360 grados; y antenas sectoriales que irradian su señal en una dirección específica y con un ángulo determinado.</w:t>
      </w:r>
    </w:p>
    <w:p w:rsidR="0025315F" w:rsidRPr="005C5DBE" w:rsidRDefault="0025315F" w:rsidP="0025315F">
      <w:pPr>
        <w:pStyle w:val="textomio1"/>
        <w:autoSpaceDE w:val="0"/>
        <w:autoSpaceDN w:val="0"/>
        <w:adjustRightInd w:val="0"/>
        <w:spacing w:after="0" w:afterAutospacing="0" w:line="360" w:lineRule="auto"/>
        <w:ind w:left="2268" w:right="300"/>
        <w:jc w:val="both"/>
        <w:rPr>
          <w:rFonts w:ascii="Arial" w:eastAsia="Calibri" w:hAnsi="Arial" w:cs="Arial"/>
        </w:rPr>
      </w:pPr>
      <w:r w:rsidRPr="005C5DBE">
        <w:rPr>
          <w:rFonts w:ascii="Arial" w:eastAsia="Calibri" w:hAnsi="Arial" w:cs="Arial"/>
        </w:rPr>
        <w:t>Cada antena cubre una zona determinada y envía y recibe ondas electromagnéticas de todos los teléfonos móvil</w:t>
      </w:r>
      <w:r>
        <w:rPr>
          <w:rFonts w:ascii="Arial" w:eastAsia="Calibri" w:hAnsi="Arial" w:cs="Arial"/>
        </w:rPr>
        <w:t xml:space="preserve">es que se desplazan por su zona, para luego trasmitir la señal a través de </w:t>
      </w:r>
      <w:r w:rsidRPr="00236C00">
        <w:rPr>
          <w:rFonts w:ascii="Arial" w:eastAsia="Calibri" w:hAnsi="Arial" w:cs="Arial"/>
        </w:rPr>
        <w:t xml:space="preserve">antenas de </w:t>
      </w:r>
      <w:r w:rsidRPr="00236C00">
        <w:rPr>
          <w:rFonts w:ascii="Arial" w:eastAsia="Calibri" w:hAnsi="Arial" w:cs="Arial"/>
        </w:rPr>
        <w:lastRenderedPageBreak/>
        <w:t xml:space="preserve">radioenlace </w:t>
      </w:r>
      <w:r>
        <w:rPr>
          <w:rFonts w:ascii="Arial" w:eastAsia="Calibri" w:hAnsi="Arial" w:cs="Arial"/>
        </w:rPr>
        <w:t>o</w:t>
      </w:r>
      <w:r w:rsidRPr="00236C00">
        <w:rPr>
          <w:rFonts w:ascii="Arial" w:eastAsia="Calibri" w:hAnsi="Arial" w:cs="Arial"/>
        </w:rPr>
        <w:t xml:space="preserve"> de banda ancha</w:t>
      </w:r>
      <w:r>
        <w:rPr>
          <w:rFonts w:ascii="Arial" w:eastAsia="Calibri" w:hAnsi="Arial" w:cs="Arial"/>
        </w:rPr>
        <w:t>, y poderse comunicarse con otras radios base</w:t>
      </w:r>
      <w:r w:rsidRPr="00236C00">
        <w:rPr>
          <w:rFonts w:ascii="Arial" w:eastAsia="Calibri" w:hAnsi="Arial" w:cs="Arial"/>
        </w:rPr>
        <w:t>.</w:t>
      </w:r>
    </w:p>
    <w:p w:rsidR="0025315F" w:rsidRPr="005C5DBE" w:rsidRDefault="0025315F" w:rsidP="0025315F">
      <w:pPr>
        <w:autoSpaceDE w:val="0"/>
        <w:autoSpaceDN w:val="0"/>
        <w:adjustRightInd w:val="0"/>
        <w:spacing w:after="0" w:line="360" w:lineRule="auto"/>
        <w:rPr>
          <w:rFonts w:ascii="Arial" w:hAnsi="Arial" w:cs="Arial"/>
          <w:b/>
          <w:sz w:val="24"/>
          <w:szCs w:val="24"/>
        </w:rPr>
      </w:pPr>
    </w:p>
    <w:p w:rsidR="0025315F" w:rsidRPr="005C5DBE"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t>Funcionamiento</w:t>
      </w:r>
    </w:p>
    <w:p w:rsidR="0025315F" w:rsidRPr="005C5DBE" w:rsidRDefault="0025315F" w:rsidP="0025315F">
      <w:pPr>
        <w:pStyle w:val="ListParagraph"/>
        <w:spacing w:line="360" w:lineRule="auto"/>
        <w:rPr>
          <w:rFonts w:ascii="Arial" w:hAnsi="Arial" w:cs="Arial"/>
          <w:b/>
          <w:sz w:val="24"/>
          <w:szCs w:val="24"/>
          <w:lang w:val="es-SV"/>
        </w:rPr>
      </w:pP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La comunicación </w:t>
      </w:r>
      <w:hyperlink r:id="rId99" w:history="1">
        <w:r w:rsidRPr="005C5DBE">
          <w:rPr>
            <w:rFonts w:ascii="Arial" w:hAnsi="Arial" w:cs="Arial"/>
            <w:sz w:val="24"/>
            <w:szCs w:val="24"/>
          </w:rPr>
          <w:t>telefónica </w:t>
        </w:r>
      </w:hyperlink>
      <w:r w:rsidRPr="005C5DBE">
        <w:rPr>
          <w:rFonts w:ascii="Arial" w:hAnsi="Arial" w:cs="Arial"/>
          <w:sz w:val="24"/>
          <w:szCs w:val="24"/>
        </w:rPr>
        <w:t>es posible gracias a la interconexión entre centrales celulares y publicas.</w:t>
      </w: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Según las bandas o frecuencias en las que opera el celular, podrá funcionar en una parte u otra del mundo</w:t>
      </w: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 xml:space="preserve">La telefonía móvil consiste en la combinación de una red de estaciones transmisoras-receptoras de radio (repetidores, estaciones base o BTS) y una serie de centrales telefónicas de conmutación de </w:t>
      </w:r>
      <w:r>
        <w:rPr>
          <w:rFonts w:ascii="Arial" w:hAnsi="Arial" w:cs="Arial"/>
          <w:sz w:val="24"/>
          <w:szCs w:val="24"/>
        </w:rPr>
        <w:t>primer y segundo</w:t>
      </w:r>
      <w:r w:rsidRPr="005C5DBE">
        <w:rPr>
          <w:rFonts w:ascii="Arial" w:hAnsi="Arial" w:cs="Arial"/>
          <w:sz w:val="24"/>
          <w:szCs w:val="24"/>
        </w:rPr>
        <w:t xml:space="preserve"> nivel (MSC y BSC respectivamente), que posibilita la comunicación entre terminales telefónicos portátiles (teléfonos móviles) o entre terminales portátiles y teléfonos de la red fija tradicional.</w:t>
      </w:r>
    </w:p>
    <w:p w:rsidR="0025315F" w:rsidRPr="005C5DBE" w:rsidRDefault="0025315F" w:rsidP="0025315F">
      <w:pPr>
        <w:pStyle w:val="ListParagraph"/>
        <w:spacing w:line="360" w:lineRule="auto"/>
        <w:rPr>
          <w:rFonts w:ascii="Arial" w:hAnsi="Arial" w:cs="Arial"/>
          <w:b/>
          <w:sz w:val="24"/>
          <w:szCs w:val="24"/>
          <w:lang w:val="es-SV"/>
        </w:rPr>
      </w:pPr>
    </w:p>
    <w:p w:rsidR="0025315F" w:rsidRPr="005C5DBE" w:rsidRDefault="0025315F" w:rsidP="0025315F">
      <w:pPr>
        <w:pStyle w:val="ListParagraph"/>
        <w:spacing w:line="360" w:lineRule="auto"/>
        <w:ind w:left="2160"/>
        <w:rPr>
          <w:rFonts w:ascii="Arial" w:hAnsi="Arial" w:cs="Arial"/>
          <w:b/>
          <w:sz w:val="24"/>
          <w:szCs w:val="24"/>
        </w:rPr>
      </w:pPr>
    </w:p>
    <w:p w:rsidR="0025315F" w:rsidRPr="005C5DBE"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t>Evolución y Convergencia Tecnológica</w:t>
      </w:r>
    </w:p>
    <w:p w:rsidR="0025315F" w:rsidRPr="005C5DBE" w:rsidRDefault="0025315F" w:rsidP="0025315F">
      <w:pPr>
        <w:pStyle w:val="ListParagraph"/>
        <w:spacing w:line="360" w:lineRule="auto"/>
        <w:ind w:left="2160"/>
        <w:rPr>
          <w:rFonts w:ascii="Arial" w:hAnsi="Arial" w:cs="Arial"/>
          <w:sz w:val="24"/>
          <w:szCs w:val="24"/>
        </w:rPr>
      </w:pPr>
    </w:p>
    <w:p w:rsidR="0025315F" w:rsidRPr="005C5DBE" w:rsidRDefault="0025315F" w:rsidP="0025315F">
      <w:pPr>
        <w:autoSpaceDE w:val="0"/>
        <w:autoSpaceDN w:val="0"/>
        <w:adjustRightInd w:val="0"/>
        <w:spacing w:after="0" w:line="360" w:lineRule="auto"/>
        <w:ind w:left="2127"/>
        <w:jc w:val="both"/>
        <w:rPr>
          <w:rFonts w:ascii="Arial" w:hAnsi="Arial" w:cs="Arial"/>
          <w:sz w:val="24"/>
          <w:szCs w:val="24"/>
        </w:rPr>
      </w:pPr>
      <w:r w:rsidRPr="005C5DBE">
        <w:rPr>
          <w:rFonts w:ascii="Arial" w:hAnsi="Arial" w:cs="Arial"/>
          <w:sz w:val="24"/>
          <w:szCs w:val="24"/>
        </w:rPr>
        <w:t>La evolución del teléfono móvil ha permitido disminuir su tamaño y peso, desde el primer teléfono móvil en </w:t>
      </w:r>
      <w:hyperlink r:id="rId100" w:tooltip="1983" w:history="1">
        <w:r w:rsidRPr="005C5DBE">
          <w:rPr>
            <w:rFonts w:ascii="Arial" w:hAnsi="Arial" w:cs="Arial"/>
            <w:sz w:val="24"/>
            <w:szCs w:val="24"/>
          </w:rPr>
          <w:t>1983</w:t>
        </w:r>
      </w:hyperlink>
      <w:r w:rsidRPr="005C5DBE">
        <w:rPr>
          <w:rFonts w:ascii="Arial" w:hAnsi="Arial" w:cs="Arial"/>
          <w:sz w:val="24"/>
          <w:szCs w:val="24"/>
        </w:rPr>
        <w:t> que pesaba 780 </w:t>
      </w:r>
      <w:hyperlink r:id="rId101" w:tooltip="Gramo" w:history="1">
        <w:r w:rsidRPr="005C5DBE">
          <w:rPr>
            <w:rFonts w:ascii="Arial" w:hAnsi="Arial" w:cs="Arial"/>
            <w:sz w:val="24"/>
            <w:szCs w:val="24"/>
          </w:rPr>
          <w:t>gramos</w:t>
        </w:r>
      </w:hyperlink>
      <w:r w:rsidRPr="005C5DBE">
        <w:rPr>
          <w:rFonts w:ascii="Arial" w:hAnsi="Arial" w:cs="Arial"/>
          <w:sz w:val="24"/>
          <w:szCs w:val="24"/>
        </w:rPr>
        <w:t xml:space="preserve">, a los actuales más compactos y con mayores prestaciones de servicio. El desarrollo de baterías más pequeñas y de mayor duración, pantallas más nítidas y de colores, la incorporación de software más amigable, hacen del </w:t>
      </w:r>
      <w:r w:rsidRPr="005C5DBE">
        <w:rPr>
          <w:rFonts w:ascii="Arial" w:hAnsi="Arial" w:cs="Arial"/>
          <w:sz w:val="24"/>
          <w:szCs w:val="24"/>
        </w:rPr>
        <w:lastRenderedPageBreak/>
        <w:t>teléfono móvil un elemento muy apreciado en la vida moderna.</w:t>
      </w:r>
    </w:p>
    <w:p w:rsidR="0025315F" w:rsidRPr="005C5DBE" w:rsidRDefault="0025315F" w:rsidP="0025315F">
      <w:pPr>
        <w:pStyle w:val="NormalWeb"/>
        <w:spacing w:before="96" w:beforeAutospacing="0" w:after="120" w:afterAutospacing="0" w:line="360" w:lineRule="auto"/>
        <w:ind w:left="2127"/>
        <w:jc w:val="center"/>
        <w:rPr>
          <w:rFonts w:ascii="Arial" w:hAnsi="Arial" w:cs="Arial"/>
          <w:color w:val="000000"/>
        </w:rPr>
      </w:pPr>
      <w:r>
        <w:rPr>
          <w:rFonts w:ascii="Arial" w:hAnsi="Arial" w:cs="Arial"/>
          <w:noProof/>
          <w:lang w:val="es-ES" w:eastAsia="es-ES"/>
        </w:rPr>
        <w:drawing>
          <wp:inline distT="0" distB="0" distL="0" distR="0">
            <wp:extent cx="4244340" cy="2265680"/>
            <wp:effectExtent l="0" t="0" r="3810" b="0"/>
            <wp:docPr id="222" name="Imagen 32" descr="Archivo:Cellphone-subscribers-by-technolog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Archivo:Cellphone-subscribers-by-technology.svg"/>
                    <pic:cNvPicPr>
                      <a:picLocks noChangeAspect="1" noChangeArrowheads="1"/>
                    </pic:cNvPicPr>
                  </pic:nvPicPr>
                  <pic:blipFill>
                    <a:blip r:embed="rId102" cstate="print"/>
                    <a:srcRect/>
                    <a:stretch>
                      <a:fillRect/>
                    </a:stretch>
                  </pic:blipFill>
                  <pic:spPr bwMode="auto">
                    <a:xfrm>
                      <a:off x="0" y="0"/>
                      <a:ext cx="4244340" cy="2265680"/>
                    </a:xfrm>
                    <a:prstGeom prst="rect">
                      <a:avLst/>
                    </a:prstGeom>
                    <a:noFill/>
                    <a:ln w="9525">
                      <a:noFill/>
                      <a:miter lim="800000"/>
                      <a:headEnd/>
                      <a:tailEnd/>
                    </a:ln>
                  </pic:spPr>
                </pic:pic>
              </a:graphicData>
            </a:graphic>
          </wp:inline>
        </w:drawing>
      </w:r>
    </w:p>
    <w:p w:rsidR="0025315F" w:rsidRDefault="0025315F" w:rsidP="0025315F">
      <w:pPr>
        <w:pStyle w:val="NormalWeb"/>
        <w:spacing w:before="96" w:beforeAutospacing="0" w:after="120" w:afterAutospacing="0" w:line="360" w:lineRule="auto"/>
        <w:ind w:left="2127"/>
        <w:jc w:val="center"/>
        <w:rPr>
          <w:rFonts w:ascii="Arial" w:hAnsi="Arial" w:cs="Arial"/>
          <w:b/>
          <w:bCs/>
          <w:lang w:val="es-ES" w:eastAsia="es-ES"/>
        </w:rPr>
      </w:pPr>
      <w:r w:rsidRPr="005C5DBE">
        <w:rPr>
          <w:rFonts w:ascii="Arial" w:hAnsi="Arial" w:cs="Arial"/>
          <w:b/>
        </w:rPr>
        <w:t>Figura 1.</w:t>
      </w:r>
      <w:r>
        <w:rPr>
          <w:rFonts w:ascii="Arial" w:hAnsi="Arial" w:cs="Arial"/>
          <w:b/>
        </w:rPr>
        <w:t>9</w:t>
      </w:r>
      <w:r w:rsidRPr="005C5DBE">
        <w:rPr>
          <w:rFonts w:ascii="Arial" w:hAnsi="Arial" w:cs="Arial"/>
          <w:b/>
        </w:rPr>
        <w:t xml:space="preserve"> </w:t>
      </w:r>
      <w:r w:rsidRPr="005C5DBE">
        <w:rPr>
          <w:rFonts w:ascii="Arial" w:hAnsi="Arial" w:cs="Arial"/>
          <w:b/>
          <w:bCs/>
          <w:lang w:val="es-ES" w:eastAsia="es-ES"/>
        </w:rPr>
        <w:t>Evolución del número de usuarios de telefonía móvil según el estándar que emplean</w:t>
      </w:r>
      <w:r w:rsidRPr="00664A36">
        <w:rPr>
          <w:rStyle w:val="FootnoteReference"/>
          <w:rFonts w:ascii="Arial" w:eastAsia="Calibri" w:hAnsi="Arial" w:cs="Arial"/>
          <w:b/>
        </w:rPr>
        <w:footnoteReference w:id="15"/>
      </w:r>
    </w:p>
    <w:p w:rsidR="0025315F" w:rsidRPr="008E7576" w:rsidRDefault="0025315F" w:rsidP="0025315F">
      <w:pPr>
        <w:pStyle w:val="NormalWeb"/>
        <w:spacing w:before="96" w:beforeAutospacing="0" w:after="120" w:afterAutospacing="0" w:line="360" w:lineRule="auto"/>
        <w:ind w:left="2127"/>
        <w:jc w:val="center"/>
        <w:rPr>
          <w:rFonts w:ascii="Arial" w:eastAsia="Calibri" w:hAnsi="Arial" w:cs="Arial"/>
          <w:bCs/>
          <w:lang w:eastAsia="en-US"/>
        </w:rPr>
      </w:pPr>
    </w:p>
    <w:p w:rsidR="0025315F" w:rsidRPr="005C5DBE" w:rsidRDefault="0025315F" w:rsidP="0025315F">
      <w:pPr>
        <w:pStyle w:val="NormalWeb"/>
        <w:spacing w:before="96" w:beforeAutospacing="0" w:after="120" w:afterAutospacing="0" w:line="360" w:lineRule="auto"/>
        <w:ind w:left="2127"/>
        <w:jc w:val="both"/>
        <w:rPr>
          <w:rFonts w:ascii="Arial" w:eastAsia="Calibri" w:hAnsi="Arial" w:cs="Arial"/>
          <w:lang w:val="es-ES" w:eastAsia="en-US"/>
        </w:rPr>
      </w:pPr>
      <w:r w:rsidRPr="005C5DBE">
        <w:rPr>
          <w:rFonts w:ascii="Arial" w:eastAsia="Calibri" w:hAnsi="Arial" w:cs="Arial"/>
          <w:lang w:val="es-ES" w:eastAsia="en-US"/>
        </w:rPr>
        <w:t>El avance de la tecnología ha hecho que estos aparatos incorporen funciones que no hace mucho parecían futuristas, como juegos, reproducción de música </w:t>
      </w:r>
      <w:hyperlink r:id="rId103" w:tooltip="MP3" w:history="1">
        <w:r w:rsidRPr="005C5DBE">
          <w:rPr>
            <w:rFonts w:ascii="Arial" w:eastAsia="Calibri" w:hAnsi="Arial" w:cs="Arial"/>
            <w:lang w:val="es-ES" w:eastAsia="en-US"/>
          </w:rPr>
          <w:t>MP3</w:t>
        </w:r>
      </w:hyperlink>
      <w:r w:rsidRPr="005C5DBE">
        <w:rPr>
          <w:rFonts w:ascii="Arial" w:eastAsia="Calibri" w:hAnsi="Arial" w:cs="Arial"/>
          <w:lang w:val="es-ES" w:eastAsia="en-US"/>
        </w:rPr>
        <w:t> y otros formatos, </w:t>
      </w:r>
      <w:hyperlink r:id="rId104" w:tooltip="Correo electrónico" w:history="1">
        <w:r w:rsidRPr="005C5DBE">
          <w:rPr>
            <w:rFonts w:ascii="Arial" w:eastAsia="Calibri" w:hAnsi="Arial" w:cs="Arial"/>
            <w:lang w:val="es-ES" w:eastAsia="en-US"/>
          </w:rPr>
          <w:t>correo</w:t>
        </w:r>
        <w:r>
          <w:rPr>
            <w:rFonts w:ascii="Arial" w:eastAsia="Calibri" w:hAnsi="Arial" w:cs="Arial"/>
            <w:lang w:val="es-ES" w:eastAsia="en-US"/>
          </w:rPr>
          <w:t xml:space="preserve"> </w:t>
        </w:r>
        <w:r w:rsidRPr="005C5DBE">
          <w:rPr>
            <w:rFonts w:ascii="Arial" w:eastAsia="Calibri" w:hAnsi="Arial" w:cs="Arial"/>
            <w:lang w:val="es-ES" w:eastAsia="en-US"/>
          </w:rPr>
          <w:t>electrónico</w:t>
        </w:r>
      </w:hyperlink>
      <w:r w:rsidRPr="005C5DBE">
        <w:rPr>
          <w:rFonts w:ascii="Arial" w:eastAsia="Calibri" w:hAnsi="Arial" w:cs="Arial"/>
          <w:lang w:val="es-ES" w:eastAsia="en-US"/>
        </w:rPr>
        <w:t>, </w:t>
      </w:r>
      <w:hyperlink r:id="rId105" w:tooltip="Servicio de mensajes cortos" w:history="1">
        <w:r w:rsidRPr="005C5DBE">
          <w:rPr>
            <w:rFonts w:ascii="Arial" w:eastAsia="Calibri" w:hAnsi="Arial" w:cs="Arial"/>
            <w:lang w:val="es-ES" w:eastAsia="en-US"/>
          </w:rPr>
          <w:t>SMS</w:t>
        </w:r>
      </w:hyperlink>
      <w:r w:rsidRPr="005C5DBE">
        <w:rPr>
          <w:rFonts w:ascii="Arial" w:eastAsia="Calibri" w:hAnsi="Arial" w:cs="Arial"/>
          <w:lang w:val="es-ES" w:eastAsia="en-US"/>
        </w:rPr>
        <w:t>, agenda electrónica </w:t>
      </w:r>
      <w:hyperlink r:id="rId106" w:tooltip="PDA" w:history="1">
        <w:r w:rsidRPr="005C5DBE">
          <w:rPr>
            <w:rFonts w:ascii="Arial" w:eastAsia="Calibri" w:hAnsi="Arial" w:cs="Arial"/>
            <w:lang w:val="es-ES" w:eastAsia="en-US"/>
          </w:rPr>
          <w:t>PDA</w:t>
        </w:r>
      </w:hyperlink>
      <w:r w:rsidRPr="005C5DBE">
        <w:rPr>
          <w:rFonts w:ascii="Arial" w:eastAsia="Calibri" w:hAnsi="Arial" w:cs="Arial"/>
          <w:lang w:val="es-ES" w:eastAsia="en-US"/>
        </w:rPr>
        <w:t>, </w:t>
      </w:r>
      <w:hyperlink r:id="rId107" w:tooltip="Fotografía digital" w:history="1">
        <w:r w:rsidRPr="005C5DBE">
          <w:rPr>
            <w:rFonts w:ascii="Arial" w:eastAsia="Calibri" w:hAnsi="Arial" w:cs="Arial"/>
            <w:lang w:val="es-ES" w:eastAsia="en-US"/>
          </w:rPr>
          <w:t>fotografía digital</w:t>
        </w:r>
      </w:hyperlink>
      <w:r w:rsidRPr="005C5DBE">
        <w:rPr>
          <w:rFonts w:ascii="Arial" w:eastAsia="Calibri" w:hAnsi="Arial" w:cs="Arial"/>
          <w:lang w:val="es-ES" w:eastAsia="en-US"/>
        </w:rPr>
        <w:t> y </w:t>
      </w:r>
      <w:hyperlink r:id="rId108" w:tooltip="Video digital" w:history="1">
        <w:r w:rsidRPr="005C5DBE">
          <w:rPr>
            <w:rFonts w:ascii="Arial" w:eastAsia="Calibri" w:hAnsi="Arial" w:cs="Arial"/>
            <w:lang w:val="es-ES" w:eastAsia="en-US"/>
          </w:rPr>
          <w:t>video digital</w:t>
        </w:r>
      </w:hyperlink>
      <w:r w:rsidRPr="005C5DBE">
        <w:rPr>
          <w:rFonts w:ascii="Arial" w:eastAsia="Calibri" w:hAnsi="Arial" w:cs="Arial"/>
          <w:lang w:val="es-ES" w:eastAsia="en-US"/>
        </w:rPr>
        <w:t xml:space="preserve">, </w:t>
      </w:r>
      <w:hyperlink r:id="rId109" w:tooltip="Videollamada" w:history="1">
        <w:r w:rsidRPr="005C5DBE">
          <w:rPr>
            <w:rFonts w:ascii="Arial" w:eastAsia="Calibri" w:hAnsi="Arial" w:cs="Arial"/>
            <w:lang w:val="es-ES" w:eastAsia="en-US"/>
          </w:rPr>
          <w:t>video llamada</w:t>
        </w:r>
      </w:hyperlink>
      <w:r w:rsidRPr="005C5DBE">
        <w:rPr>
          <w:rFonts w:ascii="Arial" w:eastAsia="Calibri" w:hAnsi="Arial" w:cs="Arial"/>
          <w:lang w:val="es-ES" w:eastAsia="en-US"/>
        </w:rPr>
        <w:t>, navegación por </w:t>
      </w:r>
      <w:hyperlink r:id="rId110" w:tooltip="Internet" w:history="1">
        <w:r w:rsidRPr="005C5DBE">
          <w:rPr>
            <w:rFonts w:ascii="Arial" w:eastAsia="Calibri" w:hAnsi="Arial" w:cs="Arial"/>
            <w:lang w:val="es-ES" w:eastAsia="en-US"/>
          </w:rPr>
          <w:t>Internet</w:t>
        </w:r>
      </w:hyperlink>
      <w:r w:rsidRPr="005C5DBE">
        <w:rPr>
          <w:rFonts w:ascii="Arial" w:eastAsia="Calibri" w:hAnsi="Arial" w:cs="Arial"/>
          <w:lang w:val="es-ES" w:eastAsia="en-US"/>
        </w:rPr>
        <w:t xml:space="preserve"> y hasta </w:t>
      </w:r>
      <w:hyperlink r:id="rId111" w:tooltip="Televisión digital" w:history="1">
        <w:r w:rsidRPr="005C5DBE">
          <w:rPr>
            <w:rFonts w:ascii="Arial" w:eastAsia="Calibri" w:hAnsi="Arial" w:cs="Arial"/>
            <w:lang w:val="es-ES" w:eastAsia="en-US"/>
          </w:rPr>
          <w:t>Televisión digital</w:t>
        </w:r>
      </w:hyperlink>
      <w:r w:rsidRPr="005C5DBE">
        <w:rPr>
          <w:rFonts w:ascii="Arial" w:eastAsia="Calibri" w:hAnsi="Arial" w:cs="Arial"/>
          <w:lang w:val="es-ES" w:eastAsia="en-US"/>
        </w:rPr>
        <w:t>. Las compañías de telefonía móvil ya están pensando nuevas aplicaciones para este pequeño aparato que nos acompaña a todas partes. Algunas de esas ideas son: medio de pago, </w:t>
      </w:r>
      <w:hyperlink r:id="rId112" w:tooltip="Localizador (aún no redactado)" w:history="1">
        <w:r w:rsidRPr="005C5DBE">
          <w:rPr>
            <w:rFonts w:ascii="Arial" w:eastAsia="Calibri" w:hAnsi="Arial" w:cs="Arial"/>
            <w:lang w:val="es-ES" w:eastAsia="en-US"/>
          </w:rPr>
          <w:t>localizador</w:t>
        </w:r>
      </w:hyperlink>
      <w:r w:rsidRPr="005C5DBE">
        <w:rPr>
          <w:rFonts w:ascii="Arial" w:eastAsia="Calibri" w:hAnsi="Arial" w:cs="Arial"/>
          <w:lang w:val="es-ES" w:eastAsia="en-US"/>
        </w:rPr>
        <w:t> e identificador de personas.</w:t>
      </w:r>
    </w:p>
    <w:p w:rsidR="0025315F" w:rsidRPr="005C5DBE" w:rsidRDefault="0025315F" w:rsidP="0025315F">
      <w:pPr>
        <w:pStyle w:val="NormalWeb"/>
        <w:spacing w:before="96" w:beforeAutospacing="0" w:after="120" w:afterAutospacing="0" w:line="360" w:lineRule="auto"/>
        <w:ind w:left="2127"/>
        <w:rPr>
          <w:rFonts w:ascii="Arial" w:eastAsia="Calibri" w:hAnsi="Arial" w:cs="Arial"/>
          <w:lang w:val="es-ES" w:eastAsia="en-US"/>
        </w:rPr>
      </w:pPr>
    </w:p>
    <w:p w:rsidR="0025315F" w:rsidRDefault="0025315F" w:rsidP="0025315F">
      <w:pPr>
        <w:pStyle w:val="ListParagraph"/>
        <w:numPr>
          <w:ilvl w:val="3"/>
          <w:numId w:val="4"/>
        </w:numPr>
        <w:spacing w:line="360" w:lineRule="auto"/>
        <w:ind w:hanging="1167"/>
        <w:rPr>
          <w:rFonts w:ascii="Arial" w:hAnsi="Arial" w:cs="Arial"/>
          <w:b/>
          <w:sz w:val="24"/>
          <w:szCs w:val="24"/>
        </w:rPr>
      </w:pPr>
      <w:r w:rsidRPr="005C5DBE">
        <w:rPr>
          <w:rFonts w:ascii="Arial" w:hAnsi="Arial" w:cs="Arial"/>
          <w:b/>
          <w:sz w:val="24"/>
          <w:szCs w:val="24"/>
        </w:rPr>
        <w:lastRenderedPageBreak/>
        <w:t>Espectro de Telefonía Móvil en el Ecuador</w:t>
      </w:r>
    </w:p>
    <w:p w:rsidR="0025315F" w:rsidRPr="002B52F4" w:rsidRDefault="0025315F" w:rsidP="0025315F">
      <w:pPr>
        <w:pStyle w:val="ListParagraph"/>
        <w:spacing w:line="360" w:lineRule="auto"/>
        <w:ind w:left="2160"/>
        <w:rPr>
          <w:rFonts w:ascii="Arial" w:hAnsi="Arial" w:cs="Arial"/>
          <w:b/>
          <w:sz w:val="12"/>
          <w:szCs w:val="24"/>
        </w:rPr>
      </w:pPr>
    </w:p>
    <w:p w:rsidR="0025315F" w:rsidRDefault="0025315F" w:rsidP="0025315F">
      <w:pPr>
        <w:pStyle w:val="ListParagraph"/>
        <w:spacing w:line="360" w:lineRule="auto"/>
        <w:ind w:left="2160"/>
        <w:rPr>
          <w:rFonts w:ascii="Arial" w:hAnsi="Arial" w:cs="Arial"/>
          <w:sz w:val="24"/>
          <w:szCs w:val="24"/>
        </w:rPr>
      </w:pPr>
      <w:r>
        <w:rPr>
          <w:rFonts w:ascii="Arial" w:hAnsi="Arial" w:cs="Arial"/>
          <w:sz w:val="24"/>
          <w:szCs w:val="24"/>
        </w:rPr>
        <w:t>El espectro de la telefonía móvil concesionada en el ecuador se presenta en los siguientes gráficos.</w:t>
      </w:r>
    </w:p>
    <w:p w:rsidR="0025315F" w:rsidRPr="00261041" w:rsidRDefault="0025315F" w:rsidP="0025315F">
      <w:pPr>
        <w:pStyle w:val="ListParagraph"/>
        <w:spacing w:line="360" w:lineRule="auto"/>
        <w:ind w:left="2160"/>
        <w:jc w:val="center"/>
        <w:rPr>
          <w:rFonts w:ascii="Arial" w:hAnsi="Arial" w:cs="Arial"/>
          <w:sz w:val="24"/>
          <w:szCs w:val="24"/>
        </w:rPr>
      </w:pPr>
      <w:r>
        <w:rPr>
          <w:rFonts w:ascii="Arial" w:hAnsi="Arial" w:cs="Arial"/>
          <w:noProof/>
          <w:sz w:val="24"/>
          <w:szCs w:val="24"/>
          <w:lang w:eastAsia="es-ES"/>
        </w:rPr>
        <w:drawing>
          <wp:inline distT="0" distB="0" distL="0" distR="0">
            <wp:extent cx="3684905" cy="2238375"/>
            <wp:effectExtent l="19050" t="0" r="0" b="0"/>
            <wp:docPr id="2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3" cstate="print"/>
                    <a:srcRect/>
                    <a:stretch>
                      <a:fillRect/>
                    </a:stretch>
                  </pic:blipFill>
                  <pic:spPr bwMode="auto">
                    <a:xfrm>
                      <a:off x="0" y="0"/>
                      <a:ext cx="3684905" cy="2238375"/>
                    </a:xfrm>
                    <a:prstGeom prst="rect">
                      <a:avLst/>
                    </a:prstGeom>
                    <a:noFill/>
                    <a:ln w="9525">
                      <a:noFill/>
                      <a:miter lim="800000"/>
                      <a:headEnd/>
                      <a:tailEnd/>
                    </a:ln>
                  </pic:spPr>
                </pic:pic>
              </a:graphicData>
            </a:graphic>
          </wp:inline>
        </w:drawing>
      </w:r>
    </w:p>
    <w:p w:rsidR="0025315F" w:rsidRPr="0001091D" w:rsidRDefault="0025315F" w:rsidP="0025315F">
      <w:pPr>
        <w:pStyle w:val="NormalWeb"/>
        <w:spacing w:line="360" w:lineRule="auto"/>
        <w:ind w:left="2127"/>
        <w:jc w:val="center"/>
        <w:rPr>
          <w:rFonts w:ascii="Arial" w:eastAsia="Calibri" w:hAnsi="Arial" w:cs="Arial"/>
          <w:b/>
          <w:lang w:eastAsia="en-US"/>
        </w:rPr>
      </w:pPr>
      <w:r>
        <w:rPr>
          <w:rFonts w:ascii="Arial" w:hAnsi="Arial" w:cs="Arial"/>
          <w:b/>
        </w:rPr>
        <w:t>Figura 1.10 Frecuencias concesionadas Telefonía Móvil en Ecuador, Banda 800 MHz</w:t>
      </w:r>
      <w:r w:rsidRPr="00664A36">
        <w:rPr>
          <w:rStyle w:val="FootnoteReference"/>
          <w:rFonts w:ascii="Arial" w:eastAsia="Calibri" w:hAnsi="Arial" w:cs="Arial"/>
          <w:b/>
        </w:rPr>
        <w:footnoteReference w:id="16"/>
      </w:r>
    </w:p>
    <w:p w:rsidR="0025315F" w:rsidRPr="0001091D" w:rsidRDefault="0025315F" w:rsidP="0025315F">
      <w:pPr>
        <w:pStyle w:val="NormalWeb"/>
        <w:spacing w:line="360" w:lineRule="auto"/>
        <w:ind w:left="2127"/>
        <w:jc w:val="center"/>
        <w:rPr>
          <w:rFonts w:ascii="Arial" w:hAnsi="Arial" w:cs="Arial"/>
          <w:b/>
        </w:rPr>
      </w:pPr>
      <w:r>
        <w:rPr>
          <w:rFonts w:ascii="Arial" w:hAnsi="Arial" w:cs="Arial"/>
          <w:b/>
          <w:noProof/>
          <w:lang w:val="es-ES" w:eastAsia="es-ES"/>
        </w:rPr>
        <w:drawing>
          <wp:inline distT="0" distB="0" distL="0" distR="0">
            <wp:extent cx="3657600" cy="2211070"/>
            <wp:effectExtent l="19050" t="0" r="0" b="0"/>
            <wp:docPr id="2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4" cstate="print"/>
                    <a:srcRect l="574" r="1555"/>
                    <a:stretch>
                      <a:fillRect/>
                    </a:stretch>
                  </pic:blipFill>
                  <pic:spPr bwMode="auto">
                    <a:xfrm>
                      <a:off x="0" y="0"/>
                      <a:ext cx="3657600" cy="2211070"/>
                    </a:xfrm>
                    <a:prstGeom prst="rect">
                      <a:avLst/>
                    </a:prstGeom>
                    <a:noFill/>
                    <a:ln w="9525">
                      <a:noFill/>
                      <a:miter lim="800000"/>
                      <a:headEnd/>
                      <a:tailEnd/>
                    </a:ln>
                  </pic:spPr>
                </pic:pic>
              </a:graphicData>
            </a:graphic>
          </wp:inline>
        </w:drawing>
      </w:r>
    </w:p>
    <w:p w:rsidR="0025315F" w:rsidRPr="00261041" w:rsidRDefault="0025315F" w:rsidP="0025315F">
      <w:pPr>
        <w:pStyle w:val="NormalWeb"/>
        <w:spacing w:line="360" w:lineRule="auto"/>
        <w:ind w:left="2127"/>
        <w:jc w:val="center"/>
        <w:rPr>
          <w:rFonts w:ascii="Arial" w:hAnsi="Arial" w:cs="Arial"/>
          <w:b/>
          <w:vertAlign w:val="superscript"/>
        </w:rPr>
      </w:pPr>
      <w:r>
        <w:rPr>
          <w:rFonts w:ascii="Arial" w:hAnsi="Arial" w:cs="Arial"/>
          <w:b/>
        </w:rPr>
        <w:t xml:space="preserve">Figura 1.11 Frecuencias concesionadas Telefonía Móvil en Ecuador, Banda 1900 MHz </w:t>
      </w:r>
      <w:r w:rsidRPr="00664A36">
        <w:rPr>
          <w:rStyle w:val="FootnoteReference"/>
          <w:rFonts w:ascii="Arial" w:eastAsia="Calibri" w:hAnsi="Arial" w:cs="Arial"/>
          <w:b/>
        </w:rPr>
        <w:footnoteReference w:id="17"/>
      </w:r>
    </w:p>
    <w:p w:rsidR="0025315F" w:rsidRPr="005C5DBE"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lastRenderedPageBreak/>
        <w:t>Redes Wireless LAN</w:t>
      </w:r>
    </w:p>
    <w:p w:rsidR="0025315F" w:rsidRPr="005C5DBE" w:rsidRDefault="0025315F" w:rsidP="0025315F">
      <w:pPr>
        <w:pStyle w:val="ListParagraph"/>
        <w:spacing w:line="360" w:lineRule="auto"/>
        <w:ind w:left="1800"/>
        <w:rPr>
          <w:rFonts w:ascii="Arial" w:hAnsi="Arial" w:cs="Arial"/>
          <w:b/>
          <w:sz w:val="24"/>
          <w:szCs w:val="24"/>
        </w:rPr>
      </w:pPr>
      <w:r>
        <w:rPr>
          <w:rFonts w:ascii="Arial" w:hAnsi="Arial" w:cs="Arial"/>
          <w:noProof/>
          <w:sz w:val="24"/>
          <w:szCs w:val="24"/>
          <w:lang w:eastAsia="es-ES"/>
        </w:rPr>
        <w:drawing>
          <wp:inline distT="0" distB="0" distL="0" distR="0">
            <wp:extent cx="3807460" cy="2374900"/>
            <wp:effectExtent l="19050" t="0" r="2540" b="0"/>
            <wp:docPr id="219" name="Imagen 5" descr="http://www.zero13wireless.net/wireless/wl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zero13wireless.net/wireless/wlan1.jpg"/>
                    <pic:cNvPicPr>
                      <a:picLocks noChangeAspect="1" noChangeArrowheads="1"/>
                    </pic:cNvPicPr>
                  </pic:nvPicPr>
                  <pic:blipFill>
                    <a:blip r:embed="rId115" cstate="print"/>
                    <a:srcRect/>
                    <a:stretch>
                      <a:fillRect/>
                    </a:stretch>
                  </pic:blipFill>
                  <pic:spPr bwMode="auto">
                    <a:xfrm>
                      <a:off x="0" y="0"/>
                      <a:ext cx="3807460" cy="2374900"/>
                    </a:xfrm>
                    <a:prstGeom prst="rect">
                      <a:avLst/>
                    </a:prstGeom>
                    <a:noFill/>
                    <a:ln w="9525">
                      <a:noFill/>
                      <a:miter lim="800000"/>
                      <a:headEnd/>
                      <a:tailEnd/>
                    </a:ln>
                  </pic:spPr>
                </pic:pic>
              </a:graphicData>
            </a:graphic>
          </wp:inline>
        </w:drawing>
      </w:r>
    </w:p>
    <w:p w:rsidR="0025315F" w:rsidRPr="00261041" w:rsidRDefault="0025315F" w:rsidP="0025315F">
      <w:pPr>
        <w:pStyle w:val="NormalWeb"/>
        <w:spacing w:line="360" w:lineRule="auto"/>
        <w:ind w:left="2127"/>
        <w:jc w:val="center"/>
        <w:rPr>
          <w:rFonts w:ascii="Arial" w:hAnsi="Arial" w:cs="Arial"/>
          <w:b/>
          <w:vertAlign w:val="superscript"/>
        </w:rPr>
      </w:pPr>
      <w:r w:rsidRPr="005C5DBE">
        <w:rPr>
          <w:rFonts w:ascii="Arial" w:hAnsi="Arial" w:cs="Arial"/>
          <w:b/>
        </w:rPr>
        <w:t>Figura 1.1</w:t>
      </w:r>
      <w:r>
        <w:rPr>
          <w:rFonts w:ascii="Arial" w:hAnsi="Arial" w:cs="Arial"/>
          <w:b/>
        </w:rPr>
        <w:t>2</w:t>
      </w:r>
      <w:r w:rsidRPr="005C5DBE">
        <w:rPr>
          <w:rFonts w:ascii="Arial" w:hAnsi="Arial" w:cs="Arial"/>
        </w:rPr>
        <w:t xml:space="preserve"> </w:t>
      </w:r>
      <w:r>
        <w:rPr>
          <w:rFonts w:ascii="Arial" w:hAnsi="Arial" w:cs="Arial"/>
          <w:b/>
        </w:rPr>
        <w:t>Ejemplo de R</w:t>
      </w:r>
      <w:r w:rsidRPr="005C5DBE">
        <w:rPr>
          <w:rFonts w:ascii="Arial" w:hAnsi="Arial" w:cs="Arial"/>
          <w:b/>
          <w:bCs/>
          <w:lang w:val="es-ES" w:eastAsia="es-ES"/>
        </w:rPr>
        <w:t>ed Wireless LAN</w:t>
      </w:r>
      <w:r w:rsidRPr="00664A36">
        <w:rPr>
          <w:rStyle w:val="FootnoteReference"/>
          <w:rFonts w:ascii="Arial" w:eastAsia="Calibri" w:hAnsi="Arial" w:cs="Arial"/>
          <w:b/>
        </w:rPr>
        <w:footnoteReference w:id="18"/>
      </w:r>
    </w:p>
    <w:p w:rsidR="0025315F" w:rsidRPr="005C5DBE" w:rsidRDefault="0025315F" w:rsidP="0025315F">
      <w:pPr>
        <w:pStyle w:val="NormalWeb"/>
        <w:spacing w:before="96" w:beforeAutospacing="0" w:after="120" w:afterAutospacing="0" w:line="360" w:lineRule="auto"/>
        <w:ind w:left="2127"/>
        <w:jc w:val="center"/>
        <w:rPr>
          <w:rFonts w:ascii="Arial" w:eastAsia="Calibri" w:hAnsi="Arial" w:cs="Arial"/>
          <w:bCs/>
          <w:lang w:eastAsia="en-US"/>
        </w:rPr>
      </w:pPr>
    </w:p>
    <w:p w:rsidR="0025315F" w:rsidRDefault="0025315F" w:rsidP="0025315F">
      <w:pPr>
        <w:pStyle w:val="ListParagraph"/>
        <w:spacing w:line="360" w:lineRule="auto"/>
        <w:ind w:left="1800"/>
        <w:jc w:val="both"/>
        <w:rPr>
          <w:rFonts w:ascii="Arial" w:hAnsi="Arial" w:cs="Arial"/>
          <w:sz w:val="24"/>
          <w:szCs w:val="24"/>
        </w:rPr>
      </w:pPr>
      <w:r w:rsidRPr="005C5DBE">
        <w:rPr>
          <w:rFonts w:ascii="Arial" w:hAnsi="Arial" w:cs="Arial"/>
          <w:sz w:val="24"/>
          <w:szCs w:val="24"/>
        </w:rPr>
        <w:t>WLAN (en </w:t>
      </w:r>
      <w:hyperlink r:id="rId116" w:tooltip="Idioma inglés" w:history="1">
        <w:r w:rsidRPr="005C5DBE">
          <w:rPr>
            <w:rFonts w:ascii="Arial" w:hAnsi="Arial" w:cs="Arial"/>
            <w:color w:val="000000"/>
            <w:sz w:val="24"/>
            <w:szCs w:val="24"/>
          </w:rPr>
          <w:t>inglés</w:t>
        </w:r>
      </w:hyperlink>
      <w:r w:rsidRPr="005C5DBE">
        <w:rPr>
          <w:rFonts w:ascii="Arial" w:hAnsi="Arial" w:cs="Arial"/>
          <w:sz w:val="24"/>
          <w:szCs w:val="24"/>
        </w:rPr>
        <w:t>; Wireless Local Area Network) es un sistema de comunicación de datos </w:t>
      </w:r>
      <w:hyperlink r:id="rId117" w:tooltip="Inalámbrico" w:history="1">
        <w:r w:rsidRPr="005C5DBE">
          <w:rPr>
            <w:rFonts w:ascii="Arial" w:hAnsi="Arial" w:cs="Arial"/>
            <w:color w:val="000000"/>
            <w:sz w:val="24"/>
            <w:szCs w:val="24"/>
          </w:rPr>
          <w:t>inalámbrico</w:t>
        </w:r>
      </w:hyperlink>
      <w:r w:rsidRPr="005C5DBE">
        <w:rPr>
          <w:rFonts w:ascii="Arial" w:hAnsi="Arial" w:cs="Arial"/>
          <w:sz w:val="24"/>
          <w:szCs w:val="24"/>
        </w:rPr>
        <w:t> flexible, muy utilizado como alternativa a las redes </w:t>
      </w:r>
      <w:hyperlink r:id="rId118" w:tooltip="Red de área local" w:history="1">
        <w:r w:rsidRPr="005C5DBE">
          <w:rPr>
            <w:rFonts w:ascii="Arial" w:hAnsi="Arial" w:cs="Arial"/>
            <w:color w:val="000000"/>
            <w:sz w:val="24"/>
            <w:szCs w:val="24"/>
          </w:rPr>
          <w:t>LAN</w:t>
        </w:r>
      </w:hyperlink>
      <w:r w:rsidRPr="005C5DBE">
        <w:rPr>
          <w:rFonts w:ascii="Arial" w:hAnsi="Arial" w:cs="Arial"/>
          <w:sz w:val="24"/>
          <w:szCs w:val="24"/>
        </w:rPr>
        <w:t xml:space="preserve"> cableadas o como extensión de éstas. Utiliza tecnología de radiofrecuencia que permite mayor movilidad a los usuarios al minimizar las conexiones cableadas. </w:t>
      </w:r>
    </w:p>
    <w:p w:rsidR="0025315F" w:rsidRDefault="0025315F" w:rsidP="0025315F">
      <w:pPr>
        <w:pStyle w:val="ListParagraph"/>
        <w:spacing w:line="360" w:lineRule="auto"/>
        <w:ind w:left="1800"/>
        <w:jc w:val="both"/>
        <w:rPr>
          <w:rFonts w:ascii="Arial" w:hAnsi="Arial" w:cs="Arial"/>
          <w:sz w:val="24"/>
          <w:szCs w:val="24"/>
        </w:rPr>
      </w:pPr>
    </w:p>
    <w:p w:rsidR="0025315F" w:rsidRPr="005C5DBE" w:rsidRDefault="0025315F" w:rsidP="0025315F">
      <w:pPr>
        <w:pStyle w:val="ListParagraph"/>
        <w:spacing w:line="360" w:lineRule="auto"/>
        <w:ind w:left="1800"/>
        <w:jc w:val="both"/>
        <w:rPr>
          <w:rFonts w:ascii="Arial" w:hAnsi="Arial" w:cs="Arial"/>
          <w:sz w:val="24"/>
          <w:szCs w:val="24"/>
        </w:rPr>
      </w:pPr>
    </w:p>
    <w:p w:rsidR="0025315F" w:rsidRDefault="0025315F" w:rsidP="0025315F">
      <w:pPr>
        <w:pStyle w:val="ListParagraph"/>
        <w:spacing w:line="360" w:lineRule="auto"/>
        <w:ind w:left="1800"/>
        <w:rPr>
          <w:rFonts w:ascii="Arial" w:hAnsi="Arial" w:cs="Arial"/>
          <w:b/>
          <w:sz w:val="24"/>
          <w:szCs w:val="24"/>
        </w:rPr>
      </w:pPr>
    </w:p>
    <w:p w:rsidR="0025315F" w:rsidRDefault="0025315F" w:rsidP="0025315F">
      <w:pPr>
        <w:pStyle w:val="ListParagraph"/>
        <w:spacing w:line="360" w:lineRule="auto"/>
        <w:ind w:left="1800"/>
        <w:rPr>
          <w:rFonts w:ascii="Arial" w:hAnsi="Arial" w:cs="Arial"/>
          <w:b/>
          <w:sz w:val="24"/>
          <w:szCs w:val="24"/>
        </w:rPr>
      </w:pPr>
    </w:p>
    <w:p w:rsidR="0025315F" w:rsidRDefault="0025315F" w:rsidP="0025315F">
      <w:pPr>
        <w:pStyle w:val="ListParagraph"/>
        <w:spacing w:line="360" w:lineRule="auto"/>
        <w:ind w:left="1800"/>
        <w:rPr>
          <w:rFonts w:ascii="Arial" w:hAnsi="Arial" w:cs="Arial"/>
          <w:b/>
          <w:sz w:val="24"/>
          <w:szCs w:val="24"/>
        </w:rPr>
      </w:pPr>
    </w:p>
    <w:p w:rsidR="0025315F" w:rsidRDefault="0025315F" w:rsidP="0025315F">
      <w:pPr>
        <w:pStyle w:val="ListParagraph"/>
        <w:spacing w:line="360" w:lineRule="auto"/>
        <w:ind w:left="1800"/>
        <w:rPr>
          <w:rFonts w:ascii="Arial" w:hAnsi="Arial" w:cs="Arial"/>
          <w:b/>
          <w:sz w:val="24"/>
          <w:szCs w:val="24"/>
        </w:rPr>
      </w:pPr>
    </w:p>
    <w:p w:rsidR="0025315F" w:rsidRPr="005C5DBE" w:rsidRDefault="0025315F" w:rsidP="0025315F">
      <w:pPr>
        <w:pStyle w:val="ListParagraph"/>
        <w:spacing w:line="360" w:lineRule="auto"/>
        <w:ind w:left="1800"/>
        <w:rPr>
          <w:rFonts w:ascii="Arial" w:hAnsi="Arial" w:cs="Arial"/>
          <w:b/>
          <w:sz w:val="24"/>
          <w:szCs w:val="24"/>
        </w:rPr>
      </w:pPr>
    </w:p>
    <w:p w:rsidR="0025315F" w:rsidRPr="005C5DBE"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lastRenderedPageBreak/>
        <w:t>Características de las Redes WLAN</w:t>
      </w:r>
    </w:p>
    <w:p w:rsidR="0025315F" w:rsidRPr="0001091D" w:rsidRDefault="0025315F" w:rsidP="0025315F">
      <w:pPr>
        <w:numPr>
          <w:ilvl w:val="0"/>
          <w:numId w:val="5"/>
        </w:numPr>
        <w:tabs>
          <w:tab w:val="clear" w:pos="720"/>
        </w:tabs>
        <w:spacing w:before="100" w:beforeAutospacing="1" w:after="24" w:line="360" w:lineRule="auto"/>
        <w:ind w:left="2552"/>
        <w:jc w:val="both"/>
        <w:rPr>
          <w:rFonts w:ascii="Arial" w:hAnsi="Arial" w:cs="Arial"/>
          <w:sz w:val="24"/>
          <w:szCs w:val="24"/>
        </w:rPr>
      </w:pPr>
      <w:r w:rsidRPr="0001091D">
        <w:rPr>
          <w:rFonts w:ascii="Arial" w:hAnsi="Arial" w:cs="Arial"/>
          <w:sz w:val="24"/>
          <w:szCs w:val="24"/>
        </w:rPr>
        <w:t>Movilidad: permite transmitir información en tiempo real en cualquier lugar de la organización o empresa a cualquier usuario. Esto supone mayor productividad y posibilidades de servicio.</w:t>
      </w:r>
    </w:p>
    <w:p w:rsidR="0025315F" w:rsidRPr="0001091D" w:rsidRDefault="0025315F" w:rsidP="0025315F">
      <w:pPr>
        <w:numPr>
          <w:ilvl w:val="0"/>
          <w:numId w:val="5"/>
        </w:numPr>
        <w:tabs>
          <w:tab w:val="clear" w:pos="720"/>
        </w:tabs>
        <w:spacing w:before="100" w:beforeAutospacing="1" w:after="24" w:line="360" w:lineRule="auto"/>
        <w:ind w:left="2552"/>
        <w:jc w:val="both"/>
        <w:rPr>
          <w:rFonts w:ascii="Arial" w:hAnsi="Arial" w:cs="Arial"/>
          <w:sz w:val="24"/>
          <w:szCs w:val="24"/>
        </w:rPr>
      </w:pPr>
      <w:r w:rsidRPr="0001091D">
        <w:rPr>
          <w:rFonts w:ascii="Arial" w:hAnsi="Arial" w:cs="Arial"/>
          <w:sz w:val="24"/>
          <w:szCs w:val="24"/>
        </w:rPr>
        <w:t>Facilidad de instalación: al no usar cables, se evitan obras para tirar cable por muros y techos, mejorando así el aspecto y la habitabilidad de los locales, y reduciendo el tiempo de instalación. También permite el acceso instantáneo a usuarios temporales de la red.</w:t>
      </w:r>
    </w:p>
    <w:p w:rsidR="0025315F" w:rsidRPr="005C5DBE" w:rsidRDefault="0025315F" w:rsidP="0025315F">
      <w:pPr>
        <w:numPr>
          <w:ilvl w:val="0"/>
          <w:numId w:val="5"/>
        </w:numPr>
        <w:tabs>
          <w:tab w:val="clear" w:pos="720"/>
        </w:tabs>
        <w:spacing w:before="100" w:beforeAutospacing="1" w:after="24" w:line="360" w:lineRule="auto"/>
        <w:ind w:left="2552"/>
        <w:jc w:val="both"/>
        <w:rPr>
          <w:rFonts w:ascii="Arial" w:hAnsi="Arial" w:cs="Arial"/>
          <w:sz w:val="24"/>
          <w:szCs w:val="24"/>
        </w:rPr>
      </w:pPr>
      <w:r w:rsidRPr="0001091D">
        <w:rPr>
          <w:rFonts w:ascii="Arial" w:hAnsi="Arial" w:cs="Arial"/>
          <w:sz w:val="24"/>
          <w:szCs w:val="24"/>
        </w:rPr>
        <w:t>Flexibilidad: puede</w:t>
      </w:r>
      <w:r w:rsidRPr="005C5DBE">
        <w:rPr>
          <w:rFonts w:ascii="Arial" w:hAnsi="Arial" w:cs="Arial"/>
          <w:sz w:val="24"/>
          <w:szCs w:val="24"/>
        </w:rPr>
        <w:t xml:space="preserve"> llegar donde el cable no puede, superando mayor número de obstáculos, llegando a atravesar paredes. Así, es útil en zonas donde el cableado no es posible o es muy costoso: parques naturales, reservas o zonas escarpadas.</w:t>
      </w:r>
    </w:p>
    <w:p w:rsidR="0025315F" w:rsidRPr="005C5DBE" w:rsidRDefault="0025315F" w:rsidP="0025315F">
      <w:pPr>
        <w:pStyle w:val="ListParagraph"/>
        <w:spacing w:line="360" w:lineRule="auto"/>
        <w:ind w:left="2160"/>
        <w:rPr>
          <w:rFonts w:ascii="Arial" w:hAnsi="Arial" w:cs="Arial"/>
          <w:b/>
          <w:sz w:val="24"/>
          <w:szCs w:val="24"/>
        </w:rPr>
      </w:pPr>
    </w:p>
    <w:p w:rsidR="0025315F"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t>Principios de las Redes WLAN</w:t>
      </w:r>
    </w:p>
    <w:p w:rsidR="0025315F" w:rsidRDefault="0025315F" w:rsidP="0025315F">
      <w:pPr>
        <w:pStyle w:val="ListParagraph"/>
        <w:spacing w:line="360" w:lineRule="auto"/>
        <w:jc w:val="center"/>
        <w:rPr>
          <w:rFonts w:ascii="Arial" w:hAnsi="Arial" w:cs="Arial"/>
          <w:b/>
          <w:sz w:val="24"/>
          <w:szCs w:val="24"/>
        </w:rPr>
      </w:pPr>
      <w:r>
        <w:rPr>
          <w:rFonts w:ascii="Arial" w:hAnsi="Arial" w:cs="Arial"/>
          <w:noProof/>
          <w:color w:val="000000"/>
          <w:sz w:val="24"/>
          <w:szCs w:val="24"/>
          <w:lang w:eastAsia="es-ES"/>
        </w:rPr>
        <w:drawing>
          <wp:inline distT="0" distB="0" distL="0" distR="0">
            <wp:extent cx="2333625" cy="1597025"/>
            <wp:effectExtent l="0" t="0" r="9525" b="0"/>
            <wp:docPr id="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cstate="print"/>
                    <a:srcRect l="-3127" t="6947" r="3279"/>
                    <a:stretch>
                      <a:fillRect/>
                    </a:stretch>
                  </pic:blipFill>
                  <pic:spPr bwMode="auto">
                    <a:xfrm>
                      <a:off x="0" y="0"/>
                      <a:ext cx="2333625" cy="1597025"/>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1.13 Punto de Acceso W</w:t>
      </w:r>
      <w:r>
        <w:rPr>
          <w:rFonts w:ascii="Arial" w:hAnsi="Arial" w:cs="Arial"/>
          <w:b/>
        </w:rPr>
        <w:t>LAN de Red ESPOL</w:t>
      </w:r>
      <w:r w:rsidRPr="00664A36">
        <w:rPr>
          <w:rStyle w:val="FootnoteReference"/>
          <w:rFonts w:ascii="Arial" w:eastAsia="Calibri" w:hAnsi="Arial" w:cs="Arial"/>
          <w:b/>
        </w:rPr>
        <w:footnoteReference w:id="19"/>
      </w:r>
    </w:p>
    <w:p w:rsidR="0025315F" w:rsidRPr="005C5DBE" w:rsidRDefault="0025315F" w:rsidP="0025315F">
      <w:pPr>
        <w:pStyle w:val="NormalWeb"/>
        <w:spacing w:before="96" w:beforeAutospacing="0" w:after="120" w:afterAutospacing="0" w:line="360" w:lineRule="auto"/>
        <w:ind w:left="2127"/>
        <w:jc w:val="both"/>
        <w:rPr>
          <w:rFonts w:ascii="Arial" w:hAnsi="Arial" w:cs="Arial"/>
          <w:color w:val="000000"/>
        </w:rPr>
      </w:pPr>
      <w:r>
        <w:rPr>
          <w:rFonts w:ascii="Arial" w:hAnsi="Arial" w:cs="Arial"/>
          <w:color w:val="000000"/>
        </w:rPr>
        <w:lastRenderedPageBreak/>
        <w:t>Las redes wireless usan como principio básico</w:t>
      </w:r>
      <w:r w:rsidRPr="005C5DBE">
        <w:rPr>
          <w:rFonts w:ascii="Arial" w:hAnsi="Arial" w:cs="Arial"/>
          <w:color w:val="000000"/>
        </w:rPr>
        <w:t xml:space="preserve"> ondas de radio para llevar la información de un punto a otro sin necesidad de un medio físico guiado. Al hablar de ondas de radio nos referimos normalmente a portadoras de radio, sobre las que va la información, ya que realizan la función de llevar la energía a un receptor remoto. Los datos a transmitir se superponen a la portadora de radio y de este modo pueden ser extraídos exactamente en el receptor final.</w:t>
      </w:r>
    </w:p>
    <w:p w:rsidR="0025315F" w:rsidRPr="005C5DBE" w:rsidRDefault="0025315F" w:rsidP="0025315F">
      <w:pPr>
        <w:pStyle w:val="NormalWeb"/>
        <w:spacing w:before="96" w:beforeAutospacing="0" w:after="120" w:afterAutospacing="0" w:line="360" w:lineRule="auto"/>
        <w:ind w:left="2127"/>
        <w:jc w:val="both"/>
        <w:rPr>
          <w:rFonts w:ascii="Arial" w:hAnsi="Arial" w:cs="Arial"/>
          <w:color w:val="000000"/>
        </w:rPr>
      </w:pPr>
      <w:r w:rsidRPr="005C5DBE">
        <w:rPr>
          <w:rFonts w:ascii="Arial" w:hAnsi="Arial" w:cs="Arial"/>
          <w:color w:val="000000"/>
        </w:rPr>
        <w:t>A este proceso se le llama modulación de la portadora por la información que está siendo transmitida. Si las ondas son transmitidas a distintas frecuencias de radio, varias portadoras pueden existir en igual tiempo y espacio sin interferir entre ellas. Para extraer los datos el receptor se sitúa en una determinada frecuencia, frecuencia portadora, ignorando el resto. En una configuración típica de LAN los puntos de acceso conectan la red cableada de un lugar fijo mediante cableado normalizado</w:t>
      </w:r>
      <w:r>
        <w:rPr>
          <w:rFonts w:ascii="Arial" w:hAnsi="Arial" w:cs="Arial"/>
          <w:color w:val="000000"/>
        </w:rPr>
        <w:t xml:space="preserve"> o estructurado</w:t>
      </w:r>
      <w:r w:rsidRPr="005C5DBE">
        <w:rPr>
          <w:rFonts w:ascii="Arial" w:hAnsi="Arial" w:cs="Arial"/>
          <w:color w:val="000000"/>
        </w:rPr>
        <w:t xml:space="preserve">. El punto de acceso recibe la información, la almacena y la transmite entre la WLAN y la LAN cableada. Un único punto de acceso puede soportar un pequeño grupo de usuarios y puede funcionar en un rango de al menos treinta metros y hasta varios cientos. El punto de acceso (o la antena conectada al punto de acceso) es normalmente colocado en alto pero podría colocarse en cualquier lugar en que se obtenga la cobertura de radio deseada. El usuario final accede a la red WLAN a través de adaptadores. Estos proporcionan una interfaz entre el sistema de </w:t>
      </w:r>
      <w:r w:rsidRPr="005C5DBE">
        <w:rPr>
          <w:rFonts w:ascii="Arial" w:hAnsi="Arial" w:cs="Arial"/>
          <w:color w:val="000000"/>
        </w:rPr>
        <w:lastRenderedPageBreak/>
        <w:t>operación de red del cliente y las ondas, mediante una antena.</w:t>
      </w:r>
    </w:p>
    <w:p w:rsidR="0025315F" w:rsidRPr="005C5DBE" w:rsidRDefault="0025315F" w:rsidP="0025315F">
      <w:pPr>
        <w:pStyle w:val="NormalWeb"/>
        <w:spacing w:before="96" w:beforeAutospacing="0" w:after="120" w:afterAutospacing="0" w:line="360" w:lineRule="auto"/>
        <w:ind w:left="2127"/>
        <w:jc w:val="both"/>
        <w:rPr>
          <w:rFonts w:ascii="Arial" w:hAnsi="Arial" w:cs="Arial"/>
          <w:color w:val="000000"/>
        </w:rPr>
      </w:pPr>
    </w:p>
    <w:p w:rsidR="0025315F" w:rsidRPr="00511473" w:rsidRDefault="0025315F" w:rsidP="0025315F">
      <w:pPr>
        <w:pStyle w:val="Heading3"/>
        <w:spacing w:before="0" w:after="72" w:line="360" w:lineRule="auto"/>
        <w:ind w:left="2127"/>
        <w:jc w:val="both"/>
        <w:rPr>
          <w:rFonts w:ascii="Arial" w:hAnsi="Arial" w:cs="Arial"/>
          <w:b w:val="0"/>
          <w:color w:val="000000"/>
          <w:sz w:val="24"/>
          <w:szCs w:val="24"/>
        </w:rPr>
      </w:pPr>
      <w:r w:rsidRPr="00085EA1">
        <w:rPr>
          <w:rStyle w:val="mw-headline"/>
          <w:rFonts w:ascii="Arial" w:eastAsia="Calibri" w:hAnsi="Arial" w:cs="Arial"/>
          <w:b w:val="0"/>
          <w:color w:val="000000"/>
          <w:sz w:val="24"/>
          <w:szCs w:val="24"/>
        </w:rPr>
        <w:t>Para la configuraciones de una red para radiofrecuencia tenemos que con la instalación de un p</w:t>
      </w:r>
      <w:r w:rsidRPr="00085EA1">
        <w:rPr>
          <w:rFonts w:ascii="Arial" w:hAnsi="Arial" w:cs="Arial"/>
          <w:b w:val="0"/>
          <w:color w:val="000000"/>
          <w:sz w:val="24"/>
          <w:szCs w:val="24"/>
        </w:rPr>
        <w:t>unto</w:t>
      </w:r>
      <w:r w:rsidRPr="00511473">
        <w:rPr>
          <w:rFonts w:ascii="Arial" w:hAnsi="Arial" w:cs="Arial"/>
          <w:b w:val="0"/>
          <w:color w:val="000000"/>
          <w:sz w:val="24"/>
          <w:szCs w:val="24"/>
        </w:rPr>
        <w:t xml:space="preserve"> de acceso se puede doblar la distancia a la cual los dispositivos pueden comunicarse, ya que estos actúan como repetidores. Desde que el punto de acceso se conecta a la red cableada cualquier cliente tiene acceso a los recursos del servidor y además gestionan el tráfico de la red entre los terminales más próximos. Cada punto de acceso puede servir a varias máquinas, según el tipo y el número de transmisiones que tienen lugar. Existen muchas aplicaciones en el mundo real con un rango de 15 a 50 dispositivos cliente con un solo punto de acceso.</w:t>
      </w:r>
    </w:p>
    <w:p w:rsidR="0025315F" w:rsidRPr="005C5DBE" w:rsidRDefault="0025315F" w:rsidP="0025315F">
      <w:pPr>
        <w:pStyle w:val="NormalWeb"/>
        <w:spacing w:before="96" w:beforeAutospacing="0" w:after="120" w:afterAutospacing="0" w:line="360" w:lineRule="auto"/>
        <w:ind w:left="2127"/>
        <w:jc w:val="both"/>
        <w:rPr>
          <w:rFonts w:ascii="Arial" w:hAnsi="Arial" w:cs="Arial"/>
          <w:color w:val="000000"/>
        </w:rPr>
      </w:pPr>
      <w:r w:rsidRPr="005C5DBE">
        <w:rPr>
          <w:rFonts w:ascii="Arial" w:hAnsi="Arial" w:cs="Arial"/>
          <w:color w:val="000000"/>
        </w:rPr>
        <w:t>Los puntos de acceso tienen un alcance finito, del orden de 150 m en lugares u zonas abiertas. En zonas grandes como por ejemplo un campus universitario o un edificio es probablemente necesario más de un punto de acceso. La meta es cubrir el área con células que solapen sus áreas de modo que los clientes puedan moverse sin cortes entr</w:t>
      </w:r>
      <w:r>
        <w:rPr>
          <w:rFonts w:ascii="Arial" w:hAnsi="Arial" w:cs="Arial"/>
          <w:color w:val="000000"/>
        </w:rPr>
        <w:t xml:space="preserve">e un grupo de puntos de acceso, esto es conocido como </w:t>
      </w:r>
      <w:r w:rsidRPr="005C5DBE">
        <w:rPr>
          <w:rFonts w:ascii="Arial" w:hAnsi="Arial" w:cs="Arial"/>
          <w:color w:val="000000"/>
        </w:rPr>
        <w:t>roaming.</w:t>
      </w:r>
    </w:p>
    <w:p w:rsidR="0025315F" w:rsidRDefault="0025315F" w:rsidP="0025315F">
      <w:pPr>
        <w:pStyle w:val="ListParagraph"/>
        <w:spacing w:line="360" w:lineRule="auto"/>
        <w:ind w:left="2160"/>
        <w:rPr>
          <w:rFonts w:ascii="Arial" w:hAnsi="Arial" w:cs="Arial"/>
          <w:b/>
          <w:sz w:val="24"/>
          <w:szCs w:val="24"/>
        </w:rPr>
      </w:pPr>
    </w:p>
    <w:p w:rsidR="0025315F" w:rsidRDefault="0025315F" w:rsidP="0025315F">
      <w:pPr>
        <w:pStyle w:val="ListParagraph"/>
        <w:spacing w:line="360" w:lineRule="auto"/>
        <w:ind w:left="2160"/>
        <w:rPr>
          <w:rFonts w:ascii="Arial" w:hAnsi="Arial" w:cs="Arial"/>
          <w:b/>
          <w:sz w:val="24"/>
          <w:szCs w:val="24"/>
        </w:rPr>
      </w:pPr>
    </w:p>
    <w:p w:rsidR="0025315F" w:rsidRDefault="0025315F" w:rsidP="0025315F">
      <w:pPr>
        <w:pStyle w:val="ListParagraph"/>
        <w:spacing w:line="360" w:lineRule="auto"/>
        <w:ind w:left="2160"/>
        <w:rPr>
          <w:rFonts w:ascii="Arial" w:hAnsi="Arial" w:cs="Arial"/>
          <w:b/>
          <w:sz w:val="24"/>
          <w:szCs w:val="24"/>
        </w:rPr>
      </w:pPr>
    </w:p>
    <w:p w:rsidR="0025315F" w:rsidRDefault="0025315F" w:rsidP="0025315F">
      <w:pPr>
        <w:pStyle w:val="ListParagraph"/>
        <w:spacing w:line="360" w:lineRule="auto"/>
        <w:ind w:left="2160"/>
        <w:rPr>
          <w:rFonts w:ascii="Arial" w:hAnsi="Arial" w:cs="Arial"/>
          <w:b/>
          <w:sz w:val="24"/>
          <w:szCs w:val="24"/>
        </w:rPr>
      </w:pPr>
    </w:p>
    <w:p w:rsidR="0025315F" w:rsidRPr="005C5DBE" w:rsidRDefault="0025315F" w:rsidP="0025315F">
      <w:pPr>
        <w:pStyle w:val="ListParagraph"/>
        <w:spacing w:line="360" w:lineRule="auto"/>
        <w:ind w:left="2160"/>
        <w:rPr>
          <w:rFonts w:ascii="Arial" w:hAnsi="Arial" w:cs="Arial"/>
          <w:b/>
          <w:sz w:val="24"/>
          <w:szCs w:val="24"/>
        </w:rPr>
      </w:pPr>
    </w:p>
    <w:p w:rsidR="0025315F" w:rsidRPr="005C5DBE" w:rsidRDefault="0025315F" w:rsidP="0025315F">
      <w:pPr>
        <w:pStyle w:val="ListParagraph"/>
        <w:numPr>
          <w:ilvl w:val="3"/>
          <w:numId w:val="4"/>
        </w:numPr>
        <w:spacing w:line="360" w:lineRule="auto"/>
        <w:ind w:hanging="1167"/>
        <w:rPr>
          <w:rFonts w:ascii="Arial" w:hAnsi="Arial" w:cs="Arial"/>
          <w:b/>
          <w:sz w:val="24"/>
          <w:szCs w:val="24"/>
        </w:rPr>
      </w:pPr>
      <w:r w:rsidRPr="005C5DBE">
        <w:rPr>
          <w:rFonts w:ascii="Arial" w:hAnsi="Arial" w:cs="Arial"/>
          <w:b/>
          <w:sz w:val="24"/>
          <w:szCs w:val="24"/>
        </w:rPr>
        <w:lastRenderedPageBreak/>
        <w:t xml:space="preserve">Espectro de Redes Wireless LAN </w:t>
      </w:r>
    </w:p>
    <w:p w:rsidR="0025315F" w:rsidRDefault="0025315F" w:rsidP="0025315F">
      <w:pPr>
        <w:pStyle w:val="NormalWeb"/>
        <w:spacing w:before="96" w:beforeAutospacing="0" w:after="120" w:afterAutospacing="0" w:line="360" w:lineRule="auto"/>
        <w:ind w:left="2127"/>
        <w:jc w:val="both"/>
        <w:rPr>
          <w:rFonts w:ascii="Arial" w:hAnsi="Arial" w:cs="Arial"/>
        </w:rPr>
      </w:pPr>
      <w:r w:rsidRPr="005C5DBE">
        <w:rPr>
          <w:rFonts w:ascii="Arial" w:hAnsi="Arial" w:cs="Arial"/>
        </w:rPr>
        <w:t>Los estándares 802.11b y 802</w:t>
      </w:r>
      <w:r>
        <w:rPr>
          <w:rFonts w:ascii="Arial" w:hAnsi="Arial" w:cs="Arial"/>
        </w:rPr>
        <w:t>.11g utilizan la banda de  2.4–</w:t>
      </w:r>
      <w:r w:rsidRPr="005C5DBE">
        <w:rPr>
          <w:rFonts w:ascii="Arial" w:hAnsi="Arial" w:cs="Arial"/>
        </w:rPr>
        <w:t>2.5 GHz En esta banda, se definieron 11 canales utilizables por equipos WIFI, los cuales pueden configurarse de acuerdo a necesidades particulares. Sin embargo, los 11 canales no son completamente independientes (canales contiguos se superponen y se producen interferencias) y en la práctica sólo se pueden utilizar 3 canales en forma simultánea (1, 6 y 11). Esto es correcto para USA</w:t>
      </w:r>
      <w:r w:rsidRPr="00821A58">
        <w:rPr>
          <w:rFonts w:ascii="Arial" w:hAnsi="Arial" w:cs="Arial"/>
        </w:rPr>
        <w:t xml:space="preserve"> y muchos países de América Latina como el Ecuador.  Esta asignación de canales usualmente se hace </w:t>
      </w:r>
      <w:r w:rsidRPr="00085EA1">
        <w:rPr>
          <w:rFonts w:ascii="Arial" w:hAnsi="Arial" w:cs="Arial"/>
        </w:rPr>
        <w:t>sólo en el</w:t>
      </w:r>
      <w:r w:rsidRPr="00085EA1">
        <w:rPr>
          <w:rStyle w:val="apple-converted-space"/>
          <w:rFonts w:ascii="Arial" w:hAnsi="Arial" w:cs="Arial"/>
        </w:rPr>
        <w:t> </w:t>
      </w:r>
      <w:hyperlink r:id="rId120" w:tooltip="Punto de acceso" w:history="1">
        <w:r w:rsidRPr="00085EA1">
          <w:rPr>
            <w:rStyle w:val="Hyperlink"/>
            <w:rFonts w:ascii="Arial" w:hAnsi="Arial" w:cs="Arial"/>
            <w:color w:val="auto"/>
            <w:u w:val="none"/>
          </w:rPr>
          <w:t>punto de acceso</w:t>
        </w:r>
      </w:hyperlink>
      <w:r w:rsidRPr="00821A58">
        <w:rPr>
          <w:rFonts w:ascii="Arial" w:hAnsi="Arial" w:cs="Arial"/>
        </w:rPr>
        <w:t>, pues los usuarios detectan automática</w:t>
      </w:r>
      <w:r w:rsidRPr="005C5DBE">
        <w:rPr>
          <w:rFonts w:ascii="Arial" w:hAnsi="Arial" w:cs="Arial"/>
        </w:rPr>
        <w:t>mente el canal</w:t>
      </w:r>
      <w:r>
        <w:rPr>
          <w:rFonts w:ascii="Arial" w:hAnsi="Arial" w:cs="Arial"/>
        </w:rPr>
        <w:t>.</w:t>
      </w:r>
    </w:p>
    <w:p w:rsidR="0025315F" w:rsidRPr="005C5DBE" w:rsidRDefault="0025315F" w:rsidP="0025315F">
      <w:pPr>
        <w:pStyle w:val="NormalWeb"/>
        <w:spacing w:line="360" w:lineRule="auto"/>
        <w:ind w:left="2127"/>
        <w:jc w:val="center"/>
        <w:rPr>
          <w:rFonts w:ascii="Arial" w:eastAsia="Calibri" w:hAnsi="Arial" w:cs="Arial"/>
          <w:b/>
          <w:lang w:val="es-ES" w:eastAsia="en-US"/>
        </w:rPr>
      </w:pPr>
      <w:r w:rsidRPr="005C5DBE">
        <w:rPr>
          <w:rFonts w:ascii="Arial" w:hAnsi="Arial" w:cs="Arial"/>
          <w:b/>
        </w:rPr>
        <w:t xml:space="preserve">Tabla </w:t>
      </w:r>
      <w:r>
        <w:rPr>
          <w:rFonts w:ascii="Arial" w:hAnsi="Arial" w:cs="Arial"/>
          <w:b/>
        </w:rPr>
        <w:t>VII</w:t>
      </w:r>
      <w:r w:rsidRPr="005C5DBE">
        <w:rPr>
          <w:rFonts w:ascii="Arial" w:hAnsi="Arial" w:cs="Arial"/>
          <w:b/>
        </w:rPr>
        <w:t xml:space="preserve">. Distintos Estándares WIFI </w:t>
      </w:r>
      <w:r w:rsidRPr="00664A36">
        <w:rPr>
          <w:rStyle w:val="FootnoteReference"/>
          <w:rFonts w:ascii="Arial" w:eastAsia="Calibri" w:hAnsi="Arial" w:cs="Arial"/>
          <w:b/>
        </w:rPr>
        <w:footnoteReference w:id="20"/>
      </w:r>
    </w:p>
    <w:p w:rsidR="0025315F" w:rsidRDefault="0025315F" w:rsidP="0025315F">
      <w:pPr>
        <w:pStyle w:val="NormalWeb"/>
        <w:spacing w:before="96" w:beforeAutospacing="0" w:after="120" w:afterAutospacing="0" w:line="360" w:lineRule="auto"/>
        <w:ind w:left="2127"/>
        <w:rPr>
          <w:rFonts w:ascii="Arial" w:hAnsi="Arial" w:cs="Arial"/>
          <w:noProof/>
          <w:lang w:val="es-ES" w:eastAsia="es-ES"/>
        </w:rPr>
      </w:pPr>
      <w:r>
        <w:rPr>
          <w:rFonts w:ascii="Arial" w:hAnsi="Arial" w:cs="Arial"/>
          <w:noProof/>
          <w:lang w:val="es-ES" w:eastAsia="es-ES"/>
        </w:rPr>
        <w:drawing>
          <wp:inline distT="0" distB="0" distL="0" distR="0">
            <wp:extent cx="4149090" cy="1719580"/>
            <wp:effectExtent l="19050" t="0" r="3810" b="0"/>
            <wp:docPr id="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srcRect/>
                    <a:stretch>
                      <a:fillRect/>
                    </a:stretch>
                  </pic:blipFill>
                  <pic:spPr bwMode="auto">
                    <a:xfrm>
                      <a:off x="0" y="0"/>
                      <a:ext cx="4149090" cy="1719580"/>
                    </a:xfrm>
                    <a:prstGeom prst="rect">
                      <a:avLst/>
                    </a:prstGeom>
                    <a:noFill/>
                    <a:ln w="9525">
                      <a:noFill/>
                      <a:miter lim="800000"/>
                      <a:headEnd/>
                      <a:tailEnd/>
                    </a:ln>
                  </pic:spPr>
                </pic:pic>
              </a:graphicData>
            </a:graphic>
          </wp:inline>
        </w:drawing>
      </w:r>
    </w:p>
    <w:p w:rsidR="0025315F" w:rsidRDefault="0025315F" w:rsidP="0025315F">
      <w:pPr>
        <w:pStyle w:val="NormalWeb"/>
        <w:spacing w:before="96" w:beforeAutospacing="0" w:after="120" w:afterAutospacing="0" w:line="360" w:lineRule="auto"/>
        <w:ind w:left="2127"/>
        <w:rPr>
          <w:rFonts w:ascii="Arial" w:hAnsi="Arial" w:cs="Arial"/>
          <w:noProof/>
          <w:lang w:val="es-ES" w:eastAsia="es-ES"/>
        </w:rPr>
      </w:pPr>
    </w:p>
    <w:p w:rsidR="0025315F" w:rsidRDefault="0025315F" w:rsidP="0025315F">
      <w:pPr>
        <w:pStyle w:val="NormalWeb"/>
        <w:spacing w:before="96" w:beforeAutospacing="0" w:after="120" w:afterAutospacing="0" w:line="360" w:lineRule="auto"/>
        <w:ind w:left="2127"/>
        <w:rPr>
          <w:rFonts w:ascii="Arial" w:hAnsi="Arial" w:cs="Arial"/>
          <w:noProof/>
          <w:lang w:val="es-ES" w:eastAsia="es-ES"/>
        </w:rPr>
      </w:pPr>
    </w:p>
    <w:p w:rsidR="0025315F" w:rsidRDefault="0025315F" w:rsidP="0025315F">
      <w:pPr>
        <w:pStyle w:val="NormalWeb"/>
        <w:spacing w:before="96" w:beforeAutospacing="0" w:after="120" w:afterAutospacing="0" w:line="360" w:lineRule="auto"/>
        <w:ind w:left="2127"/>
        <w:rPr>
          <w:rFonts w:ascii="Arial" w:hAnsi="Arial" w:cs="Arial"/>
          <w:noProof/>
          <w:lang w:val="es-ES" w:eastAsia="es-ES"/>
        </w:rPr>
      </w:pPr>
    </w:p>
    <w:p w:rsidR="0025315F" w:rsidRPr="007251A2" w:rsidRDefault="0025315F" w:rsidP="0025315F">
      <w:pPr>
        <w:pStyle w:val="NormalWeb"/>
        <w:spacing w:before="96" w:beforeAutospacing="0" w:after="120" w:afterAutospacing="0" w:line="360" w:lineRule="auto"/>
        <w:ind w:left="2127"/>
        <w:rPr>
          <w:rFonts w:ascii="Arial" w:hAnsi="Arial" w:cs="Arial"/>
        </w:rPr>
      </w:pPr>
    </w:p>
    <w:p w:rsidR="0025315F" w:rsidRDefault="0025315F" w:rsidP="0025315F">
      <w:pPr>
        <w:pStyle w:val="ListParagraph"/>
        <w:numPr>
          <w:ilvl w:val="2"/>
          <w:numId w:val="4"/>
        </w:numPr>
        <w:spacing w:line="360" w:lineRule="auto"/>
        <w:rPr>
          <w:rFonts w:ascii="Arial" w:hAnsi="Arial" w:cs="Arial"/>
          <w:b/>
          <w:sz w:val="24"/>
          <w:szCs w:val="24"/>
        </w:rPr>
      </w:pPr>
      <w:r w:rsidRPr="005C5DBE">
        <w:rPr>
          <w:rFonts w:ascii="Arial" w:hAnsi="Arial" w:cs="Arial"/>
          <w:b/>
          <w:sz w:val="24"/>
          <w:szCs w:val="24"/>
        </w:rPr>
        <w:lastRenderedPageBreak/>
        <w:t>Radiodifusión</w:t>
      </w:r>
    </w:p>
    <w:p w:rsidR="0025315F" w:rsidRDefault="0025315F" w:rsidP="0025315F">
      <w:pPr>
        <w:pStyle w:val="ListParagraph"/>
        <w:spacing w:line="360" w:lineRule="auto"/>
        <w:ind w:left="1800"/>
        <w:rPr>
          <w:rFonts w:ascii="Arial" w:hAnsi="Arial" w:cs="Arial"/>
          <w:b/>
          <w:sz w:val="24"/>
          <w:szCs w:val="24"/>
        </w:rPr>
      </w:pPr>
    </w:p>
    <w:p w:rsidR="0025315F"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t>Características</w:t>
      </w:r>
    </w:p>
    <w:p w:rsidR="0025315F" w:rsidRDefault="0025315F" w:rsidP="0025315F">
      <w:pPr>
        <w:pStyle w:val="ListParagraph"/>
        <w:spacing w:after="0" w:line="360" w:lineRule="auto"/>
        <w:ind w:left="2832"/>
        <w:jc w:val="both"/>
        <w:rPr>
          <w:rFonts w:ascii="Arial" w:eastAsia="Times New Roman" w:hAnsi="Arial" w:cs="Arial"/>
          <w:b/>
          <w:bCs/>
          <w:sz w:val="24"/>
          <w:szCs w:val="24"/>
          <w:lang w:eastAsia="es-ES"/>
        </w:rPr>
      </w:pPr>
    </w:p>
    <w:p w:rsidR="0025315F" w:rsidRDefault="0025315F" w:rsidP="0025315F">
      <w:pPr>
        <w:pStyle w:val="ListParagraph"/>
        <w:spacing w:after="0" w:line="360" w:lineRule="auto"/>
        <w:ind w:left="2832"/>
        <w:jc w:val="both"/>
        <w:rPr>
          <w:rStyle w:val="apple-style-span"/>
          <w:rFonts w:ascii="Arial" w:hAnsi="Arial" w:cs="Arial"/>
          <w:sz w:val="24"/>
          <w:szCs w:val="26"/>
        </w:rPr>
      </w:pPr>
      <w:r w:rsidRPr="00821A58">
        <w:rPr>
          <w:rStyle w:val="apple-style-span"/>
          <w:rFonts w:ascii="Arial" w:hAnsi="Arial" w:cs="Arial"/>
          <w:sz w:val="24"/>
          <w:szCs w:val="26"/>
        </w:rPr>
        <w:t xml:space="preserve">La radiodifusión o Broadcasting está basada en la trasmisión de señales mediante la modulación  </w:t>
      </w:r>
      <w:r w:rsidRPr="002B52F4">
        <w:rPr>
          <w:rStyle w:val="apple-style-span"/>
          <w:rFonts w:ascii="Arial" w:hAnsi="Arial" w:cs="Arial"/>
          <w:sz w:val="24"/>
          <w:szCs w:val="26"/>
        </w:rPr>
        <w:t>de</w:t>
      </w:r>
      <w:r w:rsidRPr="002B52F4">
        <w:rPr>
          <w:rStyle w:val="apple-converted-space"/>
          <w:rFonts w:ascii="Arial" w:hAnsi="Arial" w:cs="Arial"/>
          <w:sz w:val="24"/>
          <w:szCs w:val="26"/>
        </w:rPr>
        <w:t> </w:t>
      </w:r>
      <w:hyperlink r:id="rId122" w:tooltip="Onda electromagnética" w:history="1">
        <w:r w:rsidRPr="002B52F4">
          <w:rPr>
            <w:rStyle w:val="Hyperlink"/>
            <w:rFonts w:ascii="Arial" w:hAnsi="Arial" w:cs="Arial"/>
            <w:color w:val="auto"/>
            <w:sz w:val="24"/>
            <w:szCs w:val="26"/>
            <w:u w:val="none"/>
          </w:rPr>
          <w:t>ondas electromagnéticas</w:t>
        </w:r>
      </w:hyperlink>
      <w:r w:rsidRPr="002B52F4">
        <w:rPr>
          <w:rStyle w:val="apple-style-span"/>
          <w:rFonts w:ascii="Arial" w:hAnsi="Arial" w:cs="Arial"/>
          <w:sz w:val="24"/>
          <w:szCs w:val="26"/>
        </w:rPr>
        <w:t>.</w:t>
      </w:r>
      <w:r w:rsidRPr="00821A58">
        <w:rPr>
          <w:rStyle w:val="apple-style-span"/>
          <w:rFonts w:ascii="Arial" w:hAnsi="Arial" w:cs="Arial"/>
          <w:sz w:val="24"/>
          <w:szCs w:val="26"/>
        </w:rPr>
        <w:t xml:space="preserve"> Estas ondas no requieren un medio físico de transporte, por lo que pueden propagarse tanto a través del aire como del espacio</w:t>
      </w:r>
      <w:r w:rsidRPr="005A7D0D">
        <w:rPr>
          <w:rStyle w:val="apple-style-span"/>
          <w:rFonts w:ascii="Arial" w:hAnsi="Arial" w:cs="Arial"/>
          <w:sz w:val="24"/>
          <w:szCs w:val="26"/>
        </w:rPr>
        <w:t xml:space="preserve"> vacío.</w:t>
      </w:r>
      <w:r>
        <w:rPr>
          <w:rStyle w:val="apple-style-span"/>
          <w:rFonts w:ascii="Arial" w:hAnsi="Arial" w:cs="Arial"/>
          <w:sz w:val="24"/>
          <w:szCs w:val="26"/>
        </w:rPr>
        <w:t xml:space="preserve">  La radiodifusión la podemos dividir en radio y televisión</w:t>
      </w:r>
    </w:p>
    <w:p w:rsidR="0025315F" w:rsidRDefault="0025315F" w:rsidP="0025315F">
      <w:pPr>
        <w:pStyle w:val="ListParagraph"/>
        <w:spacing w:after="0" w:line="360" w:lineRule="auto"/>
        <w:ind w:left="2832"/>
        <w:jc w:val="both"/>
        <w:rPr>
          <w:rFonts w:ascii="Tahoma" w:eastAsia="Times New Roman" w:hAnsi="Tahoma" w:cs="Tahoma"/>
          <w:color w:val="333333"/>
          <w:sz w:val="24"/>
          <w:szCs w:val="24"/>
          <w:lang w:eastAsia="es-ES"/>
        </w:rPr>
      </w:pPr>
    </w:p>
    <w:p w:rsidR="0025315F" w:rsidRPr="002337D4" w:rsidRDefault="0025315F" w:rsidP="0025315F">
      <w:pPr>
        <w:pStyle w:val="ListParagraph"/>
        <w:numPr>
          <w:ilvl w:val="0"/>
          <w:numId w:val="10"/>
        </w:numPr>
        <w:spacing w:after="0" w:line="360" w:lineRule="auto"/>
        <w:ind w:left="2832"/>
        <w:jc w:val="both"/>
        <w:rPr>
          <w:rFonts w:ascii="Arial" w:hAnsi="Arial" w:cs="Arial"/>
          <w:sz w:val="24"/>
          <w:szCs w:val="24"/>
        </w:rPr>
      </w:pPr>
      <w:r w:rsidRPr="002337D4">
        <w:rPr>
          <w:rFonts w:ascii="Arial" w:eastAsia="Times New Roman" w:hAnsi="Arial" w:cs="Arial"/>
          <w:sz w:val="24"/>
          <w:szCs w:val="24"/>
          <w:lang w:eastAsia="es-ES"/>
        </w:rPr>
        <w:t>La radio o radiodifusión sonora</w:t>
      </w:r>
      <w:r>
        <w:rPr>
          <w:rFonts w:ascii="Arial" w:eastAsia="Times New Roman" w:hAnsi="Arial" w:cs="Arial"/>
          <w:sz w:val="24"/>
          <w:szCs w:val="24"/>
          <w:lang w:eastAsia="es-ES"/>
        </w:rPr>
        <w:t>, es un sistema basado en la trasmisión de sonidos</w:t>
      </w:r>
      <w:r w:rsidRPr="002337D4">
        <w:rPr>
          <w:rFonts w:ascii="Arial" w:eastAsia="Times New Roman" w:hAnsi="Arial" w:cs="Arial"/>
          <w:sz w:val="24"/>
          <w:szCs w:val="24"/>
          <w:lang w:eastAsia="es-ES"/>
        </w:rPr>
        <w:t>, comprende una es</w:t>
      </w:r>
      <w:r w:rsidRPr="00AD081B">
        <w:rPr>
          <w:rFonts w:ascii="Arial" w:eastAsia="Times New Roman" w:hAnsi="Arial" w:cs="Arial"/>
          <w:sz w:val="24"/>
          <w:szCs w:val="24"/>
          <w:lang w:eastAsia="es-ES"/>
        </w:rPr>
        <w:t xml:space="preserve">tación de radiodifusión </w:t>
      </w:r>
      <w:r w:rsidRPr="002337D4">
        <w:rPr>
          <w:rFonts w:ascii="Arial" w:eastAsia="Times New Roman" w:hAnsi="Arial" w:cs="Arial"/>
          <w:sz w:val="24"/>
          <w:szCs w:val="24"/>
          <w:lang w:eastAsia="es-ES"/>
        </w:rPr>
        <w:t xml:space="preserve"> que  </w:t>
      </w:r>
      <w:r w:rsidRPr="00AD081B">
        <w:rPr>
          <w:rFonts w:ascii="Arial" w:eastAsia="Times New Roman" w:hAnsi="Arial" w:cs="Arial"/>
          <w:sz w:val="24"/>
          <w:szCs w:val="24"/>
          <w:lang w:eastAsia="es-ES"/>
        </w:rPr>
        <w:t>es un transmisor con su antena e instalaciones accesorias, necesarias para asegurar un servicio de radiodifusión en un área de operación autorizada cuyas emisiones se destinan a ser recibidas por el público en general. </w:t>
      </w:r>
      <w:r w:rsidRPr="002337D4">
        <w:rPr>
          <w:rFonts w:ascii="Arial" w:eastAsia="Times New Roman" w:hAnsi="Arial" w:cs="Arial"/>
          <w:sz w:val="24"/>
          <w:szCs w:val="24"/>
          <w:lang w:eastAsia="es-ES"/>
        </w:rPr>
        <w:t> </w:t>
      </w:r>
    </w:p>
    <w:p w:rsidR="0025315F" w:rsidRPr="002337D4" w:rsidRDefault="0025315F" w:rsidP="0025315F">
      <w:pPr>
        <w:pStyle w:val="ListParagraph"/>
        <w:spacing w:after="0" w:line="360" w:lineRule="auto"/>
        <w:ind w:left="2832"/>
        <w:jc w:val="both"/>
        <w:rPr>
          <w:rFonts w:ascii="Arial" w:hAnsi="Arial" w:cs="Arial"/>
          <w:sz w:val="24"/>
          <w:szCs w:val="24"/>
        </w:rPr>
      </w:pPr>
    </w:p>
    <w:p w:rsidR="0025315F" w:rsidRPr="002337D4" w:rsidRDefault="0025315F" w:rsidP="0025315F">
      <w:pPr>
        <w:pStyle w:val="ListParagraph"/>
        <w:numPr>
          <w:ilvl w:val="0"/>
          <w:numId w:val="10"/>
        </w:numPr>
        <w:spacing w:after="0" w:line="360" w:lineRule="auto"/>
        <w:ind w:left="2832"/>
        <w:jc w:val="both"/>
        <w:rPr>
          <w:rStyle w:val="apple-style-span"/>
          <w:rFonts w:ascii="Arial" w:hAnsi="Arial" w:cs="Arial"/>
          <w:sz w:val="24"/>
          <w:szCs w:val="24"/>
        </w:rPr>
      </w:pPr>
      <w:r w:rsidRPr="002337D4">
        <w:rPr>
          <w:rStyle w:val="apple-style-span"/>
          <w:rFonts w:ascii="Arial" w:hAnsi="Arial" w:cs="Arial"/>
          <w:color w:val="000000"/>
          <w:sz w:val="24"/>
          <w:szCs w:val="24"/>
        </w:rPr>
        <w:t>La</w:t>
      </w:r>
      <w:r w:rsidRPr="002337D4">
        <w:rPr>
          <w:rStyle w:val="apple-converted-space"/>
          <w:rFonts w:ascii="Arial" w:hAnsi="Arial" w:cs="Arial"/>
          <w:color w:val="000000"/>
          <w:sz w:val="24"/>
          <w:szCs w:val="24"/>
        </w:rPr>
        <w:t> </w:t>
      </w:r>
      <w:r w:rsidRPr="002337D4">
        <w:rPr>
          <w:rStyle w:val="apple-style-span"/>
          <w:rFonts w:ascii="Arial" w:hAnsi="Arial" w:cs="Arial"/>
          <w:bCs/>
          <w:color w:val="000000"/>
          <w:sz w:val="24"/>
          <w:szCs w:val="24"/>
        </w:rPr>
        <w:t>televisión</w:t>
      </w:r>
      <w:r w:rsidRPr="002337D4">
        <w:rPr>
          <w:rStyle w:val="apple-converted-space"/>
          <w:rFonts w:ascii="Arial" w:hAnsi="Arial" w:cs="Arial"/>
          <w:color w:val="000000"/>
          <w:sz w:val="24"/>
          <w:szCs w:val="24"/>
        </w:rPr>
        <w:t> </w:t>
      </w:r>
      <w:r w:rsidRPr="002337D4">
        <w:rPr>
          <w:rStyle w:val="apple-style-span"/>
          <w:rFonts w:ascii="Arial" w:hAnsi="Arial" w:cs="Arial"/>
          <w:color w:val="000000"/>
          <w:sz w:val="24"/>
          <w:szCs w:val="24"/>
        </w:rPr>
        <w:t xml:space="preserve">es un sistema para la transmisión y recepción de imágenes en movimiento y sonido a distancia. </w:t>
      </w:r>
      <w:r>
        <w:rPr>
          <w:rStyle w:val="apple-style-span"/>
          <w:rFonts w:ascii="Arial" w:hAnsi="Arial" w:cs="Arial"/>
          <w:sz w:val="24"/>
          <w:szCs w:val="24"/>
        </w:rPr>
        <w:t>Comprende una</w:t>
      </w:r>
      <w:r w:rsidRPr="002337D4">
        <w:rPr>
          <w:rStyle w:val="apple-style-span"/>
          <w:rFonts w:ascii="Arial" w:hAnsi="Arial" w:cs="Arial"/>
          <w:sz w:val="24"/>
          <w:szCs w:val="24"/>
        </w:rPr>
        <w:t xml:space="preserve"> estación de televisión </w:t>
      </w:r>
      <w:r>
        <w:rPr>
          <w:rStyle w:val="apple-style-span"/>
          <w:rFonts w:ascii="Arial" w:hAnsi="Arial" w:cs="Arial"/>
          <w:sz w:val="24"/>
          <w:szCs w:val="24"/>
        </w:rPr>
        <w:t xml:space="preserve">que </w:t>
      </w:r>
      <w:r w:rsidRPr="002337D4">
        <w:rPr>
          <w:rStyle w:val="apple-style-span"/>
          <w:rFonts w:ascii="Arial" w:hAnsi="Arial" w:cs="Arial"/>
          <w:sz w:val="24"/>
          <w:szCs w:val="24"/>
        </w:rPr>
        <w:t xml:space="preserve">es un transmisor con su antena e instalaciones accesorias, necesarias para asegurar un servicio de televisión en un área de operación autorizada. Un sistema de televisión es el conjunto de una estación matriz y repetidoras </w:t>
      </w:r>
      <w:r w:rsidRPr="002337D4">
        <w:rPr>
          <w:rStyle w:val="apple-style-span"/>
          <w:rFonts w:ascii="Arial" w:hAnsi="Arial" w:cs="Arial"/>
          <w:sz w:val="24"/>
          <w:szCs w:val="24"/>
        </w:rPr>
        <w:lastRenderedPageBreak/>
        <w:t>destinadas a emitir la misma y simultanea programación</w:t>
      </w:r>
      <w:r w:rsidRPr="002337D4">
        <w:rPr>
          <w:rStyle w:val="apple-style-span"/>
          <w:rFonts w:ascii="Arial" w:hAnsi="Arial" w:cs="Arial"/>
          <w:color w:val="333333"/>
          <w:sz w:val="24"/>
          <w:szCs w:val="24"/>
        </w:rPr>
        <w:t>.</w:t>
      </w:r>
    </w:p>
    <w:p w:rsidR="0025315F" w:rsidRDefault="0025315F" w:rsidP="0025315F">
      <w:pPr>
        <w:pStyle w:val="ListParagraph"/>
        <w:spacing w:after="0" w:line="360" w:lineRule="auto"/>
        <w:ind w:left="2832"/>
        <w:jc w:val="both"/>
        <w:rPr>
          <w:rStyle w:val="apple-style-span"/>
          <w:rFonts w:ascii="Arial" w:hAnsi="Arial" w:cs="Arial"/>
          <w:sz w:val="24"/>
          <w:szCs w:val="24"/>
        </w:rPr>
      </w:pPr>
    </w:p>
    <w:p w:rsidR="0025315F" w:rsidRDefault="0025315F" w:rsidP="0025315F">
      <w:pPr>
        <w:pStyle w:val="ListParagraph"/>
        <w:numPr>
          <w:ilvl w:val="3"/>
          <w:numId w:val="4"/>
        </w:numPr>
        <w:spacing w:line="360" w:lineRule="auto"/>
        <w:rPr>
          <w:rFonts w:ascii="Arial" w:hAnsi="Arial" w:cs="Arial"/>
          <w:b/>
          <w:sz w:val="24"/>
          <w:szCs w:val="24"/>
        </w:rPr>
      </w:pPr>
      <w:r w:rsidRPr="005C5DBE">
        <w:rPr>
          <w:rFonts w:ascii="Arial" w:hAnsi="Arial" w:cs="Arial"/>
          <w:b/>
          <w:sz w:val="24"/>
          <w:szCs w:val="24"/>
        </w:rPr>
        <w:t>Espectro de Radiodifusión en el Ecuador</w:t>
      </w:r>
    </w:p>
    <w:p w:rsidR="0025315F" w:rsidRDefault="0025315F" w:rsidP="0025315F">
      <w:pPr>
        <w:pStyle w:val="ListParagraph"/>
        <w:spacing w:line="360" w:lineRule="auto"/>
        <w:ind w:left="2832"/>
        <w:rPr>
          <w:rFonts w:ascii="Arial" w:hAnsi="Arial" w:cs="Arial"/>
          <w:b/>
          <w:sz w:val="24"/>
          <w:szCs w:val="24"/>
        </w:rPr>
      </w:pPr>
    </w:p>
    <w:p w:rsidR="0025315F" w:rsidRPr="00C032E0" w:rsidRDefault="0025315F" w:rsidP="0025315F">
      <w:pPr>
        <w:pStyle w:val="ListParagraph"/>
        <w:spacing w:line="360" w:lineRule="auto"/>
        <w:ind w:left="2832"/>
        <w:jc w:val="both"/>
        <w:rPr>
          <w:rFonts w:ascii="Arial" w:hAnsi="Arial" w:cs="Arial"/>
          <w:sz w:val="24"/>
          <w:szCs w:val="24"/>
        </w:rPr>
      </w:pPr>
      <w:r>
        <w:rPr>
          <w:rFonts w:ascii="Arial" w:hAnsi="Arial" w:cs="Arial"/>
          <w:sz w:val="24"/>
          <w:szCs w:val="24"/>
        </w:rPr>
        <w:t>El espectro de ra</w:t>
      </w:r>
      <w:r w:rsidRPr="00C032E0">
        <w:rPr>
          <w:rFonts w:ascii="Arial" w:hAnsi="Arial" w:cs="Arial"/>
          <w:sz w:val="24"/>
          <w:szCs w:val="24"/>
        </w:rPr>
        <w:t>diodifusión en nuestro país comprende las radiocomunicaciones de: radio AM y FM, televisión abierta y pagada, radiodifusión de onda corta.</w:t>
      </w:r>
    </w:p>
    <w:p w:rsidR="0025315F" w:rsidRPr="00C032E0" w:rsidRDefault="0025315F" w:rsidP="0025315F">
      <w:pPr>
        <w:pStyle w:val="ListParagraph"/>
        <w:spacing w:line="360" w:lineRule="auto"/>
        <w:ind w:left="2832"/>
        <w:jc w:val="both"/>
        <w:rPr>
          <w:rFonts w:ascii="Arial" w:hAnsi="Arial" w:cs="Arial"/>
          <w:b/>
          <w:sz w:val="24"/>
          <w:szCs w:val="24"/>
        </w:rPr>
      </w:pPr>
      <w:r w:rsidRPr="00C032E0">
        <w:rPr>
          <w:rStyle w:val="apple-style-span"/>
          <w:rFonts w:ascii="Arial" w:hAnsi="Arial" w:cs="Arial"/>
          <w:sz w:val="24"/>
          <w:szCs w:val="24"/>
        </w:rPr>
        <w:t>Para la realización de este proyecto, particularizamos el análisis del espectro de Broadcasting en radio FM y televisión abierta.</w:t>
      </w:r>
    </w:p>
    <w:p w:rsidR="0025315F" w:rsidRPr="005C5DBE" w:rsidRDefault="0025315F" w:rsidP="0025315F">
      <w:pPr>
        <w:spacing w:after="0" w:line="360" w:lineRule="auto"/>
        <w:ind w:left="2832"/>
        <w:jc w:val="both"/>
        <w:rPr>
          <w:rFonts w:ascii="Arial" w:eastAsia="Times New Roman" w:hAnsi="Arial" w:cs="Arial"/>
          <w:sz w:val="24"/>
          <w:szCs w:val="24"/>
          <w:lang w:eastAsia="es-ES"/>
        </w:rPr>
      </w:pPr>
      <w:r w:rsidRPr="005C5DBE">
        <w:rPr>
          <w:rFonts w:ascii="Arial" w:eastAsia="Times New Roman" w:hAnsi="Arial" w:cs="Arial"/>
          <w:sz w:val="24"/>
          <w:szCs w:val="24"/>
          <w:lang w:eastAsia="es-ES"/>
        </w:rPr>
        <w:t>El Plan Nacional de Frecuencias</w:t>
      </w:r>
      <w:r>
        <w:rPr>
          <w:rFonts w:ascii="Arial" w:eastAsia="Times New Roman" w:hAnsi="Arial" w:cs="Arial"/>
          <w:sz w:val="24"/>
          <w:szCs w:val="24"/>
          <w:lang w:eastAsia="es-ES"/>
        </w:rPr>
        <w:t xml:space="preserve"> del Ecuador</w:t>
      </w:r>
      <w:r w:rsidRPr="005C5DBE">
        <w:rPr>
          <w:rFonts w:ascii="Arial" w:eastAsia="Times New Roman" w:hAnsi="Arial" w:cs="Arial"/>
          <w:sz w:val="24"/>
          <w:szCs w:val="24"/>
          <w:lang w:eastAsia="es-ES"/>
        </w:rPr>
        <w:t xml:space="preserve"> establece que la banda de 88-108 MHz es atribuida exclusivamente al servicio de radiodifusión Sonora en Frecuencia Modulada (FM).</w:t>
      </w:r>
    </w:p>
    <w:p w:rsidR="0025315F" w:rsidRDefault="0025315F" w:rsidP="0025315F">
      <w:pPr>
        <w:spacing w:after="0" w:line="360" w:lineRule="auto"/>
        <w:ind w:left="2127"/>
        <w:jc w:val="center"/>
        <w:rPr>
          <w:noProof/>
          <w:lang w:eastAsia="es-ES"/>
        </w:rPr>
      </w:pPr>
      <w:r>
        <w:rPr>
          <w:noProof/>
          <w:lang w:eastAsia="es-ES"/>
        </w:rPr>
        <w:drawing>
          <wp:inline distT="0" distB="0" distL="0" distR="0">
            <wp:extent cx="3016250" cy="2224405"/>
            <wp:effectExtent l="19050" t="0" r="0" b="0"/>
            <wp:docPr id="216" name="Picture 5" descr="C:\Users\WALKIR\AppData\Local\Microsoft\Windows\Temporary Internet Files\Content.Word\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LKIR\AppData\Local\Microsoft\Windows\Temporary Internet Files\Content.Word\radio.png"/>
                    <pic:cNvPicPr>
                      <a:picLocks noChangeAspect="1" noChangeArrowheads="1"/>
                    </pic:cNvPicPr>
                  </pic:nvPicPr>
                  <pic:blipFill>
                    <a:blip r:embed="rId123" cstate="print"/>
                    <a:srcRect/>
                    <a:stretch>
                      <a:fillRect/>
                    </a:stretch>
                  </pic:blipFill>
                  <pic:spPr bwMode="auto">
                    <a:xfrm>
                      <a:off x="0" y="0"/>
                      <a:ext cx="3016250" cy="2224405"/>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w:t>
      </w:r>
      <w:r>
        <w:rPr>
          <w:rFonts w:ascii="Arial" w:hAnsi="Arial" w:cs="Arial"/>
          <w:b/>
        </w:rPr>
        <w:t>4</w:t>
      </w:r>
      <w:r w:rsidRPr="005C5DBE">
        <w:rPr>
          <w:rFonts w:ascii="Arial" w:hAnsi="Arial" w:cs="Arial"/>
          <w:b/>
        </w:rPr>
        <w:t xml:space="preserve"> </w:t>
      </w:r>
      <w:r>
        <w:rPr>
          <w:rFonts w:ascii="Arial" w:hAnsi="Arial" w:cs="Arial"/>
          <w:b/>
        </w:rPr>
        <w:t xml:space="preserve"> Espectro Radio FM 88-108 MHZ.</w:t>
      </w:r>
      <w:r w:rsidRPr="00664A36">
        <w:rPr>
          <w:rStyle w:val="FootnoteReference"/>
          <w:rFonts w:ascii="Arial" w:eastAsia="Calibri" w:hAnsi="Arial" w:cs="Arial"/>
          <w:b/>
        </w:rPr>
        <w:footnoteReference w:id="21"/>
      </w:r>
    </w:p>
    <w:p w:rsidR="0025315F" w:rsidRDefault="0025315F" w:rsidP="0025315F">
      <w:pPr>
        <w:spacing w:after="0" w:line="360" w:lineRule="auto"/>
        <w:ind w:left="2127"/>
        <w:jc w:val="center"/>
        <w:rPr>
          <w:rFonts w:ascii="Arial" w:eastAsia="Times New Roman" w:hAnsi="Arial" w:cs="Arial"/>
          <w:sz w:val="24"/>
          <w:szCs w:val="24"/>
          <w:lang w:eastAsia="es-ES"/>
        </w:rPr>
      </w:pPr>
    </w:p>
    <w:p w:rsidR="0025315F" w:rsidRPr="005C5DBE" w:rsidRDefault="0025315F" w:rsidP="0025315F">
      <w:pPr>
        <w:spacing w:after="0" w:line="360" w:lineRule="auto"/>
        <w:ind w:left="2127"/>
        <w:jc w:val="both"/>
        <w:rPr>
          <w:rFonts w:ascii="Arial" w:eastAsia="Times New Roman" w:hAnsi="Arial" w:cs="Arial"/>
          <w:sz w:val="24"/>
          <w:szCs w:val="24"/>
          <w:lang w:eastAsia="es-ES"/>
        </w:rPr>
      </w:pPr>
      <w:r w:rsidRPr="005C5DBE">
        <w:rPr>
          <w:rFonts w:ascii="Arial" w:eastAsia="Times New Roman" w:hAnsi="Arial" w:cs="Arial"/>
          <w:sz w:val="24"/>
          <w:szCs w:val="24"/>
          <w:lang w:eastAsia="es-ES"/>
        </w:rPr>
        <w:t xml:space="preserve">El Plan Nacional de Frecuencias </w:t>
      </w:r>
      <w:r>
        <w:rPr>
          <w:rFonts w:ascii="Arial" w:eastAsia="Times New Roman" w:hAnsi="Arial" w:cs="Arial"/>
          <w:sz w:val="24"/>
          <w:szCs w:val="24"/>
          <w:lang w:eastAsia="es-ES"/>
        </w:rPr>
        <w:t xml:space="preserve">del Ecuador </w:t>
      </w:r>
      <w:r w:rsidRPr="005C5DBE">
        <w:rPr>
          <w:rFonts w:ascii="Arial" w:eastAsia="Times New Roman" w:hAnsi="Arial" w:cs="Arial"/>
          <w:sz w:val="24"/>
          <w:szCs w:val="24"/>
          <w:lang w:eastAsia="es-ES"/>
        </w:rPr>
        <w:t>establece las siguientes bandas VHF y UHF para los servicios de radiodifusión de televisión abierta: </w:t>
      </w:r>
    </w:p>
    <w:p w:rsidR="0025315F" w:rsidRPr="002B52F4" w:rsidRDefault="0025315F" w:rsidP="0025315F">
      <w:pPr>
        <w:spacing w:after="0" w:line="360" w:lineRule="auto"/>
        <w:ind w:left="1416" w:firstLine="708"/>
        <w:jc w:val="both"/>
        <w:rPr>
          <w:rFonts w:ascii="Arial" w:eastAsia="Times New Roman" w:hAnsi="Arial" w:cs="Arial"/>
          <w:b/>
          <w:sz w:val="10"/>
          <w:szCs w:val="24"/>
          <w:lang w:eastAsia="es-ES"/>
        </w:rPr>
      </w:pPr>
    </w:p>
    <w:p w:rsidR="0025315F" w:rsidRPr="006E19CE" w:rsidRDefault="0025315F" w:rsidP="0025315F">
      <w:pPr>
        <w:spacing w:after="0" w:line="360" w:lineRule="auto"/>
        <w:ind w:left="1416" w:firstLine="708"/>
        <w:jc w:val="both"/>
        <w:rPr>
          <w:rFonts w:ascii="Arial" w:eastAsia="Times New Roman" w:hAnsi="Arial" w:cs="Arial"/>
          <w:sz w:val="24"/>
          <w:szCs w:val="24"/>
          <w:lang w:eastAsia="es-ES"/>
        </w:rPr>
      </w:pPr>
      <w:r w:rsidRPr="006E19CE">
        <w:rPr>
          <w:rFonts w:ascii="Arial" w:eastAsia="Times New Roman" w:hAnsi="Arial" w:cs="Arial"/>
          <w:sz w:val="24"/>
          <w:szCs w:val="24"/>
          <w:lang w:eastAsia="es-ES"/>
        </w:rPr>
        <w:t>Banda VHF:  </w:t>
      </w:r>
    </w:p>
    <w:p w:rsidR="0025315F" w:rsidRDefault="0025315F" w:rsidP="0025315F">
      <w:pPr>
        <w:pStyle w:val="ListParagraph"/>
        <w:numPr>
          <w:ilvl w:val="0"/>
          <w:numId w:val="7"/>
        </w:numPr>
        <w:spacing w:before="240" w:after="240" w:line="360" w:lineRule="auto"/>
        <w:jc w:val="both"/>
        <w:rPr>
          <w:rFonts w:ascii="Arial" w:eastAsia="Times New Roman" w:hAnsi="Arial" w:cs="Arial"/>
          <w:sz w:val="24"/>
          <w:szCs w:val="24"/>
          <w:lang w:eastAsia="es-ES"/>
        </w:rPr>
      </w:pPr>
      <w:r w:rsidRPr="005C5DBE">
        <w:rPr>
          <w:rFonts w:ascii="Arial" w:eastAsia="Times New Roman" w:hAnsi="Arial" w:cs="Arial"/>
          <w:sz w:val="24"/>
          <w:szCs w:val="24"/>
          <w:lang w:eastAsia="es-ES"/>
        </w:rPr>
        <w:t>Banda I (54 a 72 MHz; Canales 2 al 4 y de 76 a 88 MHz; Canales 5 a 6)</w:t>
      </w:r>
      <w:r>
        <w:rPr>
          <w:rFonts w:ascii="Arial" w:eastAsia="Times New Roman" w:hAnsi="Arial" w:cs="Arial"/>
          <w:sz w:val="24"/>
          <w:szCs w:val="24"/>
          <w:lang w:eastAsia="es-ES"/>
        </w:rPr>
        <w:t>.</w:t>
      </w:r>
    </w:p>
    <w:p w:rsidR="0025315F" w:rsidRDefault="0025315F" w:rsidP="0025315F">
      <w:pPr>
        <w:pStyle w:val="ListParagraph"/>
        <w:spacing w:before="240" w:after="240" w:line="360" w:lineRule="auto"/>
        <w:ind w:left="2847"/>
        <w:jc w:val="both"/>
        <w:rPr>
          <w:rFonts w:ascii="Arial" w:eastAsia="Times New Roman" w:hAnsi="Arial" w:cs="Arial"/>
          <w:sz w:val="24"/>
          <w:szCs w:val="24"/>
          <w:lang w:eastAsia="es-ES"/>
        </w:rPr>
      </w:pPr>
      <w:r>
        <w:rPr>
          <w:rFonts w:ascii="Arial" w:eastAsia="Times New Roman" w:hAnsi="Arial" w:cs="Arial"/>
          <w:noProof/>
          <w:sz w:val="24"/>
          <w:szCs w:val="24"/>
          <w:lang w:eastAsia="es-ES"/>
        </w:rPr>
        <w:drawing>
          <wp:inline distT="0" distB="0" distL="0" distR="0">
            <wp:extent cx="3357245" cy="1555750"/>
            <wp:effectExtent l="19050" t="0" r="0" b="0"/>
            <wp:docPr id="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cstate="print"/>
                    <a:srcRect/>
                    <a:stretch>
                      <a:fillRect/>
                    </a:stretch>
                  </pic:blipFill>
                  <pic:spPr bwMode="auto">
                    <a:xfrm>
                      <a:off x="0" y="0"/>
                      <a:ext cx="3357245" cy="1555750"/>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w:t>
      </w:r>
      <w:r>
        <w:rPr>
          <w:rFonts w:ascii="Arial" w:hAnsi="Arial" w:cs="Arial"/>
          <w:b/>
        </w:rPr>
        <w:t>5</w:t>
      </w:r>
      <w:r w:rsidRPr="005C5DBE">
        <w:rPr>
          <w:rFonts w:ascii="Arial" w:hAnsi="Arial" w:cs="Arial"/>
          <w:b/>
        </w:rPr>
        <w:t xml:space="preserve"> </w:t>
      </w:r>
      <w:r>
        <w:rPr>
          <w:rFonts w:ascii="Arial" w:hAnsi="Arial" w:cs="Arial"/>
          <w:b/>
        </w:rPr>
        <w:t xml:space="preserve"> Espectro TV Abierta 54-72 MHZ.</w:t>
      </w:r>
      <w:r w:rsidRPr="00664A36">
        <w:rPr>
          <w:rStyle w:val="FootnoteReference"/>
          <w:rFonts w:ascii="Arial" w:eastAsia="Calibri" w:hAnsi="Arial" w:cs="Arial"/>
          <w:b/>
        </w:rPr>
        <w:footnoteReference w:id="22"/>
      </w:r>
    </w:p>
    <w:p w:rsidR="0025315F" w:rsidRDefault="0025315F" w:rsidP="0025315F">
      <w:pPr>
        <w:pStyle w:val="ListParagraph"/>
        <w:numPr>
          <w:ilvl w:val="0"/>
          <w:numId w:val="7"/>
        </w:numPr>
        <w:spacing w:after="0" w:line="360" w:lineRule="auto"/>
        <w:jc w:val="both"/>
        <w:rPr>
          <w:rFonts w:ascii="Arial" w:eastAsia="Times New Roman" w:hAnsi="Arial" w:cs="Arial"/>
          <w:sz w:val="24"/>
          <w:szCs w:val="24"/>
          <w:lang w:eastAsia="es-ES"/>
        </w:rPr>
      </w:pPr>
      <w:r w:rsidRPr="005C5DBE">
        <w:rPr>
          <w:rFonts w:ascii="Arial" w:eastAsia="Times New Roman" w:hAnsi="Arial" w:cs="Arial"/>
          <w:sz w:val="24"/>
          <w:szCs w:val="24"/>
          <w:lang w:eastAsia="es-ES"/>
        </w:rPr>
        <w:t>Banda III (174 a 216 MHz, Canales 7 al 13).</w:t>
      </w:r>
    </w:p>
    <w:p w:rsidR="0025315F" w:rsidRDefault="0025315F" w:rsidP="0025315F">
      <w:pPr>
        <w:spacing w:before="240" w:after="240" w:line="360" w:lineRule="auto"/>
        <w:ind w:left="2127"/>
        <w:jc w:val="center"/>
        <w:rPr>
          <w:rFonts w:ascii="Arial" w:eastAsia="Times New Roman" w:hAnsi="Arial" w:cs="Arial"/>
          <w:sz w:val="24"/>
          <w:szCs w:val="24"/>
          <w:lang w:eastAsia="es-ES"/>
        </w:rPr>
      </w:pPr>
      <w:r>
        <w:rPr>
          <w:noProof/>
          <w:lang w:eastAsia="es-ES"/>
        </w:rPr>
        <w:drawing>
          <wp:inline distT="0" distB="0" distL="0" distR="0">
            <wp:extent cx="2579370" cy="1924050"/>
            <wp:effectExtent l="19050" t="0" r="0" b="0"/>
            <wp:docPr id="214" name="Picture 9" descr="C:\Users\WALKIR\AppData\Local\Microsoft\Windows\Temporary Internet Files\Content.Word\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LKIR\AppData\Local\Microsoft\Windows\Temporary Internet Files\Content.Word\tv2.png"/>
                    <pic:cNvPicPr>
                      <a:picLocks noChangeAspect="1" noChangeArrowheads="1"/>
                    </pic:cNvPicPr>
                  </pic:nvPicPr>
                  <pic:blipFill>
                    <a:blip r:embed="rId125" cstate="print"/>
                    <a:srcRect t="-630"/>
                    <a:stretch>
                      <a:fillRect/>
                    </a:stretch>
                  </pic:blipFill>
                  <pic:spPr bwMode="auto">
                    <a:xfrm>
                      <a:off x="0" y="0"/>
                      <a:ext cx="2579370" cy="1924050"/>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w:t>
      </w:r>
      <w:r>
        <w:rPr>
          <w:rFonts w:ascii="Arial" w:hAnsi="Arial" w:cs="Arial"/>
          <w:b/>
        </w:rPr>
        <w:t>6</w:t>
      </w:r>
      <w:r w:rsidRPr="005C5DBE">
        <w:rPr>
          <w:rFonts w:ascii="Arial" w:hAnsi="Arial" w:cs="Arial"/>
          <w:b/>
        </w:rPr>
        <w:t xml:space="preserve"> </w:t>
      </w:r>
      <w:r>
        <w:rPr>
          <w:rFonts w:ascii="Arial" w:hAnsi="Arial" w:cs="Arial"/>
          <w:b/>
        </w:rPr>
        <w:t xml:space="preserve"> Espectro TV Abierta 174-216 MHZ.</w:t>
      </w:r>
      <w:r w:rsidRPr="00664A36">
        <w:rPr>
          <w:rStyle w:val="FootnoteReference"/>
          <w:rFonts w:ascii="Arial" w:eastAsia="Calibri" w:hAnsi="Arial" w:cs="Arial"/>
          <w:b/>
        </w:rPr>
        <w:footnoteReference w:id="23"/>
      </w:r>
    </w:p>
    <w:p w:rsidR="0025315F" w:rsidRPr="00722F82" w:rsidRDefault="0025315F" w:rsidP="0025315F">
      <w:pPr>
        <w:spacing w:before="240" w:after="240" w:line="360" w:lineRule="auto"/>
        <w:ind w:left="2127"/>
        <w:jc w:val="both"/>
        <w:rPr>
          <w:rFonts w:ascii="Arial" w:eastAsia="Times New Roman" w:hAnsi="Arial" w:cs="Arial"/>
          <w:sz w:val="24"/>
          <w:szCs w:val="24"/>
          <w:lang w:eastAsia="es-ES"/>
        </w:rPr>
      </w:pPr>
      <w:r w:rsidRPr="00722F82">
        <w:rPr>
          <w:rFonts w:ascii="Arial" w:eastAsia="Times New Roman" w:hAnsi="Arial" w:cs="Arial"/>
          <w:sz w:val="24"/>
          <w:szCs w:val="24"/>
          <w:lang w:eastAsia="es-ES"/>
        </w:rPr>
        <w:lastRenderedPageBreak/>
        <w:t>Banda UHF:  </w:t>
      </w:r>
    </w:p>
    <w:p w:rsidR="0025315F" w:rsidRDefault="0025315F" w:rsidP="0025315F">
      <w:pPr>
        <w:pStyle w:val="ListParagraph"/>
        <w:numPr>
          <w:ilvl w:val="0"/>
          <w:numId w:val="6"/>
        </w:numPr>
        <w:spacing w:before="240" w:after="240" w:line="360" w:lineRule="auto"/>
        <w:jc w:val="both"/>
        <w:rPr>
          <w:rFonts w:ascii="Arial" w:eastAsia="Times New Roman" w:hAnsi="Arial" w:cs="Arial"/>
          <w:sz w:val="24"/>
          <w:szCs w:val="24"/>
          <w:lang w:eastAsia="es-ES"/>
        </w:rPr>
      </w:pPr>
      <w:r w:rsidRPr="005C5DBE">
        <w:rPr>
          <w:rFonts w:ascii="Arial" w:eastAsia="Times New Roman" w:hAnsi="Arial" w:cs="Arial"/>
          <w:sz w:val="24"/>
          <w:szCs w:val="24"/>
          <w:lang w:eastAsia="es-ES"/>
        </w:rPr>
        <w:t>Banda IV (500 a 608 MHz, Canales 19 al 36 y de 614 a 644 MHz, Canales 38 al 42)</w:t>
      </w:r>
    </w:p>
    <w:p w:rsidR="0025315F" w:rsidRDefault="0025315F" w:rsidP="0025315F">
      <w:pPr>
        <w:pStyle w:val="ListParagraph"/>
        <w:spacing w:before="240" w:after="240" w:line="360" w:lineRule="auto"/>
        <w:ind w:left="2127"/>
        <w:jc w:val="center"/>
        <w:rPr>
          <w:rFonts w:ascii="Arial" w:eastAsia="Times New Roman" w:hAnsi="Arial" w:cs="Arial"/>
          <w:sz w:val="24"/>
          <w:szCs w:val="24"/>
          <w:lang w:eastAsia="es-ES"/>
        </w:rPr>
      </w:pPr>
      <w:r>
        <w:rPr>
          <w:noProof/>
          <w:lang w:eastAsia="es-ES"/>
        </w:rPr>
        <w:drawing>
          <wp:inline distT="0" distB="0" distL="0" distR="0">
            <wp:extent cx="2688590" cy="1992630"/>
            <wp:effectExtent l="19050" t="0" r="0" b="0"/>
            <wp:docPr id="213" name="Picture 12" descr="C:\Users\WALKIR\AppData\Local\Microsoft\Windows\Temporary Internet Files\Content.Word\t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LKIR\AppData\Local\Microsoft\Windows\Temporary Internet Files\Content.Word\tv3.png"/>
                    <pic:cNvPicPr>
                      <a:picLocks noChangeAspect="1" noChangeArrowheads="1"/>
                    </pic:cNvPicPr>
                  </pic:nvPicPr>
                  <pic:blipFill>
                    <a:blip r:embed="rId126" cstate="print"/>
                    <a:srcRect/>
                    <a:stretch>
                      <a:fillRect/>
                    </a:stretch>
                  </pic:blipFill>
                  <pic:spPr bwMode="auto">
                    <a:xfrm>
                      <a:off x="0" y="0"/>
                      <a:ext cx="2688590" cy="1992630"/>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w:t>
      </w:r>
      <w:r>
        <w:rPr>
          <w:rFonts w:ascii="Arial" w:hAnsi="Arial" w:cs="Arial"/>
          <w:b/>
        </w:rPr>
        <w:t>7</w:t>
      </w:r>
      <w:r w:rsidRPr="005C5DBE">
        <w:rPr>
          <w:rFonts w:ascii="Arial" w:hAnsi="Arial" w:cs="Arial"/>
          <w:b/>
        </w:rPr>
        <w:t xml:space="preserve"> </w:t>
      </w:r>
      <w:r>
        <w:rPr>
          <w:rFonts w:ascii="Arial" w:hAnsi="Arial" w:cs="Arial"/>
          <w:b/>
        </w:rPr>
        <w:t xml:space="preserve"> Espectro TV Abierta 500-608 MHZ.</w:t>
      </w:r>
      <w:r w:rsidRPr="00664A36">
        <w:rPr>
          <w:rStyle w:val="FootnoteReference"/>
          <w:rFonts w:ascii="Arial" w:eastAsia="Calibri" w:hAnsi="Arial" w:cs="Arial"/>
          <w:b/>
        </w:rPr>
        <w:footnoteReference w:id="24"/>
      </w:r>
    </w:p>
    <w:p w:rsidR="0025315F" w:rsidRPr="00845F1D" w:rsidRDefault="0025315F" w:rsidP="0025315F">
      <w:pPr>
        <w:pStyle w:val="ListParagraph"/>
        <w:spacing w:before="240" w:after="240" w:line="360" w:lineRule="auto"/>
        <w:ind w:left="2127"/>
        <w:jc w:val="center"/>
        <w:rPr>
          <w:rFonts w:ascii="Arial" w:eastAsia="Times New Roman" w:hAnsi="Arial" w:cs="Arial"/>
          <w:sz w:val="24"/>
          <w:szCs w:val="24"/>
          <w:lang w:val="es-SV" w:eastAsia="es-ES"/>
        </w:rPr>
      </w:pPr>
    </w:p>
    <w:p w:rsidR="0025315F" w:rsidRPr="00722F82" w:rsidRDefault="0025315F" w:rsidP="0025315F">
      <w:pPr>
        <w:pStyle w:val="ListParagraph"/>
        <w:numPr>
          <w:ilvl w:val="0"/>
          <w:numId w:val="6"/>
        </w:numPr>
        <w:spacing w:after="0" w:line="360" w:lineRule="auto"/>
        <w:ind w:left="1843" w:firstLine="708"/>
        <w:jc w:val="both"/>
        <w:rPr>
          <w:rFonts w:ascii="Arial" w:hAnsi="Arial" w:cs="Arial"/>
          <w:b/>
          <w:sz w:val="24"/>
          <w:szCs w:val="24"/>
        </w:rPr>
      </w:pPr>
      <w:r w:rsidRPr="005C5DBE">
        <w:rPr>
          <w:rFonts w:ascii="Arial" w:eastAsia="Times New Roman" w:hAnsi="Arial" w:cs="Arial"/>
          <w:sz w:val="24"/>
          <w:szCs w:val="24"/>
          <w:lang w:eastAsia="es-ES"/>
        </w:rPr>
        <w:t>Banda V (644 a 686 MHz, Canales 43 al 49)</w:t>
      </w:r>
    </w:p>
    <w:p w:rsidR="0025315F" w:rsidRDefault="0025315F" w:rsidP="0025315F">
      <w:pPr>
        <w:pStyle w:val="ListParagraph"/>
        <w:spacing w:after="0" w:line="360" w:lineRule="auto"/>
        <w:ind w:left="2551"/>
        <w:jc w:val="both"/>
        <w:rPr>
          <w:rFonts w:ascii="Arial" w:hAnsi="Arial" w:cs="Arial"/>
          <w:b/>
          <w:sz w:val="24"/>
          <w:szCs w:val="24"/>
        </w:rPr>
      </w:pPr>
    </w:p>
    <w:p w:rsidR="0025315F" w:rsidRDefault="0025315F" w:rsidP="0025315F">
      <w:pPr>
        <w:pStyle w:val="ListParagraph"/>
        <w:spacing w:after="0" w:line="360" w:lineRule="auto"/>
        <w:ind w:left="2551"/>
        <w:jc w:val="center"/>
        <w:rPr>
          <w:rFonts w:ascii="Arial" w:hAnsi="Arial" w:cs="Arial"/>
          <w:b/>
          <w:sz w:val="24"/>
          <w:szCs w:val="24"/>
        </w:rPr>
      </w:pPr>
      <w:r>
        <w:rPr>
          <w:noProof/>
          <w:lang w:eastAsia="es-ES"/>
        </w:rPr>
        <w:drawing>
          <wp:inline distT="0" distB="0" distL="0" distR="0">
            <wp:extent cx="2756535" cy="2033270"/>
            <wp:effectExtent l="19050" t="0" r="5715" b="0"/>
            <wp:docPr id="212" name="Picture 15" descr="C:\Users\WALKIR\AppData\Local\Microsoft\Windows\Temporary Internet Files\Content.Word\t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LKIR\AppData\Local\Microsoft\Windows\Temporary Internet Files\Content.Word\tv4.png"/>
                    <pic:cNvPicPr>
                      <a:picLocks noChangeAspect="1" noChangeArrowheads="1"/>
                    </pic:cNvPicPr>
                  </pic:nvPicPr>
                  <pic:blipFill>
                    <a:blip r:embed="rId127" cstate="print"/>
                    <a:srcRect/>
                    <a:stretch>
                      <a:fillRect/>
                    </a:stretch>
                  </pic:blipFill>
                  <pic:spPr bwMode="auto">
                    <a:xfrm>
                      <a:off x="0" y="0"/>
                      <a:ext cx="2756535" cy="2033270"/>
                    </a:xfrm>
                    <a:prstGeom prst="rect">
                      <a:avLst/>
                    </a:prstGeom>
                    <a:noFill/>
                    <a:ln w="9525">
                      <a:noFill/>
                      <a:miter lim="800000"/>
                      <a:headEnd/>
                      <a:tailEnd/>
                    </a:ln>
                  </pic:spPr>
                </pic:pic>
              </a:graphicData>
            </a:graphic>
          </wp:inline>
        </w:drawing>
      </w:r>
    </w:p>
    <w:p w:rsidR="0025315F" w:rsidRPr="005C5DBE" w:rsidRDefault="0025315F" w:rsidP="0025315F">
      <w:pPr>
        <w:pStyle w:val="NormalWeb"/>
        <w:spacing w:before="96" w:beforeAutospacing="0" w:after="120" w:afterAutospacing="0" w:line="360" w:lineRule="auto"/>
        <w:ind w:left="2127"/>
        <w:jc w:val="center"/>
        <w:rPr>
          <w:rFonts w:ascii="Arial" w:hAnsi="Arial" w:cs="Arial"/>
          <w:b/>
        </w:rPr>
      </w:pPr>
      <w:r w:rsidRPr="005C5DBE">
        <w:rPr>
          <w:rFonts w:ascii="Arial" w:hAnsi="Arial" w:cs="Arial"/>
          <w:b/>
        </w:rPr>
        <w:t>Figura 1.1</w:t>
      </w:r>
      <w:r>
        <w:rPr>
          <w:rFonts w:ascii="Arial" w:hAnsi="Arial" w:cs="Arial"/>
          <w:b/>
        </w:rPr>
        <w:t>8</w:t>
      </w:r>
      <w:r w:rsidRPr="005C5DBE">
        <w:rPr>
          <w:rFonts w:ascii="Arial" w:hAnsi="Arial" w:cs="Arial"/>
          <w:b/>
        </w:rPr>
        <w:t xml:space="preserve"> </w:t>
      </w:r>
      <w:r>
        <w:rPr>
          <w:rFonts w:ascii="Arial" w:hAnsi="Arial" w:cs="Arial"/>
          <w:b/>
        </w:rPr>
        <w:t xml:space="preserve"> Espectro TV Abierta 644-686 MHZ.</w:t>
      </w:r>
      <w:r w:rsidRPr="00664A36">
        <w:rPr>
          <w:rStyle w:val="FootnoteReference"/>
          <w:rFonts w:ascii="Arial" w:eastAsia="Calibri" w:hAnsi="Arial" w:cs="Arial"/>
          <w:b/>
        </w:rPr>
        <w:footnoteReference w:id="25"/>
      </w:r>
    </w:p>
    <w:p w:rsidR="0025315F" w:rsidRDefault="0025315F" w:rsidP="0025315F">
      <w:pPr>
        <w:spacing w:line="360" w:lineRule="auto"/>
        <w:jc w:val="center"/>
        <w:outlineLvl w:val="0"/>
        <w:rPr>
          <w:rFonts w:ascii="Arial" w:hAnsi="Arial" w:cs="Arial"/>
          <w:b/>
          <w:sz w:val="48"/>
          <w:szCs w:val="24"/>
        </w:rPr>
      </w:pPr>
    </w:p>
    <w:p w:rsidR="0025315F" w:rsidRDefault="0025315F" w:rsidP="0025315F">
      <w:pPr>
        <w:spacing w:line="360" w:lineRule="auto"/>
        <w:jc w:val="center"/>
        <w:outlineLvl w:val="0"/>
        <w:rPr>
          <w:rFonts w:ascii="Arial" w:hAnsi="Arial" w:cs="Arial"/>
          <w:b/>
          <w:sz w:val="48"/>
          <w:szCs w:val="24"/>
        </w:rPr>
      </w:pPr>
    </w:p>
    <w:p w:rsidR="0025315F" w:rsidRDefault="0025315F" w:rsidP="0025315F">
      <w:pPr>
        <w:spacing w:line="360" w:lineRule="auto"/>
        <w:jc w:val="center"/>
        <w:outlineLvl w:val="0"/>
        <w:rPr>
          <w:rFonts w:ascii="Arial" w:hAnsi="Arial" w:cs="Arial"/>
          <w:b/>
          <w:sz w:val="48"/>
          <w:szCs w:val="24"/>
        </w:rPr>
      </w:pPr>
    </w:p>
    <w:p w:rsidR="0025315F" w:rsidRPr="002B52F4" w:rsidRDefault="0025315F" w:rsidP="0025315F">
      <w:pPr>
        <w:spacing w:line="360" w:lineRule="auto"/>
        <w:jc w:val="center"/>
        <w:outlineLvl w:val="0"/>
        <w:rPr>
          <w:rFonts w:ascii="Arial" w:hAnsi="Arial" w:cs="Arial"/>
          <w:b/>
          <w:sz w:val="48"/>
          <w:szCs w:val="24"/>
        </w:rPr>
      </w:pPr>
      <w:r w:rsidRPr="002B52F4">
        <w:rPr>
          <w:rFonts w:ascii="Arial" w:hAnsi="Arial" w:cs="Arial"/>
          <w:b/>
          <w:sz w:val="48"/>
          <w:szCs w:val="24"/>
        </w:rPr>
        <w:t>CAPÍTULO 2</w:t>
      </w:r>
    </w:p>
    <w:p w:rsidR="0025315F" w:rsidRPr="002B52F4" w:rsidRDefault="0025315F" w:rsidP="0025315F">
      <w:pPr>
        <w:pStyle w:val="ListParagraph"/>
        <w:numPr>
          <w:ilvl w:val="0"/>
          <w:numId w:val="11"/>
        </w:numPr>
        <w:spacing w:line="360" w:lineRule="auto"/>
        <w:jc w:val="both"/>
        <w:rPr>
          <w:rFonts w:ascii="Arial" w:hAnsi="Arial" w:cs="Arial"/>
          <w:b/>
          <w:caps/>
          <w:sz w:val="32"/>
          <w:szCs w:val="24"/>
        </w:rPr>
      </w:pPr>
      <w:r w:rsidRPr="002B52F4">
        <w:rPr>
          <w:rFonts w:ascii="Arial" w:hAnsi="Arial" w:cs="Arial"/>
          <w:b/>
          <w:caps/>
          <w:sz w:val="32"/>
          <w:szCs w:val="24"/>
        </w:rPr>
        <w:t>Riesgos para la Salud y Medidas de Prevención de las Radiaciones No Ionizantes</w:t>
      </w:r>
    </w:p>
    <w:p w:rsidR="0025315F" w:rsidRPr="009F58DF" w:rsidRDefault="0025315F" w:rsidP="0025315F">
      <w:pPr>
        <w:pStyle w:val="ListParagraph"/>
        <w:spacing w:line="360" w:lineRule="auto"/>
        <w:rPr>
          <w:rFonts w:ascii="Arial" w:hAnsi="Arial" w:cs="Arial"/>
          <w:b/>
          <w:sz w:val="24"/>
          <w:szCs w:val="24"/>
        </w:rPr>
      </w:pPr>
    </w:p>
    <w:p w:rsidR="0025315F" w:rsidRPr="009F58DF" w:rsidRDefault="0025315F" w:rsidP="0025315F">
      <w:pPr>
        <w:pStyle w:val="ListParagraph"/>
        <w:numPr>
          <w:ilvl w:val="1"/>
          <w:numId w:val="11"/>
        </w:numPr>
        <w:spacing w:line="360" w:lineRule="auto"/>
        <w:rPr>
          <w:rFonts w:ascii="Arial" w:hAnsi="Arial" w:cs="Arial"/>
          <w:b/>
          <w:sz w:val="24"/>
          <w:szCs w:val="24"/>
        </w:rPr>
      </w:pPr>
      <w:r w:rsidRPr="009F58DF">
        <w:rPr>
          <w:rFonts w:ascii="Arial" w:hAnsi="Arial" w:cs="Arial"/>
          <w:b/>
          <w:sz w:val="24"/>
          <w:szCs w:val="24"/>
        </w:rPr>
        <w:t>Efectos Biológicos de las Radiaciones No ionizantes</w:t>
      </w:r>
    </w:p>
    <w:p w:rsidR="0025315F" w:rsidRPr="009F58DF" w:rsidRDefault="0025315F" w:rsidP="0025315F">
      <w:pPr>
        <w:pStyle w:val="ListParagraph"/>
        <w:spacing w:line="360" w:lineRule="auto"/>
        <w:rPr>
          <w:rFonts w:ascii="Arial" w:hAnsi="Arial" w:cs="Arial"/>
          <w:sz w:val="24"/>
          <w:szCs w:val="24"/>
        </w:rPr>
      </w:pPr>
    </w:p>
    <w:p w:rsidR="0025315F" w:rsidRPr="009F58DF" w:rsidRDefault="0025315F" w:rsidP="0025315F">
      <w:pPr>
        <w:pStyle w:val="ListParagraph"/>
        <w:spacing w:line="360" w:lineRule="auto"/>
        <w:ind w:left="1418" w:hanging="2"/>
        <w:jc w:val="both"/>
        <w:rPr>
          <w:rFonts w:ascii="Arial" w:hAnsi="Arial" w:cs="Arial"/>
          <w:color w:val="231F20"/>
          <w:sz w:val="24"/>
          <w:szCs w:val="24"/>
        </w:rPr>
      </w:pPr>
      <w:r w:rsidRPr="009F58DF">
        <w:rPr>
          <w:rFonts w:ascii="Arial" w:hAnsi="Arial" w:cs="Arial"/>
          <w:color w:val="231F20"/>
          <w:sz w:val="24"/>
          <w:szCs w:val="24"/>
        </w:rPr>
        <w:t>La definición de salud de la Organización Mundial de la Salud (O.M.S.), además de la ausencia de enfermedad, también contempla el bienestar psicológico y social, y es evidente que hoy por hoy en algunos grupos de ciudadanos existe una percepción negativa sobre los posibles efectos nocivos de la exposición a campos electromagnéticos ambientales.</w:t>
      </w:r>
    </w:p>
    <w:p w:rsidR="0025315F" w:rsidRPr="009F58DF" w:rsidRDefault="0025315F" w:rsidP="0025315F">
      <w:pPr>
        <w:pStyle w:val="ListParagraph"/>
        <w:spacing w:line="360" w:lineRule="auto"/>
        <w:ind w:left="1418"/>
        <w:jc w:val="both"/>
        <w:rPr>
          <w:rFonts w:ascii="Arial" w:hAnsi="Arial" w:cs="Arial"/>
          <w:color w:val="231F20"/>
          <w:sz w:val="24"/>
          <w:szCs w:val="24"/>
        </w:rPr>
      </w:pPr>
    </w:p>
    <w:p w:rsidR="0025315F" w:rsidRPr="009F58DF" w:rsidRDefault="0025315F" w:rsidP="0025315F">
      <w:pPr>
        <w:pStyle w:val="ListParagraph"/>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Esta percepción de riesgo puede incluso llegar a desencadenar en algunas personas molestias de origen indeterminado como insomnio, dolor de cabeza o tensión nerviosa que han sido </w:t>
      </w:r>
      <w:r w:rsidRPr="009F58DF">
        <w:rPr>
          <w:rFonts w:ascii="Arial" w:hAnsi="Arial" w:cs="Arial"/>
          <w:color w:val="231F20"/>
          <w:sz w:val="24"/>
          <w:szCs w:val="24"/>
        </w:rPr>
        <w:lastRenderedPageBreak/>
        <w:t xml:space="preserve">agrupadas dentro del llamado </w:t>
      </w:r>
      <w:r w:rsidRPr="009F58DF">
        <w:rPr>
          <w:rFonts w:ascii="Arial" w:hAnsi="Arial" w:cs="Arial"/>
          <w:color w:val="000000"/>
          <w:sz w:val="24"/>
          <w:szCs w:val="24"/>
        </w:rPr>
        <w:t>"síndrome de hipersensibilidad electromagnética"</w:t>
      </w:r>
      <w:r w:rsidRPr="009F58DF">
        <w:rPr>
          <w:rFonts w:ascii="Arial" w:hAnsi="Arial" w:cs="Arial"/>
          <w:color w:val="231F20"/>
          <w:sz w:val="24"/>
          <w:szCs w:val="24"/>
        </w:rPr>
        <w:t>.</w:t>
      </w:r>
    </w:p>
    <w:p w:rsidR="0025315F" w:rsidRPr="009F58DF" w:rsidRDefault="0025315F" w:rsidP="0025315F">
      <w:pPr>
        <w:pStyle w:val="ListParagraph"/>
        <w:spacing w:line="360" w:lineRule="auto"/>
        <w:ind w:left="1418"/>
        <w:jc w:val="both"/>
        <w:rPr>
          <w:rFonts w:ascii="Arial" w:hAnsi="Arial" w:cs="Arial"/>
          <w:color w:val="231F20"/>
          <w:sz w:val="24"/>
          <w:szCs w:val="24"/>
        </w:rPr>
      </w:pPr>
    </w:p>
    <w:p w:rsidR="0025315F" w:rsidRPr="009F58DF" w:rsidRDefault="0025315F" w:rsidP="0025315F">
      <w:pPr>
        <w:pStyle w:val="ListParagraph"/>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Es importante señalar que no pueden considerarse iguales todos los campos electromagnéticos a la hora de evaluar su posible influencia en la salud, ya que la naturaleza de la interacción entre los distintos campos y el material biológico depende de las características de la emisión, sobre todo de la frecuencia y de la intensidad. Por tanto, los distintos tipos de radiaciones deben ser evaluadas de forma individual. Aquí nos vamos a ocupar sólo de la zona del espectro que se corresponde con las radiofrecuencias de radiodifusión radio FM, televisión abierta, telefonía móvil  en la banda de 800 MHz y wireless LAN </w:t>
      </w:r>
    </w:p>
    <w:p w:rsidR="0025315F" w:rsidRPr="009F58DF" w:rsidRDefault="0025315F" w:rsidP="0025315F">
      <w:pPr>
        <w:pStyle w:val="ListParagraph"/>
        <w:spacing w:line="360" w:lineRule="auto"/>
        <w:ind w:left="1418"/>
        <w:jc w:val="both"/>
        <w:rPr>
          <w:rFonts w:ascii="Arial" w:hAnsi="Arial" w:cs="Arial"/>
          <w:color w:val="231F20"/>
          <w:sz w:val="24"/>
          <w:szCs w:val="24"/>
        </w:rPr>
      </w:pPr>
    </w:p>
    <w:p w:rsidR="0025315F" w:rsidRPr="009F58DF" w:rsidRDefault="0025315F" w:rsidP="0025315F">
      <w:pPr>
        <w:pStyle w:val="ListParagraph"/>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Las radiofrecuencias pueden originar sobre nuestro organismo </w:t>
      </w:r>
      <w:r w:rsidRPr="009F58DF">
        <w:rPr>
          <w:rFonts w:ascii="Arial" w:hAnsi="Arial" w:cs="Arial"/>
          <w:color w:val="000000"/>
          <w:sz w:val="24"/>
          <w:szCs w:val="24"/>
        </w:rPr>
        <w:t>efectos biológicos</w:t>
      </w:r>
      <w:r w:rsidRPr="009F58DF">
        <w:rPr>
          <w:rFonts w:ascii="Arial" w:hAnsi="Arial" w:cs="Arial"/>
          <w:color w:val="231F20"/>
          <w:sz w:val="24"/>
          <w:szCs w:val="24"/>
        </w:rPr>
        <w:t>, considerando tales, como aquellos que producen algún tipo de modificación en el organismo, sin que ello implique que estos efectos tengan que ser necesariamente negativos.</w:t>
      </w:r>
    </w:p>
    <w:p w:rsidR="0025315F" w:rsidRPr="009F58DF" w:rsidRDefault="0025315F" w:rsidP="0025315F">
      <w:pPr>
        <w:pStyle w:val="ListParagraph"/>
        <w:spacing w:line="360" w:lineRule="auto"/>
        <w:ind w:left="1418"/>
        <w:jc w:val="both"/>
        <w:rPr>
          <w:rFonts w:ascii="Arial" w:hAnsi="Arial" w:cs="Arial"/>
          <w:color w:val="231F20"/>
          <w:sz w:val="24"/>
          <w:szCs w:val="24"/>
        </w:rPr>
      </w:pPr>
    </w:p>
    <w:p w:rsidR="0025315F" w:rsidRPr="009F58DF" w:rsidRDefault="0025315F" w:rsidP="0025315F">
      <w:pPr>
        <w:pStyle w:val="ListParagraph"/>
        <w:spacing w:line="360" w:lineRule="auto"/>
        <w:ind w:left="1418"/>
        <w:jc w:val="both"/>
        <w:outlineLvl w:val="0"/>
        <w:rPr>
          <w:rFonts w:ascii="Arial" w:hAnsi="Arial" w:cs="Arial"/>
          <w:color w:val="231F20"/>
          <w:sz w:val="24"/>
          <w:szCs w:val="24"/>
        </w:rPr>
      </w:pPr>
      <w:r w:rsidRPr="009F58DF">
        <w:rPr>
          <w:rFonts w:ascii="Arial" w:hAnsi="Arial" w:cs="Arial"/>
          <w:color w:val="231F20"/>
          <w:sz w:val="24"/>
          <w:szCs w:val="24"/>
        </w:rPr>
        <w:t>Se distinguen efectos biológicos de dos tipos: térmicos y no térmicos.</w:t>
      </w:r>
    </w:p>
    <w:p w:rsidR="0025315F" w:rsidRPr="009F58DF" w:rsidRDefault="0025315F" w:rsidP="0025315F">
      <w:pPr>
        <w:pStyle w:val="ListParagraph"/>
        <w:spacing w:line="360" w:lineRule="auto"/>
        <w:jc w:val="both"/>
        <w:rPr>
          <w:rFonts w:ascii="Arial" w:hAnsi="Arial" w:cs="Arial"/>
          <w:color w:val="231F20"/>
          <w:sz w:val="24"/>
          <w:szCs w:val="24"/>
        </w:rPr>
      </w:pPr>
    </w:p>
    <w:p w:rsidR="0025315F" w:rsidRPr="009F58DF" w:rsidRDefault="0025315F" w:rsidP="0025315F">
      <w:pPr>
        <w:pStyle w:val="ListParagraph"/>
        <w:spacing w:line="360" w:lineRule="auto"/>
        <w:jc w:val="both"/>
        <w:rPr>
          <w:rFonts w:ascii="Arial" w:hAnsi="Arial" w:cs="Arial"/>
          <w:b/>
          <w:sz w:val="24"/>
          <w:szCs w:val="24"/>
        </w:rPr>
      </w:pPr>
    </w:p>
    <w:p w:rsidR="0025315F" w:rsidRPr="009F58DF" w:rsidRDefault="0025315F" w:rsidP="0025315F">
      <w:pPr>
        <w:pStyle w:val="ListParagraph"/>
        <w:numPr>
          <w:ilvl w:val="2"/>
          <w:numId w:val="11"/>
        </w:numPr>
        <w:spacing w:line="360" w:lineRule="auto"/>
        <w:ind w:hanging="371"/>
        <w:jc w:val="both"/>
        <w:rPr>
          <w:rFonts w:ascii="Arial" w:hAnsi="Arial" w:cs="Arial"/>
          <w:b/>
          <w:sz w:val="24"/>
          <w:szCs w:val="24"/>
        </w:rPr>
      </w:pPr>
      <w:r w:rsidRPr="009F58DF">
        <w:rPr>
          <w:rFonts w:ascii="Arial" w:hAnsi="Arial" w:cs="Arial"/>
          <w:b/>
          <w:sz w:val="24"/>
          <w:szCs w:val="24"/>
        </w:rPr>
        <w:t>Efectos Térmicos</w:t>
      </w:r>
    </w:p>
    <w:p w:rsidR="0025315F" w:rsidRPr="009F58DF" w:rsidRDefault="0025315F" w:rsidP="0025315F">
      <w:pPr>
        <w:pStyle w:val="ListParagraph"/>
        <w:spacing w:line="360" w:lineRule="auto"/>
        <w:ind w:left="1440"/>
        <w:jc w:val="both"/>
        <w:rPr>
          <w:rFonts w:ascii="Arial" w:hAnsi="Arial" w:cs="Arial"/>
          <w:b/>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Aunque no son capaces de provocar ionización las radiaciones no ionizantes pueden inducir alteraciones en los sistemas biológicos, originadas por un ligero calentamiento del </w:t>
      </w:r>
      <w:r w:rsidRPr="009F58DF">
        <w:rPr>
          <w:rFonts w:ascii="Arial" w:hAnsi="Arial" w:cs="Arial"/>
          <w:color w:val="231F20"/>
          <w:sz w:val="24"/>
          <w:szCs w:val="24"/>
        </w:rPr>
        <w:lastRenderedPageBreak/>
        <w:t xml:space="preserve">organismo al situarse en un campo de radiación directa. Las ondas penetran en los tejidos expuestos y, debido a la absorción de energía por parte de las moléculas que empiezan a oscilar, se produce un aumento de la temperatura corporal. </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En general, los efectos comprobados bajo exposición a radiofrecuencias están relacionados con la capacidad que poseen de inducir corrientes eléctricas en los tejidos expuestos, que conducen  una elevación de la temperatura interna del sistema. </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Si el aumento de la temperatura corporal inducido por la exposición a la radiación es menor de 1 ºC, la sangre circulante es capaz, en general, de disipar ese exceso moderado de calor. </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Sin embargo, en ciertas estructuras con poca irrigación vascular, este incremento de temperatura puede no ser equilibrado por el sistema vascular con facilidad, originándose incrementos de la temperatura tisular o corporal superior a 1 ºC, que se asocian con una menor capacidad para desempeñar tareas mentales o físicas a medida que aumenta la temperatura corporal.</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jc w:val="both"/>
        <w:rPr>
          <w:rFonts w:ascii="Arial" w:hAnsi="Arial" w:cs="Arial"/>
          <w:b/>
          <w:sz w:val="24"/>
          <w:szCs w:val="24"/>
        </w:rPr>
      </w:pPr>
    </w:p>
    <w:p w:rsidR="0025315F" w:rsidRPr="009F58DF" w:rsidRDefault="0025315F" w:rsidP="0025315F">
      <w:pPr>
        <w:pStyle w:val="ListParagraph"/>
        <w:numPr>
          <w:ilvl w:val="2"/>
          <w:numId w:val="11"/>
        </w:numPr>
        <w:spacing w:line="360" w:lineRule="auto"/>
        <w:ind w:hanging="371"/>
        <w:jc w:val="both"/>
        <w:rPr>
          <w:rFonts w:ascii="Arial" w:hAnsi="Arial" w:cs="Arial"/>
          <w:b/>
          <w:sz w:val="24"/>
          <w:szCs w:val="24"/>
        </w:rPr>
      </w:pPr>
      <w:r w:rsidRPr="009F58DF">
        <w:rPr>
          <w:rFonts w:ascii="Arial" w:hAnsi="Arial" w:cs="Arial"/>
          <w:b/>
          <w:sz w:val="24"/>
          <w:szCs w:val="24"/>
        </w:rPr>
        <w:t xml:space="preserve">Efectos No Térmicos  </w:t>
      </w:r>
    </w:p>
    <w:p w:rsidR="0025315F" w:rsidRPr="009F58DF" w:rsidRDefault="0025315F" w:rsidP="0025315F">
      <w:pPr>
        <w:pStyle w:val="ListParagraph"/>
        <w:spacing w:line="360" w:lineRule="auto"/>
        <w:ind w:left="1440"/>
        <w:jc w:val="both"/>
        <w:rPr>
          <w:rFonts w:ascii="Arial" w:hAnsi="Arial" w:cs="Arial"/>
          <w:b/>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La alarma actual se centra en los posibles efectos no térmicos puestos de manifiesto en algunos estudios epidemiológicos, así como en trabajos experimentales "in vivo" (sobre organismos completos) e "in vitro" (sobre cultivos de células), que sugieren </w:t>
      </w:r>
      <w:r w:rsidRPr="009F58DF">
        <w:rPr>
          <w:rFonts w:ascii="Arial" w:hAnsi="Arial" w:cs="Arial"/>
          <w:color w:val="231F20"/>
          <w:sz w:val="24"/>
          <w:szCs w:val="24"/>
        </w:rPr>
        <w:lastRenderedPageBreak/>
        <w:t>otros posibles efectos a largo plazo, cuando se utilizan intensidades de exposición muy por encima de los límites de seguridad establecidos.</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Se ha suscitado gran preocupación por el posible aumento del riesgo de desarrollo de tumores, si bien los datos científicos de que se dispone actualmente indican que es poco probable que la exposición a este tipo de campos origine o favorezca su desarrollo.</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No se ha identificado hasta el momento ningún mecanismo biológico que muestre una posible relación causal entre la exposición a campos electromagnéticos y el riesgo de padecer alguna enfermedad. En experimentos de laboratorio se han detectado respuestas biológicas que no son indicativas de efectos nocivos para la salud. </w:t>
      </w:r>
    </w:p>
    <w:p w:rsidR="0025315F" w:rsidRPr="009F58DF" w:rsidRDefault="0025315F" w:rsidP="0025315F">
      <w:pPr>
        <w:pStyle w:val="ListParagraph"/>
        <w:spacing w:line="360" w:lineRule="auto"/>
        <w:ind w:left="1440"/>
        <w:jc w:val="both"/>
        <w:rPr>
          <w:rFonts w:ascii="Arial" w:hAnsi="Arial" w:cs="Arial"/>
          <w:b/>
          <w:color w:val="231F20"/>
          <w:sz w:val="24"/>
          <w:szCs w:val="24"/>
        </w:rPr>
      </w:pPr>
    </w:p>
    <w:p w:rsidR="0025315F" w:rsidRPr="009F58DF" w:rsidRDefault="0025315F" w:rsidP="0025315F">
      <w:pPr>
        <w:pStyle w:val="ListParagraph"/>
        <w:numPr>
          <w:ilvl w:val="2"/>
          <w:numId w:val="11"/>
        </w:numPr>
        <w:spacing w:line="360" w:lineRule="auto"/>
        <w:ind w:left="1418" w:hanging="709"/>
        <w:jc w:val="both"/>
        <w:rPr>
          <w:rFonts w:ascii="Arial" w:hAnsi="Arial" w:cs="Arial"/>
          <w:b/>
          <w:color w:val="231F20"/>
          <w:sz w:val="24"/>
          <w:szCs w:val="24"/>
        </w:rPr>
      </w:pPr>
      <w:r w:rsidRPr="009F58DF">
        <w:rPr>
          <w:rFonts w:ascii="Arial" w:hAnsi="Arial" w:cs="Arial"/>
          <w:b/>
          <w:color w:val="231F20"/>
          <w:sz w:val="24"/>
          <w:szCs w:val="24"/>
        </w:rPr>
        <w:t xml:space="preserve">Confirmación </w:t>
      </w:r>
      <w:r w:rsidRPr="009F58DF">
        <w:rPr>
          <w:rFonts w:ascii="Arial" w:hAnsi="Arial" w:cs="Arial"/>
          <w:b/>
          <w:sz w:val="24"/>
          <w:szCs w:val="24"/>
        </w:rPr>
        <w:t>de Riesgo a la Salud de las Radiaciones No Ionizantes</w:t>
      </w:r>
    </w:p>
    <w:p w:rsidR="0025315F" w:rsidRPr="009F58DF" w:rsidRDefault="0025315F" w:rsidP="0025315F">
      <w:pPr>
        <w:pStyle w:val="ListParagraph"/>
        <w:spacing w:line="360" w:lineRule="auto"/>
        <w:ind w:left="1440"/>
        <w:jc w:val="both"/>
        <w:rPr>
          <w:rFonts w:ascii="Arial" w:hAnsi="Arial" w:cs="Arial"/>
          <w:color w:val="00000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000000"/>
          <w:sz w:val="24"/>
          <w:szCs w:val="24"/>
        </w:rPr>
        <w:t xml:space="preserve">La Organización Mundial de la Salud </w:t>
      </w:r>
      <w:r w:rsidRPr="009F58DF">
        <w:rPr>
          <w:rFonts w:ascii="Arial" w:hAnsi="Arial" w:cs="Arial"/>
          <w:color w:val="231F20"/>
          <w:sz w:val="24"/>
          <w:szCs w:val="24"/>
        </w:rPr>
        <w:t xml:space="preserve">en el año </w:t>
      </w:r>
      <w:r w:rsidRPr="009F58DF">
        <w:rPr>
          <w:rFonts w:ascii="Arial" w:hAnsi="Arial" w:cs="Arial"/>
          <w:color w:val="000000"/>
          <w:sz w:val="24"/>
          <w:szCs w:val="24"/>
        </w:rPr>
        <w:t xml:space="preserve">2000 </w:t>
      </w:r>
      <w:r w:rsidRPr="009F58DF">
        <w:rPr>
          <w:rFonts w:ascii="Arial" w:hAnsi="Arial" w:cs="Arial"/>
          <w:color w:val="231F20"/>
          <w:sz w:val="24"/>
          <w:szCs w:val="24"/>
        </w:rPr>
        <w:t xml:space="preserve">en el documento </w:t>
      </w:r>
      <w:r w:rsidRPr="009F58DF">
        <w:rPr>
          <w:rFonts w:ascii="Arial" w:hAnsi="Arial" w:cs="Arial"/>
          <w:i/>
          <w:iCs/>
          <w:color w:val="231F20"/>
          <w:sz w:val="24"/>
          <w:szCs w:val="24"/>
        </w:rPr>
        <w:t xml:space="preserve">"Campos electromagnéticos y salud pública - los teléfonos móviles y las estaciones base" </w:t>
      </w:r>
      <w:r w:rsidRPr="009F58DF">
        <w:rPr>
          <w:rFonts w:ascii="Arial" w:hAnsi="Arial" w:cs="Arial"/>
          <w:color w:val="231F20"/>
          <w:sz w:val="24"/>
          <w:szCs w:val="24"/>
        </w:rPr>
        <w:t>indica que "Hasta el momento ningún estudio permite concluir que la exposición a CEM de radiofrecuencias emitidas por teléfonos móviles o sus estaciones base representen algún peligro para la salud"</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El </w:t>
      </w:r>
      <w:r w:rsidRPr="009F58DF">
        <w:rPr>
          <w:rFonts w:ascii="Arial" w:hAnsi="Arial" w:cs="Arial"/>
          <w:color w:val="000000"/>
          <w:sz w:val="24"/>
          <w:szCs w:val="24"/>
        </w:rPr>
        <w:t>Comité Científico Director de la Unión Europea en Toxicología, Ecotoxilogía y Medio Ambiente</w:t>
      </w:r>
      <w:r w:rsidRPr="009F58DF">
        <w:rPr>
          <w:rFonts w:ascii="Arial" w:hAnsi="Arial" w:cs="Arial"/>
          <w:color w:val="231F20"/>
          <w:sz w:val="24"/>
          <w:szCs w:val="24"/>
        </w:rPr>
        <w:t xml:space="preserve">, en el año </w:t>
      </w:r>
      <w:r w:rsidRPr="009F58DF">
        <w:rPr>
          <w:rFonts w:ascii="Arial" w:hAnsi="Arial" w:cs="Arial"/>
          <w:color w:val="000000"/>
          <w:sz w:val="24"/>
          <w:szCs w:val="24"/>
        </w:rPr>
        <w:t>2002</w:t>
      </w:r>
      <w:r w:rsidRPr="009F58DF">
        <w:rPr>
          <w:rFonts w:ascii="Arial" w:hAnsi="Arial" w:cs="Arial"/>
          <w:color w:val="231F20"/>
          <w:sz w:val="24"/>
          <w:szCs w:val="24"/>
        </w:rPr>
        <w:t xml:space="preserve">, en el trabajo </w:t>
      </w:r>
      <w:r w:rsidRPr="009F58DF">
        <w:rPr>
          <w:rFonts w:ascii="Arial" w:hAnsi="Arial" w:cs="Arial"/>
          <w:i/>
          <w:iCs/>
          <w:color w:val="231F20"/>
          <w:sz w:val="24"/>
          <w:szCs w:val="24"/>
        </w:rPr>
        <w:t xml:space="preserve">"Posibles efectos de los CEM, radiofrecuencias y </w:t>
      </w:r>
      <w:r w:rsidRPr="009F58DF">
        <w:rPr>
          <w:rFonts w:ascii="Arial" w:hAnsi="Arial" w:cs="Arial"/>
          <w:i/>
          <w:iCs/>
          <w:color w:val="231F20"/>
          <w:sz w:val="24"/>
          <w:szCs w:val="24"/>
        </w:rPr>
        <w:lastRenderedPageBreak/>
        <w:t>microondas sobre la salud humana"</w:t>
      </w:r>
      <w:r w:rsidRPr="009F58DF">
        <w:rPr>
          <w:rFonts w:ascii="Arial" w:hAnsi="Arial" w:cs="Arial"/>
          <w:color w:val="231F20"/>
          <w:sz w:val="24"/>
          <w:szCs w:val="24"/>
        </w:rPr>
        <w:t>, determina que "Los estudios realizados para radiofrecuencias y microondas no han proporcionado evidencias de efectos cancerígenos en niños o adultos, ni de citotoxicidad extrapolables a la población humana".</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spacing w:line="360" w:lineRule="auto"/>
        <w:ind w:left="1440"/>
        <w:jc w:val="both"/>
        <w:rPr>
          <w:rFonts w:ascii="Arial" w:hAnsi="Arial" w:cs="Arial"/>
          <w:color w:val="231F20"/>
          <w:sz w:val="24"/>
          <w:szCs w:val="24"/>
        </w:rPr>
      </w:pPr>
      <w:r w:rsidRPr="009F58DF">
        <w:rPr>
          <w:rFonts w:ascii="Arial" w:hAnsi="Arial" w:cs="Arial"/>
          <w:color w:val="231F20"/>
          <w:sz w:val="24"/>
          <w:szCs w:val="24"/>
        </w:rPr>
        <w:t xml:space="preserve">En el año </w:t>
      </w:r>
      <w:r w:rsidRPr="009F58DF">
        <w:rPr>
          <w:rFonts w:ascii="Arial" w:hAnsi="Arial" w:cs="Arial"/>
          <w:color w:val="000000"/>
          <w:sz w:val="24"/>
          <w:szCs w:val="24"/>
        </w:rPr>
        <w:t xml:space="preserve">2001 </w:t>
      </w:r>
      <w:r w:rsidRPr="009F58DF">
        <w:rPr>
          <w:rFonts w:ascii="Arial" w:hAnsi="Arial" w:cs="Arial"/>
          <w:color w:val="231F20"/>
          <w:sz w:val="24"/>
          <w:szCs w:val="24"/>
        </w:rPr>
        <w:t xml:space="preserve">y en la actualización del </w:t>
      </w:r>
      <w:r w:rsidRPr="009F58DF">
        <w:rPr>
          <w:rFonts w:ascii="Arial" w:hAnsi="Arial" w:cs="Arial"/>
          <w:color w:val="000000"/>
          <w:sz w:val="24"/>
          <w:szCs w:val="24"/>
        </w:rPr>
        <w:t xml:space="preserve">2003 </w:t>
      </w:r>
      <w:r w:rsidRPr="009F58DF">
        <w:rPr>
          <w:rFonts w:ascii="Arial" w:hAnsi="Arial" w:cs="Arial"/>
          <w:color w:val="231F20"/>
          <w:sz w:val="24"/>
          <w:szCs w:val="24"/>
        </w:rPr>
        <w:t xml:space="preserve">el </w:t>
      </w:r>
      <w:r w:rsidRPr="009F58DF">
        <w:rPr>
          <w:rFonts w:ascii="Arial" w:hAnsi="Arial" w:cs="Arial"/>
          <w:color w:val="000000"/>
          <w:sz w:val="24"/>
          <w:szCs w:val="24"/>
        </w:rPr>
        <w:t>Comité de Expertos del Ministerio de Sanidad y Consumo</w:t>
      </w:r>
      <w:r w:rsidRPr="009F58DF">
        <w:rPr>
          <w:rFonts w:ascii="Arial" w:hAnsi="Arial" w:cs="Arial"/>
          <w:color w:val="231F20"/>
          <w:sz w:val="24"/>
          <w:szCs w:val="24"/>
        </w:rPr>
        <w:t xml:space="preserve">, en su informe </w:t>
      </w:r>
      <w:r w:rsidRPr="009F58DF">
        <w:rPr>
          <w:rFonts w:ascii="Arial" w:hAnsi="Arial" w:cs="Arial"/>
          <w:i/>
          <w:iCs/>
          <w:color w:val="231F20"/>
          <w:sz w:val="24"/>
          <w:szCs w:val="24"/>
        </w:rPr>
        <w:t>"Campos electromagnéticos en relación con la salud pública"</w:t>
      </w:r>
      <w:r w:rsidRPr="009F58DF">
        <w:rPr>
          <w:rFonts w:ascii="Arial" w:hAnsi="Arial" w:cs="Arial"/>
          <w:color w:val="231F20"/>
          <w:sz w:val="24"/>
          <w:szCs w:val="24"/>
        </w:rPr>
        <w:t>, señala que sobre la base actual del conocimiento científico puede afirmarse que:</w:t>
      </w:r>
    </w:p>
    <w:p w:rsidR="0025315F" w:rsidRPr="009F58DF" w:rsidRDefault="0025315F" w:rsidP="0025315F">
      <w:pPr>
        <w:pStyle w:val="ListParagraph"/>
        <w:spacing w:line="360" w:lineRule="auto"/>
        <w:ind w:left="1440"/>
        <w:jc w:val="both"/>
        <w:rPr>
          <w:rFonts w:ascii="Arial" w:hAnsi="Arial" w:cs="Arial"/>
          <w:color w:val="231F20"/>
          <w:sz w:val="24"/>
          <w:szCs w:val="24"/>
        </w:rPr>
      </w:pPr>
    </w:p>
    <w:p w:rsidR="0025315F" w:rsidRPr="009F58DF" w:rsidRDefault="0025315F" w:rsidP="0025315F">
      <w:pPr>
        <w:pStyle w:val="ListParagraph"/>
        <w:numPr>
          <w:ilvl w:val="0"/>
          <w:numId w:val="12"/>
        </w:numPr>
        <w:spacing w:line="360" w:lineRule="auto"/>
        <w:jc w:val="both"/>
        <w:rPr>
          <w:rFonts w:ascii="Arial" w:hAnsi="Arial" w:cs="Arial"/>
          <w:color w:val="231F20"/>
          <w:sz w:val="24"/>
          <w:szCs w:val="24"/>
        </w:rPr>
      </w:pPr>
      <w:r w:rsidRPr="009F58DF">
        <w:rPr>
          <w:rFonts w:ascii="Arial" w:hAnsi="Arial" w:cs="Arial"/>
          <w:color w:val="231F20"/>
          <w:sz w:val="24"/>
          <w:szCs w:val="24"/>
        </w:rPr>
        <w:t>No se ha identificado, hasta el momento, ningún mecanismo biológico que muestre una posible relación causal entre la exposición a campos electromagnéticos y el riesgo de padecer alguna enfermedad.</w:t>
      </w:r>
    </w:p>
    <w:p w:rsidR="0025315F" w:rsidRPr="009F58DF" w:rsidRDefault="0025315F" w:rsidP="0025315F">
      <w:pPr>
        <w:pStyle w:val="ListParagraph"/>
        <w:numPr>
          <w:ilvl w:val="0"/>
          <w:numId w:val="12"/>
        </w:numPr>
        <w:spacing w:line="360" w:lineRule="auto"/>
        <w:jc w:val="both"/>
        <w:rPr>
          <w:rFonts w:ascii="Arial" w:hAnsi="Arial" w:cs="Arial"/>
          <w:color w:val="231F20"/>
          <w:sz w:val="24"/>
          <w:szCs w:val="24"/>
        </w:rPr>
      </w:pPr>
      <w:r w:rsidRPr="009F58DF">
        <w:rPr>
          <w:rFonts w:ascii="Arial" w:hAnsi="Arial" w:cs="Arial"/>
          <w:color w:val="231F20"/>
          <w:sz w:val="24"/>
          <w:szCs w:val="24"/>
        </w:rPr>
        <w:t xml:space="preserve">La exposición a campos electromagnéticos no ocasión efectos adversos para la salud dentro de los límites establecidos en la Recomendación </w:t>
      </w:r>
      <w:r w:rsidRPr="009F58DF">
        <w:rPr>
          <w:rFonts w:ascii="Arial" w:hAnsi="Arial" w:cs="Arial"/>
          <w:i/>
          <w:color w:val="000000"/>
          <w:sz w:val="24"/>
          <w:szCs w:val="24"/>
        </w:rPr>
        <w:t>Comisión Internacional sobre Protección frente a Radiaciones No Ionizantes</w:t>
      </w:r>
      <w:r w:rsidRPr="009F58DF">
        <w:rPr>
          <w:rFonts w:ascii="Arial" w:hAnsi="Arial" w:cs="Arial"/>
          <w:color w:val="000000"/>
          <w:sz w:val="24"/>
          <w:szCs w:val="24"/>
        </w:rPr>
        <w:t xml:space="preserve"> </w:t>
      </w:r>
    </w:p>
    <w:p w:rsidR="0025315F" w:rsidRPr="009F58DF" w:rsidRDefault="0025315F" w:rsidP="0025315F">
      <w:pPr>
        <w:pStyle w:val="ListParagraph"/>
        <w:numPr>
          <w:ilvl w:val="0"/>
          <w:numId w:val="12"/>
        </w:numPr>
        <w:spacing w:line="360" w:lineRule="auto"/>
        <w:jc w:val="both"/>
        <w:rPr>
          <w:rFonts w:ascii="Arial" w:hAnsi="Arial" w:cs="Arial"/>
          <w:color w:val="231F20"/>
          <w:sz w:val="24"/>
          <w:szCs w:val="24"/>
        </w:rPr>
      </w:pPr>
      <w:r w:rsidRPr="009F58DF">
        <w:rPr>
          <w:rFonts w:ascii="Arial" w:hAnsi="Arial" w:cs="Arial"/>
          <w:color w:val="231F20"/>
          <w:sz w:val="24"/>
          <w:szCs w:val="24"/>
        </w:rPr>
        <w:t>A los valores de potencia de emisión actuales, a las distancias calculadas en función de los criterios de la Recomendación, y sobre las bases de la evidencia científica disponible, las antenas de telefonía y los terminales móviles no parecen representar en la actualidad un riesgo para la salud pública.</w:t>
      </w:r>
    </w:p>
    <w:p w:rsidR="0025315F" w:rsidRPr="009F58DF" w:rsidRDefault="0025315F" w:rsidP="0025315F">
      <w:pPr>
        <w:pStyle w:val="ListParagraph"/>
        <w:numPr>
          <w:ilvl w:val="0"/>
          <w:numId w:val="12"/>
        </w:numPr>
        <w:spacing w:line="360" w:lineRule="auto"/>
        <w:jc w:val="both"/>
        <w:rPr>
          <w:rFonts w:ascii="Arial" w:hAnsi="Arial" w:cs="Arial"/>
          <w:color w:val="231F20"/>
          <w:sz w:val="24"/>
          <w:szCs w:val="24"/>
        </w:rPr>
      </w:pPr>
      <w:r w:rsidRPr="009F58DF">
        <w:rPr>
          <w:rFonts w:ascii="Arial" w:hAnsi="Arial" w:cs="Arial"/>
          <w:color w:val="231F20"/>
          <w:sz w:val="24"/>
          <w:szCs w:val="24"/>
        </w:rPr>
        <w:lastRenderedPageBreak/>
        <w:t>En experimentos de laboratorio se han detectado respuestas biológicas que, sin embargo, no son indicativas de efectos nocivos para la salud.</w:t>
      </w:r>
    </w:p>
    <w:p w:rsidR="0025315F" w:rsidRPr="009F58DF" w:rsidRDefault="0025315F" w:rsidP="0025315F">
      <w:pPr>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Por su parte la </w:t>
      </w:r>
      <w:r w:rsidRPr="009F58DF">
        <w:rPr>
          <w:rFonts w:ascii="Arial" w:hAnsi="Arial" w:cs="Arial"/>
          <w:color w:val="000000"/>
          <w:sz w:val="24"/>
          <w:szCs w:val="24"/>
        </w:rPr>
        <w:t>Asociación Española Contra el Cáncer</w:t>
      </w:r>
      <w:r w:rsidRPr="009F58DF">
        <w:rPr>
          <w:rFonts w:ascii="Arial" w:hAnsi="Arial" w:cs="Arial"/>
          <w:color w:val="231F20"/>
          <w:sz w:val="24"/>
          <w:szCs w:val="24"/>
        </w:rPr>
        <w:t xml:space="preserve">, en su documento </w:t>
      </w:r>
      <w:r w:rsidRPr="009F58DF">
        <w:rPr>
          <w:rFonts w:ascii="Arial" w:hAnsi="Arial" w:cs="Arial"/>
          <w:i/>
          <w:iCs/>
          <w:color w:val="231F20"/>
          <w:sz w:val="24"/>
          <w:szCs w:val="24"/>
        </w:rPr>
        <w:t>"Campos electromagnéticos y Cáncer: Preguntas y</w:t>
      </w:r>
      <w:r w:rsidRPr="009F58DF">
        <w:rPr>
          <w:rFonts w:ascii="Arial" w:hAnsi="Arial" w:cs="Arial"/>
          <w:color w:val="231F20"/>
          <w:sz w:val="24"/>
          <w:szCs w:val="24"/>
        </w:rPr>
        <w:t xml:space="preserve"> </w:t>
      </w:r>
      <w:r w:rsidRPr="009F58DF">
        <w:rPr>
          <w:rFonts w:ascii="Arial" w:hAnsi="Arial" w:cs="Arial"/>
          <w:i/>
          <w:iCs/>
          <w:color w:val="231F20"/>
          <w:sz w:val="24"/>
          <w:szCs w:val="24"/>
        </w:rPr>
        <w:t>Respuestas"</w:t>
      </w:r>
      <w:r w:rsidRPr="009F58DF">
        <w:rPr>
          <w:rFonts w:ascii="Arial" w:hAnsi="Arial" w:cs="Arial"/>
          <w:color w:val="231F20"/>
          <w:sz w:val="24"/>
          <w:szCs w:val="24"/>
        </w:rPr>
        <w:t xml:space="preserve">, del año </w:t>
      </w:r>
      <w:r w:rsidRPr="009F58DF">
        <w:rPr>
          <w:rFonts w:ascii="Arial" w:hAnsi="Arial" w:cs="Arial"/>
          <w:color w:val="000000"/>
          <w:sz w:val="24"/>
          <w:szCs w:val="24"/>
        </w:rPr>
        <w:t>2004</w:t>
      </w:r>
      <w:r w:rsidRPr="009F58DF">
        <w:rPr>
          <w:rFonts w:ascii="Arial" w:hAnsi="Arial" w:cs="Arial"/>
          <w:color w:val="231F20"/>
          <w:sz w:val="24"/>
          <w:szCs w:val="24"/>
        </w:rPr>
        <w:t xml:space="preserve">, concluye que no se ha encontrado asociación causa-efecto entre la exposición a campos electromagnéticos dentro de los límites recomendados y el cáncer; pero que la investigación debe continuar abierta. </w:t>
      </w:r>
    </w:p>
    <w:p w:rsidR="0025315F" w:rsidRPr="009F58DF" w:rsidRDefault="0025315F" w:rsidP="0025315F">
      <w:pPr>
        <w:spacing w:line="360" w:lineRule="auto"/>
        <w:ind w:left="1418"/>
        <w:jc w:val="both"/>
        <w:rPr>
          <w:rFonts w:ascii="Arial" w:hAnsi="Arial" w:cs="Arial"/>
          <w:color w:val="231F20"/>
          <w:sz w:val="24"/>
          <w:szCs w:val="24"/>
        </w:rPr>
      </w:pPr>
      <w:r w:rsidRPr="009F58DF">
        <w:rPr>
          <w:rFonts w:ascii="Arial" w:hAnsi="Arial" w:cs="Arial"/>
          <w:color w:val="000000"/>
          <w:sz w:val="24"/>
          <w:szCs w:val="24"/>
        </w:rPr>
        <w:t>La Organización Mundial de la Salud</w:t>
      </w:r>
      <w:r w:rsidRPr="009F58DF">
        <w:rPr>
          <w:rFonts w:ascii="Arial" w:hAnsi="Arial" w:cs="Arial"/>
          <w:color w:val="231F20"/>
          <w:sz w:val="24"/>
          <w:szCs w:val="24"/>
        </w:rPr>
        <w:t xml:space="preserve">, en el año </w:t>
      </w:r>
      <w:r w:rsidRPr="009F58DF">
        <w:rPr>
          <w:rFonts w:ascii="Arial" w:hAnsi="Arial" w:cs="Arial"/>
          <w:color w:val="000000"/>
          <w:sz w:val="24"/>
          <w:szCs w:val="24"/>
        </w:rPr>
        <w:t>2006</w:t>
      </w:r>
      <w:r w:rsidRPr="009F58DF">
        <w:rPr>
          <w:rFonts w:ascii="Arial" w:hAnsi="Arial" w:cs="Arial"/>
          <w:color w:val="231F20"/>
          <w:sz w:val="24"/>
          <w:szCs w:val="24"/>
        </w:rPr>
        <w:t xml:space="preserve">, en el documento </w:t>
      </w:r>
      <w:r w:rsidRPr="009F58DF">
        <w:rPr>
          <w:rFonts w:ascii="Arial" w:hAnsi="Arial" w:cs="Arial"/>
          <w:i/>
          <w:iCs/>
          <w:color w:val="231F20"/>
          <w:sz w:val="24"/>
          <w:szCs w:val="24"/>
        </w:rPr>
        <w:t xml:space="preserve">“Campos electromagnéticos y salud pública -Estaciones de base y tecnologías inalámbricas” </w:t>
      </w:r>
      <w:r w:rsidRPr="009F58DF">
        <w:rPr>
          <w:rFonts w:ascii="Arial" w:hAnsi="Arial" w:cs="Arial"/>
          <w:color w:val="231F20"/>
          <w:sz w:val="24"/>
          <w:szCs w:val="24"/>
        </w:rPr>
        <w:t xml:space="preserve">concluye que “Teniendo en cuenta los muy bajos niveles de exposición y los resultados de investigaciones reunidos hasta el momento, no hay ninguna prueba científica convincente de que las débiles señales de radiofrecuencia procedentes de las estaciones de base y de las redes inalámbricas tengan efectos adversos en la salud”. </w:t>
      </w:r>
    </w:p>
    <w:p w:rsidR="0025315F" w:rsidRPr="009F58DF" w:rsidRDefault="0025315F" w:rsidP="0025315F">
      <w:pPr>
        <w:spacing w:line="360" w:lineRule="auto"/>
        <w:ind w:left="1418"/>
        <w:jc w:val="both"/>
        <w:rPr>
          <w:rFonts w:ascii="Arial" w:hAnsi="Arial" w:cs="Arial"/>
          <w:color w:val="231F20"/>
          <w:sz w:val="24"/>
          <w:szCs w:val="24"/>
        </w:rPr>
      </w:pPr>
      <w:r w:rsidRPr="009F58DF">
        <w:rPr>
          <w:rFonts w:ascii="Arial" w:hAnsi="Arial" w:cs="Arial"/>
          <w:color w:val="231F20"/>
          <w:sz w:val="24"/>
          <w:szCs w:val="24"/>
        </w:rPr>
        <w:t>Dado el relativo poco tiempo de uso de los teléfonos móviles, los efectos a largo plazo, incluidos los posibles efectos carcinógenos de la exposición a campos eléctricos, magnéticos y electromagnéticos, sobre los cuales actualmente no hay pruebas científicas concluyentes que establezcan una relación de causalidad, requieren de vigilancia e investigación continua.</w:t>
      </w:r>
    </w:p>
    <w:p w:rsidR="0025315F" w:rsidRPr="009F58DF" w:rsidRDefault="0025315F" w:rsidP="0025315F">
      <w:pPr>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Por ello la Organización Mundial de la Salud </w:t>
      </w:r>
      <w:r w:rsidRPr="009F58DF">
        <w:rPr>
          <w:rFonts w:ascii="Arial" w:hAnsi="Arial" w:cs="Arial"/>
          <w:color w:val="000000"/>
          <w:sz w:val="24"/>
          <w:szCs w:val="24"/>
        </w:rPr>
        <w:t xml:space="preserve">(OMS) </w:t>
      </w:r>
      <w:r w:rsidRPr="009F58DF">
        <w:rPr>
          <w:rFonts w:ascii="Arial" w:hAnsi="Arial" w:cs="Arial"/>
          <w:color w:val="231F20"/>
          <w:sz w:val="24"/>
          <w:szCs w:val="24"/>
        </w:rPr>
        <w:t xml:space="preserve">consciente de la necesidad de profundizar en los estudios científicos para determinar la relación entre las radiofrecuencias y el cáncer, planteó el </w:t>
      </w:r>
      <w:r w:rsidRPr="009F58DF">
        <w:rPr>
          <w:rFonts w:ascii="Arial" w:hAnsi="Arial" w:cs="Arial"/>
          <w:i/>
          <w:iCs/>
          <w:color w:val="000000"/>
          <w:sz w:val="24"/>
          <w:szCs w:val="24"/>
        </w:rPr>
        <w:t xml:space="preserve">Proyecto Internacional sobre Campos </w:t>
      </w:r>
      <w:r w:rsidRPr="009F58DF">
        <w:rPr>
          <w:rFonts w:ascii="Arial" w:hAnsi="Arial" w:cs="Arial"/>
          <w:i/>
          <w:iCs/>
          <w:color w:val="000000"/>
          <w:sz w:val="24"/>
          <w:szCs w:val="24"/>
        </w:rPr>
        <w:lastRenderedPageBreak/>
        <w:t>Electromagnéticos</w:t>
      </w:r>
      <w:r w:rsidRPr="009F58DF">
        <w:rPr>
          <w:rFonts w:ascii="Arial" w:hAnsi="Arial" w:cs="Arial"/>
          <w:color w:val="231F20"/>
          <w:sz w:val="24"/>
          <w:szCs w:val="24"/>
        </w:rPr>
        <w:t>, que se puso en marcha con el fin de evaluar los efectos sanitarios y  ambientales de la exposición a campos eléctricos y magnéticos estáticos y variables con el tiempo en la gama de frecuencias de 0-300GHz.</w:t>
      </w:r>
    </w:p>
    <w:p w:rsidR="0025315F" w:rsidRPr="009F58DF" w:rsidRDefault="0025315F" w:rsidP="0025315F">
      <w:pPr>
        <w:spacing w:line="360" w:lineRule="auto"/>
        <w:ind w:left="1418"/>
        <w:jc w:val="both"/>
        <w:rPr>
          <w:rFonts w:ascii="Arial" w:hAnsi="Arial" w:cs="Arial"/>
          <w:color w:val="231F20"/>
          <w:sz w:val="24"/>
          <w:szCs w:val="24"/>
        </w:rPr>
      </w:pPr>
      <w:r w:rsidRPr="009F58DF">
        <w:rPr>
          <w:rFonts w:ascii="Arial" w:hAnsi="Arial" w:cs="Arial"/>
          <w:color w:val="231F20"/>
          <w:sz w:val="24"/>
          <w:szCs w:val="24"/>
        </w:rPr>
        <w:t xml:space="preserve"> Los </w:t>
      </w:r>
      <w:r w:rsidRPr="009F58DF">
        <w:rPr>
          <w:rFonts w:ascii="Arial" w:hAnsi="Arial" w:cs="Arial"/>
          <w:color w:val="000000"/>
          <w:sz w:val="24"/>
          <w:szCs w:val="24"/>
        </w:rPr>
        <w:t xml:space="preserve">objetivos principales </w:t>
      </w:r>
      <w:r w:rsidRPr="009F58DF">
        <w:rPr>
          <w:rFonts w:ascii="Arial" w:hAnsi="Arial" w:cs="Arial"/>
          <w:color w:val="231F20"/>
          <w:sz w:val="24"/>
          <w:szCs w:val="24"/>
        </w:rPr>
        <w:t xml:space="preserve">de este </w:t>
      </w:r>
      <w:r w:rsidRPr="009F58DF">
        <w:rPr>
          <w:rFonts w:ascii="Arial" w:hAnsi="Arial" w:cs="Arial"/>
          <w:color w:val="000000"/>
          <w:sz w:val="24"/>
          <w:szCs w:val="24"/>
        </w:rPr>
        <w:t>Proyecto de Investigación Internacional</w:t>
      </w:r>
      <w:r w:rsidRPr="009F58DF">
        <w:rPr>
          <w:rFonts w:ascii="Arial" w:hAnsi="Arial" w:cs="Arial"/>
          <w:color w:val="231F20"/>
          <w:sz w:val="24"/>
          <w:szCs w:val="24"/>
        </w:rPr>
        <w:t>, son:</w:t>
      </w:r>
    </w:p>
    <w:p w:rsidR="0025315F" w:rsidRPr="009F58D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Dar respuesta a las inquietudes sobre los posibles efectos sanitarios de la exposición a los campos electromagnéticos.</w:t>
      </w:r>
    </w:p>
    <w:p w:rsidR="0025315F" w:rsidRPr="009F58D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 xml:space="preserve">Evaluar las publicaciones científicas, y elaborar informes específicos. </w:t>
      </w:r>
    </w:p>
    <w:p w:rsidR="0025315F" w:rsidRPr="009F58D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 xml:space="preserve">Descubrir aspectos insuficientemente conocidos fomentando la investigación especializada y de alta calidad. </w:t>
      </w:r>
    </w:p>
    <w:p w:rsidR="0025315F" w:rsidRPr="009F58D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 xml:space="preserve">Facilitar el desarrollo de normas internacionalmente aceptables. </w:t>
      </w:r>
    </w:p>
    <w:p w:rsidR="0025315F" w:rsidRPr="009F58D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 xml:space="preserve">Asesorar a las autoridades nacionales y de otros ámbitos sobre los efectos sanitarios y ambientales de los CEM. </w:t>
      </w:r>
    </w:p>
    <w:p w:rsidR="0025315F" w:rsidRDefault="0025315F" w:rsidP="0025315F">
      <w:pPr>
        <w:pStyle w:val="ListParagraph"/>
        <w:numPr>
          <w:ilvl w:val="0"/>
          <w:numId w:val="13"/>
        </w:numPr>
        <w:autoSpaceDE w:val="0"/>
        <w:autoSpaceDN w:val="0"/>
        <w:adjustRightInd w:val="0"/>
        <w:spacing w:after="0" w:line="360" w:lineRule="auto"/>
        <w:jc w:val="both"/>
        <w:rPr>
          <w:rFonts w:ascii="Arial" w:hAnsi="Arial" w:cs="Arial"/>
          <w:color w:val="231F20"/>
          <w:sz w:val="24"/>
          <w:szCs w:val="24"/>
        </w:rPr>
      </w:pPr>
      <w:r w:rsidRPr="009F58DF">
        <w:rPr>
          <w:rFonts w:ascii="Arial" w:hAnsi="Arial" w:cs="Arial"/>
          <w:color w:val="231F20"/>
          <w:sz w:val="24"/>
          <w:szCs w:val="24"/>
        </w:rPr>
        <w:t>Asesorar sobre las eventuales medidas o actuaciones de protección necesarias.</w:t>
      </w: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Pr="009F58DF" w:rsidRDefault="0025315F" w:rsidP="0025315F">
      <w:pPr>
        <w:pStyle w:val="ListParagraph"/>
        <w:autoSpaceDE w:val="0"/>
        <w:autoSpaceDN w:val="0"/>
        <w:adjustRightInd w:val="0"/>
        <w:spacing w:after="0" w:line="360" w:lineRule="auto"/>
        <w:ind w:left="2640"/>
        <w:jc w:val="both"/>
        <w:rPr>
          <w:rFonts w:ascii="Arial" w:hAnsi="Arial" w:cs="Arial"/>
          <w:color w:val="231F20"/>
          <w:sz w:val="24"/>
          <w:szCs w:val="24"/>
        </w:rPr>
      </w:pPr>
    </w:p>
    <w:p w:rsidR="0025315F" w:rsidRPr="002B52F4" w:rsidRDefault="0025315F" w:rsidP="0025315F">
      <w:pPr>
        <w:spacing w:line="360" w:lineRule="auto"/>
        <w:ind w:left="1860"/>
        <w:rPr>
          <w:rFonts w:ascii="Arial" w:hAnsi="Arial" w:cs="Arial"/>
          <w:color w:val="231F20"/>
          <w:sz w:val="2"/>
          <w:szCs w:val="24"/>
        </w:rPr>
      </w:pPr>
    </w:p>
    <w:p w:rsidR="0025315F" w:rsidRPr="005412B4" w:rsidRDefault="0025315F" w:rsidP="0025315F">
      <w:pPr>
        <w:pStyle w:val="ListParagraph"/>
        <w:numPr>
          <w:ilvl w:val="1"/>
          <w:numId w:val="11"/>
        </w:numPr>
        <w:spacing w:line="360" w:lineRule="auto"/>
        <w:rPr>
          <w:rFonts w:ascii="Arial" w:hAnsi="Arial" w:cs="Arial"/>
          <w:color w:val="231F20"/>
          <w:sz w:val="24"/>
          <w:szCs w:val="24"/>
        </w:rPr>
      </w:pPr>
      <w:r w:rsidRPr="009F58DF">
        <w:rPr>
          <w:rFonts w:ascii="Arial" w:hAnsi="Arial" w:cs="Arial"/>
          <w:b/>
          <w:color w:val="231F20"/>
          <w:sz w:val="24"/>
          <w:szCs w:val="24"/>
        </w:rPr>
        <w:lastRenderedPageBreak/>
        <w:t>L</w:t>
      </w:r>
      <w:r>
        <w:rPr>
          <w:rFonts w:ascii="Arial" w:hAnsi="Arial" w:cs="Arial"/>
          <w:b/>
          <w:color w:val="231F20"/>
          <w:sz w:val="24"/>
          <w:szCs w:val="24"/>
        </w:rPr>
        <w:t>í</w:t>
      </w:r>
      <w:r w:rsidRPr="009F58DF">
        <w:rPr>
          <w:rFonts w:ascii="Arial" w:hAnsi="Arial" w:cs="Arial"/>
          <w:b/>
          <w:color w:val="231F20"/>
          <w:sz w:val="24"/>
          <w:szCs w:val="24"/>
        </w:rPr>
        <w:t xml:space="preserve">mites de Exposición </w:t>
      </w:r>
    </w:p>
    <w:p w:rsidR="0025315F" w:rsidRPr="009F58DF" w:rsidRDefault="0025315F" w:rsidP="0025315F">
      <w:pPr>
        <w:pStyle w:val="ListParagraph"/>
        <w:spacing w:line="360" w:lineRule="auto"/>
        <w:rPr>
          <w:rFonts w:ascii="Arial" w:hAnsi="Arial" w:cs="Arial"/>
          <w:color w:val="231F20"/>
          <w:sz w:val="24"/>
          <w:szCs w:val="24"/>
        </w:rPr>
      </w:pPr>
    </w:p>
    <w:p w:rsidR="0025315F" w:rsidRDefault="0025315F" w:rsidP="0025315F">
      <w:pPr>
        <w:pStyle w:val="ListParagraph"/>
        <w:spacing w:line="360" w:lineRule="auto"/>
        <w:ind w:left="1418"/>
        <w:jc w:val="center"/>
        <w:rPr>
          <w:rFonts w:ascii="Arial" w:hAnsi="Arial" w:cs="Arial"/>
          <w:b/>
          <w:noProof/>
          <w:color w:val="231F20"/>
          <w:sz w:val="24"/>
          <w:szCs w:val="24"/>
          <w:lang w:eastAsia="es-ES"/>
        </w:rPr>
      </w:pPr>
      <w:r>
        <w:rPr>
          <w:rFonts w:ascii="Arial" w:hAnsi="Arial" w:cs="Arial"/>
          <w:b/>
          <w:noProof/>
          <w:color w:val="231F20"/>
          <w:sz w:val="24"/>
          <w:szCs w:val="24"/>
          <w:lang w:eastAsia="es-ES"/>
        </w:rPr>
        <w:drawing>
          <wp:inline distT="0" distB="0" distL="0" distR="0">
            <wp:extent cx="2279015" cy="1924050"/>
            <wp:effectExtent l="19050" t="0" r="6985" b="0"/>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2279015" cy="1924050"/>
                    </a:xfrm>
                    <a:prstGeom prst="rect">
                      <a:avLst/>
                    </a:prstGeom>
                    <a:noFill/>
                    <a:ln w="9525">
                      <a:noFill/>
                      <a:miter lim="800000"/>
                      <a:headEnd/>
                      <a:tailEnd/>
                    </a:ln>
                  </pic:spPr>
                </pic:pic>
              </a:graphicData>
            </a:graphic>
          </wp:inline>
        </w:drawing>
      </w:r>
    </w:p>
    <w:p w:rsidR="0025315F" w:rsidRPr="00B656A5" w:rsidRDefault="0025315F" w:rsidP="0025315F">
      <w:pPr>
        <w:pStyle w:val="ListParagraph"/>
        <w:spacing w:line="360" w:lineRule="auto"/>
        <w:ind w:left="1416"/>
        <w:jc w:val="center"/>
        <w:rPr>
          <w:rFonts w:ascii="Arial" w:hAnsi="Arial" w:cs="Arial"/>
          <w:b/>
          <w:color w:val="000000"/>
          <w:sz w:val="24"/>
          <w:szCs w:val="24"/>
        </w:rPr>
      </w:pPr>
      <w:r>
        <w:rPr>
          <w:rFonts w:ascii="Arial" w:hAnsi="Arial" w:cs="Arial"/>
          <w:b/>
          <w:color w:val="000000"/>
          <w:sz w:val="24"/>
          <w:szCs w:val="24"/>
        </w:rPr>
        <w:t xml:space="preserve">Figura 2.1 Representación  de los límites de exposición a campo electromagnético </w:t>
      </w:r>
      <w:r w:rsidRPr="00664A36">
        <w:rPr>
          <w:rStyle w:val="FootnoteReference"/>
          <w:rFonts w:ascii="Arial" w:hAnsi="Arial" w:cs="Arial"/>
          <w:b/>
          <w:sz w:val="24"/>
          <w:szCs w:val="24"/>
        </w:rPr>
        <w:footnoteReference w:id="26"/>
      </w:r>
    </w:p>
    <w:p w:rsidR="0025315F" w:rsidRDefault="0025315F" w:rsidP="0025315F">
      <w:pPr>
        <w:pStyle w:val="ListParagraph"/>
        <w:spacing w:line="360" w:lineRule="auto"/>
        <w:ind w:left="1418"/>
        <w:jc w:val="center"/>
        <w:rPr>
          <w:rFonts w:ascii="Arial" w:hAnsi="Arial" w:cs="Arial"/>
          <w:b/>
          <w:noProof/>
          <w:color w:val="231F20"/>
          <w:sz w:val="24"/>
          <w:szCs w:val="24"/>
          <w:lang w:eastAsia="es-ES"/>
        </w:rPr>
      </w:pPr>
    </w:p>
    <w:p w:rsidR="0025315F" w:rsidRPr="00B656A5" w:rsidRDefault="0025315F" w:rsidP="0025315F">
      <w:pPr>
        <w:spacing w:line="360" w:lineRule="auto"/>
        <w:ind w:left="1418"/>
        <w:jc w:val="both"/>
        <w:rPr>
          <w:rFonts w:ascii="Arial" w:hAnsi="Arial" w:cs="Arial"/>
          <w:color w:val="000000"/>
          <w:sz w:val="24"/>
          <w:szCs w:val="24"/>
        </w:rPr>
      </w:pPr>
      <w:r w:rsidRPr="00B656A5">
        <w:rPr>
          <w:rFonts w:ascii="Arial" w:hAnsi="Arial" w:cs="Arial"/>
          <w:bCs/>
          <w:color w:val="000000"/>
          <w:sz w:val="24"/>
          <w:szCs w:val="24"/>
        </w:rPr>
        <w:t xml:space="preserve">Las limitaciones en la exposición a radiofrecuencias  la dividimos según la población.  </w:t>
      </w:r>
      <w:r w:rsidRPr="00B656A5">
        <w:rPr>
          <w:rFonts w:ascii="Arial" w:hAnsi="Arial" w:cs="Arial"/>
          <w:color w:val="000000"/>
          <w:sz w:val="24"/>
          <w:szCs w:val="24"/>
        </w:rPr>
        <w:t xml:space="preserve">La población expuesta ocupacionalmente consiste de adultos que generalmente están expuestos bajo condiciones conocidas y que son entrenados para estar conscientes del riesgo potencial y para tomar las protecciones adecuadas. En contraste, el público en general comprende individuos de todas las edades y de estados de salud variables, y puede incluir grupos o individuos particularmente susceptibles. En muchos casos los miembros del público no están conscientes de su exposición a los campos electromagnéticos. Más aún, no se puede esperar que los miembros individuales del público, tomen precauciones razonables para minimizar o evitar su exposición. Son estas consideraciones que soportan la adopción de restricciones más </w:t>
      </w:r>
      <w:r w:rsidRPr="00B656A5">
        <w:rPr>
          <w:rFonts w:ascii="Arial" w:hAnsi="Arial" w:cs="Arial"/>
          <w:color w:val="000000"/>
          <w:sz w:val="24"/>
          <w:szCs w:val="24"/>
        </w:rPr>
        <w:lastRenderedPageBreak/>
        <w:t>estrictas a la exposición del público que para la exposición de la población expuesta ocupacionalmente.</w:t>
      </w:r>
    </w:p>
    <w:p w:rsidR="0025315F" w:rsidRPr="009F58DF" w:rsidRDefault="0025315F" w:rsidP="0025315F">
      <w:pPr>
        <w:pStyle w:val="ListParagraph"/>
        <w:spacing w:line="360" w:lineRule="auto"/>
        <w:ind w:left="1416"/>
        <w:rPr>
          <w:rFonts w:ascii="Arial" w:hAnsi="Arial" w:cs="Arial"/>
          <w:color w:val="000000"/>
          <w:sz w:val="24"/>
          <w:szCs w:val="24"/>
        </w:rPr>
      </w:pPr>
    </w:p>
    <w:p w:rsidR="0025315F" w:rsidRPr="009F58DF" w:rsidRDefault="0025315F" w:rsidP="0025315F">
      <w:pPr>
        <w:pStyle w:val="ListParagraph"/>
        <w:numPr>
          <w:ilvl w:val="2"/>
          <w:numId w:val="11"/>
        </w:numPr>
        <w:spacing w:line="360" w:lineRule="auto"/>
        <w:ind w:left="1560" w:hanging="851"/>
        <w:rPr>
          <w:rFonts w:ascii="Arial" w:hAnsi="Arial" w:cs="Arial"/>
          <w:color w:val="000000"/>
          <w:sz w:val="24"/>
          <w:szCs w:val="24"/>
        </w:rPr>
      </w:pPr>
      <w:r w:rsidRPr="009F58DF">
        <w:rPr>
          <w:rFonts w:ascii="Arial" w:hAnsi="Arial" w:cs="Arial"/>
          <w:b/>
          <w:color w:val="000000"/>
          <w:sz w:val="24"/>
          <w:szCs w:val="24"/>
        </w:rPr>
        <w:t>Límites de Exposición Poblacional.</w:t>
      </w:r>
    </w:p>
    <w:p w:rsidR="0025315F" w:rsidRPr="009F58DF" w:rsidRDefault="0025315F" w:rsidP="0025315F">
      <w:pPr>
        <w:pStyle w:val="ListParagraph"/>
        <w:spacing w:line="360" w:lineRule="auto"/>
        <w:ind w:left="1560"/>
        <w:rPr>
          <w:rFonts w:ascii="Arial" w:hAnsi="Arial" w:cs="Arial"/>
          <w:b/>
          <w:color w:val="000000"/>
          <w:sz w:val="24"/>
          <w:szCs w:val="24"/>
        </w:rPr>
      </w:pPr>
    </w:p>
    <w:p w:rsidR="0025315F" w:rsidRPr="009F58DF" w:rsidRDefault="0025315F" w:rsidP="0025315F">
      <w:pPr>
        <w:pStyle w:val="ListParagraph"/>
        <w:spacing w:line="360" w:lineRule="auto"/>
        <w:ind w:left="1560"/>
        <w:jc w:val="both"/>
        <w:rPr>
          <w:rFonts w:ascii="Arial" w:hAnsi="Arial" w:cs="Arial"/>
          <w:color w:val="000000"/>
          <w:sz w:val="24"/>
          <w:szCs w:val="24"/>
        </w:rPr>
      </w:pPr>
      <w:r>
        <w:rPr>
          <w:rFonts w:ascii="Arial" w:hAnsi="Arial" w:cs="Arial"/>
          <w:color w:val="000000"/>
          <w:sz w:val="24"/>
          <w:szCs w:val="24"/>
        </w:rPr>
        <w:t>En el</w:t>
      </w:r>
      <w:r w:rsidRPr="009F58DF">
        <w:rPr>
          <w:rFonts w:ascii="Arial" w:hAnsi="Arial" w:cs="Arial"/>
          <w:color w:val="000000"/>
          <w:sz w:val="24"/>
          <w:szCs w:val="24"/>
        </w:rPr>
        <w:t xml:space="preserve"> siguiente gráfico se muestra los límites de exposición poblacional de radiaciones no ionizantes  en magnitud de intensidad del campo eléctrico en respuesta a la frecuencia.</w:t>
      </w:r>
    </w:p>
    <w:p w:rsidR="0025315F" w:rsidRPr="009F58DF" w:rsidRDefault="0025315F" w:rsidP="0025315F">
      <w:pPr>
        <w:pStyle w:val="ListParagraph"/>
        <w:spacing w:line="360" w:lineRule="auto"/>
        <w:ind w:left="1560"/>
        <w:jc w:val="both"/>
        <w:rPr>
          <w:rFonts w:ascii="Arial" w:hAnsi="Arial" w:cs="Arial"/>
          <w:color w:val="000000"/>
          <w:sz w:val="24"/>
          <w:szCs w:val="24"/>
        </w:rPr>
      </w:pPr>
    </w:p>
    <w:p w:rsidR="0025315F" w:rsidRPr="009F58DF" w:rsidRDefault="0025315F" w:rsidP="0025315F">
      <w:pPr>
        <w:pStyle w:val="ListParagraph"/>
        <w:spacing w:line="360" w:lineRule="auto"/>
        <w:ind w:left="1560"/>
        <w:jc w:val="both"/>
        <w:rPr>
          <w:rFonts w:ascii="Arial" w:hAnsi="Arial" w:cs="Arial"/>
          <w:color w:val="000000"/>
          <w:sz w:val="24"/>
          <w:szCs w:val="24"/>
        </w:rPr>
      </w:pPr>
      <w:r w:rsidRPr="009F58DF">
        <w:rPr>
          <w:rFonts w:ascii="Arial" w:hAnsi="Arial" w:cs="Arial"/>
          <w:color w:val="000000"/>
          <w:sz w:val="24"/>
          <w:szCs w:val="24"/>
        </w:rPr>
        <w:t>En el análisis de los resultados de las mediciones de radiaciones no ionizantes realizado en este proyecto se toma de referencia los límites de exposición poblacional según la ICNIRP.</w:t>
      </w:r>
    </w:p>
    <w:p w:rsidR="0025315F" w:rsidRPr="009F58DF" w:rsidRDefault="0025315F" w:rsidP="0025315F">
      <w:pPr>
        <w:pStyle w:val="ListParagraph"/>
        <w:spacing w:line="360" w:lineRule="auto"/>
        <w:ind w:left="1416"/>
        <w:rPr>
          <w:rFonts w:ascii="Arial" w:hAnsi="Arial" w:cs="Arial"/>
          <w:color w:val="000000"/>
          <w:sz w:val="24"/>
          <w:szCs w:val="24"/>
        </w:rPr>
      </w:pPr>
    </w:p>
    <w:p w:rsidR="0025315F" w:rsidRDefault="0025315F" w:rsidP="0025315F">
      <w:pPr>
        <w:pStyle w:val="ListParagraph"/>
        <w:spacing w:line="360" w:lineRule="auto"/>
        <w:ind w:left="1416"/>
        <w:jc w:val="center"/>
        <w:rPr>
          <w:rFonts w:ascii="Arial" w:hAnsi="Arial" w:cs="Arial"/>
          <w:noProof/>
          <w:color w:val="000000"/>
          <w:sz w:val="24"/>
          <w:szCs w:val="24"/>
          <w:lang w:eastAsia="es-ES"/>
        </w:rPr>
      </w:pPr>
      <w:r>
        <w:rPr>
          <w:rFonts w:ascii="Arial" w:hAnsi="Arial" w:cs="Arial"/>
          <w:noProof/>
          <w:color w:val="000000"/>
          <w:sz w:val="24"/>
          <w:szCs w:val="24"/>
          <w:lang w:eastAsia="es-ES"/>
        </w:rPr>
        <w:drawing>
          <wp:inline distT="0" distB="0" distL="0" distR="0">
            <wp:extent cx="4147263" cy="2697467"/>
            <wp:effectExtent l="19050" t="19050" r="24687" b="26683"/>
            <wp:docPr id="210" name="Picture 6" descr="C:\Users\WALKIR\Pictures\lim ocu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WALKIR\Pictures\lim ocup.jpg"/>
                    <pic:cNvPicPr>
                      <a:picLocks noChangeAspect="1" noChangeArrowheads="1"/>
                    </pic:cNvPicPr>
                  </pic:nvPicPr>
                  <pic:blipFill>
                    <a:blip r:embed="rId129" cstate="print">
                      <a:duotone>
                        <a:schemeClr val="accent5">
                          <a:shade val="45000"/>
                          <a:satMod val="135000"/>
                        </a:schemeClr>
                        <a:prstClr val="white"/>
                      </a:duotone>
                    </a:blip>
                    <a:srcRect/>
                    <a:stretch>
                      <a:fillRect/>
                    </a:stretch>
                  </pic:blipFill>
                  <pic:spPr bwMode="auto">
                    <a:xfrm>
                      <a:off x="0" y="0"/>
                      <a:ext cx="4147263" cy="2697467"/>
                    </a:xfrm>
                    <a:prstGeom prst="rect">
                      <a:avLst/>
                    </a:prstGeom>
                    <a:noFill/>
                    <a:ln w="9525">
                      <a:solidFill>
                        <a:schemeClr val="bg1">
                          <a:lumMod val="65000"/>
                        </a:schemeClr>
                      </a:solidFill>
                      <a:miter lim="800000"/>
                      <a:headEnd/>
                      <a:tailEnd/>
                    </a:ln>
                  </pic:spPr>
                </pic:pic>
              </a:graphicData>
            </a:graphic>
          </wp:inline>
        </w:drawing>
      </w:r>
    </w:p>
    <w:p w:rsidR="0025315F" w:rsidRPr="00B656A5" w:rsidRDefault="0025315F" w:rsidP="0025315F">
      <w:pPr>
        <w:pStyle w:val="ListParagraph"/>
        <w:spacing w:line="360" w:lineRule="auto"/>
        <w:ind w:left="1416"/>
        <w:jc w:val="center"/>
        <w:rPr>
          <w:rFonts w:ascii="Arial" w:hAnsi="Arial" w:cs="Arial"/>
          <w:b/>
          <w:color w:val="000000"/>
          <w:sz w:val="24"/>
          <w:szCs w:val="24"/>
        </w:rPr>
      </w:pPr>
      <w:r>
        <w:rPr>
          <w:rFonts w:ascii="Arial" w:hAnsi="Arial" w:cs="Arial"/>
          <w:b/>
          <w:color w:val="000000"/>
          <w:sz w:val="24"/>
          <w:szCs w:val="24"/>
        </w:rPr>
        <w:t xml:space="preserve">Figura 2.2 Limites de exposición poblacional E [V/m] Vs f [Hz]. </w:t>
      </w:r>
      <w:r w:rsidRPr="00664A36">
        <w:rPr>
          <w:rStyle w:val="FootnoteReference"/>
          <w:rFonts w:ascii="Arial" w:hAnsi="Arial" w:cs="Arial"/>
          <w:b/>
          <w:sz w:val="24"/>
          <w:szCs w:val="24"/>
        </w:rPr>
        <w:footnoteReference w:id="27"/>
      </w:r>
    </w:p>
    <w:p w:rsidR="0025315F" w:rsidRPr="009F58DF" w:rsidRDefault="0025315F" w:rsidP="0025315F">
      <w:pPr>
        <w:pStyle w:val="ListParagraph"/>
        <w:numPr>
          <w:ilvl w:val="2"/>
          <w:numId w:val="11"/>
        </w:numPr>
        <w:spacing w:line="360" w:lineRule="auto"/>
        <w:ind w:left="1560" w:hanging="851"/>
        <w:rPr>
          <w:rFonts w:ascii="Arial" w:hAnsi="Arial" w:cs="Arial"/>
          <w:color w:val="000000"/>
          <w:sz w:val="24"/>
          <w:szCs w:val="24"/>
        </w:rPr>
      </w:pPr>
      <w:r w:rsidRPr="009F58DF">
        <w:rPr>
          <w:rFonts w:ascii="Arial" w:hAnsi="Arial" w:cs="Arial"/>
          <w:b/>
          <w:color w:val="000000"/>
          <w:sz w:val="24"/>
          <w:szCs w:val="24"/>
        </w:rPr>
        <w:lastRenderedPageBreak/>
        <w:t>Limites de Exposición Ocupacional.</w:t>
      </w:r>
    </w:p>
    <w:p w:rsidR="0025315F" w:rsidRPr="009F58DF" w:rsidRDefault="0025315F" w:rsidP="0025315F">
      <w:pPr>
        <w:pStyle w:val="ListParagraph"/>
        <w:spacing w:line="360" w:lineRule="auto"/>
        <w:ind w:left="1560"/>
        <w:rPr>
          <w:rFonts w:ascii="Arial" w:hAnsi="Arial" w:cs="Arial"/>
          <w:b/>
          <w:color w:val="000000"/>
          <w:sz w:val="24"/>
          <w:szCs w:val="24"/>
        </w:rPr>
      </w:pPr>
    </w:p>
    <w:p w:rsidR="0025315F" w:rsidRPr="009F58DF" w:rsidRDefault="0025315F" w:rsidP="0025315F">
      <w:pPr>
        <w:pStyle w:val="ListParagraph"/>
        <w:spacing w:line="360" w:lineRule="auto"/>
        <w:ind w:left="1560"/>
        <w:jc w:val="both"/>
        <w:rPr>
          <w:rFonts w:ascii="Arial" w:hAnsi="Arial" w:cs="Arial"/>
          <w:color w:val="000000"/>
          <w:sz w:val="24"/>
          <w:szCs w:val="24"/>
        </w:rPr>
      </w:pPr>
      <w:r w:rsidRPr="009F58DF">
        <w:rPr>
          <w:rFonts w:ascii="Arial" w:hAnsi="Arial" w:cs="Arial"/>
          <w:color w:val="000000"/>
          <w:sz w:val="24"/>
          <w:szCs w:val="24"/>
        </w:rPr>
        <w:t>En el siguiente gráfico se muestra los límites de exposición ocupacional de radiaciones no ionizantes  en magnitud de intensidad del campo eléctrico en respuesta a la frecuencia.</w:t>
      </w:r>
    </w:p>
    <w:p w:rsidR="0025315F" w:rsidRPr="009F58DF" w:rsidRDefault="0025315F" w:rsidP="0025315F">
      <w:pPr>
        <w:pStyle w:val="ListParagraph"/>
        <w:spacing w:line="360" w:lineRule="auto"/>
        <w:ind w:left="1560"/>
        <w:jc w:val="both"/>
        <w:rPr>
          <w:rFonts w:ascii="Arial" w:hAnsi="Arial" w:cs="Arial"/>
          <w:color w:val="000000"/>
          <w:sz w:val="24"/>
          <w:szCs w:val="24"/>
        </w:rPr>
      </w:pPr>
    </w:p>
    <w:p w:rsidR="0025315F" w:rsidRPr="009F58DF" w:rsidRDefault="0025315F" w:rsidP="0025315F">
      <w:pPr>
        <w:pStyle w:val="ListParagraph"/>
        <w:spacing w:line="360" w:lineRule="auto"/>
        <w:ind w:left="1560"/>
        <w:jc w:val="both"/>
        <w:rPr>
          <w:rFonts w:ascii="Arial" w:hAnsi="Arial" w:cs="Arial"/>
          <w:color w:val="000000"/>
          <w:sz w:val="24"/>
          <w:szCs w:val="24"/>
        </w:rPr>
      </w:pPr>
      <w:r w:rsidRPr="009F58DF">
        <w:rPr>
          <w:rFonts w:ascii="Arial" w:hAnsi="Arial" w:cs="Arial"/>
          <w:color w:val="000000"/>
          <w:sz w:val="24"/>
          <w:szCs w:val="24"/>
        </w:rPr>
        <w:t>Como se resalta anteriormente los límites de exposición ocupacional difieren a los poblacionales, ya que en el campo ocupacional existe consciencia del riesgo y protección sobre los mismos, y por lo tanto los límites son más alto.</w:t>
      </w:r>
    </w:p>
    <w:p w:rsidR="0025315F" w:rsidRPr="009F58DF" w:rsidRDefault="0025315F" w:rsidP="0025315F">
      <w:pPr>
        <w:pStyle w:val="ListParagraph"/>
        <w:spacing w:line="360" w:lineRule="auto"/>
        <w:ind w:left="1560"/>
        <w:rPr>
          <w:rFonts w:ascii="Arial" w:hAnsi="Arial" w:cs="Arial"/>
          <w:color w:val="000000"/>
          <w:sz w:val="24"/>
          <w:szCs w:val="24"/>
        </w:rPr>
      </w:pPr>
    </w:p>
    <w:p w:rsidR="0025315F" w:rsidRPr="009F58DF" w:rsidRDefault="0025315F" w:rsidP="0025315F">
      <w:pPr>
        <w:pStyle w:val="ListParagraph"/>
        <w:spacing w:line="360" w:lineRule="auto"/>
        <w:ind w:left="1560"/>
        <w:rPr>
          <w:rFonts w:ascii="Arial" w:hAnsi="Arial" w:cs="Arial"/>
          <w:color w:val="000000"/>
          <w:sz w:val="24"/>
          <w:szCs w:val="24"/>
        </w:rPr>
      </w:pPr>
    </w:p>
    <w:p w:rsidR="0025315F" w:rsidRDefault="0025315F" w:rsidP="0025315F">
      <w:pPr>
        <w:pStyle w:val="ListParagraph"/>
        <w:spacing w:line="360" w:lineRule="auto"/>
        <w:ind w:left="1560"/>
        <w:jc w:val="center"/>
        <w:rPr>
          <w:rFonts w:ascii="Arial" w:hAnsi="Arial" w:cs="Arial"/>
          <w:noProof/>
          <w:color w:val="000000"/>
          <w:sz w:val="24"/>
          <w:szCs w:val="24"/>
          <w:lang w:eastAsia="es-ES"/>
        </w:rPr>
      </w:pPr>
      <w:r>
        <w:rPr>
          <w:rFonts w:ascii="Arial" w:hAnsi="Arial" w:cs="Arial"/>
          <w:noProof/>
          <w:color w:val="000000"/>
          <w:sz w:val="24"/>
          <w:szCs w:val="24"/>
          <w:lang w:eastAsia="es-ES"/>
        </w:rPr>
        <w:drawing>
          <wp:inline distT="0" distB="0" distL="0" distR="0">
            <wp:extent cx="4098374" cy="2997570"/>
            <wp:effectExtent l="19050" t="19050" r="16426" b="12330"/>
            <wp:docPr id="2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cstate="print">
                      <a:duotone>
                        <a:schemeClr val="accent5">
                          <a:shade val="45000"/>
                          <a:satMod val="135000"/>
                        </a:schemeClr>
                        <a:prstClr val="white"/>
                      </a:duotone>
                    </a:blip>
                    <a:srcRect/>
                    <a:stretch>
                      <a:fillRect/>
                    </a:stretch>
                  </pic:blipFill>
                  <pic:spPr bwMode="auto">
                    <a:xfrm>
                      <a:off x="0" y="0"/>
                      <a:ext cx="4098374" cy="2997570"/>
                    </a:xfrm>
                    <a:prstGeom prst="rect">
                      <a:avLst/>
                    </a:prstGeom>
                    <a:noFill/>
                    <a:ln w="9525">
                      <a:solidFill>
                        <a:schemeClr val="bg1">
                          <a:lumMod val="65000"/>
                        </a:schemeClr>
                      </a:solidFill>
                      <a:miter lim="800000"/>
                      <a:headEnd/>
                      <a:tailEnd/>
                    </a:ln>
                  </pic:spPr>
                </pic:pic>
              </a:graphicData>
            </a:graphic>
          </wp:inline>
        </w:drawing>
      </w:r>
    </w:p>
    <w:p w:rsidR="0025315F" w:rsidRPr="009F58DF" w:rsidRDefault="0025315F" w:rsidP="0025315F">
      <w:pPr>
        <w:pStyle w:val="ListParagraph"/>
        <w:spacing w:line="360" w:lineRule="auto"/>
        <w:ind w:left="1560"/>
        <w:jc w:val="center"/>
        <w:rPr>
          <w:rFonts w:ascii="Arial" w:hAnsi="Arial" w:cs="Arial"/>
          <w:color w:val="000000"/>
          <w:sz w:val="24"/>
          <w:szCs w:val="24"/>
        </w:rPr>
      </w:pPr>
    </w:p>
    <w:p w:rsidR="0025315F" w:rsidRPr="00B656A5" w:rsidRDefault="0025315F" w:rsidP="0025315F">
      <w:pPr>
        <w:pStyle w:val="ListParagraph"/>
        <w:spacing w:line="360" w:lineRule="auto"/>
        <w:ind w:left="1416"/>
        <w:jc w:val="center"/>
        <w:rPr>
          <w:rFonts w:ascii="Arial" w:hAnsi="Arial" w:cs="Arial"/>
          <w:b/>
          <w:color w:val="000000"/>
          <w:sz w:val="24"/>
          <w:szCs w:val="24"/>
        </w:rPr>
      </w:pPr>
      <w:r>
        <w:rPr>
          <w:rFonts w:ascii="Arial" w:hAnsi="Arial" w:cs="Arial"/>
          <w:b/>
          <w:color w:val="000000"/>
          <w:sz w:val="24"/>
          <w:szCs w:val="24"/>
        </w:rPr>
        <w:t xml:space="preserve">Figura 2.3 Limites de exposición ocupacional E [V/m] Vs f [Hz]. </w:t>
      </w:r>
      <w:r w:rsidRPr="00664A36">
        <w:rPr>
          <w:rStyle w:val="FootnoteReference"/>
          <w:rFonts w:ascii="Arial" w:hAnsi="Arial" w:cs="Arial"/>
          <w:b/>
          <w:sz w:val="24"/>
          <w:szCs w:val="24"/>
        </w:rPr>
        <w:footnoteReference w:id="28"/>
      </w:r>
    </w:p>
    <w:p w:rsidR="0025315F" w:rsidRPr="009F58DF" w:rsidRDefault="0025315F" w:rsidP="0025315F">
      <w:pPr>
        <w:pStyle w:val="ListParagraph"/>
        <w:numPr>
          <w:ilvl w:val="1"/>
          <w:numId w:val="11"/>
        </w:numPr>
        <w:spacing w:line="360" w:lineRule="auto"/>
        <w:rPr>
          <w:rFonts w:ascii="Arial" w:hAnsi="Arial" w:cs="Arial"/>
          <w:color w:val="000000"/>
          <w:sz w:val="24"/>
          <w:szCs w:val="24"/>
        </w:rPr>
      </w:pPr>
      <w:r w:rsidRPr="009F58DF">
        <w:rPr>
          <w:rFonts w:ascii="Arial" w:hAnsi="Arial" w:cs="Arial"/>
          <w:b/>
          <w:color w:val="000000"/>
          <w:sz w:val="24"/>
          <w:szCs w:val="24"/>
        </w:rPr>
        <w:lastRenderedPageBreak/>
        <w:t>Restricciones Básicas y Niveles de Referencias.</w:t>
      </w:r>
    </w:p>
    <w:p w:rsidR="0025315F" w:rsidRPr="009F58DF" w:rsidRDefault="0025315F" w:rsidP="0025315F">
      <w:pPr>
        <w:pStyle w:val="Textkrper"/>
        <w:tabs>
          <w:tab w:val="left" w:pos="1560"/>
        </w:tabs>
        <w:spacing w:after="120" w:line="360" w:lineRule="auto"/>
        <w:ind w:left="1418"/>
        <w:jc w:val="both"/>
        <w:rPr>
          <w:rFonts w:ascii="Arial" w:hAnsi="Arial" w:cs="Arial"/>
          <w:color w:val="000000"/>
        </w:rPr>
      </w:pPr>
      <w:r w:rsidRPr="009F58DF">
        <w:rPr>
          <w:rFonts w:ascii="Arial" w:hAnsi="Arial" w:cs="Arial"/>
          <w:color w:val="000000"/>
        </w:rPr>
        <w:t>Las restricciones en los efectos de la exposición son basadas en los efectos sobre la salud ya establecidos y son llamadas restricciones básicas. Dependientes de la frecuencia, las cantidades físicas usadas para especificar las restricciones básicas de la exposición a los campos electromagnéticos, son la densidad de corriente, tasa de absorción específica, la densidad de potencia. La protección contra efectos adversos sobre la salud requiere que estas restricciones básicas no sean excedidas. Los niveles de referencia de la exposición son proveídos para comparación con valores medidos de cantidades físicas. El cumplimiento con todos los niveles de referencia dados en estas recomendaciones asegurara el cumplimiento de las restricciones básicas. Si los valores medidos son más altos que los niveles de referencia, no necesariamente implica que las restricciones básicas son excedidas, pero si es necesario un análisis más detallado para evaluar el cumplimiento de las restricciones básica.</w:t>
      </w:r>
    </w:p>
    <w:p w:rsidR="0025315F" w:rsidRPr="009F58DF" w:rsidRDefault="0025315F" w:rsidP="0025315F">
      <w:pPr>
        <w:pStyle w:val="TIT1"/>
        <w:spacing w:line="360" w:lineRule="auto"/>
        <w:ind w:left="1418"/>
        <w:jc w:val="both"/>
        <w:rPr>
          <w:rFonts w:ascii="Arial" w:hAnsi="Arial" w:cs="Arial"/>
          <w:color w:val="000000"/>
        </w:rPr>
      </w:pPr>
      <w:r w:rsidRPr="009F58DF">
        <w:rPr>
          <w:rFonts w:ascii="Arial" w:hAnsi="Arial" w:cs="Arial"/>
          <w:bCs/>
          <w:color w:val="000000"/>
        </w:rPr>
        <w:t>En la justificación general de los factores de seguridad h</w:t>
      </w:r>
      <w:r w:rsidRPr="009F58DF">
        <w:rPr>
          <w:rFonts w:ascii="Arial" w:hAnsi="Arial" w:cs="Arial"/>
          <w:color w:val="000000"/>
        </w:rPr>
        <w:t xml:space="preserve">ay información insuficiente sobre los efectos biológicos producidos en personas y en animales de experimento debido a la exposición a campos electromagnéticos como para proporcionar factores de seguridad estricta para todos los rangos de frecuencia y todas las modulaciones. Adicionalmente, parte de la incertidumbre con respecto al factor de seguridad apropiado proviene de la falta de conocimiento concerniente a la apropiada dosimetría. Las siguientes variables fueron </w:t>
      </w:r>
      <w:r w:rsidRPr="009F58DF">
        <w:rPr>
          <w:rFonts w:ascii="Arial" w:hAnsi="Arial" w:cs="Arial"/>
          <w:color w:val="000000"/>
        </w:rPr>
        <w:lastRenderedPageBreak/>
        <w:t xml:space="preserve">consideradas para determinar los factores de seguridad para campos de alta frecuencia: </w:t>
      </w:r>
    </w:p>
    <w:p w:rsidR="0025315F" w:rsidRPr="009F58DF" w:rsidRDefault="0025315F" w:rsidP="0025315F">
      <w:pPr>
        <w:pStyle w:val="Default"/>
        <w:spacing w:line="360" w:lineRule="auto"/>
        <w:ind w:left="1418"/>
        <w:rPr>
          <w:rFonts w:ascii="Arial" w:hAnsi="Arial" w:cs="Arial"/>
        </w:rPr>
      </w:pPr>
    </w:p>
    <w:p w:rsidR="0025315F" w:rsidRPr="009F58DF" w:rsidRDefault="0025315F" w:rsidP="0025315F">
      <w:pPr>
        <w:pStyle w:val="ListParagraph"/>
        <w:numPr>
          <w:ilvl w:val="0"/>
          <w:numId w:val="14"/>
        </w:numPr>
        <w:autoSpaceDE w:val="0"/>
        <w:autoSpaceDN w:val="0"/>
        <w:adjustRightInd w:val="0"/>
        <w:spacing w:after="120" w:line="360" w:lineRule="auto"/>
        <w:ind w:left="1418"/>
        <w:jc w:val="both"/>
        <w:rPr>
          <w:rFonts w:ascii="Arial" w:hAnsi="Arial" w:cs="Arial"/>
          <w:color w:val="000000"/>
          <w:sz w:val="24"/>
          <w:szCs w:val="24"/>
        </w:rPr>
      </w:pPr>
      <w:r w:rsidRPr="009F58DF">
        <w:rPr>
          <w:rFonts w:ascii="Arial" w:hAnsi="Arial" w:cs="Arial"/>
          <w:color w:val="000000"/>
          <w:sz w:val="24"/>
          <w:szCs w:val="24"/>
        </w:rPr>
        <w:t xml:space="preserve">Efectos debido a la exposición a campos electromagnéticos bajo condiciones ambientales adversas (temperaturas altas, etc.), y/o niveles de actividad altos. </w:t>
      </w:r>
    </w:p>
    <w:p w:rsidR="0025315F" w:rsidRPr="009F58DF" w:rsidRDefault="0025315F" w:rsidP="0025315F">
      <w:pPr>
        <w:pStyle w:val="ListParagraph"/>
        <w:numPr>
          <w:ilvl w:val="0"/>
          <w:numId w:val="14"/>
        </w:numPr>
        <w:autoSpaceDE w:val="0"/>
        <w:autoSpaceDN w:val="0"/>
        <w:adjustRightInd w:val="0"/>
        <w:spacing w:after="120" w:line="360" w:lineRule="auto"/>
        <w:ind w:left="1418"/>
        <w:jc w:val="both"/>
        <w:rPr>
          <w:rFonts w:ascii="Arial" w:hAnsi="Arial" w:cs="Arial"/>
          <w:color w:val="000000"/>
          <w:sz w:val="24"/>
          <w:szCs w:val="24"/>
        </w:rPr>
      </w:pPr>
      <w:r w:rsidRPr="009F58DF">
        <w:rPr>
          <w:rFonts w:ascii="Arial" w:hAnsi="Arial" w:cs="Arial"/>
          <w:color w:val="000000"/>
          <w:sz w:val="24"/>
          <w:szCs w:val="24"/>
        </w:rPr>
        <w:t xml:space="preserve">La sensibilidad térmica potencialmente más alta en ciertos grupos de la población tales como las personas frágiles y/o ancianas, los infantes y los niños pequeños, y gente con enfermedades o que están tomando medicinas que comprometen su tolerancia térmica. </w:t>
      </w:r>
    </w:p>
    <w:p w:rsidR="0025315F" w:rsidRPr="009F58DF" w:rsidRDefault="0025315F" w:rsidP="0025315F">
      <w:pPr>
        <w:autoSpaceDE w:val="0"/>
        <w:autoSpaceDN w:val="0"/>
        <w:adjustRightInd w:val="0"/>
        <w:spacing w:after="0" w:line="360" w:lineRule="auto"/>
        <w:ind w:left="1418"/>
        <w:jc w:val="both"/>
        <w:rPr>
          <w:rFonts w:ascii="Arial" w:hAnsi="Arial" w:cs="Arial"/>
          <w:color w:val="000000"/>
          <w:sz w:val="24"/>
          <w:szCs w:val="24"/>
        </w:rPr>
      </w:pPr>
    </w:p>
    <w:p w:rsidR="0025315F" w:rsidRPr="009F58DF" w:rsidRDefault="0025315F" w:rsidP="0025315F">
      <w:pPr>
        <w:pStyle w:val="Default"/>
        <w:spacing w:line="360" w:lineRule="auto"/>
        <w:ind w:left="1418"/>
        <w:jc w:val="both"/>
        <w:rPr>
          <w:rFonts w:ascii="Arial" w:hAnsi="Arial" w:cs="Arial"/>
        </w:rPr>
      </w:pPr>
      <w:r w:rsidRPr="009F58DF">
        <w:rPr>
          <w:rFonts w:ascii="Arial" w:hAnsi="Arial" w:cs="Arial"/>
        </w:rPr>
        <w:t>Los siguientes factores adicionales fueron tomados en cuenta para la obtención de los niveles de referencia para campos de alta frecuencia</w:t>
      </w:r>
    </w:p>
    <w:p w:rsidR="0025315F" w:rsidRPr="009F58DF" w:rsidRDefault="0025315F" w:rsidP="0025315F">
      <w:pPr>
        <w:pStyle w:val="ListParagraph"/>
        <w:numPr>
          <w:ilvl w:val="0"/>
          <w:numId w:val="15"/>
        </w:numPr>
        <w:autoSpaceDE w:val="0"/>
        <w:autoSpaceDN w:val="0"/>
        <w:adjustRightInd w:val="0"/>
        <w:spacing w:after="0" w:line="360" w:lineRule="auto"/>
        <w:ind w:left="1418"/>
        <w:jc w:val="both"/>
        <w:rPr>
          <w:rFonts w:ascii="Arial" w:hAnsi="Arial" w:cs="Arial"/>
          <w:color w:val="000000"/>
          <w:sz w:val="24"/>
          <w:szCs w:val="24"/>
        </w:rPr>
      </w:pPr>
      <w:r w:rsidRPr="009F58DF">
        <w:rPr>
          <w:rFonts w:ascii="Arial" w:hAnsi="Arial" w:cs="Arial"/>
          <w:color w:val="000000"/>
          <w:sz w:val="24"/>
          <w:szCs w:val="24"/>
        </w:rPr>
        <w:t xml:space="preserve">La absorción de la energía electromagnética varía según el tamaño y la orientación del campo. </w:t>
      </w:r>
    </w:p>
    <w:p w:rsidR="0025315F" w:rsidRPr="009F58DF" w:rsidRDefault="0025315F" w:rsidP="0025315F">
      <w:pPr>
        <w:pStyle w:val="ListParagraph"/>
        <w:numPr>
          <w:ilvl w:val="0"/>
          <w:numId w:val="15"/>
        </w:numPr>
        <w:autoSpaceDE w:val="0"/>
        <w:autoSpaceDN w:val="0"/>
        <w:adjustRightInd w:val="0"/>
        <w:spacing w:after="0" w:line="360" w:lineRule="auto"/>
        <w:ind w:left="1418"/>
        <w:jc w:val="both"/>
        <w:rPr>
          <w:rFonts w:ascii="Arial" w:hAnsi="Arial" w:cs="Arial"/>
          <w:color w:val="000000"/>
          <w:sz w:val="24"/>
          <w:szCs w:val="24"/>
        </w:rPr>
      </w:pPr>
      <w:r w:rsidRPr="009F58DF">
        <w:rPr>
          <w:rFonts w:ascii="Arial" w:hAnsi="Arial" w:cs="Arial"/>
          <w:color w:val="000000"/>
          <w:sz w:val="24"/>
          <w:szCs w:val="24"/>
        </w:rPr>
        <w:t xml:space="preserve">Se puede producir una mayor absorción localizada de la energía, debido a la reflexión, concentración y dispersión del campo incidente </w:t>
      </w:r>
    </w:p>
    <w:p w:rsidR="0025315F" w:rsidRPr="009F58DF" w:rsidRDefault="0025315F" w:rsidP="0025315F">
      <w:pPr>
        <w:pStyle w:val="ListParagraph"/>
        <w:autoSpaceDE w:val="0"/>
        <w:autoSpaceDN w:val="0"/>
        <w:adjustRightInd w:val="0"/>
        <w:spacing w:after="0" w:line="360" w:lineRule="auto"/>
        <w:ind w:left="1418"/>
        <w:jc w:val="both"/>
        <w:rPr>
          <w:rFonts w:ascii="Arial" w:hAnsi="Arial" w:cs="Arial"/>
          <w:color w:val="000000"/>
          <w:sz w:val="24"/>
          <w:szCs w:val="24"/>
        </w:rPr>
      </w:pPr>
    </w:p>
    <w:p w:rsidR="0025315F" w:rsidRPr="009F58DF" w:rsidRDefault="0025315F" w:rsidP="0025315F">
      <w:pPr>
        <w:autoSpaceDE w:val="0"/>
        <w:autoSpaceDN w:val="0"/>
        <w:adjustRightInd w:val="0"/>
        <w:spacing w:after="0" w:line="360" w:lineRule="auto"/>
        <w:ind w:left="1418"/>
        <w:jc w:val="both"/>
        <w:rPr>
          <w:rFonts w:ascii="Arial" w:hAnsi="Arial" w:cs="Arial"/>
          <w:color w:val="000000"/>
          <w:sz w:val="24"/>
          <w:szCs w:val="24"/>
        </w:rPr>
      </w:pPr>
      <w:r w:rsidRPr="009F58DF">
        <w:rPr>
          <w:rFonts w:ascii="Arial" w:hAnsi="Arial" w:cs="Arial"/>
          <w:color w:val="000000"/>
          <w:sz w:val="24"/>
          <w:szCs w:val="24"/>
        </w:rPr>
        <w:t>Los niveles de referencia son obtenidos, cuando es apropiado, a partir de las restricciones básicas mediante el uso de modelos matemáticos y por extrapolación de los resultados de las investigaciones en frecuencias específicas.</w:t>
      </w:r>
    </w:p>
    <w:p w:rsidR="0025315F" w:rsidRPr="009F58DF" w:rsidRDefault="0025315F" w:rsidP="0025315F">
      <w:pPr>
        <w:autoSpaceDE w:val="0"/>
        <w:autoSpaceDN w:val="0"/>
        <w:adjustRightInd w:val="0"/>
        <w:spacing w:after="0" w:line="360" w:lineRule="auto"/>
        <w:ind w:left="1418"/>
        <w:jc w:val="both"/>
        <w:rPr>
          <w:rFonts w:ascii="Arial" w:hAnsi="Arial" w:cs="Arial"/>
          <w:color w:val="000000"/>
          <w:sz w:val="24"/>
          <w:szCs w:val="24"/>
        </w:rPr>
      </w:pPr>
    </w:p>
    <w:p w:rsidR="0025315F" w:rsidRDefault="0025315F" w:rsidP="0025315F">
      <w:pPr>
        <w:pStyle w:val="Default"/>
        <w:spacing w:line="360" w:lineRule="auto"/>
        <w:ind w:left="1418"/>
        <w:jc w:val="both"/>
        <w:rPr>
          <w:rFonts w:ascii="Arial" w:hAnsi="Arial" w:cs="Arial"/>
          <w:bCs/>
        </w:rPr>
      </w:pPr>
      <w:r w:rsidRPr="009F58DF">
        <w:rPr>
          <w:rFonts w:ascii="Arial" w:hAnsi="Arial" w:cs="Arial"/>
        </w:rPr>
        <w:t xml:space="preserve">Para el caso de campos de baja frecuencia, se desarrollaron diversos modelos de medición y de cómputo para derivar los niveles de referencia de intensidad de campo a partir de las </w:t>
      </w:r>
      <w:r w:rsidRPr="009F58DF">
        <w:rPr>
          <w:rFonts w:ascii="Arial" w:hAnsi="Arial" w:cs="Arial"/>
        </w:rPr>
        <w:lastRenderedPageBreak/>
        <w:t xml:space="preserve">restricciones básicas, para el resto de frecuencia se tomo en cuenta los niveles de referencias establecidos por ICNIRP en el </w:t>
      </w:r>
      <w:r w:rsidRPr="009F58DF">
        <w:rPr>
          <w:rFonts w:ascii="Arial" w:hAnsi="Arial" w:cs="Arial"/>
          <w:bCs/>
        </w:rPr>
        <w:t>recomendaciones para limitar la exposición a campos eléctricos, magnéticos y electromagnéticos de hasta 300 GHz, como se muestra en los literales a continuación.</w:t>
      </w:r>
    </w:p>
    <w:p w:rsidR="0025315F" w:rsidRDefault="0025315F" w:rsidP="0025315F">
      <w:pPr>
        <w:pStyle w:val="Default"/>
        <w:spacing w:line="360" w:lineRule="auto"/>
        <w:ind w:left="1418"/>
        <w:jc w:val="both"/>
        <w:rPr>
          <w:rFonts w:ascii="Arial" w:hAnsi="Arial" w:cs="Arial"/>
        </w:rPr>
      </w:pPr>
    </w:p>
    <w:p w:rsidR="0025315F" w:rsidRPr="0086007C" w:rsidRDefault="0025315F" w:rsidP="0025315F">
      <w:pPr>
        <w:pStyle w:val="ListParagraph"/>
        <w:numPr>
          <w:ilvl w:val="2"/>
          <w:numId w:val="11"/>
        </w:numPr>
        <w:spacing w:line="360" w:lineRule="auto"/>
        <w:ind w:left="1418" w:hanging="851"/>
        <w:rPr>
          <w:rFonts w:ascii="Arial" w:hAnsi="Arial" w:cs="Arial"/>
          <w:color w:val="000000"/>
          <w:sz w:val="24"/>
          <w:szCs w:val="24"/>
        </w:rPr>
      </w:pPr>
      <w:r w:rsidRPr="009F58DF">
        <w:rPr>
          <w:rFonts w:ascii="Arial" w:hAnsi="Arial" w:cs="Arial"/>
          <w:b/>
          <w:color w:val="000000"/>
          <w:sz w:val="24"/>
          <w:szCs w:val="24"/>
        </w:rPr>
        <w:t>Niveles de referencia para exposición ocupacional a campos eléctricos y magnéticos.</w:t>
      </w:r>
    </w:p>
    <w:p w:rsidR="0025315F" w:rsidRPr="009F58DF" w:rsidRDefault="0025315F" w:rsidP="0025315F">
      <w:pPr>
        <w:pStyle w:val="ListParagraph"/>
        <w:spacing w:line="360" w:lineRule="auto"/>
        <w:ind w:left="1418"/>
        <w:rPr>
          <w:rFonts w:ascii="Arial" w:hAnsi="Arial" w:cs="Arial"/>
          <w:color w:val="000000"/>
          <w:sz w:val="24"/>
          <w:szCs w:val="24"/>
        </w:rPr>
      </w:pPr>
    </w:p>
    <w:p w:rsidR="0025315F" w:rsidRDefault="0025315F" w:rsidP="0025315F">
      <w:pPr>
        <w:pStyle w:val="ListParagraph"/>
        <w:spacing w:line="360" w:lineRule="auto"/>
        <w:ind w:left="1560"/>
        <w:jc w:val="center"/>
        <w:rPr>
          <w:rFonts w:ascii="Arial" w:hAnsi="Arial" w:cs="Arial"/>
          <w:color w:val="000000"/>
          <w:sz w:val="24"/>
          <w:szCs w:val="24"/>
        </w:rPr>
      </w:pPr>
      <w:r>
        <w:rPr>
          <w:rFonts w:ascii="Arial" w:hAnsi="Arial" w:cs="Arial"/>
          <w:noProof/>
          <w:color w:val="000000"/>
          <w:sz w:val="24"/>
          <w:szCs w:val="24"/>
          <w:lang w:eastAsia="es-ES"/>
        </w:rPr>
        <w:drawing>
          <wp:inline distT="0" distB="0" distL="0" distR="0">
            <wp:extent cx="4143517" cy="1978660"/>
            <wp:effectExtent l="19050" t="0" r="9383" b="0"/>
            <wp:docPr id="20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cstate="print">
                      <a:duotone>
                        <a:prstClr val="black"/>
                        <a:srgbClr val="FFFFCC">
                          <a:tint val="45000"/>
                          <a:satMod val="400000"/>
                        </a:srgbClr>
                      </a:duotone>
                    </a:blip>
                    <a:srcRect/>
                    <a:stretch>
                      <a:fillRect/>
                    </a:stretch>
                  </pic:blipFill>
                  <pic:spPr bwMode="auto">
                    <a:xfrm>
                      <a:off x="0" y="0"/>
                      <a:ext cx="4143517" cy="1978660"/>
                    </a:xfrm>
                    <a:prstGeom prst="rect">
                      <a:avLst/>
                    </a:prstGeom>
                    <a:noFill/>
                    <a:ln w="9525">
                      <a:noFill/>
                      <a:miter lim="800000"/>
                      <a:headEnd/>
                      <a:tailEnd/>
                    </a:ln>
                  </pic:spPr>
                </pic:pic>
              </a:graphicData>
            </a:graphic>
          </wp:inline>
        </w:drawing>
      </w:r>
    </w:p>
    <w:p w:rsidR="0025315F" w:rsidRPr="00B656A5" w:rsidRDefault="0025315F" w:rsidP="0025315F">
      <w:pPr>
        <w:pStyle w:val="ListParagraph"/>
        <w:spacing w:line="360" w:lineRule="auto"/>
        <w:ind w:left="1416"/>
        <w:jc w:val="center"/>
        <w:rPr>
          <w:rFonts w:ascii="Arial" w:hAnsi="Arial" w:cs="Arial"/>
          <w:b/>
          <w:color w:val="000000"/>
          <w:sz w:val="24"/>
          <w:szCs w:val="24"/>
        </w:rPr>
      </w:pPr>
      <w:r>
        <w:rPr>
          <w:rFonts w:ascii="Arial" w:hAnsi="Arial" w:cs="Arial"/>
          <w:b/>
          <w:color w:val="000000"/>
          <w:sz w:val="24"/>
          <w:szCs w:val="24"/>
        </w:rPr>
        <w:t xml:space="preserve">Figura 2.4 Niveles de Referencia campo eléctrico, magnético y densidad de potencia, para exposición </w:t>
      </w:r>
      <w:r w:rsidR="00F561BF">
        <w:rPr>
          <w:rFonts w:ascii="Arial" w:hAnsi="Arial" w:cs="Arial"/>
          <w:b/>
          <w:color w:val="000000"/>
          <w:sz w:val="24"/>
          <w:szCs w:val="24"/>
        </w:rPr>
        <w:t>ocup</w:t>
      </w:r>
      <w:r>
        <w:rPr>
          <w:rFonts w:ascii="Arial" w:hAnsi="Arial" w:cs="Arial"/>
          <w:b/>
          <w:color w:val="000000"/>
          <w:sz w:val="24"/>
          <w:szCs w:val="24"/>
        </w:rPr>
        <w:t xml:space="preserve">acional. </w:t>
      </w:r>
      <w:r w:rsidRPr="00664A36">
        <w:rPr>
          <w:rStyle w:val="FootnoteReference"/>
          <w:rFonts w:ascii="Arial" w:hAnsi="Arial" w:cs="Arial"/>
          <w:b/>
          <w:sz w:val="24"/>
          <w:szCs w:val="24"/>
        </w:rPr>
        <w:footnoteReference w:id="29"/>
      </w:r>
    </w:p>
    <w:p w:rsidR="0025315F" w:rsidRDefault="0025315F"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71063" w:rsidRDefault="00271063" w:rsidP="0025315F">
      <w:pPr>
        <w:pStyle w:val="ListParagraph"/>
        <w:spacing w:line="360" w:lineRule="auto"/>
        <w:ind w:left="1560"/>
        <w:rPr>
          <w:rFonts w:ascii="Arial" w:hAnsi="Arial" w:cs="Arial"/>
          <w:color w:val="000000"/>
          <w:sz w:val="12"/>
          <w:szCs w:val="24"/>
        </w:rPr>
      </w:pPr>
    </w:p>
    <w:p w:rsidR="0025315F" w:rsidRPr="002B52F4" w:rsidRDefault="0025315F" w:rsidP="0025315F">
      <w:pPr>
        <w:pStyle w:val="ListParagraph"/>
        <w:spacing w:line="360" w:lineRule="auto"/>
        <w:ind w:left="1560"/>
        <w:rPr>
          <w:rFonts w:ascii="Arial" w:hAnsi="Arial" w:cs="Arial"/>
          <w:color w:val="000000"/>
          <w:sz w:val="12"/>
          <w:szCs w:val="24"/>
        </w:rPr>
      </w:pPr>
    </w:p>
    <w:p w:rsidR="0025315F" w:rsidRPr="009F58DF" w:rsidRDefault="0025315F" w:rsidP="0025315F">
      <w:pPr>
        <w:pStyle w:val="ListParagraph"/>
        <w:numPr>
          <w:ilvl w:val="2"/>
          <w:numId w:val="11"/>
        </w:numPr>
        <w:spacing w:line="360" w:lineRule="auto"/>
        <w:ind w:left="1560" w:hanging="851"/>
        <w:rPr>
          <w:rFonts w:ascii="Arial" w:hAnsi="Arial" w:cs="Arial"/>
          <w:color w:val="000000"/>
          <w:sz w:val="24"/>
          <w:szCs w:val="24"/>
        </w:rPr>
      </w:pPr>
      <w:r w:rsidRPr="009F58DF">
        <w:rPr>
          <w:rFonts w:ascii="Arial" w:hAnsi="Arial" w:cs="Arial"/>
          <w:b/>
          <w:color w:val="000000"/>
          <w:sz w:val="24"/>
          <w:szCs w:val="24"/>
        </w:rPr>
        <w:lastRenderedPageBreak/>
        <w:t>Niveles de referencia para exposición poblacional a campos eléctricos y magnéticos.</w:t>
      </w:r>
    </w:p>
    <w:p w:rsidR="0025315F" w:rsidRDefault="0025315F" w:rsidP="0025315F">
      <w:pPr>
        <w:spacing w:line="360" w:lineRule="auto"/>
        <w:jc w:val="right"/>
        <w:rPr>
          <w:rFonts w:ascii="Arial" w:hAnsi="Arial" w:cs="Arial"/>
          <w:noProof/>
          <w:color w:val="000000"/>
          <w:sz w:val="24"/>
          <w:szCs w:val="24"/>
          <w:lang w:eastAsia="es-ES"/>
        </w:rPr>
      </w:pPr>
      <w:r>
        <w:rPr>
          <w:rFonts w:ascii="Arial" w:hAnsi="Arial" w:cs="Arial"/>
          <w:noProof/>
          <w:color w:val="000000"/>
          <w:sz w:val="24"/>
          <w:szCs w:val="24"/>
          <w:lang w:eastAsia="es-ES"/>
        </w:rPr>
        <w:drawing>
          <wp:inline distT="0" distB="0" distL="0" distR="0">
            <wp:extent cx="4346782" cy="2211070"/>
            <wp:effectExtent l="19050" t="0" r="0" b="0"/>
            <wp:docPr id="20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duotone>
                        <a:prstClr val="black"/>
                        <a:schemeClr val="accent5">
                          <a:lumMod val="20000"/>
                          <a:lumOff val="80000"/>
                          <a:tint val="45000"/>
                          <a:satMod val="400000"/>
                        </a:schemeClr>
                      </a:duotone>
                    </a:blip>
                    <a:srcRect/>
                    <a:stretch>
                      <a:fillRect/>
                    </a:stretch>
                  </pic:blipFill>
                  <pic:spPr bwMode="auto">
                    <a:xfrm>
                      <a:off x="0" y="0"/>
                      <a:ext cx="4346782" cy="221107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1418"/>
        <w:jc w:val="center"/>
        <w:rPr>
          <w:rFonts w:ascii="Arial" w:hAnsi="Arial" w:cs="Arial"/>
          <w:b/>
          <w:color w:val="000000"/>
          <w:sz w:val="24"/>
          <w:szCs w:val="24"/>
        </w:rPr>
      </w:pPr>
      <w:r>
        <w:rPr>
          <w:rFonts w:ascii="Arial" w:hAnsi="Arial" w:cs="Arial"/>
          <w:b/>
          <w:color w:val="000000"/>
          <w:sz w:val="24"/>
          <w:szCs w:val="24"/>
        </w:rPr>
        <w:t xml:space="preserve">Figura 2.5 Niveles de Referencia campo eléctrico, magnético y densidad de potencia, para exposición poblacional. </w:t>
      </w:r>
      <w:r w:rsidRPr="00664A36">
        <w:rPr>
          <w:rStyle w:val="FootnoteReference"/>
          <w:rFonts w:ascii="Arial" w:hAnsi="Arial" w:cs="Arial"/>
          <w:b/>
          <w:sz w:val="24"/>
          <w:szCs w:val="24"/>
        </w:rPr>
        <w:footnoteReference w:id="30"/>
      </w:r>
    </w:p>
    <w:p w:rsidR="00F561BF" w:rsidRPr="00B656A5" w:rsidRDefault="00F561BF" w:rsidP="0025315F">
      <w:pPr>
        <w:pStyle w:val="ListParagraph"/>
        <w:spacing w:line="360" w:lineRule="auto"/>
        <w:ind w:left="1418"/>
        <w:jc w:val="center"/>
        <w:rPr>
          <w:rFonts w:ascii="Arial" w:hAnsi="Arial" w:cs="Arial"/>
          <w:b/>
          <w:color w:val="000000"/>
          <w:sz w:val="24"/>
          <w:szCs w:val="24"/>
        </w:rPr>
      </w:pPr>
    </w:p>
    <w:p w:rsidR="0025315F" w:rsidRPr="009F58DF" w:rsidRDefault="0025315F" w:rsidP="0025315F">
      <w:pPr>
        <w:pStyle w:val="ListParagraph"/>
        <w:numPr>
          <w:ilvl w:val="2"/>
          <w:numId w:val="11"/>
        </w:numPr>
        <w:spacing w:line="360" w:lineRule="auto"/>
        <w:ind w:left="1560" w:hanging="851"/>
        <w:rPr>
          <w:rFonts w:ascii="Arial" w:hAnsi="Arial" w:cs="Arial"/>
          <w:color w:val="000000"/>
          <w:sz w:val="24"/>
          <w:szCs w:val="24"/>
        </w:rPr>
      </w:pPr>
      <w:r w:rsidRPr="009F58DF">
        <w:rPr>
          <w:rFonts w:ascii="Arial" w:hAnsi="Arial" w:cs="Arial"/>
          <w:b/>
          <w:color w:val="000000"/>
          <w:sz w:val="24"/>
          <w:szCs w:val="24"/>
        </w:rPr>
        <w:t xml:space="preserve">Niveles de </w:t>
      </w:r>
      <w:r>
        <w:rPr>
          <w:rFonts w:ascii="Arial" w:hAnsi="Arial" w:cs="Arial"/>
          <w:b/>
          <w:color w:val="000000"/>
          <w:sz w:val="24"/>
          <w:szCs w:val="24"/>
        </w:rPr>
        <w:t>r</w:t>
      </w:r>
      <w:r w:rsidRPr="009F58DF">
        <w:rPr>
          <w:rFonts w:ascii="Arial" w:hAnsi="Arial" w:cs="Arial"/>
          <w:b/>
          <w:color w:val="000000"/>
          <w:sz w:val="24"/>
          <w:szCs w:val="24"/>
        </w:rPr>
        <w:t>eferencia para el espectro de radiofrecuencia a analizar.</w:t>
      </w:r>
    </w:p>
    <w:p w:rsidR="0025315F" w:rsidRDefault="0025315F" w:rsidP="0025315F">
      <w:pPr>
        <w:spacing w:line="360" w:lineRule="auto"/>
        <w:ind w:left="1560"/>
        <w:jc w:val="both"/>
        <w:rPr>
          <w:rFonts w:ascii="Arial" w:hAnsi="Arial" w:cs="Arial"/>
          <w:color w:val="000000"/>
          <w:sz w:val="24"/>
          <w:szCs w:val="24"/>
        </w:rPr>
      </w:pPr>
      <w:r w:rsidRPr="009F58DF">
        <w:rPr>
          <w:rFonts w:ascii="Arial" w:hAnsi="Arial" w:cs="Arial"/>
          <w:color w:val="000000"/>
          <w:sz w:val="24"/>
          <w:szCs w:val="24"/>
        </w:rPr>
        <w:t>En el espectro radiofrecuencia a analizar tenemos; l</w:t>
      </w:r>
      <w:r>
        <w:rPr>
          <w:rFonts w:ascii="Arial" w:hAnsi="Arial" w:cs="Arial"/>
          <w:color w:val="000000"/>
          <w:sz w:val="24"/>
          <w:szCs w:val="24"/>
        </w:rPr>
        <w:t>a banda de los 80</w:t>
      </w:r>
      <w:r w:rsidRPr="009F58DF">
        <w:rPr>
          <w:rFonts w:ascii="Arial" w:hAnsi="Arial" w:cs="Arial"/>
          <w:color w:val="000000"/>
          <w:sz w:val="24"/>
          <w:szCs w:val="24"/>
        </w:rPr>
        <w:t>0 MHz de la Telefonía Móvil asignado en Ecuador;  la banda de 2.4 a 2.5 GHz de comunicaciones Wireless LAN, la cual es una banda libre internacionalmente usada para comunicaciones desde y hacia puntos de accesos inalámbricos.</w:t>
      </w:r>
      <w:r>
        <w:rPr>
          <w:rFonts w:ascii="Arial" w:hAnsi="Arial" w:cs="Arial"/>
          <w:color w:val="000000"/>
          <w:sz w:val="24"/>
          <w:szCs w:val="24"/>
        </w:rPr>
        <w:t xml:space="preserve"> También para sistemas de radiodifusión en especial para Radio FM y televisión abierta</w:t>
      </w:r>
    </w:p>
    <w:p w:rsidR="0025315F" w:rsidRPr="009F58DF" w:rsidRDefault="0025315F" w:rsidP="0025315F">
      <w:pPr>
        <w:spacing w:line="360" w:lineRule="auto"/>
        <w:ind w:left="1560"/>
        <w:rPr>
          <w:rFonts w:ascii="Arial" w:hAnsi="Arial" w:cs="Arial"/>
          <w:color w:val="000000"/>
          <w:sz w:val="24"/>
          <w:szCs w:val="24"/>
        </w:rPr>
      </w:pPr>
      <w:r w:rsidRPr="009F58DF">
        <w:rPr>
          <w:rFonts w:ascii="Arial" w:hAnsi="Arial" w:cs="Arial"/>
          <w:color w:val="000000"/>
          <w:sz w:val="24"/>
          <w:szCs w:val="24"/>
        </w:rPr>
        <w:lastRenderedPageBreak/>
        <w:t xml:space="preserve">A continuación se muestra  una tabla de límites de referencia radiofrecuencia a analizar </w:t>
      </w:r>
      <w:r w:rsidRPr="009F58DF">
        <w:rPr>
          <w:rFonts w:ascii="Arial" w:hAnsi="Arial" w:cs="Arial"/>
          <w:color w:val="000000"/>
          <w:sz w:val="24"/>
          <w:szCs w:val="24"/>
          <w:lang w:val="es-EC"/>
        </w:rPr>
        <w:t>calculados</w:t>
      </w:r>
      <w:r w:rsidRPr="009F58DF">
        <w:rPr>
          <w:rFonts w:ascii="Arial" w:hAnsi="Arial" w:cs="Arial"/>
          <w:color w:val="000000"/>
          <w:sz w:val="24"/>
          <w:szCs w:val="24"/>
        </w:rPr>
        <w:t xml:space="preserve"> según la recomendación de ICNIRP.</w:t>
      </w:r>
    </w:p>
    <w:p w:rsidR="0025315F" w:rsidRDefault="00F561BF" w:rsidP="0025315F">
      <w:pPr>
        <w:spacing w:line="360" w:lineRule="auto"/>
        <w:ind w:left="1560"/>
        <w:jc w:val="center"/>
        <w:rPr>
          <w:rFonts w:ascii="Arial" w:hAnsi="Arial" w:cs="Arial"/>
          <w:color w:val="000000"/>
          <w:sz w:val="24"/>
          <w:szCs w:val="24"/>
        </w:rPr>
      </w:pPr>
      <w:r w:rsidRPr="00F561BF">
        <w:rPr>
          <w:rFonts w:ascii="Arial" w:hAnsi="Arial" w:cs="Arial"/>
          <w:noProof/>
          <w:color w:val="000000"/>
          <w:sz w:val="24"/>
          <w:szCs w:val="24"/>
          <w:lang w:eastAsia="es-ES"/>
        </w:rPr>
        <w:drawing>
          <wp:inline distT="0" distB="0" distL="0" distR="0">
            <wp:extent cx="4143375" cy="2381250"/>
            <wp:effectExtent l="19050" t="0" r="9525" b="0"/>
            <wp:docPr id="10"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33" cstate="print"/>
                    <a:srcRect l="2273" b="7683"/>
                    <a:stretch>
                      <a:fillRect/>
                    </a:stretch>
                  </pic:blipFill>
                  <pic:spPr bwMode="auto">
                    <a:xfrm>
                      <a:off x="0" y="0"/>
                      <a:ext cx="4147360" cy="2383540"/>
                    </a:xfrm>
                    <a:prstGeom prst="rect">
                      <a:avLst/>
                    </a:prstGeom>
                    <a:noFill/>
                    <a:ln w="9525">
                      <a:noFill/>
                      <a:miter lim="800000"/>
                      <a:headEnd/>
                      <a:tailEnd/>
                    </a:ln>
                  </pic:spPr>
                </pic:pic>
              </a:graphicData>
            </a:graphic>
          </wp:inline>
        </w:drawing>
      </w:r>
    </w:p>
    <w:p w:rsidR="0025315F" w:rsidRPr="00B656A5" w:rsidRDefault="0025315F" w:rsidP="0025315F">
      <w:pPr>
        <w:pStyle w:val="ListParagraph"/>
        <w:spacing w:line="360" w:lineRule="auto"/>
        <w:ind w:left="1416"/>
        <w:jc w:val="center"/>
        <w:rPr>
          <w:rFonts w:ascii="Arial" w:hAnsi="Arial" w:cs="Arial"/>
          <w:b/>
          <w:color w:val="000000"/>
          <w:sz w:val="24"/>
          <w:szCs w:val="24"/>
        </w:rPr>
      </w:pPr>
      <w:r>
        <w:rPr>
          <w:rFonts w:ascii="Arial" w:hAnsi="Arial" w:cs="Arial"/>
          <w:b/>
          <w:color w:val="000000"/>
          <w:sz w:val="24"/>
          <w:szCs w:val="24"/>
        </w:rPr>
        <w:t xml:space="preserve">Figura 2.6 Niveles de referencia de intensidad de campo eléctrico para exposición poblacional de rangos de frecuencia a analizar. </w:t>
      </w:r>
      <w:r w:rsidRPr="00664A36">
        <w:rPr>
          <w:rStyle w:val="FootnoteReference"/>
          <w:rFonts w:ascii="Arial" w:hAnsi="Arial" w:cs="Arial"/>
          <w:b/>
          <w:sz w:val="24"/>
          <w:szCs w:val="24"/>
        </w:rPr>
        <w:footnoteReference w:id="31"/>
      </w:r>
    </w:p>
    <w:p w:rsidR="0025315F" w:rsidRPr="009F58DF" w:rsidRDefault="0025315F" w:rsidP="0025315F">
      <w:pPr>
        <w:spacing w:line="360" w:lineRule="auto"/>
        <w:ind w:left="1560"/>
        <w:jc w:val="center"/>
        <w:rPr>
          <w:rFonts w:ascii="Arial" w:hAnsi="Arial" w:cs="Arial"/>
          <w:color w:val="000000"/>
          <w:sz w:val="24"/>
          <w:szCs w:val="24"/>
        </w:rPr>
      </w:pPr>
    </w:p>
    <w:p w:rsidR="0025315F" w:rsidRPr="009F58DF" w:rsidRDefault="0025315F" w:rsidP="0025315F">
      <w:pPr>
        <w:pStyle w:val="ListParagraph"/>
        <w:numPr>
          <w:ilvl w:val="1"/>
          <w:numId w:val="11"/>
        </w:numPr>
        <w:spacing w:line="360" w:lineRule="auto"/>
        <w:rPr>
          <w:rFonts w:ascii="Arial" w:hAnsi="Arial" w:cs="Arial"/>
          <w:color w:val="000000"/>
          <w:sz w:val="24"/>
          <w:szCs w:val="24"/>
        </w:rPr>
      </w:pPr>
      <w:r w:rsidRPr="009F58DF">
        <w:rPr>
          <w:rFonts w:ascii="Arial" w:hAnsi="Arial" w:cs="Arial"/>
          <w:b/>
          <w:color w:val="000000"/>
          <w:sz w:val="24"/>
          <w:szCs w:val="24"/>
        </w:rPr>
        <w:t>Norma Regulatoria Actual.</w:t>
      </w:r>
    </w:p>
    <w:p w:rsidR="0025315F" w:rsidRPr="009F58DF" w:rsidRDefault="0025315F" w:rsidP="0025315F">
      <w:pPr>
        <w:pStyle w:val="ListParagraph"/>
        <w:spacing w:line="360" w:lineRule="auto"/>
        <w:rPr>
          <w:rFonts w:ascii="Arial" w:hAnsi="Arial" w:cs="Arial"/>
          <w:color w:val="000000"/>
          <w:sz w:val="24"/>
          <w:szCs w:val="24"/>
        </w:rPr>
      </w:pPr>
    </w:p>
    <w:p w:rsidR="0025315F" w:rsidRPr="009F58DF" w:rsidRDefault="0025315F" w:rsidP="0025315F">
      <w:pPr>
        <w:pStyle w:val="ListParagraph"/>
        <w:numPr>
          <w:ilvl w:val="2"/>
          <w:numId w:val="11"/>
        </w:numPr>
        <w:spacing w:line="360" w:lineRule="auto"/>
        <w:ind w:left="1560" w:hanging="851"/>
        <w:rPr>
          <w:rFonts w:ascii="Arial" w:hAnsi="Arial" w:cs="Arial"/>
          <w:color w:val="000000"/>
          <w:sz w:val="24"/>
          <w:szCs w:val="24"/>
        </w:rPr>
      </w:pPr>
      <w:r w:rsidRPr="009F58DF">
        <w:rPr>
          <w:rFonts w:ascii="Arial" w:hAnsi="Arial" w:cs="Arial"/>
          <w:b/>
          <w:color w:val="000000"/>
          <w:sz w:val="24"/>
          <w:szCs w:val="24"/>
        </w:rPr>
        <w:t>Reglamento de Protección de Radiación de Emisiones de Radiación No Ionizantes.</w:t>
      </w: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r w:rsidRPr="009F58DF">
        <w:rPr>
          <w:rFonts w:ascii="Arial" w:hAnsi="Arial" w:cs="Arial"/>
          <w:sz w:val="24"/>
          <w:szCs w:val="24"/>
        </w:rPr>
        <w:t xml:space="preserve">El presente Reglamento tiene por objeto establecer </w:t>
      </w:r>
      <w:r w:rsidRPr="009F58DF">
        <w:rPr>
          <w:rFonts w:ascii="Arial" w:hAnsi="Arial" w:cs="Arial"/>
          <w:sz w:val="24"/>
          <w:szCs w:val="24"/>
          <w:lang w:val="es-EC"/>
        </w:rPr>
        <w:t>Ios</w:t>
      </w:r>
      <w:r w:rsidRPr="009F58DF">
        <w:rPr>
          <w:rFonts w:ascii="Arial" w:hAnsi="Arial" w:cs="Arial"/>
          <w:sz w:val="24"/>
          <w:szCs w:val="24"/>
        </w:rPr>
        <w:t xml:space="preserve"> límites de protección de emisiones de radiación no ionizante (RNI), generadas por uso de frecuencias del Espectro Radioeléctrico en Telecomunicaciones, su monitoreo y control para el efectivo cumplimiento de los límites establecidos. </w:t>
      </w: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r w:rsidRPr="009F58DF">
        <w:rPr>
          <w:rFonts w:ascii="Arial" w:hAnsi="Arial" w:cs="Arial"/>
          <w:sz w:val="24"/>
          <w:szCs w:val="24"/>
        </w:rPr>
        <w:t xml:space="preserve">Los deberes, derechos y obligaciones establecidos en el presente Reglamento se aplicarán al uso de frecuencias del Espectro Radioeléctrico, en el ámbito de competencia del Ministerio de telecomunicaciones, a nivel nacional. </w:t>
      </w: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p>
    <w:p w:rsidR="0025315F" w:rsidRPr="009F58DF" w:rsidRDefault="0025315F" w:rsidP="0025315F">
      <w:pPr>
        <w:autoSpaceDE w:val="0"/>
        <w:autoSpaceDN w:val="0"/>
        <w:adjustRightInd w:val="0"/>
        <w:spacing w:after="0" w:line="360" w:lineRule="auto"/>
        <w:ind w:left="1560"/>
        <w:jc w:val="both"/>
        <w:rPr>
          <w:rFonts w:ascii="Arial" w:hAnsi="Arial" w:cs="Arial"/>
          <w:color w:val="000000"/>
          <w:sz w:val="24"/>
          <w:szCs w:val="24"/>
        </w:rPr>
      </w:pPr>
      <w:r w:rsidRPr="009F58DF">
        <w:rPr>
          <w:rFonts w:ascii="Arial" w:hAnsi="Arial" w:cs="Arial"/>
          <w:sz w:val="24"/>
          <w:szCs w:val="24"/>
        </w:rPr>
        <w:t xml:space="preserve">Del Régimen de Protección u los límites máximos de Exposición de emisiones de RNI generadas por uso de frecuencias del Espectro Radioeléctrico, tenemos que se aplica tanto a la exposición ocupacional como a la exposición poblacional por el uso de frecuencias del Espectro Radioeléctrico, contempladas en el reglamento. De los límites máximos de exposición por estación radioeléctrica fija se establecen los mismos antes mencionados en la parte de </w:t>
      </w:r>
      <w:r w:rsidRPr="009F58DF">
        <w:rPr>
          <w:rFonts w:ascii="Arial" w:hAnsi="Arial" w:cs="Arial"/>
          <w:color w:val="000000"/>
          <w:sz w:val="24"/>
          <w:szCs w:val="24"/>
        </w:rPr>
        <w:t>niveles de referencia para exposición poblacional y ocupacional a campos eléctricos y magnéticos, del presente documento.</w:t>
      </w:r>
    </w:p>
    <w:p w:rsidR="0025315F" w:rsidRPr="009F58DF" w:rsidRDefault="0025315F" w:rsidP="0025315F">
      <w:pPr>
        <w:autoSpaceDE w:val="0"/>
        <w:autoSpaceDN w:val="0"/>
        <w:adjustRightInd w:val="0"/>
        <w:spacing w:after="0" w:line="360" w:lineRule="auto"/>
        <w:ind w:left="1560"/>
        <w:jc w:val="both"/>
        <w:rPr>
          <w:rFonts w:ascii="Arial" w:hAnsi="Arial" w:cs="Arial"/>
          <w:color w:val="000000"/>
          <w:sz w:val="24"/>
          <w:szCs w:val="24"/>
        </w:rPr>
      </w:pPr>
    </w:p>
    <w:p w:rsidR="0025315F" w:rsidRPr="009F58DF" w:rsidRDefault="0025315F" w:rsidP="0025315F">
      <w:pPr>
        <w:autoSpaceDE w:val="0"/>
        <w:autoSpaceDN w:val="0"/>
        <w:adjustRightInd w:val="0"/>
        <w:spacing w:after="0" w:line="360" w:lineRule="auto"/>
        <w:ind w:left="1560"/>
        <w:jc w:val="both"/>
        <w:rPr>
          <w:rFonts w:ascii="Arial" w:hAnsi="Arial" w:cs="Arial"/>
          <w:color w:val="000000"/>
          <w:sz w:val="24"/>
          <w:szCs w:val="24"/>
        </w:rPr>
      </w:pPr>
      <w:r w:rsidRPr="009F58DF">
        <w:rPr>
          <w:rFonts w:ascii="Arial" w:hAnsi="Arial" w:cs="Arial"/>
          <w:color w:val="000000"/>
          <w:sz w:val="24"/>
          <w:szCs w:val="24"/>
        </w:rPr>
        <w:t>De la instalación y operación indica que los concesionarios deben que la exposición que sus antenas producen en el rango de frecuencia que utiliza debe estar por debajo a los límites antes establecidos, de manera individual y en efecto a múltiples fuentes.</w:t>
      </w:r>
    </w:p>
    <w:p w:rsidR="0025315F" w:rsidRPr="009F58DF" w:rsidRDefault="0025315F" w:rsidP="0025315F">
      <w:pPr>
        <w:autoSpaceDE w:val="0"/>
        <w:autoSpaceDN w:val="0"/>
        <w:adjustRightInd w:val="0"/>
        <w:spacing w:after="0" w:line="360" w:lineRule="auto"/>
        <w:ind w:left="1560"/>
        <w:rPr>
          <w:rFonts w:ascii="Arial" w:hAnsi="Arial" w:cs="Arial"/>
          <w:sz w:val="24"/>
          <w:szCs w:val="24"/>
        </w:rPr>
      </w:pP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r w:rsidRPr="009F58DF">
        <w:rPr>
          <w:rFonts w:ascii="Arial" w:hAnsi="Arial" w:cs="Arial"/>
          <w:sz w:val="24"/>
          <w:szCs w:val="24"/>
        </w:rPr>
        <w:t>Sobre el procedimiento de medición que será aplicado a las estaciones radioeléctricas fijas que operan en el rango de 3 KHz a 300 GHz, la instrumentación, como es en nuestro caso, puede ser de banda ancha con medidores isotrópicos de radiación, reconocidos internacionalmente.</w:t>
      </w: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p>
    <w:p w:rsidR="0025315F" w:rsidRPr="009F58DF" w:rsidRDefault="0025315F" w:rsidP="0025315F">
      <w:pPr>
        <w:autoSpaceDE w:val="0"/>
        <w:autoSpaceDN w:val="0"/>
        <w:adjustRightInd w:val="0"/>
        <w:spacing w:after="0" w:line="360" w:lineRule="auto"/>
        <w:ind w:left="1560"/>
        <w:jc w:val="both"/>
        <w:rPr>
          <w:rFonts w:ascii="Arial" w:hAnsi="Arial" w:cs="Arial"/>
          <w:sz w:val="24"/>
          <w:szCs w:val="24"/>
        </w:rPr>
      </w:pPr>
      <w:r w:rsidRPr="009F58DF">
        <w:rPr>
          <w:rFonts w:ascii="Arial" w:hAnsi="Arial" w:cs="Arial"/>
          <w:sz w:val="24"/>
          <w:szCs w:val="24"/>
        </w:rPr>
        <w:lastRenderedPageBreak/>
        <w:t>El organismo de control competente para realizar las mediciones es la Superintendencia de Telecomunicaciones, la cual  inspeccionará la instalación y monitoreará los niveles de radiación electromagnética de las estaciones radioeléctricas fijas y cualquier modificación que las mismas tengan en el transcurso de su operación, a fin de verificar el cumplimiento de las disposiciones establecidas en reglamento.</w:t>
      </w:r>
    </w:p>
    <w:p w:rsidR="0025315F" w:rsidRPr="009F58DF" w:rsidRDefault="0025315F" w:rsidP="0025315F">
      <w:pPr>
        <w:autoSpaceDE w:val="0"/>
        <w:autoSpaceDN w:val="0"/>
        <w:adjustRightInd w:val="0"/>
        <w:spacing w:after="0" w:line="360" w:lineRule="auto"/>
        <w:ind w:left="1560"/>
        <w:rPr>
          <w:rFonts w:ascii="Arial" w:hAnsi="Arial" w:cs="Arial"/>
          <w:sz w:val="24"/>
          <w:szCs w:val="24"/>
        </w:rPr>
      </w:pPr>
    </w:p>
    <w:p w:rsidR="0025315F" w:rsidRPr="009F58D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autoSpaceDE w:val="0"/>
        <w:autoSpaceDN w:val="0"/>
        <w:adjustRightInd w:val="0"/>
        <w:spacing w:after="0" w:line="360" w:lineRule="auto"/>
        <w:ind w:left="1560"/>
        <w:rPr>
          <w:rFonts w:ascii="Arial" w:hAnsi="Arial" w:cs="Arial"/>
          <w:sz w:val="24"/>
          <w:szCs w:val="24"/>
        </w:rPr>
      </w:pPr>
    </w:p>
    <w:p w:rsidR="0025315F" w:rsidRDefault="0025315F" w:rsidP="0025315F">
      <w:pPr>
        <w:spacing w:line="480" w:lineRule="auto"/>
        <w:jc w:val="center"/>
        <w:outlineLvl w:val="0"/>
        <w:rPr>
          <w:rFonts w:ascii="Arial" w:hAnsi="Arial" w:cs="Arial"/>
          <w:b/>
          <w:sz w:val="48"/>
          <w:szCs w:val="48"/>
        </w:rPr>
      </w:pPr>
    </w:p>
    <w:p w:rsidR="0025315F" w:rsidRDefault="0025315F" w:rsidP="0025315F">
      <w:pPr>
        <w:spacing w:line="480" w:lineRule="auto"/>
        <w:jc w:val="center"/>
        <w:outlineLvl w:val="0"/>
        <w:rPr>
          <w:rFonts w:ascii="Arial" w:hAnsi="Arial" w:cs="Arial"/>
          <w:b/>
          <w:sz w:val="48"/>
          <w:szCs w:val="48"/>
        </w:rPr>
      </w:pPr>
    </w:p>
    <w:p w:rsidR="0025315F" w:rsidRDefault="0025315F" w:rsidP="0025315F">
      <w:pPr>
        <w:spacing w:line="480" w:lineRule="auto"/>
        <w:jc w:val="center"/>
        <w:outlineLvl w:val="0"/>
        <w:rPr>
          <w:rFonts w:ascii="Arial" w:hAnsi="Arial" w:cs="Arial"/>
          <w:b/>
          <w:sz w:val="48"/>
          <w:szCs w:val="48"/>
        </w:rPr>
      </w:pPr>
    </w:p>
    <w:p w:rsidR="0025315F" w:rsidRDefault="0025315F" w:rsidP="0025315F">
      <w:pPr>
        <w:spacing w:line="480" w:lineRule="auto"/>
        <w:jc w:val="center"/>
        <w:outlineLvl w:val="0"/>
        <w:rPr>
          <w:rFonts w:ascii="Arial" w:hAnsi="Arial" w:cs="Arial"/>
          <w:b/>
          <w:sz w:val="48"/>
          <w:szCs w:val="48"/>
        </w:rPr>
      </w:pPr>
    </w:p>
    <w:p w:rsidR="0025315F" w:rsidRPr="002B52F4" w:rsidRDefault="0025315F" w:rsidP="0025315F">
      <w:pPr>
        <w:spacing w:line="480" w:lineRule="auto"/>
        <w:jc w:val="center"/>
        <w:outlineLvl w:val="0"/>
        <w:rPr>
          <w:rFonts w:ascii="Arial" w:hAnsi="Arial" w:cs="Arial"/>
          <w:b/>
          <w:sz w:val="48"/>
          <w:szCs w:val="48"/>
        </w:rPr>
      </w:pPr>
      <w:r w:rsidRPr="002B52F4">
        <w:rPr>
          <w:rFonts w:ascii="Arial" w:hAnsi="Arial" w:cs="Arial"/>
          <w:b/>
          <w:sz w:val="48"/>
          <w:szCs w:val="48"/>
        </w:rPr>
        <w:t>CAPÍTULO 3</w:t>
      </w:r>
    </w:p>
    <w:p w:rsidR="0025315F" w:rsidRPr="002B52F4" w:rsidRDefault="0025315F" w:rsidP="0025315F">
      <w:pPr>
        <w:pStyle w:val="ListParagraph"/>
        <w:numPr>
          <w:ilvl w:val="0"/>
          <w:numId w:val="16"/>
        </w:numPr>
        <w:spacing w:line="480" w:lineRule="auto"/>
        <w:ind w:left="709"/>
        <w:jc w:val="both"/>
        <w:rPr>
          <w:rFonts w:ascii="Arial" w:hAnsi="Arial" w:cs="Arial"/>
          <w:b/>
          <w:sz w:val="32"/>
          <w:szCs w:val="32"/>
        </w:rPr>
      </w:pPr>
      <w:r w:rsidRPr="002B52F4">
        <w:rPr>
          <w:rFonts w:ascii="Arial" w:hAnsi="Arial" w:cs="Arial"/>
          <w:b/>
          <w:sz w:val="32"/>
          <w:szCs w:val="32"/>
        </w:rPr>
        <w:t>METODOLOGÍA Y PROCEDIMIENTOS DE MEDICIONES DE RADIACIONES NO IONIZANTES</w:t>
      </w:r>
    </w:p>
    <w:p w:rsidR="0025315F" w:rsidRPr="0093603B" w:rsidRDefault="0025315F" w:rsidP="0025315F">
      <w:pPr>
        <w:pStyle w:val="ListParagraph"/>
        <w:spacing w:line="480" w:lineRule="auto"/>
        <w:ind w:left="709"/>
        <w:jc w:val="both"/>
        <w:rPr>
          <w:rFonts w:ascii="Arial" w:hAnsi="Arial" w:cs="Arial"/>
          <w:b/>
          <w:caps/>
          <w:sz w:val="24"/>
          <w:szCs w:val="24"/>
        </w:rPr>
      </w:pPr>
    </w:p>
    <w:p w:rsidR="0025315F" w:rsidRPr="0093603B" w:rsidRDefault="0025315F" w:rsidP="0025315F">
      <w:pPr>
        <w:pStyle w:val="ListParagraph"/>
        <w:numPr>
          <w:ilvl w:val="1"/>
          <w:numId w:val="16"/>
        </w:numPr>
        <w:spacing w:line="480" w:lineRule="auto"/>
        <w:rPr>
          <w:rFonts w:ascii="Arial" w:eastAsia="BatangChe" w:hAnsi="Arial" w:cs="Arial"/>
          <w:b/>
          <w:sz w:val="24"/>
          <w:szCs w:val="24"/>
        </w:rPr>
      </w:pPr>
      <w:r w:rsidRPr="0093603B">
        <w:rPr>
          <w:rFonts w:ascii="Arial" w:eastAsia="BatangChe" w:hAnsi="Arial" w:cs="Arial"/>
          <w:b/>
          <w:sz w:val="24"/>
          <w:szCs w:val="24"/>
        </w:rPr>
        <w:t>Aplicación de Recomendaciones</w:t>
      </w:r>
    </w:p>
    <w:p w:rsidR="0025315F" w:rsidRPr="0093603B" w:rsidRDefault="0025315F" w:rsidP="0025315F">
      <w:pPr>
        <w:pStyle w:val="ListParagraph"/>
        <w:spacing w:line="480" w:lineRule="auto"/>
        <w:ind w:left="708"/>
        <w:rPr>
          <w:rFonts w:ascii="Arial" w:eastAsia="BatangChe" w:hAnsi="Arial" w:cs="Arial"/>
          <w:b/>
          <w:sz w:val="24"/>
          <w:szCs w:val="24"/>
        </w:rPr>
      </w:pPr>
    </w:p>
    <w:p w:rsidR="0025315F" w:rsidRPr="0093603B" w:rsidRDefault="0025315F" w:rsidP="0025315F">
      <w:pPr>
        <w:spacing w:line="480" w:lineRule="auto"/>
        <w:ind w:left="1416"/>
        <w:jc w:val="both"/>
        <w:rPr>
          <w:rFonts w:ascii="Arial" w:hAnsi="Arial" w:cs="Arial"/>
          <w:sz w:val="24"/>
          <w:szCs w:val="24"/>
        </w:rPr>
      </w:pPr>
      <w:r w:rsidRPr="0093603B">
        <w:rPr>
          <w:rFonts w:ascii="Arial" w:eastAsia="BatangChe" w:hAnsi="Arial" w:cs="Arial"/>
          <w:sz w:val="24"/>
          <w:szCs w:val="24"/>
        </w:rPr>
        <w:t xml:space="preserve">Para el desarrollo de mediciones de radiaciones no ionizantes se utiliza  normas internacionalmente reconocidas, las cuales ayudan a solventar la correcta funcionalidad de las mimas. Entre las más destacadas tenemos la </w:t>
      </w:r>
      <w:r w:rsidRPr="0093603B">
        <w:rPr>
          <w:rFonts w:ascii="Arial" w:hAnsi="Arial" w:cs="Arial"/>
          <w:bCs/>
          <w:color w:val="000000"/>
          <w:sz w:val="24"/>
          <w:szCs w:val="24"/>
        </w:rPr>
        <w:t xml:space="preserve">Recomendación para Limitar la Exposición a Campos Eléctricos, Magnéticos y Electromagnéticos de la </w:t>
      </w:r>
      <w:r w:rsidRPr="0093603B">
        <w:rPr>
          <w:rFonts w:ascii="Arial" w:hAnsi="Arial" w:cs="Arial"/>
          <w:color w:val="000000"/>
          <w:sz w:val="24"/>
          <w:szCs w:val="24"/>
        </w:rPr>
        <w:t xml:space="preserve">ICNIRP, también las recomendaciones </w:t>
      </w:r>
      <w:r w:rsidRPr="0093603B">
        <w:rPr>
          <w:rFonts w:ascii="Arial" w:hAnsi="Arial" w:cs="Arial"/>
          <w:sz w:val="24"/>
          <w:szCs w:val="24"/>
        </w:rPr>
        <w:t xml:space="preserve">ITU-T K.52 e ITU-T K.61 de la Unión Internacional de </w:t>
      </w:r>
      <w:r w:rsidRPr="0093603B">
        <w:rPr>
          <w:rFonts w:ascii="Arial" w:hAnsi="Arial" w:cs="Arial"/>
          <w:sz w:val="24"/>
          <w:szCs w:val="24"/>
        </w:rPr>
        <w:lastRenderedPageBreak/>
        <w:t xml:space="preserve">Telecomunicaciones, estas tres últimas que son parte de la referencia técnica del reglamento sobre </w:t>
      </w:r>
      <w:r w:rsidRPr="0093603B">
        <w:rPr>
          <w:rFonts w:ascii="Arial" w:hAnsi="Arial" w:cs="Arial"/>
          <w:bCs/>
          <w:color w:val="000000"/>
          <w:sz w:val="24"/>
          <w:szCs w:val="24"/>
        </w:rPr>
        <w:t xml:space="preserve">Protección de Radiación de Emisiones de Radiación No Ionizantes generadas por el uso del espectro de frecuencias del espectro radioeléctrico, </w:t>
      </w:r>
      <w:r w:rsidRPr="0093603B">
        <w:rPr>
          <w:rFonts w:ascii="Arial" w:hAnsi="Arial" w:cs="Arial"/>
          <w:sz w:val="24"/>
          <w:szCs w:val="24"/>
        </w:rPr>
        <w:t>vigente en el Ecuador</w:t>
      </w:r>
      <w:r w:rsidRPr="0093603B">
        <w:rPr>
          <w:rFonts w:ascii="Arial" w:hAnsi="Arial" w:cs="Arial"/>
          <w:bCs/>
          <w:color w:val="000000"/>
          <w:sz w:val="24"/>
          <w:szCs w:val="24"/>
        </w:rPr>
        <w:t>.</w:t>
      </w:r>
    </w:p>
    <w:p w:rsidR="0025315F" w:rsidRPr="0093603B" w:rsidRDefault="0025315F" w:rsidP="0025315F">
      <w:pPr>
        <w:spacing w:line="480" w:lineRule="auto"/>
        <w:ind w:left="1416"/>
        <w:jc w:val="both"/>
        <w:rPr>
          <w:rFonts w:ascii="Arial" w:hAnsi="Arial" w:cs="Arial"/>
          <w:sz w:val="24"/>
          <w:szCs w:val="24"/>
        </w:rPr>
      </w:pPr>
      <w:r w:rsidRPr="0093603B">
        <w:rPr>
          <w:rFonts w:ascii="Arial" w:hAnsi="Arial" w:cs="Arial"/>
          <w:sz w:val="24"/>
          <w:szCs w:val="24"/>
        </w:rPr>
        <w:t>La aplicación de las normas europeas EN5400 y EN50383, resultarían nuevas en nuestro país, ya que estas hacen referencias a pequeñas variaciones en el método de medición y en la instrumentación de los mismos.</w:t>
      </w:r>
    </w:p>
    <w:p w:rsidR="0025315F" w:rsidRPr="0093603B" w:rsidRDefault="0025315F" w:rsidP="0025315F">
      <w:pPr>
        <w:spacing w:line="480" w:lineRule="auto"/>
        <w:ind w:left="1416"/>
        <w:jc w:val="both"/>
        <w:rPr>
          <w:rFonts w:ascii="Arial" w:hAnsi="Arial" w:cs="Arial"/>
          <w:sz w:val="24"/>
          <w:szCs w:val="24"/>
        </w:rPr>
      </w:pPr>
      <w:r w:rsidRPr="0093603B">
        <w:rPr>
          <w:rFonts w:ascii="Arial" w:hAnsi="Arial" w:cs="Arial"/>
          <w:sz w:val="24"/>
          <w:szCs w:val="24"/>
        </w:rPr>
        <w:t>La aplicación de las normas antes mencionadas, junto a la disponibilidad de equipos proporcionados por el Grupo de Investigaciones de Radiaciones No Ionizantes de la ESPOL, hicieron posible las mediciones y la descripción de dicho proceso el cual es mostrado a continuación</w:t>
      </w:r>
    </w:p>
    <w:p w:rsidR="0025315F" w:rsidRPr="0093603B" w:rsidRDefault="0025315F" w:rsidP="0025315F">
      <w:pPr>
        <w:pStyle w:val="ListParagraph"/>
        <w:spacing w:line="480" w:lineRule="auto"/>
        <w:ind w:left="708"/>
        <w:rPr>
          <w:rFonts w:ascii="Arial" w:eastAsia="BatangChe" w:hAnsi="Arial" w:cs="Arial"/>
          <w:sz w:val="24"/>
          <w:szCs w:val="24"/>
        </w:rPr>
      </w:pPr>
    </w:p>
    <w:p w:rsidR="0025315F" w:rsidRPr="0093603B" w:rsidRDefault="0025315F" w:rsidP="0025315F">
      <w:pPr>
        <w:pStyle w:val="ListParagraph"/>
        <w:numPr>
          <w:ilvl w:val="2"/>
          <w:numId w:val="16"/>
        </w:numPr>
        <w:spacing w:line="480" w:lineRule="auto"/>
        <w:jc w:val="both"/>
        <w:rPr>
          <w:rFonts w:ascii="Arial" w:hAnsi="Arial" w:cs="Arial"/>
          <w:b/>
          <w:sz w:val="24"/>
          <w:szCs w:val="24"/>
        </w:rPr>
      </w:pPr>
      <w:r w:rsidRPr="0093603B">
        <w:rPr>
          <w:rFonts w:ascii="Arial" w:hAnsi="Arial" w:cs="Arial"/>
          <w:b/>
          <w:color w:val="000000"/>
          <w:sz w:val="24"/>
          <w:szCs w:val="24"/>
        </w:rPr>
        <w:t>Comisión Internacional sobre Protección frente a Radiaciones No Ionizantes ICNIRP.</w:t>
      </w:r>
    </w:p>
    <w:p w:rsidR="0025315F" w:rsidRPr="0093603B" w:rsidRDefault="0025315F" w:rsidP="0025315F">
      <w:pPr>
        <w:pStyle w:val="ListParagraph"/>
        <w:spacing w:line="480" w:lineRule="auto"/>
        <w:ind w:left="1854"/>
        <w:jc w:val="both"/>
        <w:rPr>
          <w:rFonts w:ascii="Arial" w:hAnsi="Arial" w:cs="Arial"/>
          <w:b/>
          <w:color w:val="000000"/>
          <w:sz w:val="24"/>
          <w:szCs w:val="24"/>
        </w:rPr>
      </w:pPr>
    </w:p>
    <w:p w:rsidR="0025315F" w:rsidRPr="0093603B" w:rsidRDefault="0025315F" w:rsidP="0025315F">
      <w:pPr>
        <w:pStyle w:val="ListParagraph"/>
        <w:spacing w:line="480" w:lineRule="auto"/>
        <w:ind w:left="1854"/>
        <w:jc w:val="both"/>
        <w:rPr>
          <w:rFonts w:ascii="Arial" w:hAnsi="Arial" w:cs="Arial"/>
          <w:color w:val="000000"/>
          <w:sz w:val="24"/>
          <w:szCs w:val="24"/>
        </w:rPr>
      </w:pPr>
      <w:r w:rsidRPr="0093603B">
        <w:rPr>
          <w:rFonts w:ascii="Arial" w:hAnsi="Arial" w:cs="Arial"/>
          <w:color w:val="000000"/>
          <w:sz w:val="24"/>
          <w:szCs w:val="24"/>
        </w:rPr>
        <w:t xml:space="preserve">La ICNIRP es una comisión científica independiente creada para fomentar la protección contra la radiación no ionizante (RNI) en beneficio de las personas y del medio ambiente. </w:t>
      </w:r>
      <w:r w:rsidRPr="0093603B">
        <w:rPr>
          <w:rFonts w:ascii="Arial" w:hAnsi="Arial" w:cs="Arial"/>
          <w:color w:val="000000"/>
          <w:sz w:val="24"/>
          <w:szCs w:val="24"/>
        </w:rPr>
        <w:lastRenderedPageBreak/>
        <w:t>Proporciona orientación científica y recomendaciones sobre protección contra la exposición a RNI, elabora directrices y límites internacionales de exposición a RNI independientes y con fundamento científico y representa a los profesionales de la protección contra la radiación de todo el mundo. La ICNIRP es la organización no gubernamental oficialmente reconocida por la Organización Mundial de la Salud para asuntos relativos a RNI.</w:t>
      </w:r>
    </w:p>
    <w:p w:rsidR="0025315F" w:rsidRPr="0093603B" w:rsidRDefault="0025315F" w:rsidP="0025315F">
      <w:pPr>
        <w:pStyle w:val="ListParagraph"/>
        <w:spacing w:line="480" w:lineRule="auto"/>
        <w:ind w:left="1854"/>
        <w:jc w:val="both"/>
        <w:rPr>
          <w:rFonts w:ascii="Arial" w:hAnsi="Arial" w:cs="Arial"/>
          <w:color w:val="000000"/>
          <w:sz w:val="24"/>
          <w:szCs w:val="24"/>
        </w:rPr>
      </w:pPr>
    </w:p>
    <w:p w:rsidR="0025315F" w:rsidRPr="0093603B" w:rsidRDefault="0025315F" w:rsidP="0025315F">
      <w:pPr>
        <w:pStyle w:val="ListParagraph"/>
        <w:spacing w:line="480" w:lineRule="auto"/>
        <w:ind w:left="1854"/>
        <w:jc w:val="both"/>
        <w:rPr>
          <w:rFonts w:ascii="Arial" w:hAnsi="Arial" w:cs="Arial"/>
          <w:bCs/>
          <w:color w:val="000000"/>
          <w:sz w:val="24"/>
          <w:szCs w:val="24"/>
        </w:rPr>
      </w:pPr>
      <w:r w:rsidRPr="0093603B">
        <w:rPr>
          <w:rFonts w:ascii="Arial" w:hAnsi="Arial" w:cs="Arial"/>
          <w:color w:val="000000"/>
          <w:sz w:val="24"/>
          <w:szCs w:val="24"/>
        </w:rPr>
        <w:t xml:space="preserve">Su recomendación </w:t>
      </w:r>
      <w:r w:rsidRPr="0093603B">
        <w:rPr>
          <w:rFonts w:ascii="Arial" w:hAnsi="Arial" w:cs="Arial"/>
          <w:bCs/>
          <w:color w:val="000000"/>
          <w:sz w:val="24"/>
          <w:szCs w:val="24"/>
        </w:rPr>
        <w:t xml:space="preserve">para Limitar la Exposición a Campos Eléctricos, Magnéticos y Electromagnéticos, es ampliamente conocida y aplicada mundialmente, para hacer frente a las emisión de radiaciones no ionizantes.  </w:t>
      </w:r>
    </w:p>
    <w:p w:rsidR="0025315F" w:rsidRPr="0093603B" w:rsidRDefault="0025315F" w:rsidP="0025315F">
      <w:pPr>
        <w:autoSpaceDE w:val="0"/>
        <w:autoSpaceDN w:val="0"/>
        <w:adjustRightInd w:val="0"/>
        <w:spacing w:after="0" w:line="480" w:lineRule="auto"/>
        <w:ind w:left="1854"/>
        <w:rPr>
          <w:rFonts w:ascii="Arial" w:hAnsi="Arial" w:cs="Arial"/>
          <w:color w:val="000000"/>
          <w:sz w:val="24"/>
          <w:szCs w:val="24"/>
        </w:rPr>
      </w:pPr>
    </w:p>
    <w:p w:rsidR="0025315F" w:rsidRPr="0093603B" w:rsidRDefault="0025315F" w:rsidP="0025315F">
      <w:pPr>
        <w:pStyle w:val="ListParagraph"/>
        <w:spacing w:line="480" w:lineRule="auto"/>
        <w:ind w:left="1854"/>
        <w:jc w:val="both"/>
        <w:rPr>
          <w:rFonts w:ascii="Arial" w:hAnsi="Arial" w:cs="Arial"/>
          <w:color w:val="000000"/>
          <w:sz w:val="24"/>
          <w:szCs w:val="24"/>
        </w:rPr>
      </w:pPr>
      <w:r w:rsidRPr="0093603B">
        <w:rPr>
          <w:rFonts w:ascii="Arial" w:hAnsi="Arial" w:cs="Arial"/>
          <w:color w:val="000000"/>
          <w:sz w:val="24"/>
          <w:szCs w:val="24"/>
        </w:rPr>
        <w:t>El principal objetivo de esta publicación es establecer recomendaciones para limitar la exposición a los campos electromagnéticos con el objetivo de proveer protección contra efectos adversos a la salud conocidos. Un efecto adverso a la salud causa un deterioro detectable de la salud de los individuos expuestos o sus descendencia; un efecto biológico, por otro lado, puede o no puede resultar en un efecto adverso a la salud.</w:t>
      </w:r>
    </w:p>
    <w:p w:rsidR="0025315F" w:rsidRPr="0093603B" w:rsidRDefault="0025315F" w:rsidP="0025315F">
      <w:pPr>
        <w:autoSpaceDE w:val="0"/>
        <w:autoSpaceDN w:val="0"/>
        <w:adjustRightInd w:val="0"/>
        <w:spacing w:after="0" w:line="480" w:lineRule="auto"/>
        <w:ind w:left="1854"/>
        <w:jc w:val="both"/>
        <w:rPr>
          <w:rFonts w:ascii="Arial" w:hAnsi="Arial" w:cs="Arial"/>
          <w:color w:val="000000"/>
          <w:sz w:val="24"/>
          <w:szCs w:val="24"/>
        </w:rPr>
      </w:pPr>
      <w:r w:rsidRPr="0093603B">
        <w:rPr>
          <w:rFonts w:ascii="Arial" w:hAnsi="Arial" w:cs="Arial"/>
          <w:color w:val="000000"/>
          <w:sz w:val="24"/>
          <w:szCs w:val="24"/>
        </w:rPr>
        <w:lastRenderedPageBreak/>
        <w:t xml:space="preserve">Estudios sobre efectos directos e indirectos de los campos electromagnéticos son descritos; los efectos directos son el resultado de la interacción directa de los campos con el cuerpo, los efectos indirectos envuelven la interacción con un objeto a un potencial eléctrico diferente del cuerpo. Resultados de estudios de laboratorio y epidemiológicos, criterios básicos de exposición y niveles de referencia para evaluación práctica del peligro son discutidos y las recomendaciones presentadas se aplican a la exposición ocupacional y poblacional </w:t>
      </w:r>
    </w:p>
    <w:p w:rsidR="0025315F" w:rsidRPr="0093603B" w:rsidRDefault="0025315F" w:rsidP="0025315F">
      <w:pPr>
        <w:spacing w:line="480" w:lineRule="auto"/>
        <w:ind w:left="1854"/>
        <w:jc w:val="both"/>
        <w:rPr>
          <w:rFonts w:ascii="Arial" w:hAnsi="Arial" w:cs="Arial"/>
          <w:color w:val="000000"/>
          <w:sz w:val="24"/>
          <w:szCs w:val="24"/>
        </w:rPr>
      </w:pPr>
    </w:p>
    <w:p w:rsidR="0025315F" w:rsidRPr="0093603B" w:rsidRDefault="0025315F" w:rsidP="0025315F">
      <w:pPr>
        <w:spacing w:line="480" w:lineRule="auto"/>
        <w:ind w:left="1854"/>
        <w:jc w:val="both"/>
        <w:rPr>
          <w:rFonts w:ascii="Arial" w:hAnsi="Arial" w:cs="Arial"/>
          <w:color w:val="000000"/>
          <w:sz w:val="24"/>
          <w:szCs w:val="24"/>
        </w:rPr>
      </w:pPr>
      <w:r w:rsidRPr="0093603B">
        <w:rPr>
          <w:rFonts w:ascii="Arial" w:hAnsi="Arial" w:cs="Arial"/>
          <w:color w:val="000000"/>
          <w:sz w:val="24"/>
          <w:szCs w:val="24"/>
        </w:rPr>
        <w:t>Para establecer los límites de exposición, la Comisión reconoce la necesidad de reconciliar diferentes opiniones de científicos. La validez de los reportes científicos tiene que ser considerada y las extrapolaciones de experimentos en animales a efectos en los seres humanos tienen que ser realizadas. Las restricciones en estas recomendaciones fueron basadas solamente en datos científicos, el conocimiento disponible a la fecha, sin embargo se debe indicar que dichas restricciones proveen un adecuado nivel de protección de la exposición a campos electromagnéticos variables en el tiempo.</w:t>
      </w:r>
    </w:p>
    <w:p w:rsidR="0025315F" w:rsidRPr="0093603B" w:rsidRDefault="0025315F" w:rsidP="0025315F">
      <w:pPr>
        <w:spacing w:line="480" w:lineRule="auto"/>
        <w:ind w:left="1854"/>
        <w:jc w:val="both"/>
        <w:rPr>
          <w:rFonts w:ascii="Arial" w:hAnsi="Arial" w:cs="Arial"/>
          <w:color w:val="000000"/>
          <w:sz w:val="24"/>
          <w:szCs w:val="24"/>
        </w:rPr>
      </w:pPr>
      <w:r w:rsidRPr="0093603B">
        <w:rPr>
          <w:rFonts w:ascii="Arial" w:hAnsi="Arial" w:cs="Arial"/>
          <w:color w:val="000000"/>
          <w:sz w:val="24"/>
          <w:szCs w:val="24"/>
        </w:rPr>
        <w:lastRenderedPageBreak/>
        <w:t>Los niveles de referencia y los límites de exposición de esta recomendación están citados en el capitulo dos de este documento, y son la base de parte de aplicación de otras de recomendaciones.</w:t>
      </w:r>
    </w:p>
    <w:p w:rsidR="0025315F" w:rsidRPr="0093603B" w:rsidRDefault="0025315F" w:rsidP="0025315F">
      <w:pPr>
        <w:pStyle w:val="ListParagraph"/>
        <w:numPr>
          <w:ilvl w:val="2"/>
          <w:numId w:val="16"/>
        </w:numPr>
        <w:spacing w:line="480" w:lineRule="auto"/>
        <w:jc w:val="both"/>
        <w:rPr>
          <w:rFonts w:ascii="Arial" w:hAnsi="Arial" w:cs="Arial"/>
          <w:b/>
          <w:color w:val="000000"/>
          <w:sz w:val="24"/>
          <w:szCs w:val="24"/>
        </w:rPr>
      </w:pPr>
      <w:r w:rsidRPr="0093603B">
        <w:rPr>
          <w:rFonts w:ascii="Arial" w:hAnsi="Arial" w:cs="Arial"/>
          <w:b/>
          <w:color w:val="000000"/>
          <w:sz w:val="24"/>
          <w:szCs w:val="24"/>
        </w:rPr>
        <w:t>Unión internacional de Telecomunicaciones</w:t>
      </w:r>
    </w:p>
    <w:p w:rsidR="0025315F" w:rsidRPr="0093603B" w:rsidRDefault="0025315F" w:rsidP="0025315F">
      <w:pPr>
        <w:pStyle w:val="ListParagraph"/>
        <w:spacing w:line="480" w:lineRule="auto"/>
        <w:ind w:left="1854"/>
        <w:jc w:val="both"/>
        <w:rPr>
          <w:rFonts w:ascii="Arial" w:hAnsi="Arial" w:cs="Arial"/>
          <w:b/>
          <w:color w:val="000000"/>
          <w:sz w:val="24"/>
          <w:szCs w:val="24"/>
        </w:rPr>
      </w:pPr>
    </w:p>
    <w:p w:rsidR="0025315F" w:rsidRPr="0093603B" w:rsidRDefault="0025315F" w:rsidP="0025315F">
      <w:pPr>
        <w:pStyle w:val="ListParagraph"/>
        <w:spacing w:line="480" w:lineRule="auto"/>
        <w:ind w:left="1854"/>
        <w:jc w:val="both"/>
        <w:rPr>
          <w:rStyle w:val="apple-style-span"/>
          <w:rFonts w:ascii="Arial" w:hAnsi="Arial" w:cs="Arial"/>
          <w:sz w:val="24"/>
          <w:szCs w:val="24"/>
        </w:rPr>
      </w:pPr>
      <w:r w:rsidRPr="002B52F4">
        <w:rPr>
          <w:rStyle w:val="apple-style-span"/>
          <w:rFonts w:ascii="Arial" w:hAnsi="Arial" w:cs="Arial"/>
          <w:sz w:val="24"/>
          <w:szCs w:val="24"/>
        </w:rPr>
        <w:t>La</w:t>
      </w:r>
      <w:r w:rsidRPr="002B52F4">
        <w:rPr>
          <w:rStyle w:val="apple-converted-space"/>
          <w:rFonts w:ascii="Arial" w:hAnsi="Arial" w:cs="Arial"/>
          <w:sz w:val="24"/>
          <w:szCs w:val="24"/>
        </w:rPr>
        <w:t> </w:t>
      </w:r>
      <w:r w:rsidRPr="002B52F4">
        <w:rPr>
          <w:rStyle w:val="apple-style-span"/>
          <w:rFonts w:ascii="Arial" w:hAnsi="Arial" w:cs="Arial"/>
          <w:bCs/>
          <w:sz w:val="24"/>
          <w:szCs w:val="24"/>
        </w:rPr>
        <w:t>Unión Internacional de Telecomunicaciones</w:t>
      </w:r>
      <w:r w:rsidRPr="002B52F4">
        <w:rPr>
          <w:rStyle w:val="apple-converted-space"/>
          <w:rFonts w:ascii="Arial" w:hAnsi="Arial" w:cs="Arial"/>
          <w:sz w:val="24"/>
          <w:szCs w:val="24"/>
        </w:rPr>
        <w:t> </w:t>
      </w:r>
      <w:r w:rsidRPr="002B52F4">
        <w:rPr>
          <w:rStyle w:val="apple-style-span"/>
          <w:rFonts w:ascii="Arial" w:hAnsi="Arial" w:cs="Arial"/>
          <w:sz w:val="24"/>
          <w:szCs w:val="24"/>
        </w:rPr>
        <w:t>(</w:t>
      </w:r>
      <w:r w:rsidRPr="002B52F4">
        <w:rPr>
          <w:rStyle w:val="apple-style-span"/>
          <w:rFonts w:ascii="Arial" w:hAnsi="Arial" w:cs="Arial"/>
          <w:bCs/>
          <w:sz w:val="24"/>
          <w:szCs w:val="24"/>
        </w:rPr>
        <w:t>UIT</w:t>
      </w:r>
      <w:r w:rsidRPr="002B52F4">
        <w:rPr>
          <w:rStyle w:val="apple-style-span"/>
          <w:rFonts w:ascii="Arial" w:hAnsi="Arial" w:cs="Arial"/>
          <w:sz w:val="24"/>
          <w:szCs w:val="24"/>
        </w:rPr>
        <w:t>) es el organismo especializado de la</w:t>
      </w:r>
      <w:r w:rsidRPr="002B52F4">
        <w:rPr>
          <w:rStyle w:val="apple-converted-space"/>
          <w:rFonts w:ascii="Arial" w:hAnsi="Arial" w:cs="Arial"/>
          <w:sz w:val="24"/>
          <w:szCs w:val="24"/>
        </w:rPr>
        <w:t> </w:t>
      </w:r>
      <w:hyperlink r:id="rId134" w:tooltip="Organización de las Naciones Unidas" w:history="1">
        <w:r w:rsidRPr="002B52F4">
          <w:rPr>
            <w:rStyle w:val="Hyperlink"/>
            <w:rFonts w:ascii="Arial" w:hAnsi="Arial" w:cs="Arial"/>
            <w:color w:val="auto"/>
            <w:sz w:val="24"/>
            <w:szCs w:val="24"/>
            <w:u w:val="none"/>
          </w:rPr>
          <w:t>Organización de las Naciones Unidas</w:t>
        </w:r>
      </w:hyperlink>
      <w:r w:rsidRPr="002B52F4">
        <w:rPr>
          <w:rStyle w:val="apple-style-span"/>
          <w:rFonts w:ascii="Arial" w:hAnsi="Arial" w:cs="Arial"/>
          <w:sz w:val="24"/>
          <w:szCs w:val="24"/>
        </w:rPr>
        <w:t xml:space="preserve"> encargado de regular las</w:t>
      </w:r>
      <w:r w:rsidRPr="002B52F4">
        <w:rPr>
          <w:rStyle w:val="apple-converted-space"/>
          <w:rFonts w:ascii="Arial" w:hAnsi="Arial" w:cs="Arial"/>
          <w:sz w:val="24"/>
          <w:szCs w:val="24"/>
        </w:rPr>
        <w:t> </w:t>
      </w:r>
      <w:hyperlink r:id="rId135" w:tooltip="Telecomunicación" w:history="1">
        <w:r w:rsidRPr="002B52F4">
          <w:rPr>
            <w:rStyle w:val="Hyperlink"/>
            <w:rFonts w:ascii="Arial" w:hAnsi="Arial" w:cs="Arial"/>
            <w:color w:val="auto"/>
            <w:sz w:val="24"/>
            <w:szCs w:val="24"/>
            <w:u w:val="none"/>
          </w:rPr>
          <w:t>telecomunicaciones</w:t>
        </w:r>
      </w:hyperlink>
      <w:r w:rsidRPr="002B52F4">
        <w:rPr>
          <w:rStyle w:val="apple-converted-space"/>
          <w:rFonts w:ascii="Arial" w:hAnsi="Arial" w:cs="Arial"/>
          <w:sz w:val="24"/>
          <w:szCs w:val="24"/>
        </w:rPr>
        <w:t> </w:t>
      </w:r>
      <w:r w:rsidRPr="002B52F4">
        <w:rPr>
          <w:rStyle w:val="apple-style-span"/>
          <w:rFonts w:ascii="Arial" w:hAnsi="Arial" w:cs="Arial"/>
          <w:sz w:val="24"/>
          <w:szCs w:val="24"/>
        </w:rPr>
        <w:t>a nivel internacional entre las distintas administraciones y</w:t>
      </w:r>
      <w:r w:rsidRPr="0093603B">
        <w:rPr>
          <w:rStyle w:val="apple-style-span"/>
          <w:rFonts w:ascii="Arial" w:hAnsi="Arial" w:cs="Arial"/>
          <w:sz w:val="24"/>
          <w:szCs w:val="24"/>
        </w:rPr>
        <w:t xml:space="preserve"> empresas operadoras.</w:t>
      </w:r>
    </w:p>
    <w:p w:rsidR="0025315F" w:rsidRPr="0093603B" w:rsidRDefault="0025315F" w:rsidP="0025315F">
      <w:pPr>
        <w:pStyle w:val="ListParagraph"/>
        <w:spacing w:line="480" w:lineRule="auto"/>
        <w:ind w:left="1854"/>
        <w:jc w:val="both"/>
        <w:rPr>
          <w:rStyle w:val="apple-style-span"/>
          <w:rFonts w:ascii="Arial" w:hAnsi="Arial" w:cs="Arial"/>
          <w:sz w:val="24"/>
          <w:szCs w:val="24"/>
        </w:rPr>
      </w:pPr>
    </w:p>
    <w:p w:rsidR="0025315F" w:rsidRPr="0093603B" w:rsidRDefault="0025315F" w:rsidP="0025315F">
      <w:pPr>
        <w:pStyle w:val="ListParagraph"/>
        <w:spacing w:line="480" w:lineRule="auto"/>
        <w:ind w:left="1854"/>
        <w:jc w:val="both"/>
        <w:rPr>
          <w:rFonts w:ascii="Arial" w:hAnsi="Arial" w:cs="Arial"/>
          <w:b/>
          <w:color w:val="000000"/>
          <w:sz w:val="24"/>
          <w:szCs w:val="24"/>
        </w:rPr>
      </w:pPr>
      <w:r w:rsidRPr="0093603B">
        <w:rPr>
          <w:rStyle w:val="apple-style-span"/>
          <w:rFonts w:ascii="Arial" w:hAnsi="Arial" w:cs="Arial"/>
          <w:color w:val="000000"/>
          <w:sz w:val="24"/>
          <w:szCs w:val="24"/>
        </w:rPr>
        <w:t>En general, la normativa generada por la UIT está contenida en un amplio conjunto de documentos denominados</w:t>
      </w:r>
      <w:r w:rsidRPr="0093603B">
        <w:rPr>
          <w:rStyle w:val="apple-converted-space"/>
          <w:rFonts w:ascii="Arial" w:hAnsi="Arial" w:cs="Arial"/>
          <w:color w:val="000000"/>
          <w:sz w:val="24"/>
          <w:szCs w:val="24"/>
        </w:rPr>
        <w:t> r</w:t>
      </w:r>
      <w:r w:rsidRPr="0093603B">
        <w:rPr>
          <w:rStyle w:val="apple-style-span"/>
          <w:rFonts w:ascii="Arial" w:hAnsi="Arial" w:cs="Arial"/>
          <w:iCs/>
          <w:color w:val="000000"/>
          <w:sz w:val="24"/>
          <w:szCs w:val="24"/>
        </w:rPr>
        <w:t>ecomendaciones</w:t>
      </w:r>
      <w:r w:rsidRPr="0093603B">
        <w:rPr>
          <w:rStyle w:val="apple-style-span"/>
          <w:rFonts w:ascii="Arial" w:hAnsi="Arial" w:cs="Arial"/>
          <w:color w:val="000000"/>
          <w:sz w:val="24"/>
          <w:szCs w:val="24"/>
        </w:rPr>
        <w:t>, agrupados por series. Cada serie está compuesta por las Recomendaciones correspondientes a un mismo tema, por ejemplo Tarificación, Mantenimiento, etc. Aunque en las recomendaciones nunca se ordena, solo se recomienda o referencia su contenido, a nivel de relaciones internacionales, es considerado como mandatorio por las Administraciones y Empresas Operadoras.</w:t>
      </w:r>
    </w:p>
    <w:p w:rsidR="0025315F" w:rsidRPr="0093603B" w:rsidRDefault="0025315F" w:rsidP="0025315F">
      <w:pPr>
        <w:spacing w:before="96" w:after="120" w:line="480" w:lineRule="auto"/>
        <w:ind w:left="1146" w:firstLine="708"/>
        <w:rPr>
          <w:rFonts w:ascii="Arial" w:eastAsia="Times New Roman" w:hAnsi="Arial" w:cs="Arial"/>
          <w:color w:val="000000"/>
          <w:sz w:val="24"/>
          <w:szCs w:val="24"/>
          <w:lang w:eastAsia="es-ES"/>
        </w:rPr>
      </w:pPr>
      <w:r w:rsidRPr="0093603B">
        <w:rPr>
          <w:rFonts w:ascii="Arial" w:eastAsia="Times New Roman" w:hAnsi="Arial" w:cs="Arial"/>
          <w:color w:val="000000"/>
          <w:sz w:val="24"/>
          <w:szCs w:val="24"/>
          <w:lang w:eastAsia="es-ES"/>
        </w:rPr>
        <w:lastRenderedPageBreak/>
        <w:t>Está compuesta por tres sectores:</w:t>
      </w:r>
    </w:p>
    <w:p w:rsidR="0025315F" w:rsidRPr="0093603B" w:rsidRDefault="00985E19" w:rsidP="0025315F">
      <w:pPr>
        <w:pStyle w:val="ListParagraph"/>
        <w:numPr>
          <w:ilvl w:val="0"/>
          <w:numId w:val="17"/>
        </w:numPr>
        <w:spacing w:before="100" w:beforeAutospacing="1" w:after="24" w:line="480" w:lineRule="auto"/>
        <w:ind w:left="1843" w:firstLine="0"/>
        <w:jc w:val="both"/>
        <w:rPr>
          <w:rFonts w:ascii="Arial" w:eastAsia="Times New Roman" w:hAnsi="Arial" w:cs="Arial"/>
          <w:sz w:val="24"/>
          <w:szCs w:val="24"/>
          <w:lang w:eastAsia="es-ES"/>
        </w:rPr>
      </w:pPr>
      <w:hyperlink r:id="rId136" w:tooltip="Sector de Normalización de las Telecomunicaciones de la UIT" w:history="1">
        <w:r w:rsidR="0025315F" w:rsidRPr="0093603B">
          <w:rPr>
            <w:rFonts w:ascii="Arial" w:eastAsia="Times New Roman" w:hAnsi="Arial" w:cs="Arial"/>
            <w:sz w:val="24"/>
            <w:szCs w:val="24"/>
            <w:lang w:eastAsia="es-ES"/>
          </w:rPr>
          <w:t>UIT-T</w:t>
        </w:r>
      </w:hyperlink>
      <w:r w:rsidR="0025315F" w:rsidRPr="0093603B">
        <w:rPr>
          <w:rFonts w:ascii="Arial" w:eastAsia="Times New Roman" w:hAnsi="Arial" w:cs="Arial"/>
          <w:sz w:val="24"/>
          <w:szCs w:val="24"/>
          <w:lang w:eastAsia="es-ES"/>
        </w:rPr>
        <w:t xml:space="preserve">: Sector de Normalización de las Telecomunicaciones </w:t>
      </w:r>
    </w:p>
    <w:p w:rsidR="0025315F" w:rsidRPr="0093603B" w:rsidRDefault="00985E19" w:rsidP="0025315F">
      <w:pPr>
        <w:pStyle w:val="ListParagraph"/>
        <w:numPr>
          <w:ilvl w:val="2"/>
          <w:numId w:val="17"/>
        </w:numPr>
        <w:spacing w:before="100" w:beforeAutospacing="1" w:after="24" w:line="480" w:lineRule="auto"/>
        <w:ind w:hanging="317"/>
        <w:jc w:val="both"/>
        <w:rPr>
          <w:rFonts w:ascii="Arial" w:eastAsia="Times New Roman" w:hAnsi="Arial" w:cs="Arial"/>
          <w:sz w:val="24"/>
          <w:szCs w:val="24"/>
          <w:lang w:eastAsia="es-ES"/>
        </w:rPr>
      </w:pPr>
      <w:hyperlink r:id="rId137" w:tooltip="CCIR" w:history="1">
        <w:r w:rsidR="0025315F" w:rsidRPr="0093603B">
          <w:rPr>
            <w:rFonts w:ascii="Arial" w:eastAsia="Times New Roman" w:hAnsi="Arial" w:cs="Arial"/>
            <w:sz w:val="24"/>
            <w:szCs w:val="24"/>
            <w:lang w:eastAsia="es-ES"/>
          </w:rPr>
          <w:t>UIT-R</w:t>
        </w:r>
      </w:hyperlink>
      <w:r w:rsidR="0025315F" w:rsidRPr="0093603B">
        <w:rPr>
          <w:rFonts w:ascii="Arial" w:eastAsia="Times New Roman" w:hAnsi="Arial" w:cs="Arial"/>
          <w:sz w:val="24"/>
          <w:szCs w:val="24"/>
          <w:lang w:eastAsia="es-ES"/>
        </w:rPr>
        <w:t xml:space="preserve">: Sector de Normalización de las Radiocomunicaciones </w:t>
      </w:r>
    </w:p>
    <w:p w:rsidR="0025315F" w:rsidRPr="0093603B" w:rsidRDefault="00985E19" w:rsidP="0025315F">
      <w:pPr>
        <w:pStyle w:val="ListParagraph"/>
        <w:numPr>
          <w:ilvl w:val="2"/>
          <w:numId w:val="17"/>
        </w:numPr>
        <w:spacing w:before="100" w:beforeAutospacing="1" w:after="24" w:line="480" w:lineRule="auto"/>
        <w:jc w:val="both"/>
        <w:rPr>
          <w:rFonts w:ascii="Arial" w:eastAsia="Times New Roman" w:hAnsi="Arial" w:cs="Arial"/>
          <w:sz w:val="24"/>
          <w:szCs w:val="24"/>
          <w:lang w:eastAsia="es-ES"/>
        </w:rPr>
      </w:pPr>
      <w:hyperlink r:id="rId138" w:tooltip="Sector de Desarrollo de las Telecomunicaciones de la UIT" w:history="1">
        <w:r w:rsidR="0025315F" w:rsidRPr="0093603B">
          <w:rPr>
            <w:rFonts w:ascii="Arial" w:eastAsia="Times New Roman" w:hAnsi="Arial" w:cs="Arial"/>
            <w:sz w:val="24"/>
            <w:szCs w:val="24"/>
            <w:lang w:eastAsia="es-ES"/>
          </w:rPr>
          <w:t>UIT-D</w:t>
        </w:r>
      </w:hyperlink>
      <w:r w:rsidR="0025315F" w:rsidRPr="0093603B">
        <w:rPr>
          <w:rFonts w:ascii="Arial" w:eastAsia="Times New Roman" w:hAnsi="Arial" w:cs="Arial"/>
          <w:sz w:val="24"/>
          <w:szCs w:val="24"/>
          <w:lang w:eastAsia="es-ES"/>
        </w:rPr>
        <w:t>: </w:t>
      </w:r>
      <w:hyperlink r:id="rId139" w:tooltip="Sector de Desarrollo de las Telecomunicaciones de la UIT" w:history="1">
        <w:r w:rsidR="0025315F" w:rsidRPr="0093603B">
          <w:rPr>
            <w:rFonts w:ascii="Arial" w:eastAsia="Times New Roman" w:hAnsi="Arial" w:cs="Arial"/>
            <w:sz w:val="24"/>
            <w:szCs w:val="24"/>
            <w:lang w:eastAsia="es-ES"/>
          </w:rPr>
          <w:t>Sector de Desarrollo de las Telecomunicaciones de la UIT</w:t>
        </w:r>
      </w:hyperlink>
      <w:r w:rsidR="0025315F" w:rsidRPr="0093603B">
        <w:rPr>
          <w:rFonts w:ascii="Arial" w:eastAsia="Times New Roman" w:hAnsi="Arial" w:cs="Arial"/>
          <w:sz w:val="24"/>
          <w:szCs w:val="24"/>
          <w:lang w:eastAsia="es-ES"/>
        </w:rPr>
        <w:t> </w:t>
      </w:r>
    </w:p>
    <w:p w:rsidR="0025315F" w:rsidRDefault="0025315F" w:rsidP="0025315F">
      <w:pPr>
        <w:pStyle w:val="ListParagraph"/>
        <w:spacing w:line="480" w:lineRule="auto"/>
        <w:ind w:left="1854"/>
        <w:jc w:val="both"/>
        <w:rPr>
          <w:rStyle w:val="apple-style-span"/>
          <w:rFonts w:ascii="Arial" w:hAnsi="Arial" w:cs="Arial"/>
          <w:color w:val="000000"/>
          <w:sz w:val="24"/>
          <w:szCs w:val="24"/>
        </w:rPr>
      </w:pPr>
    </w:p>
    <w:p w:rsidR="0025315F" w:rsidRPr="0093603B" w:rsidRDefault="0025315F" w:rsidP="0025315F">
      <w:pPr>
        <w:pStyle w:val="ListParagraph"/>
        <w:spacing w:line="480" w:lineRule="auto"/>
        <w:ind w:left="1854"/>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El UIT-T Sector de Normalización de las Telecomunicaciones de la UIT es un órgano permanente de la UIT. Este órgano estudia los aspectos técnicos, de explotación y tarifarios y publica recomendaciones sobre los mismos con miras a la normalizar las telecomunicaciones a nivel mundial.</w:t>
      </w:r>
    </w:p>
    <w:p w:rsidR="0025315F" w:rsidRPr="0093603B" w:rsidRDefault="0025315F" w:rsidP="0025315F">
      <w:pPr>
        <w:pStyle w:val="ListParagraph"/>
        <w:spacing w:line="480" w:lineRule="auto"/>
        <w:ind w:left="1854"/>
        <w:jc w:val="both"/>
        <w:rPr>
          <w:rFonts w:ascii="Arial" w:hAnsi="Arial" w:cs="Arial"/>
          <w:b/>
          <w:color w:val="000000"/>
          <w:sz w:val="24"/>
          <w:szCs w:val="24"/>
        </w:rPr>
      </w:pPr>
    </w:p>
    <w:p w:rsidR="0025315F" w:rsidRPr="0093603B" w:rsidRDefault="0025315F" w:rsidP="0025315F">
      <w:pPr>
        <w:pStyle w:val="ListParagraph"/>
        <w:spacing w:line="480" w:lineRule="auto"/>
        <w:ind w:left="1854"/>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 xml:space="preserve">En particular la serie K de la UIT-T trata sobre Protección contra las interferencias, en lo que podemos encontrar recomendaciones sobre límites de seguridad de exposición a redes de telecomunicaciones, puesta a tierra, niveles de ruido permisibles, protecciones de equipos de telecomunicaciones, normas de seguridad de instalaciones, </w:t>
      </w:r>
      <w:r w:rsidRPr="0093603B">
        <w:rPr>
          <w:rStyle w:val="apple-style-span"/>
          <w:rFonts w:ascii="Arial" w:hAnsi="Arial" w:cs="Arial"/>
          <w:color w:val="000000"/>
          <w:sz w:val="24"/>
          <w:szCs w:val="24"/>
        </w:rPr>
        <w:lastRenderedPageBreak/>
        <w:t>inmunidad de equipos a sobre voltajes y sobre corrientes, etc.</w:t>
      </w:r>
    </w:p>
    <w:p w:rsidR="0025315F" w:rsidRPr="0093603B" w:rsidRDefault="0025315F" w:rsidP="0025315F">
      <w:pPr>
        <w:pStyle w:val="ListParagraph"/>
        <w:spacing w:line="480" w:lineRule="auto"/>
        <w:ind w:left="1854"/>
        <w:jc w:val="both"/>
        <w:rPr>
          <w:rStyle w:val="apple-style-span"/>
          <w:rFonts w:ascii="Arial" w:hAnsi="Arial" w:cs="Arial"/>
          <w:color w:val="000000"/>
          <w:sz w:val="24"/>
          <w:szCs w:val="24"/>
        </w:rPr>
      </w:pPr>
    </w:p>
    <w:p w:rsidR="0025315F" w:rsidRPr="0093603B" w:rsidRDefault="0025315F" w:rsidP="0025315F">
      <w:pPr>
        <w:pStyle w:val="ListParagraph"/>
        <w:spacing w:line="480" w:lineRule="auto"/>
        <w:ind w:left="1854"/>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En particular para el desarrollo del proyecto de mediciones de emisiones de radiaciones no ionizantes hacemos referencia a las recomendaciones ITU-T K.52 e ITU-T K.61, que se muestran a continuación.</w:t>
      </w:r>
    </w:p>
    <w:p w:rsidR="0025315F" w:rsidRPr="0093603B" w:rsidRDefault="0025315F" w:rsidP="0025315F">
      <w:pPr>
        <w:pStyle w:val="ListParagraph"/>
        <w:spacing w:line="480" w:lineRule="auto"/>
        <w:ind w:left="1854"/>
        <w:jc w:val="both"/>
        <w:rPr>
          <w:rFonts w:ascii="Arial" w:hAnsi="Arial" w:cs="Arial"/>
          <w:b/>
          <w:color w:val="000000"/>
          <w:sz w:val="24"/>
          <w:szCs w:val="24"/>
        </w:rPr>
      </w:pPr>
    </w:p>
    <w:p w:rsidR="0025315F" w:rsidRPr="0093603B" w:rsidRDefault="0025315F" w:rsidP="0025315F">
      <w:pPr>
        <w:pStyle w:val="ListParagraph"/>
        <w:numPr>
          <w:ilvl w:val="3"/>
          <w:numId w:val="16"/>
        </w:numPr>
        <w:spacing w:line="480" w:lineRule="auto"/>
        <w:ind w:hanging="796"/>
        <w:rPr>
          <w:rFonts w:ascii="Arial" w:hAnsi="Arial" w:cs="Arial"/>
          <w:b/>
          <w:sz w:val="24"/>
          <w:szCs w:val="24"/>
        </w:rPr>
      </w:pPr>
      <w:r w:rsidRPr="0093603B">
        <w:rPr>
          <w:rFonts w:ascii="Arial" w:hAnsi="Arial" w:cs="Arial"/>
          <w:b/>
          <w:sz w:val="24"/>
          <w:szCs w:val="24"/>
        </w:rPr>
        <w:t>ITU-T K.52</w:t>
      </w:r>
    </w:p>
    <w:p w:rsidR="0025315F" w:rsidRPr="0093603B" w:rsidRDefault="0025315F" w:rsidP="0025315F">
      <w:pPr>
        <w:pStyle w:val="ListParagraph"/>
        <w:spacing w:line="480" w:lineRule="auto"/>
        <w:ind w:left="2832"/>
        <w:rPr>
          <w:rFonts w:ascii="Arial" w:hAnsi="Arial" w:cs="Arial"/>
          <w:b/>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bCs/>
          <w:sz w:val="24"/>
          <w:szCs w:val="24"/>
        </w:rPr>
      </w:pPr>
      <w:r w:rsidRPr="0093603B">
        <w:rPr>
          <w:rFonts w:ascii="Arial" w:hAnsi="Arial" w:cs="Arial"/>
          <w:sz w:val="24"/>
          <w:szCs w:val="24"/>
        </w:rPr>
        <w:t>Esta recomendación se refiere a la o</w:t>
      </w:r>
      <w:r w:rsidRPr="0093603B">
        <w:rPr>
          <w:rFonts w:ascii="Arial" w:hAnsi="Arial" w:cs="Arial"/>
          <w:bCs/>
          <w:sz w:val="24"/>
          <w:szCs w:val="24"/>
        </w:rPr>
        <w:t>rientación sobre el cumplimiento de los límites de exposición de las personas a los campos electromagnéticos</w:t>
      </w:r>
    </w:p>
    <w:p w:rsidR="0025315F" w:rsidRPr="0093603B" w:rsidRDefault="0025315F" w:rsidP="0025315F">
      <w:pPr>
        <w:autoSpaceDE w:val="0"/>
        <w:autoSpaceDN w:val="0"/>
        <w:adjustRightInd w:val="0"/>
        <w:spacing w:after="0" w:line="480" w:lineRule="auto"/>
        <w:ind w:left="2832"/>
        <w:jc w:val="both"/>
        <w:rPr>
          <w:rFonts w:ascii="Arial" w:hAnsi="Arial" w:cs="Arial"/>
          <w:bCs/>
          <w:sz w:val="24"/>
          <w:szCs w:val="24"/>
        </w:rPr>
      </w:pPr>
    </w:p>
    <w:p w:rsidR="0025315F"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La finalidad de la presente Recomendación es facilitar el cumplimiento de los límites de seguridad de las instalaciones de telecomunicación y de los teléfonos móviles u otros dispositivos que emiten radiaciones y que se utilizan muy próximos a la cabeza, cuando existe exposición de las personas a campos electromagnéticos. Presenta una </w:t>
      </w:r>
      <w:r w:rsidRPr="0093603B">
        <w:rPr>
          <w:rFonts w:ascii="Arial" w:hAnsi="Arial" w:cs="Arial"/>
          <w:sz w:val="24"/>
          <w:szCs w:val="24"/>
        </w:rPr>
        <w:lastRenderedPageBreak/>
        <w:t xml:space="preserve">orientación general, un método de cálculo y un procedimiento de evaluación de las instalaciones. </w:t>
      </w:r>
    </w:p>
    <w:p w:rsidR="0025315F"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El procedimiento de evaluación y casi todo lo adjuntado en esta recomendación se basa a lo referido </w:t>
      </w:r>
      <w:r w:rsidRPr="0093603B">
        <w:rPr>
          <w:rFonts w:ascii="Arial" w:hAnsi="Arial" w:cs="Arial"/>
          <w:color w:val="000000"/>
          <w:sz w:val="24"/>
          <w:szCs w:val="24"/>
        </w:rPr>
        <w:t xml:space="preserve">documentación  </w:t>
      </w:r>
      <w:r w:rsidRPr="0093603B">
        <w:rPr>
          <w:rFonts w:ascii="Arial" w:hAnsi="Arial" w:cs="Arial"/>
          <w:bCs/>
          <w:color w:val="000000"/>
          <w:sz w:val="24"/>
          <w:szCs w:val="24"/>
        </w:rPr>
        <w:t>para Limitar la Exposición a Campos Eléctricos, Magnéticos y Electromagnéticos</w:t>
      </w:r>
      <w:r w:rsidRPr="0093603B">
        <w:rPr>
          <w:rFonts w:ascii="Arial" w:hAnsi="Arial" w:cs="Arial"/>
          <w:sz w:val="24"/>
          <w:szCs w:val="24"/>
        </w:rPr>
        <w:t xml:space="preserve">  de la ICNIRP (</w:t>
      </w:r>
      <w:r w:rsidRPr="0093603B">
        <w:rPr>
          <w:rFonts w:ascii="Arial" w:hAnsi="Arial" w:cs="Arial"/>
          <w:color w:val="000000"/>
          <w:sz w:val="24"/>
          <w:szCs w:val="24"/>
        </w:rPr>
        <w:t>Comisión Internacional sobre Protección frente a Radiaciones No Ionizantes), de la cual ya hemos mencionado anteriormente</w:t>
      </w:r>
      <w:r w:rsidRPr="0093603B">
        <w:rPr>
          <w:rFonts w:ascii="Arial" w:hAnsi="Arial" w:cs="Arial"/>
          <w:sz w:val="24"/>
          <w:szCs w:val="24"/>
        </w:rPr>
        <w:t>.</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En particular tenemos la consideración de los efectos de las múltiples fuentes, en la que se  requiere que las fuentes se consideren en una suma ponderada, en la que cada fuente individual se prorratee de acuerdo con el límite aplicable a su frecuencia esto es debido al diferente efecto fisiológico de las fuentes de frecuencias más bajas y las fuentes de frecuencias más altas, deben considerarse por separado. </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lastRenderedPageBreak/>
        <w:t>Para la exposición simultánea a fuentes a diferentes frecuencias, el cumplimiento de los límites de exposición se evalúa utilizando las ecuaciones que siguen. Se deben satisfacer todas las condiciones para las gamas de frecuencias pertinentes:</w:t>
      </w:r>
    </w:p>
    <w:p w:rsidR="0025315F" w:rsidRPr="0093603B" w:rsidRDefault="0025315F" w:rsidP="0025315F">
      <w:pPr>
        <w:spacing w:line="480" w:lineRule="auto"/>
        <w:ind w:left="2832"/>
        <w:rPr>
          <w:rFonts w:ascii="Arial" w:hAnsi="Arial" w:cs="Arial"/>
          <w:b/>
          <w:sz w:val="24"/>
          <w:szCs w:val="24"/>
        </w:rPr>
      </w:pPr>
    </w:p>
    <w:p w:rsidR="0025315F" w:rsidRPr="0093603B" w:rsidRDefault="00985E19" w:rsidP="0025315F">
      <w:pPr>
        <w:spacing w:line="480" w:lineRule="auto"/>
        <w:ind w:left="2832"/>
        <w:jc w:val="center"/>
        <w:rPr>
          <w:rFonts w:ascii="Arial" w:hAnsi="Arial" w:cs="Arial"/>
          <w:sz w:val="24"/>
          <w:szCs w:val="24"/>
        </w:rPr>
      </w:pPr>
      <m:oMathPara>
        <m:oMath>
          <m:nary>
            <m:naryPr>
              <m:chr m:val="∑"/>
              <m:limLoc m:val="undOvr"/>
              <m:ctrlPr>
                <w:rPr>
                  <w:rFonts w:ascii="Cambria Math" w:hAnsi="Arial" w:cs="Arial"/>
                  <w:i/>
                  <w:sz w:val="24"/>
                  <w:szCs w:val="24"/>
                </w:rPr>
              </m:ctrlPr>
            </m:naryPr>
            <m:sub>
              <m:r>
                <w:rPr>
                  <w:rFonts w:ascii="Cambria Math" w:hAnsi="Cambria Math" w:cs="Arial"/>
                  <w:sz w:val="24"/>
                  <w:szCs w:val="24"/>
                </w:rPr>
                <m:t>i</m:t>
              </m:r>
              <m:r>
                <w:rPr>
                  <w:rFonts w:ascii="Cambria Math" w:hAnsi="Arial" w:cs="Arial"/>
                  <w:sz w:val="24"/>
                  <w:szCs w:val="24"/>
                </w:rPr>
                <m:t>=100</m:t>
              </m:r>
              <m:r>
                <w:rPr>
                  <w:rFonts w:ascii="Cambria Math" w:hAnsi="Cambria Math" w:cs="Arial"/>
                  <w:sz w:val="24"/>
                  <w:szCs w:val="24"/>
                </w:rPr>
                <m:t>KHz</m:t>
              </m:r>
            </m:sub>
            <m:sup>
              <m:r>
                <w:rPr>
                  <w:rFonts w:ascii="Cambria Math" w:hAnsi="Arial" w:cs="Arial"/>
                  <w:sz w:val="24"/>
                  <w:szCs w:val="24"/>
                </w:rPr>
                <m:t>1</m:t>
              </m:r>
              <m:r>
                <w:rPr>
                  <w:rFonts w:ascii="Cambria Math" w:hAnsi="Cambria Math" w:cs="Arial"/>
                  <w:sz w:val="24"/>
                  <w:szCs w:val="24"/>
                </w:rPr>
                <m:t>MHz</m:t>
              </m:r>
            </m:sup>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num>
                        <m:den>
                          <m:r>
                            <w:rPr>
                              <w:rFonts w:ascii="Cambria Math" w:hAnsi="Cambria Math" w:cs="Arial"/>
                              <w:sz w:val="24"/>
                              <w:szCs w:val="24"/>
                            </w:rPr>
                            <m:t>c</m:t>
                          </m:r>
                        </m:den>
                      </m:f>
                    </m:e>
                  </m:d>
                </m:e>
                <m:sup>
                  <m:r>
                    <w:rPr>
                      <w:rFonts w:ascii="Cambria Math" w:hAnsi="Arial" w:cs="Arial"/>
                      <w:sz w:val="24"/>
                      <w:szCs w:val="24"/>
                    </w:rPr>
                    <m:t>2</m:t>
                  </m:r>
                </m:sup>
              </m:sSup>
            </m:e>
          </m:nary>
          <m:r>
            <w:rPr>
              <w:rFonts w:ascii="Cambria Math" w:hAnsi="Arial" w:cs="Arial"/>
              <w:sz w:val="24"/>
              <w:szCs w:val="24"/>
            </w:rPr>
            <m:t>+</m:t>
          </m:r>
          <m:nary>
            <m:naryPr>
              <m:chr m:val="∑"/>
              <m:limLoc m:val="undOvr"/>
              <m:ctrlPr>
                <w:rPr>
                  <w:rFonts w:ascii="Cambria Math" w:hAnsi="Arial" w:cs="Arial"/>
                  <w:i/>
                  <w:sz w:val="24"/>
                  <w:szCs w:val="24"/>
                </w:rPr>
              </m:ctrlPr>
            </m:naryPr>
            <m:sub>
              <m:r>
                <w:rPr>
                  <w:rFonts w:ascii="Cambria Math" w:hAnsi="Cambria Math" w:cs="Arial"/>
                  <w:sz w:val="24"/>
                  <w:szCs w:val="24"/>
                </w:rPr>
                <m:t>i</m:t>
              </m:r>
              <m:r>
                <w:rPr>
                  <w:rFonts w:ascii="Cambria Math" w:hAnsi="Arial" w:cs="Arial"/>
                  <w:sz w:val="24"/>
                  <w:szCs w:val="24"/>
                </w:rPr>
                <m:t>&gt;1</m:t>
              </m:r>
              <m:r>
                <w:rPr>
                  <w:rFonts w:ascii="Cambria Math" w:hAnsi="Cambria Math" w:cs="Arial"/>
                  <w:sz w:val="24"/>
                  <w:szCs w:val="24"/>
                </w:rPr>
                <m:t>MHz</m:t>
              </m:r>
            </m:sub>
            <m:sup>
              <m:r>
                <w:rPr>
                  <w:rFonts w:ascii="Cambria Math" w:hAnsi="Arial" w:cs="Arial"/>
                  <w:sz w:val="24"/>
                  <w:szCs w:val="24"/>
                </w:rPr>
                <m:t>300</m:t>
              </m:r>
              <m:r>
                <w:rPr>
                  <w:rFonts w:ascii="Cambria Math" w:hAnsi="Cambria Math" w:cs="Arial"/>
                  <w:sz w:val="24"/>
                  <w:szCs w:val="24"/>
                </w:rPr>
                <m:t>GHz</m:t>
              </m:r>
            </m:sup>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num>
                        <m:den>
                          <m:sSub>
                            <m:sSubPr>
                              <m:ctrlPr>
                                <w:rPr>
                                  <w:rFonts w:ascii="Cambria Math" w:hAnsi="Arial" w:cs="Arial"/>
                                  <w:i/>
                                  <w:sz w:val="24"/>
                                  <w:szCs w:val="24"/>
                                </w:rPr>
                              </m:ctrlPr>
                            </m:sSubPr>
                            <m:e>
                              <m:r>
                                <w:rPr>
                                  <w:rFonts w:ascii="Cambria Math" w:hAnsi="Cambria Math" w:cs="Arial"/>
                                  <w:sz w:val="24"/>
                                  <w:szCs w:val="24"/>
                                </w:rPr>
                                <m:t>E</m:t>
                              </m:r>
                            </m:e>
                            <m:sub>
                              <m:r>
                                <w:rPr>
                                  <w:rFonts w:ascii="Cambria Math" w:hAnsi="Cambria Math" w:cs="Arial"/>
                                  <w:sz w:val="24"/>
                                  <w:szCs w:val="24"/>
                                </w:rPr>
                                <m:t>l</m:t>
                              </m:r>
                              <m:r>
                                <w:rPr>
                                  <w:rFonts w:ascii="Cambria Math" w:hAnsi="Arial" w:cs="Arial"/>
                                  <w:sz w:val="24"/>
                                  <w:szCs w:val="24"/>
                                </w:rPr>
                                <m:t>,</m:t>
                              </m:r>
                              <m:r>
                                <w:rPr>
                                  <w:rFonts w:ascii="Cambria Math" w:hAnsi="Cambria Math" w:cs="Arial"/>
                                  <w:sz w:val="24"/>
                                  <w:szCs w:val="24"/>
                                </w:rPr>
                                <m:t>i</m:t>
                              </m:r>
                            </m:sub>
                          </m:sSub>
                        </m:den>
                      </m:f>
                    </m:e>
                  </m:d>
                </m:e>
                <m:sup>
                  <m:r>
                    <w:rPr>
                      <w:rFonts w:ascii="Cambria Math" w:hAnsi="Arial" w:cs="Arial"/>
                      <w:sz w:val="24"/>
                      <w:szCs w:val="24"/>
                    </w:rPr>
                    <m:t>2</m:t>
                  </m:r>
                </m:sup>
              </m:sSup>
              <m:r>
                <w:rPr>
                  <w:rFonts w:ascii="Arial" w:hAnsi="Arial" w:cs="Arial"/>
                  <w:sz w:val="24"/>
                  <w:szCs w:val="24"/>
                </w:rPr>
                <m:t>≤</m:t>
              </m:r>
              <m:r>
                <w:rPr>
                  <w:rFonts w:ascii="Cambria Math" w:hAnsi="Arial" w:cs="Arial"/>
                  <w:sz w:val="24"/>
                  <w:szCs w:val="24"/>
                </w:rPr>
                <m:t>1</m:t>
              </m:r>
            </m:e>
          </m:nary>
        </m:oMath>
      </m:oMathPara>
    </w:p>
    <w:p w:rsidR="0025315F" w:rsidRPr="0093603B" w:rsidRDefault="00985E19" w:rsidP="0025315F">
      <w:pPr>
        <w:spacing w:line="480" w:lineRule="auto"/>
        <w:ind w:left="2832"/>
        <w:jc w:val="center"/>
        <w:rPr>
          <w:rFonts w:ascii="Arial" w:hAnsi="Arial" w:cs="Arial"/>
          <w:sz w:val="24"/>
          <w:szCs w:val="24"/>
        </w:rPr>
      </w:pPr>
      <m:oMathPara>
        <m:oMath>
          <m:nary>
            <m:naryPr>
              <m:chr m:val="∑"/>
              <m:limLoc m:val="undOvr"/>
              <m:ctrlPr>
                <w:rPr>
                  <w:rFonts w:ascii="Cambria Math" w:hAnsi="Arial" w:cs="Arial"/>
                  <w:i/>
                  <w:sz w:val="24"/>
                  <w:szCs w:val="24"/>
                </w:rPr>
              </m:ctrlPr>
            </m:naryPr>
            <m:sub>
              <m:r>
                <w:rPr>
                  <w:rFonts w:ascii="Cambria Math" w:hAnsi="Cambria Math" w:cs="Arial"/>
                  <w:sz w:val="24"/>
                  <w:szCs w:val="24"/>
                </w:rPr>
                <m:t>j</m:t>
              </m:r>
              <m:r>
                <w:rPr>
                  <w:rFonts w:ascii="Cambria Math" w:hAnsi="Arial" w:cs="Arial"/>
                  <w:sz w:val="24"/>
                  <w:szCs w:val="24"/>
                </w:rPr>
                <m:t>=100</m:t>
              </m:r>
              <m:r>
                <w:rPr>
                  <w:rFonts w:ascii="Cambria Math" w:hAnsi="Cambria Math" w:cs="Arial"/>
                  <w:sz w:val="24"/>
                  <w:szCs w:val="24"/>
                </w:rPr>
                <m:t>KHz</m:t>
              </m:r>
            </m:sub>
            <m:sup>
              <m:r>
                <w:rPr>
                  <w:rFonts w:ascii="Cambria Math" w:hAnsi="Arial" w:cs="Arial"/>
                  <w:sz w:val="24"/>
                  <w:szCs w:val="24"/>
                </w:rPr>
                <m:t>1</m:t>
              </m:r>
              <m:r>
                <w:rPr>
                  <w:rFonts w:ascii="Cambria Math" w:hAnsi="Cambria Math" w:cs="Arial"/>
                  <w:sz w:val="24"/>
                  <w:szCs w:val="24"/>
                </w:rPr>
                <m:t>MHz</m:t>
              </m:r>
            </m:sup>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H</m:t>
                              </m:r>
                            </m:e>
                            <m:sub>
                              <m:r>
                                <w:rPr>
                                  <w:rFonts w:ascii="Cambria Math" w:hAnsi="Cambria Math" w:cs="Arial"/>
                                  <w:sz w:val="24"/>
                                  <w:szCs w:val="24"/>
                                </w:rPr>
                                <m:t>j</m:t>
                              </m:r>
                            </m:sub>
                          </m:sSub>
                        </m:num>
                        <m:den>
                          <m:r>
                            <w:rPr>
                              <w:rFonts w:ascii="Cambria Math" w:hAnsi="Cambria Math" w:cs="Arial"/>
                              <w:sz w:val="24"/>
                              <w:szCs w:val="24"/>
                            </w:rPr>
                            <m:t>b</m:t>
                          </m:r>
                        </m:den>
                      </m:f>
                    </m:e>
                  </m:d>
                </m:e>
                <m:sup>
                  <m:r>
                    <w:rPr>
                      <w:rFonts w:ascii="Cambria Math" w:hAnsi="Arial" w:cs="Arial"/>
                      <w:sz w:val="24"/>
                      <w:szCs w:val="24"/>
                    </w:rPr>
                    <m:t>2</m:t>
                  </m:r>
                </m:sup>
              </m:sSup>
            </m:e>
          </m:nary>
          <m:r>
            <w:rPr>
              <w:rFonts w:ascii="Cambria Math" w:hAnsi="Arial" w:cs="Arial"/>
              <w:sz w:val="24"/>
              <w:szCs w:val="24"/>
            </w:rPr>
            <m:t>+</m:t>
          </m:r>
          <m:nary>
            <m:naryPr>
              <m:chr m:val="∑"/>
              <m:limLoc m:val="undOvr"/>
              <m:ctrlPr>
                <w:rPr>
                  <w:rFonts w:ascii="Cambria Math" w:hAnsi="Arial" w:cs="Arial"/>
                  <w:i/>
                  <w:sz w:val="24"/>
                  <w:szCs w:val="24"/>
                </w:rPr>
              </m:ctrlPr>
            </m:naryPr>
            <m:sub>
              <m:r>
                <w:rPr>
                  <w:rFonts w:ascii="Cambria Math" w:hAnsi="Cambria Math" w:cs="Arial"/>
                  <w:sz w:val="24"/>
                  <w:szCs w:val="24"/>
                </w:rPr>
                <m:t>j</m:t>
              </m:r>
              <m:r>
                <w:rPr>
                  <w:rFonts w:ascii="Cambria Math" w:hAnsi="Arial" w:cs="Arial"/>
                  <w:sz w:val="24"/>
                  <w:szCs w:val="24"/>
                </w:rPr>
                <m:t>&gt;1</m:t>
              </m:r>
              <m:r>
                <w:rPr>
                  <w:rFonts w:ascii="Cambria Math" w:hAnsi="Cambria Math" w:cs="Arial"/>
                  <w:sz w:val="24"/>
                  <w:szCs w:val="24"/>
                </w:rPr>
                <m:t>MHz</m:t>
              </m:r>
            </m:sub>
            <m:sup>
              <m:r>
                <w:rPr>
                  <w:rFonts w:ascii="Cambria Math" w:hAnsi="Arial" w:cs="Arial"/>
                  <w:sz w:val="24"/>
                  <w:szCs w:val="24"/>
                </w:rPr>
                <m:t>300</m:t>
              </m:r>
              <m:r>
                <w:rPr>
                  <w:rFonts w:ascii="Cambria Math" w:hAnsi="Cambria Math" w:cs="Arial"/>
                  <w:sz w:val="24"/>
                  <w:szCs w:val="24"/>
                </w:rPr>
                <m:t>GHz</m:t>
              </m:r>
            </m:sup>
            <m:e>
              <m:sSup>
                <m:sSupPr>
                  <m:ctrlPr>
                    <w:rPr>
                      <w:rFonts w:ascii="Cambria Math" w:hAnsi="Arial" w:cs="Arial"/>
                      <w:i/>
                      <w:sz w:val="24"/>
                      <w:szCs w:val="24"/>
                    </w:rPr>
                  </m:ctrlPr>
                </m:sSupPr>
                <m:e>
                  <m:d>
                    <m:dPr>
                      <m:ctrlPr>
                        <w:rPr>
                          <w:rFonts w:ascii="Cambria Math" w:hAnsi="Arial" w:cs="Arial"/>
                          <w:i/>
                          <w:sz w:val="24"/>
                          <w:szCs w:val="24"/>
                        </w:rPr>
                      </m:ctrlPr>
                    </m:dPr>
                    <m:e>
                      <m:f>
                        <m:fPr>
                          <m:ctrlPr>
                            <w:rPr>
                              <w:rFonts w:ascii="Cambria Math" w:hAnsi="Arial" w:cs="Arial"/>
                              <w:i/>
                              <w:sz w:val="24"/>
                              <w:szCs w:val="24"/>
                            </w:rPr>
                          </m:ctrlPr>
                        </m:fPr>
                        <m:num>
                          <m:sSub>
                            <m:sSubPr>
                              <m:ctrlPr>
                                <w:rPr>
                                  <w:rFonts w:ascii="Cambria Math" w:hAnsi="Arial" w:cs="Arial"/>
                                  <w:i/>
                                  <w:sz w:val="24"/>
                                  <w:szCs w:val="24"/>
                                </w:rPr>
                              </m:ctrlPr>
                            </m:sSubPr>
                            <m:e>
                              <m:r>
                                <w:rPr>
                                  <w:rFonts w:ascii="Cambria Math" w:hAnsi="Cambria Math" w:cs="Arial"/>
                                  <w:sz w:val="24"/>
                                  <w:szCs w:val="24"/>
                                </w:rPr>
                                <m:t>H</m:t>
                              </m:r>
                            </m:e>
                            <m:sub>
                              <m:r>
                                <w:rPr>
                                  <w:rFonts w:ascii="Cambria Math" w:hAnsi="Cambria Math" w:cs="Arial"/>
                                  <w:sz w:val="24"/>
                                  <w:szCs w:val="24"/>
                                </w:rPr>
                                <m:t>j</m:t>
                              </m:r>
                            </m:sub>
                          </m:sSub>
                        </m:num>
                        <m:den>
                          <m:sSub>
                            <m:sSubPr>
                              <m:ctrlPr>
                                <w:rPr>
                                  <w:rFonts w:ascii="Cambria Math" w:hAnsi="Arial" w:cs="Arial"/>
                                  <w:i/>
                                  <w:sz w:val="24"/>
                                  <w:szCs w:val="24"/>
                                </w:rPr>
                              </m:ctrlPr>
                            </m:sSubPr>
                            <m:e>
                              <m:r>
                                <w:rPr>
                                  <w:rFonts w:ascii="Arial" w:hAnsi="Cambria Math" w:cs="Arial"/>
                                  <w:sz w:val="24"/>
                                  <w:szCs w:val="24"/>
                                </w:rPr>
                                <m:t>h</m:t>
                              </m:r>
                            </m:e>
                            <m:sub>
                              <m:r>
                                <w:rPr>
                                  <w:rFonts w:ascii="Cambria Math" w:hAnsi="Cambria Math" w:cs="Arial"/>
                                  <w:sz w:val="24"/>
                                  <w:szCs w:val="24"/>
                                </w:rPr>
                                <m:t>l</m:t>
                              </m:r>
                              <m:r>
                                <w:rPr>
                                  <w:rFonts w:ascii="Cambria Math" w:hAnsi="Arial" w:cs="Arial"/>
                                  <w:sz w:val="24"/>
                                  <w:szCs w:val="24"/>
                                </w:rPr>
                                <m:t>,</m:t>
                              </m:r>
                              <m:r>
                                <w:rPr>
                                  <w:rFonts w:ascii="Cambria Math" w:hAnsi="Cambria Math" w:cs="Arial"/>
                                  <w:sz w:val="24"/>
                                  <w:szCs w:val="24"/>
                                </w:rPr>
                                <m:t>j</m:t>
                              </m:r>
                            </m:sub>
                          </m:sSub>
                        </m:den>
                      </m:f>
                    </m:e>
                  </m:d>
                </m:e>
                <m:sup>
                  <m:r>
                    <w:rPr>
                      <w:rFonts w:ascii="Cambria Math" w:hAnsi="Arial" w:cs="Arial"/>
                      <w:sz w:val="24"/>
                      <w:szCs w:val="24"/>
                    </w:rPr>
                    <m:t>2</m:t>
                  </m:r>
                </m:sup>
              </m:sSup>
              <m:r>
                <w:rPr>
                  <w:rFonts w:ascii="Arial" w:hAnsi="Arial" w:cs="Arial"/>
                  <w:sz w:val="24"/>
                  <w:szCs w:val="24"/>
                </w:rPr>
                <m:t>≤</m:t>
              </m:r>
              <m:r>
                <w:rPr>
                  <w:rFonts w:ascii="Cambria Math" w:hAnsi="Arial" w:cs="Arial"/>
                  <w:sz w:val="24"/>
                  <w:szCs w:val="24"/>
                </w:rPr>
                <m:t>1</m:t>
              </m:r>
            </m:e>
          </m:nary>
        </m:oMath>
      </m:oMathPara>
    </w:p>
    <w:p w:rsidR="0025315F" w:rsidRPr="0093603B" w:rsidRDefault="0025315F" w:rsidP="0025315F">
      <w:pPr>
        <w:spacing w:line="480" w:lineRule="auto"/>
        <w:ind w:left="2832"/>
        <w:rPr>
          <w:rFonts w:ascii="Arial" w:hAnsi="Arial" w:cs="Arial"/>
          <w:sz w:val="24"/>
          <w:szCs w:val="24"/>
        </w:rPr>
      </w:pPr>
    </w:p>
    <w:p w:rsidR="0025315F" w:rsidRPr="0093603B" w:rsidRDefault="0025315F" w:rsidP="0025315F">
      <w:pPr>
        <w:autoSpaceDE w:val="0"/>
        <w:autoSpaceDN w:val="0"/>
        <w:adjustRightInd w:val="0"/>
        <w:spacing w:after="0" w:line="480" w:lineRule="auto"/>
        <w:ind w:left="3119"/>
        <w:jc w:val="both"/>
        <w:rPr>
          <w:rFonts w:ascii="Arial" w:hAnsi="Arial" w:cs="Arial"/>
          <w:i/>
          <w:iCs/>
          <w:sz w:val="24"/>
          <w:szCs w:val="24"/>
        </w:rPr>
      </w:pPr>
      <w:r w:rsidRPr="0093603B">
        <w:rPr>
          <w:rFonts w:ascii="Arial" w:hAnsi="Arial" w:cs="Arial"/>
          <w:i/>
          <w:iCs/>
          <w:sz w:val="24"/>
          <w:szCs w:val="24"/>
        </w:rPr>
        <w:t xml:space="preserve">Ei : </w:t>
      </w:r>
      <w:r w:rsidRPr="0093603B">
        <w:rPr>
          <w:rFonts w:ascii="Arial" w:hAnsi="Arial" w:cs="Arial"/>
          <w:sz w:val="24"/>
          <w:szCs w:val="24"/>
        </w:rPr>
        <w:t xml:space="preserve">es la intensidad de campo eléctrico a la frecuencia </w:t>
      </w:r>
      <w:r w:rsidRPr="0093603B">
        <w:rPr>
          <w:rFonts w:ascii="Arial" w:hAnsi="Arial" w:cs="Arial"/>
          <w:i/>
          <w:iCs/>
          <w:sz w:val="24"/>
          <w:szCs w:val="24"/>
        </w:rPr>
        <w:t>i</w:t>
      </w:r>
    </w:p>
    <w:p w:rsidR="0025315F" w:rsidRPr="0093603B" w:rsidRDefault="0025315F" w:rsidP="0025315F">
      <w:pPr>
        <w:autoSpaceDE w:val="0"/>
        <w:autoSpaceDN w:val="0"/>
        <w:adjustRightInd w:val="0"/>
        <w:spacing w:after="0" w:line="480" w:lineRule="auto"/>
        <w:ind w:left="3119"/>
        <w:jc w:val="both"/>
        <w:rPr>
          <w:rFonts w:ascii="Arial" w:hAnsi="Arial" w:cs="Arial"/>
          <w:i/>
          <w:iCs/>
          <w:sz w:val="24"/>
          <w:szCs w:val="24"/>
        </w:rPr>
      </w:pPr>
      <w:r w:rsidRPr="0093603B">
        <w:rPr>
          <w:rFonts w:ascii="Arial" w:hAnsi="Arial" w:cs="Arial"/>
          <w:i/>
          <w:iCs/>
          <w:sz w:val="24"/>
          <w:szCs w:val="24"/>
        </w:rPr>
        <w:t xml:space="preserve">El, i : </w:t>
      </w:r>
      <w:r w:rsidRPr="0093603B">
        <w:rPr>
          <w:rFonts w:ascii="Arial" w:hAnsi="Arial" w:cs="Arial"/>
          <w:sz w:val="24"/>
          <w:szCs w:val="24"/>
        </w:rPr>
        <w:t xml:space="preserve">es el límite de referencia a la frecuencia </w:t>
      </w:r>
      <w:r w:rsidRPr="0093603B">
        <w:rPr>
          <w:rFonts w:ascii="Arial" w:hAnsi="Arial" w:cs="Arial"/>
          <w:i/>
          <w:iCs/>
          <w:sz w:val="24"/>
          <w:szCs w:val="24"/>
        </w:rPr>
        <w:t>i</w:t>
      </w:r>
    </w:p>
    <w:p w:rsidR="0025315F" w:rsidRPr="0093603B" w:rsidRDefault="0025315F" w:rsidP="0025315F">
      <w:pPr>
        <w:autoSpaceDE w:val="0"/>
        <w:autoSpaceDN w:val="0"/>
        <w:adjustRightInd w:val="0"/>
        <w:spacing w:after="0" w:line="480" w:lineRule="auto"/>
        <w:ind w:left="3119"/>
        <w:jc w:val="both"/>
        <w:rPr>
          <w:rFonts w:ascii="Arial" w:hAnsi="Arial" w:cs="Arial"/>
          <w:i/>
          <w:iCs/>
          <w:sz w:val="24"/>
          <w:szCs w:val="24"/>
        </w:rPr>
      </w:pPr>
      <w:r w:rsidRPr="0093603B">
        <w:rPr>
          <w:rFonts w:ascii="Arial" w:hAnsi="Arial" w:cs="Arial"/>
          <w:i/>
          <w:iCs/>
          <w:sz w:val="24"/>
          <w:szCs w:val="24"/>
        </w:rPr>
        <w:t xml:space="preserve">Hj : </w:t>
      </w:r>
      <w:r w:rsidRPr="0093603B">
        <w:rPr>
          <w:rFonts w:ascii="Arial" w:hAnsi="Arial" w:cs="Arial"/>
          <w:sz w:val="24"/>
          <w:szCs w:val="24"/>
        </w:rPr>
        <w:t xml:space="preserve">es la intensidad de campo magnético a la frecuencia </w:t>
      </w:r>
      <w:r w:rsidRPr="0093603B">
        <w:rPr>
          <w:rFonts w:ascii="Arial" w:hAnsi="Arial" w:cs="Arial"/>
          <w:i/>
          <w:iCs/>
          <w:sz w:val="24"/>
          <w:szCs w:val="24"/>
        </w:rPr>
        <w:t>j</w:t>
      </w:r>
    </w:p>
    <w:p w:rsidR="0025315F" w:rsidRPr="0093603B" w:rsidRDefault="0025315F" w:rsidP="0025315F">
      <w:pPr>
        <w:autoSpaceDE w:val="0"/>
        <w:autoSpaceDN w:val="0"/>
        <w:adjustRightInd w:val="0"/>
        <w:spacing w:after="0" w:line="480" w:lineRule="auto"/>
        <w:ind w:left="3119"/>
        <w:jc w:val="both"/>
        <w:rPr>
          <w:rFonts w:ascii="Arial" w:hAnsi="Arial" w:cs="Arial"/>
          <w:i/>
          <w:iCs/>
          <w:sz w:val="24"/>
          <w:szCs w:val="24"/>
        </w:rPr>
      </w:pPr>
      <w:r w:rsidRPr="0093603B">
        <w:rPr>
          <w:rFonts w:ascii="Arial" w:hAnsi="Arial" w:cs="Arial"/>
          <w:i/>
          <w:iCs/>
          <w:sz w:val="24"/>
          <w:szCs w:val="24"/>
        </w:rPr>
        <w:t xml:space="preserve">Hl, j : </w:t>
      </w:r>
      <w:r w:rsidRPr="0093603B">
        <w:rPr>
          <w:rFonts w:ascii="Arial" w:hAnsi="Arial" w:cs="Arial"/>
          <w:sz w:val="24"/>
          <w:szCs w:val="24"/>
        </w:rPr>
        <w:t xml:space="preserve">es el límite de referencia a la frecuencia </w:t>
      </w:r>
      <w:r w:rsidRPr="0093603B">
        <w:rPr>
          <w:rFonts w:ascii="Arial" w:hAnsi="Arial" w:cs="Arial"/>
          <w:i/>
          <w:iCs/>
          <w:sz w:val="24"/>
          <w:szCs w:val="24"/>
        </w:rPr>
        <w:t>j</w:t>
      </w:r>
    </w:p>
    <w:p w:rsidR="0025315F" w:rsidRPr="0093603B" w:rsidRDefault="0025315F" w:rsidP="0025315F">
      <w:pPr>
        <w:autoSpaceDE w:val="0"/>
        <w:autoSpaceDN w:val="0"/>
        <w:adjustRightInd w:val="0"/>
        <w:spacing w:after="0" w:line="480" w:lineRule="auto"/>
        <w:ind w:left="3119"/>
        <w:jc w:val="both"/>
        <w:rPr>
          <w:rFonts w:ascii="Arial" w:hAnsi="Arial" w:cs="Arial"/>
          <w:sz w:val="24"/>
          <w:szCs w:val="24"/>
        </w:rPr>
      </w:pPr>
      <w:r w:rsidRPr="0093603B">
        <w:rPr>
          <w:rFonts w:ascii="Arial" w:hAnsi="Arial" w:cs="Arial"/>
          <w:i/>
          <w:iCs/>
          <w:sz w:val="24"/>
          <w:szCs w:val="24"/>
        </w:rPr>
        <w:t xml:space="preserve">c </w:t>
      </w:r>
      <w:r w:rsidRPr="0093603B">
        <w:rPr>
          <w:rFonts w:ascii="Arial" w:hAnsi="Arial" w:cs="Arial"/>
          <w:sz w:val="24"/>
          <w:szCs w:val="24"/>
        </w:rPr>
        <w:t>= 610/</w:t>
      </w:r>
      <w:r w:rsidRPr="0093603B">
        <w:rPr>
          <w:rFonts w:ascii="Arial" w:hAnsi="Arial" w:cs="Arial"/>
          <w:i/>
          <w:iCs/>
          <w:sz w:val="24"/>
          <w:szCs w:val="24"/>
        </w:rPr>
        <w:t xml:space="preserve">f </w:t>
      </w:r>
      <w:r w:rsidRPr="0093603B">
        <w:rPr>
          <w:rFonts w:ascii="Arial" w:hAnsi="Arial" w:cs="Arial"/>
          <w:sz w:val="24"/>
          <w:szCs w:val="24"/>
        </w:rPr>
        <w:t>V/m (f en MHz) para exposición ocupacional y 87/f1/2 V/m para exposición del público en general.</w:t>
      </w:r>
    </w:p>
    <w:p w:rsidR="0025315F" w:rsidRPr="0093603B" w:rsidRDefault="0025315F" w:rsidP="0025315F">
      <w:pPr>
        <w:autoSpaceDE w:val="0"/>
        <w:autoSpaceDN w:val="0"/>
        <w:adjustRightInd w:val="0"/>
        <w:spacing w:after="0" w:line="480" w:lineRule="auto"/>
        <w:ind w:left="3119"/>
        <w:rPr>
          <w:rFonts w:ascii="Arial" w:hAnsi="Arial" w:cs="Arial"/>
          <w:sz w:val="24"/>
          <w:szCs w:val="24"/>
        </w:rPr>
      </w:pPr>
      <w:r w:rsidRPr="0093603B">
        <w:rPr>
          <w:rFonts w:ascii="Arial" w:hAnsi="Arial" w:cs="Arial"/>
          <w:i/>
          <w:iCs/>
          <w:sz w:val="24"/>
          <w:szCs w:val="24"/>
        </w:rPr>
        <w:lastRenderedPageBreak/>
        <w:t xml:space="preserve">b </w:t>
      </w:r>
      <w:r w:rsidRPr="0093603B">
        <w:rPr>
          <w:rFonts w:ascii="Arial" w:hAnsi="Arial" w:cs="Arial"/>
          <w:sz w:val="24"/>
          <w:szCs w:val="24"/>
        </w:rPr>
        <w:t>= 24,4 A/m para exposición ocupacional y 5 A/m para exposición del público en general</w:t>
      </w:r>
    </w:p>
    <w:p w:rsidR="0025315F" w:rsidRPr="0093603B" w:rsidRDefault="0025315F" w:rsidP="0025315F">
      <w:pPr>
        <w:autoSpaceDE w:val="0"/>
        <w:autoSpaceDN w:val="0"/>
        <w:adjustRightInd w:val="0"/>
        <w:spacing w:after="0" w:line="480" w:lineRule="auto"/>
        <w:ind w:left="3119"/>
        <w:rPr>
          <w:rFonts w:ascii="Arial" w:hAnsi="Arial" w:cs="Arial"/>
          <w:sz w:val="24"/>
          <w:szCs w:val="24"/>
        </w:rPr>
      </w:pPr>
    </w:p>
    <w:p w:rsidR="0025315F" w:rsidRPr="0093603B" w:rsidRDefault="0025315F" w:rsidP="0025315F">
      <w:pPr>
        <w:pStyle w:val="ListParagraph"/>
        <w:numPr>
          <w:ilvl w:val="3"/>
          <w:numId w:val="16"/>
        </w:numPr>
        <w:spacing w:line="480" w:lineRule="auto"/>
        <w:ind w:hanging="796"/>
        <w:rPr>
          <w:rFonts w:ascii="Arial" w:hAnsi="Arial" w:cs="Arial"/>
          <w:b/>
          <w:sz w:val="24"/>
          <w:szCs w:val="24"/>
        </w:rPr>
      </w:pPr>
      <w:r w:rsidRPr="0093603B">
        <w:rPr>
          <w:rFonts w:ascii="Arial" w:hAnsi="Arial" w:cs="Arial"/>
          <w:b/>
          <w:sz w:val="24"/>
          <w:szCs w:val="24"/>
        </w:rPr>
        <w:t>ITU-T K.61</w:t>
      </w:r>
    </w:p>
    <w:p w:rsidR="0025315F" w:rsidRPr="0093603B" w:rsidRDefault="0025315F" w:rsidP="0025315F">
      <w:pPr>
        <w:pStyle w:val="ListParagraph"/>
        <w:spacing w:line="480" w:lineRule="auto"/>
        <w:ind w:left="2832"/>
        <w:jc w:val="both"/>
        <w:rPr>
          <w:rFonts w:ascii="Arial" w:hAnsi="Arial" w:cs="Arial"/>
          <w:color w:val="000000"/>
          <w:sz w:val="24"/>
          <w:szCs w:val="24"/>
        </w:rPr>
      </w:pPr>
    </w:p>
    <w:p w:rsidR="0025315F" w:rsidRPr="0093603B" w:rsidRDefault="0025315F" w:rsidP="0025315F">
      <w:pPr>
        <w:pStyle w:val="ListParagraph"/>
        <w:spacing w:line="480" w:lineRule="auto"/>
        <w:ind w:left="2832"/>
        <w:jc w:val="both"/>
        <w:rPr>
          <w:rFonts w:ascii="Arial" w:hAnsi="Arial" w:cs="Arial"/>
          <w:bCs/>
          <w:sz w:val="24"/>
          <w:szCs w:val="24"/>
        </w:rPr>
      </w:pPr>
      <w:r w:rsidRPr="0093603B">
        <w:rPr>
          <w:rFonts w:ascii="Arial" w:hAnsi="Arial" w:cs="Arial"/>
          <w:color w:val="000000"/>
          <w:sz w:val="24"/>
          <w:szCs w:val="24"/>
        </w:rPr>
        <w:t xml:space="preserve">La recomendación  </w:t>
      </w:r>
      <w:r w:rsidRPr="0093603B">
        <w:rPr>
          <w:rFonts w:ascii="Arial" w:hAnsi="Arial" w:cs="Arial"/>
          <w:sz w:val="24"/>
          <w:szCs w:val="24"/>
        </w:rPr>
        <w:t xml:space="preserve">ITU-T K.61 </w:t>
      </w:r>
      <w:r w:rsidRPr="0093603B">
        <w:rPr>
          <w:rFonts w:ascii="Arial" w:hAnsi="Arial" w:cs="Arial"/>
          <w:color w:val="000000"/>
          <w:sz w:val="24"/>
          <w:szCs w:val="24"/>
        </w:rPr>
        <w:t xml:space="preserve">hace referencia </w:t>
      </w:r>
      <w:r w:rsidRPr="0093603B">
        <w:rPr>
          <w:rFonts w:ascii="Arial" w:hAnsi="Arial" w:cs="Arial"/>
          <w:bCs/>
          <w:sz w:val="24"/>
          <w:szCs w:val="24"/>
        </w:rPr>
        <w:t>Directrices sobre la medición y la predicción numérica de los campos electromagnéticos para comprobar que las instalaciones de telecomunicaciones cumplen los límites de exposición de las personas.</w:t>
      </w:r>
    </w:p>
    <w:p w:rsidR="0025315F" w:rsidRPr="0093603B" w:rsidRDefault="0025315F" w:rsidP="0025315F">
      <w:pPr>
        <w:autoSpaceDE w:val="0"/>
        <w:autoSpaceDN w:val="0"/>
        <w:adjustRightInd w:val="0"/>
        <w:spacing w:after="0" w:line="480" w:lineRule="auto"/>
        <w:ind w:left="2832"/>
        <w:jc w:val="both"/>
        <w:rPr>
          <w:rFonts w:ascii="Arial" w:hAnsi="Arial" w:cs="Arial"/>
          <w:bCs/>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Esta recomendación ayuda a los operadores de telecomunicaciones a verificar el cumplimiento de las normas de exposición de las personas establecidas por las autoridades locales o nacionales. Esta recomendación proporciona orientaciones sobre los métodos de medición que pueden utilizarse para realizar una evaluación de dicho cumplimiento. También proporciona directrices sobre la selección de métodos </w:t>
      </w:r>
      <w:r w:rsidRPr="0093603B">
        <w:rPr>
          <w:rFonts w:ascii="Arial" w:hAnsi="Arial" w:cs="Arial"/>
          <w:sz w:val="24"/>
          <w:szCs w:val="24"/>
        </w:rPr>
        <w:lastRenderedPageBreak/>
        <w:t>numéricos adecuados para predecir la exposición de las personas en varias situaciones.</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La aplicación más importante de esta recomendación se refiere a las mediciones,  en lo cual para el desarrollo de este proyecto se tomo en cuenta la consideración respecto a los equipos y sus características.</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Los equipos o dispositivos de banda ancha son medidores selectivos en frecuencia en bandas amplias utilizando una pequeña antena de banda ancha (por ejemplo, bicónica, de bocina, etc.) o empleando dispositivos más sofisticados y costosos (por ejemplo, de tres ejes, etc.).</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En lo que respecta a la directividad de la antena menciona que se utilice dispositivos isótropos, donde  la respuesta sea independiente de la dirección del campo electromagnético incidente.  La respuesta isótropa normalmente se logra mediante un sistema de antenas triaxial donde los </w:t>
      </w:r>
      <w:r w:rsidRPr="0093603B">
        <w:rPr>
          <w:rFonts w:ascii="Arial" w:hAnsi="Arial" w:cs="Arial"/>
          <w:sz w:val="24"/>
          <w:szCs w:val="24"/>
        </w:rPr>
        <w:lastRenderedPageBreak/>
        <w:t>tres ejes están dispuestos de forma que sean mutuamente ortogonales</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 xml:space="preserve"> </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r w:rsidRPr="0093603B">
        <w:rPr>
          <w:rFonts w:ascii="Arial" w:hAnsi="Arial" w:cs="Arial"/>
          <w:sz w:val="24"/>
          <w:szCs w:val="24"/>
        </w:rPr>
        <w:t>Referente a la cantidad medida tenemos que En la región de campo lejano y cercano en topologías cerradas y abiertas, es posible medir la componente de campo eléctrico o la componente de campo magnético y determinar la densidad de potencia equivalente. Sin embargo, se prefiere normalmente los dispositivos de medición de la componente de campo eléctrico.</w:t>
      </w:r>
    </w:p>
    <w:p w:rsidR="0025315F" w:rsidRPr="0093603B" w:rsidRDefault="0025315F" w:rsidP="0025315F">
      <w:pPr>
        <w:autoSpaceDE w:val="0"/>
        <w:autoSpaceDN w:val="0"/>
        <w:adjustRightInd w:val="0"/>
        <w:spacing w:after="0" w:line="480" w:lineRule="auto"/>
        <w:ind w:left="2832"/>
        <w:jc w:val="both"/>
        <w:rPr>
          <w:rFonts w:ascii="Arial" w:hAnsi="Arial" w:cs="Arial"/>
          <w:sz w:val="24"/>
          <w:szCs w:val="24"/>
        </w:rPr>
      </w:pPr>
    </w:p>
    <w:p w:rsidR="0025315F" w:rsidRPr="0093603B" w:rsidRDefault="0025315F" w:rsidP="0025315F">
      <w:pPr>
        <w:pStyle w:val="ListParagraph"/>
        <w:numPr>
          <w:ilvl w:val="2"/>
          <w:numId w:val="16"/>
        </w:numPr>
        <w:spacing w:line="480" w:lineRule="auto"/>
        <w:jc w:val="both"/>
        <w:rPr>
          <w:rFonts w:ascii="Arial" w:hAnsi="Arial" w:cs="Arial"/>
          <w:b/>
          <w:sz w:val="24"/>
          <w:szCs w:val="24"/>
        </w:rPr>
      </w:pPr>
      <w:r w:rsidRPr="0093603B">
        <w:rPr>
          <w:rFonts w:ascii="Arial" w:hAnsi="Arial" w:cs="Arial"/>
          <w:b/>
          <w:iCs/>
          <w:sz w:val="24"/>
          <w:szCs w:val="24"/>
        </w:rPr>
        <w:t>Comité Europeo de Normalización Electrotécnica CENELEC</w:t>
      </w:r>
    </w:p>
    <w:p w:rsidR="0025315F" w:rsidRPr="0093603B" w:rsidRDefault="0025315F" w:rsidP="0025315F">
      <w:pPr>
        <w:spacing w:line="480" w:lineRule="auto"/>
        <w:ind w:left="1854"/>
        <w:jc w:val="both"/>
        <w:rPr>
          <w:rStyle w:val="apple-style-span"/>
          <w:rFonts w:ascii="Arial" w:hAnsi="Arial" w:cs="Arial"/>
          <w:sz w:val="24"/>
          <w:szCs w:val="24"/>
        </w:rPr>
      </w:pPr>
      <w:r w:rsidRPr="0093603B">
        <w:rPr>
          <w:rStyle w:val="apple-style-span"/>
          <w:rFonts w:ascii="Arial" w:hAnsi="Arial" w:cs="Arial"/>
          <w:sz w:val="24"/>
          <w:szCs w:val="24"/>
        </w:rPr>
        <w:t xml:space="preserve">CENELEC es la responsable de la estandarización europea </w:t>
      </w:r>
      <w:r w:rsidRPr="00CA04F5">
        <w:rPr>
          <w:rStyle w:val="apple-style-span"/>
          <w:rFonts w:ascii="Arial" w:hAnsi="Arial" w:cs="Arial"/>
          <w:sz w:val="24"/>
          <w:szCs w:val="24"/>
        </w:rPr>
        <w:t xml:space="preserve">en </w:t>
      </w:r>
      <w:r w:rsidRPr="002B52F4">
        <w:rPr>
          <w:rStyle w:val="apple-style-span"/>
          <w:rFonts w:ascii="Arial" w:hAnsi="Arial" w:cs="Arial"/>
          <w:sz w:val="24"/>
          <w:szCs w:val="24"/>
        </w:rPr>
        <w:t>las áreas de</w:t>
      </w:r>
      <w:r w:rsidRPr="002B52F4">
        <w:rPr>
          <w:rStyle w:val="apple-converted-space"/>
          <w:rFonts w:ascii="Arial" w:hAnsi="Arial" w:cs="Arial"/>
          <w:sz w:val="24"/>
          <w:szCs w:val="24"/>
        </w:rPr>
        <w:t> </w:t>
      </w:r>
      <w:hyperlink r:id="rId140" w:tooltip="Ingeniería eléctrica" w:history="1">
        <w:r w:rsidRPr="002B52F4">
          <w:rPr>
            <w:rStyle w:val="Hyperlink"/>
            <w:rFonts w:ascii="Arial" w:hAnsi="Arial" w:cs="Arial"/>
            <w:color w:val="auto"/>
            <w:sz w:val="24"/>
            <w:szCs w:val="24"/>
            <w:u w:val="none"/>
          </w:rPr>
          <w:t>ingeniería eléctrica</w:t>
        </w:r>
      </w:hyperlink>
      <w:r w:rsidRPr="002B52F4">
        <w:rPr>
          <w:rStyle w:val="apple-style-span"/>
          <w:rFonts w:ascii="Arial" w:hAnsi="Arial" w:cs="Arial"/>
          <w:sz w:val="24"/>
          <w:szCs w:val="24"/>
        </w:rPr>
        <w:t>, que tiene como 28 países miembros y a 7 países afiliados, formando</w:t>
      </w:r>
      <w:r w:rsidRPr="00CA04F5">
        <w:rPr>
          <w:rStyle w:val="apple-style-span"/>
          <w:rFonts w:ascii="Arial" w:hAnsi="Arial" w:cs="Arial"/>
          <w:sz w:val="24"/>
          <w:szCs w:val="24"/>
        </w:rPr>
        <w:t xml:space="preserve"> así parte del sistema europeo de normalizaciones</w:t>
      </w:r>
      <w:r w:rsidRPr="0093603B">
        <w:rPr>
          <w:rStyle w:val="apple-style-span"/>
          <w:rFonts w:ascii="Arial" w:hAnsi="Arial" w:cs="Arial"/>
          <w:sz w:val="24"/>
          <w:szCs w:val="24"/>
        </w:rPr>
        <w:t xml:space="preserve"> técnicas de dicho continente.</w:t>
      </w:r>
    </w:p>
    <w:p w:rsidR="0025315F" w:rsidRPr="0093603B" w:rsidRDefault="0025315F" w:rsidP="0025315F">
      <w:pPr>
        <w:spacing w:line="480" w:lineRule="auto"/>
        <w:ind w:left="1854"/>
        <w:jc w:val="both"/>
        <w:rPr>
          <w:rStyle w:val="apple-style-span"/>
          <w:rFonts w:ascii="Arial" w:hAnsi="Arial" w:cs="Arial"/>
          <w:sz w:val="24"/>
          <w:szCs w:val="24"/>
        </w:rPr>
      </w:pPr>
      <w:r w:rsidRPr="0093603B">
        <w:rPr>
          <w:rStyle w:val="apple-style-span"/>
          <w:rFonts w:ascii="Arial" w:hAnsi="Arial" w:cs="Arial"/>
          <w:sz w:val="24"/>
          <w:szCs w:val="24"/>
        </w:rPr>
        <w:t xml:space="preserve">Las áreas prioritarias de normalización de CENELEC son aquellas en las que se determinan la seguridad y la libre circulación de productos y servicios, o aquellas que están </w:t>
      </w:r>
      <w:r w:rsidRPr="0093603B">
        <w:rPr>
          <w:rStyle w:val="apple-style-span"/>
          <w:rFonts w:ascii="Arial" w:hAnsi="Arial" w:cs="Arial"/>
          <w:sz w:val="24"/>
          <w:szCs w:val="24"/>
        </w:rPr>
        <w:lastRenderedPageBreak/>
        <w:t>directa o indirectamente relacionadas con las directivas de la Unión Europea. Dentro de estas áreas, destacan las siguientes:</w:t>
      </w:r>
    </w:p>
    <w:p w:rsidR="0025315F" w:rsidRPr="0093603B" w:rsidRDefault="0025315F" w:rsidP="0025315F">
      <w:pPr>
        <w:pStyle w:val="ListParagraph"/>
        <w:numPr>
          <w:ilvl w:val="0"/>
          <w:numId w:val="23"/>
        </w:numPr>
        <w:spacing w:line="480" w:lineRule="auto"/>
        <w:ind w:left="2268" w:hanging="425"/>
        <w:jc w:val="both"/>
        <w:rPr>
          <w:rStyle w:val="apple-style-span"/>
          <w:rFonts w:ascii="Arial" w:hAnsi="Arial" w:cs="Arial"/>
          <w:sz w:val="24"/>
          <w:szCs w:val="24"/>
        </w:rPr>
      </w:pPr>
      <w:r w:rsidRPr="0093603B">
        <w:rPr>
          <w:rStyle w:val="apple-style-span"/>
          <w:rFonts w:ascii="Arial" w:hAnsi="Arial" w:cs="Arial"/>
          <w:sz w:val="24"/>
          <w:szCs w:val="24"/>
        </w:rPr>
        <w:t>El desarrollo y la  implantación en Europa de un conjunto de normas electrotécnicas europeas que, en la medida de lo posible, sean totalmente conformes con las normas internacionales.</w:t>
      </w:r>
    </w:p>
    <w:p w:rsidR="0025315F" w:rsidRPr="0093603B" w:rsidRDefault="0025315F" w:rsidP="0025315F">
      <w:pPr>
        <w:pStyle w:val="ListParagraph"/>
        <w:numPr>
          <w:ilvl w:val="0"/>
          <w:numId w:val="23"/>
        </w:numPr>
        <w:spacing w:line="480" w:lineRule="auto"/>
        <w:ind w:left="2268" w:hanging="425"/>
        <w:jc w:val="both"/>
        <w:rPr>
          <w:rStyle w:val="apple-style-span"/>
          <w:rFonts w:ascii="Arial" w:hAnsi="Arial" w:cs="Arial"/>
          <w:sz w:val="24"/>
          <w:szCs w:val="24"/>
        </w:rPr>
      </w:pPr>
      <w:r w:rsidRPr="0093603B">
        <w:rPr>
          <w:rStyle w:val="apple-style-span"/>
          <w:rFonts w:ascii="Arial" w:hAnsi="Arial" w:cs="Arial"/>
          <w:sz w:val="24"/>
          <w:szCs w:val="24"/>
        </w:rPr>
        <w:t>Las  propuestas y los proyectos en mejora de la explotación de electrotécnica, por los socios, colaboradores, las asociaciones de consumidores y los representantes sociales y económicos de CENELEC.</w:t>
      </w:r>
    </w:p>
    <w:p w:rsidR="0025315F" w:rsidRPr="0093603B" w:rsidRDefault="0025315F" w:rsidP="0025315F">
      <w:pPr>
        <w:pStyle w:val="ListParagraph"/>
        <w:numPr>
          <w:ilvl w:val="0"/>
          <w:numId w:val="23"/>
        </w:numPr>
        <w:spacing w:line="480" w:lineRule="auto"/>
        <w:ind w:left="2268" w:hanging="425"/>
        <w:jc w:val="both"/>
        <w:rPr>
          <w:rStyle w:val="apple-style-span"/>
          <w:rFonts w:ascii="Arial" w:hAnsi="Arial" w:cs="Arial"/>
          <w:sz w:val="24"/>
          <w:szCs w:val="24"/>
        </w:rPr>
      </w:pPr>
      <w:r w:rsidRPr="0093603B">
        <w:rPr>
          <w:rStyle w:val="apple-style-span"/>
          <w:rFonts w:ascii="Arial" w:hAnsi="Arial" w:cs="Arial"/>
          <w:sz w:val="24"/>
          <w:szCs w:val="24"/>
        </w:rPr>
        <w:t>Regular peticiones por parte de la industria y las autoridades correspondientes a la creación de normas necesarias para la libre circulación o certificación de componentes electrónicos</w:t>
      </w:r>
    </w:p>
    <w:p w:rsidR="0025315F" w:rsidRPr="0093603B" w:rsidRDefault="0025315F" w:rsidP="0025315F">
      <w:pPr>
        <w:spacing w:line="480" w:lineRule="auto"/>
        <w:ind w:left="1755"/>
        <w:jc w:val="both"/>
        <w:rPr>
          <w:rStyle w:val="apple-style-span"/>
          <w:rFonts w:ascii="Arial" w:hAnsi="Arial" w:cs="Arial"/>
          <w:sz w:val="24"/>
          <w:szCs w:val="24"/>
        </w:rPr>
      </w:pPr>
      <w:r w:rsidRPr="0093603B">
        <w:rPr>
          <w:rStyle w:val="apple-style-span"/>
          <w:rFonts w:ascii="Arial" w:hAnsi="Arial" w:cs="Arial"/>
          <w:sz w:val="24"/>
          <w:szCs w:val="24"/>
        </w:rPr>
        <w:t xml:space="preserve">Cabe recalcar que las normas CENELEC, son normas reconocidas y de influencia internacional, pero de aplicación solo en sus países miembros y afiliados. </w:t>
      </w:r>
    </w:p>
    <w:p w:rsidR="0025315F" w:rsidRDefault="0025315F" w:rsidP="0025315F">
      <w:pPr>
        <w:spacing w:line="480" w:lineRule="auto"/>
        <w:ind w:left="1755"/>
        <w:jc w:val="both"/>
        <w:rPr>
          <w:rStyle w:val="apple-style-span"/>
          <w:rFonts w:ascii="Arial" w:hAnsi="Arial" w:cs="Arial"/>
          <w:sz w:val="24"/>
          <w:szCs w:val="24"/>
        </w:rPr>
      </w:pPr>
      <w:r w:rsidRPr="0093603B">
        <w:rPr>
          <w:rStyle w:val="apple-style-span"/>
          <w:rFonts w:ascii="Arial" w:hAnsi="Arial" w:cs="Arial"/>
          <w:sz w:val="24"/>
          <w:szCs w:val="24"/>
        </w:rPr>
        <w:t>En particular referenciamos las normas EN 54000 y EN 50383 porque dan nuevas perspectivas en la utilización de instrumentación y realización de mediciones.</w:t>
      </w:r>
    </w:p>
    <w:p w:rsidR="0025315F" w:rsidRPr="0093603B" w:rsidRDefault="0025315F" w:rsidP="0025315F">
      <w:pPr>
        <w:pStyle w:val="ListParagraph"/>
        <w:numPr>
          <w:ilvl w:val="3"/>
          <w:numId w:val="16"/>
        </w:numPr>
        <w:spacing w:line="480" w:lineRule="auto"/>
        <w:ind w:left="2835"/>
        <w:rPr>
          <w:rFonts w:ascii="Arial" w:hAnsi="Arial" w:cs="Arial"/>
          <w:b/>
          <w:sz w:val="24"/>
          <w:szCs w:val="24"/>
        </w:rPr>
      </w:pPr>
      <w:r w:rsidRPr="0093603B">
        <w:rPr>
          <w:rFonts w:ascii="Arial" w:hAnsi="Arial" w:cs="Arial"/>
          <w:b/>
          <w:sz w:val="24"/>
          <w:szCs w:val="24"/>
        </w:rPr>
        <w:lastRenderedPageBreak/>
        <w:t>EN 54000</w:t>
      </w:r>
    </w:p>
    <w:p w:rsidR="0025315F" w:rsidRDefault="0025315F" w:rsidP="0025315F">
      <w:pPr>
        <w:spacing w:line="480" w:lineRule="auto"/>
        <w:ind w:left="2832" w:firstLine="3"/>
        <w:jc w:val="both"/>
        <w:rPr>
          <w:rFonts w:ascii="Arial" w:hAnsi="Arial" w:cs="Arial"/>
          <w:sz w:val="24"/>
          <w:szCs w:val="24"/>
        </w:rPr>
      </w:pPr>
      <w:r w:rsidRPr="0093603B">
        <w:rPr>
          <w:rFonts w:ascii="Arial" w:hAnsi="Arial" w:cs="Arial"/>
          <w:sz w:val="24"/>
          <w:szCs w:val="24"/>
        </w:rPr>
        <w:t>La CENELEC EN 54000 se refiere a las rutas alternativas para determinar la proporción total de exposición donde el público en general tiene acceso</w:t>
      </w:r>
    </w:p>
    <w:p w:rsidR="00283E64" w:rsidRPr="0093603B" w:rsidRDefault="00283E64" w:rsidP="0025315F">
      <w:pPr>
        <w:spacing w:line="480" w:lineRule="auto"/>
        <w:ind w:left="2832" w:firstLine="3"/>
        <w:jc w:val="both"/>
        <w:rPr>
          <w:rFonts w:ascii="Arial" w:hAnsi="Arial" w:cs="Arial"/>
          <w:sz w:val="24"/>
          <w:szCs w:val="24"/>
        </w:rPr>
      </w:pPr>
    </w:p>
    <w:p w:rsidR="00283E64" w:rsidRDefault="0025315F" w:rsidP="0025315F">
      <w:pPr>
        <w:spacing w:line="480" w:lineRule="auto"/>
        <w:ind w:left="2832" w:firstLine="3"/>
        <w:jc w:val="both"/>
        <w:rPr>
          <w:rFonts w:ascii="Arial" w:hAnsi="Arial" w:cs="Arial"/>
          <w:sz w:val="24"/>
          <w:szCs w:val="24"/>
        </w:rPr>
      </w:pPr>
      <w:r w:rsidRPr="0093603B">
        <w:rPr>
          <w:rFonts w:ascii="Arial" w:hAnsi="Arial" w:cs="Arial"/>
          <w:sz w:val="24"/>
          <w:szCs w:val="24"/>
        </w:rPr>
        <w:t>El método de evaluación que utilizamos es referente al índice de exposición  total determinado en las áreas pertinentes en donde el público en general tiene acceso (es decir, en el ámbito de la investigación).</w:t>
      </w:r>
    </w:p>
    <w:p w:rsidR="0025315F" w:rsidRPr="0093603B" w:rsidRDefault="0025315F" w:rsidP="0025315F">
      <w:pPr>
        <w:spacing w:line="480" w:lineRule="auto"/>
        <w:ind w:left="2832" w:firstLine="3"/>
        <w:jc w:val="both"/>
        <w:rPr>
          <w:rFonts w:ascii="Arial" w:hAnsi="Arial" w:cs="Arial"/>
          <w:sz w:val="24"/>
          <w:szCs w:val="24"/>
        </w:rPr>
      </w:pPr>
      <w:r w:rsidRPr="000174C5">
        <w:rPr>
          <w:rFonts w:ascii="Arial" w:hAnsi="Arial" w:cs="Arial"/>
          <w:sz w:val="24"/>
          <w:szCs w:val="24"/>
        </w:rPr>
        <w:br/>
        <w:t xml:space="preserve">La evaluación se realizará, en particular, cerca de cualquier frontera física que limita el acceso público a la zona alrededor del equipo sometido a prueba o las fuentes de referencia. </w:t>
      </w:r>
      <w:r w:rsidRPr="0093603B">
        <w:rPr>
          <w:rFonts w:ascii="Arial" w:hAnsi="Arial" w:cs="Arial"/>
          <w:sz w:val="24"/>
          <w:szCs w:val="24"/>
        </w:rPr>
        <w:t xml:space="preserve">El cálculo y métodos de medición dependen de la posición del punto de la investigación relativa a la antena de origen. En el campo cercano radiante y en el campo lejano, los cálculos y mediciones se pueden hacer mediantes los valores de intensidad </w:t>
      </w:r>
      <w:r w:rsidRPr="0093603B">
        <w:rPr>
          <w:rFonts w:ascii="Arial" w:hAnsi="Arial" w:cs="Arial"/>
          <w:sz w:val="24"/>
          <w:szCs w:val="24"/>
        </w:rPr>
        <w:lastRenderedPageBreak/>
        <w:t xml:space="preserve">de campo eléctrico, magnético o  densidad de potencia. </w:t>
      </w:r>
    </w:p>
    <w:p w:rsidR="0025315F" w:rsidRPr="0093603B" w:rsidRDefault="0025315F" w:rsidP="0025315F">
      <w:pPr>
        <w:spacing w:line="480" w:lineRule="auto"/>
        <w:ind w:left="2832" w:firstLine="3"/>
        <w:jc w:val="both"/>
        <w:rPr>
          <w:rFonts w:ascii="Arial" w:hAnsi="Arial" w:cs="Arial"/>
          <w:sz w:val="24"/>
          <w:szCs w:val="24"/>
        </w:rPr>
      </w:pPr>
      <w:r w:rsidRPr="0093603B">
        <w:rPr>
          <w:rStyle w:val="apple-style-span"/>
          <w:rFonts w:ascii="Arial" w:hAnsi="Arial" w:cs="Arial"/>
          <w:color w:val="000000"/>
          <w:sz w:val="24"/>
          <w:szCs w:val="24"/>
        </w:rPr>
        <w:t>En cada punto de investigación, el valor de  exposición total será el promedio de la exposición determinado en cada una de tres alturas en las aéreas donde el público en general tiene acceso.</w:t>
      </w:r>
    </w:p>
    <w:p w:rsidR="00283E64" w:rsidRDefault="00283E64" w:rsidP="0025315F">
      <w:pPr>
        <w:pStyle w:val="ListParagraph"/>
        <w:spacing w:line="480" w:lineRule="auto"/>
        <w:ind w:left="2832"/>
        <w:jc w:val="center"/>
        <w:rPr>
          <w:rFonts w:ascii="Arial" w:hAnsi="Arial" w:cs="Arial"/>
          <w:noProof/>
          <w:sz w:val="24"/>
          <w:szCs w:val="24"/>
          <w:lang w:eastAsia="es-ES"/>
        </w:rPr>
      </w:pPr>
    </w:p>
    <w:p w:rsidR="0025315F" w:rsidRPr="0093603B" w:rsidRDefault="0025315F" w:rsidP="0025315F">
      <w:pPr>
        <w:pStyle w:val="ListParagraph"/>
        <w:spacing w:line="480" w:lineRule="auto"/>
        <w:ind w:left="2832"/>
        <w:jc w:val="center"/>
        <w:rPr>
          <w:rFonts w:ascii="Arial" w:hAnsi="Arial" w:cs="Arial"/>
          <w:sz w:val="24"/>
          <w:szCs w:val="24"/>
        </w:rPr>
      </w:pPr>
      <w:r>
        <w:rPr>
          <w:rFonts w:ascii="Arial" w:hAnsi="Arial" w:cs="Arial"/>
          <w:noProof/>
          <w:sz w:val="24"/>
          <w:szCs w:val="24"/>
          <w:lang w:eastAsia="es-ES"/>
        </w:rPr>
        <w:drawing>
          <wp:inline distT="0" distB="0" distL="0" distR="0">
            <wp:extent cx="3152775" cy="3029585"/>
            <wp:effectExtent l="19050" t="0" r="9525" b="0"/>
            <wp:docPr id="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srcRect l="13258" t="8482" r="3146"/>
                    <a:stretch>
                      <a:fillRect/>
                    </a:stretch>
                  </pic:blipFill>
                  <pic:spPr bwMode="auto">
                    <a:xfrm>
                      <a:off x="0" y="0"/>
                      <a:ext cx="3152775" cy="3029585"/>
                    </a:xfrm>
                    <a:prstGeom prst="rect">
                      <a:avLst/>
                    </a:prstGeom>
                    <a:noFill/>
                    <a:ln w="9525">
                      <a:noFill/>
                      <a:miter lim="800000"/>
                      <a:headEnd/>
                      <a:tailEnd/>
                    </a:ln>
                  </pic:spPr>
                </pic:pic>
              </a:graphicData>
            </a:graphic>
          </wp:inline>
        </w:drawing>
      </w:r>
    </w:p>
    <w:p w:rsidR="0025315F" w:rsidRDefault="0025315F" w:rsidP="0025315F">
      <w:pPr>
        <w:pStyle w:val="ListParagraph"/>
        <w:spacing w:line="480" w:lineRule="auto"/>
        <w:ind w:left="2832"/>
        <w:jc w:val="center"/>
        <w:rPr>
          <w:rStyle w:val="apple-style-span"/>
          <w:rFonts w:ascii="Arial" w:hAnsi="Arial" w:cs="Arial"/>
          <w:b/>
          <w:color w:val="000000"/>
          <w:sz w:val="24"/>
          <w:szCs w:val="24"/>
        </w:rPr>
      </w:pPr>
      <w:r w:rsidRPr="0093603B">
        <w:rPr>
          <w:rStyle w:val="apple-style-span"/>
          <w:rFonts w:ascii="Arial" w:hAnsi="Arial" w:cs="Arial"/>
          <w:b/>
          <w:color w:val="000000"/>
          <w:sz w:val="24"/>
          <w:szCs w:val="24"/>
        </w:rPr>
        <w:t xml:space="preserve">Figura 3.1 Localización de las tres alturas para cada punto de investigación. </w:t>
      </w:r>
      <w:r w:rsidRPr="0093603B">
        <w:rPr>
          <w:rStyle w:val="FootnoteReference"/>
          <w:rFonts w:ascii="Arial" w:hAnsi="Arial" w:cs="Arial"/>
          <w:b/>
          <w:sz w:val="24"/>
          <w:szCs w:val="24"/>
        </w:rPr>
        <w:footnoteReference w:id="32"/>
      </w:r>
    </w:p>
    <w:p w:rsidR="0025315F" w:rsidRDefault="0025315F" w:rsidP="0025315F">
      <w:pPr>
        <w:pStyle w:val="ListParagraph"/>
        <w:spacing w:line="480" w:lineRule="auto"/>
        <w:ind w:left="2832"/>
        <w:jc w:val="center"/>
        <w:rPr>
          <w:rFonts w:ascii="Arial" w:hAnsi="Arial" w:cs="Arial"/>
          <w:b/>
          <w:sz w:val="24"/>
          <w:szCs w:val="24"/>
        </w:rPr>
      </w:pPr>
    </w:p>
    <w:p w:rsidR="00283E64" w:rsidRPr="0093603B" w:rsidRDefault="00283E64" w:rsidP="0025315F">
      <w:pPr>
        <w:pStyle w:val="ListParagraph"/>
        <w:spacing w:line="480" w:lineRule="auto"/>
        <w:ind w:left="2832"/>
        <w:jc w:val="center"/>
        <w:rPr>
          <w:rFonts w:ascii="Arial" w:hAnsi="Arial" w:cs="Arial"/>
          <w:b/>
          <w:sz w:val="24"/>
          <w:szCs w:val="24"/>
        </w:rPr>
      </w:pPr>
    </w:p>
    <w:p w:rsidR="0025315F" w:rsidRPr="0093603B" w:rsidRDefault="0025315F" w:rsidP="0025315F">
      <w:pPr>
        <w:pStyle w:val="ListParagraph"/>
        <w:numPr>
          <w:ilvl w:val="3"/>
          <w:numId w:val="16"/>
        </w:numPr>
        <w:spacing w:line="480" w:lineRule="auto"/>
        <w:ind w:left="2835"/>
        <w:rPr>
          <w:rFonts w:ascii="Arial" w:hAnsi="Arial" w:cs="Arial"/>
          <w:b/>
          <w:sz w:val="24"/>
          <w:szCs w:val="24"/>
        </w:rPr>
      </w:pPr>
      <w:r w:rsidRPr="0093603B">
        <w:rPr>
          <w:rFonts w:ascii="Arial" w:hAnsi="Arial" w:cs="Arial"/>
          <w:b/>
          <w:sz w:val="24"/>
          <w:szCs w:val="24"/>
        </w:rPr>
        <w:lastRenderedPageBreak/>
        <w:t>EN 50383</w:t>
      </w:r>
    </w:p>
    <w:p w:rsidR="0025315F" w:rsidRPr="0093603B" w:rsidRDefault="0025315F" w:rsidP="0025315F">
      <w:pPr>
        <w:pStyle w:val="ListParagraph"/>
        <w:spacing w:line="480" w:lineRule="auto"/>
        <w:ind w:left="2835"/>
        <w:rPr>
          <w:rFonts w:ascii="Arial" w:hAnsi="Arial" w:cs="Arial"/>
          <w:sz w:val="24"/>
          <w:szCs w:val="24"/>
        </w:rPr>
      </w:pPr>
    </w:p>
    <w:p w:rsidR="0025315F" w:rsidRPr="0093603B" w:rsidRDefault="0025315F" w:rsidP="0025315F">
      <w:pPr>
        <w:spacing w:line="480" w:lineRule="auto"/>
        <w:ind w:left="2832" w:firstLine="3"/>
        <w:jc w:val="both"/>
        <w:rPr>
          <w:rFonts w:ascii="Arial" w:hAnsi="Arial" w:cs="Arial"/>
          <w:sz w:val="24"/>
          <w:szCs w:val="24"/>
        </w:rPr>
      </w:pPr>
      <w:r w:rsidRPr="0093603B">
        <w:rPr>
          <w:rStyle w:val="apple-style-span"/>
          <w:rFonts w:ascii="Arial" w:hAnsi="Arial" w:cs="Arial"/>
          <w:color w:val="000000"/>
          <w:sz w:val="24"/>
          <w:szCs w:val="24"/>
        </w:rPr>
        <w:t>CENELEC EN 50383 es la norma básica para el cálculo y medición de la intensidad del campo electromagnético y SAR relacionada con la exposición de las estaciones de radio base y estaciones terminales fijas para el sistema de telecomunicaciones inalámbricas (110 MHz - 40 GHz).</w:t>
      </w:r>
      <w:r w:rsidRPr="0093603B">
        <w:rPr>
          <w:rFonts w:ascii="Arial" w:hAnsi="Arial" w:cs="Arial"/>
          <w:sz w:val="24"/>
          <w:szCs w:val="24"/>
        </w:rPr>
        <w:tab/>
      </w:r>
    </w:p>
    <w:p w:rsidR="0025315F" w:rsidRPr="0093603B" w:rsidRDefault="0025315F" w:rsidP="0025315F">
      <w:pPr>
        <w:spacing w:line="480" w:lineRule="auto"/>
        <w:ind w:left="2832" w:firstLine="3"/>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El objetivo de esta norma es especificar, para dicho equipo, el método para la evaluación de las mediciones de acuerdo con el cumplimiento de las restricciones básicas (directa o indirectamente con los niveles de referencia) relacionados con la exposición humana a campos electromagnéticos de radiofrecuencia.</w:t>
      </w:r>
    </w:p>
    <w:p w:rsidR="0025315F" w:rsidRPr="0093603B" w:rsidRDefault="0025315F" w:rsidP="0025315F">
      <w:pPr>
        <w:spacing w:line="480" w:lineRule="auto"/>
        <w:ind w:left="2835"/>
        <w:jc w:val="both"/>
        <w:rPr>
          <w:rStyle w:val="apple-style-span"/>
          <w:rFonts w:ascii="Arial" w:hAnsi="Arial" w:cs="Arial"/>
          <w:color w:val="000000"/>
          <w:sz w:val="24"/>
          <w:szCs w:val="24"/>
        </w:rPr>
      </w:pPr>
      <w:r w:rsidRPr="0093603B">
        <w:rPr>
          <w:rStyle w:val="apple-style-span"/>
          <w:rFonts w:ascii="Arial" w:hAnsi="Arial" w:cs="Arial"/>
          <w:color w:val="000000"/>
          <w:sz w:val="24"/>
          <w:szCs w:val="24"/>
          <w:shd w:val="clear" w:color="auto" w:fill="FFFFFF"/>
        </w:rPr>
        <w:t>Entre los métodos investigación de referencia  en esta norma tenemos la evaluación referente al escaneo o medición de espacio volumétrico</w:t>
      </w:r>
    </w:p>
    <w:p w:rsidR="0025315F" w:rsidRPr="0093603B" w:rsidRDefault="0025315F" w:rsidP="0025315F">
      <w:pPr>
        <w:spacing w:line="480" w:lineRule="auto"/>
        <w:ind w:left="2832"/>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 xml:space="preserve">Las mediciones directas de campos eléctricos y magnéticos se hacen en el punto suficiente de </w:t>
      </w:r>
      <w:r w:rsidRPr="0093603B">
        <w:rPr>
          <w:rStyle w:val="apple-style-span"/>
          <w:rFonts w:ascii="Arial" w:hAnsi="Arial" w:cs="Arial"/>
          <w:color w:val="000000"/>
          <w:sz w:val="24"/>
          <w:szCs w:val="24"/>
        </w:rPr>
        <w:lastRenderedPageBreak/>
        <w:t xml:space="preserve">investigación en un volumen que rodea el equipo sometido a prueba para establecer el cumplimiento de los límites. </w:t>
      </w:r>
    </w:p>
    <w:p w:rsidR="0025315F" w:rsidRDefault="0025315F" w:rsidP="0025315F">
      <w:pPr>
        <w:spacing w:line="480" w:lineRule="auto"/>
        <w:ind w:left="2832"/>
        <w:jc w:val="both"/>
        <w:rPr>
          <w:rStyle w:val="apple-style-span"/>
          <w:rFonts w:ascii="Arial" w:hAnsi="Arial" w:cs="Arial"/>
          <w:color w:val="000000"/>
          <w:sz w:val="24"/>
          <w:szCs w:val="24"/>
          <w:shd w:val="clear" w:color="auto" w:fill="FFFFFF"/>
        </w:rPr>
      </w:pPr>
      <w:r w:rsidRPr="0093603B">
        <w:rPr>
          <w:rFonts w:ascii="Arial" w:hAnsi="Arial" w:cs="Arial"/>
          <w:sz w:val="24"/>
          <w:szCs w:val="24"/>
        </w:rPr>
        <w:t xml:space="preserve">La instrumentación </w:t>
      </w:r>
      <w:r w:rsidRPr="0093603B">
        <w:rPr>
          <w:rStyle w:val="apple-style-span"/>
          <w:rFonts w:ascii="Arial" w:hAnsi="Arial" w:cs="Arial"/>
          <w:color w:val="000000"/>
          <w:sz w:val="24"/>
          <w:szCs w:val="24"/>
          <w:shd w:val="clear" w:color="auto" w:fill="FFFFFF"/>
        </w:rPr>
        <w:t>del escaneo de volumen consta de una sonda isotrópica y una estructura para disponer de los equipos bajo prueba, en la cual la sonda ejecuta un movimiento tridimensional en un lugar de prueba apropiado.</w:t>
      </w:r>
    </w:p>
    <w:p w:rsidR="0025315F" w:rsidRPr="0093603B" w:rsidRDefault="0025315F" w:rsidP="0025315F">
      <w:pPr>
        <w:spacing w:line="480" w:lineRule="auto"/>
        <w:ind w:left="2832"/>
        <w:jc w:val="both"/>
        <w:rPr>
          <w:rFonts w:ascii="Arial" w:hAnsi="Arial" w:cs="Arial"/>
          <w:color w:val="000000"/>
          <w:sz w:val="24"/>
          <w:szCs w:val="24"/>
          <w:shd w:val="clear" w:color="auto" w:fill="FFFFFF"/>
        </w:rPr>
      </w:pPr>
    </w:p>
    <w:p w:rsidR="0025315F" w:rsidRPr="0093603B" w:rsidRDefault="0025315F" w:rsidP="0025315F">
      <w:pPr>
        <w:spacing w:line="480" w:lineRule="auto"/>
        <w:ind w:left="2832"/>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El siguiente equipo puede ser necesario:</w:t>
      </w:r>
    </w:p>
    <w:p w:rsidR="0025315F" w:rsidRPr="0093603B" w:rsidRDefault="0041685B" w:rsidP="0025315F">
      <w:pPr>
        <w:pStyle w:val="ListParagraph"/>
        <w:numPr>
          <w:ilvl w:val="0"/>
          <w:numId w:val="22"/>
        </w:numPr>
        <w:spacing w:line="480" w:lineRule="auto"/>
        <w:jc w:val="both"/>
        <w:rPr>
          <w:rStyle w:val="apple-style-span"/>
          <w:rFonts w:ascii="Arial" w:hAnsi="Arial" w:cs="Arial"/>
          <w:color w:val="000000"/>
          <w:sz w:val="24"/>
          <w:szCs w:val="24"/>
        </w:rPr>
      </w:pPr>
      <w:r>
        <w:rPr>
          <w:rStyle w:val="apple-style-span"/>
          <w:rFonts w:ascii="Arial" w:hAnsi="Arial" w:cs="Arial"/>
          <w:color w:val="000000"/>
          <w:sz w:val="24"/>
          <w:szCs w:val="24"/>
          <w:shd w:val="clear" w:color="auto" w:fill="FFFFFF"/>
        </w:rPr>
        <w:t>S</w:t>
      </w:r>
      <w:r w:rsidR="0025315F" w:rsidRPr="0093603B">
        <w:rPr>
          <w:rStyle w:val="apple-style-span"/>
          <w:rFonts w:ascii="Arial" w:hAnsi="Arial" w:cs="Arial"/>
          <w:color w:val="000000"/>
          <w:sz w:val="24"/>
          <w:szCs w:val="24"/>
          <w:shd w:val="clear" w:color="auto" w:fill="FFFFFF"/>
        </w:rPr>
        <w:t>onda isotrópica</w:t>
      </w:r>
    </w:p>
    <w:p w:rsidR="0025315F" w:rsidRPr="0093603B" w:rsidRDefault="0041685B" w:rsidP="0025315F">
      <w:pPr>
        <w:pStyle w:val="ListParagraph"/>
        <w:numPr>
          <w:ilvl w:val="0"/>
          <w:numId w:val="22"/>
        </w:numPr>
        <w:spacing w:line="480" w:lineRule="auto"/>
        <w:jc w:val="both"/>
        <w:rPr>
          <w:rStyle w:val="apple-style-span"/>
          <w:rFonts w:ascii="Arial" w:hAnsi="Arial" w:cs="Arial"/>
          <w:color w:val="000000"/>
          <w:sz w:val="24"/>
          <w:szCs w:val="24"/>
        </w:rPr>
      </w:pPr>
      <w:r>
        <w:rPr>
          <w:rStyle w:val="apple-style-span"/>
          <w:rFonts w:ascii="Arial" w:hAnsi="Arial" w:cs="Arial"/>
          <w:color w:val="000000"/>
          <w:sz w:val="24"/>
          <w:szCs w:val="24"/>
        </w:rPr>
        <w:t>E</w:t>
      </w:r>
      <w:r w:rsidR="0025315F" w:rsidRPr="0093603B">
        <w:rPr>
          <w:rStyle w:val="apple-style-span"/>
          <w:rFonts w:ascii="Arial" w:hAnsi="Arial" w:cs="Arial"/>
          <w:color w:val="000000"/>
          <w:sz w:val="24"/>
          <w:szCs w:val="24"/>
        </w:rPr>
        <w:t>structura de soporte para la sonda isotrópica</w:t>
      </w:r>
    </w:p>
    <w:p w:rsidR="0025315F" w:rsidRPr="0093603B" w:rsidRDefault="0025315F" w:rsidP="0025315F">
      <w:pPr>
        <w:pStyle w:val="ListParagraph"/>
        <w:numPr>
          <w:ilvl w:val="0"/>
          <w:numId w:val="22"/>
        </w:numPr>
        <w:spacing w:line="480" w:lineRule="auto"/>
        <w:jc w:val="both"/>
        <w:rPr>
          <w:rStyle w:val="apple-style-span"/>
          <w:rFonts w:ascii="Arial" w:hAnsi="Arial" w:cs="Arial"/>
          <w:color w:val="000000"/>
          <w:sz w:val="24"/>
          <w:szCs w:val="24"/>
        </w:rPr>
      </w:pPr>
      <w:r w:rsidRPr="0093603B">
        <w:rPr>
          <w:rStyle w:val="apple-style-span"/>
          <w:rFonts w:ascii="Arial" w:hAnsi="Arial" w:cs="Arial"/>
          <w:color w:val="000000"/>
          <w:sz w:val="24"/>
          <w:szCs w:val="24"/>
          <w:shd w:val="clear" w:color="auto" w:fill="FFFFFF"/>
        </w:rPr>
        <w:t>Equipos bajo prueba</w:t>
      </w:r>
    </w:p>
    <w:p w:rsidR="0025315F" w:rsidRPr="0093603B" w:rsidRDefault="0041685B" w:rsidP="0025315F">
      <w:pPr>
        <w:pStyle w:val="ListParagraph"/>
        <w:numPr>
          <w:ilvl w:val="0"/>
          <w:numId w:val="22"/>
        </w:numPr>
        <w:spacing w:line="480" w:lineRule="auto"/>
        <w:jc w:val="both"/>
        <w:rPr>
          <w:rStyle w:val="apple-style-span"/>
          <w:rFonts w:ascii="Arial" w:hAnsi="Arial" w:cs="Arial"/>
          <w:color w:val="000000"/>
          <w:sz w:val="24"/>
          <w:szCs w:val="24"/>
        </w:rPr>
      </w:pPr>
      <w:r>
        <w:rPr>
          <w:rStyle w:val="apple-style-span"/>
          <w:rFonts w:ascii="Arial" w:hAnsi="Arial" w:cs="Arial"/>
          <w:color w:val="000000"/>
          <w:sz w:val="24"/>
          <w:szCs w:val="24"/>
          <w:shd w:val="clear" w:color="auto" w:fill="FFFFFF"/>
        </w:rPr>
        <w:t>S</w:t>
      </w:r>
      <w:r w:rsidR="0025315F" w:rsidRPr="0093603B">
        <w:rPr>
          <w:rStyle w:val="apple-style-span"/>
          <w:rFonts w:ascii="Arial" w:hAnsi="Arial" w:cs="Arial"/>
          <w:color w:val="000000"/>
          <w:sz w:val="24"/>
          <w:szCs w:val="24"/>
          <w:shd w:val="clear" w:color="auto" w:fill="FFFFFF"/>
        </w:rPr>
        <w:t>intetizador y el amplificador</w:t>
      </w:r>
    </w:p>
    <w:p w:rsidR="0025315F" w:rsidRPr="0093603B" w:rsidRDefault="0025315F" w:rsidP="0025315F">
      <w:pPr>
        <w:pStyle w:val="ListParagraph"/>
        <w:numPr>
          <w:ilvl w:val="0"/>
          <w:numId w:val="22"/>
        </w:numPr>
        <w:spacing w:line="480" w:lineRule="auto"/>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Controlador de la sonda isotrópica</w:t>
      </w:r>
    </w:p>
    <w:p w:rsidR="0025315F" w:rsidRPr="0093603B" w:rsidRDefault="0025315F" w:rsidP="0025315F">
      <w:pPr>
        <w:pStyle w:val="ListParagraph"/>
        <w:numPr>
          <w:ilvl w:val="0"/>
          <w:numId w:val="22"/>
        </w:numPr>
        <w:spacing w:line="480" w:lineRule="auto"/>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 xml:space="preserve">Otros receptores o dispositivos de medición </w:t>
      </w:r>
    </w:p>
    <w:p w:rsidR="0025315F" w:rsidRPr="0093603B" w:rsidRDefault="0025315F" w:rsidP="0025315F">
      <w:pPr>
        <w:pStyle w:val="ListParagraph"/>
        <w:numPr>
          <w:ilvl w:val="0"/>
          <w:numId w:val="22"/>
        </w:numPr>
        <w:spacing w:line="480" w:lineRule="auto"/>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t>Un computador puede ser usado para controlar el equipo de medición.</w:t>
      </w:r>
      <w:r w:rsidRPr="0093603B">
        <w:rPr>
          <w:rStyle w:val="apple-converted-space"/>
          <w:rFonts w:ascii="Arial" w:hAnsi="Arial" w:cs="Arial"/>
          <w:color w:val="000000"/>
          <w:sz w:val="24"/>
          <w:szCs w:val="24"/>
        </w:rPr>
        <w:t> </w:t>
      </w:r>
      <w:r w:rsidRPr="0093603B">
        <w:rPr>
          <w:rStyle w:val="apple-style-span"/>
          <w:rFonts w:ascii="Arial" w:hAnsi="Arial" w:cs="Arial"/>
          <w:color w:val="000000"/>
          <w:sz w:val="24"/>
          <w:szCs w:val="24"/>
        </w:rPr>
        <w:t xml:space="preserve"> </w:t>
      </w:r>
    </w:p>
    <w:p w:rsidR="0025315F" w:rsidRPr="0093603B" w:rsidRDefault="0025315F" w:rsidP="0025315F">
      <w:pPr>
        <w:spacing w:line="480" w:lineRule="auto"/>
        <w:ind w:left="2832"/>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lastRenderedPageBreak/>
        <w:t xml:space="preserve">El equipo de ensayo deberá colocarse de manera de no influir en las mediciones. </w:t>
      </w:r>
      <w:r w:rsidRPr="0093603B">
        <w:rPr>
          <w:rFonts w:ascii="Arial" w:eastAsia="Times New Roman" w:hAnsi="Arial" w:cs="Arial"/>
          <w:color w:val="000000"/>
          <w:sz w:val="24"/>
          <w:szCs w:val="24"/>
          <w:lang w:eastAsia="es-ES"/>
        </w:rPr>
        <w:t>El muestreo del volumen se logra mediante desplazamiento de rotación, entre la estructura de soporte de la sonda y el equipo bajo prueba</w:t>
      </w:r>
      <w:r w:rsidRPr="0093603B">
        <w:rPr>
          <w:rStyle w:val="apple-style-span"/>
          <w:rFonts w:ascii="Arial" w:hAnsi="Arial" w:cs="Arial"/>
          <w:color w:val="000000"/>
          <w:sz w:val="24"/>
          <w:szCs w:val="24"/>
        </w:rPr>
        <w:t xml:space="preserve"> como se muestra en la siguiente figura.</w:t>
      </w:r>
    </w:p>
    <w:p w:rsidR="0025315F" w:rsidRPr="0093603B" w:rsidRDefault="0025315F" w:rsidP="0025315F">
      <w:pPr>
        <w:spacing w:line="480" w:lineRule="auto"/>
        <w:ind w:left="1843"/>
        <w:jc w:val="center"/>
        <w:rPr>
          <w:rStyle w:val="apple-style-span"/>
          <w:rFonts w:ascii="Arial" w:hAnsi="Arial" w:cs="Arial"/>
          <w:color w:val="000000"/>
          <w:sz w:val="24"/>
          <w:szCs w:val="24"/>
        </w:rPr>
      </w:pPr>
      <w:r>
        <w:rPr>
          <w:rFonts w:ascii="Arial" w:hAnsi="Arial" w:cs="Arial"/>
          <w:noProof/>
          <w:sz w:val="24"/>
          <w:szCs w:val="24"/>
          <w:lang w:eastAsia="es-ES"/>
        </w:rPr>
        <w:drawing>
          <wp:inline distT="0" distB="0" distL="0" distR="0">
            <wp:extent cx="3548380" cy="2852420"/>
            <wp:effectExtent l="19050" t="0" r="0" b="0"/>
            <wp:docPr id="2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srcRect/>
                    <a:stretch>
                      <a:fillRect/>
                    </a:stretch>
                  </pic:blipFill>
                  <pic:spPr bwMode="auto">
                    <a:xfrm>
                      <a:off x="0" y="0"/>
                      <a:ext cx="3548380" cy="2852420"/>
                    </a:xfrm>
                    <a:prstGeom prst="rect">
                      <a:avLst/>
                    </a:prstGeom>
                    <a:noFill/>
                    <a:ln w="9525">
                      <a:noFill/>
                      <a:miter lim="800000"/>
                      <a:headEnd/>
                      <a:tailEnd/>
                    </a:ln>
                  </pic:spPr>
                </pic:pic>
              </a:graphicData>
            </a:graphic>
          </wp:inline>
        </w:drawing>
      </w:r>
    </w:p>
    <w:p w:rsidR="0025315F" w:rsidRDefault="0025315F" w:rsidP="0025315F">
      <w:pPr>
        <w:spacing w:after="75" w:line="480" w:lineRule="auto"/>
        <w:ind w:left="1843"/>
        <w:jc w:val="center"/>
        <w:rPr>
          <w:rFonts w:ascii="Arial" w:eastAsia="Times New Roman" w:hAnsi="Arial" w:cs="Arial"/>
          <w:color w:val="000000"/>
          <w:sz w:val="24"/>
          <w:szCs w:val="24"/>
          <w:lang w:eastAsia="es-ES"/>
        </w:rPr>
      </w:pPr>
      <w:r w:rsidRPr="0093603B">
        <w:rPr>
          <w:rFonts w:ascii="Arial" w:eastAsia="Times New Roman" w:hAnsi="Arial" w:cs="Arial"/>
          <w:b/>
          <w:sz w:val="24"/>
          <w:szCs w:val="24"/>
          <w:lang w:eastAsia="es-ES"/>
        </w:rPr>
        <w:t>Figura 3.2 Representación del método de evaluación de volumen</w:t>
      </w:r>
      <w:r w:rsidRPr="0093603B">
        <w:rPr>
          <w:rFonts w:ascii="Arial" w:eastAsia="Times New Roman" w:hAnsi="Arial" w:cs="Arial"/>
          <w:color w:val="000000"/>
          <w:sz w:val="24"/>
          <w:szCs w:val="24"/>
          <w:lang w:eastAsia="es-ES"/>
        </w:rPr>
        <w:t>.</w:t>
      </w:r>
      <w:r w:rsidRPr="0093603B">
        <w:rPr>
          <w:rStyle w:val="FootnoteReference"/>
          <w:rFonts w:ascii="Arial" w:hAnsi="Arial" w:cs="Arial"/>
          <w:b/>
          <w:sz w:val="24"/>
          <w:szCs w:val="24"/>
        </w:rPr>
        <w:t xml:space="preserve"> </w:t>
      </w:r>
      <w:r w:rsidRPr="0093603B">
        <w:rPr>
          <w:rStyle w:val="FootnoteReference"/>
          <w:rFonts w:ascii="Arial" w:hAnsi="Arial" w:cs="Arial"/>
          <w:b/>
          <w:sz w:val="24"/>
          <w:szCs w:val="24"/>
        </w:rPr>
        <w:footnoteReference w:id="33"/>
      </w:r>
      <w:r w:rsidRPr="0093603B">
        <w:rPr>
          <w:rFonts w:ascii="Arial" w:eastAsia="Times New Roman" w:hAnsi="Arial" w:cs="Arial"/>
          <w:color w:val="000000"/>
          <w:sz w:val="24"/>
          <w:szCs w:val="24"/>
          <w:lang w:eastAsia="es-ES"/>
        </w:rPr>
        <w:br/>
      </w:r>
    </w:p>
    <w:p w:rsidR="0025315F" w:rsidRDefault="0025315F" w:rsidP="0025315F">
      <w:pPr>
        <w:spacing w:after="75" w:line="480" w:lineRule="auto"/>
        <w:ind w:left="1843"/>
        <w:jc w:val="center"/>
        <w:rPr>
          <w:rFonts w:ascii="Arial" w:eastAsia="Times New Roman" w:hAnsi="Arial" w:cs="Arial"/>
          <w:color w:val="000000"/>
          <w:sz w:val="24"/>
          <w:szCs w:val="24"/>
          <w:lang w:eastAsia="es-ES"/>
        </w:rPr>
      </w:pPr>
    </w:p>
    <w:p w:rsidR="0025315F" w:rsidRPr="0093603B" w:rsidRDefault="0025315F" w:rsidP="0025315F">
      <w:pPr>
        <w:spacing w:after="75" w:line="480" w:lineRule="auto"/>
        <w:ind w:left="1843"/>
        <w:jc w:val="center"/>
        <w:rPr>
          <w:rFonts w:ascii="Arial" w:eastAsia="Times New Roman" w:hAnsi="Arial" w:cs="Arial"/>
          <w:color w:val="000000"/>
          <w:sz w:val="24"/>
          <w:szCs w:val="24"/>
          <w:lang w:eastAsia="es-ES"/>
        </w:rPr>
      </w:pPr>
    </w:p>
    <w:p w:rsidR="0025315F" w:rsidRDefault="0025315F" w:rsidP="0025315F">
      <w:pPr>
        <w:pStyle w:val="ListParagraph"/>
        <w:numPr>
          <w:ilvl w:val="1"/>
          <w:numId w:val="16"/>
        </w:numPr>
        <w:spacing w:line="480" w:lineRule="auto"/>
        <w:rPr>
          <w:rFonts w:ascii="Arial" w:hAnsi="Arial" w:cs="Arial"/>
          <w:b/>
          <w:sz w:val="24"/>
          <w:szCs w:val="24"/>
        </w:rPr>
      </w:pPr>
      <w:r w:rsidRPr="0093603B">
        <w:rPr>
          <w:rFonts w:ascii="Arial" w:hAnsi="Arial" w:cs="Arial"/>
          <w:b/>
          <w:sz w:val="24"/>
          <w:szCs w:val="24"/>
        </w:rPr>
        <w:lastRenderedPageBreak/>
        <w:t>Instrumentaciones utilizadas en las Mediciones</w:t>
      </w:r>
    </w:p>
    <w:p w:rsidR="0025315F" w:rsidRPr="0093603B" w:rsidRDefault="0025315F" w:rsidP="0025315F">
      <w:pPr>
        <w:pStyle w:val="ListParagraph"/>
        <w:spacing w:line="480" w:lineRule="auto"/>
        <w:ind w:left="1429"/>
        <w:rPr>
          <w:rFonts w:ascii="Arial" w:hAnsi="Arial" w:cs="Arial"/>
          <w:b/>
          <w:sz w:val="24"/>
          <w:szCs w:val="24"/>
        </w:rPr>
      </w:pPr>
    </w:p>
    <w:p w:rsidR="0025315F" w:rsidRPr="0093603B" w:rsidRDefault="0025315F" w:rsidP="0025315F">
      <w:pPr>
        <w:pStyle w:val="ListParagraph"/>
        <w:numPr>
          <w:ilvl w:val="2"/>
          <w:numId w:val="16"/>
        </w:numPr>
        <w:spacing w:line="480" w:lineRule="auto"/>
        <w:rPr>
          <w:rFonts w:ascii="Arial" w:hAnsi="Arial" w:cs="Arial"/>
          <w:b/>
          <w:sz w:val="24"/>
          <w:szCs w:val="24"/>
        </w:rPr>
      </w:pPr>
      <w:r w:rsidRPr="0093603B">
        <w:rPr>
          <w:rFonts w:ascii="Arial" w:hAnsi="Arial" w:cs="Arial"/>
          <w:b/>
          <w:sz w:val="24"/>
          <w:szCs w:val="24"/>
        </w:rPr>
        <w:t>Instrumentación de Medición 1</w:t>
      </w:r>
    </w:p>
    <w:p w:rsidR="0025315F" w:rsidRPr="0093603B" w:rsidRDefault="0025315F" w:rsidP="0025315F">
      <w:pPr>
        <w:pStyle w:val="ListParagraph"/>
        <w:spacing w:line="480" w:lineRule="auto"/>
        <w:ind w:left="1854"/>
        <w:rPr>
          <w:rFonts w:ascii="Arial" w:hAnsi="Arial" w:cs="Arial"/>
          <w:b/>
          <w:sz w:val="24"/>
          <w:szCs w:val="24"/>
        </w:rPr>
      </w:pPr>
    </w:p>
    <w:p w:rsidR="0025315F" w:rsidRDefault="0025315F" w:rsidP="0025315F">
      <w:pPr>
        <w:pStyle w:val="ListParagraph"/>
        <w:spacing w:line="480" w:lineRule="auto"/>
        <w:ind w:left="1854"/>
        <w:jc w:val="both"/>
        <w:rPr>
          <w:rFonts w:ascii="Arial" w:hAnsi="Arial" w:cs="Arial"/>
          <w:sz w:val="24"/>
          <w:szCs w:val="24"/>
        </w:rPr>
      </w:pPr>
      <w:r w:rsidRPr="0093603B">
        <w:rPr>
          <w:rFonts w:ascii="Arial" w:hAnsi="Arial" w:cs="Arial"/>
          <w:sz w:val="24"/>
          <w:szCs w:val="24"/>
        </w:rPr>
        <w:t xml:space="preserve">Esta instrumentación es la referencia que casi todas las normas citadas anteriormente, ya que se utiliza un medidor de banda ancha, en este caso un medidor selectivo de frecuencia, y una antena isotrópica. </w:t>
      </w:r>
    </w:p>
    <w:p w:rsidR="0025315F" w:rsidRPr="0093603B" w:rsidRDefault="0025315F" w:rsidP="0025315F">
      <w:pPr>
        <w:pStyle w:val="ListParagraph"/>
        <w:spacing w:line="480" w:lineRule="auto"/>
        <w:ind w:left="1854"/>
        <w:jc w:val="both"/>
        <w:rPr>
          <w:rFonts w:ascii="Arial" w:hAnsi="Arial" w:cs="Arial"/>
          <w:sz w:val="24"/>
          <w:szCs w:val="24"/>
        </w:rPr>
      </w:pPr>
    </w:p>
    <w:p w:rsidR="0025315F" w:rsidRPr="0093603B" w:rsidRDefault="0025315F" w:rsidP="0025315F">
      <w:pPr>
        <w:pStyle w:val="ListParagraph"/>
        <w:spacing w:after="0" w:line="480" w:lineRule="auto"/>
        <w:ind w:left="1843"/>
        <w:rPr>
          <w:rFonts w:ascii="Arial" w:hAnsi="Arial" w:cs="Arial"/>
          <w:sz w:val="24"/>
          <w:szCs w:val="24"/>
        </w:rPr>
      </w:pPr>
      <w:r w:rsidRPr="0093603B">
        <w:rPr>
          <w:rFonts w:ascii="Arial" w:hAnsi="Arial" w:cs="Arial"/>
          <w:sz w:val="24"/>
          <w:szCs w:val="24"/>
        </w:rPr>
        <w:t>Los equipos de la instrumentación de medición 1 son:</w:t>
      </w:r>
    </w:p>
    <w:p w:rsidR="0025315F" w:rsidRPr="0093603B" w:rsidRDefault="0025315F" w:rsidP="0025315F">
      <w:pPr>
        <w:pStyle w:val="ListParagraph"/>
        <w:numPr>
          <w:ilvl w:val="2"/>
          <w:numId w:val="24"/>
        </w:numPr>
        <w:spacing w:after="0" w:line="480" w:lineRule="auto"/>
        <w:ind w:left="2268"/>
        <w:rPr>
          <w:rFonts w:ascii="Arial" w:hAnsi="Arial" w:cs="Arial"/>
          <w:sz w:val="24"/>
          <w:szCs w:val="24"/>
        </w:rPr>
      </w:pPr>
      <w:r w:rsidRPr="0093603B">
        <w:rPr>
          <w:rFonts w:ascii="Arial" w:hAnsi="Arial" w:cs="Arial"/>
          <w:sz w:val="24"/>
          <w:szCs w:val="24"/>
        </w:rPr>
        <w:t>Narda SMR 3000,</w:t>
      </w:r>
    </w:p>
    <w:p w:rsidR="0025315F" w:rsidRPr="0093603B" w:rsidRDefault="0025315F" w:rsidP="0025315F">
      <w:pPr>
        <w:pStyle w:val="ListParagraph"/>
        <w:numPr>
          <w:ilvl w:val="2"/>
          <w:numId w:val="24"/>
        </w:numPr>
        <w:spacing w:after="0" w:line="480" w:lineRule="auto"/>
        <w:ind w:left="2268"/>
        <w:rPr>
          <w:rFonts w:ascii="Arial" w:hAnsi="Arial" w:cs="Arial"/>
          <w:sz w:val="24"/>
          <w:szCs w:val="24"/>
        </w:rPr>
      </w:pPr>
      <w:r w:rsidRPr="0093603B">
        <w:rPr>
          <w:rStyle w:val="longtext"/>
          <w:rFonts w:ascii="Arial" w:hAnsi="Arial" w:cs="Arial"/>
          <w:sz w:val="24"/>
          <w:szCs w:val="24"/>
          <w:shd w:val="clear" w:color="auto" w:fill="FFFFFF"/>
        </w:rPr>
        <w:t xml:space="preserve">Sonda de tipo isotrópica </w:t>
      </w:r>
      <w:r w:rsidRPr="0093603B">
        <w:rPr>
          <w:rFonts w:ascii="Arial" w:hAnsi="Arial" w:cs="Arial"/>
          <w:sz w:val="24"/>
          <w:szCs w:val="24"/>
        </w:rPr>
        <w:t>Rango 75 a 3000 MHz</w:t>
      </w:r>
    </w:p>
    <w:p w:rsidR="0025315F" w:rsidRPr="0093603B" w:rsidRDefault="0025315F" w:rsidP="0025315F">
      <w:pPr>
        <w:pStyle w:val="ListParagraph"/>
        <w:spacing w:line="480" w:lineRule="auto"/>
        <w:ind w:left="1843"/>
        <w:jc w:val="center"/>
        <w:rPr>
          <w:rFonts w:ascii="Arial" w:hAnsi="Arial" w:cs="Arial"/>
          <w:b/>
          <w:sz w:val="24"/>
          <w:szCs w:val="24"/>
        </w:rPr>
      </w:pPr>
      <w:r>
        <w:rPr>
          <w:rFonts w:ascii="Arial" w:hAnsi="Arial" w:cs="Arial"/>
          <w:b/>
          <w:noProof/>
          <w:sz w:val="24"/>
          <w:szCs w:val="24"/>
          <w:lang w:eastAsia="es-ES"/>
        </w:rPr>
        <w:drawing>
          <wp:inline distT="0" distB="0" distL="0" distR="0">
            <wp:extent cx="3166110" cy="2087880"/>
            <wp:effectExtent l="19050" t="0" r="0" b="0"/>
            <wp:docPr id="2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srcRect/>
                    <a:stretch>
                      <a:fillRect/>
                    </a:stretch>
                  </pic:blipFill>
                  <pic:spPr bwMode="auto">
                    <a:xfrm>
                      <a:off x="0" y="0"/>
                      <a:ext cx="3166110" cy="2087880"/>
                    </a:xfrm>
                    <a:prstGeom prst="rect">
                      <a:avLst/>
                    </a:prstGeom>
                    <a:noFill/>
                    <a:ln w="9525">
                      <a:noFill/>
                      <a:miter lim="800000"/>
                      <a:headEnd/>
                      <a:tailEnd/>
                    </a:ln>
                  </pic:spPr>
                </pic:pic>
              </a:graphicData>
            </a:graphic>
          </wp:inline>
        </w:drawing>
      </w:r>
    </w:p>
    <w:p w:rsidR="0025315F" w:rsidRPr="0093603B" w:rsidRDefault="0025315F" w:rsidP="0025315F">
      <w:pPr>
        <w:pStyle w:val="ListParagraph"/>
        <w:spacing w:line="480" w:lineRule="auto"/>
        <w:ind w:left="1843"/>
        <w:jc w:val="center"/>
        <w:rPr>
          <w:rFonts w:ascii="Arial" w:hAnsi="Arial" w:cs="Arial"/>
          <w:b/>
          <w:sz w:val="24"/>
          <w:szCs w:val="24"/>
        </w:rPr>
      </w:pPr>
      <w:r w:rsidRPr="0093603B">
        <w:rPr>
          <w:rFonts w:ascii="Arial" w:eastAsia="Times New Roman" w:hAnsi="Arial" w:cs="Arial"/>
          <w:b/>
          <w:sz w:val="24"/>
          <w:szCs w:val="24"/>
          <w:lang w:eastAsia="es-ES"/>
        </w:rPr>
        <w:t xml:space="preserve">Figura 3.3 </w:t>
      </w:r>
      <w:r w:rsidRPr="0093603B">
        <w:rPr>
          <w:rFonts w:ascii="Arial" w:hAnsi="Arial" w:cs="Arial"/>
          <w:b/>
          <w:sz w:val="24"/>
          <w:szCs w:val="24"/>
        </w:rPr>
        <w:t xml:space="preserve">Representación la instrumentación de medición 1 con el equipo NARDA SRM 3000. </w:t>
      </w:r>
      <w:r w:rsidRPr="0093603B">
        <w:rPr>
          <w:rStyle w:val="FootnoteReference"/>
          <w:rFonts w:ascii="Arial" w:hAnsi="Arial" w:cs="Arial"/>
          <w:b/>
          <w:sz w:val="24"/>
          <w:szCs w:val="24"/>
        </w:rPr>
        <w:footnoteReference w:id="34"/>
      </w:r>
    </w:p>
    <w:p w:rsidR="0025315F" w:rsidRDefault="0025315F" w:rsidP="0025315F">
      <w:pPr>
        <w:pStyle w:val="ListParagraph"/>
        <w:spacing w:after="0" w:line="480" w:lineRule="auto"/>
        <w:ind w:left="2160"/>
        <w:rPr>
          <w:rFonts w:ascii="Arial" w:hAnsi="Arial" w:cs="Arial"/>
          <w:sz w:val="24"/>
          <w:szCs w:val="24"/>
        </w:rPr>
      </w:pPr>
    </w:p>
    <w:p w:rsidR="0025315F" w:rsidRPr="0093603B" w:rsidRDefault="0025315F" w:rsidP="0025315F">
      <w:pPr>
        <w:pStyle w:val="ListParagraph"/>
        <w:numPr>
          <w:ilvl w:val="3"/>
          <w:numId w:val="16"/>
        </w:numPr>
        <w:tabs>
          <w:tab w:val="left" w:pos="1701"/>
        </w:tabs>
        <w:spacing w:line="480" w:lineRule="auto"/>
        <w:ind w:left="2835" w:hanging="1134"/>
        <w:rPr>
          <w:rFonts w:ascii="Arial" w:hAnsi="Arial" w:cs="Arial"/>
          <w:b/>
          <w:sz w:val="24"/>
          <w:szCs w:val="24"/>
        </w:rPr>
      </w:pPr>
      <w:r w:rsidRPr="0093603B">
        <w:rPr>
          <w:rFonts w:ascii="Arial" w:hAnsi="Arial" w:cs="Arial"/>
          <w:b/>
          <w:sz w:val="24"/>
          <w:szCs w:val="24"/>
        </w:rPr>
        <w:lastRenderedPageBreak/>
        <w:t xml:space="preserve">Equipos </w:t>
      </w:r>
    </w:p>
    <w:p w:rsidR="0025315F" w:rsidRPr="0093603B" w:rsidRDefault="0025315F" w:rsidP="0025315F">
      <w:pPr>
        <w:pStyle w:val="ListParagraph"/>
        <w:spacing w:line="480" w:lineRule="auto"/>
        <w:ind w:left="1854"/>
        <w:jc w:val="center"/>
        <w:rPr>
          <w:rFonts w:ascii="Arial" w:hAnsi="Arial" w:cs="Arial"/>
          <w:sz w:val="24"/>
          <w:szCs w:val="24"/>
        </w:rPr>
      </w:pPr>
    </w:p>
    <w:p w:rsidR="0025315F" w:rsidRPr="0093603B" w:rsidRDefault="0025315F" w:rsidP="0025315F">
      <w:pPr>
        <w:pStyle w:val="ListParagraph"/>
        <w:numPr>
          <w:ilvl w:val="4"/>
          <w:numId w:val="16"/>
        </w:numPr>
        <w:spacing w:line="480" w:lineRule="auto"/>
        <w:rPr>
          <w:rFonts w:ascii="Arial" w:hAnsi="Arial" w:cs="Arial"/>
          <w:b/>
          <w:sz w:val="24"/>
          <w:szCs w:val="24"/>
        </w:rPr>
      </w:pPr>
      <w:r w:rsidRPr="0093603B">
        <w:rPr>
          <w:rFonts w:ascii="Arial" w:hAnsi="Arial" w:cs="Arial"/>
          <w:b/>
          <w:sz w:val="24"/>
          <w:szCs w:val="24"/>
        </w:rPr>
        <w:t>Equipo Medidor Selectivo de Radiación SMR 3000</w:t>
      </w:r>
    </w:p>
    <w:p w:rsidR="0025315F" w:rsidRPr="00C42683" w:rsidRDefault="0025315F" w:rsidP="0025315F">
      <w:pPr>
        <w:pStyle w:val="ListParagraph"/>
        <w:spacing w:line="480" w:lineRule="auto"/>
        <w:ind w:left="3064"/>
        <w:rPr>
          <w:rStyle w:val="apple-style-span"/>
          <w:rFonts w:ascii="Arial" w:hAnsi="Arial" w:cs="Arial"/>
          <w:color w:val="000000"/>
          <w:sz w:val="40"/>
          <w:szCs w:val="24"/>
          <w:shd w:val="clear" w:color="auto" w:fill="FFFFFF"/>
        </w:rPr>
      </w:pPr>
    </w:p>
    <w:p w:rsidR="0025315F" w:rsidRPr="0093603B" w:rsidRDefault="0025315F" w:rsidP="0025315F">
      <w:pPr>
        <w:pStyle w:val="ListParagraph"/>
        <w:spacing w:line="480" w:lineRule="auto"/>
        <w:ind w:left="3064"/>
        <w:jc w:val="center"/>
        <w:rPr>
          <w:rStyle w:val="apple-style-span"/>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es-ES"/>
        </w:rPr>
        <w:drawing>
          <wp:inline distT="0" distB="0" distL="0" distR="0">
            <wp:extent cx="2442845" cy="1774190"/>
            <wp:effectExtent l="19050" t="0" r="0" b="0"/>
            <wp:docPr id="2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srcRect/>
                    <a:stretch>
                      <a:fillRect/>
                    </a:stretch>
                  </pic:blipFill>
                  <pic:spPr bwMode="auto">
                    <a:xfrm>
                      <a:off x="0" y="0"/>
                      <a:ext cx="2442845" cy="1774190"/>
                    </a:xfrm>
                    <a:prstGeom prst="rect">
                      <a:avLst/>
                    </a:prstGeom>
                    <a:noFill/>
                    <a:ln w="9525">
                      <a:noFill/>
                      <a:miter lim="800000"/>
                      <a:headEnd/>
                      <a:tailEnd/>
                    </a:ln>
                  </pic:spPr>
                </pic:pic>
              </a:graphicData>
            </a:graphic>
          </wp:inline>
        </w:drawing>
      </w:r>
    </w:p>
    <w:p w:rsidR="0025315F" w:rsidRPr="00C42683" w:rsidRDefault="0025315F" w:rsidP="0025315F">
      <w:pPr>
        <w:pStyle w:val="ListParagraph"/>
        <w:spacing w:line="480" w:lineRule="auto"/>
        <w:ind w:left="3064"/>
        <w:jc w:val="center"/>
        <w:rPr>
          <w:rStyle w:val="apple-style-span"/>
          <w:rFonts w:ascii="Arial" w:hAnsi="Arial" w:cs="Arial"/>
          <w:color w:val="000000"/>
          <w:sz w:val="40"/>
          <w:szCs w:val="24"/>
          <w:shd w:val="clear" w:color="auto" w:fill="FFFFFF"/>
        </w:rPr>
      </w:pPr>
    </w:p>
    <w:p w:rsidR="0025315F" w:rsidRPr="0093603B" w:rsidRDefault="0025315F" w:rsidP="0025315F">
      <w:pPr>
        <w:pStyle w:val="ListParagraph"/>
        <w:spacing w:line="480" w:lineRule="auto"/>
        <w:ind w:left="3064"/>
        <w:jc w:val="center"/>
        <w:rPr>
          <w:rFonts w:ascii="Arial" w:hAnsi="Arial" w:cs="Arial"/>
          <w:b/>
          <w:color w:val="000000"/>
          <w:sz w:val="24"/>
          <w:szCs w:val="24"/>
          <w:shd w:val="clear" w:color="auto" w:fill="FFFFFF"/>
        </w:rPr>
      </w:pPr>
      <w:r w:rsidRPr="0093603B">
        <w:rPr>
          <w:rFonts w:ascii="Arial" w:eastAsia="Times New Roman" w:hAnsi="Arial" w:cs="Arial"/>
          <w:b/>
          <w:sz w:val="24"/>
          <w:szCs w:val="24"/>
          <w:lang w:eastAsia="es-ES"/>
        </w:rPr>
        <w:t xml:space="preserve">Figura 3.4 </w:t>
      </w:r>
      <w:r w:rsidRPr="0093603B">
        <w:rPr>
          <w:rStyle w:val="apple-style-span"/>
          <w:rFonts w:ascii="Arial" w:hAnsi="Arial" w:cs="Arial"/>
          <w:b/>
          <w:color w:val="000000"/>
          <w:sz w:val="24"/>
          <w:szCs w:val="24"/>
          <w:shd w:val="clear" w:color="auto" w:fill="FFFFFF"/>
        </w:rPr>
        <w:t>Equipo Narda SRM 3000.</w:t>
      </w:r>
      <w:r w:rsidRPr="0093603B">
        <w:rPr>
          <w:rStyle w:val="FootnoteReference"/>
          <w:rFonts w:ascii="Arial" w:hAnsi="Arial" w:cs="Arial"/>
          <w:b/>
          <w:sz w:val="24"/>
          <w:szCs w:val="24"/>
        </w:rPr>
        <w:footnoteReference w:id="35"/>
      </w:r>
    </w:p>
    <w:p w:rsidR="0025315F" w:rsidRPr="0093603B" w:rsidRDefault="0025315F" w:rsidP="0025315F">
      <w:pPr>
        <w:pStyle w:val="ListParagraph"/>
        <w:spacing w:line="480" w:lineRule="auto"/>
        <w:ind w:left="3064"/>
        <w:jc w:val="both"/>
        <w:rPr>
          <w:rStyle w:val="apple-style-span"/>
          <w:rFonts w:ascii="Arial" w:hAnsi="Arial" w:cs="Arial"/>
          <w:sz w:val="24"/>
          <w:szCs w:val="24"/>
          <w:shd w:val="clear" w:color="auto" w:fill="FFFFFF"/>
        </w:rPr>
      </w:pPr>
      <w:r w:rsidRPr="00C42683">
        <w:rPr>
          <w:rFonts w:ascii="Arial" w:hAnsi="Arial" w:cs="Arial"/>
          <w:color w:val="000000"/>
          <w:sz w:val="40"/>
          <w:szCs w:val="24"/>
          <w:shd w:val="clear" w:color="auto" w:fill="FFFFFF"/>
        </w:rPr>
        <w:br/>
      </w:r>
      <w:r w:rsidRPr="0093603B">
        <w:rPr>
          <w:rStyle w:val="apple-style-span"/>
          <w:rFonts w:ascii="Arial" w:hAnsi="Arial" w:cs="Arial"/>
          <w:color w:val="000000"/>
          <w:sz w:val="24"/>
          <w:szCs w:val="24"/>
          <w:shd w:val="clear" w:color="auto" w:fill="FFFFFF"/>
        </w:rPr>
        <w:t xml:space="preserve">El </w:t>
      </w:r>
      <w:r w:rsidRPr="0093603B">
        <w:rPr>
          <w:rStyle w:val="apple-style-span"/>
          <w:rFonts w:ascii="Arial" w:hAnsi="Arial" w:cs="Arial"/>
          <w:sz w:val="24"/>
          <w:szCs w:val="24"/>
          <w:shd w:val="clear" w:color="auto" w:fill="FFFFFF"/>
        </w:rPr>
        <w:t xml:space="preserve">SRM-3000 es creado como un instrumento de medida de radiaciones no ionizantes, capaz de mostrar el cumplimiento por debajo de los límites de exposición, analizando la influencia de </w:t>
      </w:r>
      <w:r w:rsidRPr="0093603B">
        <w:rPr>
          <w:rStyle w:val="apple-style-span"/>
          <w:rFonts w:ascii="Arial" w:hAnsi="Arial" w:cs="Arial"/>
          <w:sz w:val="24"/>
          <w:szCs w:val="24"/>
          <w:shd w:val="clear" w:color="auto" w:fill="FFFFFF"/>
        </w:rPr>
        <w:lastRenderedPageBreak/>
        <w:t>una fuente de radiación en particular o de manera general</w:t>
      </w:r>
    </w:p>
    <w:p w:rsidR="0025315F" w:rsidRPr="0093603B" w:rsidRDefault="0025315F" w:rsidP="0025315F">
      <w:pPr>
        <w:pStyle w:val="ListParagraph"/>
        <w:spacing w:line="480" w:lineRule="auto"/>
        <w:ind w:left="3064"/>
        <w:jc w:val="both"/>
        <w:rPr>
          <w:rStyle w:val="apple-style-span"/>
          <w:rFonts w:ascii="Arial" w:hAnsi="Arial" w:cs="Arial"/>
          <w:sz w:val="24"/>
          <w:szCs w:val="24"/>
          <w:shd w:val="clear" w:color="auto" w:fill="FFFFFF"/>
        </w:rPr>
      </w:pPr>
    </w:p>
    <w:p w:rsidR="0025315F" w:rsidRPr="0093603B" w:rsidRDefault="0025315F" w:rsidP="0025315F">
      <w:pPr>
        <w:pStyle w:val="ListParagraph"/>
        <w:spacing w:line="480" w:lineRule="auto"/>
        <w:ind w:left="3064"/>
        <w:jc w:val="both"/>
        <w:rPr>
          <w:rStyle w:val="apple-style-span"/>
          <w:rFonts w:ascii="Arial" w:hAnsi="Arial" w:cs="Arial"/>
          <w:sz w:val="24"/>
          <w:szCs w:val="24"/>
          <w:shd w:val="clear" w:color="auto" w:fill="FFFFFF"/>
        </w:rPr>
      </w:pPr>
      <w:r w:rsidRPr="0093603B">
        <w:rPr>
          <w:rStyle w:val="apple-style-span"/>
          <w:rFonts w:ascii="Arial" w:hAnsi="Arial" w:cs="Arial"/>
          <w:sz w:val="24"/>
          <w:szCs w:val="24"/>
          <w:shd w:val="clear" w:color="auto" w:fill="FFFFFF"/>
        </w:rPr>
        <w:t>El rango de operación de este quipo es de 100 kHz a 3 GHz, incorpora una muy amplia, versátil gama de funciones en un</w:t>
      </w:r>
      <w:r w:rsidRPr="0093603B">
        <w:rPr>
          <w:rFonts w:ascii="Arial" w:hAnsi="Arial" w:cs="Arial"/>
          <w:sz w:val="24"/>
          <w:szCs w:val="24"/>
          <w:shd w:val="clear" w:color="auto" w:fill="FFFFFF"/>
        </w:rPr>
        <w:t xml:space="preserve"> </w:t>
      </w:r>
      <w:r w:rsidRPr="0093603B">
        <w:rPr>
          <w:rStyle w:val="apple-style-span"/>
          <w:rFonts w:ascii="Arial" w:hAnsi="Arial" w:cs="Arial"/>
          <w:sz w:val="24"/>
          <w:szCs w:val="24"/>
          <w:shd w:val="clear" w:color="auto" w:fill="FFFFFF"/>
        </w:rPr>
        <w:t>muy ligero, práctico dispositivo, ideal para su uso</w:t>
      </w:r>
      <w:r w:rsidRPr="0093603B">
        <w:rPr>
          <w:rFonts w:ascii="Arial" w:hAnsi="Arial" w:cs="Arial"/>
          <w:sz w:val="24"/>
          <w:szCs w:val="24"/>
          <w:shd w:val="clear" w:color="auto" w:fill="FFFFFF"/>
        </w:rPr>
        <w:t xml:space="preserve"> </w:t>
      </w:r>
      <w:r w:rsidRPr="0093603B">
        <w:rPr>
          <w:rStyle w:val="apple-style-span"/>
          <w:rFonts w:ascii="Arial" w:hAnsi="Arial" w:cs="Arial"/>
          <w:sz w:val="24"/>
          <w:szCs w:val="24"/>
          <w:shd w:val="clear" w:color="auto" w:fill="FFFFFF"/>
        </w:rPr>
        <w:t>especialmente en condiciones que requieren de alta movilidad y robustez.</w:t>
      </w:r>
    </w:p>
    <w:p w:rsidR="0025315F" w:rsidRPr="0093603B" w:rsidRDefault="0025315F" w:rsidP="0025315F">
      <w:pPr>
        <w:pStyle w:val="ListParagraph"/>
        <w:spacing w:line="480" w:lineRule="auto"/>
        <w:ind w:left="3064"/>
        <w:jc w:val="both"/>
        <w:rPr>
          <w:rStyle w:val="apple-style-span"/>
          <w:rFonts w:ascii="Arial" w:hAnsi="Arial" w:cs="Arial"/>
          <w:sz w:val="24"/>
          <w:szCs w:val="24"/>
          <w:shd w:val="clear" w:color="auto" w:fill="FFFFFF"/>
        </w:rPr>
      </w:pPr>
      <w:r w:rsidRPr="00C42683">
        <w:rPr>
          <w:rFonts w:ascii="Arial" w:hAnsi="Arial" w:cs="Arial"/>
          <w:sz w:val="32"/>
          <w:szCs w:val="24"/>
          <w:shd w:val="clear" w:color="auto" w:fill="FFFFFF"/>
        </w:rPr>
        <w:br/>
      </w:r>
      <w:r w:rsidRPr="0093603B">
        <w:rPr>
          <w:rStyle w:val="apple-style-span"/>
          <w:rFonts w:ascii="Arial" w:hAnsi="Arial" w:cs="Arial"/>
          <w:sz w:val="24"/>
          <w:szCs w:val="24"/>
          <w:shd w:val="clear" w:color="auto" w:fill="FFFFFF"/>
        </w:rPr>
        <w:t xml:space="preserve">El SRM-3000 es un sistema de medida completo, creado por  Narda Safety Test Solutions, la cual también suministra varias antenas como soluciones a diferentes aplicaciones y </w:t>
      </w:r>
      <w:r w:rsidRPr="0093603B">
        <w:rPr>
          <w:rStyle w:val="apple-style-span"/>
          <w:rFonts w:ascii="Arial" w:hAnsi="Arial" w:cs="Arial"/>
          <w:sz w:val="24"/>
          <w:szCs w:val="24"/>
        </w:rPr>
        <w:t>rangos de frecuencias.</w:t>
      </w:r>
      <w:r w:rsidRPr="0093603B">
        <w:rPr>
          <w:rStyle w:val="apple-converted-space"/>
          <w:rFonts w:ascii="Arial" w:hAnsi="Arial" w:cs="Arial"/>
          <w:sz w:val="24"/>
          <w:szCs w:val="24"/>
        </w:rPr>
        <w:t> </w:t>
      </w:r>
      <w:r w:rsidRPr="0093603B">
        <w:rPr>
          <w:rStyle w:val="apple-style-span"/>
          <w:rFonts w:ascii="Arial" w:hAnsi="Arial" w:cs="Arial"/>
          <w:sz w:val="24"/>
          <w:szCs w:val="24"/>
          <w:shd w:val="clear" w:color="auto" w:fill="FFFFFF"/>
        </w:rPr>
        <w:t xml:space="preserve">Estas antenas tienen tres ejes o bien un solo eje, más un cable adaptador RF. </w:t>
      </w:r>
    </w:p>
    <w:p w:rsidR="0025315F" w:rsidRPr="00C42683" w:rsidRDefault="0025315F" w:rsidP="0025315F">
      <w:pPr>
        <w:pStyle w:val="ListParagraph"/>
        <w:spacing w:line="480" w:lineRule="auto"/>
        <w:ind w:left="3064"/>
        <w:jc w:val="both"/>
        <w:rPr>
          <w:rStyle w:val="apple-style-span"/>
          <w:rFonts w:ascii="Arial" w:hAnsi="Arial" w:cs="Arial"/>
          <w:sz w:val="32"/>
          <w:szCs w:val="24"/>
          <w:shd w:val="clear" w:color="auto" w:fill="FFFFFF"/>
        </w:rPr>
      </w:pPr>
    </w:p>
    <w:p w:rsidR="0025315F" w:rsidRPr="0093603B" w:rsidRDefault="0025315F" w:rsidP="0025315F">
      <w:pPr>
        <w:pStyle w:val="ListParagraph"/>
        <w:spacing w:line="480" w:lineRule="auto"/>
        <w:ind w:left="3064"/>
        <w:jc w:val="both"/>
        <w:rPr>
          <w:rStyle w:val="apple-style-span"/>
          <w:rFonts w:ascii="Arial" w:hAnsi="Arial" w:cs="Arial"/>
          <w:sz w:val="24"/>
          <w:szCs w:val="24"/>
          <w:shd w:val="clear" w:color="auto" w:fill="FFFFFF"/>
        </w:rPr>
      </w:pPr>
      <w:r w:rsidRPr="0093603B">
        <w:rPr>
          <w:rStyle w:val="apple-style-span"/>
          <w:rFonts w:ascii="Arial" w:hAnsi="Arial" w:cs="Arial"/>
          <w:sz w:val="24"/>
          <w:szCs w:val="24"/>
          <w:shd w:val="clear" w:color="auto" w:fill="FFFFFF"/>
        </w:rPr>
        <w:t>Entre sus características principales tenemos</w:t>
      </w:r>
    </w:p>
    <w:p w:rsidR="0025315F" w:rsidRPr="0093603B" w:rsidRDefault="0025315F" w:rsidP="0025315F">
      <w:pPr>
        <w:pStyle w:val="ListParagraph"/>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 xml:space="preserve">Sencillo manejo: la antena y el cable se detectan automáticamente, los resultados aparecen directamente </w:t>
      </w:r>
    </w:p>
    <w:p w:rsidR="0025315F" w:rsidRPr="0093603B" w:rsidRDefault="0025315F" w:rsidP="0025315F">
      <w:pPr>
        <w:pStyle w:val="ListParagraph"/>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lastRenderedPageBreak/>
        <w:t>Medidas selectivas de la intensidad de campo, permitiendo realizar evaluaciones de seguridad rápidas y fiables</w:t>
      </w:r>
    </w:p>
    <w:p w:rsidR="0025315F" w:rsidRPr="0093603B" w:rsidRDefault="0025315F" w:rsidP="0025315F">
      <w:pPr>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La elevada inmunidad frente a la radiación permite su empleo en interiores</w:t>
      </w:r>
    </w:p>
    <w:p w:rsidR="0025315F" w:rsidRPr="0093603B" w:rsidRDefault="0025315F" w:rsidP="0025315F">
      <w:pPr>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Medidas isotrópicas (no direccionales)</w:t>
      </w:r>
    </w:p>
    <w:p w:rsidR="0025315F" w:rsidRPr="0093603B" w:rsidRDefault="0025315F" w:rsidP="0025315F">
      <w:pPr>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Tiempos de barrido cortos: medidas rápidas</w:t>
      </w:r>
    </w:p>
    <w:p w:rsidR="0025315F" w:rsidRPr="0093603B" w:rsidRDefault="0025315F" w:rsidP="0025315F">
      <w:pPr>
        <w:numPr>
          <w:ilvl w:val="0"/>
          <w:numId w:val="20"/>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Dispone de puerto serial y USB para control remoto, y acceso a información</w:t>
      </w:r>
    </w:p>
    <w:p w:rsidR="0025315F" w:rsidRPr="00C42683" w:rsidRDefault="0025315F" w:rsidP="0025315F">
      <w:pPr>
        <w:spacing w:before="75" w:after="30" w:line="480" w:lineRule="auto"/>
        <w:ind w:left="2124" w:firstLine="708"/>
        <w:jc w:val="both"/>
        <w:outlineLvl w:val="5"/>
        <w:rPr>
          <w:rFonts w:ascii="Arial" w:eastAsia="Times New Roman" w:hAnsi="Arial" w:cs="Arial"/>
          <w:b/>
          <w:bCs/>
          <w:sz w:val="32"/>
          <w:szCs w:val="24"/>
          <w:lang w:eastAsia="es-ES"/>
        </w:rPr>
      </w:pPr>
    </w:p>
    <w:p w:rsidR="0025315F" w:rsidRPr="0093603B" w:rsidRDefault="0025315F" w:rsidP="0025315F">
      <w:pPr>
        <w:spacing w:before="75" w:after="30" w:line="480" w:lineRule="auto"/>
        <w:ind w:left="3119"/>
        <w:jc w:val="both"/>
        <w:outlineLvl w:val="5"/>
        <w:rPr>
          <w:rFonts w:ascii="Arial" w:eastAsia="Times New Roman" w:hAnsi="Arial" w:cs="Arial"/>
          <w:bCs/>
          <w:sz w:val="24"/>
          <w:szCs w:val="24"/>
          <w:lang w:eastAsia="es-ES"/>
        </w:rPr>
      </w:pPr>
      <w:r w:rsidRPr="0093603B">
        <w:rPr>
          <w:rFonts w:ascii="Arial" w:eastAsia="Times New Roman" w:hAnsi="Arial" w:cs="Arial"/>
          <w:bCs/>
          <w:sz w:val="24"/>
          <w:szCs w:val="24"/>
          <w:lang w:eastAsia="es-ES"/>
        </w:rPr>
        <w:t>Respecto a sus modos de funcionamiento</w:t>
      </w:r>
    </w:p>
    <w:p w:rsidR="0025315F" w:rsidRPr="00C42683" w:rsidRDefault="0025315F" w:rsidP="0025315F">
      <w:pPr>
        <w:spacing w:before="75" w:after="30" w:line="480" w:lineRule="auto"/>
        <w:ind w:left="2124" w:firstLine="708"/>
        <w:jc w:val="both"/>
        <w:outlineLvl w:val="5"/>
        <w:rPr>
          <w:rFonts w:ascii="Arial" w:eastAsia="Times New Roman" w:hAnsi="Arial" w:cs="Arial"/>
          <w:b/>
          <w:bCs/>
          <w:sz w:val="32"/>
          <w:szCs w:val="24"/>
          <w:lang w:eastAsia="es-ES"/>
        </w:rPr>
      </w:pPr>
    </w:p>
    <w:p w:rsidR="0025315F" w:rsidRPr="0093603B" w:rsidRDefault="0025315F" w:rsidP="0025315F">
      <w:pPr>
        <w:numPr>
          <w:ilvl w:val="0"/>
          <w:numId w:val="21"/>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Análisis espectral</w:t>
      </w:r>
    </w:p>
    <w:p w:rsidR="0025315F" w:rsidRPr="0093603B" w:rsidRDefault="0025315F" w:rsidP="0025315F">
      <w:pPr>
        <w:numPr>
          <w:ilvl w:val="1"/>
          <w:numId w:val="21"/>
        </w:numPr>
        <w:tabs>
          <w:tab w:val="clear" w:pos="1440"/>
        </w:tabs>
        <w:spacing w:before="40" w:after="40" w:line="480" w:lineRule="auto"/>
        <w:ind w:left="40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Integración en la banda de frecuencia (medidas de banda ancha)</w:t>
      </w:r>
    </w:p>
    <w:p w:rsidR="0025315F" w:rsidRPr="0093603B" w:rsidRDefault="0025315F" w:rsidP="0025315F">
      <w:pPr>
        <w:numPr>
          <w:ilvl w:val="1"/>
          <w:numId w:val="21"/>
        </w:numPr>
        <w:tabs>
          <w:tab w:val="clear" w:pos="1440"/>
        </w:tabs>
        <w:spacing w:before="40" w:after="40" w:line="480" w:lineRule="auto"/>
        <w:ind w:left="40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Innovadoras funciones, tales como</w:t>
      </w:r>
    </w:p>
    <w:p w:rsidR="0025315F" w:rsidRPr="0093603B" w:rsidRDefault="0025315F" w:rsidP="0025315F">
      <w:pPr>
        <w:numPr>
          <w:ilvl w:val="2"/>
          <w:numId w:val="21"/>
        </w:numPr>
        <w:tabs>
          <w:tab w:val="clear" w:pos="2160"/>
        </w:tabs>
        <w:spacing w:before="40" w:after="40" w:line="480" w:lineRule="auto"/>
        <w:ind w:left="43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Zoom mediante marcas</w:t>
      </w:r>
    </w:p>
    <w:p w:rsidR="0025315F" w:rsidRPr="0093603B" w:rsidRDefault="0025315F" w:rsidP="0025315F">
      <w:pPr>
        <w:numPr>
          <w:ilvl w:val="2"/>
          <w:numId w:val="21"/>
        </w:numPr>
        <w:tabs>
          <w:tab w:val="clear" w:pos="2160"/>
        </w:tabs>
        <w:spacing w:before="40" w:after="40" w:line="480" w:lineRule="auto"/>
        <w:ind w:left="43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Evaluación de picos con número de picos y umbrales definidos por el usuario</w:t>
      </w:r>
    </w:p>
    <w:p w:rsidR="0025315F" w:rsidRPr="0093603B" w:rsidRDefault="0025315F" w:rsidP="0025315F">
      <w:pPr>
        <w:numPr>
          <w:ilvl w:val="2"/>
          <w:numId w:val="21"/>
        </w:numPr>
        <w:tabs>
          <w:tab w:val="clear" w:pos="2160"/>
        </w:tabs>
        <w:spacing w:before="40" w:after="40" w:line="480" w:lineRule="auto"/>
        <w:ind w:left="43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lastRenderedPageBreak/>
        <w:t>Función de retención de valores máximos</w:t>
      </w:r>
    </w:p>
    <w:p w:rsidR="0025315F" w:rsidRPr="0093603B" w:rsidRDefault="0025315F" w:rsidP="0025315F">
      <w:pPr>
        <w:numPr>
          <w:ilvl w:val="0"/>
          <w:numId w:val="21"/>
        </w:numPr>
        <w:tabs>
          <w:tab w:val="clear" w:pos="720"/>
          <w:tab w:val="num" w:pos="3828"/>
        </w:tabs>
        <w:spacing w:before="40" w:after="40" w:line="480" w:lineRule="auto"/>
        <w:ind w:left="3828"/>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Evaluación de seguridad</w:t>
      </w:r>
    </w:p>
    <w:p w:rsidR="0025315F" w:rsidRPr="0093603B" w:rsidRDefault="0025315F" w:rsidP="0025315F">
      <w:pPr>
        <w:numPr>
          <w:ilvl w:val="1"/>
          <w:numId w:val="21"/>
        </w:numPr>
        <w:tabs>
          <w:tab w:val="clear" w:pos="1440"/>
        </w:tabs>
        <w:spacing w:before="40" w:after="40" w:line="480" w:lineRule="auto"/>
        <w:ind w:left="40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Presentación tabular de los resultados del análisis espectral</w:t>
      </w:r>
    </w:p>
    <w:p w:rsidR="0025315F" w:rsidRPr="0093603B" w:rsidRDefault="0025315F" w:rsidP="0025315F">
      <w:pPr>
        <w:numPr>
          <w:ilvl w:val="1"/>
          <w:numId w:val="21"/>
        </w:numPr>
        <w:tabs>
          <w:tab w:val="clear" w:pos="1440"/>
        </w:tabs>
        <w:spacing w:before="40" w:after="40" w:line="480" w:lineRule="auto"/>
        <w:ind w:left="40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Tablas de servicios definidas por el usuario para las medidas</w:t>
      </w:r>
    </w:p>
    <w:p w:rsidR="0025315F" w:rsidRDefault="0025315F" w:rsidP="0025315F">
      <w:pPr>
        <w:numPr>
          <w:ilvl w:val="1"/>
          <w:numId w:val="21"/>
        </w:numPr>
        <w:tabs>
          <w:tab w:val="clear" w:pos="1440"/>
        </w:tabs>
        <w:spacing w:before="40" w:after="40" w:line="480" w:lineRule="auto"/>
        <w:ind w:left="4032"/>
        <w:jc w:val="both"/>
        <w:rPr>
          <w:rFonts w:ascii="Arial" w:eastAsia="Times New Roman" w:hAnsi="Arial" w:cs="Arial"/>
          <w:sz w:val="24"/>
          <w:szCs w:val="24"/>
          <w:lang w:eastAsia="es-ES"/>
        </w:rPr>
      </w:pPr>
      <w:r w:rsidRPr="0093603B">
        <w:rPr>
          <w:rFonts w:ascii="Arial" w:eastAsia="Times New Roman" w:hAnsi="Arial" w:cs="Arial"/>
          <w:sz w:val="24"/>
          <w:szCs w:val="24"/>
          <w:lang w:eastAsia="es-ES"/>
        </w:rPr>
        <w:t>Muestra los niveles de exposición de cada servicio</w:t>
      </w:r>
    </w:p>
    <w:p w:rsidR="0025315F" w:rsidRDefault="0025315F" w:rsidP="00841B2B">
      <w:pPr>
        <w:spacing w:before="40" w:after="40" w:line="480" w:lineRule="auto"/>
        <w:ind w:left="4032"/>
        <w:jc w:val="both"/>
        <w:rPr>
          <w:rFonts w:ascii="Arial" w:eastAsia="Times New Roman" w:hAnsi="Arial" w:cs="Arial"/>
          <w:sz w:val="24"/>
          <w:szCs w:val="24"/>
          <w:lang w:eastAsia="es-ES"/>
        </w:rPr>
      </w:pPr>
    </w:p>
    <w:p w:rsidR="0025315F" w:rsidRDefault="0025315F" w:rsidP="0025315F">
      <w:pPr>
        <w:pStyle w:val="ListParagraph"/>
        <w:numPr>
          <w:ilvl w:val="4"/>
          <w:numId w:val="16"/>
        </w:numPr>
        <w:spacing w:line="480" w:lineRule="auto"/>
        <w:rPr>
          <w:rFonts w:ascii="Arial" w:hAnsi="Arial" w:cs="Arial"/>
          <w:b/>
          <w:sz w:val="24"/>
          <w:szCs w:val="24"/>
        </w:rPr>
      </w:pPr>
      <w:r w:rsidRPr="0093603B">
        <w:rPr>
          <w:rFonts w:ascii="Arial" w:hAnsi="Arial" w:cs="Arial"/>
          <w:b/>
          <w:sz w:val="24"/>
          <w:szCs w:val="24"/>
        </w:rPr>
        <w:t>Antena Isotrópica  del SMR 3000</w:t>
      </w:r>
    </w:p>
    <w:p w:rsidR="0025315F" w:rsidRPr="005412B4" w:rsidRDefault="0025315F" w:rsidP="0025315F">
      <w:pPr>
        <w:pStyle w:val="ListParagraph"/>
        <w:spacing w:line="480" w:lineRule="auto"/>
        <w:ind w:left="3064"/>
        <w:rPr>
          <w:rFonts w:ascii="Arial" w:hAnsi="Arial" w:cs="Arial"/>
          <w:b/>
          <w:sz w:val="24"/>
          <w:szCs w:val="24"/>
        </w:rPr>
      </w:pPr>
    </w:p>
    <w:p w:rsidR="0025315F" w:rsidRPr="0093603B" w:rsidRDefault="0025315F" w:rsidP="0025315F">
      <w:pPr>
        <w:pStyle w:val="ListParagraph"/>
        <w:spacing w:line="480" w:lineRule="auto"/>
        <w:ind w:left="3064"/>
        <w:jc w:val="center"/>
        <w:rPr>
          <w:rStyle w:val="apple-style-span"/>
          <w:rFonts w:ascii="Arial" w:hAnsi="Arial" w:cs="Arial"/>
          <w:color w:val="000000"/>
          <w:sz w:val="24"/>
          <w:szCs w:val="24"/>
        </w:rPr>
      </w:pPr>
      <w:r>
        <w:rPr>
          <w:rFonts w:ascii="Arial" w:hAnsi="Arial" w:cs="Arial"/>
          <w:noProof/>
          <w:color w:val="000000"/>
          <w:sz w:val="24"/>
          <w:szCs w:val="24"/>
          <w:lang w:eastAsia="es-ES"/>
        </w:rPr>
        <w:drawing>
          <wp:inline distT="0" distB="0" distL="0" distR="0">
            <wp:extent cx="2197100" cy="1719580"/>
            <wp:effectExtent l="19050" t="0" r="0" b="0"/>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cstate="print"/>
                    <a:srcRect/>
                    <a:stretch>
                      <a:fillRect/>
                    </a:stretch>
                  </pic:blipFill>
                  <pic:spPr bwMode="auto">
                    <a:xfrm>
                      <a:off x="0" y="0"/>
                      <a:ext cx="2197100" cy="1719580"/>
                    </a:xfrm>
                    <a:prstGeom prst="rect">
                      <a:avLst/>
                    </a:prstGeom>
                    <a:noFill/>
                    <a:ln w="9525">
                      <a:noFill/>
                      <a:miter lim="800000"/>
                      <a:headEnd/>
                      <a:tailEnd/>
                    </a:ln>
                  </pic:spPr>
                </pic:pic>
              </a:graphicData>
            </a:graphic>
          </wp:inline>
        </w:drawing>
      </w:r>
    </w:p>
    <w:p w:rsidR="0025315F" w:rsidRPr="0093603B" w:rsidRDefault="0025315F" w:rsidP="0025315F">
      <w:pPr>
        <w:pStyle w:val="ListParagraph"/>
        <w:spacing w:line="480" w:lineRule="auto"/>
        <w:ind w:left="3064"/>
        <w:jc w:val="center"/>
        <w:rPr>
          <w:rFonts w:ascii="Arial" w:hAnsi="Arial" w:cs="Arial"/>
          <w:b/>
          <w:color w:val="000000"/>
          <w:sz w:val="24"/>
          <w:szCs w:val="24"/>
          <w:shd w:val="clear" w:color="auto" w:fill="FFFFFF"/>
        </w:rPr>
      </w:pPr>
      <w:r>
        <w:rPr>
          <w:rFonts w:ascii="Arial" w:eastAsia="Times New Roman" w:hAnsi="Arial" w:cs="Arial"/>
          <w:b/>
          <w:sz w:val="24"/>
          <w:szCs w:val="24"/>
          <w:lang w:eastAsia="es-ES"/>
        </w:rPr>
        <w:t>Figura 3.5</w:t>
      </w:r>
      <w:r w:rsidRPr="0093603B">
        <w:rPr>
          <w:rFonts w:ascii="Arial" w:eastAsia="Times New Roman" w:hAnsi="Arial" w:cs="Arial"/>
          <w:b/>
          <w:sz w:val="24"/>
          <w:szCs w:val="24"/>
          <w:lang w:eastAsia="es-ES"/>
        </w:rPr>
        <w:t xml:space="preserve"> </w:t>
      </w:r>
      <w:r w:rsidRPr="0093603B">
        <w:rPr>
          <w:rStyle w:val="apple-style-span"/>
          <w:rFonts w:ascii="Arial" w:hAnsi="Arial" w:cs="Arial"/>
          <w:b/>
          <w:color w:val="000000"/>
          <w:sz w:val="24"/>
          <w:szCs w:val="24"/>
        </w:rPr>
        <w:t>Antena Triaxial del SRM 3000, con cable adaptador RF</w:t>
      </w:r>
      <w:r w:rsidRPr="0093603B">
        <w:rPr>
          <w:rStyle w:val="apple-style-span"/>
          <w:rFonts w:ascii="Arial" w:hAnsi="Arial" w:cs="Arial"/>
          <w:b/>
          <w:color w:val="000000"/>
          <w:sz w:val="24"/>
          <w:szCs w:val="24"/>
          <w:shd w:val="clear" w:color="auto" w:fill="FFFFFF"/>
        </w:rPr>
        <w:t>.</w:t>
      </w:r>
      <w:r w:rsidRPr="0093603B">
        <w:rPr>
          <w:rStyle w:val="FootnoteReference"/>
          <w:rFonts w:ascii="Arial" w:hAnsi="Arial" w:cs="Arial"/>
          <w:b/>
          <w:sz w:val="24"/>
          <w:szCs w:val="24"/>
        </w:rPr>
        <w:footnoteReference w:id="36"/>
      </w:r>
    </w:p>
    <w:p w:rsidR="0025315F" w:rsidRPr="0093603B" w:rsidRDefault="0025315F" w:rsidP="0025315F">
      <w:pPr>
        <w:pStyle w:val="ListParagraph"/>
        <w:spacing w:line="480" w:lineRule="auto"/>
        <w:ind w:left="3064"/>
        <w:rPr>
          <w:rStyle w:val="apple-style-span"/>
          <w:rFonts w:ascii="Arial" w:hAnsi="Arial" w:cs="Arial"/>
          <w:color w:val="000000"/>
          <w:sz w:val="24"/>
          <w:szCs w:val="24"/>
        </w:rPr>
      </w:pPr>
    </w:p>
    <w:p w:rsidR="0025315F" w:rsidRDefault="0025315F" w:rsidP="0025315F">
      <w:pPr>
        <w:pStyle w:val="ListParagraph"/>
        <w:spacing w:line="480" w:lineRule="auto"/>
        <w:ind w:left="3064"/>
        <w:jc w:val="both"/>
        <w:rPr>
          <w:rStyle w:val="apple-style-span"/>
          <w:rFonts w:ascii="Arial" w:hAnsi="Arial" w:cs="Arial"/>
          <w:color w:val="000000"/>
          <w:sz w:val="24"/>
          <w:szCs w:val="24"/>
        </w:rPr>
      </w:pPr>
      <w:r w:rsidRPr="0093603B">
        <w:rPr>
          <w:rStyle w:val="apple-style-span"/>
          <w:rFonts w:ascii="Arial" w:hAnsi="Arial" w:cs="Arial"/>
          <w:color w:val="000000"/>
          <w:sz w:val="24"/>
          <w:szCs w:val="24"/>
        </w:rPr>
        <w:lastRenderedPageBreak/>
        <w:t>La antena tres ejes se incluye con el SRM-3000.</w:t>
      </w:r>
      <w:r w:rsidRPr="0093603B">
        <w:rPr>
          <w:rStyle w:val="apple-converted-space"/>
          <w:rFonts w:ascii="Arial" w:hAnsi="Arial" w:cs="Arial"/>
          <w:color w:val="000000"/>
          <w:sz w:val="24"/>
          <w:szCs w:val="24"/>
        </w:rPr>
        <w:t> </w:t>
      </w:r>
      <w:r w:rsidRPr="0093603B">
        <w:rPr>
          <w:rStyle w:val="apple-style-span"/>
          <w:rFonts w:ascii="Arial" w:hAnsi="Arial" w:cs="Arial"/>
          <w:color w:val="000000"/>
          <w:sz w:val="24"/>
          <w:szCs w:val="24"/>
        </w:rPr>
        <w:t>Esta antena cubre el rango de frecuencias de 75 MHz a 3 GHz. Se determina automáticamente los tres componentes espaciales del campo que se está midiendo, medidas para isótropos son rápidos y fáciles de realizar.</w:t>
      </w:r>
      <w:r w:rsidRPr="0093603B">
        <w:rPr>
          <w:rStyle w:val="apple-converted-space"/>
          <w:rFonts w:ascii="Arial" w:hAnsi="Arial" w:cs="Arial"/>
          <w:color w:val="000000"/>
          <w:sz w:val="24"/>
          <w:szCs w:val="24"/>
        </w:rPr>
        <w:t> </w:t>
      </w:r>
      <w:r w:rsidRPr="0093603B">
        <w:rPr>
          <w:rStyle w:val="apple-style-span"/>
          <w:rFonts w:ascii="Arial" w:hAnsi="Arial" w:cs="Arial"/>
          <w:color w:val="000000"/>
          <w:sz w:val="24"/>
          <w:szCs w:val="24"/>
        </w:rPr>
        <w:t>Está diseñada para uso en exteriores y para realizar mediciones en lugares de difícil acceso.</w:t>
      </w:r>
      <w:r w:rsidRPr="0093603B">
        <w:rPr>
          <w:rFonts w:ascii="Arial" w:hAnsi="Arial" w:cs="Arial"/>
          <w:color w:val="000000"/>
          <w:sz w:val="24"/>
          <w:szCs w:val="24"/>
        </w:rPr>
        <w:br/>
      </w:r>
      <w:r w:rsidRPr="0093603B">
        <w:rPr>
          <w:rStyle w:val="apple-style-span"/>
          <w:rFonts w:ascii="Arial" w:hAnsi="Arial" w:cs="Arial"/>
          <w:color w:val="000000"/>
          <w:sz w:val="24"/>
          <w:szCs w:val="24"/>
        </w:rPr>
        <w:t>Cada antena de Narda está equipada con un cable de control, así como la conexión RF.</w:t>
      </w:r>
      <w:r w:rsidRPr="0093603B">
        <w:rPr>
          <w:rStyle w:val="apple-converted-space"/>
          <w:rFonts w:ascii="Arial" w:hAnsi="Arial" w:cs="Arial"/>
          <w:color w:val="000000"/>
          <w:sz w:val="24"/>
          <w:szCs w:val="24"/>
        </w:rPr>
        <w:t> </w:t>
      </w:r>
      <w:r w:rsidRPr="0093603B">
        <w:rPr>
          <w:rStyle w:val="apple-style-span"/>
          <w:rFonts w:ascii="Arial" w:hAnsi="Arial" w:cs="Arial"/>
          <w:color w:val="000000"/>
          <w:sz w:val="24"/>
          <w:szCs w:val="24"/>
        </w:rPr>
        <w:t>El cable de control está conectado al instrumento de base mediante un conector de clavijas múltiples, y se utiliza para transmitir los parámetros de la antena (tipo, número de serie, fecha de calibración, la lista de factores de antena) para que estos puedan ser reconocidos por la SRM.</w:t>
      </w:r>
    </w:p>
    <w:p w:rsidR="0025315F" w:rsidRPr="0093603B" w:rsidRDefault="0025315F" w:rsidP="0025315F">
      <w:pPr>
        <w:pStyle w:val="ListParagraph"/>
        <w:spacing w:line="480" w:lineRule="auto"/>
        <w:ind w:left="3064"/>
        <w:jc w:val="both"/>
        <w:rPr>
          <w:rFonts w:ascii="Arial" w:hAnsi="Arial" w:cs="Arial"/>
          <w:color w:val="000000"/>
          <w:sz w:val="24"/>
          <w:szCs w:val="24"/>
        </w:rPr>
      </w:pPr>
    </w:p>
    <w:p w:rsidR="0025315F" w:rsidRPr="0093603B" w:rsidRDefault="0025315F" w:rsidP="0025315F">
      <w:pPr>
        <w:pStyle w:val="ListParagraph"/>
        <w:spacing w:line="480" w:lineRule="auto"/>
        <w:ind w:left="3064"/>
        <w:rPr>
          <w:rFonts w:ascii="Arial" w:hAnsi="Arial" w:cs="Arial"/>
          <w:color w:val="000000"/>
          <w:sz w:val="24"/>
          <w:szCs w:val="24"/>
        </w:rPr>
      </w:pPr>
      <w:r w:rsidRPr="0093603B">
        <w:rPr>
          <w:rFonts w:ascii="Arial" w:hAnsi="Arial" w:cs="Arial"/>
          <w:color w:val="000000"/>
          <w:sz w:val="24"/>
          <w:szCs w:val="24"/>
        </w:rPr>
        <w:t xml:space="preserve">Entre sus principales características tenemos: </w:t>
      </w:r>
    </w:p>
    <w:p w:rsidR="0025315F" w:rsidRPr="0093603B" w:rsidRDefault="0025315F" w:rsidP="0025315F">
      <w:pPr>
        <w:pStyle w:val="ListParagraph"/>
        <w:spacing w:line="480" w:lineRule="auto"/>
        <w:ind w:left="3064"/>
        <w:rPr>
          <w:rFonts w:ascii="Arial" w:hAnsi="Arial" w:cs="Arial"/>
          <w:color w:val="000000"/>
          <w:sz w:val="24"/>
          <w:szCs w:val="24"/>
        </w:rPr>
      </w:pPr>
    </w:p>
    <w:p w:rsidR="0025315F" w:rsidRPr="0093603B" w:rsidRDefault="0025315F" w:rsidP="0025315F">
      <w:pPr>
        <w:pStyle w:val="ListParagraph"/>
        <w:numPr>
          <w:ilvl w:val="4"/>
          <w:numId w:val="26"/>
        </w:numPr>
        <w:spacing w:line="480" w:lineRule="auto"/>
        <w:jc w:val="both"/>
        <w:rPr>
          <w:rStyle w:val="apple-style-span"/>
          <w:rFonts w:ascii="Arial" w:hAnsi="Arial" w:cs="Arial"/>
          <w:b/>
          <w:sz w:val="24"/>
          <w:szCs w:val="24"/>
        </w:rPr>
      </w:pPr>
      <w:r w:rsidRPr="0093603B">
        <w:rPr>
          <w:rStyle w:val="apple-style-span"/>
          <w:rFonts w:ascii="Arial" w:hAnsi="Arial" w:cs="Arial"/>
          <w:color w:val="000000"/>
          <w:sz w:val="24"/>
          <w:szCs w:val="24"/>
          <w:shd w:val="clear" w:color="auto" w:fill="FFFFFF"/>
        </w:rPr>
        <w:lastRenderedPageBreak/>
        <w:t>Rango de frecuencia, 75 MHz a 3 GHz - Los factores de corrección individualmente determinado durante la calibración se almacenan en una memoria EEPROM y se aplican automáticamente cuando se utiliza junto con</w:t>
      </w:r>
      <w:r>
        <w:rPr>
          <w:rStyle w:val="apple-style-span"/>
          <w:rFonts w:ascii="Arial" w:hAnsi="Arial" w:cs="Arial"/>
          <w:color w:val="000000"/>
          <w:sz w:val="24"/>
          <w:szCs w:val="24"/>
          <w:shd w:val="clear" w:color="auto" w:fill="FFFFFF"/>
        </w:rPr>
        <w:t xml:space="preserve"> </w:t>
      </w:r>
      <w:r w:rsidRPr="0093603B">
        <w:rPr>
          <w:rStyle w:val="apple-style-span"/>
          <w:rFonts w:ascii="Arial" w:hAnsi="Arial" w:cs="Arial"/>
          <w:color w:val="000000"/>
          <w:sz w:val="24"/>
          <w:szCs w:val="24"/>
        </w:rPr>
        <w:t>la unidad básica de SRM.</w:t>
      </w:r>
    </w:p>
    <w:p w:rsidR="0025315F" w:rsidRPr="0093603B" w:rsidRDefault="0025315F" w:rsidP="0025315F">
      <w:pPr>
        <w:pStyle w:val="ListParagraph"/>
        <w:numPr>
          <w:ilvl w:val="4"/>
          <w:numId w:val="26"/>
        </w:numPr>
        <w:spacing w:line="480" w:lineRule="auto"/>
        <w:jc w:val="both"/>
        <w:rPr>
          <w:rFonts w:ascii="Arial" w:hAnsi="Arial" w:cs="Arial"/>
          <w:b/>
          <w:sz w:val="24"/>
          <w:szCs w:val="24"/>
        </w:rPr>
      </w:pPr>
      <w:r w:rsidRPr="0093603B">
        <w:rPr>
          <w:rStyle w:val="apple-style-span"/>
          <w:rFonts w:ascii="Arial" w:hAnsi="Arial" w:cs="Arial"/>
          <w:color w:val="000000"/>
          <w:sz w:val="24"/>
          <w:szCs w:val="24"/>
        </w:rPr>
        <w:t>Antena tipo, campo eléctrico</w:t>
      </w:r>
    </w:p>
    <w:p w:rsidR="0025315F" w:rsidRPr="0093603B" w:rsidRDefault="0025315F" w:rsidP="0025315F">
      <w:pPr>
        <w:pStyle w:val="ListParagraph"/>
        <w:numPr>
          <w:ilvl w:val="4"/>
          <w:numId w:val="26"/>
        </w:numPr>
        <w:spacing w:line="480" w:lineRule="auto"/>
        <w:jc w:val="both"/>
        <w:rPr>
          <w:rStyle w:val="apple-style-span"/>
          <w:rFonts w:ascii="Arial" w:hAnsi="Arial" w:cs="Arial"/>
          <w:b/>
          <w:sz w:val="24"/>
          <w:szCs w:val="24"/>
        </w:rPr>
      </w:pPr>
      <w:r w:rsidRPr="0093603B">
        <w:rPr>
          <w:rStyle w:val="apple-style-span"/>
          <w:rFonts w:ascii="Arial" w:hAnsi="Arial" w:cs="Arial"/>
          <w:color w:val="000000"/>
          <w:sz w:val="24"/>
          <w:szCs w:val="24"/>
          <w:shd w:val="clear" w:color="auto" w:fill="FFFFFF"/>
        </w:rPr>
        <w:t xml:space="preserve">Tipo de sensor, </w:t>
      </w:r>
      <w:r w:rsidRPr="0093603B">
        <w:rPr>
          <w:rStyle w:val="apple-style-span"/>
          <w:rFonts w:ascii="Arial" w:hAnsi="Arial" w:cs="Arial"/>
          <w:color w:val="000000"/>
          <w:sz w:val="24"/>
          <w:szCs w:val="24"/>
        </w:rPr>
        <w:t>tres ejes arreglo de antenas dipolo con hachas escaneada</w:t>
      </w:r>
    </w:p>
    <w:p w:rsidR="0025315F" w:rsidRPr="0093603B" w:rsidRDefault="0025315F" w:rsidP="0025315F">
      <w:pPr>
        <w:pStyle w:val="ListParagraph"/>
        <w:numPr>
          <w:ilvl w:val="4"/>
          <w:numId w:val="26"/>
        </w:numPr>
        <w:spacing w:line="480" w:lineRule="auto"/>
        <w:jc w:val="both"/>
        <w:rPr>
          <w:rStyle w:val="apple-style-span"/>
          <w:rFonts w:ascii="Arial" w:hAnsi="Arial" w:cs="Arial"/>
          <w:b/>
          <w:sz w:val="24"/>
          <w:szCs w:val="24"/>
        </w:rPr>
      </w:pPr>
      <w:r w:rsidRPr="0093603B">
        <w:rPr>
          <w:rStyle w:val="apple-style-span"/>
          <w:rFonts w:ascii="Arial" w:hAnsi="Arial" w:cs="Arial"/>
          <w:color w:val="000000"/>
          <w:sz w:val="24"/>
          <w:szCs w:val="24"/>
          <w:shd w:val="clear" w:color="auto" w:fill="FFFFFF"/>
        </w:rPr>
        <w:t xml:space="preserve">Rango dinámico, </w:t>
      </w:r>
      <w:r w:rsidRPr="0093603B">
        <w:rPr>
          <w:rStyle w:val="apple-style-span"/>
          <w:rFonts w:ascii="Arial" w:hAnsi="Arial" w:cs="Arial"/>
          <w:color w:val="000000"/>
          <w:sz w:val="24"/>
          <w:szCs w:val="24"/>
        </w:rPr>
        <w:t xml:space="preserve">0,25 mV / m </w:t>
      </w:r>
      <w:r>
        <w:rPr>
          <w:rStyle w:val="apple-style-span"/>
          <w:rFonts w:ascii="Arial" w:hAnsi="Arial" w:cs="Arial"/>
          <w:color w:val="000000"/>
          <w:sz w:val="24"/>
          <w:szCs w:val="24"/>
        </w:rPr>
        <w:t>a</w:t>
      </w:r>
      <w:r w:rsidRPr="0093603B">
        <w:rPr>
          <w:rStyle w:val="apple-style-span"/>
          <w:rFonts w:ascii="Arial" w:hAnsi="Arial" w:cs="Arial"/>
          <w:color w:val="000000"/>
          <w:sz w:val="24"/>
          <w:szCs w:val="24"/>
        </w:rPr>
        <w:t xml:space="preserve"> 200 V / m</w:t>
      </w:r>
    </w:p>
    <w:p w:rsidR="0025315F" w:rsidRPr="0093603B" w:rsidRDefault="0025315F" w:rsidP="0025315F">
      <w:pPr>
        <w:pStyle w:val="ListParagraph"/>
        <w:numPr>
          <w:ilvl w:val="4"/>
          <w:numId w:val="26"/>
        </w:numPr>
        <w:spacing w:line="480" w:lineRule="auto"/>
        <w:jc w:val="both"/>
        <w:rPr>
          <w:rStyle w:val="apple-style-span"/>
          <w:rFonts w:ascii="Arial" w:hAnsi="Arial" w:cs="Arial"/>
          <w:b/>
          <w:sz w:val="24"/>
          <w:szCs w:val="24"/>
        </w:rPr>
      </w:pPr>
      <w:r w:rsidRPr="0093603B">
        <w:rPr>
          <w:rStyle w:val="apple-style-span"/>
          <w:rFonts w:ascii="Arial" w:hAnsi="Arial" w:cs="Arial"/>
          <w:color w:val="000000"/>
          <w:sz w:val="24"/>
          <w:szCs w:val="24"/>
        </w:rPr>
        <w:t>Destrucción límite, señal de 435 V / m ó 50 mW/cm2</w:t>
      </w:r>
    </w:p>
    <w:p w:rsidR="0025315F" w:rsidRPr="0093603B" w:rsidRDefault="0025315F" w:rsidP="0025315F">
      <w:pPr>
        <w:pStyle w:val="ListParagraph"/>
        <w:numPr>
          <w:ilvl w:val="4"/>
          <w:numId w:val="26"/>
        </w:numPr>
        <w:spacing w:line="480" w:lineRule="auto"/>
        <w:rPr>
          <w:rStyle w:val="apple-style-span"/>
          <w:rFonts w:ascii="Arial" w:hAnsi="Arial" w:cs="Arial"/>
          <w:b/>
          <w:sz w:val="24"/>
          <w:szCs w:val="24"/>
        </w:rPr>
      </w:pPr>
      <w:r w:rsidRPr="0093603B">
        <w:rPr>
          <w:rStyle w:val="apple-style-span"/>
          <w:rFonts w:ascii="Arial" w:hAnsi="Arial" w:cs="Arial"/>
          <w:color w:val="000000"/>
          <w:sz w:val="24"/>
          <w:szCs w:val="24"/>
          <w:shd w:val="clear" w:color="auto" w:fill="FFFFFF"/>
        </w:rPr>
        <w:t>Conector de RF</w:t>
      </w:r>
    </w:p>
    <w:p w:rsidR="0025315F" w:rsidRPr="005412B4" w:rsidRDefault="0025315F" w:rsidP="0025315F">
      <w:pPr>
        <w:pStyle w:val="ListParagraph"/>
        <w:numPr>
          <w:ilvl w:val="4"/>
          <w:numId w:val="26"/>
        </w:numPr>
        <w:spacing w:line="480" w:lineRule="auto"/>
        <w:rPr>
          <w:rStyle w:val="apple-style-span"/>
          <w:rFonts w:ascii="Arial" w:hAnsi="Arial" w:cs="Arial"/>
          <w:b/>
          <w:sz w:val="24"/>
          <w:szCs w:val="24"/>
        </w:rPr>
      </w:pPr>
      <w:r w:rsidRPr="0093603B">
        <w:rPr>
          <w:rStyle w:val="apple-style-span"/>
          <w:rFonts w:ascii="Arial" w:hAnsi="Arial" w:cs="Arial"/>
          <w:color w:val="000000"/>
          <w:sz w:val="24"/>
          <w:szCs w:val="24"/>
        </w:rPr>
        <w:t>Conector N, 50 Ω</w:t>
      </w:r>
    </w:p>
    <w:p w:rsidR="0025315F" w:rsidRPr="0093603B" w:rsidRDefault="0025315F" w:rsidP="0025315F">
      <w:pPr>
        <w:pStyle w:val="ListParagraph"/>
        <w:spacing w:line="480" w:lineRule="auto"/>
        <w:ind w:left="3600"/>
        <w:rPr>
          <w:rFonts w:ascii="Arial" w:hAnsi="Arial" w:cs="Arial"/>
          <w:b/>
          <w:sz w:val="24"/>
          <w:szCs w:val="24"/>
        </w:rPr>
      </w:pPr>
    </w:p>
    <w:p w:rsidR="0025315F" w:rsidRPr="0093603B" w:rsidRDefault="0025315F" w:rsidP="0025315F">
      <w:pPr>
        <w:pStyle w:val="ListParagraph"/>
        <w:numPr>
          <w:ilvl w:val="3"/>
          <w:numId w:val="16"/>
        </w:numPr>
        <w:tabs>
          <w:tab w:val="left" w:pos="1560"/>
        </w:tabs>
        <w:spacing w:line="480" w:lineRule="auto"/>
        <w:ind w:left="2835" w:hanging="1134"/>
        <w:jc w:val="both"/>
        <w:rPr>
          <w:rFonts w:ascii="Arial" w:hAnsi="Arial" w:cs="Arial"/>
          <w:b/>
          <w:sz w:val="24"/>
          <w:szCs w:val="24"/>
        </w:rPr>
      </w:pPr>
      <w:r w:rsidRPr="0093603B">
        <w:rPr>
          <w:rFonts w:ascii="Arial" w:hAnsi="Arial" w:cs="Arial"/>
          <w:b/>
          <w:sz w:val="24"/>
          <w:szCs w:val="24"/>
        </w:rPr>
        <w:t>Configuración de los Equipos para Instrumentación de Medición 1</w:t>
      </w:r>
    </w:p>
    <w:p w:rsidR="0025315F" w:rsidRPr="0093603B" w:rsidRDefault="0025315F" w:rsidP="0025315F">
      <w:pPr>
        <w:pStyle w:val="ListParagraph"/>
        <w:tabs>
          <w:tab w:val="left" w:pos="1560"/>
        </w:tabs>
        <w:spacing w:line="480" w:lineRule="auto"/>
        <w:ind w:left="2835"/>
        <w:jc w:val="both"/>
        <w:rPr>
          <w:rFonts w:ascii="Arial" w:hAnsi="Arial" w:cs="Arial"/>
          <w:b/>
          <w:sz w:val="24"/>
          <w:szCs w:val="24"/>
        </w:rPr>
      </w:pP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r w:rsidRPr="0093603B">
        <w:rPr>
          <w:rFonts w:ascii="Arial" w:hAnsi="Arial" w:cs="Arial"/>
          <w:sz w:val="24"/>
          <w:szCs w:val="24"/>
        </w:rPr>
        <w:t>Para la configuración de los equipos para el procedimiento de instrumentación de medición 2, se debe los siguientes pasos:</w:t>
      </w: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466465" cy="2333625"/>
            <wp:effectExtent l="19050" t="0" r="635" b="0"/>
            <wp:docPr id="200" name="Picture 9" descr="C:\Users\WALKIR\Pictures\NARD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LKIR\Pictures\NARDA 1.jpg"/>
                    <pic:cNvPicPr>
                      <a:picLocks noChangeAspect="1" noChangeArrowheads="1"/>
                    </pic:cNvPicPr>
                  </pic:nvPicPr>
                  <pic:blipFill>
                    <a:blip r:embed="rId146" cstate="print"/>
                    <a:srcRect/>
                    <a:stretch>
                      <a:fillRect/>
                    </a:stretch>
                  </pic:blipFill>
                  <pic:spPr bwMode="auto">
                    <a:xfrm>
                      <a:off x="0" y="0"/>
                      <a:ext cx="3466465" cy="2333625"/>
                    </a:xfrm>
                    <a:prstGeom prst="rect">
                      <a:avLst/>
                    </a:prstGeom>
                    <a:noFill/>
                    <a:ln w="9525">
                      <a:noFill/>
                      <a:miter lim="800000"/>
                      <a:headEnd/>
                      <a:tailEnd/>
                    </a:ln>
                  </pic:spPr>
                </pic:pic>
              </a:graphicData>
            </a:graphic>
          </wp:inline>
        </w:drawing>
      </w:r>
    </w:p>
    <w:p w:rsidR="0025315F" w:rsidRPr="0093603B" w:rsidRDefault="0025315F" w:rsidP="0025315F">
      <w:pPr>
        <w:pStyle w:val="ListParagraph"/>
        <w:tabs>
          <w:tab w:val="left" w:pos="1560"/>
        </w:tabs>
        <w:spacing w:line="480" w:lineRule="auto"/>
        <w:ind w:left="2832" w:firstLine="3"/>
        <w:jc w:val="center"/>
        <w:rPr>
          <w:rFonts w:ascii="Arial" w:hAnsi="Arial" w:cs="Arial"/>
          <w:sz w:val="24"/>
          <w:szCs w:val="24"/>
        </w:rPr>
      </w:pPr>
      <w:r>
        <w:rPr>
          <w:rFonts w:ascii="Arial" w:eastAsia="Times New Roman" w:hAnsi="Arial" w:cs="Arial"/>
          <w:b/>
          <w:sz w:val="24"/>
          <w:szCs w:val="24"/>
          <w:lang w:eastAsia="es-ES"/>
        </w:rPr>
        <w:t>Figura 3.6</w:t>
      </w:r>
      <w:r w:rsidRPr="0093603B">
        <w:rPr>
          <w:rFonts w:ascii="Arial" w:eastAsia="Times New Roman" w:hAnsi="Arial" w:cs="Arial"/>
          <w:b/>
          <w:sz w:val="24"/>
          <w:szCs w:val="24"/>
          <w:lang w:eastAsia="es-ES"/>
        </w:rPr>
        <w:t xml:space="preserve"> </w:t>
      </w:r>
      <w:r w:rsidRPr="0093603B">
        <w:rPr>
          <w:rFonts w:ascii="Arial" w:hAnsi="Arial" w:cs="Arial"/>
          <w:b/>
          <w:sz w:val="24"/>
          <w:szCs w:val="24"/>
        </w:rPr>
        <w:t>Imagen de la pantalla principal en modo Spectrum Analyzer, Narda SRM 3000</w:t>
      </w:r>
      <w:r w:rsidRPr="0093603B">
        <w:rPr>
          <w:rStyle w:val="apple-style-span"/>
          <w:rFonts w:ascii="Arial" w:hAnsi="Arial" w:cs="Arial"/>
          <w:b/>
          <w:color w:val="000000"/>
          <w:sz w:val="24"/>
          <w:szCs w:val="24"/>
          <w:shd w:val="clear" w:color="auto" w:fill="FFFFFF"/>
        </w:rPr>
        <w:t>.</w:t>
      </w:r>
      <w:r w:rsidRPr="0093603B">
        <w:rPr>
          <w:rStyle w:val="FootnoteReference"/>
          <w:rFonts w:ascii="Arial" w:hAnsi="Arial" w:cs="Arial"/>
          <w:b/>
          <w:sz w:val="24"/>
          <w:szCs w:val="24"/>
        </w:rPr>
        <w:footnoteReference w:id="37"/>
      </w: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r w:rsidRPr="0093603B">
        <w:rPr>
          <w:rFonts w:ascii="Arial" w:hAnsi="Arial" w:cs="Arial"/>
          <w:sz w:val="24"/>
          <w:szCs w:val="24"/>
        </w:rPr>
        <w:t>Para la configuración de los equipos para el procedimiento de instrumentación de medición 1, se debe los siguientes pasos:</w:t>
      </w:r>
    </w:p>
    <w:p w:rsidR="0025315F" w:rsidRPr="0093603B" w:rsidRDefault="0025315F" w:rsidP="0025315F">
      <w:pPr>
        <w:pStyle w:val="ListParagraph"/>
        <w:tabs>
          <w:tab w:val="left" w:pos="1560"/>
        </w:tabs>
        <w:spacing w:line="480" w:lineRule="auto"/>
        <w:ind w:left="2832" w:firstLine="3"/>
        <w:jc w:val="both"/>
        <w:rPr>
          <w:rFonts w:ascii="Arial" w:hAnsi="Arial" w:cs="Arial"/>
          <w:sz w:val="24"/>
          <w:szCs w:val="24"/>
        </w:rPr>
      </w:pP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Adaptar antena al equipo Narda SMR3000</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Encender el equipo(on/off)</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Seleccionar el modo (Analizador de espectro)</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Configurar frecuencia mínima.</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Configurar frecuencia máxima.</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lastRenderedPageBreak/>
        <w:t>Escoger RBW o resolución de Ancho de Banda (depende del rango de frecuencia a analizar).</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Elegir el tipo de Resultado( Max Average)</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Setear el nivel más bajo presionando Measurement Range</w:t>
      </w:r>
    </w:p>
    <w:p w:rsidR="0025315F" w:rsidRPr="0093603B" w:rsidRDefault="0025315F" w:rsidP="0025315F">
      <w:pPr>
        <w:pStyle w:val="ListParagraph"/>
        <w:numPr>
          <w:ilvl w:val="0"/>
          <w:numId w:val="19"/>
        </w:numPr>
        <w:tabs>
          <w:tab w:val="left" w:pos="1560"/>
        </w:tabs>
        <w:spacing w:line="480" w:lineRule="auto"/>
        <w:ind w:left="3119" w:hanging="284"/>
        <w:jc w:val="both"/>
        <w:rPr>
          <w:rFonts w:ascii="Arial" w:hAnsi="Arial" w:cs="Arial"/>
          <w:sz w:val="24"/>
          <w:szCs w:val="24"/>
        </w:rPr>
      </w:pPr>
      <w:r w:rsidRPr="0093603B">
        <w:rPr>
          <w:rFonts w:ascii="Arial" w:hAnsi="Arial" w:cs="Arial"/>
          <w:sz w:val="24"/>
          <w:szCs w:val="24"/>
        </w:rPr>
        <w:t>Configurar las unidades de medición (en este caso seleccionamos V/m).</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Esperar un tiempo predeterminado para las mediciones fijándose en la la opción No. of Runs en la pantalla del equipo Narda.</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Hacemos click en Save y anotamos el nombre asignado al archico de la medición.</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Ingresar al menú de memoria y entrar al presentadro Viewer.</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Escoger el archivo de la medición y presionar botón de Ent.</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Presionar botón Eval y seleccionar opción de integración sobre banda de frecuencia.</w:t>
      </w:r>
    </w:p>
    <w:p w:rsidR="0025315F" w:rsidRPr="0093603B" w:rsidRDefault="0025315F" w:rsidP="0025315F">
      <w:pPr>
        <w:pStyle w:val="ListParagraph"/>
        <w:numPr>
          <w:ilvl w:val="0"/>
          <w:numId w:val="19"/>
        </w:numPr>
        <w:tabs>
          <w:tab w:val="left" w:pos="1560"/>
        </w:tabs>
        <w:spacing w:line="480" w:lineRule="auto"/>
        <w:jc w:val="both"/>
        <w:rPr>
          <w:rFonts w:ascii="Arial" w:hAnsi="Arial" w:cs="Arial"/>
          <w:sz w:val="24"/>
          <w:szCs w:val="24"/>
        </w:rPr>
      </w:pPr>
      <w:r w:rsidRPr="0093603B">
        <w:rPr>
          <w:rFonts w:ascii="Arial" w:hAnsi="Arial" w:cs="Arial"/>
          <w:sz w:val="24"/>
          <w:szCs w:val="24"/>
        </w:rPr>
        <w:t xml:space="preserve">El resultado, en este caso, de la medición esta en la opción de Value. </w:t>
      </w:r>
    </w:p>
    <w:p w:rsidR="0025315F" w:rsidRPr="0093603B" w:rsidRDefault="0025315F" w:rsidP="0025315F">
      <w:pPr>
        <w:pStyle w:val="ListParagraph"/>
        <w:tabs>
          <w:tab w:val="left" w:pos="1560"/>
        </w:tabs>
        <w:spacing w:line="480" w:lineRule="auto"/>
        <w:ind w:left="3119"/>
        <w:jc w:val="both"/>
        <w:rPr>
          <w:rFonts w:ascii="Arial" w:hAnsi="Arial" w:cs="Arial"/>
          <w:sz w:val="24"/>
          <w:szCs w:val="24"/>
        </w:rPr>
      </w:pPr>
    </w:p>
    <w:p w:rsidR="0025315F" w:rsidRDefault="0025315F" w:rsidP="0025315F">
      <w:pPr>
        <w:pStyle w:val="ListParagraph"/>
        <w:tabs>
          <w:tab w:val="left" w:pos="1560"/>
        </w:tabs>
        <w:spacing w:line="480" w:lineRule="auto"/>
        <w:ind w:left="2268"/>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562350" cy="2388235"/>
            <wp:effectExtent l="19050" t="0" r="0" b="0"/>
            <wp:docPr id="1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cstate="print"/>
                    <a:srcRect/>
                    <a:stretch>
                      <a:fillRect/>
                    </a:stretch>
                  </pic:blipFill>
                  <pic:spPr bwMode="auto">
                    <a:xfrm>
                      <a:off x="0" y="0"/>
                      <a:ext cx="3562350" cy="2388235"/>
                    </a:xfrm>
                    <a:prstGeom prst="rect">
                      <a:avLst/>
                    </a:prstGeom>
                    <a:noFill/>
                    <a:ln w="9525">
                      <a:noFill/>
                      <a:miter lim="800000"/>
                      <a:headEnd/>
                      <a:tailEnd/>
                    </a:ln>
                  </pic:spPr>
                </pic:pic>
              </a:graphicData>
            </a:graphic>
          </wp:inline>
        </w:drawing>
      </w:r>
    </w:p>
    <w:p w:rsidR="0025315F" w:rsidRPr="0093603B" w:rsidRDefault="0025315F" w:rsidP="0025315F">
      <w:pPr>
        <w:pStyle w:val="ListParagraph"/>
        <w:tabs>
          <w:tab w:val="left" w:pos="1560"/>
        </w:tabs>
        <w:spacing w:line="480" w:lineRule="auto"/>
        <w:ind w:left="3119"/>
        <w:jc w:val="center"/>
        <w:rPr>
          <w:rFonts w:ascii="Arial" w:hAnsi="Arial" w:cs="Arial"/>
          <w:b/>
          <w:sz w:val="24"/>
          <w:szCs w:val="24"/>
        </w:rPr>
      </w:pPr>
    </w:p>
    <w:p w:rsidR="0025315F" w:rsidRPr="0093603B" w:rsidRDefault="0025315F" w:rsidP="0025315F">
      <w:pPr>
        <w:pStyle w:val="ListParagraph"/>
        <w:tabs>
          <w:tab w:val="left" w:pos="1560"/>
        </w:tabs>
        <w:spacing w:line="480" w:lineRule="auto"/>
        <w:ind w:left="2832" w:firstLine="3"/>
        <w:jc w:val="center"/>
        <w:rPr>
          <w:rFonts w:ascii="Arial" w:eastAsia="Times New Roman" w:hAnsi="Arial" w:cs="Arial"/>
          <w:b/>
          <w:sz w:val="24"/>
          <w:szCs w:val="24"/>
          <w:lang w:eastAsia="es-ES"/>
        </w:rPr>
      </w:pPr>
      <w:r>
        <w:rPr>
          <w:rFonts w:ascii="Arial" w:eastAsia="Times New Roman" w:hAnsi="Arial" w:cs="Arial"/>
          <w:b/>
          <w:sz w:val="24"/>
          <w:szCs w:val="24"/>
          <w:lang w:eastAsia="es-ES"/>
        </w:rPr>
        <w:t>Figura 3.7</w:t>
      </w:r>
      <w:r w:rsidRPr="0093603B">
        <w:rPr>
          <w:rFonts w:ascii="Arial" w:eastAsia="Times New Roman" w:hAnsi="Arial" w:cs="Arial"/>
          <w:b/>
          <w:sz w:val="24"/>
          <w:szCs w:val="24"/>
          <w:lang w:eastAsia="es-ES"/>
        </w:rPr>
        <w:t xml:space="preserve"> </w:t>
      </w:r>
      <w:r w:rsidRPr="0093603B">
        <w:rPr>
          <w:rFonts w:ascii="Arial" w:hAnsi="Arial" w:cs="Arial"/>
          <w:b/>
          <w:sz w:val="24"/>
          <w:szCs w:val="24"/>
        </w:rPr>
        <w:t>Imagen de la pantalla Narda SRM 3000 luego de aplicar los pasos de la medición</w:t>
      </w:r>
      <w:r w:rsidRPr="0093603B">
        <w:rPr>
          <w:rStyle w:val="apple-style-span"/>
          <w:rFonts w:ascii="Arial" w:hAnsi="Arial" w:cs="Arial"/>
          <w:b/>
          <w:color w:val="000000"/>
          <w:sz w:val="24"/>
          <w:szCs w:val="24"/>
          <w:shd w:val="clear" w:color="auto" w:fill="FFFFFF"/>
        </w:rPr>
        <w:t>.</w:t>
      </w:r>
      <w:r w:rsidRPr="0093603B">
        <w:rPr>
          <w:rStyle w:val="FootnoteReference"/>
          <w:rFonts w:ascii="Arial" w:hAnsi="Arial" w:cs="Arial"/>
          <w:b/>
          <w:sz w:val="24"/>
          <w:szCs w:val="24"/>
        </w:rPr>
        <w:footnoteReference w:id="38"/>
      </w:r>
    </w:p>
    <w:p w:rsidR="0025315F" w:rsidRPr="0093603B" w:rsidRDefault="0025315F" w:rsidP="0025315F">
      <w:pPr>
        <w:pStyle w:val="ListParagraph"/>
        <w:tabs>
          <w:tab w:val="left" w:pos="1560"/>
        </w:tabs>
        <w:spacing w:line="480" w:lineRule="auto"/>
        <w:ind w:left="3119"/>
        <w:jc w:val="both"/>
        <w:rPr>
          <w:rFonts w:ascii="Arial" w:hAnsi="Arial" w:cs="Arial"/>
          <w:sz w:val="24"/>
          <w:szCs w:val="24"/>
        </w:rPr>
      </w:pPr>
    </w:p>
    <w:p w:rsidR="0025315F" w:rsidRPr="0093603B" w:rsidRDefault="0025315F" w:rsidP="0025315F">
      <w:pPr>
        <w:pStyle w:val="ListParagraph"/>
        <w:numPr>
          <w:ilvl w:val="2"/>
          <w:numId w:val="16"/>
        </w:numPr>
        <w:spacing w:line="480" w:lineRule="auto"/>
        <w:rPr>
          <w:rFonts w:ascii="Arial" w:hAnsi="Arial" w:cs="Arial"/>
          <w:sz w:val="24"/>
          <w:szCs w:val="24"/>
        </w:rPr>
      </w:pPr>
      <w:r w:rsidRPr="0093603B">
        <w:rPr>
          <w:rFonts w:ascii="Arial" w:hAnsi="Arial" w:cs="Arial"/>
          <w:b/>
          <w:sz w:val="24"/>
          <w:szCs w:val="24"/>
        </w:rPr>
        <w:t>Instrumentación de Medición 2</w:t>
      </w:r>
    </w:p>
    <w:p w:rsidR="0025315F" w:rsidRPr="0093603B" w:rsidRDefault="0025315F" w:rsidP="0025315F">
      <w:pPr>
        <w:pStyle w:val="ListParagraph"/>
        <w:spacing w:line="480" w:lineRule="auto"/>
        <w:ind w:left="1854"/>
        <w:rPr>
          <w:rFonts w:ascii="Arial" w:hAnsi="Arial" w:cs="Arial"/>
          <w:b/>
          <w:sz w:val="24"/>
          <w:szCs w:val="24"/>
        </w:rPr>
      </w:pPr>
    </w:p>
    <w:p w:rsidR="0025315F" w:rsidRPr="0093603B" w:rsidRDefault="0025315F" w:rsidP="00EF4C0A">
      <w:pPr>
        <w:pStyle w:val="ListParagraph"/>
        <w:spacing w:line="480" w:lineRule="auto"/>
        <w:ind w:left="1854"/>
        <w:jc w:val="both"/>
        <w:rPr>
          <w:rFonts w:ascii="Arial" w:hAnsi="Arial" w:cs="Arial"/>
          <w:sz w:val="24"/>
          <w:szCs w:val="24"/>
        </w:rPr>
      </w:pPr>
      <w:r w:rsidRPr="0093603B">
        <w:rPr>
          <w:rFonts w:ascii="Arial" w:hAnsi="Arial" w:cs="Arial"/>
          <w:sz w:val="24"/>
          <w:szCs w:val="24"/>
        </w:rPr>
        <w:t>Este tipo de instrumentación es una clara muestra a la metodología de medición descrita en la norma CENELEC EN 50383, ya utiliza una antena isotrópica capaz de rotar mediante un interfaz con la computadora y un equipo de medición como es el analizar de espectro.</w:t>
      </w:r>
    </w:p>
    <w:p w:rsidR="0025315F" w:rsidRPr="0093603B" w:rsidRDefault="0025315F" w:rsidP="0025315F">
      <w:pPr>
        <w:pStyle w:val="ListParagraph"/>
        <w:spacing w:after="0" w:line="480" w:lineRule="auto"/>
        <w:ind w:left="1211"/>
        <w:jc w:val="both"/>
        <w:rPr>
          <w:rFonts w:ascii="Arial" w:hAnsi="Arial" w:cs="Arial"/>
          <w:sz w:val="24"/>
          <w:szCs w:val="24"/>
        </w:rPr>
      </w:pPr>
    </w:p>
    <w:p w:rsidR="0025315F" w:rsidRPr="0093603B" w:rsidRDefault="0025315F" w:rsidP="0025315F">
      <w:pPr>
        <w:pStyle w:val="ListParagraph"/>
        <w:spacing w:after="0" w:line="480" w:lineRule="auto"/>
        <w:ind w:left="1211"/>
        <w:rPr>
          <w:rFonts w:ascii="Arial" w:hAnsi="Arial" w:cs="Arial"/>
          <w:sz w:val="24"/>
          <w:szCs w:val="24"/>
        </w:rPr>
      </w:pPr>
    </w:p>
    <w:p w:rsidR="0025315F" w:rsidRPr="0093603B" w:rsidRDefault="0025315F" w:rsidP="0025315F">
      <w:pPr>
        <w:spacing w:after="0" w:line="480" w:lineRule="auto"/>
        <w:ind w:left="851"/>
        <w:jc w:val="right"/>
        <w:rPr>
          <w:rFonts w:ascii="Arial" w:hAnsi="Arial" w:cs="Arial"/>
          <w:sz w:val="24"/>
          <w:szCs w:val="24"/>
        </w:rPr>
      </w:pPr>
      <w:r>
        <w:rPr>
          <w:rFonts w:ascii="Arial" w:hAnsi="Arial" w:cs="Arial"/>
          <w:noProof/>
          <w:sz w:val="24"/>
          <w:szCs w:val="24"/>
          <w:lang w:eastAsia="es-ES"/>
        </w:rPr>
        <w:drawing>
          <wp:inline distT="0" distB="0" distL="0" distR="0">
            <wp:extent cx="3957955" cy="1583055"/>
            <wp:effectExtent l="19050" t="0" r="4445" b="0"/>
            <wp:docPr id="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srcRect/>
                    <a:stretch>
                      <a:fillRect/>
                    </a:stretch>
                  </pic:blipFill>
                  <pic:spPr bwMode="auto">
                    <a:xfrm>
                      <a:off x="0" y="0"/>
                      <a:ext cx="3957955" cy="1583055"/>
                    </a:xfrm>
                    <a:prstGeom prst="rect">
                      <a:avLst/>
                    </a:prstGeom>
                    <a:noFill/>
                    <a:ln w="9525">
                      <a:noFill/>
                      <a:miter lim="800000"/>
                      <a:headEnd/>
                      <a:tailEnd/>
                    </a:ln>
                  </pic:spPr>
                </pic:pic>
              </a:graphicData>
            </a:graphic>
          </wp:inline>
        </w:drawing>
      </w:r>
    </w:p>
    <w:p w:rsidR="0025315F" w:rsidRDefault="0025315F" w:rsidP="0025315F">
      <w:pPr>
        <w:spacing w:after="0" w:line="480" w:lineRule="auto"/>
        <w:ind w:left="2124"/>
        <w:jc w:val="center"/>
        <w:rPr>
          <w:rFonts w:ascii="Arial" w:hAnsi="Arial" w:cs="Arial"/>
          <w:sz w:val="24"/>
          <w:szCs w:val="24"/>
        </w:rPr>
      </w:pPr>
    </w:p>
    <w:p w:rsidR="0025315F" w:rsidRPr="0093603B" w:rsidRDefault="0025315F" w:rsidP="0025315F">
      <w:pPr>
        <w:pStyle w:val="ListParagraph"/>
        <w:spacing w:line="480" w:lineRule="auto"/>
        <w:ind w:left="1843"/>
        <w:jc w:val="center"/>
        <w:rPr>
          <w:rFonts w:ascii="Arial" w:hAnsi="Arial" w:cs="Arial"/>
          <w:b/>
          <w:sz w:val="24"/>
          <w:szCs w:val="24"/>
        </w:rPr>
      </w:pPr>
      <w:r>
        <w:rPr>
          <w:rFonts w:ascii="Arial" w:eastAsia="Times New Roman" w:hAnsi="Arial" w:cs="Arial"/>
          <w:b/>
          <w:sz w:val="24"/>
          <w:szCs w:val="24"/>
          <w:lang w:eastAsia="es-ES"/>
        </w:rPr>
        <w:t>Figura 3.8</w:t>
      </w:r>
      <w:r w:rsidRPr="0093603B">
        <w:rPr>
          <w:rFonts w:ascii="Arial" w:eastAsia="Times New Roman" w:hAnsi="Arial" w:cs="Arial"/>
          <w:b/>
          <w:sz w:val="24"/>
          <w:szCs w:val="24"/>
          <w:lang w:eastAsia="es-ES"/>
        </w:rPr>
        <w:t xml:space="preserve"> </w:t>
      </w:r>
      <w:r w:rsidRPr="00774086">
        <w:rPr>
          <w:rFonts w:ascii="Arial" w:hAnsi="Arial" w:cs="Arial"/>
          <w:b/>
          <w:sz w:val="24"/>
          <w:szCs w:val="24"/>
        </w:rPr>
        <w:t>Representación le instrumentación de medición 2.</w:t>
      </w:r>
      <w:r w:rsidRPr="00774086">
        <w:rPr>
          <w:rStyle w:val="FootnoteReference"/>
          <w:rFonts w:ascii="Arial" w:hAnsi="Arial" w:cs="Arial"/>
          <w:b/>
          <w:sz w:val="24"/>
          <w:szCs w:val="24"/>
        </w:rPr>
        <w:footnoteReference w:id="39"/>
      </w:r>
    </w:p>
    <w:p w:rsidR="0025315F" w:rsidRDefault="0025315F" w:rsidP="0025315F">
      <w:pPr>
        <w:pStyle w:val="ListParagraph"/>
        <w:spacing w:line="480" w:lineRule="auto"/>
        <w:ind w:left="2639"/>
        <w:rPr>
          <w:rFonts w:ascii="Arial" w:hAnsi="Arial" w:cs="Arial"/>
          <w:b/>
          <w:sz w:val="24"/>
          <w:szCs w:val="24"/>
        </w:rPr>
      </w:pPr>
    </w:p>
    <w:p w:rsidR="0025315F" w:rsidRPr="0093603B" w:rsidRDefault="0025315F" w:rsidP="0025315F">
      <w:pPr>
        <w:pStyle w:val="ListParagraph"/>
        <w:spacing w:line="480" w:lineRule="auto"/>
        <w:ind w:left="2639"/>
        <w:rPr>
          <w:rFonts w:ascii="Arial" w:hAnsi="Arial" w:cs="Arial"/>
          <w:b/>
          <w:sz w:val="24"/>
          <w:szCs w:val="24"/>
        </w:rPr>
      </w:pPr>
    </w:p>
    <w:p w:rsidR="0025315F" w:rsidRPr="0093603B" w:rsidRDefault="0025315F" w:rsidP="0025315F">
      <w:pPr>
        <w:pStyle w:val="ListParagraph"/>
        <w:spacing w:after="0" w:line="480" w:lineRule="auto"/>
        <w:ind w:left="1147" w:firstLine="696"/>
        <w:rPr>
          <w:rFonts w:ascii="Arial" w:hAnsi="Arial" w:cs="Arial"/>
          <w:b/>
          <w:sz w:val="24"/>
          <w:szCs w:val="24"/>
        </w:rPr>
      </w:pPr>
      <w:r w:rsidRPr="0093603B">
        <w:rPr>
          <w:rFonts w:ascii="Arial" w:hAnsi="Arial" w:cs="Arial"/>
          <w:sz w:val="24"/>
          <w:szCs w:val="24"/>
        </w:rPr>
        <w:t>Instrumentación de Medición 2</w:t>
      </w:r>
    </w:p>
    <w:p w:rsidR="0025315F" w:rsidRPr="0093603B" w:rsidRDefault="0025315F" w:rsidP="0025315F">
      <w:pPr>
        <w:pStyle w:val="ListParagraph"/>
        <w:numPr>
          <w:ilvl w:val="0"/>
          <w:numId w:val="25"/>
        </w:numPr>
        <w:spacing w:after="0" w:line="480" w:lineRule="auto"/>
        <w:ind w:left="2268" w:hanging="425"/>
        <w:rPr>
          <w:rFonts w:ascii="Arial" w:hAnsi="Arial" w:cs="Arial"/>
          <w:sz w:val="24"/>
          <w:szCs w:val="24"/>
        </w:rPr>
      </w:pPr>
      <w:r w:rsidRPr="0093603B">
        <w:rPr>
          <w:rFonts w:ascii="Arial" w:hAnsi="Arial" w:cs="Arial"/>
          <w:sz w:val="24"/>
          <w:szCs w:val="24"/>
        </w:rPr>
        <w:t xml:space="preserve">Narda SMR 3000, </w:t>
      </w:r>
    </w:p>
    <w:p w:rsidR="0025315F" w:rsidRPr="0093603B" w:rsidRDefault="0025315F" w:rsidP="0025315F">
      <w:pPr>
        <w:pStyle w:val="ListParagraph"/>
        <w:numPr>
          <w:ilvl w:val="0"/>
          <w:numId w:val="25"/>
        </w:numPr>
        <w:spacing w:after="0" w:line="480" w:lineRule="auto"/>
        <w:ind w:left="2268" w:hanging="425"/>
        <w:jc w:val="both"/>
        <w:rPr>
          <w:rFonts w:ascii="Arial" w:hAnsi="Arial" w:cs="Arial"/>
          <w:sz w:val="24"/>
          <w:szCs w:val="24"/>
        </w:rPr>
      </w:pPr>
      <w:r w:rsidRPr="0093603B">
        <w:rPr>
          <w:rFonts w:ascii="Arial" w:hAnsi="Arial" w:cs="Arial"/>
          <w:sz w:val="24"/>
          <w:szCs w:val="24"/>
        </w:rPr>
        <w:t>Antena Cónica Dipolo, Modelo PCD 8250, Marca Field Nose, rango de 80MHz a 2,5GHz, con base que rota.</w:t>
      </w:r>
    </w:p>
    <w:p w:rsidR="0025315F" w:rsidRPr="0093603B" w:rsidRDefault="0025315F" w:rsidP="0025315F">
      <w:pPr>
        <w:pStyle w:val="ListParagraph"/>
        <w:numPr>
          <w:ilvl w:val="0"/>
          <w:numId w:val="25"/>
        </w:numPr>
        <w:spacing w:after="0" w:line="480" w:lineRule="auto"/>
        <w:ind w:left="2268" w:hanging="425"/>
        <w:jc w:val="both"/>
        <w:rPr>
          <w:rFonts w:ascii="Arial" w:hAnsi="Arial" w:cs="Arial"/>
          <w:sz w:val="24"/>
          <w:szCs w:val="24"/>
        </w:rPr>
      </w:pPr>
      <w:r w:rsidRPr="0093603B">
        <w:rPr>
          <w:rFonts w:ascii="Arial" w:hAnsi="Arial" w:cs="Arial"/>
          <w:sz w:val="24"/>
          <w:szCs w:val="24"/>
        </w:rPr>
        <w:t>Software Nose Pro.</w:t>
      </w:r>
    </w:p>
    <w:p w:rsidR="0025315F" w:rsidRPr="0093603B" w:rsidRDefault="0025315F" w:rsidP="0025315F">
      <w:pPr>
        <w:pStyle w:val="ListParagraph"/>
        <w:spacing w:line="480" w:lineRule="auto"/>
        <w:ind w:left="1854"/>
        <w:rPr>
          <w:rFonts w:ascii="Arial" w:hAnsi="Arial" w:cs="Arial"/>
          <w:b/>
          <w:sz w:val="24"/>
          <w:szCs w:val="24"/>
        </w:rPr>
      </w:pPr>
    </w:p>
    <w:p w:rsidR="0025315F" w:rsidRDefault="0025315F" w:rsidP="0025315F">
      <w:pPr>
        <w:pStyle w:val="ListParagraph"/>
        <w:spacing w:line="480" w:lineRule="auto"/>
        <w:ind w:left="1854"/>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3111500" cy="2197100"/>
            <wp:effectExtent l="19050" t="0" r="0" b="0"/>
            <wp:docPr id="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9" cstate="print"/>
                    <a:srcRect/>
                    <a:stretch>
                      <a:fillRect/>
                    </a:stretch>
                  </pic:blipFill>
                  <pic:spPr bwMode="auto">
                    <a:xfrm>
                      <a:off x="0" y="0"/>
                      <a:ext cx="3111500" cy="2197100"/>
                    </a:xfrm>
                    <a:prstGeom prst="rect">
                      <a:avLst/>
                    </a:prstGeom>
                    <a:noFill/>
                    <a:ln w="9525">
                      <a:noFill/>
                      <a:miter lim="800000"/>
                      <a:headEnd/>
                      <a:tailEnd/>
                    </a:ln>
                  </pic:spPr>
                </pic:pic>
              </a:graphicData>
            </a:graphic>
          </wp:inline>
        </w:drawing>
      </w:r>
    </w:p>
    <w:p w:rsidR="0025315F" w:rsidRDefault="0025315F" w:rsidP="0025315F">
      <w:pPr>
        <w:pStyle w:val="ListParagraph"/>
        <w:spacing w:line="480" w:lineRule="auto"/>
        <w:ind w:left="1854"/>
        <w:jc w:val="center"/>
        <w:rPr>
          <w:rFonts w:ascii="Arial" w:hAnsi="Arial" w:cs="Arial"/>
          <w:b/>
          <w:sz w:val="24"/>
          <w:szCs w:val="24"/>
        </w:rPr>
      </w:pPr>
    </w:p>
    <w:p w:rsidR="0025315F" w:rsidRPr="0093603B" w:rsidRDefault="0025315F" w:rsidP="0025315F">
      <w:pPr>
        <w:pStyle w:val="ListParagraph"/>
        <w:spacing w:line="480" w:lineRule="auto"/>
        <w:ind w:left="1843"/>
        <w:jc w:val="center"/>
        <w:rPr>
          <w:rFonts w:ascii="Arial" w:hAnsi="Arial" w:cs="Arial"/>
          <w:b/>
          <w:sz w:val="24"/>
          <w:szCs w:val="24"/>
        </w:rPr>
      </w:pPr>
      <w:r>
        <w:rPr>
          <w:rFonts w:ascii="Arial" w:eastAsia="Times New Roman" w:hAnsi="Arial" w:cs="Arial"/>
          <w:b/>
          <w:sz w:val="24"/>
          <w:szCs w:val="24"/>
          <w:lang w:eastAsia="es-ES"/>
        </w:rPr>
        <w:t>Figura 3.9</w:t>
      </w:r>
      <w:r w:rsidRPr="0093603B">
        <w:rPr>
          <w:rFonts w:ascii="Arial" w:eastAsia="Times New Roman" w:hAnsi="Arial" w:cs="Arial"/>
          <w:b/>
          <w:sz w:val="24"/>
          <w:szCs w:val="24"/>
          <w:lang w:eastAsia="es-ES"/>
        </w:rPr>
        <w:t xml:space="preserve"> </w:t>
      </w:r>
      <w:r w:rsidRPr="0093603B">
        <w:rPr>
          <w:rFonts w:ascii="Arial" w:hAnsi="Arial" w:cs="Arial"/>
          <w:b/>
          <w:sz w:val="24"/>
          <w:szCs w:val="24"/>
        </w:rPr>
        <w:t xml:space="preserve">Representación de los quipos utilizados en la instrumentación de medición 2. </w:t>
      </w:r>
      <w:r w:rsidRPr="0093603B">
        <w:rPr>
          <w:rStyle w:val="FootnoteReference"/>
          <w:rFonts w:ascii="Arial" w:hAnsi="Arial" w:cs="Arial"/>
          <w:b/>
          <w:sz w:val="24"/>
          <w:szCs w:val="24"/>
        </w:rPr>
        <w:footnoteReference w:id="40"/>
      </w:r>
    </w:p>
    <w:p w:rsidR="0025315F" w:rsidRDefault="0025315F" w:rsidP="0025315F">
      <w:pPr>
        <w:pStyle w:val="ListParagraph"/>
        <w:spacing w:line="480" w:lineRule="auto"/>
        <w:ind w:left="1854"/>
        <w:jc w:val="center"/>
        <w:rPr>
          <w:rFonts w:ascii="Arial" w:hAnsi="Arial" w:cs="Arial"/>
          <w:b/>
          <w:sz w:val="24"/>
          <w:szCs w:val="24"/>
        </w:rPr>
      </w:pPr>
    </w:p>
    <w:p w:rsidR="0025315F" w:rsidRPr="0093603B" w:rsidRDefault="0025315F" w:rsidP="0025315F">
      <w:pPr>
        <w:pStyle w:val="ListParagraph"/>
        <w:numPr>
          <w:ilvl w:val="3"/>
          <w:numId w:val="16"/>
        </w:numPr>
        <w:spacing w:line="480" w:lineRule="auto"/>
        <w:rPr>
          <w:rFonts w:ascii="Arial" w:hAnsi="Arial" w:cs="Arial"/>
          <w:sz w:val="24"/>
          <w:szCs w:val="24"/>
        </w:rPr>
      </w:pPr>
      <w:r w:rsidRPr="0093603B">
        <w:rPr>
          <w:rFonts w:ascii="Arial" w:hAnsi="Arial" w:cs="Arial"/>
          <w:b/>
          <w:sz w:val="24"/>
          <w:szCs w:val="24"/>
        </w:rPr>
        <w:t>Equipos</w:t>
      </w:r>
    </w:p>
    <w:p w:rsidR="0025315F" w:rsidRPr="0093603B" w:rsidRDefault="0025315F" w:rsidP="0025315F">
      <w:pPr>
        <w:pStyle w:val="ListParagraph"/>
        <w:spacing w:line="480" w:lineRule="auto"/>
        <w:ind w:left="2639"/>
        <w:rPr>
          <w:rFonts w:ascii="Arial" w:hAnsi="Arial" w:cs="Arial"/>
          <w:sz w:val="24"/>
          <w:szCs w:val="24"/>
        </w:rPr>
      </w:pPr>
    </w:p>
    <w:p w:rsidR="0025315F" w:rsidRPr="0093603B" w:rsidRDefault="0025315F" w:rsidP="0025315F">
      <w:pPr>
        <w:pStyle w:val="ListParagraph"/>
        <w:numPr>
          <w:ilvl w:val="4"/>
          <w:numId w:val="16"/>
        </w:numPr>
        <w:tabs>
          <w:tab w:val="left" w:pos="1985"/>
        </w:tabs>
        <w:spacing w:line="480" w:lineRule="auto"/>
        <w:rPr>
          <w:rFonts w:ascii="Arial" w:hAnsi="Arial" w:cs="Arial"/>
          <w:b/>
          <w:sz w:val="24"/>
          <w:szCs w:val="24"/>
        </w:rPr>
      </w:pPr>
      <w:r w:rsidRPr="0093603B">
        <w:rPr>
          <w:rFonts w:ascii="Arial" w:hAnsi="Arial" w:cs="Arial"/>
          <w:b/>
          <w:sz w:val="24"/>
          <w:szCs w:val="24"/>
        </w:rPr>
        <w:t>Equipo Medidor Selectivo de Radiación SMR 3000</w:t>
      </w:r>
    </w:p>
    <w:p w:rsidR="0025315F" w:rsidRPr="0093603B" w:rsidRDefault="0025315F" w:rsidP="0025315F">
      <w:pPr>
        <w:pStyle w:val="ListParagraph"/>
        <w:tabs>
          <w:tab w:val="left" w:pos="1985"/>
        </w:tabs>
        <w:spacing w:line="480" w:lineRule="auto"/>
        <w:ind w:left="3064"/>
        <w:rPr>
          <w:rFonts w:ascii="Arial" w:hAnsi="Arial" w:cs="Arial"/>
          <w:b/>
          <w:sz w:val="24"/>
          <w:szCs w:val="24"/>
        </w:rPr>
      </w:pPr>
    </w:p>
    <w:p w:rsidR="0025315F" w:rsidRPr="0093603B" w:rsidRDefault="0025315F" w:rsidP="0025315F">
      <w:pPr>
        <w:pStyle w:val="ListParagraph"/>
        <w:tabs>
          <w:tab w:val="left" w:pos="1985"/>
        </w:tabs>
        <w:spacing w:line="480" w:lineRule="auto"/>
        <w:ind w:left="3064"/>
        <w:jc w:val="both"/>
        <w:rPr>
          <w:rFonts w:ascii="Arial" w:hAnsi="Arial" w:cs="Arial"/>
          <w:sz w:val="24"/>
          <w:szCs w:val="24"/>
        </w:rPr>
      </w:pPr>
      <w:r w:rsidRPr="0093603B">
        <w:rPr>
          <w:rFonts w:ascii="Arial" w:hAnsi="Arial" w:cs="Arial"/>
          <w:sz w:val="24"/>
          <w:szCs w:val="24"/>
        </w:rPr>
        <w:t>Las características del equipo se especifican en la parte 3.2.1.1.1 de este documento.</w:t>
      </w:r>
    </w:p>
    <w:p w:rsidR="0025315F" w:rsidRPr="0093603B" w:rsidRDefault="0025315F" w:rsidP="0025315F">
      <w:pPr>
        <w:pStyle w:val="ListParagraph"/>
        <w:tabs>
          <w:tab w:val="left" w:pos="1985"/>
        </w:tabs>
        <w:spacing w:line="480" w:lineRule="auto"/>
        <w:ind w:left="3064"/>
        <w:jc w:val="both"/>
        <w:rPr>
          <w:rFonts w:ascii="Arial" w:hAnsi="Arial" w:cs="Arial"/>
          <w:sz w:val="24"/>
          <w:szCs w:val="24"/>
        </w:rPr>
      </w:pPr>
    </w:p>
    <w:p w:rsidR="0025315F" w:rsidRPr="0093603B" w:rsidRDefault="0025315F" w:rsidP="0025315F">
      <w:pPr>
        <w:pStyle w:val="ListParagraph"/>
        <w:spacing w:line="480" w:lineRule="auto"/>
        <w:ind w:left="3064"/>
        <w:jc w:val="both"/>
        <w:rPr>
          <w:rStyle w:val="apple-style-span"/>
          <w:rFonts w:ascii="Arial" w:hAnsi="Arial" w:cs="Arial"/>
          <w:color w:val="000000"/>
          <w:sz w:val="24"/>
          <w:szCs w:val="24"/>
        </w:rPr>
      </w:pPr>
      <w:r w:rsidRPr="0093603B">
        <w:rPr>
          <w:rFonts w:ascii="Arial" w:hAnsi="Arial" w:cs="Arial"/>
          <w:sz w:val="24"/>
          <w:szCs w:val="24"/>
        </w:rPr>
        <w:t xml:space="preserve">La diferencia radica en que para esta forma de instrumentación se utiliza el Narda SRM 3000 en </w:t>
      </w:r>
      <w:r w:rsidRPr="0093603B">
        <w:rPr>
          <w:rFonts w:ascii="Arial" w:hAnsi="Arial" w:cs="Arial"/>
          <w:sz w:val="24"/>
          <w:szCs w:val="24"/>
        </w:rPr>
        <w:lastRenderedPageBreak/>
        <w:t xml:space="preserve">modo remoto, ya que se usa su puerto serial para la interface con el computador,  y además se usa su capacidad de adaptabilidad de otras antenas </w:t>
      </w:r>
      <w:r w:rsidRPr="0093603B">
        <w:rPr>
          <w:rStyle w:val="apple-style-span"/>
          <w:rFonts w:ascii="Arial" w:hAnsi="Arial" w:cs="Arial"/>
          <w:color w:val="000000"/>
          <w:sz w:val="24"/>
          <w:szCs w:val="24"/>
        </w:rPr>
        <w:t>para medir la intensidad de campo.</w:t>
      </w:r>
    </w:p>
    <w:p w:rsidR="0025315F" w:rsidRPr="0093603B" w:rsidRDefault="0025315F" w:rsidP="0025315F">
      <w:pPr>
        <w:pStyle w:val="ListParagraph"/>
        <w:tabs>
          <w:tab w:val="left" w:pos="1985"/>
        </w:tabs>
        <w:spacing w:line="480" w:lineRule="auto"/>
        <w:ind w:left="3064"/>
        <w:rPr>
          <w:rFonts w:ascii="Arial" w:hAnsi="Arial" w:cs="Arial"/>
          <w:b/>
          <w:sz w:val="24"/>
          <w:szCs w:val="24"/>
        </w:rPr>
      </w:pPr>
      <w:r w:rsidRPr="0093603B">
        <w:rPr>
          <w:rFonts w:ascii="Arial" w:hAnsi="Arial" w:cs="Arial"/>
          <w:sz w:val="24"/>
          <w:szCs w:val="24"/>
        </w:rPr>
        <w:t xml:space="preserve"> </w:t>
      </w:r>
    </w:p>
    <w:p w:rsidR="0025315F" w:rsidRPr="0093603B" w:rsidRDefault="0025315F" w:rsidP="0025315F">
      <w:pPr>
        <w:pStyle w:val="ListParagraph"/>
        <w:numPr>
          <w:ilvl w:val="4"/>
          <w:numId w:val="16"/>
        </w:numPr>
        <w:spacing w:line="480" w:lineRule="auto"/>
        <w:rPr>
          <w:rFonts w:ascii="Arial" w:hAnsi="Arial" w:cs="Arial"/>
          <w:b/>
          <w:sz w:val="24"/>
          <w:szCs w:val="24"/>
        </w:rPr>
      </w:pPr>
      <w:r w:rsidRPr="0093603B">
        <w:rPr>
          <w:rFonts w:ascii="Arial" w:hAnsi="Arial" w:cs="Arial"/>
          <w:b/>
          <w:sz w:val="24"/>
          <w:szCs w:val="24"/>
        </w:rPr>
        <w:t>Antena Cónica Dipolo PCD 8250 Fie</w:t>
      </w:r>
      <w:r>
        <w:rPr>
          <w:rFonts w:ascii="Arial" w:hAnsi="Arial" w:cs="Arial"/>
          <w:b/>
          <w:sz w:val="24"/>
          <w:szCs w:val="24"/>
        </w:rPr>
        <w:t>l</w:t>
      </w:r>
      <w:r w:rsidRPr="0093603B">
        <w:rPr>
          <w:rFonts w:ascii="Arial" w:hAnsi="Arial" w:cs="Arial"/>
          <w:b/>
          <w:sz w:val="24"/>
          <w:szCs w:val="24"/>
        </w:rPr>
        <w:t>d Nose</w:t>
      </w:r>
    </w:p>
    <w:p w:rsidR="0025315F" w:rsidRPr="0093603B" w:rsidRDefault="0025315F" w:rsidP="0025315F">
      <w:pPr>
        <w:pStyle w:val="ListParagraph"/>
        <w:spacing w:line="480" w:lineRule="auto"/>
        <w:ind w:left="3064"/>
        <w:rPr>
          <w:rFonts w:ascii="Arial" w:hAnsi="Arial" w:cs="Arial"/>
          <w:sz w:val="24"/>
          <w:szCs w:val="24"/>
        </w:rPr>
      </w:pPr>
    </w:p>
    <w:p w:rsidR="0025315F" w:rsidRPr="0093603B" w:rsidRDefault="0025315F" w:rsidP="0025315F">
      <w:pPr>
        <w:spacing w:after="75" w:line="480" w:lineRule="auto"/>
        <w:ind w:left="3064"/>
        <w:jc w:val="both"/>
        <w:rPr>
          <w:rFonts w:ascii="Arial" w:eastAsia="Times New Roman" w:hAnsi="Arial" w:cs="Arial"/>
          <w:color w:val="000000"/>
          <w:sz w:val="24"/>
          <w:szCs w:val="24"/>
          <w:lang w:eastAsia="es-ES"/>
        </w:rPr>
      </w:pPr>
      <w:r w:rsidRPr="0093603B">
        <w:rPr>
          <w:rFonts w:ascii="Arial" w:eastAsia="Times New Roman" w:hAnsi="Arial" w:cs="Arial"/>
          <w:color w:val="000000"/>
          <w:sz w:val="24"/>
          <w:szCs w:val="24"/>
          <w:lang w:eastAsia="es-ES"/>
        </w:rPr>
        <w:t xml:space="preserve">Es una antena diseñada con un patrón de radiación excelente dipolo-cónico y robustez </w:t>
      </w:r>
      <w:r w:rsidRPr="0093603B">
        <w:rPr>
          <w:rFonts w:ascii="Arial" w:hAnsi="Arial" w:cs="Arial"/>
          <w:sz w:val="24"/>
          <w:szCs w:val="24"/>
        </w:rPr>
        <w:t>para el uso diario en el trabajo de campo. Vienen con un acreditación de calibración individual en el espacio libre. Tiene gran exactitud  en mediciones de radiación RF de seguridad por ejemplo, cerca de los estaciones de difusión o en los edificios; y también en todo tipo de mediciones de intensidad de campo donde se requiere alta precisión, una amplia gama de frecuencias y las pequeñas dimensiones</w:t>
      </w:r>
      <w:r w:rsidRPr="0093603B">
        <w:rPr>
          <w:rStyle w:val="apple-style-span"/>
          <w:rFonts w:ascii="Arial" w:hAnsi="Arial" w:cs="Arial"/>
          <w:color w:val="000000"/>
          <w:sz w:val="24"/>
          <w:szCs w:val="24"/>
          <w:shd w:val="clear" w:color="auto" w:fill="FFFFFF"/>
        </w:rPr>
        <w:t xml:space="preserve"> de la antena</w:t>
      </w:r>
    </w:p>
    <w:p w:rsidR="0025315F" w:rsidRPr="0093603B" w:rsidRDefault="0025315F" w:rsidP="0025315F">
      <w:pPr>
        <w:spacing w:after="75" w:line="480" w:lineRule="auto"/>
        <w:ind w:left="3064"/>
        <w:jc w:val="both"/>
        <w:rPr>
          <w:rFonts w:ascii="Arial" w:eastAsia="Times New Roman" w:hAnsi="Arial" w:cs="Arial"/>
          <w:color w:val="000000"/>
          <w:sz w:val="24"/>
          <w:szCs w:val="24"/>
          <w:lang w:eastAsia="es-ES"/>
        </w:rPr>
      </w:pPr>
      <w:r w:rsidRPr="0093603B">
        <w:rPr>
          <w:rFonts w:ascii="Arial" w:eastAsia="Times New Roman" w:hAnsi="Arial" w:cs="Arial"/>
          <w:color w:val="000000"/>
          <w:sz w:val="24"/>
          <w:szCs w:val="24"/>
          <w:lang w:eastAsia="es-ES"/>
        </w:rPr>
        <w:t xml:space="preserve"> </w:t>
      </w:r>
      <w:r w:rsidRPr="0093603B">
        <w:rPr>
          <w:rFonts w:ascii="Arial" w:eastAsia="Times New Roman" w:hAnsi="Arial" w:cs="Arial"/>
          <w:color w:val="000000"/>
          <w:sz w:val="24"/>
          <w:szCs w:val="24"/>
          <w:shd w:val="clear" w:color="auto" w:fill="FFFFFF"/>
          <w:lang w:eastAsia="es-ES"/>
        </w:rPr>
        <w:br/>
      </w:r>
      <w:r w:rsidRPr="0093603B">
        <w:rPr>
          <w:rFonts w:ascii="Arial" w:eastAsia="Times New Roman" w:hAnsi="Arial" w:cs="Arial"/>
          <w:color w:val="000000"/>
          <w:sz w:val="24"/>
          <w:szCs w:val="24"/>
          <w:lang w:eastAsia="es-ES"/>
        </w:rPr>
        <w:t xml:space="preserve">Incluye una base con rotor automático, de fácil armado  y conveniente en mediciones de banda </w:t>
      </w:r>
      <w:r w:rsidRPr="0093603B">
        <w:rPr>
          <w:rFonts w:ascii="Arial" w:eastAsia="Times New Roman" w:hAnsi="Arial" w:cs="Arial"/>
          <w:color w:val="000000"/>
          <w:sz w:val="24"/>
          <w:szCs w:val="24"/>
          <w:lang w:eastAsia="es-ES"/>
        </w:rPr>
        <w:lastRenderedPageBreak/>
        <w:t>ancha con  orientación ortogonal en tres ejes con una sola antena.  El rotador puede ser fijado en el trípode. Controlado y alimentado a través de USB (5 m de cable incluido) desde el PC;</w:t>
      </w:r>
      <w:r w:rsidRPr="0093603B">
        <w:rPr>
          <w:rFonts w:ascii="Arial" w:eastAsia="Times New Roman" w:hAnsi="Arial" w:cs="Arial"/>
          <w:color w:val="000000"/>
          <w:sz w:val="24"/>
          <w:szCs w:val="24"/>
          <w:shd w:val="clear" w:color="auto" w:fill="FFFFFF"/>
          <w:lang w:eastAsia="es-ES"/>
        </w:rPr>
        <w:t xml:space="preserve"> además de un c</w:t>
      </w:r>
      <w:r w:rsidRPr="0093603B">
        <w:rPr>
          <w:rFonts w:ascii="Arial" w:eastAsia="Times New Roman" w:hAnsi="Arial" w:cs="Arial"/>
          <w:color w:val="000000"/>
          <w:sz w:val="24"/>
          <w:szCs w:val="24"/>
          <w:lang w:eastAsia="es-ES"/>
        </w:rPr>
        <w:t xml:space="preserve">able coaxial con longitud de 5 metros o de 10 m, con conector  N macho. Todas sus partes incluyen certificados internacionales de calibración </w:t>
      </w:r>
    </w:p>
    <w:p w:rsidR="0025315F" w:rsidRPr="0093603B" w:rsidRDefault="0025315F" w:rsidP="0025315F">
      <w:pPr>
        <w:pStyle w:val="ListParagraph"/>
        <w:spacing w:line="480" w:lineRule="auto"/>
        <w:ind w:left="3064"/>
        <w:rPr>
          <w:rStyle w:val="apple-style-span"/>
          <w:rFonts w:ascii="Arial" w:hAnsi="Arial" w:cs="Arial"/>
          <w:color w:val="000000"/>
          <w:sz w:val="24"/>
          <w:szCs w:val="24"/>
          <w:shd w:val="clear" w:color="auto" w:fill="FFFFFF"/>
        </w:rPr>
      </w:pPr>
    </w:p>
    <w:p w:rsidR="0025315F" w:rsidRPr="0093603B" w:rsidRDefault="0025315F" w:rsidP="0025315F">
      <w:pPr>
        <w:pStyle w:val="ListParagraph"/>
        <w:spacing w:line="480" w:lineRule="auto"/>
        <w:ind w:left="3064"/>
        <w:rPr>
          <w:rStyle w:val="apple-style-span"/>
          <w:rFonts w:ascii="Arial" w:hAnsi="Arial" w:cs="Arial"/>
          <w:color w:val="000000"/>
          <w:sz w:val="24"/>
          <w:szCs w:val="24"/>
        </w:rPr>
      </w:pPr>
      <w:r w:rsidRPr="0093603B">
        <w:rPr>
          <w:rStyle w:val="apple-style-span"/>
          <w:rFonts w:ascii="Arial" w:hAnsi="Arial" w:cs="Arial"/>
          <w:color w:val="000000"/>
          <w:sz w:val="24"/>
          <w:szCs w:val="24"/>
        </w:rPr>
        <w:t>Datos técnicos del PCD 8250</w:t>
      </w:r>
    </w:p>
    <w:p w:rsidR="0025315F" w:rsidRPr="0093603B" w:rsidRDefault="0025315F" w:rsidP="0025315F">
      <w:pPr>
        <w:pStyle w:val="ListParagraph"/>
        <w:numPr>
          <w:ilvl w:val="0"/>
          <w:numId w:val="27"/>
        </w:numPr>
        <w:spacing w:line="480" w:lineRule="auto"/>
        <w:rPr>
          <w:rStyle w:val="apple-style-span"/>
          <w:rFonts w:ascii="Arial" w:hAnsi="Arial" w:cs="Arial"/>
          <w:sz w:val="24"/>
          <w:szCs w:val="24"/>
        </w:rPr>
      </w:pPr>
      <w:r w:rsidRPr="0093603B">
        <w:rPr>
          <w:rStyle w:val="apple-style-span"/>
          <w:rFonts w:ascii="Arial" w:hAnsi="Arial" w:cs="Arial"/>
          <w:color w:val="000000"/>
          <w:sz w:val="24"/>
          <w:szCs w:val="24"/>
          <w:shd w:val="clear" w:color="auto" w:fill="FFFFFF"/>
        </w:rPr>
        <w:t>Rango de frecuencia: 80 MHz – 2,5 GHz</w:t>
      </w:r>
    </w:p>
    <w:p w:rsidR="0025315F" w:rsidRPr="0093603B" w:rsidRDefault="0025315F" w:rsidP="0025315F">
      <w:pPr>
        <w:pStyle w:val="ListParagraph"/>
        <w:numPr>
          <w:ilvl w:val="0"/>
          <w:numId w:val="27"/>
        </w:numPr>
        <w:spacing w:line="480" w:lineRule="auto"/>
        <w:rPr>
          <w:rStyle w:val="apple-style-span"/>
          <w:rFonts w:ascii="Arial" w:hAnsi="Arial" w:cs="Arial"/>
          <w:sz w:val="24"/>
          <w:szCs w:val="24"/>
        </w:rPr>
      </w:pPr>
      <w:r w:rsidRPr="0093603B">
        <w:rPr>
          <w:rStyle w:val="apple-style-span"/>
          <w:rFonts w:ascii="Arial" w:hAnsi="Arial" w:cs="Arial"/>
          <w:color w:val="000000"/>
          <w:sz w:val="24"/>
          <w:szCs w:val="24"/>
          <w:shd w:val="clear" w:color="auto" w:fill="FFFFFF"/>
        </w:rPr>
        <w:t>Dimensiones: ancho de la antena: 13 cm</w:t>
      </w:r>
    </w:p>
    <w:p w:rsidR="0025315F" w:rsidRPr="0093603B" w:rsidRDefault="0025315F" w:rsidP="0025315F">
      <w:pPr>
        <w:pStyle w:val="ListParagraph"/>
        <w:numPr>
          <w:ilvl w:val="0"/>
          <w:numId w:val="27"/>
        </w:numPr>
        <w:spacing w:line="480" w:lineRule="auto"/>
        <w:rPr>
          <w:rStyle w:val="apple-style-span"/>
          <w:rFonts w:ascii="Arial" w:hAnsi="Arial" w:cs="Arial"/>
          <w:sz w:val="24"/>
          <w:szCs w:val="24"/>
        </w:rPr>
      </w:pPr>
      <w:r w:rsidRPr="0093603B">
        <w:rPr>
          <w:rStyle w:val="apple-style-span"/>
          <w:rFonts w:ascii="Arial" w:hAnsi="Arial" w:cs="Arial"/>
          <w:color w:val="000000"/>
          <w:sz w:val="24"/>
          <w:szCs w:val="24"/>
          <w:shd w:val="clear" w:color="auto" w:fill="FFFFFF"/>
        </w:rPr>
        <w:t xml:space="preserve"> Longitud del soporte: 12,7 cm</w:t>
      </w:r>
    </w:p>
    <w:p w:rsidR="0025315F" w:rsidRPr="0093603B" w:rsidRDefault="0025315F" w:rsidP="0025315F">
      <w:pPr>
        <w:pStyle w:val="ListParagraph"/>
        <w:numPr>
          <w:ilvl w:val="0"/>
          <w:numId w:val="27"/>
        </w:numPr>
        <w:spacing w:line="480" w:lineRule="auto"/>
        <w:rPr>
          <w:rStyle w:val="apple-style-span"/>
          <w:rFonts w:ascii="Arial" w:hAnsi="Arial" w:cs="Arial"/>
          <w:sz w:val="24"/>
          <w:szCs w:val="24"/>
        </w:rPr>
      </w:pPr>
      <w:r w:rsidRPr="0093603B">
        <w:rPr>
          <w:rStyle w:val="apple-style-span"/>
          <w:rFonts w:ascii="Arial" w:hAnsi="Arial" w:cs="Arial"/>
          <w:color w:val="000000"/>
          <w:sz w:val="24"/>
          <w:szCs w:val="24"/>
        </w:rPr>
        <w:t xml:space="preserve"> </w:t>
      </w:r>
      <w:r w:rsidRPr="0093603B">
        <w:rPr>
          <w:rStyle w:val="apple-style-span"/>
          <w:rFonts w:ascii="Arial" w:hAnsi="Arial" w:cs="Arial"/>
          <w:color w:val="000000"/>
          <w:sz w:val="24"/>
          <w:szCs w:val="24"/>
          <w:shd w:val="clear" w:color="auto" w:fill="FFFFFF"/>
        </w:rPr>
        <w:t>Sensibilidad:</w:t>
      </w:r>
      <w:r w:rsidRPr="0093603B">
        <w:rPr>
          <w:rFonts w:ascii="Arial" w:hAnsi="Arial" w:cs="Arial"/>
          <w:color w:val="000000"/>
          <w:sz w:val="24"/>
          <w:szCs w:val="24"/>
          <w:shd w:val="clear" w:color="auto" w:fill="FFFFFF"/>
        </w:rPr>
        <w:br/>
      </w:r>
      <w:r w:rsidRPr="0093603B">
        <w:rPr>
          <w:rStyle w:val="apple-style-span"/>
          <w:rFonts w:ascii="Arial" w:hAnsi="Arial" w:cs="Arial"/>
          <w:color w:val="000000"/>
          <w:sz w:val="24"/>
          <w:szCs w:val="24"/>
          <w:shd w:val="clear" w:color="auto" w:fill="FFFFFF"/>
        </w:rPr>
        <w:t>0,8 mV / m en 80 MHz</w:t>
      </w:r>
      <w:r w:rsidRPr="0093603B">
        <w:rPr>
          <w:rFonts w:ascii="Arial" w:hAnsi="Arial" w:cs="Arial"/>
          <w:color w:val="000000"/>
          <w:sz w:val="24"/>
          <w:szCs w:val="24"/>
          <w:shd w:val="clear" w:color="auto" w:fill="FFFFFF"/>
        </w:rPr>
        <w:br/>
      </w:r>
      <w:r w:rsidRPr="0093603B">
        <w:rPr>
          <w:rStyle w:val="apple-style-span"/>
          <w:rFonts w:ascii="Arial" w:hAnsi="Arial" w:cs="Arial"/>
          <w:color w:val="000000"/>
          <w:sz w:val="24"/>
          <w:szCs w:val="24"/>
          <w:shd w:val="clear" w:color="auto" w:fill="FFFFFF"/>
        </w:rPr>
        <w:t>0,1 mV / m a 600 MHz</w:t>
      </w:r>
      <w:r w:rsidRPr="0093603B">
        <w:rPr>
          <w:rFonts w:ascii="Arial" w:hAnsi="Arial" w:cs="Arial"/>
          <w:color w:val="000000"/>
          <w:sz w:val="24"/>
          <w:szCs w:val="24"/>
          <w:shd w:val="clear" w:color="auto" w:fill="FFFFFF"/>
        </w:rPr>
        <w:br/>
      </w:r>
      <w:r w:rsidRPr="0093603B">
        <w:rPr>
          <w:rStyle w:val="apple-style-span"/>
          <w:rFonts w:ascii="Arial" w:hAnsi="Arial" w:cs="Arial"/>
          <w:color w:val="000000"/>
          <w:sz w:val="24"/>
          <w:szCs w:val="24"/>
          <w:shd w:val="clear" w:color="auto" w:fill="FFFFFF"/>
        </w:rPr>
        <w:t>0,2 mV / m en 900 MHz</w:t>
      </w:r>
      <w:r w:rsidRPr="0093603B">
        <w:rPr>
          <w:rFonts w:ascii="Arial" w:hAnsi="Arial" w:cs="Arial"/>
          <w:color w:val="000000"/>
          <w:sz w:val="24"/>
          <w:szCs w:val="24"/>
          <w:shd w:val="clear" w:color="auto" w:fill="FFFFFF"/>
        </w:rPr>
        <w:br/>
      </w:r>
      <w:r w:rsidRPr="0093603B">
        <w:rPr>
          <w:rStyle w:val="apple-style-span"/>
          <w:rFonts w:ascii="Arial" w:hAnsi="Arial" w:cs="Arial"/>
          <w:color w:val="000000"/>
          <w:sz w:val="24"/>
          <w:szCs w:val="24"/>
          <w:shd w:val="clear" w:color="auto" w:fill="FFFFFF"/>
        </w:rPr>
        <w:t>0,4 mV / m a 1800 MHz</w:t>
      </w:r>
      <w:r w:rsidRPr="0093603B">
        <w:rPr>
          <w:rFonts w:ascii="Arial" w:hAnsi="Arial" w:cs="Arial"/>
          <w:color w:val="000000"/>
          <w:sz w:val="24"/>
          <w:szCs w:val="24"/>
          <w:shd w:val="clear" w:color="auto" w:fill="FFFFFF"/>
        </w:rPr>
        <w:br/>
      </w:r>
      <w:r w:rsidRPr="0093603B">
        <w:rPr>
          <w:rStyle w:val="apple-style-span"/>
          <w:rFonts w:ascii="Arial" w:hAnsi="Arial" w:cs="Arial"/>
          <w:color w:val="000000"/>
          <w:sz w:val="24"/>
          <w:szCs w:val="24"/>
        </w:rPr>
        <w:t>1,1 mV / m a 2500 MHz</w:t>
      </w:r>
    </w:p>
    <w:p w:rsidR="0025315F" w:rsidRPr="00FB31A4" w:rsidRDefault="0025315F" w:rsidP="0025315F">
      <w:pPr>
        <w:pStyle w:val="ListParagraph"/>
        <w:numPr>
          <w:ilvl w:val="0"/>
          <w:numId w:val="27"/>
        </w:numPr>
        <w:spacing w:line="480" w:lineRule="auto"/>
        <w:rPr>
          <w:rStyle w:val="apple-style-span"/>
          <w:rFonts w:ascii="Arial" w:hAnsi="Arial" w:cs="Arial"/>
          <w:sz w:val="24"/>
          <w:szCs w:val="24"/>
        </w:rPr>
      </w:pPr>
      <w:r w:rsidRPr="0093603B">
        <w:rPr>
          <w:rStyle w:val="apple-style-span"/>
          <w:rFonts w:ascii="Arial" w:hAnsi="Arial" w:cs="Arial"/>
          <w:color w:val="000000"/>
          <w:sz w:val="24"/>
          <w:szCs w:val="24"/>
        </w:rPr>
        <w:t>Tipo de conector: N hembra</w:t>
      </w:r>
    </w:p>
    <w:p w:rsidR="0025315F" w:rsidRDefault="0025315F" w:rsidP="0025315F">
      <w:pPr>
        <w:pStyle w:val="ListParagraph"/>
        <w:spacing w:line="480" w:lineRule="auto"/>
        <w:ind w:left="3784"/>
        <w:rPr>
          <w:rStyle w:val="apple-style-span"/>
          <w:rFonts w:ascii="Arial" w:hAnsi="Arial" w:cs="Arial"/>
          <w:sz w:val="24"/>
          <w:szCs w:val="24"/>
        </w:rPr>
      </w:pPr>
    </w:p>
    <w:p w:rsidR="0025315F" w:rsidRPr="00AE4125" w:rsidRDefault="0025315F" w:rsidP="0025315F">
      <w:pPr>
        <w:pStyle w:val="ListParagraph"/>
        <w:spacing w:line="480" w:lineRule="auto"/>
        <w:ind w:left="3784"/>
        <w:rPr>
          <w:rStyle w:val="apple-style-span"/>
          <w:rFonts w:ascii="Arial" w:hAnsi="Arial" w:cs="Arial"/>
          <w:sz w:val="24"/>
          <w:szCs w:val="24"/>
        </w:rPr>
      </w:pPr>
    </w:p>
    <w:p w:rsidR="0025315F" w:rsidRDefault="0025315F" w:rsidP="0025315F">
      <w:pPr>
        <w:pStyle w:val="ListParagraph"/>
        <w:numPr>
          <w:ilvl w:val="4"/>
          <w:numId w:val="16"/>
        </w:numPr>
        <w:spacing w:line="480" w:lineRule="auto"/>
        <w:rPr>
          <w:rFonts w:ascii="Arial" w:hAnsi="Arial" w:cs="Arial"/>
          <w:b/>
          <w:sz w:val="24"/>
          <w:szCs w:val="24"/>
        </w:rPr>
      </w:pPr>
      <w:r w:rsidRPr="0093603B">
        <w:rPr>
          <w:rFonts w:ascii="Arial" w:hAnsi="Arial" w:cs="Arial"/>
          <w:b/>
          <w:sz w:val="24"/>
          <w:szCs w:val="24"/>
        </w:rPr>
        <w:lastRenderedPageBreak/>
        <w:t>Software Nose Pro</w:t>
      </w:r>
    </w:p>
    <w:p w:rsidR="0025315F" w:rsidRPr="0093603B" w:rsidRDefault="0025315F" w:rsidP="0025315F">
      <w:pPr>
        <w:pStyle w:val="ListParagraph"/>
        <w:spacing w:line="480" w:lineRule="auto"/>
        <w:ind w:left="3064"/>
        <w:rPr>
          <w:rFonts w:ascii="Arial" w:hAnsi="Arial" w:cs="Arial"/>
          <w:b/>
          <w:sz w:val="24"/>
          <w:szCs w:val="24"/>
        </w:rPr>
      </w:pPr>
    </w:p>
    <w:p w:rsidR="0025315F" w:rsidRDefault="0025315F" w:rsidP="0025315F">
      <w:pPr>
        <w:pStyle w:val="ListParagraph"/>
        <w:spacing w:line="480" w:lineRule="auto"/>
        <w:ind w:left="3064"/>
        <w:rPr>
          <w:rFonts w:ascii="Arial" w:hAnsi="Arial" w:cs="Arial"/>
          <w:b/>
          <w:sz w:val="24"/>
          <w:szCs w:val="24"/>
        </w:rPr>
      </w:pPr>
      <w:r>
        <w:rPr>
          <w:rFonts w:ascii="Arial" w:hAnsi="Arial" w:cs="Arial"/>
          <w:b/>
          <w:noProof/>
          <w:sz w:val="24"/>
          <w:szCs w:val="24"/>
          <w:lang w:eastAsia="es-ES"/>
        </w:rPr>
        <w:drawing>
          <wp:inline distT="0" distB="0" distL="0" distR="0">
            <wp:extent cx="3384550" cy="2429510"/>
            <wp:effectExtent l="19050" t="0" r="6350" b="0"/>
            <wp:docPr id="1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0" cstate="print"/>
                    <a:srcRect b="4301"/>
                    <a:stretch>
                      <a:fillRect/>
                    </a:stretch>
                  </pic:blipFill>
                  <pic:spPr bwMode="auto">
                    <a:xfrm>
                      <a:off x="0" y="0"/>
                      <a:ext cx="3384550" cy="2429510"/>
                    </a:xfrm>
                    <a:prstGeom prst="rect">
                      <a:avLst/>
                    </a:prstGeom>
                    <a:noFill/>
                    <a:ln w="9525">
                      <a:noFill/>
                      <a:miter lim="800000"/>
                      <a:headEnd/>
                      <a:tailEnd/>
                    </a:ln>
                  </pic:spPr>
                </pic:pic>
              </a:graphicData>
            </a:graphic>
          </wp:inline>
        </w:drawing>
      </w:r>
    </w:p>
    <w:p w:rsidR="0025315F" w:rsidRPr="0093603B" w:rsidRDefault="0025315F" w:rsidP="0025315F">
      <w:pPr>
        <w:pStyle w:val="ListParagraph"/>
        <w:spacing w:line="480" w:lineRule="auto"/>
        <w:ind w:left="3119"/>
        <w:jc w:val="center"/>
        <w:rPr>
          <w:rFonts w:ascii="Arial" w:hAnsi="Arial" w:cs="Arial"/>
          <w:b/>
          <w:sz w:val="24"/>
          <w:szCs w:val="24"/>
        </w:rPr>
      </w:pPr>
      <w:r>
        <w:rPr>
          <w:rFonts w:ascii="Arial" w:eastAsia="Times New Roman" w:hAnsi="Arial" w:cs="Arial"/>
          <w:b/>
          <w:sz w:val="24"/>
          <w:szCs w:val="24"/>
          <w:lang w:eastAsia="es-ES"/>
        </w:rPr>
        <w:t>Figura 3.10</w:t>
      </w:r>
      <w:r w:rsidRPr="0093603B">
        <w:rPr>
          <w:rFonts w:ascii="Arial" w:eastAsia="Times New Roman" w:hAnsi="Arial" w:cs="Arial"/>
          <w:b/>
          <w:sz w:val="24"/>
          <w:szCs w:val="24"/>
          <w:lang w:eastAsia="es-ES"/>
        </w:rPr>
        <w:t xml:space="preserve"> </w:t>
      </w:r>
      <w:r w:rsidRPr="00774086">
        <w:rPr>
          <w:rFonts w:ascii="Arial" w:hAnsi="Arial" w:cs="Arial"/>
          <w:b/>
          <w:sz w:val="24"/>
          <w:szCs w:val="24"/>
        </w:rPr>
        <w:t xml:space="preserve">Pantalla principal del programa Nose Pro. </w:t>
      </w:r>
      <w:r w:rsidRPr="00774086">
        <w:rPr>
          <w:rStyle w:val="FootnoteReference"/>
          <w:rFonts w:ascii="Arial" w:hAnsi="Arial" w:cs="Arial"/>
          <w:b/>
          <w:sz w:val="24"/>
          <w:szCs w:val="24"/>
        </w:rPr>
        <w:footnoteReference w:id="41"/>
      </w:r>
    </w:p>
    <w:p w:rsidR="0025315F" w:rsidRPr="0093603B" w:rsidRDefault="0025315F" w:rsidP="0025315F">
      <w:pPr>
        <w:pStyle w:val="ListParagraph"/>
        <w:spacing w:line="480" w:lineRule="auto"/>
        <w:ind w:left="3064"/>
        <w:jc w:val="center"/>
        <w:rPr>
          <w:rFonts w:ascii="Arial" w:hAnsi="Arial" w:cs="Arial"/>
          <w:b/>
          <w:sz w:val="24"/>
          <w:szCs w:val="24"/>
        </w:rPr>
      </w:pPr>
    </w:p>
    <w:p w:rsidR="0025315F" w:rsidRPr="0093603B" w:rsidRDefault="0025315F" w:rsidP="0025315F">
      <w:pPr>
        <w:pStyle w:val="ListParagraph"/>
        <w:spacing w:line="480" w:lineRule="auto"/>
        <w:ind w:left="3064"/>
        <w:rPr>
          <w:rStyle w:val="apple-style-span"/>
          <w:rFonts w:ascii="Arial" w:hAnsi="Arial" w:cs="Arial"/>
          <w:color w:val="000000"/>
          <w:sz w:val="24"/>
          <w:szCs w:val="24"/>
        </w:rPr>
      </w:pPr>
      <w:r w:rsidRPr="0093603B">
        <w:rPr>
          <w:rFonts w:ascii="Arial" w:hAnsi="Arial" w:cs="Arial"/>
          <w:sz w:val="24"/>
          <w:szCs w:val="24"/>
        </w:rPr>
        <w:t>.</w:t>
      </w:r>
    </w:p>
    <w:p w:rsidR="0025315F" w:rsidRPr="0093603B" w:rsidRDefault="0025315F" w:rsidP="0025315F">
      <w:pPr>
        <w:pStyle w:val="ListParagraph"/>
        <w:tabs>
          <w:tab w:val="left" w:pos="1560"/>
        </w:tabs>
        <w:spacing w:line="480" w:lineRule="auto"/>
        <w:ind w:left="3064"/>
        <w:jc w:val="both"/>
        <w:rPr>
          <w:rStyle w:val="apple-style-span"/>
          <w:rFonts w:ascii="Arial" w:hAnsi="Arial" w:cs="Arial"/>
          <w:color w:val="000000"/>
          <w:sz w:val="24"/>
          <w:szCs w:val="24"/>
          <w:shd w:val="clear" w:color="auto" w:fill="FFFFFF"/>
        </w:rPr>
      </w:pPr>
      <w:r w:rsidRPr="0093603B">
        <w:rPr>
          <w:rStyle w:val="apple-style-span"/>
          <w:rFonts w:ascii="Arial" w:hAnsi="Arial" w:cs="Arial"/>
          <w:color w:val="000000"/>
          <w:sz w:val="24"/>
          <w:szCs w:val="24"/>
        </w:rPr>
        <w:t xml:space="preserve">El software  </w:t>
      </w:r>
      <w:r w:rsidRPr="0093603B">
        <w:rPr>
          <w:rFonts w:ascii="Arial" w:hAnsi="Arial" w:cs="Arial"/>
          <w:sz w:val="24"/>
          <w:szCs w:val="24"/>
        </w:rPr>
        <w:t>Nose Pro</w:t>
      </w:r>
      <w:r w:rsidRPr="0093603B">
        <w:rPr>
          <w:rStyle w:val="apple-style-span"/>
          <w:rFonts w:ascii="Arial" w:hAnsi="Arial" w:cs="Arial"/>
          <w:color w:val="000000"/>
          <w:sz w:val="24"/>
          <w:szCs w:val="24"/>
        </w:rPr>
        <w:t xml:space="preserve">  ha sido desarrollado como una herramienta flexible que ofrece manera cómoda forma de realizar, visualizar y evaluar las mediciones de campos electromagnéticos. </w:t>
      </w:r>
      <w:r w:rsidRPr="0093603B">
        <w:rPr>
          <w:rStyle w:val="apple-style-span"/>
          <w:rFonts w:ascii="Arial" w:hAnsi="Arial" w:cs="Arial"/>
          <w:color w:val="000000"/>
          <w:sz w:val="24"/>
          <w:szCs w:val="24"/>
          <w:shd w:val="clear" w:color="auto" w:fill="FFFFFF"/>
        </w:rPr>
        <w:t xml:space="preserve">Analizador de espectro y la antena se controlan a través de la interfaz gráfica de usuario. Se puede configurar la medición, o utilizar configuraciones predefinidas </w:t>
      </w:r>
      <w:r w:rsidRPr="0093603B">
        <w:rPr>
          <w:rStyle w:val="apple-style-span"/>
          <w:rFonts w:ascii="Arial" w:hAnsi="Arial" w:cs="Arial"/>
          <w:color w:val="000000"/>
          <w:sz w:val="24"/>
          <w:szCs w:val="24"/>
          <w:shd w:val="clear" w:color="auto" w:fill="FFFFFF"/>
        </w:rPr>
        <w:lastRenderedPageBreak/>
        <w:t>optimizadas para la medición de señales que están disponibles para los emisores más comunes.</w:t>
      </w:r>
      <w:r w:rsidRPr="0093603B">
        <w:rPr>
          <w:rStyle w:val="apple-converted-space"/>
          <w:rFonts w:ascii="Arial" w:hAnsi="Arial" w:cs="Arial"/>
          <w:color w:val="000000"/>
          <w:sz w:val="24"/>
          <w:szCs w:val="24"/>
          <w:shd w:val="clear" w:color="auto" w:fill="FFFFFF"/>
        </w:rPr>
        <w:t> </w:t>
      </w:r>
      <w:r w:rsidRPr="0093603B">
        <w:rPr>
          <w:rStyle w:val="apple-style-span"/>
          <w:rFonts w:ascii="Arial" w:hAnsi="Arial" w:cs="Arial"/>
          <w:color w:val="000000"/>
          <w:sz w:val="24"/>
          <w:szCs w:val="24"/>
          <w:shd w:val="clear" w:color="auto" w:fill="FFFFFF"/>
        </w:rPr>
        <w:t>Por la presente todos los parámetros se pueden ajustar de forma manual, mientras se comprueban automáticamente de acuerdo a las capacidades del analizador seleccionado.</w:t>
      </w:r>
      <w:r w:rsidRPr="0093603B">
        <w:rPr>
          <w:rStyle w:val="apple-converted-space"/>
          <w:rFonts w:ascii="Arial" w:hAnsi="Arial" w:cs="Arial"/>
          <w:color w:val="000000"/>
          <w:sz w:val="24"/>
          <w:szCs w:val="24"/>
          <w:shd w:val="clear" w:color="auto" w:fill="FFFFFF"/>
        </w:rPr>
        <w:t> </w:t>
      </w:r>
      <w:r w:rsidRPr="0093603B">
        <w:rPr>
          <w:rStyle w:val="apple-style-span"/>
          <w:rFonts w:ascii="Arial" w:hAnsi="Arial" w:cs="Arial"/>
          <w:color w:val="000000"/>
          <w:sz w:val="24"/>
          <w:szCs w:val="24"/>
          <w:shd w:val="clear" w:color="auto" w:fill="FFFFFF"/>
        </w:rPr>
        <w:t>De esta manera se evitan todas laos errores por problemas de configuración, lo que hace que el sistema es adecuado tanto para usuarios sin experiencia y expertos en la medición.</w:t>
      </w:r>
    </w:p>
    <w:p w:rsidR="0025315F" w:rsidRDefault="0025315F" w:rsidP="0025315F">
      <w:pPr>
        <w:pStyle w:val="ListParagraph"/>
        <w:tabs>
          <w:tab w:val="left" w:pos="1560"/>
        </w:tabs>
        <w:spacing w:line="480" w:lineRule="auto"/>
        <w:ind w:left="3064"/>
        <w:jc w:val="both"/>
        <w:rPr>
          <w:rFonts w:ascii="Arial" w:hAnsi="Arial" w:cs="Arial"/>
          <w:b/>
          <w:sz w:val="24"/>
          <w:szCs w:val="24"/>
        </w:rPr>
      </w:pPr>
    </w:p>
    <w:p w:rsidR="0025315F" w:rsidRPr="0093603B" w:rsidRDefault="0025315F" w:rsidP="0025315F">
      <w:pPr>
        <w:pStyle w:val="ListParagraph"/>
        <w:numPr>
          <w:ilvl w:val="3"/>
          <w:numId w:val="16"/>
        </w:numPr>
        <w:tabs>
          <w:tab w:val="left" w:pos="1560"/>
        </w:tabs>
        <w:spacing w:line="480" w:lineRule="auto"/>
        <w:ind w:left="2835" w:hanging="1134"/>
        <w:jc w:val="both"/>
        <w:rPr>
          <w:rFonts w:ascii="Arial" w:hAnsi="Arial" w:cs="Arial"/>
          <w:b/>
          <w:sz w:val="24"/>
          <w:szCs w:val="24"/>
        </w:rPr>
      </w:pPr>
      <w:r w:rsidRPr="0093603B">
        <w:rPr>
          <w:rFonts w:ascii="Arial" w:hAnsi="Arial" w:cs="Arial"/>
          <w:b/>
          <w:sz w:val="24"/>
          <w:szCs w:val="24"/>
        </w:rPr>
        <w:t>Configuración de los Equipos para Instrumentación de Medición 2</w:t>
      </w:r>
    </w:p>
    <w:p w:rsidR="0025315F" w:rsidRPr="0093603B" w:rsidRDefault="0025315F" w:rsidP="0025315F">
      <w:pPr>
        <w:pStyle w:val="ListParagraph"/>
        <w:tabs>
          <w:tab w:val="left" w:pos="1560"/>
        </w:tabs>
        <w:spacing w:line="480" w:lineRule="auto"/>
        <w:ind w:left="2835"/>
        <w:jc w:val="both"/>
        <w:rPr>
          <w:rFonts w:ascii="Arial" w:hAnsi="Arial" w:cs="Arial"/>
          <w:b/>
          <w:sz w:val="24"/>
          <w:szCs w:val="24"/>
        </w:rPr>
      </w:pPr>
    </w:p>
    <w:p w:rsidR="0025315F" w:rsidRPr="0093603B" w:rsidRDefault="0025315F" w:rsidP="0025315F">
      <w:pPr>
        <w:pStyle w:val="ListParagraph"/>
        <w:tabs>
          <w:tab w:val="left" w:pos="1560"/>
        </w:tabs>
        <w:spacing w:line="480" w:lineRule="auto"/>
        <w:ind w:left="2835"/>
        <w:jc w:val="both"/>
        <w:rPr>
          <w:rFonts w:ascii="Arial" w:hAnsi="Arial" w:cs="Arial"/>
          <w:sz w:val="24"/>
          <w:szCs w:val="24"/>
        </w:rPr>
      </w:pPr>
      <w:r w:rsidRPr="0093603B">
        <w:rPr>
          <w:rFonts w:ascii="Arial" w:hAnsi="Arial" w:cs="Arial"/>
          <w:sz w:val="24"/>
          <w:szCs w:val="24"/>
        </w:rPr>
        <w:t>Para la configuración de los equipos para el procedimiento de instrumentación de medición 2, se debe los siguientes pasos:</w:t>
      </w:r>
    </w:p>
    <w:p w:rsidR="0025315F" w:rsidRPr="0093603B" w:rsidRDefault="0025315F" w:rsidP="0025315F">
      <w:pPr>
        <w:pStyle w:val="ListParagraph"/>
        <w:tabs>
          <w:tab w:val="left" w:pos="1560"/>
        </w:tabs>
        <w:spacing w:line="480" w:lineRule="auto"/>
        <w:ind w:left="2835"/>
        <w:jc w:val="both"/>
        <w:rPr>
          <w:rFonts w:ascii="Arial" w:hAnsi="Arial" w:cs="Arial"/>
          <w:b/>
          <w:sz w:val="24"/>
          <w:szCs w:val="24"/>
        </w:rPr>
      </w:pP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Armar correctamente la antena del FIELD NOSE</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Conectar con el cable de 5 metros USB el FIELD NOSE con la PC</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lastRenderedPageBreak/>
        <w:t>Conectar con el cable serial el analizador espectral NARDA en el puerto serial de la PC</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Conectar con el cable coaxial que viene con el FIELD NOSE al NARDA</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Configurar el analizador espectral NARDA en el modo serial, siguiendo los siguientes pasos.</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Presionar el botón CONF del analizador espectral NARDA</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Elegir la opción configure general</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Ingresar a Interface y elegir la opción SERIAL</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Una vez configurado en modo SERIAL el analizador espectral NARDA, se procede a la configuración del FIELD NOSE.</w:t>
      </w:r>
    </w:p>
    <w:p w:rsidR="0025315F"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 xml:space="preserve"> Abrir el programa NOSE PRO del FIELD NOSE</w:t>
      </w:r>
    </w:p>
    <w:p w:rsidR="0025315F" w:rsidRPr="0093603B" w:rsidRDefault="0025315F" w:rsidP="0025315F">
      <w:pPr>
        <w:pStyle w:val="ListParagraph"/>
        <w:spacing w:line="480" w:lineRule="auto"/>
        <w:ind w:left="3544"/>
        <w:rPr>
          <w:rFonts w:ascii="Arial" w:hAnsi="Arial" w:cs="Arial"/>
          <w:sz w:val="24"/>
          <w:szCs w:val="24"/>
        </w:rPr>
      </w:pPr>
    </w:p>
    <w:p w:rsidR="0025315F" w:rsidRDefault="0025315F" w:rsidP="0025315F">
      <w:pPr>
        <w:pStyle w:val="ListParagraph"/>
        <w:spacing w:line="480" w:lineRule="auto"/>
        <w:ind w:left="3119"/>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439160" cy="2320290"/>
            <wp:effectExtent l="19050" t="0" r="8890" b="0"/>
            <wp:docPr id="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1" cstate="print">
                      <a:lum bright="-20000"/>
                    </a:blip>
                    <a:srcRect/>
                    <a:stretch>
                      <a:fillRect/>
                    </a:stretch>
                  </pic:blipFill>
                  <pic:spPr bwMode="auto">
                    <a:xfrm>
                      <a:off x="0" y="0"/>
                      <a:ext cx="3439160" cy="2320290"/>
                    </a:xfrm>
                    <a:prstGeom prst="rect">
                      <a:avLst/>
                    </a:prstGeom>
                    <a:noFill/>
                    <a:ln w="9525">
                      <a:noFill/>
                      <a:miter lim="800000"/>
                      <a:headEnd/>
                      <a:tailEnd/>
                    </a:ln>
                  </pic:spPr>
                </pic:pic>
              </a:graphicData>
            </a:graphic>
          </wp:inline>
        </w:drawing>
      </w:r>
    </w:p>
    <w:p w:rsidR="0025315F" w:rsidRPr="0093603B" w:rsidRDefault="0025315F" w:rsidP="0025315F">
      <w:pPr>
        <w:pStyle w:val="ListParagraph"/>
        <w:spacing w:line="480" w:lineRule="auto"/>
        <w:ind w:left="3119"/>
        <w:jc w:val="center"/>
        <w:rPr>
          <w:rFonts w:ascii="Arial" w:hAnsi="Arial" w:cs="Arial"/>
          <w:b/>
          <w:sz w:val="24"/>
          <w:szCs w:val="24"/>
        </w:rPr>
      </w:pPr>
      <w:r>
        <w:rPr>
          <w:rFonts w:ascii="Arial" w:eastAsia="Times New Roman" w:hAnsi="Arial" w:cs="Arial"/>
          <w:b/>
          <w:sz w:val="24"/>
          <w:szCs w:val="24"/>
          <w:lang w:eastAsia="es-ES"/>
        </w:rPr>
        <w:t>Figura 3.11</w:t>
      </w:r>
      <w:r w:rsidRPr="0093603B">
        <w:rPr>
          <w:rFonts w:ascii="Arial" w:eastAsia="Times New Roman" w:hAnsi="Arial" w:cs="Arial"/>
          <w:b/>
          <w:sz w:val="24"/>
          <w:szCs w:val="24"/>
          <w:lang w:eastAsia="es-ES"/>
        </w:rPr>
        <w:t xml:space="preserve"> </w:t>
      </w:r>
      <w:r w:rsidRPr="00774086">
        <w:rPr>
          <w:rFonts w:ascii="Arial" w:hAnsi="Arial" w:cs="Arial"/>
          <w:b/>
          <w:sz w:val="24"/>
          <w:szCs w:val="24"/>
        </w:rPr>
        <w:t xml:space="preserve">Pantalla </w:t>
      </w:r>
      <w:r>
        <w:rPr>
          <w:rFonts w:ascii="Arial" w:hAnsi="Arial" w:cs="Arial"/>
          <w:b/>
          <w:sz w:val="24"/>
          <w:szCs w:val="24"/>
        </w:rPr>
        <w:t xml:space="preserve">inicial </w:t>
      </w:r>
      <w:r w:rsidRPr="00774086">
        <w:rPr>
          <w:rFonts w:ascii="Arial" w:hAnsi="Arial" w:cs="Arial"/>
          <w:b/>
          <w:sz w:val="24"/>
          <w:szCs w:val="24"/>
        </w:rPr>
        <w:t xml:space="preserve">del programa Nose Pro. </w:t>
      </w:r>
      <w:r w:rsidRPr="00774086">
        <w:rPr>
          <w:rStyle w:val="FootnoteReference"/>
          <w:rFonts w:ascii="Arial" w:hAnsi="Arial" w:cs="Arial"/>
          <w:b/>
          <w:sz w:val="24"/>
          <w:szCs w:val="24"/>
        </w:rPr>
        <w:footnoteReference w:id="42"/>
      </w:r>
    </w:p>
    <w:p w:rsidR="0025315F" w:rsidRDefault="0025315F" w:rsidP="0025315F">
      <w:pPr>
        <w:pStyle w:val="ListParagraph"/>
        <w:spacing w:line="480" w:lineRule="auto"/>
        <w:ind w:left="3544"/>
        <w:rPr>
          <w:rFonts w:ascii="Arial" w:hAnsi="Arial" w:cs="Arial"/>
          <w:sz w:val="24"/>
          <w:szCs w:val="24"/>
        </w:rPr>
      </w:pPr>
    </w:p>
    <w:p w:rsidR="0025315F" w:rsidRPr="0093603B" w:rsidRDefault="0025315F" w:rsidP="0025315F">
      <w:pPr>
        <w:pStyle w:val="ListParagraph"/>
        <w:numPr>
          <w:ilvl w:val="0"/>
          <w:numId w:val="18"/>
        </w:numPr>
        <w:spacing w:line="480" w:lineRule="auto"/>
        <w:ind w:left="3544" w:hanging="709"/>
        <w:rPr>
          <w:rFonts w:ascii="Arial" w:hAnsi="Arial" w:cs="Arial"/>
          <w:sz w:val="24"/>
          <w:szCs w:val="24"/>
        </w:rPr>
      </w:pPr>
      <w:r w:rsidRPr="0093603B">
        <w:rPr>
          <w:rFonts w:ascii="Arial" w:hAnsi="Arial" w:cs="Arial"/>
          <w:sz w:val="24"/>
          <w:szCs w:val="24"/>
        </w:rPr>
        <w:t>Elegir la opción STATION MANAGER</w:t>
      </w:r>
    </w:p>
    <w:p w:rsidR="0025315F" w:rsidRPr="0093603B" w:rsidRDefault="0025315F" w:rsidP="0025315F">
      <w:pPr>
        <w:spacing w:line="480" w:lineRule="auto"/>
        <w:rPr>
          <w:rFonts w:ascii="Arial" w:hAnsi="Arial" w:cs="Arial"/>
          <w:sz w:val="24"/>
          <w:szCs w:val="24"/>
        </w:rPr>
      </w:pPr>
    </w:p>
    <w:p w:rsidR="0025315F" w:rsidRPr="0093603B" w:rsidRDefault="0025315F" w:rsidP="0025315F">
      <w:pPr>
        <w:spacing w:line="480" w:lineRule="auto"/>
        <w:ind w:left="3544" w:hanging="709"/>
        <w:rPr>
          <w:rFonts w:ascii="Arial" w:hAnsi="Arial" w:cs="Arial"/>
          <w:sz w:val="24"/>
          <w:szCs w:val="24"/>
        </w:rPr>
      </w:pPr>
    </w:p>
    <w:p w:rsidR="0025315F" w:rsidRPr="0093603B" w:rsidRDefault="0025315F" w:rsidP="0025315F">
      <w:pPr>
        <w:spacing w:line="480" w:lineRule="auto"/>
        <w:ind w:left="3544" w:hanging="709"/>
        <w:rPr>
          <w:rFonts w:ascii="Arial" w:hAnsi="Arial" w:cs="Arial"/>
          <w:sz w:val="24"/>
          <w:szCs w:val="24"/>
        </w:rPr>
      </w:pPr>
      <w:r>
        <w:rPr>
          <w:rFonts w:ascii="Arial" w:hAnsi="Arial" w:cs="Arial"/>
          <w:noProof/>
          <w:sz w:val="24"/>
          <w:szCs w:val="24"/>
          <w:lang w:eastAsia="es-ES"/>
        </w:rPr>
        <w:drawing>
          <wp:anchor distT="0" distB="0" distL="114300" distR="114300" simplePos="0" relativeHeight="251661312" behindDoc="0" locked="0" layoutInCell="1" allowOverlap="1">
            <wp:simplePos x="0" y="0"/>
            <wp:positionH relativeFrom="column">
              <wp:posOffset>2453640</wp:posOffset>
            </wp:positionH>
            <wp:positionV relativeFrom="paragraph">
              <wp:posOffset>-549910</wp:posOffset>
            </wp:positionV>
            <wp:extent cx="2638425" cy="1123950"/>
            <wp:effectExtent l="19050" t="0" r="9525" b="0"/>
            <wp:wrapNone/>
            <wp:docPr id="23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52" cstate="print"/>
                    <a:srcRect/>
                    <a:stretch>
                      <a:fillRect/>
                    </a:stretch>
                  </pic:blipFill>
                  <pic:spPr bwMode="auto">
                    <a:xfrm>
                      <a:off x="0" y="0"/>
                      <a:ext cx="2638425" cy="1123950"/>
                    </a:xfrm>
                    <a:prstGeom prst="rect">
                      <a:avLst/>
                    </a:prstGeom>
                    <a:noFill/>
                    <a:ln w="9525">
                      <a:noFill/>
                      <a:miter lim="800000"/>
                      <a:headEnd/>
                      <a:tailEnd/>
                    </a:ln>
                  </pic:spPr>
                </pic:pic>
              </a:graphicData>
            </a:graphic>
          </wp:anchor>
        </w:drawing>
      </w:r>
    </w:p>
    <w:p w:rsidR="0025315F" w:rsidRDefault="0025315F" w:rsidP="0025315F">
      <w:pPr>
        <w:spacing w:line="480" w:lineRule="auto"/>
        <w:ind w:left="3544" w:hanging="709"/>
        <w:jc w:val="right"/>
        <w:rPr>
          <w:rFonts w:ascii="Arial" w:hAnsi="Arial" w:cs="Arial"/>
          <w:sz w:val="24"/>
          <w:szCs w:val="24"/>
        </w:rPr>
      </w:pPr>
    </w:p>
    <w:p w:rsidR="0025315F" w:rsidRDefault="0025315F" w:rsidP="0025315F">
      <w:pPr>
        <w:pStyle w:val="ListParagraph"/>
        <w:spacing w:line="480" w:lineRule="auto"/>
        <w:ind w:left="3119"/>
        <w:jc w:val="center"/>
        <w:rPr>
          <w:rFonts w:ascii="Arial" w:hAnsi="Arial" w:cs="Arial"/>
          <w:b/>
          <w:sz w:val="24"/>
          <w:szCs w:val="24"/>
        </w:rPr>
      </w:pPr>
      <w:r>
        <w:rPr>
          <w:rFonts w:ascii="Arial" w:eastAsia="Times New Roman" w:hAnsi="Arial" w:cs="Arial"/>
          <w:b/>
          <w:sz w:val="24"/>
          <w:szCs w:val="24"/>
          <w:lang w:eastAsia="es-ES"/>
        </w:rPr>
        <w:t>Figura 3.12</w:t>
      </w:r>
      <w:r w:rsidRPr="0093603B">
        <w:rPr>
          <w:rFonts w:ascii="Arial" w:eastAsia="Times New Roman" w:hAnsi="Arial" w:cs="Arial"/>
          <w:b/>
          <w:sz w:val="24"/>
          <w:szCs w:val="24"/>
          <w:lang w:eastAsia="es-ES"/>
        </w:rPr>
        <w:t xml:space="preserve"> </w:t>
      </w:r>
      <w:r w:rsidRPr="00774086">
        <w:rPr>
          <w:rFonts w:ascii="Arial" w:hAnsi="Arial" w:cs="Arial"/>
          <w:b/>
          <w:sz w:val="24"/>
          <w:szCs w:val="24"/>
          <w:lang w:val="es-EC"/>
        </w:rPr>
        <w:t>Opción</w:t>
      </w:r>
      <w:r w:rsidRPr="00774086">
        <w:rPr>
          <w:rFonts w:ascii="Arial" w:hAnsi="Arial" w:cs="Arial"/>
          <w:b/>
          <w:sz w:val="24"/>
          <w:szCs w:val="24"/>
          <w:lang w:val="en-US"/>
        </w:rPr>
        <w:t xml:space="preserve"> Station Manager de Nose Pro</w:t>
      </w:r>
      <w:r w:rsidRPr="00774086">
        <w:rPr>
          <w:rFonts w:ascii="Arial" w:hAnsi="Arial" w:cs="Arial"/>
          <w:b/>
          <w:sz w:val="24"/>
          <w:szCs w:val="24"/>
        </w:rPr>
        <w:t xml:space="preserve">. </w:t>
      </w:r>
      <w:r w:rsidRPr="00774086">
        <w:rPr>
          <w:rStyle w:val="FootnoteReference"/>
          <w:rFonts w:ascii="Arial" w:hAnsi="Arial" w:cs="Arial"/>
          <w:b/>
          <w:sz w:val="24"/>
          <w:szCs w:val="24"/>
        </w:rPr>
        <w:footnoteReference w:id="43"/>
      </w:r>
    </w:p>
    <w:p w:rsidR="0025315F" w:rsidRPr="0093603B" w:rsidRDefault="0025315F" w:rsidP="0025315F">
      <w:pPr>
        <w:pStyle w:val="ListParagraph"/>
        <w:spacing w:line="480" w:lineRule="auto"/>
        <w:ind w:left="3119"/>
        <w:jc w:val="center"/>
        <w:rPr>
          <w:rFonts w:ascii="Arial" w:hAnsi="Arial" w:cs="Arial"/>
          <w:b/>
          <w:sz w:val="24"/>
          <w:szCs w:val="24"/>
        </w:rPr>
      </w:pPr>
    </w:p>
    <w:p w:rsidR="0025315F" w:rsidRPr="0093603B" w:rsidRDefault="0025315F" w:rsidP="0025315F">
      <w:pPr>
        <w:pStyle w:val="ListParagraph"/>
        <w:numPr>
          <w:ilvl w:val="0"/>
          <w:numId w:val="18"/>
        </w:numPr>
        <w:spacing w:line="480" w:lineRule="auto"/>
        <w:ind w:left="3544" w:hanging="709"/>
        <w:rPr>
          <w:rFonts w:ascii="Arial" w:hAnsi="Arial" w:cs="Arial"/>
          <w:sz w:val="24"/>
          <w:szCs w:val="24"/>
        </w:rPr>
      </w:pPr>
      <w:r w:rsidRPr="0093603B">
        <w:rPr>
          <w:rFonts w:ascii="Arial" w:hAnsi="Arial" w:cs="Arial"/>
          <w:sz w:val="24"/>
          <w:szCs w:val="24"/>
        </w:rPr>
        <w:t>Presionar el botón SETUP</w:t>
      </w:r>
    </w:p>
    <w:p w:rsidR="0025315F" w:rsidRPr="0093603B" w:rsidRDefault="0025315F" w:rsidP="0025315F">
      <w:pPr>
        <w:pStyle w:val="ListParagraph"/>
        <w:spacing w:line="480" w:lineRule="auto"/>
        <w:ind w:left="3544"/>
        <w:rPr>
          <w:rFonts w:ascii="Arial" w:hAnsi="Arial" w:cs="Arial"/>
          <w:sz w:val="24"/>
          <w:szCs w:val="24"/>
        </w:rPr>
      </w:pPr>
    </w:p>
    <w:p w:rsidR="0025315F" w:rsidRDefault="0025315F" w:rsidP="00606B22">
      <w:pPr>
        <w:pStyle w:val="ListParagraph"/>
        <w:spacing w:line="480" w:lineRule="auto"/>
        <w:ind w:left="2835"/>
        <w:jc w:val="center"/>
        <w:rPr>
          <w:rFonts w:ascii="Arial" w:hAnsi="Arial" w:cs="Arial"/>
          <w:sz w:val="24"/>
          <w:szCs w:val="24"/>
        </w:rPr>
      </w:pPr>
      <w:r>
        <w:rPr>
          <w:rFonts w:ascii="Arial" w:hAnsi="Arial" w:cs="Arial"/>
          <w:noProof/>
          <w:sz w:val="24"/>
          <w:szCs w:val="24"/>
          <w:lang w:eastAsia="es-ES"/>
        </w:rPr>
        <w:drawing>
          <wp:inline distT="0" distB="0" distL="0" distR="0">
            <wp:extent cx="3357245" cy="2265680"/>
            <wp:effectExtent l="19050" t="0" r="0" b="0"/>
            <wp:docPr id="1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3" cstate="print"/>
                    <a:srcRect/>
                    <a:stretch>
                      <a:fillRect/>
                    </a:stretch>
                  </pic:blipFill>
                  <pic:spPr bwMode="auto">
                    <a:xfrm>
                      <a:off x="0" y="0"/>
                      <a:ext cx="3357245" cy="2265680"/>
                    </a:xfrm>
                    <a:prstGeom prst="rect">
                      <a:avLst/>
                    </a:prstGeom>
                    <a:noFill/>
                    <a:ln w="9525">
                      <a:noFill/>
                      <a:miter lim="800000"/>
                      <a:headEnd/>
                      <a:tailEnd/>
                    </a:ln>
                  </pic:spPr>
                </pic:pic>
              </a:graphicData>
            </a:graphic>
          </wp:inline>
        </w:drawing>
      </w:r>
    </w:p>
    <w:p w:rsidR="0025315F" w:rsidRPr="00774086" w:rsidRDefault="0025315F" w:rsidP="00606B22">
      <w:pPr>
        <w:pStyle w:val="ListParagraph"/>
        <w:spacing w:line="480" w:lineRule="auto"/>
        <w:ind w:left="2835"/>
        <w:jc w:val="center"/>
        <w:rPr>
          <w:rFonts w:ascii="Arial" w:hAnsi="Arial" w:cs="Arial"/>
          <w:b/>
          <w:sz w:val="24"/>
          <w:szCs w:val="24"/>
          <w:lang w:val="en-US"/>
        </w:rPr>
      </w:pPr>
      <w:r w:rsidRPr="00774086">
        <w:rPr>
          <w:rFonts w:ascii="Arial" w:eastAsia="Times New Roman" w:hAnsi="Arial" w:cs="Arial"/>
          <w:b/>
          <w:sz w:val="24"/>
          <w:szCs w:val="24"/>
          <w:lang w:val="en-US" w:eastAsia="es-ES"/>
        </w:rPr>
        <w:t>Figura 3.1</w:t>
      </w:r>
      <w:r>
        <w:rPr>
          <w:rFonts w:ascii="Arial" w:eastAsia="Times New Roman" w:hAnsi="Arial" w:cs="Arial"/>
          <w:b/>
          <w:sz w:val="24"/>
          <w:szCs w:val="24"/>
          <w:lang w:val="en-US" w:eastAsia="es-ES"/>
        </w:rPr>
        <w:t>3</w:t>
      </w:r>
      <w:r w:rsidRPr="00774086">
        <w:rPr>
          <w:rFonts w:ascii="Arial" w:eastAsia="Times New Roman" w:hAnsi="Arial" w:cs="Arial"/>
          <w:b/>
          <w:sz w:val="24"/>
          <w:szCs w:val="24"/>
          <w:lang w:val="en-US" w:eastAsia="es-ES"/>
        </w:rPr>
        <w:t xml:space="preserve"> </w:t>
      </w:r>
      <w:r w:rsidRPr="00774086">
        <w:rPr>
          <w:rFonts w:ascii="Arial" w:hAnsi="Arial" w:cs="Arial"/>
          <w:b/>
          <w:sz w:val="24"/>
          <w:szCs w:val="24"/>
          <w:lang w:val="en-US"/>
        </w:rPr>
        <w:t xml:space="preserve">Opción Measurement Setting, Setup de Station Manager, Nose Pro. </w:t>
      </w:r>
      <w:r w:rsidRPr="00774086">
        <w:rPr>
          <w:rStyle w:val="FootnoteReference"/>
          <w:rFonts w:ascii="Arial" w:hAnsi="Arial" w:cs="Arial"/>
          <w:b/>
          <w:sz w:val="24"/>
          <w:szCs w:val="24"/>
        </w:rPr>
        <w:footnoteReference w:id="44"/>
      </w:r>
    </w:p>
    <w:p w:rsidR="0025315F" w:rsidRPr="0093603B" w:rsidRDefault="0025315F" w:rsidP="0025315F">
      <w:pPr>
        <w:pStyle w:val="ListParagraph"/>
        <w:spacing w:line="480" w:lineRule="auto"/>
        <w:ind w:left="3544"/>
        <w:jc w:val="center"/>
        <w:rPr>
          <w:rFonts w:ascii="Arial" w:hAnsi="Arial" w:cs="Arial"/>
          <w:sz w:val="24"/>
          <w:szCs w:val="24"/>
          <w:lang w:val="en-US"/>
        </w:rPr>
      </w:pPr>
      <w:r w:rsidRPr="0093603B">
        <w:rPr>
          <w:rFonts w:ascii="Arial" w:hAnsi="Arial" w:cs="Arial"/>
          <w:sz w:val="24"/>
          <w:szCs w:val="24"/>
          <w:lang w:val="en-US"/>
        </w:rPr>
        <w:t>.</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Presionar en la barra de menú la opción FILE y elegir new</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 xml:space="preserve"> Configurar el rango de frecuencias haciendo click derecho en settings del archivo new.</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Presionar ok y regresar a la ventana de configuración principal del archivo new</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Ir a la viñeta Hardware en la ventana de SETUP</w:t>
      </w:r>
    </w:p>
    <w:p w:rsidR="0025315F" w:rsidRDefault="0025315F" w:rsidP="0025315F">
      <w:pPr>
        <w:pStyle w:val="ListParagraph"/>
        <w:spacing w:line="480" w:lineRule="auto"/>
        <w:ind w:left="2977"/>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111500" cy="2115185"/>
            <wp:effectExtent l="19050" t="0" r="0" b="0"/>
            <wp:docPr id="19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4" cstate="print"/>
                    <a:srcRect/>
                    <a:stretch>
                      <a:fillRect/>
                    </a:stretch>
                  </pic:blipFill>
                  <pic:spPr bwMode="auto">
                    <a:xfrm>
                      <a:off x="0" y="0"/>
                      <a:ext cx="3111500" cy="2115185"/>
                    </a:xfrm>
                    <a:prstGeom prst="rect">
                      <a:avLst/>
                    </a:prstGeom>
                    <a:noFill/>
                    <a:ln w="9525">
                      <a:noFill/>
                      <a:miter lim="800000"/>
                      <a:headEnd/>
                      <a:tailEnd/>
                    </a:ln>
                  </pic:spPr>
                </pic:pic>
              </a:graphicData>
            </a:graphic>
          </wp:inline>
        </w:drawing>
      </w:r>
    </w:p>
    <w:p w:rsidR="0025315F" w:rsidRPr="00774086" w:rsidRDefault="0025315F" w:rsidP="0025315F">
      <w:pPr>
        <w:pStyle w:val="ListParagraph"/>
        <w:spacing w:line="480" w:lineRule="auto"/>
        <w:ind w:left="3261"/>
        <w:jc w:val="center"/>
        <w:rPr>
          <w:rFonts w:ascii="Arial" w:hAnsi="Arial" w:cs="Arial"/>
          <w:sz w:val="24"/>
          <w:szCs w:val="24"/>
          <w:lang w:val="en-US"/>
        </w:rPr>
      </w:pPr>
      <w:r w:rsidRPr="00774086">
        <w:rPr>
          <w:rFonts w:ascii="Arial" w:eastAsia="Times New Roman" w:hAnsi="Arial" w:cs="Arial"/>
          <w:b/>
          <w:sz w:val="24"/>
          <w:szCs w:val="24"/>
          <w:lang w:val="en-US" w:eastAsia="es-ES"/>
        </w:rPr>
        <w:t>Figura 3.1</w:t>
      </w:r>
      <w:r>
        <w:rPr>
          <w:rFonts w:ascii="Arial" w:eastAsia="Times New Roman" w:hAnsi="Arial" w:cs="Arial"/>
          <w:b/>
          <w:sz w:val="24"/>
          <w:szCs w:val="24"/>
          <w:lang w:val="en-US" w:eastAsia="es-ES"/>
        </w:rPr>
        <w:t>4</w:t>
      </w:r>
      <w:r w:rsidRPr="00774086">
        <w:rPr>
          <w:rFonts w:ascii="Arial" w:eastAsia="Times New Roman" w:hAnsi="Arial" w:cs="Arial"/>
          <w:b/>
          <w:sz w:val="24"/>
          <w:szCs w:val="24"/>
          <w:lang w:val="en-US" w:eastAsia="es-ES"/>
        </w:rPr>
        <w:t xml:space="preserve"> </w:t>
      </w:r>
      <w:r w:rsidRPr="00774086">
        <w:rPr>
          <w:rFonts w:ascii="Arial" w:hAnsi="Arial" w:cs="Arial"/>
          <w:b/>
          <w:sz w:val="24"/>
          <w:szCs w:val="24"/>
          <w:lang w:val="en-US"/>
        </w:rPr>
        <w:t xml:space="preserve">Opción Hardware, Setup de Station Manager, Nose Pro. </w:t>
      </w:r>
      <w:r w:rsidRPr="00774086">
        <w:rPr>
          <w:rStyle w:val="FootnoteReference"/>
          <w:rFonts w:ascii="Arial" w:hAnsi="Arial" w:cs="Arial"/>
          <w:b/>
          <w:sz w:val="24"/>
          <w:szCs w:val="24"/>
        </w:rPr>
        <w:footnoteReference w:id="45"/>
      </w:r>
    </w:p>
    <w:p w:rsidR="0025315F" w:rsidRPr="0093603B" w:rsidRDefault="0025315F" w:rsidP="0025315F">
      <w:pPr>
        <w:pStyle w:val="ListParagraph"/>
        <w:spacing w:line="480" w:lineRule="auto"/>
        <w:ind w:left="3544"/>
        <w:jc w:val="center"/>
        <w:rPr>
          <w:rFonts w:ascii="Arial" w:hAnsi="Arial" w:cs="Arial"/>
          <w:sz w:val="24"/>
          <w:szCs w:val="24"/>
          <w:lang w:val="en-US"/>
        </w:rPr>
      </w:pPr>
      <w:r w:rsidRPr="0093603B">
        <w:rPr>
          <w:rFonts w:ascii="Arial" w:hAnsi="Arial" w:cs="Arial"/>
          <w:sz w:val="24"/>
          <w:szCs w:val="24"/>
          <w:lang w:val="en-US"/>
        </w:rPr>
        <w:t>.</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Elegir en la opción Spectrum Analizer el NARDA</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Elegir en la opción Interface COM1</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Elegir en la opción Positioning ARCS rotator</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En la misma ventana Elegir el camino del Antena Factor File que se encuentra en la carpeta de instalación del NOSE PRO</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Entra a la carpeta DATA, luego a la carpeta FACTORS y elegir el nombre del siguiente archivo</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TypicalAF_PCD8250.txt</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lastRenderedPageBreak/>
        <w:t>Luego elegir el camino del Cable Factor File que se encuentra en la carpeta de instalación del NOSE PRO 3.1.2</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Entra a la carpeta DATA, luego a la carpeta FACTORS y elegir el nombre del siguiente archivo</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TypicalCableFNRotatorCable5m.txt</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Una vez que se elijan los archivos txt, presionar el botón OK de la ventana SETUP</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Presionar el botón START de la ventana del Station Manager para iniciar la medición con la antena FIELD NOSE.</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En Station Manager escoger la opción Data y luego seleccionar archivo  y presionar download</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Ir al escritorio del programa NOSE PRO seleccionar el archivo para que se muestra los resultados</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Escoger la opción de descargar tabla, y seleccionamos nombre</w:t>
      </w:r>
    </w:p>
    <w:p w:rsidR="0025315F" w:rsidRPr="0093603B" w:rsidRDefault="0025315F" w:rsidP="0025315F">
      <w:pPr>
        <w:pStyle w:val="ListParagraph"/>
        <w:numPr>
          <w:ilvl w:val="0"/>
          <w:numId w:val="18"/>
        </w:numPr>
        <w:spacing w:line="480" w:lineRule="auto"/>
        <w:ind w:left="3544" w:hanging="709"/>
        <w:jc w:val="both"/>
        <w:rPr>
          <w:rFonts w:ascii="Arial" w:hAnsi="Arial" w:cs="Arial"/>
          <w:sz w:val="24"/>
          <w:szCs w:val="24"/>
        </w:rPr>
      </w:pPr>
      <w:r w:rsidRPr="0093603B">
        <w:rPr>
          <w:rFonts w:ascii="Arial" w:hAnsi="Arial" w:cs="Arial"/>
          <w:sz w:val="24"/>
          <w:szCs w:val="24"/>
        </w:rPr>
        <w:t xml:space="preserve">Con los datos en Excel sacamos la integral sobre la banda de frecuencia de la medición </w:t>
      </w:r>
      <w:r w:rsidRPr="0093603B">
        <w:rPr>
          <w:rFonts w:ascii="Arial" w:hAnsi="Arial" w:cs="Arial"/>
          <w:sz w:val="24"/>
          <w:szCs w:val="24"/>
        </w:rPr>
        <w:lastRenderedPageBreak/>
        <w:t xml:space="preserve">realizada, y se copia el área total bajo la curva eliminado la referencia por piso de ruido. </w:t>
      </w:r>
    </w:p>
    <w:p w:rsidR="0025315F" w:rsidRDefault="0025315F" w:rsidP="0025315F">
      <w:pPr>
        <w:pStyle w:val="ListParagraph"/>
        <w:spacing w:line="480" w:lineRule="auto"/>
        <w:ind w:left="2694"/>
        <w:rPr>
          <w:rFonts w:ascii="Arial" w:hAnsi="Arial" w:cs="Arial"/>
          <w:noProof/>
          <w:sz w:val="24"/>
          <w:szCs w:val="24"/>
          <w:lang w:eastAsia="es-ES"/>
        </w:rPr>
      </w:pPr>
      <w:r>
        <w:rPr>
          <w:rFonts w:ascii="Arial" w:hAnsi="Arial" w:cs="Arial"/>
          <w:noProof/>
          <w:sz w:val="24"/>
          <w:szCs w:val="24"/>
          <w:lang w:eastAsia="es-ES"/>
        </w:rPr>
        <w:drawing>
          <wp:inline distT="0" distB="0" distL="0" distR="0">
            <wp:extent cx="3575685" cy="2552065"/>
            <wp:effectExtent l="19050" t="0" r="5715" b="0"/>
            <wp:docPr id="1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5" cstate="print"/>
                    <a:srcRect b="4301"/>
                    <a:stretch>
                      <a:fillRect/>
                    </a:stretch>
                  </pic:blipFill>
                  <pic:spPr bwMode="auto">
                    <a:xfrm>
                      <a:off x="0" y="0"/>
                      <a:ext cx="3575685" cy="2552065"/>
                    </a:xfrm>
                    <a:prstGeom prst="rect">
                      <a:avLst/>
                    </a:prstGeom>
                    <a:noFill/>
                    <a:ln w="9525">
                      <a:noFill/>
                      <a:miter lim="800000"/>
                      <a:headEnd/>
                      <a:tailEnd/>
                    </a:ln>
                  </pic:spPr>
                </pic:pic>
              </a:graphicData>
            </a:graphic>
          </wp:inline>
        </w:drawing>
      </w:r>
    </w:p>
    <w:p w:rsidR="0025315F" w:rsidRDefault="0025315F" w:rsidP="0025315F">
      <w:pPr>
        <w:pStyle w:val="ListParagraph"/>
        <w:tabs>
          <w:tab w:val="left" w:pos="1560"/>
        </w:tabs>
        <w:spacing w:line="480" w:lineRule="auto"/>
        <w:ind w:left="2832" w:firstLine="3"/>
        <w:jc w:val="center"/>
        <w:rPr>
          <w:rFonts w:ascii="Arial" w:hAnsi="Arial" w:cs="Arial"/>
          <w:b/>
          <w:sz w:val="24"/>
          <w:szCs w:val="24"/>
        </w:rPr>
      </w:pPr>
      <w:r w:rsidRPr="00AE3ED6">
        <w:rPr>
          <w:rFonts w:ascii="Arial" w:eastAsia="Times New Roman" w:hAnsi="Arial" w:cs="Arial"/>
          <w:b/>
          <w:sz w:val="24"/>
          <w:szCs w:val="24"/>
          <w:lang w:eastAsia="es-ES"/>
        </w:rPr>
        <w:t xml:space="preserve">Figura 3.15 </w:t>
      </w:r>
      <w:r w:rsidRPr="00AE3ED6">
        <w:rPr>
          <w:rFonts w:ascii="Arial" w:hAnsi="Arial" w:cs="Arial"/>
          <w:b/>
          <w:sz w:val="24"/>
          <w:szCs w:val="24"/>
        </w:rPr>
        <w:t xml:space="preserve">Imagen en pantalla del programa Nose Pro, luego de aplicar los pasos de la medición. </w:t>
      </w:r>
      <w:r w:rsidRPr="00AE3ED6">
        <w:rPr>
          <w:rStyle w:val="FootnoteReference"/>
          <w:rFonts w:ascii="Arial" w:hAnsi="Arial" w:cs="Arial"/>
          <w:b/>
          <w:sz w:val="24"/>
          <w:szCs w:val="24"/>
        </w:rPr>
        <w:footnoteReference w:id="46"/>
      </w: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Default="0025315F" w:rsidP="0025315F">
      <w:pPr>
        <w:pStyle w:val="ListParagraph"/>
        <w:tabs>
          <w:tab w:val="left" w:pos="1560"/>
        </w:tabs>
        <w:spacing w:line="480" w:lineRule="auto"/>
        <w:ind w:left="2832" w:firstLine="3"/>
        <w:jc w:val="center"/>
        <w:rPr>
          <w:rFonts w:ascii="Arial" w:hAnsi="Arial" w:cs="Arial"/>
          <w:b/>
          <w:sz w:val="48"/>
          <w:szCs w:val="48"/>
        </w:rPr>
      </w:pPr>
    </w:p>
    <w:p w:rsidR="0025315F" w:rsidRPr="00FB31A4" w:rsidRDefault="0025315F" w:rsidP="0025315F">
      <w:pPr>
        <w:pStyle w:val="ListParagraph"/>
        <w:tabs>
          <w:tab w:val="left" w:pos="1560"/>
        </w:tabs>
        <w:spacing w:line="480" w:lineRule="auto"/>
        <w:ind w:left="2832" w:firstLine="3"/>
        <w:rPr>
          <w:rFonts w:ascii="Arial" w:hAnsi="Arial" w:cs="Arial"/>
          <w:b/>
          <w:sz w:val="24"/>
          <w:szCs w:val="24"/>
        </w:rPr>
      </w:pPr>
      <w:r w:rsidRPr="007D5822">
        <w:rPr>
          <w:rFonts w:ascii="Arial" w:hAnsi="Arial" w:cs="Arial"/>
          <w:b/>
          <w:sz w:val="48"/>
          <w:szCs w:val="48"/>
        </w:rPr>
        <w:t>CAPÍTULO 4</w:t>
      </w:r>
    </w:p>
    <w:p w:rsidR="0025315F" w:rsidRPr="004F3D14" w:rsidRDefault="0025315F" w:rsidP="0025315F">
      <w:pPr>
        <w:pStyle w:val="ListParagraph"/>
        <w:numPr>
          <w:ilvl w:val="0"/>
          <w:numId w:val="16"/>
        </w:numPr>
        <w:spacing w:line="360" w:lineRule="auto"/>
        <w:rPr>
          <w:rFonts w:ascii="Arial" w:hAnsi="Arial" w:cs="Arial"/>
          <w:b/>
          <w:sz w:val="32"/>
          <w:szCs w:val="24"/>
        </w:rPr>
      </w:pPr>
      <w:r w:rsidRPr="004F3D14">
        <w:rPr>
          <w:rFonts w:ascii="Arial" w:hAnsi="Arial" w:cs="Arial"/>
          <w:b/>
          <w:sz w:val="32"/>
          <w:szCs w:val="24"/>
        </w:rPr>
        <w:t>ANÁLISIS DE RESULTADOS</w:t>
      </w:r>
    </w:p>
    <w:p w:rsidR="0025315F" w:rsidRPr="007D5822" w:rsidRDefault="0025315F" w:rsidP="0025315F">
      <w:pPr>
        <w:pStyle w:val="ListParagraph"/>
        <w:spacing w:line="360" w:lineRule="auto"/>
        <w:jc w:val="both"/>
        <w:rPr>
          <w:rFonts w:ascii="Arial" w:hAnsi="Arial" w:cs="Arial"/>
          <w:b/>
          <w:sz w:val="32"/>
          <w:szCs w:val="24"/>
        </w:rPr>
      </w:pPr>
    </w:p>
    <w:p w:rsidR="0025315F" w:rsidRPr="007D5822" w:rsidRDefault="0025315F" w:rsidP="0025315F">
      <w:pPr>
        <w:pStyle w:val="ListParagraph"/>
        <w:numPr>
          <w:ilvl w:val="1"/>
          <w:numId w:val="16"/>
        </w:numPr>
        <w:spacing w:line="360" w:lineRule="auto"/>
        <w:ind w:left="1070"/>
        <w:jc w:val="both"/>
        <w:rPr>
          <w:rFonts w:ascii="Arial" w:hAnsi="Arial" w:cs="Arial"/>
          <w:b/>
          <w:sz w:val="24"/>
          <w:szCs w:val="24"/>
        </w:rPr>
      </w:pPr>
      <w:r w:rsidRPr="007D5822">
        <w:rPr>
          <w:rFonts w:ascii="Arial" w:hAnsi="Arial" w:cs="Arial"/>
          <w:b/>
          <w:sz w:val="24"/>
          <w:szCs w:val="24"/>
        </w:rPr>
        <w:t>Información referente a los puntos de medición</w:t>
      </w:r>
    </w:p>
    <w:p w:rsidR="0025315F" w:rsidRPr="007D5822" w:rsidRDefault="0025315F" w:rsidP="0025315F">
      <w:pPr>
        <w:pStyle w:val="ListParagraph"/>
        <w:spacing w:line="360" w:lineRule="auto"/>
        <w:jc w:val="both"/>
        <w:rPr>
          <w:rFonts w:ascii="Arial" w:hAnsi="Arial" w:cs="Arial"/>
          <w:b/>
          <w:sz w:val="24"/>
          <w:szCs w:val="24"/>
        </w:rPr>
      </w:pPr>
    </w:p>
    <w:p w:rsidR="0025315F" w:rsidRPr="007D5822" w:rsidRDefault="0025315F" w:rsidP="0025315F">
      <w:pPr>
        <w:pStyle w:val="ListParagraph"/>
        <w:numPr>
          <w:ilvl w:val="2"/>
          <w:numId w:val="16"/>
        </w:numPr>
        <w:spacing w:line="360" w:lineRule="auto"/>
        <w:jc w:val="both"/>
        <w:rPr>
          <w:rFonts w:ascii="Arial" w:hAnsi="Arial" w:cs="Arial"/>
          <w:b/>
          <w:sz w:val="24"/>
          <w:szCs w:val="24"/>
        </w:rPr>
      </w:pPr>
      <w:r w:rsidRPr="007D5822">
        <w:rPr>
          <w:rFonts w:ascii="Arial" w:hAnsi="Arial" w:cs="Arial"/>
          <w:b/>
          <w:sz w:val="24"/>
          <w:szCs w:val="24"/>
        </w:rPr>
        <w:t>Distribución de los puntos de Medición</w:t>
      </w:r>
    </w:p>
    <w:p w:rsidR="0025315F" w:rsidRPr="007D5822" w:rsidRDefault="0025315F" w:rsidP="0025315F">
      <w:pPr>
        <w:spacing w:line="360" w:lineRule="auto"/>
        <w:ind w:left="1800"/>
        <w:jc w:val="both"/>
        <w:rPr>
          <w:rFonts w:ascii="Arial" w:hAnsi="Arial" w:cs="Arial"/>
          <w:noProof/>
          <w:sz w:val="24"/>
          <w:szCs w:val="24"/>
          <w:lang w:eastAsia="es-ES"/>
        </w:rPr>
      </w:pPr>
      <w:r>
        <w:rPr>
          <w:rFonts w:ascii="Arial" w:hAnsi="Arial" w:cs="Arial"/>
          <w:noProof/>
          <w:sz w:val="24"/>
          <w:szCs w:val="24"/>
          <w:lang w:eastAsia="es-ES"/>
        </w:rPr>
        <w:t>La distribución de los puntos de medición se realiza bajo los siguientes parámetros.</w:t>
      </w:r>
    </w:p>
    <w:p w:rsidR="0025315F" w:rsidRDefault="0025315F" w:rsidP="0025315F">
      <w:pPr>
        <w:spacing w:after="0" w:line="360" w:lineRule="auto"/>
        <w:ind w:left="1800"/>
        <w:jc w:val="both"/>
        <w:rPr>
          <w:rFonts w:ascii="Arial" w:hAnsi="Arial" w:cs="Arial"/>
          <w:sz w:val="24"/>
          <w:szCs w:val="24"/>
        </w:rPr>
      </w:pPr>
      <w:r w:rsidRPr="007D5822">
        <w:rPr>
          <w:rFonts w:ascii="Arial" w:hAnsi="Arial" w:cs="Arial"/>
          <w:sz w:val="24"/>
          <w:szCs w:val="24"/>
        </w:rPr>
        <w:t>Particularmente para las mediciones de Telefonía Móvil</w:t>
      </w:r>
      <w:r>
        <w:rPr>
          <w:rFonts w:ascii="Arial" w:hAnsi="Arial" w:cs="Arial"/>
          <w:sz w:val="24"/>
          <w:szCs w:val="24"/>
        </w:rPr>
        <w:t xml:space="preserve"> tenemos</w:t>
      </w:r>
      <w:r w:rsidRPr="007D5822">
        <w:rPr>
          <w:rFonts w:ascii="Arial" w:hAnsi="Arial" w:cs="Arial"/>
          <w:sz w:val="24"/>
          <w:szCs w:val="24"/>
        </w:rPr>
        <w:t>:</w:t>
      </w:r>
    </w:p>
    <w:p w:rsidR="0025315F" w:rsidRPr="007D5822" w:rsidRDefault="0025315F" w:rsidP="0025315F">
      <w:pPr>
        <w:spacing w:after="0" w:line="360" w:lineRule="auto"/>
        <w:ind w:left="1800"/>
        <w:jc w:val="both"/>
        <w:rPr>
          <w:rFonts w:ascii="Arial" w:hAnsi="Arial" w:cs="Arial"/>
          <w:sz w:val="24"/>
          <w:szCs w:val="24"/>
        </w:rPr>
      </w:pPr>
    </w:p>
    <w:p w:rsidR="0025315F" w:rsidRPr="007D5822" w:rsidRDefault="0025315F" w:rsidP="0025315F">
      <w:pPr>
        <w:pStyle w:val="ListParagraph"/>
        <w:numPr>
          <w:ilvl w:val="0"/>
          <w:numId w:val="28"/>
        </w:numPr>
        <w:spacing w:after="0" w:line="360" w:lineRule="auto"/>
        <w:jc w:val="both"/>
        <w:rPr>
          <w:rFonts w:ascii="Arial" w:hAnsi="Arial" w:cs="Arial"/>
          <w:sz w:val="24"/>
          <w:szCs w:val="24"/>
        </w:rPr>
      </w:pPr>
      <w:r w:rsidRPr="007D5822">
        <w:rPr>
          <w:rFonts w:ascii="Arial" w:hAnsi="Arial" w:cs="Arial"/>
          <w:sz w:val="24"/>
          <w:szCs w:val="24"/>
        </w:rPr>
        <w:t>Las mediciones se efectuarán en 12 puntos alrededor de las Radio Bases de Telefonía Móvil Celular de las Operadoras Porta y Movistar, existentes en los predios de ESPOL.</w:t>
      </w:r>
    </w:p>
    <w:p w:rsidR="0025315F" w:rsidRPr="007D5822" w:rsidRDefault="0025315F" w:rsidP="0025315F">
      <w:pPr>
        <w:pStyle w:val="ListParagraph"/>
        <w:numPr>
          <w:ilvl w:val="0"/>
          <w:numId w:val="28"/>
        </w:numPr>
        <w:autoSpaceDE w:val="0"/>
        <w:autoSpaceDN w:val="0"/>
        <w:spacing w:after="0" w:line="360" w:lineRule="auto"/>
        <w:jc w:val="both"/>
        <w:rPr>
          <w:rFonts w:ascii="Arial" w:hAnsi="Arial" w:cs="Arial"/>
          <w:sz w:val="24"/>
          <w:szCs w:val="24"/>
        </w:rPr>
      </w:pPr>
      <w:r w:rsidRPr="007D5822">
        <w:rPr>
          <w:rFonts w:ascii="Arial" w:hAnsi="Arial" w:cs="Arial"/>
          <w:sz w:val="24"/>
          <w:szCs w:val="24"/>
        </w:rPr>
        <w:t xml:space="preserve">También se ejecutará las mediciones en el interior de las edificaciones dentro del campus con mayor </w:t>
      </w:r>
      <w:r w:rsidRPr="007D5822">
        <w:rPr>
          <w:rFonts w:ascii="Arial" w:hAnsi="Arial" w:cs="Arial"/>
          <w:sz w:val="24"/>
          <w:szCs w:val="24"/>
        </w:rPr>
        <w:lastRenderedPageBreak/>
        <w:t>sensibilidad a las radiaciones de la radio bases de telefonía móvil.</w:t>
      </w:r>
    </w:p>
    <w:p w:rsidR="0025315F" w:rsidRPr="007D5822" w:rsidRDefault="0025315F" w:rsidP="0025315F">
      <w:pPr>
        <w:pStyle w:val="ListParagraph"/>
        <w:numPr>
          <w:ilvl w:val="0"/>
          <w:numId w:val="28"/>
        </w:numPr>
        <w:autoSpaceDE w:val="0"/>
        <w:autoSpaceDN w:val="0"/>
        <w:spacing w:after="0" w:line="360" w:lineRule="auto"/>
        <w:jc w:val="both"/>
        <w:rPr>
          <w:rFonts w:ascii="Arial" w:hAnsi="Arial" w:cs="Arial"/>
          <w:sz w:val="24"/>
          <w:szCs w:val="24"/>
        </w:rPr>
      </w:pPr>
      <w:r>
        <w:rPr>
          <w:rFonts w:ascii="Arial" w:hAnsi="Arial" w:cs="Arial"/>
          <w:sz w:val="24"/>
          <w:szCs w:val="24"/>
        </w:rPr>
        <w:t>Se calculará</w:t>
      </w:r>
      <w:r w:rsidRPr="007D5822">
        <w:rPr>
          <w:rFonts w:ascii="Arial" w:hAnsi="Arial" w:cs="Arial"/>
          <w:sz w:val="24"/>
          <w:szCs w:val="24"/>
        </w:rPr>
        <w:t xml:space="preserve"> la Intensidad de Campo Eléctrico de la Radio Base de Porta en el rango de frecuencias correspondientes a su concesión de 869MHz-880MHz y 890MHz-891.5MHz, tecnología GSM</w:t>
      </w:r>
    </w:p>
    <w:p w:rsidR="0025315F" w:rsidRDefault="0025315F" w:rsidP="0025315F">
      <w:pPr>
        <w:pStyle w:val="ListParagraph"/>
        <w:numPr>
          <w:ilvl w:val="0"/>
          <w:numId w:val="28"/>
        </w:numPr>
        <w:autoSpaceDE w:val="0"/>
        <w:autoSpaceDN w:val="0"/>
        <w:spacing w:after="0" w:line="360" w:lineRule="auto"/>
        <w:jc w:val="both"/>
        <w:rPr>
          <w:rFonts w:ascii="Arial" w:hAnsi="Arial" w:cs="Arial"/>
          <w:sz w:val="24"/>
          <w:szCs w:val="24"/>
        </w:rPr>
      </w:pPr>
      <w:r>
        <w:rPr>
          <w:rFonts w:ascii="Arial" w:hAnsi="Arial" w:cs="Arial"/>
          <w:sz w:val="24"/>
          <w:szCs w:val="24"/>
        </w:rPr>
        <w:t>Se calculará</w:t>
      </w:r>
      <w:r w:rsidRPr="007D5822">
        <w:rPr>
          <w:rFonts w:ascii="Arial" w:hAnsi="Arial" w:cs="Arial"/>
          <w:sz w:val="24"/>
          <w:szCs w:val="24"/>
        </w:rPr>
        <w:t xml:space="preserve"> la Intensidad de Campo Eléctrico de la Radio Base de Movistar en el rango de frecuencias correspondientes a su concesión de 880MHz-890MHz y 891.5MHz-894MHz, tecnología GSM</w:t>
      </w:r>
      <w:r>
        <w:rPr>
          <w:rFonts w:ascii="Arial" w:hAnsi="Arial" w:cs="Arial"/>
          <w:sz w:val="24"/>
          <w:szCs w:val="24"/>
        </w:rPr>
        <w:t>.</w:t>
      </w:r>
    </w:p>
    <w:p w:rsidR="0025315F" w:rsidRDefault="0025315F" w:rsidP="0025315F">
      <w:pPr>
        <w:pStyle w:val="ListParagraph"/>
        <w:autoSpaceDE w:val="0"/>
        <w:autoSpaceDN w:val="0"/>
        <w:spacing w:after="0" w:line="360" w:lineRule="auto"/>
        <w:ind w:left="2484"/>
        <w:jc w:val="both"/>
        <w:rPr>
          <w:rFonts w:ascii="Arial" w:hAnsi="Arial" w:cs="Arial"/>
          <w:sz w:val="24"/>
          <w:szCs w:val="24"/>
        </w:rPr>
      </w:pPr>
    </w:p>
    <w:p w:rsidR="0025315F" w:rsidRDefault="0025315F" w:rsidP="0025315F">
      <w:pPr>
        <w:spacing w:line="360" w:lineRule="auto"/>
        <w:ind w:left="1418"/>
        <w:jc w:val="center"/>
        <w:rPr>
          <w:rFonts w:ascii="Arial" w:hAnsi="Arial" w:cs="Arial"/>
          <w:b/>
          <w:sz w:val="24"/>
          <w:szCs w:val="24"/>
        </w:rPr>
      </w:pPr>
      <w:r w:rsidRPr="004A78E4">
        <w:rPr>
          <w:rFonts w:ascii="Arial" w:hAnsi="Arial" w:cs="Arial"/>
          <w:b/>
          <w:sz w:val="24"/>
          <w:szCs w:val="24"/>
        </w:rPr>
        <w:t xml:space="preserve">Tabla </w:t>
      </w:r>
      <w:r>
        <w:rPr>
          <w:rFonts w:ascii="Arial" w:hAnsi="Arial" w:cs="Arial"/>
          <w:b/>
          <w:sz w:val="24"/>
          <w:szCs w:val="24"/>
        </w:rPr>
        <w:t>VIII</w:t>
      </w:r>
      <w:r w:rsidRPr="004A78E4">
        <w:rPr>
          <w:rFonts w:ascii="Arial" w:hAnsi="Arial" w:cs="Arial"/>
          <w:b/>
          <w:sz w:val="24"/>
          <w:szCs w:val="24"/>
        </w:rPr>
        <w:t xml:space="preserve">. </w:t>
      </w:r>
      <w:r>
        <w:rPr>
          <w:rFonts w:ascii="Arial" w:hAnsi="Arial" w:cs="Arial"/>
          <w:b/>
          <w:sz w:val="24"/>
          <w:szCs w:val="24"/>
        </w:rPr>
        <w:t>Distribución de Mediciones Telefonía Móvil en Exteriores</w:t>
      </w:r>
      <w:r>
        <w:rPr>
          <w:rStyle w:val="FootnoteReference"/>
          <w:rFonts w:ascii="Arial" w:hAnsi="Arial" w:cs="Arial"/>
          <w:b/>
          <w:sz w:val="24"/>
          <w:szCs w:val="24"/>
        </w:rPr>
        <w:footnoteReference w:id="47"/>
      </w:r>
    </w:p>
    <w:p w:rsidR="0025315F" w:rsidRDefault="0025315F" w:rsidP="0025315F">
      <w:pPr>
        <w:spacing w:line="360" w:lineRule="auto"/>
        <w:ind w:left="1418"/>
        <w:jc w:val="center"/>
        <w:rPr>
          <w:rFonts w:ascii="Arial" w:hAnsi="Arial" w:cs="Arial"/>
          <w:b/>
          <w:sz w:val="24"/>
          <w:szCs w:val="24"/>
        </w:rPr>
      </w:pPr>
    </w:p>
    <w:p w:rsidR="0025315F" w:rsidRDefault="0025315F" w:rsidP="0025315F">
      <w:pPr>
        <w:spacing w:line="360" w:lineRule="auto"/>
        <w:ind w:left="2124"/>
        <w:jc w:val="center"/>
        <w:rPr>
          <w:rFonts w:ascii="Arial" w:hAnsi="Arial" w:cs="Arial"/>
          <w:b/>
          <w:sz w:val="24"/>
          <w:szCs w:val="24"/>
        </w:rPr>
      </w:pPr>
      <w:r>
        <w:rPr>
          <w:rFonts w:ascii="Arial" w:hAnsi="Arial" w:cs="Arial"/>
          <w:b/>
          <w:noProof/>
          <w:sz w:val="24"/>
          <w:szCs w:val="24"/>
          <w:lang w:eastAsia="es-ES"/>
        </w:rPr>
        <w:drawing>
          <wp:inline distT="0" distB="0" distL="0" distR="0">
            <wp:extent cx="2783840" cy="955040"/>
            <wp:effectExtent l="19050" t="0" r="0" b="0"/>
            <wp:docPr id="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srcRect r="3368" b="7195"/>
                    <a:stretch>
                      <a:fillRect/>
                    </a:stretch>
                  </pic:blipFill>
                  <pic:spPr bwMode="auto">
                    <a:xfrm>
                      <a:off x="0" y="0"/>
                      <a:ext cx="2783840" cy="955040"/>
                    </a:xfrm>
                    <a:prstGeom prst="rect">
                      <a:avLst/>
                    </a:prstGeom>
                    <a:noFill/>
                    <a:ln w="9525">
                      <a:noFill/>
                      <a:miter lim="800000"/>
                      <a:headEnd/>
                      <a:tailEnd/>
                    </a:ln>
                  </pic:spPr>
                </pic:pic>
              </a:graphicData>
            </a:graphic>
          </wp:inline>
        </w:drawing>
      </w:r>
    </w:p>
    <w:p w:rsidR="0025315F" w:rsidRDefault="0025315F" w:rsidP="0025315F">
      <w:pPr>
        <w:spacing w:line="360" w:lineRule="auto"/>
        <w:ind w:left="1418"/>
        <w:jc w:val="center"/>
        <w:rPr>
          <w:rFonts w:ascii="Arial" w:hAnsi="Arial" w:cs="Arial"/>
          <w:b/>
          <w:sz w:val="24"/>
          <w:szCs w:val="24"/>
        </w:rPr>
      </w:pPr>
    </w:p>
    <w:p w:rsidR="00C03BDD" w:rsidRDefault="00C03BDD" w:rsidP="0025315F">
      <w:pPr>
        <w:spacing w:line="360" w:lineRule="auto"/>
        <w:ind w:left="1418"/>
        <w:jc w:val="center"/>
        <w:rPr>
          <w:rFonts w:ascii="Arial" w:hAnsi="Arial" w:cs="Arial"/>
          <w:b/>
          <w:sz w:val="24"/>
          <w:szCs w:val="24"/>
        </w:rPr>
      </w:pPr>
    </w:p>
    <w:p w:rsidR="00C03BDD" w:rsidRDefault="00C03BDD" w:rsidP="0025315F">
      <w:pPr>
        <w:spacing w:line="360" w:lineRule="auto"/>
        <w:ind w:left="1418"/>
        <w:jc w:val="center"/>
        <w:rPr>
          <w:rFonts w:ascii="Arial" w:hAnsi="Arial" w:cs="Arial"/>
          <w:b/>
          <w:sz w:val="24"/>
          <w:szCs w:val="24"/>
        </w:rPr>
      </w:pPr>
    </w:p>
    <w:p w:rsidR="00C03BDD" w:rsidRDefault="00C03BDD" w:rsidP="0025315F">
      <w:pPr>
        <w:spacing w:line="360" w:lineRule="auto"/>
        <w:ind w:left="1418"/>
        <w:jc w:val="center"/>
        <w:rPr>
          <w:rFonts w:ascii="Arial" w:hAnsi="Arial" w:cs="Arial"/>
          <w:b/>
          <w:sz w:val="24"/>
          <w:szCs w:val="24"/>
        </w:rPr>
      </w:pPr>
    </w:p>
    <w:p w:rsidR="00C03BDD" w:rsidRDefault="00C03BDD" w:rsidP="0025315F">
      <w:pPr>
        <w:spacing w:line="360" w:lineRule="auto"/>
        <w:ind w:left="1418"/>
        <w:jc w:val="center"/>
        <w:rPr>
          <w:rFonts w:ascii="Arial" w:hAnsi="Arial" w:cs="Arial"/>
          <w:b/>
          <w:sz w:val="24"/>
          <w:szCs w:val="24"/>
        </w:rPr>
      </w:pPr>
    </w:p>
    <w:p w:rsidR="0025315F" w:rsidRDefault="0025315F" w:rsidP="0025315F">
      <w:pPr>
        <w:spacing w:line="360" w:lineRule="auto"/>
        <w:ind w:left="1418"/>
        <w:jc w:val="center"/>
        <w:rPr>
          <w:rFonts w:ascii="Arial" w:hAnsi="Arial" w:cs="Arial"/>
          <w:b/>
          <w:sz w:val="24"/>
          <w:szCs w:val="24"/>
        </w:rPr>
      </w:pPr>
      <w:r w:rsidRPr="004A78E4">
        <w:rPr>
          <w:rFonts w:ascii="Arial" w:hAnsi="Arial" w:cs="Arial"/>
          <w:b/>
          <w:sz w:val="24"/>
          <w:szCs w:val="24"/>
        </w:rPr>
        <w:lastRenderedPageBreak/>
        <w:t xml:space="preserve">Tabla </w:t>
      </w:r>
      <w:r>
        <w:rPr>
          <w:rFonts w:ascii="Arial" w:hAnsi="Arial" w:cs="Arial"/>
          <w:b/>
          <w:sz w:val="24"/>
          <w:szCs w:val="24"/>
        </w:rPr>
        <w:t>IX</w:t>
      </w:r>
      <w:r w:rsidRPr="004A78E4">
        <w:rPr>
          <w:rFonts w:ascii="Arial" w:hAnsi="Arial" w:cs="Arial"/>
          <w:b/>
          <w:sz w:val="24"/>
          <w:szCs w:val="24"/>
        </w:rPr>
        <w:t xml:space="preserve">. </w:t>
      </w:r>
      <w:r>
        <w:rPr>
          <w:rFonts w:ascii="Arial" w:hAnsi="Arial" w:cs="Arial"/>
          <w:b/>
          <w:sz w:val="24"/>
          <w:szCs w:val="24"/>
        </w:rPr>
        <w:t>Distribución de Mediciones Telefonía Móvil en Edificios Cercanos</w:t>
      </w:r>
      <w:r>
        <w:rPr>
          <w:rStyle w:val="FootnoteReference"/>
          <w:rFonts w:ascii="Arial" w:hAnsi="Arial" w:cs="Arial"/>
          <w:b/>
          <w:sz w:val="24"/>
          <w:szCs w:val="24"/>
        </w:rPr>
        <w:footnoteReference w:id="48"/>
      </w:r>
    </w:p>
    <w:p w:rsidR="0025315F" w:rsidRDefault="0025315F" w:rsidP="0025315F">
      <w:pPr>
        <w:spacing w:line="360" w:lineRule="auto"/>
        <w:ind w:left="2124"/>
        <w:jc w:val="center"/>
        <w:rPr>
          <w:rFonts w:ascii="Arial" w:hAnsi="Arial" w:cs="Arial"/>
          <w:b/>
          <w:i/>
          <w:sz w:val="28"/>
          <w:szCs w:val="24"/>
        </w:rPr>
      </w:pPr>
      <w:r>
        <w:rPr>
          <w:rFonts w:ascii="Arial" w:hAnsi="Arial" w:cs="Arial"/>
          <w:b/>
          <w:i/>
          <w:noProof/>
          <w:sz w:val="28"/>
          <w:szCs w:val="24"/>
          <w:lang w:eastAsia="es-ES"/>
        </w:rPr>
        <w:drawing>
          <wp:inline distT="0" distB="0" distL="0" distR="0">
            <wp:extent cx="3111500" cy="2101850"/>
            <wp:effectExtent l="19050" t="0" r="0" b="0"/>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7" cstate="print"/>
                    <a:srcRect/>
                    <a:stretch>
                      <a:fillRect/>
                    </a:stretch>
                  </pic:blipFill>
                  <pic:spPr bwMode="auto">
                    <a:xfrm>
                      <a:off x="0" y="0"/>
                      <a:ext cx="3111500" cy="2101850"/>
                    </a:xfrm>
                    <a:prstGeom prst="rect">
                      <a:avLst/>
                    </a:prstGeom>
                    <a:noFill/>
                    <a:ln w="9525">
                      <a:noFill/>
                      <a:miter lim="800000"/>
                      <a:headEnd/>
                      <a:tailEnd/>
                    </a:ln>
                  </pic:spPr>
                </pic:pic>
              </a:graphicData>
            </a:graphic>
          </wp:inline>
        </w:drawing>
      </w:r>
    </w:p>
    <w:p w:rsidR="00DB36BA" w:rsidRPr="007D5822" w:rsidRDefault="00DB36BA" w:rsidP="0025315F">
      <w:pPr>
        <w:spacing w:line="360" w:lineRule="auto"/>
        <w:ind w:left="2124"/>
        <w:jc w:val="center"/>
        <w:rPr>
          <w:rFonts w:ascii="Arial" w:hAnsi="Arial" w:cs="Arial"/>
          <w:b/>
          <w:i/>
          <w:sz w:val="28"/>
          <w:szCs w:val="24"/>
        </w:rPr>
      </w:pPr>
    </w:p>
    <w:p w:rsidR="0025315F" w:rsidRDefault="0025315F" w:rsidP="0025315F">
      <w:pPr>
        <w:spacing w:after="0" w:line="360" w:lineRule="auto"/>
        <w:ind w:left="1843"/>
        <w:jc w:val="both"/>
        <w:rPr>
          <w:rFonts w:ascii="Arial" w:hAnsi="Arial" w:cs="Arial"/>
          <w:sz w:val="24"/>
        </w:rPr>
      </w:pPr>
      <w:r w:rsidRPr="00664A36">
        <w:rPr>
          <w:rFonts w:ascii="Arial" w:hAnsi="Arial" w:cs="Arial"/>
          <w:sz w:val="24"/>
        </w:rPr>
        <w:t>Particularmente para las mediciones de Redes Wireless LAN</w:t>
      </w:r>
    </w:p>
    <w:p w:rsidR="0025315F" w:rsidRPr="00E401AA" w:rsidRDefault="0025315F" w:rsidP="0025315F">
      <w:pPr>
        <w:spacing w:after="0" w:line="360" w:lineRule="auto"/>
        <w:ind w:left="1843"/>
        <w:jc w:val="both"/>
        <w:rPr>
          <w:rFonts w:ascii="Arial" w:hAnsi="Arial" w:cs="Arial"/>
          <w:sz w:val="12"/>
        </w:rPr>
      </w:pPr>
    </w:p>
    <w:p w:rsidR="0025315F" w:rsidRPr="00664A36" w:rsidRDefault="0025315F" w:rsidP="0025315F">
      <w:pPr>
        <w:pStyle w:val="ListParagraph"/>
        <w:numPr>
          <w:ilvl w:val="0"/>
          <w:numId w:val="29"/>
        </w:numPr>
        <w:tabs>
          <w:tab w:val="left" w:pos="2552"/>
        </w:tabs>
        <w:spacing w:after="0" w:line="360" w:lineRule="auto"/>
        <w:ind w:left="2552" w:hanging="425"/>
        <w:jc w:val="both"/>
        <w:rPr>
          <w:rFonts w:ascii="Arial" w:hAnsi="Arial" w:cs="Arial"/>
          <w:sz w:val="24"/>
        </w:rPr>
      </w:pPr>
      <w:r w:rsidRPr="00664A36">
        <w:rPr>
          <w:rFonts w:ascii="Arial" w:hAnsi="Arial" w:cs="Arial"/>
          <w:sz w:val="24"/>
        </w:rPr>
        <w:t>En ambientes interiores mediremos  la intensidad de campo eléctrico del canal de red Wireless LAN que se utilice</w:t>
      </w:r>
      <w:r w:rsidR="00DB36BA">
        <w:rPr>
          <w:rFonts w:ascii="Arial" w:hAnsi="Arial" w:cs="Arial"/>
          <w:sz w:val="24"/>
        </w:rPr>
        <w:t xml:space="preserve"> </w:t>
      </w:r>
      <w:r w:rsidRPr="00664A36">
        <w:rPr>
          <w:rFonts w:ascii="Arial" w:hAnsi="Arial" w:cs="Arial"/>
          <w:sz w:val="24"/>
        </w:rPr>
        <w:t xml:space="preserve"> en el interior del predio en ese momento.</w:t>
      </w:r>
    </w:p>
    <w:p w:rsidR="0025315F" w:rsidRPr="003C4424" w:rsidRDefault="0025315F" w:rsidP="0025315F">
      <w:pPr>
        <w:pStyle w:val="ListParagraph"/>
        <w:numPr>
          <w:ilvl w:val="0"/>
          <w:numId w:val="29"/>
        </w:numPr>
        <w:tabs>
          <w:tab w:val="left" w:pos="2552"/>
        </w:tabs>
        <w:spacing w:after="0" w:line="360" w:lineRule="auto"/>
        <w:ind w:left="2552" w:hanging="425"/>
        <w:jc w:val="both"/>
        <w:rPr>
          <w:rFonts w:ascii="Arial" w:hAnsi="Arial" w:cs="Arial"/>
          <w:sz w:val="24"/>
        </w:rPr>
      </w:pPr>
      <w:r>
        <w:rPr>
          <w:rFonts w:ascii="Arial" w:hAnsi="Arial" w:cs="Arial"/>
          <w:sz w:val="24"/>
        </w:rPr>
        <w:t>Se calculará</w:t>
      </w:r>
      <w:r w:rsidRPr="00664A36">
        <w:rPr>
          <w:rFonts w:ascii="Arial" w:hAnsi="Arial" w:cs="Arial"/>
          <w:sz w:val="24"/>
        </w:rPr>
        <w:t xml:space="preserve"> la Intensidad de Campo Eléctrico del </w:t>
      </w:r>
      <w:r w:rsidRPr="003C4424">
        <w:rPr>
          <w:rFonts w:ascii="Arial" w:hAnsi="Arial" w:cs="Arial"/>
          <w:sz w:val="24"/>
        </w:rPr>
        <w:t>Trasmisor Wireless LAN en el canal correspondiente en la banda de 2.4 a 2.5 GHz.</w:t>
      </w:r>
    </w:p>
    <w:p w:rsidR="0025315F" w:rsidRPr="003C4424" w:rsidRDefault="0025315F" w:rsidP="0025315F">
      <w:pPr>
        <w:pStyle w:val="ListParagraph"/>
        <w:numPr>
          <w:ilvl w:val="0"/>
          <w:numId w:val="29"/>
        </w:numPr>
        <w:tabs>
          <w:tab w:val="left" w:pos="2552"/>
        </w:tabs>
        <w:spacing w:after="0" w:line="360" w:lineRule="auto"/>
        <w:ind w:left="2552" w:hanging="425"/>
        <w:jc w:val="both"/>
        <w:rPr>
          <w:rFonts w:ascii="Arial" w:hAnsi="Arial" w:cs="Arial"/>
          <w:sz w:val="24"/>
        </w:rPr>
      </w:pPr>
      <w:r w:rsidRPr="003C4424">
        <w:rPr>
          <w:rFonts w:ascii="Arial" w:hAnsi="Arial" w:cs="Arial"/>
          <w:sz w:val="24"/>
        </w:rPr>
        <w:t>La medición se realizara a no más de 10 metros de la ubicación del punto de acceso wireless.</w:t>
      </w:r>
    </w:p>
    <w:p w:rsidR="0025315F" w:rsidRDefault="0025315F" w:rsidP="0025315F">
      <w:pPr>
        <w:spacing w:line="360" w:lineRule="auto"/>
        <w:ind w:left="1701"/>
        <w:jc w:val="center"/>
        <w:rPr>
          <w:rFonts w:ascii="Arial" w:hAnsi="Arial" w:cs="Arial"/>
          <w:b/>
          <w:sz w:val="10"/>
          <w:szCs w:val="24"/>
        </w:rPr>
      </w:pPr>
    </w:p>
    <w:p w:rsidR="00C03BDD" w:rsidRDefault="00C03BDD" w:rsidP="0025315F">
      <w:pPr>
        <w:spacing w:line="360" w:lineRule="auto"/>
        <w:ind w:left="1701"/>
        <w:jc w:val="center"/>
        <w:rPr>
          <w:rFonts w:ascii="Arial" w:hAnsi="Arial" w:cs="Arial"/>
          <w:b/>
          <w:sz w:val="10"/>
          <w:szCs w:val="24"/>
        </w:rPr>
      </w:pPr>
    </w:p>
    <w:p w:rsidR="00C03BDD" w:rsidRDefault="00C03BDD" w:rsidP="0025315F">
      <w:pPr>
        <w:spacing w:line="360" w:lineRule="auto"/>
        <w:ind w:left="1701"/>
        <w:jc w:val="center"/>
        <w:rPr>
          <w:rFonts w:ascii="Arial" w:hAnsi="Arial" w:cs="Arial"/>
          <w:b/>
          <w:sz w:val="10"/>
          <w:szCs w:val="24"/>
        </w:rPr>
      </w:pPr>
    </w:p>
    <w:p w:rsidR="00C03BDD" w:rsidRDefault="00C03BDD" w:rsidP="0025315F">
      <w:pPr>
        <w:spacing w:line="360" w:lineRule="auto"/>
        <w:ind w:left="1701"/>
        <w:jc w:val="center"/>
        <w:rPr>
          <w:rFonts w:ascii="Arial" w:hAnsi="Arial" w:cs="Arial"/>
          <w:b/>
          <w:sz w:val="10"/>
          <w:szCs w:val="24"/>
        </w:rPr>
      </w:pPr>
    </w:p>
    <w:p w:rsidR="00DB36BA" w:rsidRPr="00E401AA" w:rsidRDefault="00DB36BA" w:rsidP="0025315F">
      <w:pPr>
        <w:spacing w:line="360" w:lineRule="auto"/>
        <w:ind w:left="1701"/>
        <w:jc w:val="center"/>
        <w:rPr>
          <w:rFonts w:ascii="Arial" w:hAnsi="Arial" w:cs="Arial"/>
          <w:b/>
          <w:sz w:val="10"/>
          <w:szCs w:val="24"/>
        </w:rPr>
      </w:pPr>
    </w:p>
    <w:p w:rsidR="0025315F" w:rsidRPr="00664A36" w:rsidRDefault="0025315F" w:rsidP="0025315F">
      <w:pPr>
        <w:spacing w:line="360" w:lineRule="auto"/>
        <w:ind w:left="1701"/>
        <w:jc w:val="center"/>
        <w:rPr>
          <w:rFonts w:ascii="Arial" w:hAnsi="Arial" w:cs="Arial"/>
          <w:b/>
          <w:sz w:val="24"/>
          <w:szCs w:val="24"/>
        </w:rPr>
      </w:pPr>
      <w:r w:rsidRPr="00664A36">
        <w:rPr>
          <w:rFonts w:ascii="Arial" w:hAnsi="Arial" w:cs="Arial"/>
          <w:b/>
          <w:sz w:val="24"/>
          <w:szCs w:val="24"/>
        </w:rPr>
        <w:lastRenderedPageBreak/>
        <w:t xml:space="preserve">Tabla </w:t>
      </w:r>
      <w:r>
        <w:rPr>
          <w:rFonts w:ascii="Arial" w:hAnsi="Arial" w:cs="Arial"/>
          <w:b/>
          <w:sz w:val="24"/>
          <w:szCs w:val="24"/>
        </w:rPr>
        <w:t>X</w:t>
      </w:r>
      <w:r w:rsidRPr="00664A36">
        <w:rPr>
          <w:rFonts w:ascii="Arial" w:hAnsi="Arial" w:cs="Arial"/>
          <w:b/>
          <w:sz w:val="24"/>
          <w:szCs w:val="24"/>
        </w:rPr>
        <w:t xml:space="preserve">. Distribución de Mediciones de los puntos de acceso inalámbrico de la Red </w:t>
      </w:r>
      <w:r>
        <w:rPr>
          <w:rFonts w:ascii="Arial" w:hAnsi="Arial" w:cs="Arial"/>
          <w:b/>
          <w:sz w:val="24"/>
          <w:szCs w:val="24"/>
        </w:rPr>
        <w:t>ESPOL</w:t>
      </w:r>
      <w:r w:rsidRPr="00664A36">
        <w:rPr>
          <w:rStyle w:val="FootnoteReference"/>
          <w:rFonts w:ascii="Arial" w:hAnsi="Arial" w:cs="Arial"/>
          <w:b/>
          <w:sz w:val="24"/>
          <w:szCs w:val="24"/>
        </w:rPr>
        <w:footnoteReference w:id="49"/>
      </w:r>
    </w:p>
    <w:p w:rsidR="0025315F" w:rsidRDefault="0025315F" w:rsidP="0025315F">
      <w:pPr>
        <w:tabs>
          <w:tab w:val="left" w:pos="2552"/>
        </w:tabs>
        <w:spacing w:after="0" w:line="360" w:lineRule="auto"/>
        <w:ind w:left="1843"/>
        <w:jc w:val="center"/>
        <w:rPr>
          <w:rFonts w:ascii="Arial" w:hAnsi="Arial" w:cs="Arial"/>
          <w:noProof/>
          <w:lang w:eastAsia="es-ES"/>
        </w:rPr>
      </w:pPr>
      <w:r>
        <w:rPr>
          <w:rFonts w:ascii="Arial" w:hAnsi="Arial" w:cs="Arial"/>
          <w:noProof/>
          <w:lang w:eastAsia="es-ES"/>
        </w:rPr>
        <w:drawing>
          <wp:inline distT="0" distB="0" distL="0" distR="0">
            <wp:extent cx="2257425" cy="4088337"/>
            <wp:effectExtent l="19050" t="0" r="9525" b="0"/>
            <wp:docPr id="1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8" cstate="print"/>
                    <a:srcRect/>
                    <a:stretch>
                      <a:fillRect/>
                    </a:stretch>
                  </pic:blipFill>
                  <pic:spPr bwMode="auto">
                    <a:xfrm>
                      <a:off x="0" y="0"/>
                      <a:ext cx="2258070" cy="4089504"/>
                    </a:xfrm>
                    <a:prstGeom prst="rect">
                      <a:avLst/>
                    </a:prstGeom>
                    <a:noFill/>
                    <a:ln w="9525">
                      <a:noFill/>
                      <a:miter lim="800000"/>
                      <a:headEnd/>
                      <a:tailEnd/>
                    </a:ln>
                  </pic:spPr>
                </pic:pic>
              </a:graphicData>
            </a:graphic>
          </wp:inline>
        </w:drawing>
      </w:r>
    </w:p>
    <w:p w:rsidR="0025315F" w:rsidRPr="00C03BDD" w:rsidRDefault="0025315F" w:rsidP="0025315F">
      <w:pPr>
        <w:tabs>
          <w:tab w:val="left" w:pos="2552"/>
        </w:tabs>
        <w:spacing w:after="0" w:line="360" w:lineRule="auto"/>
        <w:ind w:left="1843"/>
        <w:jc w:val="center"/>
        <w:rPr>
          <w:rFonts w:ascii="Arial" w:hAnsi="Arial" w:cs="Arial"/>
          <w:sz w:val="14"/>
        </w:rPr>
      </w:pPr>
    </w:p>
    <w:p w:rsidR="0025315F" w:rsidRDefault="0025315F" w:rsidP="0025315F">
      <w:pPr>
        <w:spacing w:after="0" w:line="360" w:lineRule="auto"/>
        <w:ind w:left="1843"/>
        <w:jc w:val="both"/>
        <w:rPr>
          <w:rFonts w:ascii="Arial" w:hAnsi="Arial" w:cs="Arial"/>
          <w:sz w:val="24"/>
          <w:szCs w:val="24"/>
        </w:rPr>
      </w:pPr>
      <w:r w:rsidRPr="00664A36">
        <w:rPr>
          <w:rFonts w:ascii="Arial" w:hAnsi="Arial" w:cs="Arial"/>
          <w:sz w:val="24"/>
          <w:szCs w:val="24"/>
        </w:rPr>
        <w:t>Para la Medición a Múltiples Fuentes</w:t>
      </w:r>
    </w:p>
    <w:p w:rsidR="0025315F" w:rsidRPr="00C03BDD" w:rsidRDefault="0025315F" w:rsidP="0025315F">
      <w:pPr>
        <w:spacing w:after="0" w:line="360" w:lineRule="auto"/>
        <w:ind w:left="1843"/>
        <w:jc w:val="both"/>
        <w:rPr>
          <w:rFonts w:ascii="Arial" w:hAnsi="Arial" w:cs="Arial"/>
          <w:sz w:val="16"/>
          <w:szCs w:val="24"/>
        </w:rPr>
      </w:pPr>
    </w:p>
    <w:p w:rsidR="0025315F" w:rsidRPr="00664A36" w:rsidRDefault="0025315F" w:rsidP="0025315F">
      <w:pPr>
        <w:pStyle w:val="ListParagraph"/>
        <w:numPr>
          <w:ilvl w:val="0"/>
          <w:numId w:val="30"/>
        </w:numPr>
        <w:spacing w:after="0" w:line="360" w:lineRule="auto"/>
        <w:jc w:val="both"/>
        <w:rPr>
          <w:rFonts w:ascii="Arial" w:hAnsi="Arial" w:cs="Arial"/>
          <w:b/>
          <w:sz w:val="24"/>
          <w:szCs w:val="24"/>
        </w:rPr>
      </w:pPr>
      <w:r w:rsidRPr="00664A36">
        <w:rPr>
          <w:rFonts w:ascii="Arial" w:hAnsi="Arial" w:cs="Arial"/>
          <w:sz w:val="24"/>
          <w:szCs w:val="24"/>
        </w:rPr>
        <w:t>Mediremos la contribución individual de varios sistemas de comunicación que funcionan a diferentes frecuencias entre ellas Broadcasting (Radio</w:t>
      </w:r>
      <w:r>
        <w:rPr>
          <w:rFonts w:ascii="Arial" w:hAnsi="Arial" w:cs="Arial"/>
          <w:sz w:val="24"/>
          <w:szCs w:val="24"/>
        </w:rPr>
        <w:t xml:space="preserve"> FM </w:t>
      </w:r>
      <w:r w:rsidRPr="00664A36">
        <w:rPr>
          <w:rFonts w:ascii="Arial" w:hAnsi="Arial" w:cs="Arial"/>
          <w:sz w:val="24"/>
          <w:szCs w:val="24"/>
        </w:rPr>
        <w:t>y Televisión</w:t>
      </w:r>
      <w:r>
        <w:rPr>
          <w:rFonts w:ascii="Arial" w:hAnsi="Arial" w:cs="Arial"/>
          <w:sz w:val="24"/>
          <w:szCs w:val="24"/>
        </w:rPr>
        <w:t xml:space="preserve"> Abierta</w:t>
      </w:r>
      <w:r w:rsidRPr="00664A36">
        <w:rPr>
          <w:rFonts w:ascii="Arial" w:hAnsi="Arial" w:cs="Arial"/>
          <w:sz w:val="24"/>
          <w:szCs w:val="24"/>
        </w:rPr>
        <w:t>)</w:t>
      </w:r>
      <w:r>
        <w:rPr>
          <w:rFonts w:ascii="Arial" w:hAnsi="Arial" w:cs="Arial"/>
          <w:sz w:val="24"/>
          <w:szCs w:val="24"/>
        </w:rPr>
        <w:t xml:space="preserve"> y Telefonía Móvil</w:t>
      </w:r>
      <w:r w:rsidRPr="00664A36">
        <w:rPr>
          <w:rFonts w:ascii="Arial" w:hAnsi="Arial" w:cs="Arial"/>
          <w:sz w:val="24"/>
          <w:szCs w:val="24"/>
        </w:rPr>
        <w:t>.</w:t>
      </w:r>
    </w:p>
    <w:p w:rsidR="0025315F" w:rsidRPr="00664A36" w:rsidRDefault="0025315F" w:rsidP="0025315F">
      <w:pPr>
        <w:pStyle w:val="ListParagraph"/>
        <w:numPr>
          <w:ilvl w:val="0"/>
          <w:numId w:val="30"/>
        </w:numPr>
        <w:spacing w:after="0" w:line="360" w:lineRule="auto"/>
        <w:jc w:val="both"/>
        <w:rPr>
          <w:rFonts w:ascii="Arial" w:hAnsi="Arial" w:cs="Arial"/>
          <w:b/>
          <w:sz w:val="24"/>
          <w:szCs w:val="24"/>
        </w:rPr>
      </w:pPr>
      <w:r w:rsidRPr="00664A36">
        <w:rPr>
          <w:rFonts w:ascii="Arial" w:hAnsi="Arial" w:cs="Arial"/>
          <w:sz w:val="24"/>
          <w:szCs w:val="24"/>
        </w:rPr>
        <w:t xml:space="preserve">La ubicación del punto de medición se hará en el lugar más cercano a Cerro Azul, ya que posee una gran concentración de antenas de radio. </w:t>
      </w:r>
    </w:p>
    <w:p w:rsidR="0025315F" w:rsidRPr="00664A36" w:rsidRDefault="0025315F" w:rsidP="0025315F">
      <w:pPr>
        <w:pStyle w:val="ListParagraph"/>
        <w:spacing w:after="0" w:line="360" w:lineRule="auto"/>
        <w:ind w:left="2484"/>
        <w:jc w:val="both"/>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w:t>
      </w:r>
      <w:r w:rsidRPr="00664A36">
        <w:rPr>
          <w:rFonts w:ascii="Arial" w:hAnsi="Arial" w:cs="Arial"/>
          <w:b/>
          <w:sz w:val="24"/>
          <w:szCs w:val="24"/>
        </w:rPr>
        <w:t xml:space="preserve">I. Distribución de Mediciones de los puntos de acceso inalámbrico de la Red </w:t>
      </w:r>
      <w:r w:rsidRPr="00664A36">
        <w:rPr>
          <w:rStyle w:val="FootnoteReference"/>
          <w:rFonts w:ascii="Arial" w:hAnsi="Arial" w:cs="Arial"/>
          <w:b/>
          <w:sz w:val="24"/>
          <w:szCs w:val="24"/>
        </w:rPr>
        <w:footnoteReference w:id="50"/>
      </w:r>
    </w:p>
    <w:p w:rsidR="0025315F" w:rsidRDefault="0025315F" w:rsidP="0025315F">
      <w:pPr>
        <w:spacing w:line="360" w:lineRule="auto"/>
        <w:ind w:left="1843"/>
        <w:jc w:val="center"/>
        <w:rPr>
          <w:rFonts w:ascii="Arial" w:hAnsi="Arial" w:cs="Arial"/>
          <w:b/>
          <w:noProof/>
          <w:sz w:val="24"/>
          <w:szCs w:val="24"/>
          <w:lang w:eastAsia="es-ES"/>
        </w:rPr>
      </w:pPr>
      <w:r>
        <w:rPr>
          <w:rFonts w:ascii="Arial" w:hAnsi="Arial" w:cs="Arial"/>
          <w:b/>
          <w:noProof/>
          <w:sz w:val="24"/>
          <w:szCs w:val="24"/>
          <w:lang w:eastAsia="es-ES"/>
        </w:rPr>
        <w:drawing>
          <wp:inline distT="0" distB="0" distL="0" distR="0">
            <wp:extent cx="3616960" cy="750570"/>
            <wp:effectExtent l="19050" t="0" r="2540" b="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cstate="print"/>
                    <a:srcRect/>
                    <a:stretch>
                      <a:fillRect/>
                    </a:stretch>
                  </pic:blipFill>
                  <pic:spPr bwMode="auto">
                    <a:xfrm>
                      <a:off x="0" y="0"/>
                      <a:ext cx="3616960" cy="750570"/>
                    </a:xfrm>
                    <a:prstGeom prst="rect">
                      <a:avLst/>
                    </a:prstGeom>
                    <a:noFill/>
                    <a:ln w="9525">
                      <a:noFill/>
                      <a:miter lim="800000"/>
                      <a:headEnd/>
                      <a:tailEnd/>
                    </a:ln>
                  </pic:spPr>
                </pic:pic>
              </a:graphicData>
            </a:graphic>
          </wp:inline>
        </w:drawing>
      </w:r>
    </w:p>
    <w:p w:rsidR="0025315F" w:rsidRPr="007D5822" w:rsidRDefault="0025315F" w:rsidP="0025315F">
      <w:pPr>
        <w:spacing w:line="360" w:lineRule="auto"/>
        <w:ind w:left="1843"/>
        <w:jc w:val="center"/>
        <w:rPr>
          <w:rFonts w:ascii="Arial" w:hAnsi="Arial" w:cs="Arial"/>
          <w:b/>
          <w:sz w:val="24"/>
          <w:szCs w:val="24"/>
        </w:rPr>
      </w:pPr>
    </w:p>
    <w:p w:rsidR="0025315F" w:rsidRPr="007D5822" w:rsidRDefault="0025315F" w:rsidP="0025315F">
      <w:pPr>
        <w:pStyle w:val="ListParagraph"/>
        <w:numPr>
          <w:ilvl w:val="3"/>
          <w:numId w:val="16"/>
        </w:numPr>
        <w:spacing w:line="360" w:lineRule="auto"/>
        <w:ind w:left="2127" w:hanging="992"/>
        <w:jc w:val="both"/>
        <w:rPr>
          <w:rFonts w:ascii="Arial" w:hAnsi="Arial" w:cs="Arial"/>
          <w:b/>
          <w:sz w:val="24"/>
          <w:szCs w:val="24"/>
        </w:rPr>
      </w:pPr>
      <w:r w:rsidRPr="007D5822">
        <w:rPr>
          <w:rFonts w:ascii="Arial" w:hAnsi="Arial" w:cs="Arial"/>
          <w:b/>
          <w:sz w:val="24"/>
          <w:szCs w:val="24"/>
        </w:rPr>
        <w:t>Puntos de Medición para Redes de Telefonía Móvil</w:t>
      </w:r>
    </w:p>
    <w:p w:rsidR="0025315F" w:rsidRPr="007D5822" w:rsidRDefault="0025315F" w:rsidP="0025315F">
      <w:pPr>
        <w:pStyle w:val="ListParagraph"/>
        <w:spacing w:line="360" w:lineRule="auto"/>
        <w:ind w:left="2832"/>
        <w:jc w:val="both"/>
        <w:rPr>
          <w:rFonts w:ascii="Arial" w:hAnsi="Arial" w:cs="Arial"/>
          <w:b/>
          <w:sz w:val="24"/>
          <w:szCs w:val="24"/>
        </w:rPr>
      </w:pPr>
    </w:p>
    <w:p w:rsidR="0025315F"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 xml:space="preserve">En las mediciones realizados en la cercanía de las radio bases celulares que se encuentran en predios de ESPOL, se utilizo la referencia establecida en la normativa local </w:t>
      </w:r>
      <w:r w:rsidRPr="007D5822">
        <w:rPr>
          <w:rFonts w:ascii="Arial" w:hAnsi="Arial" w:cs="Arial"/>
          <w:bCs/>
          <w:color w:val="000000"/>
          <w:sz w:val="24"/>
          <w:szCs w:val="24"/>
        </w:rPr>
        <w:t xml:space="preserve">Reglamento de Protección de Radiación de Emisiones de Radiación No Ionizantes; el cual manifiesta la ubicación de </w:t>
      </w:r>
      <w:r w:rsidRPr="007D5822">
        <w:rPr>
          <w:rFonts w:ascii="Arial" w:hAnsi="Arial" w:cs="Arial"/>
          <w:sz w:val="24"/>
          <w:szCs w:val="24"/>
        </w:rPr>
        <w:t>12 puntos georeferenciados para realizar las mediciones de radiaciones no ionizantes.</w:t>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2832"/>
        <w:jc w:val="both"/>
        <w:rPr>
          <w:rFonts w:ascii="Arial" w:hAnsi="Arial" w:cs="Arial"/>
          <w:sz w:val="24"/>
          <w:szCs w:val="24"/>
        </w:rPr>
      </w:pPr>
    </w:p>
    <w:p w:rsidR="0025315F" w:rsidRDefault="0025315F" w:rsidP="0025315F">
      <w:pPr>
        <w:pStyle w:val="ListParagraph"/>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4067175" cy="4244340"/>
            <wp:effectExtent l="19050" t="0" r="9525" b="0"/>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cstate="print"/>
                    <a:srcRect/>
                    <a:stretch>
                      <a:fillRect/>
                    </a:stretch>
                  </pic:blipFill>
                  <pic:spPr bwMode="auto">
                    <a:xfrm>
                      <a:off x="0" y="0"/>
                      <a:ext cx="4067175" cy="424434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851"/>
        <w:jc w:val="center"/>
        <w:rPr>
          <w:rFonts w:ascii="Arial" w:hAnsi="Arial" w:cs="Arial"/>
          <w:sz w:val="24"/>
          <w:szCs w:val="24"/>
        </w:rPr>
      </w:pPr>
    </w:p>
    <w:p w:rsidR="0025315F" w:rsidRPr="00B8119E" w:rsidRDefault="0025315F" w:rsidP="0025315F">
      <w:pPr>
        <w:pStyle w:val="ListParagraph"/>
        <w:spacing w:line="360" w:lineRule="auto"/>
        <w:ind w:left="1985"/>
        <w:jc w:val="center"/>
        <w:rPr>
          <w:rFonts w:ascii="Arial" w:hAnsi="Arial" w:cs="Arial"/>
          <w:b/>
          <w:sz w:val="24"/>
          <w:szCs w:val="24"/>
        </w:rPr>
      </w:pPr>
      <w:r w:rsidRPr="00B8119E">
        <w:rPr>
          <w:rFonts w:ascii="Arial" w:hAnsi="Arial" w:cs="Arial"/>
          <w:b/>
          <w:sz w:val="24"/>
          <w:szCs w:val="24"/>
        </w:rPr>
        <w:t xml:space="preserve">Figura 4.1 </w:t>
      </w:r>
      <w:r>
        <w:rPr>
          <w:rFonts w:ascii="Arial" w:hAnsi="Arial" w:cs="Arial"/>
          <w:b/>
          <w:sz w:val="24"/>
          <w:szCs w:val="24"/>
        </w:rPr>
        <w:t xml:space="preserve">Ubicación de puntos de medición en la </w:t>
      </w:r>
      <w:r w:rsidRPr="00B8119E">
        <w:rPr>
          <w:rFonts w:ascii="Arial" w:hAnsi="Arial" w:cs="Arial"/>
          <w:b/>
          <w:sz w:val="24"/>
          <w:szCs w:val="24"/>
        </w:rPr>
        <w:t>Radio Base de Porta (Superior) y Radio Base Movistar (Inferior) en predios de ESPOL.</w:t>
      </w:r>
      <w:r w:rsidRPr="00B8119E">
        <w:rPr>
          <w:rStyle w:val="FootnoteReference"/>
          <w:rFonts w:ascii="Arial" w:hAnsi="Arial" w:cs="Arial"/>
          <w:b/>
          <w:sz w:val="24"/>
          <w:szCs w:val="24"/>
        </w:rPr>
        <w:t xml:space="preserve"> </w:t>
      </w:r>
      <w:r w:rsidRPr="00B8119E">
        <w:rPr>
          <w:rStyle w:val="FootnoteReference"/>
          <w:rFonts w:ascii="Arial" w:hAnsi="Arial" w:cs="Arial"/>
          <w:b/>
          <w:sz w:val="24"/>
          <w:szCs w:val="24"/>
        </w:rPr>
        <w:footnoteReference w:id="51"/>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Para las mediciones en la banda de frecuencias de telefonía móvil, se las ha separado por operadoras.</w:t>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La referencia de los puntos de ubicación alrededor de la antena de telefonía móvil correspondiente a la operadora Porta, se muestra en la siguiente tabla.</w:t>
      </w:r>
    </w:p>
    <w:p w:rsidR="0025315F" w:rsidRDefault="0025315F" w:rsidP="0025315F">
      <w:pPr>
        <w:pStyle w:val="ListParagraph"/>
        <w:spacing w:line="360" w:lineRule="auto"/>
        <w:ind w:left="1843"/>
        <w:jc w:val="center"/>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w:t>
      </w:r>
      <w:r w:rsidRPr="00664A36">
        <w:rPr>
          <w:rFonts w:ascii="Arial" w:hAnsi="Arial" w:cs="Arial"/>
          <w:b/>
          <w:sz w:val="24"/>
          <w:szCs w:val="24"/>
        </w:rPr>
        <w:t>I</w:t>
      </w:r>
      <w:r>
        <w:rPr>
          <w:rFonts w:ascii="Arial" w:hAnsi="Arial" w:cs="Arial"/>
          <w:b/>
          <w:sz w:val="24"/>
          <w:szCs w:val="24"/>
        </w:rPr>
        <w:t>I</w:t>
      </w:r>
      <w:r w:rsidRPr="00664A36">
        <w:rPr>
          <w:rFonts w:ascii="Arial" w:hAnsi="Arial" w:cs="Arial"/>
          <w:b/>
          <w:sz w:val="24"/>
          <w:szCs w:val="24"/>
        </w:rPr>
        <w:t xml:space="preserve">. </w:t>
      </w:r>
      <w:r>
        <w:rPr>
          <w:rFonts w:ascii="Arial" w:hAnsi="Arial" w:cs="Arial"/>
          <w:b/>
          <w:sz w:val="24"/>
          <w:szCs w:val="24"/>
        </w:rPr>
        <w:t>Información puntos de medición alrededor Radio Base Porta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2"/>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1985"/>
        <w:jc w:val="center"/>
        <w:rPr>
          <w:rFonts w:ascii="Arial" w:hAnsi="Arial" w:cs="Arial"/>
          <w:b/>
          <w:sz w:val="24"/>
          <w:szCs w:val="24"/>
        </w:rPr>
      </w:pPr>
      <w:r>
        <w:rPr>
          <w:rFonts w:ascii="Arial" w:hAnsi="Arial" w:cs="Arial"/>
          <w:b/>
          <w:noProof/>
          <w:sz w:val="24"/>
          <w:szCs w:val="24"/>
          <w:lang w:eastAsia="es-ES"/>
        </w:rPr>
        <w:drawing>
          <wp:inline distT="0" distB="0" distL="0" distR="0">
            <wp:extent cx="3943985" cy="2934335"/>
            <wp:effectExtent l="19050" t="0" r="0" b="0"/>
            <wp:docPr id="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cstate="print"/>
                    <a:srcRect/>
                    <a:stretch>
                      <a:fillRect/>
                    </a:stretch>
                  </pic:blipFill>
                  <pic:spPr bwMode="auto">
                    <a:xfrm>
                      <a:off x="0" y="0"/>
                      <a:ext cx="3943985" cy="2934335"/>
                    </a:xfrm>
                    <a:prstGeom prst="rect">
                      <a:avLst/>
                    </a:prstGeom>
                    <a:noFill/>
                    <a:ln w="9525">
                      <a:noFill/>
                      <a:miter lim="800000"/>
                      <a:headEnd/>
                      <a:tailEnd/>
                    </a:ln>
                  </pic:spPr>
                </pic:pic>
              </a:graphicData>
            </a:graphic>
          </wp:inline>
        </w:drawing>
      </w:r>
    </w:p>
    <w:p w:rsidR="0025315F" w:rsidRPr="007D5822" w:rsidRDefault="0025315F" w:rsidP="0025315F">
      <w:pPr>
        <w:pStyle w:val="ListParagraph"/>
        <w:spacing w:line="360" w:lineRule="auto"/>
        <w:ind w:left="1985"/>
        <w:jc w:val="both"/>
        <w:rPr>
          <w:rFonts w:ascii="Arial" w:hAnsi="Arial" w:cs="Arial"/>
          <w:b/>
          <w:sz w:val="24"/>
          <w:szCs w:val="24"/>
        </w:rPr>
      </w:pP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La referencia de los puntos de ubicación de los edificios cercanos a la radio base de telefonía móvil correspondiente a la operadora Porta, se muestra en la siguiente tabla.</w:t>
      </w:r>
    </w:p>
    <w:p w:rsidR="0025315F" w:rsidRDefault="0025315F" w:rsidP="0025315F">
      <w:pPr>
        <w:pStyle w:val="ListParagraph"/>
        <w:spacing w:line="360" w:lineRule="auto"/>
        <w:ind w:left="1985"/>
        <w:jc w:val="both"/>
        <w:rPr>
          <w:rFonts w:ascii="Arial" w:hAnsi="Arial" w:cs="Arial"/>
          <w:b/>
          <w:sz w:val="24"/>
          <w:szCs w:val="24"/>
        </w:rPr>
      </w:pPr>
    </w:p>
    <w:p w:rsidR="00C03BDD" w:rsidRDefault="00C03BDD" w:rsidP="0025315F">
      <w:pPr>
        <w:pStyle w:val="ListParagraph"/>
        <w:spacing w:line="360" w:lineRule="auto"/>
        <w:ind w:left="1985"/>
        <w:jc w:val="both"/>
        <w:rPr>
          <w:rFonts w:ascii="Arial" w:hAnsi="Arial" w:cs="Arial"/>
          <w:b/>
          <w:sz w:val="24"/>
          <w:szCs w:val="24"/>
        </w:rPr>
      </w:pPr>
    </w:p>
    <w:p w:rsidR="00C03BDD" w:rsidRDefault="00C03BDD" w:rsidP="0025315F">
      <w:pPr>
        <w:pStyle w:val="ListParagraph"/>
        <w:spacing w:line="360" w:lineRule="auto"/>
        <w:ind w:left="1985"/>
        <w:jc w:val="both"/>
        <w:rPr>
          <w:rFonts w:ascii="Arial" w:hAnsi="Arial" w:cs="Arial"/>
          <w:b/>
          <w:sz w:val="24"/>
          <w:szCs w:val="24"/>
        </w:rPr>
      </w:pPr>
    </w:p>
    <w:p w:rsidR="00C03BDD" w:rsidRDefault="00C03BDD" w:rsidP="0025315F">
      <w:pPr>
        <w:pStyle w:val="ListParagraph"/>
        <w:spacing w:line="360" w:lineRule="auto"/>
        <w:ind w:left="1985"/>
        <w:jc w:val="both"/>
        <w:rPr>
          <w:rFonts w:ascii="Arial" w:hAnsi="Arial" w:cs="Arial"/>
          <w:b/>
          <w:sz w:val="24"/>
          <w:szCs w:val="24"/>
        </w:rPr>
      </w:pPr>
    </w:p>
    <w:p w:rsidR="00C03BDD" w:rsidRDefault="00C03BDD" w:rsidP="0025315F">
      <w:pPr>
        <w:pStyle w:val="ListParagraph"/>
        <w:spacing w:line="360" w:lineRule="auto"/>
        <w:ind w:left="1985"/>
        <w:jc w:val="both"/>
        <w:rPr>
          <w:rFonts w:ascii="Arial" w:hAnsi="Arial" w:cs="Arial"/>
          <w:b/>
          <w:sz w:val="24"/>
          <w:szCs w:val="24"/>
        </w:rPr>
      </w:pPr>
    </w:p>
    <w:p w:rsidR="00C03BDD" w:rsidRPr="007D5822" w:rsidRDefault="00C03BDD" w:rsidP="0025315F">
      <w:pPr>
        <w:pStyle w:val="ListParagraph"/>
        <w:spacing w:line="360" w:lineRule="auto"/>
        <w:ind w:left="1985"/>
        <w:jc w:val="both"/>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lastRenderedPageBreak/>
        <w:t xml:space="preserve">Tabla </w:t>
      </w:r>
      <w:r>
        <w:rPr>
          <w:rFonts w:ascii="Arial" w:hAnsi="Arial" w:cs="Arial"/>
          <w:b/>
          <w:sz w:val="24"/>
          <w:szCs w:val="24"/>
        </w:rPr>
        <w:t>XIII</w:t>
      </w:r>
      <w:r w:rsidRPr="00664A36">
        <w:rPr>
          <w:rFonts w:ascii="Arial" w:hAnsi="Arial" w:cs="Arial"/>
          <w:b/>
          <w:sz w:val="24"/>
          <w:szCs w:val="24"/>
        </w:rPr>
        <w:t xml:space="preserve">. </w:t>
      </w:r>
      <w:r>
        <w:rPr>
          <w:rFonts w:ascii="Arial" w:hAnsi="Arial" w:cs="Arial"/>
          <w:b/>
          <w:sz w:val="24"/>
          <w:szCs w:val="24"/>
        </w:rPr>
        <w:t>Información puntos de medición edificios cercanos a la Radio Base Porta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3"/>
      </w:r>
    </w:p>
    <w:p w:rsidR="0025315F" w:rsidRPr="007D5822" w:rsidRDefault="0025315F" w:rsidP="0025315F">
      <w:pPr>
        <w:pStyle w:val="ListParagraph"/>
        <w:spacing w:line="360" w:lineRule="auto"/>
        <w:ind w:left="1985"/>
        <w:jc w:val="center"/>
        <w:rPr>
          <w:rFonts w:ascii="Arial" w:hAnsi="Arial" w:cs="Arial"/>
          <w:b/>
          <w:sz w:val="24"/>
          <w:szCs w:val="24"/>
        </w:rPr>
      </w:pPr>
      <w:r>
        <w:rPr>
          <w:rFonts w:ascii="Arial" w:hAnsi="Arial" w:cs="Arial"/>
          <w:b/>
          <w:noProof/>
          <w:sz w:val="24"/>
          <w:szCs w:val="24"/>
          <w:lang w:eastAsia="es-ES"/>
        </w:rPr>
        <w:drawing>
          <wp:inline distT="0" distB="0" distL="0" distR="0">
            <wp:extent cx="3712210" cy="2292985"/>
            <wp:effectExtent l="19050" t="0" r="2540" b="0"/>
            <wp:docPr id="18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cstate="print"/>
                    <a:srcRect/>
                    <a:stretch>
                      <a:fillRect/>
                    </a:stretch>
                  </pic:blipFill>
                  <pic:spPr bwMode="auto">
                    <a:xfrm>
                      <a:off x="0" y="0"/>
                      <a:ext cx="3712210" cy="2292985"/>
                    </a:xfrm>
                    <a:prstGeom prst="rect">
                      <a:avLst/>
                    </a:prstGeom>
                    <a:noFill/>
                    <a:ln w="9525">
                      <a:noFill/>
                      <a:miter lim="800000"/>
                      <a:headEnd/>
                      <a:tailEnd/>
                    </a:ln>
                  </pic:spPr>
                </pic:pic>
              </a:graphicData>
            </a:graphic>
          </wp:inline>
        </w:drawing>
      </w:r>
    </w:p>
    <w:p w:rsidR="0025315F" w:rsidRPr="007D5822"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La referencia de los puntos de ubicación alrededor de la antena de telefonía móvil correspondiente a la operadora Movistar, se muestra en la siguiente tabla.</w:t>
      </w:r>
    </w:p>
    <w:p w:rsidR="0025315F" w:rsidRDefault="0025315F" w:rsidP="0025315F">
      <w:pPr>
        <w:pStyle w:val="ListParagraph"/>
        <w:spacing w:line="360" w:lineRule="auto"/>
        <w:ind w:left="1843"/>
        <w:jc w:val="center"/>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XIV</w:t>
      </w:r>
      <w:r w:rsidRPr="00664A36">
        <w:rPr>
          <w:rFonts w:ascii="Arial" w:hAnsi="Arial" w:cs="Arial"/>
          <w:b/>
          <w:sz w:val="24"/>
          <w:szCs w:val="24"/>
        </w:rPr>
        <w:t xml:space="preserve">. </w:t>
      </w:r>
      <w:r>
        <w:rPr>
          <w:rFonts w:ascii="Arial" w:hAnsi="Arial" w:cs="Arial"/>
          <w:b/>
          <w:sz w:val="24"/>
          <w:szCs w:val="24"/>
        </w:rPr>
        <w:t>Información puntos de medición alrededor Radio Base Movistar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4"/>
      </w:r>
    </w:p>
    <w:p w:rsidR="0025315F" w:rsidRPr="007D5822" w:rsidRDefault="0025315F" w:rsidP="0025315F">
      <w:pPr>
        <w:pStyle w:val="ListParagraph"/>
        <w:spacing w:line="360" w:lineRule="auto"/>
        <w:ind w:left="1985"/>
        <w:jc w:val="center"/>
        <w:rPr>
          <w:rFonts w:ascii="Arial" w:hAnsi="Arial" w:cs="Arial"/>
          <w:b/>
          <w:sz w:val="24"/>
          <w:szCs w:val="24"/>
        </w:rPr>
      </w:pPr>
      <w:r>
        <w:rPr>
          <w:rFonts w:ascii="Arial" w:hAnsi="Arial" w:cs="Arial"/>
          <w:b/>
          <w:noProof/>
          <w:sz w:val="24"/>
          <w:szCs w:val="24"/>
          <w:lang w:eastAsia="es-ES"/>
        </w:rPr>
        <w:drawing>
          <wp:inline distT="0" distB="0" distL="0" distR="0">
            <wp:extent cx="3275330" cy="2347595"/>
            <wp:effectExtent l="19050" t="0" r="1270" b="0"/>
            <wp:docPr id="1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cstate="print"/>
                    <a:srcRect/>
                    <a:stretch>
                      <a:fillRect/>
                    </a:stretch>
                  </pic:blipFill>
                  <pic:spPr bwMode="auto">
                    <a:xfrm>
                      <a:off x="0" y="0"/>
                      <a:ext cx="3275330" cy="2347595"/>
                    </a:xfrm>
                    <a:prstGeom prst="rect">
                      <a:avLst/>
                    </a:prstGeom>
                    <a:noFill/>
                    <a:ln w="9525">
                      <a:noFill/>
                      <a:miter lim="800000"/>
                      <a:headEnd/>
                      <a:tailEnd/>
                    </a:ln>
                  </pic:spPr>
                </pic:pic>
              </a:graphicData>
            </a:graphic>
          </wp:inline>
        </w:drawing>
      </w:r>
    </w:p>
    <w:p w:rsidR="0025315F" w:rsidRPr="007D5822" w:rsidRDefault="0025315F" w:rsidP="0025315F">
      <w:pPr>
        <w:pStyle w:val="ListParagraph"/>
        <w:spacing w:line="360" w:lineRule="auto"/>
        <w:ind w:left="1985"/>
        <w:jc w:val="both"/>
        <w:rPr>
          <w:rFonts w:ascii="Arial" w:hAnsi="Arial" w:cs="Arial"/>
          <w:b/>
          <w:sz w:val="24"/>
          <w:szCs w:val="24"/>
        </w:rPr>
      </w:pPr>
    </w:p>
    <w:p w:rsidR="0025315F"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La referencia de los puntos de ubicación alrededor de la antena de telefonía móvil correspondiente a la operadora Porta, se muestra en la siguiente tabla.</w:t>
      </w:r>
    </w:p>
    <w:p w:rsidR="0025315F" w:rsidRDefault="0025315F" w:rsidP="0025315F">
      <w:pPr>
        <w:pStyle w:val="ListParagraph"/>
        <w:spacing w:line="360" w:lineRule="auto"/>
        <w:ind w:left="1985"/>
        <w:jc w:val="both"/>
        <w:rPr>
          <w:rFonts w:ascii="Arial" w:hAnsi="Arial" w:cs="Arial"/>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XV</w:t>
      </w:r>
      <w:r w:rsidRPr="00664A36">
        <w:rPr>
          <w:rFonts w:ascii="Arial" w:hAnsi="Arial" w:cs="Arial"/>
          <w:b/>
          <w:sz w:val="24"/>
          <w:szCs w:val="24"/>
        </w:rPr>
        <w:t xml:space="preserve">. </w:t>
      </w:r>
      <w:r>
        <w:rPr>
          <w:rFonts w:ascii="Arial" w:hAnsi="Arial" w:cs="Arial"/>
          <w:b/>
          <w:sz w:val="24"/>
          <w:szCs w:val="24"/>
        </w:rPr>
        <w:t>Información puntos de medición edificios cercanos a la Radio Base Movistar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5"/>
      </w:r>
    </w:p>
    <w:p w:rsidR="0025315F" w:rsidRPr="007D5822" w:rsidRDefault="0025315F" w:rsidP="0025315F">
      <w:pPr>
        <w:pStyle w:val="ListParagraph"/>
        <w:spacing w:line="360" w:lineRule="auto"/>
        <w:ind w:left="1985"/>
        <w:jc w:val="center"/>
        <w:rPr>
          <w:rFonts w:ascii="Arial" w:hAnsi="Arial" w:cs="Arial"/>
          <w:b/>
          <w:sz w:val="24"/>
          <w:szCs w:val="24"/>
        </w:rPr>
      </w:pPr>
      <w:r>
        <w:rPr>
          <w:rFonts w:ascii="Arial" w:hAnsi="Arial" w:cs="Arial"/>
          <w:b/>
          <w:noProof/>
          <w:sz w:val="24"/>
          <w:szCs w:val="24"/>
          <w:lang w:eastAsia="es-ES"/>
        </w:rPr>
        <w:drawing>
          <wp:inline distT="0" distB="0" distL="0" distR="0">
            <wp:extent cx="3834765" cy="2142490"/>
            <wp:effectExtent l="19050" t="0" r="0" b="0"/>
            <wp:docPr id="1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cstate="print"/>
                    <a:srcRect/>
                    <a:stretch>
                      <a:fillRect/>
                    </a:stretch>
                  </pic:blipFill>
                  <pic:spPr bwMode="auto">
                    <a:xfrm>
                      <a:off x="0" y="0"/>
                      <a:ext cx="3834765" cy="214249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1985"/>
        <w:jc w:val="both"/>
        <w:rPr>
          <w:rFonts w:ascii="Arial" w:hAnsi="Arial" w:cs="Arial"/>
          <w:b/>
          <w:sz w:val="24"/>
          <w:szCs w:val="24"/>
        </w:rPr>
      </w:pPr>
    </w:p>
    <w:p w:rsidR="0025315F" w:rsidRPr="007D5822" w:rsidRDefault="0025315F" w:rsidP="0025315F">
      <w:pPr>
        <w:pStyle w:val="ListParagraph"/>
        <w:spacing w:line="360" w:lineRule="auto"/>
        <w:ind w:left="1985"/>
        <w:jc w:val="both"/>
        <w:rPr>
          <w:rFonts w:ascii="Arial" w:hAnsi="Arial" w:cs="Arial"/>
          <w:b/>
          <w:sz w:val="24"/>
          <w:szCs w:val="24"/>
        </w:rPr>
      </w:pPr>
    </w:p>
    <w:p w:rsidR="0025315F" w:rsidRPr="007D5822" w:rsidRDefault="0025315F" w:rsidP="0025315F">
      <w:pPr>
        <w:pStyle w:val="ListParagraph"/>
        <w:numPr>
          <w:ilvl w:val="3"/>
          <w:numId w:val="16"/>
        </w:numPr>
        <w:spacing w:line="360" w:lineRule="auto"/>
        <w:ind w:left="1985"/>
        <w:jc w:val="both"/>
        <w:rPr>
          <w:rFonts w:ascii="Arial" w:hAnsi="Arial" w:cs="Arial"/>
          <w:b/>
          <w:sz w:val="24"/>
          <w:szCs w:val="24"/>
        </w:rPr>
      </w:pPr>
      <w:r w:rsidRPr="007D5822">
        <w:rPr>
          <w:rFonts w:ascii="Arial" w:hAnsi="Arial" w:cs="Arial"/>
          <w:b/>
          <w:sz w:val="24"/>
          <w:szCs w:val="24"/>
        </w:rPr>
        <w:t>Punto de Medición para Redes Wireless LAN</w:t>
      </w:r>
    </w:p>
    <w:p w:rsidR="0025315F" w:rsidRPr="007D5822" w:rsidRDefault="0025315F" w:rsidP="0025315F">
      <w:pPr>
        <w:pStyle w:val="ListParagraph"/>
        <w:spacing w:line="360" w:lineRule="auto"/>
        <w:ind w:left="2832"/>
        <w:jc w:val="both"/>
        <w:rPr>
          <w:rFonts w:ascii="Arial" w:hAnsi="Arial" w:cs="Arial"/>
          <w:b/>
          <w:sz w:val="24"/>
          <w:szCs w:val="24"/>
        </w:rPr>
      </w:pPr>
    </w:p>
    <w:p w:rsidR="0025315F" w:rsidRPr="007D5822" w:rsidRDefault="0025315F" w:rsidP="0025315F">
      <w:pPr>
        <w:pStyle w:val="ListParagraph"/>
        <w:spacing w:line="360" w:lineRule="auto"/>
        <w:ind w:left="2127"/>
        <w:jc w:val="both"/>
        <w:rPr>
          <w:rFonts w:ascii="Arial" w:hAnsi="Arial" w:cs="Arial"/>
          <w:sz w:val="24"/>
          <w:szCs w:val="24"/>
        </w:rPr>
      </w:pPr>
      <w:r w:rsidRPr="007D5822">
        <w:rPr>
          <w:rFonts w:ascii="Arial" w:hAnsi="Arial" w:cs="Arial"/>
          <w:sz w:val="24"/>
          <w:szCs w:val="24"/>
        </w:rPr>
        <w:t>La referencia de los puntos de ubicación de los puntos de medición de los puntos de acceso inalámbrico de la Red Wireless ESPOL se muestra en la siguiente tabla.</w:t>
      </w:r>
    </w:p>
    <w:p w:rsidR="0025315F" w:rsidRDefault="0025315F" w:rsidP="0025315F">
      <w:pPr>
        <w:pStyle w:val="ListParagraph"/>
        <w:spacing w:line="360" w:lineRule="auto"/>
        <w:ind w:left="2832"/>
        <w:jc w:val="both"/>
        <w:rPr>
          <w:rFonts w:ascii="Arial" w:hAnsi="Arial" w:cs="Arial"/>
          <w:sz w:val="24"/>
          <w:szCs w:val="24"/>
        </w:rPr>
      </w:pPr>
    </w:p>
    <w:p w:rsidR="0025315F" w:rsidRDefault="0025315F" w:rsidP="0025315F">
      <w:pPr>
        <w:pStyle w:val="ListParagraph"/>
        <w:spacing w:line="360" w:lineRule="auto"/>
        <w:ind w:left="2832"/>
        <w:jc w:val="both"/>
        <w:rPr>
          <w:rFonts w:ascii="Arial" w:hAnsi="Arial" w:cs="Arial"/>
          <w:sz w:val="24"/>
          <w:szCs w:val="24"/>
        </w:rPr>
      </w:pPr>
    </w:p>
    <w:p w:rsidR="0025315F" w:rsidRDefault="0025315F" w:rsidP="0025315F">
      <w:pPr>
        <w:pStyle w:val="ListParagraph"/>
        <w:spacing w:line="360" w:lineRule="auto"/>
        <w:ind w:left="2832"/>
        <w:jc w:val="both"/>
        <w:rPr>
          <w:rFonts w:ascii="Arial" w:hAnsi="Arial" w:cs="Arial"/>
          <w:sz w:val="24"/>
          <w:szCs w:val="24"/>
        </w:rPr>
      </w:pPr>
    </w:p>
    <w:p w:rsidR="0025315F" w:rsidRDefault="0025315F" w:rsidP="0025315F">
      <w:pPr>
        <w:pStyle w:val="ListParagraph"/>
        <w:spacing w:line="360" w:lineRule="auto"/>
        <w:ind w:left="2832"/>
        <w:jc w:val="both"/>
        <w:rPr>
          <w:rFonts w:ascii="Arial" w:hAnsi="Arial" w:cs="Arial"/>
          <w:sz w:val="24"/>
          <w:szCs w:val="24"/>
        </w:rPr>
      </w:pPr>
    </w:p>
    <w:p w:rsidR="0025315F" w:rsidRDefault="0025315F" w:rsidP="0025315F">
      <w:pPr>
        <w:pStyle w:val="ListParagraph"/>
        <w:spacing w:line="360" w:lineRule="auto"/>
        <w:ind w:left="2832"/>
        <w:jc w:val="both"/>
        <w:rPr>
          <w:rFonts w:ascii="Arial" w:hAnsi="Arial" w:cs="Arial"/>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lastRenderedPageBreak/>
        <w:t xml:space="preserve">Tabla </w:t>
      </w:r>
      <w:r>
        <w:rPr>
          <w:rFonts w:ascii="Arial" w:hAnsi="Arial" w:cs="Arial"/>
          <w:b/>
          <w:sz w:val="24"/>
          <w:szCs w:val="24"/>
        </w:rPr>
        <w:t>XVI</w:t>
      </w:r>
      <w:r w:rsidRPr="00664A36">
        <w:rPr>
          <w:rFonts w:ascii="Arial" w:hAnsi="Arial" w:cs="Arial"/>
          <w:b/>
          <w:sz w:val="24"/>
          <w:szCs w:val="24"/>
        </w:rPr>
        <w:t xml:space="preserve">. </w:t>
      </w:r>
      <w:r>
        <w:rPr>
          <w:rFonts w:ascii="Arial" w:hAnsi="Arial" w:cs="Arial"/>
          <w:b/>
          <w:sz w:val="24"/>
          <w:szCs w:val="24"/>
        </w:rPr>
        <w:t>Información puntos de medición puntos de acceso WLAN,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6"/>
      </w:r>
    </w:p>
    <w:p w:rsidR="0025315F" w:rsidRPr="007D5822" w:rsidRDefault="0025315F" w:rsidP="0025315F">
      <w:pPr>
        <w:pStyle w:val="ListParagraph"/>
        <w:spacing w:line="360" w:lineRule="auto"/>
        <w:ind w:left="2127"/>
        <w:jc w:val="both"/>
        <w:rPr>
          <w:rFonts w:ascii="Arial" w:hAnsi="Arial" w:cs="Arial"/>
          <w:sz w:val="24"/>
          <w:szCs w:val="24"/>
        </w:rPr>
      </w:pPr>
      <w:r>
        <w:rPr>
          <w:rFonts w:ascii="Arial" w:hAnsi="Arial" w:cs="Arial"/>
          <w:noProof/>
          <w:sz w:val="24"/>
          <w:szCs w:val="24"/>
          <w:lang w:eastAsia="es-ES"/>
        </w:rPr>
        <w:drawing>
          <wp:inline distT="0" distB="0" distL="0" distR="0">
            <wp:extent cx="3329940" cy="5076825"/>
            <wp:effectExtent l="19050" t="0" r="3810" b="0"/>
            <wp:docPr id="18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srcRect/>
                    <a:stretch>
                      <a:fillRect/>
                    </a:stretch>
                  </pic:blipFill>
                  <pic:spPr bwMode="auto">
                    <a:xfrm>
                      <a:off x="0" y="0"/>
                      <a:ext cx="3329940" cy="5076825"/>
                    </a:xfrm>
                    <a:prstGeom prst="rect">
                      <a:avLst/>
                    </a:prstGeom>
                    <a:noFill/>
                    <a:ln w="9525">
                      <a:noFill/>
                      <a:miter lim="800000"/>
                      <a:headEnd/>
                      <a:tailEnd/>
                    </a:ln>
                  </pic:spPr>
                </pic:pic>
              </a:graphicData>
            </a:graphic>
          </wp:inline>
        </w:drawing>
      </w:r>
    </w:p>
    <w:p w:rsidR="0025315F" w:rsidRPr="007D5822" w:rsidRDefault="0025315F" w:rsidP="0025315F">
      <w:pPr>
        <w:pStyle w:val="ListParagraph"/>
        <w:spacing w:line="360" w:lineRule="auto"/>
        <w:jc w:val="both"/>
        <w:rPr>
          <w:rFonts w:ascii="Arial" w:hAnsi="Arial" w:cs="Arial"/>
          <w:sz w:val="24"/>
          <w:szCs w:val="24"/>
        </w:rPr>
      </w:pPr>
    </w:p>
    <w:p w:rsidR="0025315F" w:rsidRPr="007D5822" w:rsidRDefault="0025315F" w:rsidP="0025315F">
      <w:pPr>
        <w:pStyle w:val="ListParagraph"/>
        <w:numPr>
          <w:ilvl w:val="3"/>
          <w:numId w:val="16"/>
        </w:numPr>
        <w:spacing w:line="360" w:lineRule="auto"/>
        <w:ind w:left="1985" w:hanging="709"/>
        <w:jc w:val="both"/>
        <w:rPr>
          <w:rFonts w:ascii="Arial" w:hAnsi="Arial" w:cs="Arial"/>
          <w:b/>
          <w:sz w:val="24"/>
          <w:szCs w:val="24"/>
        </w:rPr>
      </w:pPr>
      <w:r w:rsidRPr="007D5822">
        <w:rPr>
          <w:rFonts w:ascii="Arial" w:hAnsi="Arial" w:cs="Arial"/>
          <w:b/>
          <w:sz w:val="24"/>
          <w:szCs w:val="24"/>
        </w:rPr>
        <w:t>Punto de Medición para Múltiples Fuentes</w:t>
      </w:r>
    </w:p>
    <w:p w:rsidR="0025315F" w:rsidRDefault="0025315F" w:rsidP="0025315F">
      <w:pPr>
        <w:pStyle w:val="ListParagraph"/>
        <w:spacing w:line="360" w:lineRule="auto"/>
        <w:ind w:left="2127"/>
        <w:jc w:val="both"/>
        <w:rPr>
          <w:rFonts w:ascii="Arial" w:hAnsi="Arial" w:cs="Arial"/>
          <w:sz w:val="24"/>
          <w:szCs w:val="24"/>
        </w:rPr>
      </w:pPr>
    </w:p>
    <w:p w:rsidR="0025315F" w:rsidRPr="007D5822" w:rsidRDefault="0025315F" w:rsidP="0025315F">
      <w:pPr>
        <w:pStyle w:val="ListParagraph"/>
        <w:spacing w:line="360" w:lineRule="auto"/>
        <w:ind w:left="2127"/>
        <w:jc w:val="both"/>
        <w:rPr>
          <w:rFonts w:ascii="Arial" w:hAnsi="Arial" w:cs="Arial"/>
          <w:sz w:val="24"/>
          <w:szCs w:val="24"/>
        </w:rPr>
      </w:pPr>
      <w:r w:rsidRPr="007D5822">
        <w:rPr>
          <w:rFonts w:ascii="Arial" w:hAnsi="Arial" w:cs="Arial"/>
          <w:sz w:val="24"/>
          <w:szCs w:val="24"/>
        </w:rPr>
        <w:t>La referencia de los puntos de ubicación del punto de medición para la medición de múltiples fuentes se muestra en la tabla a continuación.</w:t>
      </w:r>
    </w:p>
    <w:p w:rsidR="0025315F" w:rsidRDefault="0025315F" w:rsidP="0025315F">
      <w:pPr>
        <w:pStyle w:val="ListParagraph"/>
        <w:spacing w:line="360" w:lineRule="auto"/>
        <w:ind w:left="2832"/>
        <w:jc w:val="both"/>
        <w:rPr>
          <w:rFonts w:ascii="Arial" w:hAnsi="Arial" w:cs="Arial"/>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XVII</w:t>
      </w:r>
      <w:r w:rsidRPr="00664A36">
        <w:rPr>
          <w:rFonts w:ascii="Arial" w:hAnsi="Arial" w:cs="Arial"/>
          <w:b/>
          <w:sz w:val="24"/>
          <w:szCs w:val="24"/>
        </w:rPr>
        <w:t xml:space="preserve">. </w:t>
      </w:r>
      <w:r>
        <w:rPr>
          <w:rFonts w:ascii="Arial" w:hAnsi="Arial" w:cs="Arial"/>
          <w:b/>
          <w:sz w:val="24"/>
          <w:szCs w:val="24"/>
        </w:rPr>
        <w:t>Información punto de medición de Análisis a Múltiples Fuentes, en predios de ESPOL</w:t>
      </w:r>
      <w:r w:rsidRPr="00664A36">
        <w:rPr>
          <w:rFonts w:ascii="Arial" w:hAnsi="Arial" w:cs="Arial"/>
          <w:b/>
          <w:sz w:val="24"/>
          <w:szCs w:val="24"/>
        </w:rPr>
        <w:t xml:space="preserve"> </w:t>
      </w:r>
      <w:r w:rsidRPr="00664A36">
        <w:rPr>
          <w:rStyle w:val="FootnoteReference"/>
          <w:rFonts w:ascii="Arial" w:hAnsi="Arial" w:cs="Arial"/>
          <w:b/>
          <w:sz w:val="24"/>
          <w:szCs w:val="24"/>
        </w:rPr>
        <w:footnoteReference w:id="57"/>
      </w:r>
    </w:p>
    <w:p w:rsidR="0025315F" w:rsidRDefault="0025315F" w:rsidP="0025315F">
      <w:pPr>
        <w:pStyle w:val="ListParagraph"/>
        <w:spacing w:line="360" w:lineRule="auto"/>
        <w:ind w:left="2832"/>
        <w:jc w:val="both"/>
        <w:rPr>
          <w:rFonts w:ascii="Arial" w:hAnsi="Arial" w:cs="Arial"/>
          <w:sz w:val="24"/>
          <w:szCs w:val="24"/>
        </w:rPr>
      </w:pPr>
    </w:p>
    <w:p w:rsidR="0025315F" w:rsidRPr="00A82740" w:rsidRDefault="0025315F" w:rsidP="0025315F">
      <w:pPr>
        <w:pStyle w:val="ListParagraph"/>
        <w:spacing w:line="360" w:lineRule="auto"/>
        <w:ind w:left="2832"/>
        <w:jc w:val="both"/>
        <w:rPr>
          <w:rFonts w:ascii="Arial" w:hAnsi="Arial" w:cs="Arial"/>
          <w:sz w:val="24"/>
          <w:szCs w:val="24"/>
        </w:rPr>
      </w:pPr>
    </w:p>
    <w:p w:rsidR="0025315F" w:rsidRPr="007D5822" w:rsidRDefault="0025315F" w:rsidP="0025315F">
      <w:pPr>
        <w:pStyle w:val="ListParagraph"/>
        <w:spacing w:line="360" w:lineRule="auto"/>
        <w:ind w:left="2127"/>
        <w:jc w:val="both"/>
        <w:rPr>
          <w:rFonts w:ascii="Arial" w:hAnsi="Arial" w:cs="Arial"/>
          <w:sz w:val="24"/>
          <w:szCs w:val="24"/>
        </w:rPr>
      </w:pPr>
      <w:r>
        <w:rPr>
          <w:rFonts w:ascii="Arial" w:hAnsi="Arial" w:cs="Arial"/>
          <w:noProof/>
          <w:sz w:val="24"/>
          <w:szCs w:val="24"/>
          <w:lang w:eastAsia="es-ES"/>
        </w:rPr>
        <w:drawing>
          <wp:inline distT="0" distB="0" distL="0" distR="0">
            <wp:extent cx="3670935" cy="682625"/>
            <wp:effectExtent l="19050" t="0" r="5715" b="0"/>
            <wp:docPr id="1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6" cstate="print"/>
                    <a:srcRect/>
                    <a:stretch>
                      <a:fillRect/>
                    </a:stretch>
                  </pic:blipFill>
                  <pic:spPr bwMode="auto">
                    <a:xfrm>
                      <a:off x="0" y="0"/>
                      <a:ext cx="3670935" cy="682625"/>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1800"/>
        <w:jc w:val="both"/>
        <w:rPr>
          <w:rFonts w:ascii="Arial" w:hAnsi="Arial" w:cs="Arial"/>
          <w:b/>
          <w:sz w:val="24"/>
          <w:szCs w:val="24"/>
        </w:rPr>
      </w:pPr>
    </w:p>
    <w:p w:rsidR="0025315F" w:rsidRPr="007D5822" w:rsidRDefault="0025315F" w:rsidP="0025315F">
      <w:pPr>
        <w:pStyle w:val="ListParagraph"/>
        <w:spacing w:line="360" w:lineRule="auto"/>
        <w:ind w:left="1800"/>
        <w:jc w:val="both"/>
        <w:rPr>
          <w:rFonts w:ascii="Arial" w:hAnsi="Arial" w:cs="Arial"/>
          <w:b/>
          <w:sz w:val="24"/>
          <w:szCs w:val="24"/>
        </w:rPr>
      </w:pPr>
    </w:p>
    <w:p w:rsidR="0025315F" w:rsidRPr="007D5822" w:rsidRDefault="0025315F" w:rsidP="0025315F">
      <w:pPr>
        <w:pStyle w:val="ListParagraph"/>
        <w:numPr>
          <w:ilvl w:val="1"/>
          <w:numId w:val="16"/>
        </w:numPr>
        <w:spacing w:line="360" w:lineRule="auto"/>
        <w:ind w:left="1070"/>
        <w:jc w:val="both"/>
        <w:rPr>
          <w:rFonts w:ascii="Arial" w:hAnsi="Arial" w:cs="Arial"/>
          <w:b/>
          <w:sz w:val="24"/>
          <w:szCs w:val="24"/>
        </w:rPr>
      </w:pPr>
      <w:r w:rsidRPr="007D5822">
        <w:rPr>
          <w:rFonts w:ascii="Arial" w:hAnsi="Arial" w:cs="Arial"/>
          <w:b/>
          <w:sz w:val="24"/>
          <w:szCs w:val="24"/>
        </w:rPr>
        <w:t>Tabla de Valores Obtenidos de las Mediciones</w:t>
      </w:r>
    </w:p>
    <w:p w:rsidR="0025315F" w:rsidRPr="004F3D14" w:rsidRDefault="0025315F" w:rsidP="0025315F">
      <w:pPr>
        <w:pStyle w:val="ListParagraph"/>
        <w:spacing w:line="360" w:lineRule="auto"/>
        <w:ind w:left="1800"/>
        <w:jc w:val="both"/>
        <w:rPr>
          <w:rFonts w:ascii="Arial" w:hAnsi="Arial" w:cs="Arial"/>
          <w:sz w:val="24"/>
          <w:szCs w:val="24"/>
        </w:rPr>
      </w:pPr>
    </w:p>
    <w:p w:rsidR="0025315F" w:rsidRPr="004F3D14" w:rsidRDefault="0025315F" w:rsidP="0025315F">
      <w:pPr>
        <w:pStyle w:val="ListParagraph"/>
        <w:spacing w:line="360" w:lineRule="auto"/>
        <w:ind w:left="1418"/>
        <w:jc w:val="both"/>
        <w:rPr>
          <w:rFonts w:ascii="Arial" w:hAnsi="Arial" w:cs="Arial"/>
          <w:sz w:val="24"/>
          <w:szCs w:val="24"/>
        </w:rPr>
      </w:pPr>
      <w:r w:rsidRPr="004F3D14">
        <w:rPr>
          <w:rFonts w:ascii="Arial" w:hAnsi="Arial" w:cs="Arial"/>
          <w:sz w:val="24"/>
          <w:szCs w:val="24"/>
        </w:rPr>
        <w:t>Para todas las mediciones tenemos:</w:t>
      </w:r>
    </w:p>
    <w:p w:rsidR="0025315F" w:rsidRPr="004F3D14" w:rsidRDefault="0025315F" w:rsidP="0025315F">
      <w:pPr>
        <w:pStyle w:val="ListParagraph"/>
        <w:numPr>
          <w:ilvl w:val="0"/>
          <w:numId w:val="31"/>
        </w:numPr>
        <w:spacing w:after="0" w:line="360" w:lineRule="auto"/>
        <w:jc w:val="both"/>
        <w:rPr>
          <w:rFonts w:ascii="Arial" w:hAnsi="Arial" w:cs="Arial"/>
          <w:sz w:val="24"/>
          <w:szCs w:val="24"/>
        </w:rPr>
      </w:pPr>
      <w:r w:rsidRPr="004F3D14">
        <w:rPr>
          <w:rFonts w:ascii="Arial" w:hAnsi="Arial" w:cs="Arial"/>
          <w:sz w:val="24"/>
          <w:szCs w:val="24"/>
        </w:rPr>
        <w:t xml:space="preserve">Se utilizará la recomendación de CENELEC EN 50400 para las mediciones, en la cual se especifica que se la haga a tres alturas de 1.1m, 1.5m y 1.7m </w:t>
      </w:r>
    </w:p>
    <w:p w:rsidR="0025315F" w:rsidRPr="004F3D14" w:rsidRDefault="0025315F" w:rsidP="0025315F">
      <w:pPr>
        <w:pStyle w:val="ListParagraph"/>
        <w:numPr>
          <w:ilvl w:val="0"/>
          <w:numId w:val="31"/>
        </w:numPr>
        <w:spacing w:after="0" w:line="360" w:lineRule="auto"/>
        <w:jc w:val="both"/>
        <w:rPr>
          <w:rFonts w:ascii="Arial" w:hAnsi="Arial" w:cs="Arial"/>
          <w:sz w:val="24"/>
          <w:szCs w:val="24"/>
        </w:rPr>
      </w:pPr>
      <w:r w:rsidRPr="004F3D14">
        <w:rPr>
          <w:rFonts w:ascii="Arial" w:hAnsi="Arial" w:cs="Arial"/>
          <w:sz w:val="24"/>
          <w:szCs w:val="24"/>
        </w:rPr>
        <w:t>Las mediciones serán en horario de mayor tráfico, desde las ocho de la mañana a cinco de la tarde.</w:t>
      </w:r>
    </w:p>
    <w:p w:rsidR="0025315F" w:rsidRPr="004F3D14" w:rsidRDefault="0025315F" w:rsidP="0025315F">
      <w:pPr>
        <w:pStyle w:val="ListParagraph"/>
        <w:numPr>
          <w:ilvl w:val="0"/>
          <w:numId w:val="31"/>
        </w:numPr>
        <w:spacing w:after="0" w:line="360" w:lineRule="auto"/>
        <w:jc w:val="both"/>
        <w:rPr>
          <w:rFonts w:ascii="Arial" w:hAnsi="Arial" w:cs="Arial"/>
          <w:sz w:val="24"/>
          <w:szCs w:val="24"/>
        </w:rPr>
      </w:pPr>
      <w:r w:rsidRPr="004F3D14">
        <w:rPr>
          <w:rFonts w:ascii="Arial" w:hAnsi="Arial" w:cs="Arial"/>
          <w:sz w:val="24"/>
          <w:szCs w:val="24"/>
        </w:rPr>
        <w:t>Se realizará las dos instrumentaciones de medición en un mismo punto de medición.</w:t>
      </w:r>
    </w:p>
    <w:p w:rsidR="0025315F" w:rsidRPr="004F3D14" w:rsidRDefault="0025315F" w:rsidP="0025315F">
      <w:pPr>
        <w:pStyle w:val="ListParagraph"/>
        <w:numPr>
          <w:ilvl w:val="0"/>
          <w:numId w:val="31"/>
        </w:numPr>
        <w:spacing w:after="0" w:line="360" w:lineRule="auto"/>
        <w:jc w:val="both"/>
        <w:rPr>
          <w:rFonts w:ascii="Arial" w:hAnsi="Arial" w:cs="Arial"/>
          <w:sz w:val="24"/>
          <w:szCs w:val="24"/>
        </w:rPr>
      </w:pPr>
      <w:r w:rsidRPr="004F3D14">
        <w:rPr>
          <w:rFonts w:ascii="Arial" w:hAnsi="Arial" w:cs="Arial"/>
          <w:sz w:val="24"/>
          <w:szCs w:val="24"/>
        </w:rPr>
        <w:t>Los valores obtenidos de las mediciones se muestra de manera ordenada en la continuación de este documento.</w:t>
      </w: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spacing w:line="360" w:lineRule="auto"/>
        <w:ind w:left="1418"/>
        <w:jc w:val="both"/>
        <w:rPr>
          <w:rFonts w:ascii="Arial" w:hAnsi="Arial" w:cs="Arial"/>
          <w:sz w:val="24"/>
          <w:szCs w:val="24"/>
        </w:rPr>
      </w:pPr>
    </w:p>
    <w:p w:rsidR="0025315F" w:rsidRDefault="0025315F" w:rsidP="0025315F">
      <w:pPr>
        <w:pStyle w:val="ListParagraph"/>
        <w:numPr>
          <w:ilvl w:val="2"/>
          <w:numId w:val="16"/>
        </w:numPr>
        <w:spacing w:line="360" w:lineRule="auto"/>
        <w:ind w:left="2160"/>
        <w:jc w:val="both"/>
        <w:rPr>
          <w:rFonts w:ascii="Arial" w:hAnsi="Arial" w:cs="Arial"/>
          <w:b/>
          <w:sz w:val="24"/>
          <w:szCs w:val="24"/>
        </w:rPr>
      </w:pPr>
      <w:r w:rsidRPr="00E401AA">
        <w:rPr>
          <w:rFonts w:ascii="Arial" w:hAnsi="Arial" w:cs="Arial"/>
          <w:b/>
          <w:sz w:val="24"/>
          <w:szCs w:val="24"/>
        </w:rPr>
        <w:t>Tabla de Valores de las Mediciones por Instrumentación 1</w:t>
      </w:r>
    </w:p>
    <w:p w:rsidR="0025315F" w:rsidRPr="00E401AA" w:rsidRDefault="0025315F" w:rsidP="0025315F">
      <w:pPr>
        <w:pStyle w:val="ListParagraph"/>
        <w:spacing w:line="360" w:lineRule="auto"/>
        <w:ind w:left="2160"/>
        <w:jc w:val="both"/>
        <w:rPr>
          <w:rFonts w:ascii="Arial" w:hAnsi="Arial" w:cs="Arial"/>
          <w:b/>
          <w:sz w:val="24"/>
          <w:szCs w:val="24"/>
        </w:rPr>
      </w:pPr>
    </w:p>
    <w:p w:rsidR="0025315F" w:rsidRPr="007D5822" w:rsidRDefault="0025315F" w:rsidP="0025315F">
      <w:pPr>
        <w:pStyle w:val="ListParagraph"/>
        <w:numPr>
          <w:ilvl w:val="3"/>
          <w:numId w:val="16"/>
        </w:numPr>
        <w:spacing w:line="360" w:lineRule="auto"/>
        <w:ind w:hanging="884"/>
        <w:jc w:val="both"/>
        <w:rPr>
          <w:rFonts w:ascii="Arial" w:hAnsi="Arial" w:cs="Arial"/>
          <w:b/>
          <w:sz w:val="24"/>
          <w:szCs w:val="24"/>
        </w:rPr>
      </w:pPr>
      <w:r w:rsidRPr="007D5822">
        <w:rPr>
          <w:rFonts w:ascii="Arial" w:hAnsi="Arial" w:cs="Arial"/>
          <w:b/>
          <w:sz w:val="24"/>
          <w:szCs w:val="24"/>
        </w:rPr>
        <w:t>Mediciones en Ambientes Exteriores de Telefonía Móvil</w:t>
      </w:r>
    </w:p>
    <w:p w:rsidR="0025315F" w:rsidRPr="007D5822" w:rsidRDefault="0025315F" w:rsidP="0025315F">
      <w:pPr>
        <w:pStyle w:val="ListParagraph"/>
        <w:spacing w:line="360" w:lineRule="auto"/>
        <w:ind w:left="1800"/>
        <w:jc w:val="both"/>
        <w:rPr>
          <w:rFonts w:ascii="Arial" w:hAnsi="Arial" w:cs="Arial"/>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XVIII</w:t>
      </w:r>
      <w:r w:rsidRPr="00664A36">
        <w:rPr>
          <w:rFonts w:ascii="Arial" w:hAnsi="Arial" w:cs="Arial"/>
          <w:b/>
          <w:sz w:val="24"/>
          <w:szCs w:val="24"/>
        </w:rPr>
        <w:t>.</w:t>
      </w:r>
      <w:r>
        <w:rPr>
          <w:rFonts w:ascii="Arial" w:hAnsi="Arial" w:cs="Arial"/>
          <w:b/>
          <w:sz w:val="24"/>
          <w:szCs w:val="24"/>
        </w:rPr>
        <w:t xml:space="preserve"> Valores de mediciones</w:t>
      </w:r>
      <w:r w:rsidRPr="00A82740">
        <w:rPr>
          <w:rFonts w:ascii="Arial" w:hAnsi="Arial" w:cs="Arial"/>
          <w:b/>
          <w:sz w:val="24"/>
          <w:szCs w:val="24"/>
        </w:rPr>
        <w:t xml:space="preserve"> </w:t>
      </w:r>
      <w:r>
        <w:rPr>
          <w:rFonts w:ascii="Arial" w:hAnsi="Arial" w:cs="Arial"/>
          <w:b/>
          <w:sz w:val="24"/>
          <w:szCs w:val="24"/>
        </w:rPr>
        <w:t xml:space="preserve">Telefonía Móvil Porta con </w:t>
      </w:r>
      <w:r w:rsidRPr="00A82740">
        <w:rPr>
          <w:rFonts w:ascii="Arial" w:hAnsi="Arial" w:cs="Arial"/>
          <w:b/>
          <w:sz w:val="24"/>
          <w:szCs w:val="24"/>
        </w:rPr>
        <w:t xml:space="preserve"> </w:t>
      </w:r>
      <w:r>
        <w:rPr>
          <w:rFonts w:ascii="Arial" w:hAnsi="Arial" w:cs="Arial"/>
          <w:b/>
          <w:sz w:val="24"/>
          <w:szCs w:val="24"/>
        </w:rPr>
        <w:t>procedimiento 1,  realizadas en ambientes exteriores.</w:t>
      </w:r>
      <w:r w:rsidRPr="00664A36">
        <w:rPr>
          <w:rStyle w:val="FootnoteReference"/>
          <w:rFonts w:ascii="Arial" w:hAnsi="Arial" w:cs="Arial"/>
          <w:b/>
          <w:sz w:val="24"/>
          <w:szCs w:val="24"/>
        </w:rPr>
        <w:footnoteReference w:id="58"/>
      </w:r>
    </w:p>
    <w:p w:rsidR="0025315F" w:rsidRPr="00A82740" w:rsidRDefault="0025315F" w:rsidP="0025315F">
      <w:pPr>
        <w:pStyle w:val="ListParagraph"/>
        <w:spacing w:line="360" w:lineRule="auto"/>
        <w:ind w:left="2880"/>
        <w:jc w:val="both"/>
        <w:rPr>
          <w:rFonts w:ascii="Arial" w:hAnsi="Arial" w:cs="Arial"/>
          <w:sz w:val="24"/>
          <w:szCs w:val="24"/>
        </w:rPr>
      </w:pPr>
    </w:p>
    <w:p w:rsidR="0025315F" w:rsidRDefault="0025315F" w:rsidP="0025315F">
      <w:pPr>
        <w:pStyle w:val="ListParagraph"/>
        <w:spacing w:line="360" w:lineRule="auto"/>
        <w:ind w:left="2127"/>
        <w:rPr>
          <w:rFonts w:ascii="Arial" w:hAnsi="Arial" w:cs="Arial"/>
          <w:sz w:val="24"/>
          <w:szCs w:val="24"/>
        </w:rPr>
      </w:pPr>
      <w:r>
        <w:rPr>
          <w:rFonts w:ascii="Arial" w:hAnsi="Arial" w:cs="Arial"/>
          <w:noProof/>
          <w:sz w:val="24"/>
          <w:szCs w:val="24"/>
          <w:lang w:eastAsia="es-ES"/>
        </w:rPr>
        <w:drawing>
          <wp:inline distT="0" distB="0" distL="0" distR="0">
            <wp:extent cx="3943985" cy="2593340"/>
            <wp:effectExtent l="19050" t="0" r="0" b="0"/>
            <wp:docPr id="1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7" cstate="print"/>
                    <a:srcRect/>
                    <a:stretch>
                      <a:fillRect/>
                    </a:stretch>
                  </pic:blipFill>
                  <pic:spPr bwMode="auto">
                    <a:xfrm>
                      <a:off x="0" y="0"/>
                      <a:ext cx="3943985" cy="259334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p>
    <w:p w:rsidR="0025315F" w:rsidRPr="00A82740" w:rsidRDefault="0025315F" w:rsidP="0025315F">
      <w:pPr>
        <w:pStyle w:val="ListParagraph"/>
        <w:spacing w:line="360" w:lineRule="auto"/>
        <w:ind w:left="1843"/>
        <w:jc w:val="center"/>
        <w:rPr>
          <w:rFonts w:ascii="Arial" w:hAnsi="Arial" w:cs="Arial"/>
          <w:sz w:val="24"/>
          <w:szCs w:val="24"/>
        </w:rPr>
      </w:pPr>
      <w:r w:rsidRPr="00664A36">
        <w:rPr>
          <w:rFonts w:ascii="Arial" w:hAnsi="Arial" w:cs="Arial"/>
          <w:b/>
          <w:sz w:val="24"/>
          <w:szCs w:val="24"/>
        </w:rPr>
        <w:t xml:space="preserve">Tabla </w:t>
      </w:r>
      <w:r>
        <w:rPr>
          <w:rFonts w:ascii="Arial" w:hAnsi="Arial" w:cs="Arial"/>
          <w:b/>
          <w:sz w:val="24"/>
          <w:szCs w:val="24"/>
        </w:rPr>
        <w:t>XIX</w:t>
      </w:r>
      <w:r w:rsidRPr="00664A36">
        <w:rPr>
          <w:rFonts w:ascii="Arial" w:hAnsi="Arial" w:cs="Arial"/>
          <w:b/>
          <w:sz w:val="24"/>
          <w:szCs w:val="24"/>
        </w:rPr>
        <w:t>.</w:t>
      </w:r>
      <w:r>
        <w:rPr>
          <w:rFonts w:ascii="Arial" w:hAnsi="Arial" w:cs="Arial"/>
          <w:b/>
          <w:sz w:val="24"/>
          <w:szCs w:val="24"/>
        </w:rPr>
        <w:t xml:space="preserve"> Valores de mediciones</w:t>
      </w:r>
      <w:r w:rsidRPr="00A82740">
        <w:rPr>
          <w:rFonts w:ascii="Arial" w:hAnsi="Arial" w:cs="Arial"/>
          <w:b/>
          <w:sz w:val="24"/>
          <w:szCs w:val="24"/>
        </w:rPr>
        <w:t xml:space="preserve"> </w:t>
      </w:r>
      <w:r>
        <w:rPr>
          <w:rFonts w:ascii="Arial" w:hAnsi="Arial" w:cs="Arial"/>
          <w:b/>
          <w:sz w:val="24"/>
          <w:szCs w:val="24"/>
        </w:rPr>
        <w:t xml:space="preserve">Telefonía Móvil Movistar con </w:t>
      </w:r>
      <w:r w:rsidRPr="00A82740">
        <w:rPr>
          <w:rFonts w:ascii="Arial" w:hAnsi="Arial" w:cs="Arial"/>
          <w:b/>
          <w:sz w:val="24"/>
          <w:szCs w:val="24"/>
        </w:rPr>
        <w:t xml:space="preserve"> </w:t>
      </w:r>
      <w:r>
        <w:rPr>
          <w:rFonts w:ascii="Arial" w:hAnsi="Arial" w:cs="Arial"/>
          <w:b/>
          <w:sz w:val="24"/>
          <w:szCs w:val="24"/>
        </w:rPr>
        <w:t>procedimiento 1,  realizadas en ambientes exteriores.</w:t>
      </w:r>
      <w:r w:rsidRPr="00664A36">
        <w:rPr>
          <w:rStyle w:val="FootnoteReference"/>
          <w:rFonts w:ascii="Arial" w:hAnsi="Arial" w:cs="Arial"/>
          <w:b/>
          <w:sz w:val="24"/>
          <w:szCs w:val="24"/>
        </w:rPr>
        <w:footnoteReference w:id="59"/>
      </w:r>
    </w:p>
    <w:p w:rsidR="0025315F" w:rsidRPr="007D5822" w:rsidRDefault="0025315F" w:rsidP="0025315F">
      <w:pPr>
        <w:pStyle w:val="ListParagraph"/>
        <w:spacing w:line="360" w:lineRule="auto"/>
        <w:ind w:left="2127"/>
        <w:rPr>
          <w:rFonts w:ascii="Arial" w:hAnsi="Arial" w:cs="Arial"/>
          <w:sz w:val="24"/>
          <w:szCs w:val="24"/>
        </w:rPr>
      </w:pPr>
      <w:r>
        <w:rPr>
          <w:rFonts w:ascii="Arial" w:hAnsi="Arial" w:cs="Arial"/>
          <w:noProof/>
          <w:sz w:val="24"/>
          <w:szCs w:val="24"/>
          <w:lang w:eastAsia="es-ES"/>
        </w:rPr>
        <w:drawing>
          <wp:inline distT="0" distB="0" distL="0" distR="0">
            <wp:extent cx="3644265" cy="2429510"/>
            <wp:effectExtent l="19050" t="0" r="0" b="0"/>
            <wp:docPr id="1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8" cstate="print"/>
                    <a:srcRect/>
                    <a:stretch>
                      <a:fillRect/>
                    </a:stretch>
                  </pic:blipFill>
                  <pic:spPr bwMode="auto">
                    <a:xfrm>
                      <a:off x="0" y="0"/>
                      <a:ext cx="3644265" cy="242951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Default="00C03BDD" w:rsidP="0025315F">
      <w:pPr>
        <w:pStyle w:val="ListParagraph"/>
        <w:spacing w:line="360" w:lineRule="auto"/>
        <w:ind w:left="2127"/>
        <w:jc w:val="both"/>
        <w:rPr>
          <w:rFonts w:ascii="Arial" w:hAnsi="Arial" w:cs="Arial"/>
          <w:sz w:val="24"/>
          <w:szCs w:val="24"/>
        </w:rPr>
      </w:pPr>
    </w:p>
    <w:p w:rsidR="00C03BDD" w:rsidRPr="007D5822" w:rsidRDefault="00C03BDD" w:rsidP="0025315F">
      <w:pPr>
        <w:pStyle w:val="ListParagraph"/>
        <w:spacing w:line="360" w:lineRule="auto"/>
        <w:ind w:left="2127"/>
        <w:jc w:val="both"/>
        <w:rPr>
          <w:rFonts w:ascii="Arial" w:hAnsi="Arial" w:cs="Arial"/>
          <w:sz w:val="24"/>
          <w:szCs w:val="24"/>
        </w:rPr>
      </w:pPr>
    </w:p>
    <w:p w:rsidR="0025315F" w:rsidRDefault="0025315F" w:rsidP="0025315F">
      <w:pPr>
        <w:pStyle w:val="ListParagraph"/>
        <w:numPr>
          <w:ilvl w:val="3"/>
          <w:numId w:val="16"/>
        </w:numPr>
        <w:spacing w:line="360" w:lineRule="auto"/>
        <w:ind w:hanging="884"/>
        <w:jc w:val="both"/>
        <w:rPr>
          <w:rFonts w:ascii="Arial" w:hAnsi="Arial" w:cs="Arial"/>
          <w:b/>
          <w:sz w:val="24"/>
          <w:szCs w:val="24"/>
        </w:rPr>
      </w:pPr>
      <w:r w:rsidRPr="007D5822">
        <w:rPr>
          <w:rFonts w:ascii="Arial" w:hAnsi="Arial" w:cs="Arial"/>
          <w:b/>
          <w:sz w:val="24"/>
          <w:szCs w:val="24"/>
        </w:rPr>
        <w:lastRenderedPageBreak/>
        <w:t>Mediciones en Ambientes Interiores de Telefonía Móvil</w:t>
      </w: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w:t>
      </w:r>
      <w:r w:rsidRPr="00664A36">
        <w:rPr>
          <w:rFonts w:ascii="Arial" w:hAnsi="Arial" w:cs="Arial"/>
          <w:b/>
          <w:sz w:val="24"/>
          <w:szCs w:val="24"/>
        </w:rPr>
        <w:t>.</w:t>
      </w:r>
      <w:r>
        <w:rPr>
          <w:rFonts w:ascii="Arial" w:hAnsi="Arial" w:cs="Arial"/>
          <w:b/>
          <w:sz w:val="24"/>
          <w:szCs w:val="24"/>
        </w:rPr>
        <w:t xml:space="preserve"> Valores de mediciones de Telefonía Móvil Porta procedimiento 1, realizadas en ambientes interiores</w:t>
      </w:r>
      <w:r w:rsidRPr="00664A36">
        <w:rPr>
          <w:rStyle w:val="FootnoteReference"/>
          <w:rFonts w:ascii="Arial" w:hAnsi="Arial" w:cs="Arial"/>
          <w:b/>
          <w:sz w:val="24"/>
          <w:szCs w:val="24"/>
        </w:rPr>
        <w:footnoteReference w:id="60"/>
      </w:r>
    </w:p>
    <w:p w:rsidR="0025315F" w:rsidRDefault="0025315F" w:rsidP="0025315F">
      <w:pPr>
        <w:pStyle w:val="ListParagraph"/>
        <w:spacing w:line="360" w:lineRule="auto"/>
        <w:ind w:left="2127"/>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3644265" cy="2333625"/>
            <wp:effectExtent l="19050" t="0" r="0" b="0"/>
            <wp:docPr id="1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cstate="print"/>
                    <a:srcRect/>
                    <a:stretch>
                      <a:fillRect/>
                    </a:stretch>
                  </pic:blipFill>
                  <pic:spPr bwMode="auto">
                    <a:xfrm>
                      <a:off x="0" y="0"/>
                      <a:ext cx="3644265" cy="2333625"/>
                    </a:xfrm>
                    <a:prstGeom prst="rect">
                      <a:avLst/>
                    </a:prstGeom>
                    <a:noFill/>
                    <a:ln w="9525">
                      <a:noFill/>
                      <a:miter lim="800000"/>
                      <a:headEnd/>
                      <a:tailEnd/>
                    </a:ln>
                  </pic:spPr>
                </pic:pic>
              </a:graphicData>
            </a:graphic>
          </wp:inline>
        </w:drawing>
      </w:r>
    </w:p>
    <w:p w:rsidR="0025315F" w:rsidRPr="00C03BDD" w:rsidRDefault="0025315F" w:rsidP="0025315F">
      <w:pPr>
        <w:pStyle w:val="ListParagraph"/>
        <w:spacing w:line="360" w:lineRule="auto"/>
        <w:ind w:left="2127"/>
        <w:jc w:val="center"/>
        <w:rPr>
          <w:rFonts w:ascii="Arial" w:hAnsi="Arial" w:cs="Arial"/>
          <w:sz w:val="10"/>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XXI</w:t>
      </w:r>
      <w:r w:rsidRPr="00664A36">
        <w:rPr>
          <w:rFonts w:ascii="Arial" w:hAnsi="Arial" w:cs="Arial"/>
          <w:b/>
          <w:sz w:val="24"/>
          <w:szCs w:val="24"/>
        </w:rPr>
        <w:t>.</w:t>
      </w:r>
      <w:r>
        <w:rPr>
          <w:rFonts w:ascii="Arial" w:hAnsi="Arial" w:cs="Arial"/>
          <w:b/>
          <w:sz w:val="24"/>
          <w:szCs w:val="24"/>
        </w:rPr>
        <w:t xml:space="preserve"> Valores de mediciones de Telefonía Móvil Movistar con procedimiento 1, realizadas en ambientes interiores</w:t>
      </w:r>
      <w:r w:rsidRPr="00664A36">
        <w:rPr>
          <w:rStyle w:val="FootnoteReference"/>
          <w:rFonts w:ascii="Arial" w:hAnsi="Arial" w:cs="Arial"/>
          <w:b/>
          <w:sz w:val="24"/>
          <w:szCs w:val="24"/>
        </w:rPr>
        <w:footnoteReference w:id="61"/>
      </w:r>
    </w:p>
    <w:p w:rsidR="0025315F" w:rsidRPr="00C03BDD" w:rsidRDefault="0025315F" w:rsidP="0025315F">
      <w:pPr>
        <w:pStyle w:val="ListParagraph"/>
        <w:spacing w:line="360" w:lineRule="auto"/>
        <w:ind w:left="2127"/>
        <w:jc w:val="both"/>
        <w:rPr>
          <w:rFonts w:ascii="Arial" w:hAnsi="Arial" w:cs="Arial"/>
          <w:sz w:val="10"/>
          <w:szCs w:val="24"/>
        </w:rPr>
      </w:pPr>
    </w:p>
    <w:p w:rsidR="0025315F" w:rsidRPr="007D5822" w:rsidRDefault="0025315F" w:rsidP="0025315F">
      <w:pPr>
        <w:pStyle w:val="ListParagraph"/>
        <w:spacing w:line="360" w:lineRule="auto"/>
        <w:ind w:left="2127"/>
        <w:jc w:val="center"/>
        <w:rPr>
          <w:rFonts w:ascii="Arial" w:hAnsi="Arial" w:cs="Arial"/>
          <w:sz w:val="24"/>
          <w:szCs w:val="24"/>
        </w:rPr>
      </w:pPr>
      <w:r>
        <w:rPr>
          <w:rFonts w:ascii="Arial" w:hAnsi="Arial" w:cs="Arial"/>
          <w:noProof/>
          <w:sz w:val="24"/>
          <w:szCs w:val="24"/>
          <w:lang w:eastAsia="es-ES"/>
        </w:rPr>
        <w:drawing>
          <wp:inline distT="0" distB="0" distL="0" distR="0">
            <wp:extent cx="4039870" cy="2320290"/>
            <wp:effectExtent l="19050" t="0" r="0" b="0"/>
            <wp:docPr id="1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0" cstate="print"/>
                    <a:srcRect/>
                    <a:stretch>
                      <a:fillRect/>
                    </a:stretch>
                  </pic:blipFill>
                  <pic:spPr bwMode="auto">
                    <a:xfrm>
                      <a:off x="0" y="0"/>
                      <a:ext cx="4039870" cy="2320290"/>
                    </a:xfrm>
                    <a:prstGeom prst="rect">
                      <a:avLst/>
                    </a:prstGeom>
                    <a:noFill/>
                    <a:ln w="9525">
                      <a:noFill/>
                      <a:miter lim="800000"/>
                      <a:headEnd/>
                      <a:tailEnd/>
                    </a:ln>
                  </pic:spPr>
                </pic:pic>
              </a:graphicData>
            </a:graphic>
          </wp:inline>
        </w:drawing>
      </w:r>
    </w:p>
    <w:p w:rsidR="0025315F" w:rsidRDefault="0025315F" w:rsidP="0025315F">
      <w:pPr>
        <w:pStyle w:val="ListParagraph"/>
        <w:numPr>
          <w:ilvl w:val="3"/>
          <w:numId w:val="16"/>
        </w:numPr>
        <w:spacing w:line="360" w:lineRule="auto"/>
        <w:ind w:left="2127" w:hanging="851"/>
        <w:jc w:val="both"/>
        <w:rPr>
          <w:rFonts w:ascii="Arial" w:hAnsi="Arial" w:cs="Arial"/>
          <w:b/>
          <w:sz w:val="24"/>
          <w:szCs w:val="24"/>
        </w:rPr>
      </w:pPr>
      <w:r w:rsidRPr="007D5822">
        <w:rPr>
          <w:rFonts w:ascii="Arial" w:hAnsi="Arial" w:cs="Arial"/>
          <w:b/>
          <w:sz w:val="24"/>
          <w:szCs w:val="24"/>
        </w:rPr>
        <w:lastRenderedPageBreak/>
        <w:t xml:space="preserve"> Mediciones en Ambientes Interiores de Red Wireless LAN.</w:t>
      </w:r>
    </w:p>
    <w:p w:rsidR="0025315F" w:rsidRDefault="0025315F" w:rsidP="0025315F">
      <w:pPr>
        <w:pStyle w:val="ListParagraph"/>
        <w:spacing w:line="360" w:lineRule="auto"/>
        <w:ind w:left="2127"/>
        <w:jc w:val="both"/>
        <w:rPr>
          <w:rFonts w:ascii="Arial" w:hAnsi="Arial" w:cs="Arial"/>
          <w:b/>
          <w:sz w:val="24"/>
          <w:szCs w:val="24"/>
        </w:rPr>
      </w:pPr>
    </w:p>
    <w:p w:rsidR="0025315F" w:rsidRPr="007D5822" w:rsidRDefault="0025315F" w:rsidP="0025315F">
      <w:pPr>
        <w:pStyle w:val="ListParagraph"/>
        <w:spacing w:line="360" w:lineRule="auto"/>
        <w:ind w:left="2127"/>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XXII</w:t>
      </w:r>
      <w:r w:rsidRPr="00664A36">
        <w:rPr>
          <w:rFonts w:ascii="Arial" w:hAnsi="Arial" w:cs="Arial"/>
          <w:b/>
          <w:sz w:val="24"/>
          <w:szCs w:val="24"/>
        </w:rPr>
        <w:t>.</w:t>
      </w:r>
      <w:r>
        <w:rPr>
          <w:rFonts w:ascii="Arial" w:hAnsi="Arial" w:cs="Arial"/>
          <w:b/>
          <w:sz w:val="24"/>
          <w:szCs w:val="24"/>
        </w:rPr>
        <w:t xml:space="preserve"> Valores de mediciones de WLAN con procedimiento 1, en ambientes interiores. </w:t>
      </w:r>
      <w:r w:rsidRPr="00664A36">
        <w:rPr>
          <w:rStyle w:val="FootnoteReference"/>
          <w:rFonts w:ascii="Arial" w:hAnsi="Arial" w:cs="Arial"/>
          <w:b/>
          <w:sz w:val="24"/>
          <w:szCs w:val="24"/>
        </w:rPr>
        <w:footnoteReference w:id="62"/>
      </w:r>
    </w:p>
    <w:p w:rsidR="0025315F" w:rsidRPr="007D5822" w:rsidRDefault="0025315F" w:rsidP="0025315F">
      <w:pPr>
        <w:spacing w:line="360" w:lineRule="auto"/>
        <w:ind w:left="2268" w:hanging="1560"/>
        <w:jc w:val="both"/>
        <w:rPr>
          <w:rFonts w:ascii="Arial" w:hAnsi="Arial" w:cs="Arial"/>
          <w:sz w:val="24"/>
          <w:szCs w:val="24"/>
        </w:rPr>
      </w:pPr>
      <w:r w:rsidRPr="007D5822">
        <w:rPr>
          <w:rFonts w:ascii="Arial" w:hAnsi="Arial" w:cs="Arial"/>
          <w:sz w:val="24"/>
          <w:szCs w:val="24"/>
        </w:rPr>
        <w:tab/>
      </w:r>
      <w:r w:rsidRPr="007D5822">
        <w:rPr>
          <w:rFonts w:ascii="Arial" w:hAnsi="Arial" w:cs="Arial"/>
          <w:sz w:val="24"/>
          <w:szCs w:val="24"/>
        </w:rPr>
        <w:tab/>
      </w:r>
      <w:r>
        <w:rPr>
          <w:rFonts w:ascii="Arial" w:hAnsi="Arial" w:cs="Arial"/>
          <w:noProof/>
          <w:sz w:val="24"/>
          <w:szCs w:val="24"/>
          <w:lang w:eastAsia="es-ES"/>
        </w:rPr>
        <w:drawing>
          <wp:inline distT="0" distB="0" distL="0" distR="0">
            <wp:extent cx="3138805" cy="4994910"/>
            <wp:effectExtent l="19050" t="0" r="4445" b="0"/>
            <wp:docPr id="17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1" cstate="print"/>
                    <a:srcRect/>
                    <a:stretch>
                      <a:fillRect/>
                    </a:stretch>
                  </pic:blipFill>
                  <pic:spPr bwMode="auto">
                    <a:xfrm>
                      <a:off x="0" y="0"/>
                      <a:ext cx="3138805" cy="499491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880"/>
        <w:jc w:val="both"/>
        <w:rPr>
          <w:rFonts w:ascii="Arial" w:hAnsi="Arial" w:cs="Arial"/>
          <w:sz w:val="24"/>
          <w:szCs w:val="24"/>
        </w:rPr>
      </w:pPr>
      <w:r w:rsidRPr="007D5822">
        <w:rPr>
          <w:rFonts w:ascii="Arial" w:hAnsi="Arial" w:cs="Arial"/>
          <w:sz w:val="24"/>
          <w:szCs w:val="24"/>
        </w:rPr>
        <w:t xml:space="preserve"> </w:t>
      </w:r>
    </w:p>
    <w:p w:rsidR="0025315F" w:rsidRDefault="0025315F" w:rsidP="0025315F">
      <w:pPr>
        <w:pStyle w:val="ListParagraph"/>
        <w:spacing w:line="360" w:lineRule="auto"/>
        <w:ind w:left="2880"/>
        <w:jc w:val="both"/>
        <w:rPr>
          <w:rFonts w:ascii="Arial" w:hAnsi="Arial" w:cs="Arial"/>
          <w:sz w:val="24"/>
          <w:szCs w:val="24"/>
        </w:rPr>
      </w:pPr>
    </w:p>
    <w:p w:rsidR="0025315F" w:rsidRDefault="0025315F" w:rsidP="0025315F">
      <w:pPr>
        <w:pStyle w:val="ListParagraph"/>
        <w:spacing w:line="360" w:lineRule="auto"/>
        <w:ind w:left="2880"/>
        <w:jc w:val="both"/>
        <w:rPr>
          <w:rFonts w:ascii="Arial" w:hAnsi="Arial" w:cs="Arial"/>
          <w:sz w:val="24"/>
          <w:szCs w:val="24"/>
        </w:rPr>
      </w:pPr>
    </w:p>
    <w:p w:rsidR="0025315F" w:rsidRDefault="0025315F" w:rsidP="0025315F">
      <w:pPr>
        <w:pStyle w:val="ListParagraph"/>
        <w:tabs>
          <w:tab w:val="left" w:pos="2268"/>
        </w:tabs>
        <w:spacing w:line="360" w:lineRule="auto"/>
        <w:ind w:left="2268"/>
        <w:jc w:val="both"/>
        <w:rPr>
          <w:rFonts w:ascii="Arial" w:hAnsi="Arial" w:cs="Arial"/>
          <w:b/>
          <w:sz w:val="24"/>
          <w:szCs w:val="24"/>
        </w:rPr>
      </w:pPr>
    </w:p>
    <w:p w:rsidR="00BA2E9D" w:rsidRDefault="00BA2E9D" w:rsidP="0025315F">
      <w:pPr>
        <w:pStyle w:val="ListParagraph"/>
        <w:tabs>
          <w:tab w:val="left" w:pos="2268"/>
        </w:tabs>
        <w:spacing w:line="360" w:lineRule="auto"/>
        <w:ind w:left="2268"/>
        <w:jc w:val="both"/>
        <w:rPr>
          <w:rFonts w:ascii="Arial" w:hAnsi="Arial" w:cs="Arial"/>
          <w:b/>
          <w:sz w:val="24"/>
          <w:szCs w:val="24"/>
        </w:rPr>
      </w:pPr>
    </w:p>
    <w:p w:rsidR="0025315F" w:rsidRPr="007D5822" w:rsidRDefault="0025315F" w:rsidP="00BA2E9D">
      <w:pPr>
        <w:pStyle w:val="ListParagraph"/>
        <w:tabs>
          <w:tab w:val="left" w:pos="1985"/>
        </w:tabs>
        <w:spacing w:line="360" w:lineRule="auto"/>
        <w:ind w:left="2127"/>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XXIII</w:t>
      </w:r>
      <w:r w:rsidRPr="00664A36">
        <w:rPr>
          <w:rFonts w:ascii="Arial" w:hAnsi="Arial" w:cs="Arial"/>
          <w:b/>
          <w:sz w:val="24"/>
          <w:szCs w:val="24"/>
        </w:rPr>
        <w:t>.</w:t>
      </w:r>
      <w:r>
        <w:rPr>
          <w:rFonts w:ascii="Arial" w:hAnsi="Arial" w:cs="Arial"/>
          <w:b/>
          <w:sz w:val="24"/>
          <w:szCs w:val="24"/>
        </w:rPr>
        <w:t xml:space="preserve"> Valores de mediciones de múltiples fuentes con procedimiento 1. </w:t>
      </w:r>
      <w:r w:rsidRPr="00664A36">
        <w:rPr>
          <w:rStyle w:val="FootnoteReference"/>
          <w:rFonts w:ascii="Arial" w:hAnsi="Arial" w:cs="Arial"/>
          <w:b/>
          <w:sz w:val="24"/>
          <w:szCs w:val="24"/>
        </w:rPr>
        <w:footnoteReference w:id="63"/>
      </w:r>
    </w:p>
    <w:p w:rsidR="0025315F" w:rsidRPr="007D5822" w:rsidRDefault="0025315F" w:rsidP="0025315F">
      <w:pPr>
        <w:pStyle w:val="ListParagraph"/>
        <w:spacing w:line="360" w:lineRule="auto"/>
        <w:ind w:left="2127"/>
        <w:jc w:val="both"/>
        <w:rPr>
          <w:rFonts w:ascii="Arial" w:hAnsi="Arial" w:cs="Arial"/>
          <w:sz w:val="24"/>
          <w:szCs w:val="24"/>
        </w:rPr>
      </w:pPr>
    </w:p>
    <w:p w:rsidR="0025315F" w:rsidRPr="007D5822" w:rsidRDefault="0025315F" w:rsidP="00BA2E9D">
      <w:pPr>
        <w:pStyle w:val="ListParagraph"/>
        <w:spacing w:line="360" w:lineRule="auto"/>
        <w:ind w:left="2127"/>
        <w:jc w:val="center"/>
        <w:rPr>
          <w:rFonts w:ascii="Arial" w:hAnsi="Arial" w:cs="Arial"/>
          <w:sz w:val="24"/>
          <w:szCs w:val="24"/>
        </w:rPr>
      </w:pPr>
      <w:r>
        <w:rPr>
          <w:rFonts w:ascii="Arial" w:hAnsi="Arial" w:cs="Arial"/>
          <w:noProof/>
          <w:sz w:val="24"/>
          <w:szCs w:val="24"/>
          <w:lang w:eastAsia="es-ES"/>
        </w:rPr>
        <w:drawing>
          <wp:inline distT="0" distB="0" distL="0" distR="0">
            <wp:extent cx="3644265" cy="1706245"/>
            <wp:effectExtent l="19050" t="0" r="0" b="0"/>
            <wp:docPr id="17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2" cstate="print"/>
                    <a:srcRect/>
                    <a:stretch>
                      <a:fillRect/>
                    </a:stretch>
                  </pic:blipFill>
                  <pic:spPr bwMode="auto">
                    <a:xfrm>
                      <a:off x="0" y="0"/>
                      <a:ext cx="3644265" cy="1706245"/>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both"/>
        <w:rPr>
          <w:rFonts w:ascii="Arial" w:hAnsi="Arial" w:cs="Arial"/>
          <w:sz w:val="24"/>
          <w:szCs w:val="24"/>
        </w:rPr>
      </w:pPr>
    </w:p>
    <w:p w:rsidR="0025315F" w:rsidRPr="007D5822" w:rsidRDefault="0025315F" w:rsidP="0025315F">
      <w:pPr>
        <w:pStyle w:val="ListParagraph"/>
        <w:spacing w:line="360" w:lineRule="auto"/>
        <w:ind w:left="2127"/>
        <w:jc w:val="both"/>
        <w:rPr>
          <w:rFonts w:ascii="Arial" w:hAnsi="Arial" w:cs="Arial"/>
          <w:sz w:val="24"/>
          <w:szCs w:val="24"/>
        </w:rPr>
      </w:pPr>
    </w:p>
    <w:p w:rsidR="0025315F" w:rsidRPr="007D5822" w:rsidRDefault="0025315F" w:rsidP="0025315F">
      <w:pPr>
        <w:pStyle w:val="ListParagraph"/>
        <w:numPr>
          <w:ilvl w:val="2"/>
          <w:numId w:val="16"/>
        </w:numPr>
        <w:spacing w:line="360" w:lineRule="auto"/>
        <w:jc w:val="both"/>
        <w:rPr>
          <w:rFonts w:ascii="Arial" w:hAnsi="Arial" w:cs="Arial"/>
          <w:b/>
          <w:sz w:val="24"/>
          <w:szCs w:val="24"/>
        </w:rPr>
      </w:pPr>
      <w:r w:rsidRPr="007D5822">
        <w:rPr>
          <w:rFonts w:ascii="Arial" w:hAnsi="Arial" w:cs="Arial"/>
          <w:b/>
          <w:sz w:val="24"/>
          <w:szCs w:val="24"/>
        </w:rPr>
        <w:t>Tabla</w:t>
      </w:r>
      <w:r w:rsidRPr="0080587C">
        <w:rPr>
          <w:rFonts w:ascii="Arial" w:hAnsi="Arial" w:cs="Arial"/>
          <w:b/>
          <w:sz w:val="14"/>
          <w:szCs w:val="24"/>
        </w:rPr>
        <w:t xml:space="preserve"> </w:t>
      </w:r>
      <w:r w:rsidRPr="007D5822">
        <w:rPr>
          <w:rFonts w:ascii="Arial" w:hAnsi="Arial" w:cs="Arial"/>
          <w:b/>
          <w:sz w:val="24"/>
          <w:szCs w:val="24"/>
        </w:rPr>
        <w:t>de</w:t>
      </w:r>
      <w:r w:rsidRPr="0080587C">
        <w:rPr>
          <w:rFonts w:ascii="Arial" w:hAnsi="Arial" w:cs="Arial"/>
          <w:b/>
          <w:sz w:val="14"/>
          <w:szCs w:val="24"/>
        </w:rPr>
        <w:t xml:space="preserve"> </w:t>
      </w:r>
      <w:r w:rsidRPr="007D5822">
        <w:rPr>
          <w:rFonts w:ascii="Arial" w:hAnsi="Arial" w:cs="Arial"/>
          <w:b/>
          <w:sz w:val="24"/>
          <w:szCs w:val="24"/>
        </w:rPr>
        <w:t>Valores</w:t>
      </w:r>
      <w:r w:rsidRPr="0080587C">
        <w:rPr>
          <w:rFonts w:ascii="Arial" w:hAnsi="Arial" w:cs="Arial"/>
          <w:b/>
          <w:sz w:val="14"/>
          <w:szCs w:val="24"/>
        </w:rPr>
        <w:t xml:space="preserve"> </w:t>
      </w:r>
      <w:r w:rsidRPr="007D5822">
        <w:rPr>
          <w:rFonts w:ascii="Arial" w:hAnsi="Arial" w:cs="Arial"/>
          <w:b/>
          <w:sz w:val="24"/>
          <w:szCs w:val="24"/>
        </w:rPr>
        <w:t>de</w:t>
      </w:r>
      <w:r w:rsidRPr="0080587C">
        <w:rPr>
          <w:rFonts w:ascii="Arial" w:hAnsi="Arial" w:cs="Arial"/>
          <w:b/>
          <w:sz w:val="14"/>
          <w:szCs w:val="24"/>
        </w:rPr>
        <w:t xml:space="preserve"> </w:t>
      </w:r>
      <w:r w:rsidRPr="007D5822">
        <w:rPr>
          <w:rFonts w:ascii="Arial" w:hAnsi="Arial" w:cs="Arial"/>
          <w:b/>
          <w:sz w:val="24"/>
          <w:szCs w:val="24"/>
        </w:rPr>
        <w:t>las</w:t>
      </w:r>
      <w:r w:rsidRPr="0080587C">
        <w:rPr>
          <w:rFonts w:ascii="Arial" w:hAnsi="Arial" w:cs="Arial"/>
          <w:b/>
          <w:sz w:val="14"/>
          <w:szCs w:val="24"/>
        </w:rPr>
        <w:t xml:space="preserve"> </w:t>
      </w:r>
      <w:r w:rsidRPr="007D5822">
        <w:rPr>
          <w:rFonts w:ascii="Arial" w:hAnsi="Arial" w:cs="Arial"/>
          <w:b/>
          <w:sz w:val="24"/>
          <w:szCs w:val="24"/>
        </w:rPr>
        <w:t>Mediciones</w:t>
      </w:r>
      <w:r w:rsidRPr="0080587C">
        <w:rPr>
          <w:rFonts w:ascii="Arial" w:hAnsi="Arial" w:cs="Arial"/>
          <w:b/>
          <w:sz w:val="14"/>
          <w:szCs w:val="24"/>
        </w:rPr>
        <w:t xml:space="preserve"> </w:t>
      </w:r>
      <w:r w:rsidRPr="007D5822">
        <w:rPr>
          <w:rFonts w:ascii="Arial" w:hAnsi="Arial" w:cs="Arial"/>
          <w:b/>
          <w:sz w:val="24"/>
          <w:szCs w:val="24"/>
        </w:rPr>
        <w:t>por Instrumentación2</w:t>
      </w:r>
    </w:p>
    <w:p w:rsidR="0025315F" w:rsidRPr="007D5822" w:rsidRDefault="0025315F" w:rsidP="0025315F">
      <w:pPr>
        <w:pStyle w:val="ListParagraph"/>
        <w:spacing w:line="360" w:lineRule="auto"/>
        <w:ind w:left="1800"/>
        <w:jc w:val="both"/>
        <w:rPr>
          <w:rFonts w:ascii="Arial" w:hAnsi="Arial" w:cs="Arial"/>
          <w:sz w:val="24"/>
          <w:szCs w:val="24"/>
        </w:rPr>
      </w:pPr>
    </w:p>
    <w:p w:rsidR="0025315F" w:rsidRPr="00FE77CF" w:rsidRDefault="0025315F" w:rsidP="0025315F">
      <w:pPr>
        <w:pStyle w:val="ListParagraph"/>
        <w:numPr>
          <w:ilvl w:val="3"/>
          <w:numId w:val="16"/>
        </w:numPr>
        <w:spacing w:line="360" w:lineRule="auto"/>
        <w:ind w:left="2127" w:hanging="851"/>
        <w:jc w:val="both"/>
        <w:rPr>
          <w:rFonts w:ascii="Arial" w:hAnsi="Arial" w:cs="Arial"/>
          <w:b/>
          <w:sz w:val="24"/>
          <w:szCs w:val="24"/>
        </w:rPr>
      </w:pPr>
      <w:r w:rsidRPr="007D5822">
        <w:rPr>
          <w:rFonts w:ascii="Arial" w:hAnsi="Arial" w:cs="Arial"/>
          <w:b/>
          <w:sz w:val="24"/>
          <w:szCs w:val="24"/>
        </w:rPr>
        <w:t>Mediciones en Ambientes Exteriores de Telefonía Móvil</w:t>
      </w:r>
    </w:p>
    <w:p w:rsidR="0025315F" w:rsidRDefault="0025315F"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E03F63" w:rsidRDefault="00E03F63" w:rsidP="0025315F">
      <w:pPr>
        <w:pStyle w:val="ListParagraph"/>
        <w:spacing w:line="360" w:lineRule="auto"/>
        <w:ind w:left="2127"/>
        <w:jc w:val="both"/>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lastRenderedPageBreak/>
        <w:t xml:space="preserve">Tabla </w:t>
      </w:r>
      <w:r>
        <w:rPr>
          <w:rFonts w:ascii="Arial" w:hAnsi="Arial" w:cs="Arial"/>
          <w:b/>
          <w:sz w:val="24"/>
          <w:szCs w:val="24"/>
        </w:rPr>
        <w:t>XXIV</w:t>
      </w:r>
      <w:r w:rsidRPr="00664A36">
        <w:rPr>
          <w:rFonts w:ascii="Arial" w:hAnsi="Arial" w:cs="Arial"/>
          <w:b/>
          <w:sz w:val="24"/>
          <w:szCs w:val="24"/>
        </w:rPr>
        <w:t>.</w:t>
      </w:r>
      <w:r>
        <w:rPr>
          <w:rFonts w:ascii="Arial" w:hAnsi="Arial" w:cs="Arial"/>
          <w:b/>
          <w:sz w:val="24"/>
          <w:szCs w:val="24"/>
        </w:rPr>
        <w:t xml:space="preserve"> Valores de mediciones</w:t>
      </w:r>
      <w:r w:rsidRPr="00A82740">
        <w:rPr>
          <w:rFonts w:ascii="Arial" w:hAnsi="Arial" w:cs="Arial"/>
          <w:b/>
          <w:sz w:val="24"/>
          <w:szCs w:val="24"/>
        </w:rPr>
        <w:t xml:space="preserve"> </w:t>
      </w:r>
      <w:r>
        <w:rPr>
          <w:rFonts w:ascii="Arial" w:hAnsi="Arial" w:cs="Arial"/>
          <w:b/>
          <w:sz w:val="24"/>
          <w:szCs w:val="24"/>
        </w:rPr>
        <w:t xml:space="preserve">de Telefonía Móvil Porta con </w:t>
      </w:r>
      <w:r w:rsidRPr="00A82740">
        <w:rPr>
          <w:rFonts w:ascii="Arial" w:hAnsi="Arial" w:cs="Arial"/>
          <w:b/>
          <w:sz w:val="24"/>
          <w:szCs w:val="24"/>
        </w:rPr>
        <w:t xml:space="preserve"> </w:t>
      </w:r>
      <w:r>
        <w:rPr>
          <w:rFonts w:ascii="Arial" w:hAnsi="Arial" w:cs="Arial"/>
          <w:b/>
          <w:sz w:val="24"/>
          <w:szCs w:val="24"/>
        </w:rPr>
        <w:t>procedimiento 2,  realizadas en ambientes exteriores.</w:t>
      </w:r>
      <w:r w:rsidRPr="00664A36">
        <w:rPr>
          <w:rStyle w:val="FootnoteReference"/>
          <w:rFonts w:ascii="Arial" w:hAnsi="Arial" w:cs="Arial"/>
          <w:b/>
          <w:sz w:val="24"/>
          <w:szCs w:val="24"/>
        </w:rPr>
        <w:footnoteReference w:id="64"/>
      </w:r>
    </w:p>
    <w:p w:rsidR="0025315F" w:rsidRPr="00E03F63" w:rsidRDefault="0025315F" w:rsidP="0025315F">
      <w:pPr>
        <w:pStyle w:val="ListParagraph"/>
        <w:spacing w:line="360" w:lineRule="auto"/>
        <w:ind w:left="2160"/>
        <w:jc w:val="both"/>
        <w:rPr>
          <w:rFonts w:ascii="Arial" w:hAnsi="Arial" w:cs="Arial"/>
          <w:b/>
          <w:sz w:val="16"/>
          <w:szCs w:val="24"/>
        </w:rPr>
      </w:pPr>
    </w:p>
    <w:p w:rsidR="0025315F" w:rsidRPr="007D5822" w:rsidRDefault="0025315F" w:rsidP="0025315F">
      <w:pPr>
        <w:pStyle w:val="ListParagraph"/>
        <w:spacing w:line="360" w:lineRule="auto"/>
        <w:ind w:left="2160"/>
        <w:jc w:val="center"/>
        <w:rPr>
          <w:rFonts w:ascii="Arial" w:hAnsi="Arial" w:cs="Arial"/>
          <w:b/>
          <w:sz w:val="24"/>
          <w:szCs w:val="24"/>
        </w:rPr>
      </w:pPr>
      <w:r>
        <w:rPr>
          <w:rFonts w:ascii="Arial" w:hAnsi="Arial" w:cs="Arial"/>
          <w:b/>
          <w:noProof/>
          <w:sz w:val="24"/>
          <w:szCs w:val="24"/>
          <w:lang w:eastAsia="es-ES"/>
        </w:rPr>
        <w:drawing>
          <wp:inline distT="0" distB="0" distL="0" distR="0">
            <wp:extent cx="3759320" cy="2476363"/>
            <wp:effectExtent l="19050" t="0" r="0" b="0"/>
            <wp:docPr id="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3" cstate="print"/>
                    <a:srcRect/>
                    <a:stretch>
                      <a:fillRect/>
                    </a:stretch>
                  </pic:blipFill>
                  <pic:spPr bwMode="auto">
                    <a:xfrm>
                      <a:off x="0" y="0"/>
                      <a:ext cx="3763496" cy="2479114"/>
                    </a:xfrm>
                    <a:prstGeom prst="rect">
                      <a:avLst/>
                    </a:prstGeom>
                    <a:noFill/>
                    <a:ln w="9525">
                      <a:noFill/>
                      <a:miter lim="800000"/>
                      <a:headEnd/>
                      <a:tailEnd/>
                    </a:ln>
                  </pic:spPr>
                </pic:pic>
              </a:graphicData>
            </a:graphic>
          </wp:inline>
        </w:drawing>
      </w:r>
    </w:p>
    <w:p w:rsidR="0025315F" w:rsidRPr="00E03F63" w:rsidRDefault="0025315F" w:rsidP="0025315F">
      <w:pPr>
        <w:pStyle w:val="ListParagraph"/>
        <w:spacing w:line="360" w:lineRule="auto"/>
        <w:ind w:left="1843"/>
        <w:jc w:val="center"/>
        <w:rPr>
          <w:rFonts w:ascii="Arial" w:hAnsi="Arial" w:cs="Arial"/>
          <w:b/>
          <w:sz w:val="16"/>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XXV</w:t>
      </w:r>
      <w:r w:rsidRPr="00664A36">
        <w:rPr>
          <w:rFonts w:ascii="Arial" w:hAnsi="Arial" w:cs="Arial"/>
          <w:b/>
          <w:sz w:val="24"/>
          <w:szCs w:val="24"/>
        </w:rPr>
        <w:t>.</w:t>
      </w:r>
      <w:r>
        <w:rPr>
          <w:rFonts w:ascii="Arial" w:hAnsi="Arial" w:cs="Arial"/>
          <w:b/>
          <w:sz w:val="24"/>
          <w:szCs w:val="24"/>
        </w:rPr>
        <w:t xml:space="preserve"> Valores de mediciones</w:t>
      </w:r>
      <w:r w:rsidRPr="00A82740">
        <w:rPr>
          <w:rFonts w:ascii="Arial" w:hAnsi="Arial" w:cs="Arial"/>
          <w:b/>
          <w:sz w:val="24"/>
          <w:szCs w:val="24"/>
        </w:rPr>
        <w:t xml:space="preserve"> </w:t>
      </w:r>
      <w:r>
        <w:rPr>
          <w:rFonts w:ascii="Arial" w:hAnsi="Arial" w:cs="Arial"/>
          <w:b/>
          <w:sz w:val="24"/>
          <w:szCs w:val="24"/>
        </w:rPr>
        <w:t xml:space="preserve">Telefonía Móvil Movistar con </w:t>
      </w:r>
      <w:r w:rsidRPr="00A82740">
        <w:rPr>
          <w:rFonts w:ascii="Arial" w:hAnsi="Arial" w:cs="Arial"/>
          <w:b/>
          <w:sz w:val="24"/>
          <w:szCs w:val="24"/>
        </w:rPr>
        <w:t xml:space="preserve"> </w:t>
      </w:r>
      <w:r>
        <w:rPr>
          <w:rFonts w:ascii="Arial" w:hAnsi="Arial" w:cs="Arial"/>
          <w:b/>
          <w:sz w:val="24"/>
          <w:szCs w:val="24"/>
        </w:rPr>
        <w:t>procedimiento 2,  realizadas en ambientes exteriores.</w:t>
      </w:r>
      <w:r w:rsidRPr="00664A36">
        <w:rPr>
          <w:rStyle w:val="FootnoteReference"/>
          <w:rFonts w:ascii="Arial" w:hAnsi="Arial" w:cs="Arial"/>
          <w:b/>
          <w:sz w:val="24"/>
          <w:szCs w:val="24"/>
        </w:rPr>
        <w:footnoteReference w:id="65"/>
      </w:r>
    </w:p>
    <w:p w:rsidR="0025315F" w:rsidRPr="00FE77CF" w:rsidRDefault="0025315F" w:rsidP="0025315F">
      <w:pPr>
        <w:pStyle w:val="ListParagraph"/>
        <w:spacing w:line="360" w:lineRule="auto"/>
        <w:ind w:left="2160"/>
        <w:jc w:val="both"/>
        <w:rPr>
          <w:rFonts w:ascii="Arial" w:hAnsi="Arial" w:cs="Arial"/>
          <w:noProof/>
          <w:sz w:val="24"/>
          <w:szCs w:val="24"/>
          <w:lang w:eastAsia="es-ES"/>
        </w:rPr>
      </w:pPr>
    </w:p>
    <w:p w:rsidR="0025315F" w:rsidRPr="007D5822"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drawing>
          <wp:inline distT="0" distB="0" distL="0" distR="0">
            <wp:extent cx="3578165" cy="2344255"/>
            <wp:effectExtent l="19050" t="0" r="3235" b="0"/>
            <wp:docPr id="17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4" cstate="print"/>
                    <a:srcRect/>
                    <a:stretch>
                      <a:fillRect/>
                    </a:stretch>
                  </pic:blipFill>
                  <pic:spPr bwMode="auto">
                    <a:xfrm>
                      <a:off x="0" y="0"/>
                      <a:ext cx="3583736" cy="2347905"/>
                    </a:xfrm>
                    <a:prstGeom prst="rect">
                      <a:avLst/>
                    </a:prstGeom>
                    <a:noFill/>
                    <a:ln w="9525">
                      <a:noFill/>
                      <a:miter lim="800000"/>
                      <a:headEnd/>
                      <a:tailEnd/>
                    </a:ln>
                  </pic:spPr>
                </pic:pic>
              </a:graphicData>
            </a:graphic>
          </wp:inline>
        </w:drawing>
      </w:r>
    </w:p>
    <w:p w:rsidR="0025315F" w:rsidRDefault="0025315F" w:rsidP="0025315F">
      <w:pPr>
        <w:pStyle w:val="ListParagraph"/>
        <w:numPr>
          <w:ilvl w:val="3"/>
          <w:numId w:val="16"/>
        </w:numPr>
        <w:spacing w:line="360" w:lineRule="auto"/>
        <w:ind w:left="2127" w:hanging="851"/>
        <w:jc w:val="both"/>
        <w:rPr>
          <w:rFonts w:ascii="Arial" w:hAnsi="Arial" w:cs="Arial"/>
          <w:b/>
          <w:sz w:val="24"/>
          <w:szCs w:val="24"/>
        </w:rPr>
      </w:pPr>
      <w:r w:rsidRPr="007D5822">
        <w:rPr>
          <w:rFonts w:ascii="Arial" w:hAnsi="Arial" w:cs="Arial"/>
          <w:b/>
          <w:sz w:val="24"/>
          <w:szCs w:val="24"/>
        </w:rPr>
        <w:lastRenderedPageBreak/>
        <w:t>Mediciones en Ambientes Interiores de Telefonía Móvil</w:t>
      </w:r>
    </w:p>
    <w:p w:rsidR="0025315F" w:rsidRDefault="0025315F" w:rsidP="0025315F">
      <w:pPr>
        <w:pStyle w:val="ListParagraph"/>
        <w:spacing w:line="360" w:lineRule="auto"/>
        <w:ind w:left="2127"/>
        <w:jc w:val="both"/>
        <w:rPr>
          <w:rFonts w:ascii="Arial" w:hAnsi="Arial" w:cs="Arial"/>
          <w:b/>
          <w:sz w:val="24"/>
          <w:szCs w:val="24"/>
        </w:rPr>
      </w:pPr>
    </w:p>
    <w:p w:rsidR="0025315F" w:rsidRPr="00664A36" w:rsidRDefault="0025315F" w:rsidP="0025315F">
      <w:pPr>
        <w:pStyle w:val="ListParagraph"/>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XXVI</w:t>
      </w:r>
      <w:r w:rsidRPr="00664A36">
        <w:rPr>
          <w:rFonts w:ascii="Arial" w:hAnsi="Arial" w:cs="Arial"/>
          <w:b/>
          <w:sz w:val="24"/>
          <w:szCs w:val="24"/>
        </w:rPr>
        <w:t>.</w:t>
      </w:r>
      <w:r>
        <w:rPr>
          <w:rFonts w:ascii="Arial" w:hAnsi="Arial" w:cs="Arial"/>
          <w:b/>
          <w:sz w:val="24"/>
          <w:szCs w:val="24"/>
        </w:rPr>
        <w:t xml:space="preserve"> Valores de mediciones de Telefonía Móvil Porta con procedimiento 2, realizadas en ambientes interiores</w:t>
      </w:r>
      <w:r w:rsidRPr="00664A36">
        <w:rPr>
          <w:rStyle w:val="FootnoteReference"/>
          <w:rFonts w:ascii="Arial" w:hAnsi="Arial" w:cs="Arial"/>
          <w:b/>
          <w:sz w:val="24"/>
          <w:szCs w:val="24"/>
        </w:rPr>
        <w:footnoteReference w:id="66"/>
      </w:r>
    </w:p>
    <w:p w:rsidR="0025315F" w:rsidRPr="007D5822" w:rsidRDefault="0025315F" w:rsidP="0025315F">
      <w:pPr>
        <w:pStyle w:val="ListParagraph"/>
        <w:spacing w:line="360" w:lineRule="auto"/>
        <w:ind w:left="2124"/>
        <w:jc w:val="center"/>
        <w:rPr>
          <w:rFonts w:ascii="Arial" w:hAnsi="Arial" w:cs="Arial"/>
          <w:sz w:val="24"/>
          <w:szCs w:val="24"/>
        </w:rPr>
      </w:pPr>
      <w:r>
        <w:rPr>
          <w:rFonts w:ascii="Arial" w:hAnsi="Arial" w:cs="Arial"/>
          <w:noProof/>
          <w:sz w:val="24"/>
          <w:szCs w:val="24"/>
          <w:lang w:eastAsia="es-ES"/>
        </w:rPr>
        <w:drawing>
          <wp:inline distT="0" distB="0" distL="0" distR="0">
            <wp:extent cx="3398520" cy="2142490"/>
            <wp:effectExtent l="19050" t="0" r="0" b="0"/>
            <wp:docPr id="1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5" cstate="print"/>
                    <a:srcRect/>
                    <a:stretch>
                      <a:fillRect/>
                    </a:stretch>
                  </pic:blipFill>
                  <pic:spPr bwMode="auto">
                    <a:xfrm>
                      <a:off x="0" y="0"/>
                      <a:ext cx="3398520" cy="214249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4"/>
        <w:jc w:val="both"/>
        <w:rPr>
          <w:rFonts w:ascii="Arial" w:hAnsi="Arial" w:cs="Arial"/>
          <w:sz w:val="24"/>
          <w:szCs w:val="24"/>
        </w:rPr>
      </w:pPr>
    </w:p>
    <w:p w:rsidR="0025315F" w:rsidRPr="00664A36" w:rsidRDefault="0025315F" w:rsidP="0025315F">
      <w:pPr>
        <w:pStyle w:val="ListParagraph"/>
        <w:tabs>
          <w:tab w:val="left" w:pos="1701"/>
        </w:tabs>
        <w:spacing w:line="360" w:lineRule="auto"/>
        <w:ind w:left="1843"/>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XXVII</w:t>
      </w:r>
      <w:r w:rsidRPr="00664A36">
        <w:rPr>
          <w:rFonts w:ascii="Arial" w:hAnsi="Arial" w:cs="Arial"/>
          <w:b/>
          <w:sz w:val="24"/>
          <w:szCs w:val="24"/>
        </w:rPr>
        <w:t>.</w:t>
      </w:r>
      <w:r>
        <w:rPr>
          <w:rFonts w:ascii="Arial" w:hAnsi="Arial" w:cs="Arial"/>
          <w:b/>
          <w:sz w:val="24"/>
          <w:szCs w:val="24"/>
        </w:rPr>
        <w:t xml:space="preserve"> Valores de mediciones de Telefonía Movistar con procedimiento 2, realizadas en ambientes interiores.</w:t>
      </w:r>
      <w:r w:rsidRPr="00664A36">
        <w:rPr>
          <w:rStyle w:val="FootnoteReference"/>
          <w:rFonts w:ascii="Arial" w:hAnsi="Arial" w:cs="Arial"/>
          <w:b/>
          <w:sz w:val="24"/>
          <w:szCs w:val="24"/>
        </w:rPr>
        <w:footnoteReference w:id="67"/>
      </w:r>
    </w:p>
    <w:p w:rsidR="0025315F" w:rsidRPr="007D5822" w:rsidRDefault="0025315F" w:rsidP="0025315F">
      <w:pPr>
        <w:pStyle w:val="ListParagraph"/>
        <w:spacing w:line="360" w:lineRule="auto"/>
        <w:ind w:left="2124"/>
        <w:jc w:val="both"/>
        <w:rPr>
          <w:rFonts w:ascii="Arial" w:hAnsi="Arial" w:cs="Arial"/>
          <w:sz w:val="24"/>
          <w:szCs w:val="24"/>
        </w:rPr>
      </w:pPr>
      <w:r>
        <w:rPr>
          <w:rFonts w:ascii="Arial" w:hAnsi="Arial" w:cs="Arial"/>
          <w:noProof/>
          <w:sz w:val="24"/>
          <w:szCs w:val="24"/>
          <w:lang w:eastAsia="es-ES"/>
        </w:rPr>
        <w:drawing>
          <wp:inline distT="0" distB="0" distL="0" distR="0">
            <wp:extent cx="3752850" cy="2087880"/>
            <wp:effectExtent l="19050" t="0" r="0" b="0"/>
            <wp:docPr id="1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6" cstate="print"/>
                    <a:srcRect/>
                    <a:stretch>
                      <a:fillRect/>
                    </a:stretch>
                  </pic:blipFill>
                  <pic:spPr bwMode="auto">
                    <a:xfrm>
                      <a:off x="0" y="0"/>
                      <a:ext cx="3752850" cy="2087880"/>
                    </a:xfrm>
                    <a:prstGeom prst="rect">
                      <a:avLst/>
                    </a:prstGeom>
                    <a:noFill/>
                    <a:ln w="9525">
                      <a:noFill/>
                      <a:miter lim="800000"/>
                      <a:headEnd/>
                      <a:tailEnd/>
                    </a:ln>
                  </pic:spPr>
                </pic:pic>
              </a:graphicData>
            </a:graphic>
          </wp:inline>
        </w:drawing>
      </w:r>
    </w:p>
    <w:p w:rsidR="0025315F" w:rsidRDefault="0025315F" w:rsidP="0025315F">
      <w:pPr>
        <w:pStyle w:val="ListParagraph"/>
        <w:numPr>
          <w:ilvl w:val="3"/>
          <w:numId w:val="16"/>
        </w:numPr>
        <w:spacing w:line="360" w:lineRule="auto"/>
        <w:ind w:left="1985" w:hanging="709"/>
        <w:jc w:val="both"/>
        <w:rPr>
          <w:rFonts w:ascii="Arial" w:hAnsi="Arial" w:cs="Arial"/>
          <w:b/>
          <w:sz w:val="24"/>
          <w:szCs w:val="24"/>
        </w:rPr>
      </w:pPr>
      <w:r w:rsidRPr="007D5822">
        <w:rPr>
          <w:rFonts w:ascii="Arial" w:hAnsi="Arial" w:cs="Arial"/>
          <w:b/>
          <w:sz w:val="24"/>
          <w:szCs w:val="24"/>
        </w:rPr>
        <w:lastRenderedPageBreak/>
        <w:t>Mediciones en Ambientes Interiores de Red Wireless LAN</w:t>
      </w:r>
    </w:p>
    <w:p w:rsidR="0025315F" w:rsidRDefault="0025315F" w:rsidP="0025315F">
      <w:pPr>
        <w:pStyle w:val="ListParagraph"/>
        <w:spacing w:line="360" w:lineRule="auto"/>
        <w:ind w:left="1800"/>
        <w:jc w:val="both"/>
        <w:rPr>
          <w:rFonts w:ascii="Arial" w:hAnsi="Arial" w:cs="Arial"/>
          <w:b/>
          <w:sz w:val="24"/>
          <w:szCs w:val="24"/>
        </w:rPr>
      </w:pPr>
    </w:p>
    <w:p w:rsidR="0025315F" w:rsidRPr="007D5822" w:rsidRDefault="0025315F" w:rsidP="0025315F">
      <w:pPr>
        <w:pStyle w:val="ListParagraph"/>
        <w:spacing w:line="360" w:lineRule="auto"/>
        <w:ind w:left="2127"/>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XXVIII</w:t>
      </w:r>
      <w:r w:rsidRPr="00664A36">
        <w:rPr>
          <w:rFonts w:ascii="Arial" w:hAnsi="Arial" w:cs="Arial"/>
          <w:b/>
          <w:sz w:val="24"/>
          <w:szCs w:val="24"/>
        </w:rPr>
        <w:t>.</w:t>
      </w:r>
      <w:r>
        <w:rPr>
          <w:rFonts w:ascii="Arial" w:hAnsi="Arial" w:cs="Arial"/>
          <w:b/>
          <w:sz w:val="24"/>
          <w:szCs w:val="24"/>
        </w:rPr>
        <w:t xml:space="preserve"> Valores de mediciones de WLAN con procedimiento 2, en ambientes interiores. </w:t>
      </w:r>
      <w:r w:rsidRPr="00664A36">
        <w:rPr>
          <w:rStyle w:val="FootnoteReference"/>
          <w:rFonts w:ascii="Arial" w:hAnsi="Arial" w:cs="Arial"/>
          <w:b/>
          <w:sz w:val="24"/>
          <w:szCs w:val="24"/>
        </w:rPr>
        <w:footnoteReference w:id="68"/>
      </w:r>
    </w:p>
    <w:p w:rsidR="0025315F" w:rsidRDefault="0025315F" w:rsidP="0025315F">
      <w:pPr>
        <w:spacing w:line="360" w:lineRule="auto"/>
        <w:ind w:left="2127"/>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2988945" cy="4954270"/>
            <wp:effectExtent l="19050" t="0" r="1905" b="0"/>
            <wp:docPr id="17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7" cstate="print"/>
                    <a:srcRect/>
                    <a:stretch>
                      <a:fillRect/>
                    </a:stretch>
                  </pic:blipFill>
                  <pic:spPr bwMode="auto">
                    <a:xfrm>
                      <a:off x="0" y="0"/>
                      <a:ext cx="2988945" cy="4954270"/>
                    </a:xfrm>
                    <a:prstGeom prst="rect">
                      <a:avLst/>
                    </a:prstGeom>
                    <a:noFill/>
                    <a:ln w="9525">
                      <a:noFill/>
                      <a:miter lim="800000"/>
                      <a:headEnd/>
                      <a:tailEnd/>
                    </a:ln>
                  </pic:spPr>
                </pic:pic>
              </a:graphicData>
            </a:graphic>
          </wp:inline>
        </w:drawing>
      </w:r>
    </w:p>
    <w:p w:rsidR="0025315F" w:rsidRDefault="0025315F" w:rsidP="0025315F">
      <w:pPr>
        <w:spacing w:line="360" w:lineRule="auto"/>
        <w:ind w:left="2127"/>
        <w:jc w:val="center"/>
        <w:rPr>
          <w:rFonts w:ascii="Arial" w:hAnsi="Arial" w:cs="Arial"/>
          <w:sz w:val="24"/>
          <w:szCs w:val="24"/>
        </w:rPr>
      </w:pPr>
    </w:p>
    <w:p w:rsidR="0025315F" w:rsidRPr="007D5822" w:rsidRDefault="0025315F" w:rsidP="0025315F">
      <w:pPr>
        <w:spacing w:line="360" w:lineRule="auto"/>
        <w:ind w:left="2127"/>
        <w:jc w:val="center"/>
        <w:rPr>
          <w:rFonts w:ascii="Arial" w:hAnsi="Arial" w:cs="Arial"/>
          <w:sz w:val="24"/>
          <w:szCs w:val="24"/>
        </w:rPr>
      </w:pPr>
    </w:p>
    <w:p w:rsidR="0025315F" w:rsidRDefault="0025315F" w:rsidP="0025315F">
      <w:pPr>
        <w:pStyle w:val="ListParagraph"/>
        <w:spacing w:line="360" w:lineRule="auto"/>
        <w:ind w:left="2832"/>
        <w:jc w:val="both"/>
        <w:rPr>
          <w:rFonts w:ascii="Arial" w:hAnsi="Arial" w:cs="Arial"/>
          <w:b/>
          <w:sz w:val="24"/>
          <w:szCs w:val="24"/>
        </w:rPr>
      </w:pPr>
    </w:p>
    <w:p w:rsidR="00BA2E9D" w:rsidRDefault="00BA2E9D" w:rsidP="0025315F">
      <w:pPr>
        <w:pStyle w:val="ListParagraph"/>
        <w:spacing w:line="360" w:lineRule="auto"/>
        <w:ind w:left="2832"/>
        <w:jc w:val="both"/>
        <w:rPr>
          <w:rFonts w:ascii="Arial" w:hAnsi="Arial" w:cs="Arial"/>
          <w:noProof/>
          <w:sz w:val="24"/>
          <w:szCs w:val="24"/>
          <w:lang w:eastAsia="es-ES"/>
        </w:rPr>
      </w:pPr>
    </w:p>
    <w:p w:rsidR="0025315F" w:rsidRPr="007D5822" w:rsidRDefault="0025315F" w:rsidP="00BA2E9D">
      <w:pPr>
        <w:pStyle w:val="ListParagraph"/>
        <w:spacing w:line="360" w:lineRule="auto"/>
        <w:ind w:left="1560"/>
        <w:jc w:val="center"/>
        <w:rPr>
          <w:rFonts w:ascii="Arial" w:hAnsi="Arial" w:cs="Arial"/>
          <w:b/>
          <w:sz w:val="24"/>
          <w:szCs w:val="24"/>
        </w:rPr>
      </w:pPr>
      <w:r w:rsidRPr="00664A36">
        <w:rPr>
          <w:rFonts w:ascii="Arial" w:hAnsi="Arial" w:cs="Arial"/>
          <w:b/>
          <w:sz w:val="24"/>
          <w:szCs w:val="24"/>
        </w:rPr>
        <w:t xml:space="preserve">Tabla </w:t>
      </w:r>
      <w:r>
        <w:rPr>
          <w:rFonts w:ascii="Arial" w:hAnsi="Arial" w:cs="Arial"/>
          <w:b/>
          <w:sz w:val="24"/>
          <w:szCs w:val="24"/>
        </w:rPr>
        <w:t>XXIX</w:t>
      </w:r>
      <w:r w:rsidRPr="00664A36">
        <w:rPr>
          <w:rFonts w:ascii="Arial" w:hAnsi="Arial" w:cs="Arial"/>
          <w:b/>
          <w:sz w:val="24"/>
          <w:szCs w:val="24"/>
        </w:rPr>
        <w:t>.</w:t>
      </w:r>
      <w:r>
        <w:rPr>
          <w:rFonts w:ascii="Arial" w:hAnsi="Arial" w:cs="Arial"/>
          <w:b/>
          <w:sz w:val="24"/>
          <w:szCs w:val="24"/>
        </w:rPr>
        <w:t xml:space="preserve"> Valores de mediciones de múltiples fuentes con procedimiento 2. </w:t>
      </w:r>
      <w:r w:rsidRPr="00664A36">
        <w:rPr>
          <w:rStyle w:val="FootnoteReference"/>
          <w:rFonts w:ascii="Arial" w:hAnsi="Arial" w:cs="Arial"/>
          <w:b/>
          <w:sz w:val="24"/>
          <w:szCs w:val="24"/>
        </w:rPr>
        <w:footnoteReference w:id="69"/>
      </w:r>
    </w:p>
    <w:p w:rsidR="0025315F" w:rsidRPr="00FE77CF" w:rsidRDefault="0025315F" w:rsidP="0025315F">
      <w:pPr>
        <w:pStyle w:val="ListParagraph"/>
        <w:spacing w:line="360" w:lineRule="auto"/>
        <w:ind w:left="2832"/>
        <w:jc w:val="both"/>
        <w:rPr>
          <w:rFonts w:ascii="Arial" w:hAnsi="Arial" w:cs="Arial"/>
          <w:noProof/>
          <w:sz w:val="24"/>
          <w:szCs w:val="24"/>
          <w:lang w:eastAsia="es-ES"/>
        </w:rPr>
      </w:pPr>
    </w:p>
    <w:p w:rsidR="0025315F" w:rsidRPr="007D5822" w:rsidRDefault="0025315F" w:rsidP="00BA2E9D">
      <w:pPr>
        <w:pStyle w:val="ListParagraph"/>
        <w:spacing w:line="360" w:lineRule="auto"/>
        <w:ind w:left="1560"/>
        <w:jc w:val="center"/>
        <w:rPr>
          <w:rFonts w:ascii="Arial" w:hAnsi="Arial" w:cs="Arial"/>
          <w:sz w:val="24"/>
          <w:szCs w:val="24"/>
        </w:rPr>
      </w:pPr>
      <w:r>
        <w:rPr>
          <w:rFonts w:ascii="Arial" w:hAnsi="Arial" w:cs="Arial"/>
          <w:noProof/>
          <w:sz w:val="24"/>
          <w:szCs w:val="24"/>
          <w:lang w:eastAsia="es-ES"/>
        </w:rPr>
        <w:drawing>
          <wp:inline distT="0" distB="0" distL="0" distR="0">
            <wp:extent cx="3670935" cy="1788160"/>
            <wp:effectExtent l="19050" t="0" r="5715" b="0"/>
            <wp:docPr id="1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8" cstate="print"/>
                    <a:srcRect/>
                    <a:stretch>
                      <a:fillRect/>
                    </a:stretch>
                  </pic:blipFill>
                  <pic:spPr bwMode="auto">
                    <a:xfrm>
                      <a:off x="0" y="0"/>
                      <a:ext cx="3670935" cy="1788160"/>
                    </a:xfrm>
                    <a:prstGeom prst="rect">
                      <a:avLst/>
                    </a:prstGeom>
                    <a:noFill/>
                    <a:ln w="9525">
                      <a:noFill/>
                      <a:miter lim="800000"/>
                      <a:headEnd/>
                      <a:tailEnd/>
                    </a:ln>
                  </pic:spPr>
                </pic:pic>
              </a:graphicData>
            </a:graphic>
          </wp:inline>
        </w:drawing>
      </w:r>
    </w:p>
    <w:p w:rsidR="0025315F" w:rsidRPr="007D5822" w:rsidRDefault="0025315F" w:rsidP="0025315F">
      <w:pPr>
        <w:pStyle w:val="ListParagraph"/>
        <w:spacing w:line="360" w:lineRule="auto"/>
        <w:ind w:left="1800"/>
        <w:jc w:val="both"/>
        <w:rPr>
          <w:rFonts w:ascii="Arial" w:hAnsi="Arial" w:cs="Arial"/>
          <w:b/>
          <w:sz w:val="24"/>
          <w:szCs w:val="24"/>
        </w:rPr>
      </w:pPr>
    </w:p>
    <w:p w:rsidR="0025315F" w:rsidRPr="007D5822" w:rsidRDefault="0025315F" w:rsidP="0025315F">
      <w:pPr>
        <w:pStyle w:val="ListParagraph"/>
        <w:numPr>
          <w:ilvl w:val="1"/>
          <w:numId w:val="16"/>
        </w:numPr>
        <w:spacing w:line="360" w:lineRule="auto"/>
        <w:ind w:left="1070"/>
        <w:jc w:val="both"/>
        <w:rPr>
          <w:rFonts w:ascii="Arial" w:hAnsi="Arial" w:cs="Arial"/>
          <w:b/>
          <w:sz w:val="24"/>
          <w:szCs w:val="24"/>
        </w:rPr>
      </w:pPr>
      <w:r w:rsidRPr="007D5822">
        <w:rPr>
          <w:rFonts w:ascii="Arial" w:hAnsi="Arial" w:cs="Arial"/>
          <w:b/>
          <w:sz w:val="24"/>
          <w:szCs w:val="24"/>
        </w:rPr>
        <w:t xml:space="preserve">Cálculos de Confiabilidad de las Mediciones </w:t>
      </w:r>
    </w:p>
    <w:p w:rsidR="0025315F" w:rsidRPr="007D5822" w:rsidRDefault="0025315F" w:rsidP="0025315F">
      <w:pPr>
        <w:pStyle w:val="ListParagraph"/>
        <w:spacing w:line="360" w:lineRule="auto"/>
        <w:ind w:left="780"/>
        <w:jc w:val="both"/>
        <w:rPr>
          <w:rFonts w:ascii="Arial" w:hAnsi="Arial" w:cs="Arial"/>
          <w:b/>
          <w:sz w:val="24"/>
          <w:szCs w:val="24"/>
        </w:rPr>
      </w:pPr>
    </w:p>
    <w:p w:rsidR="0025315F" w:rsidRPr="007D5822" w:rsidRDefault="0025315F" w:rsidP="0025315F">
      <w:pPr>
        <w:pStyle w:val="ListParagraph"/>
        <w:numPr>
          <w:ilvl w:val="2"/>
          <w:numId w:val="16"/>
        </w:numPr>
        <w:spacing w:line="360" w:lineRule="auto"/>
        <w:ind w:left="1560"/>
        <w:jc w:val="both"/>
        <w:rPr>
          <w:rFonts w:ascii="Arial" w:hAnsi="Arial" w:cs="Arial"/>
          <w:b/>
          <w:sz w:val="24"/>
          <w:szCs w:val="24"/>
        </w:rPr>
      </w:pPr>
      <w:r w:rsidRPr="007D5822">
        <w:rPr>
          <w:rFonts w:ascii="Arial" w:hAnsi="Arial" w:cs="Arial"/>
          <w:b/>
          <w:sz w:val="24"/>
          <w:szCs w:val="24"/>
        </w:rPr>
        <w:t>Comparación Porcentual de las Mediciones por Procedimientos</w:t>
      </w:r>
    </w:p>
    <w:p w:rsidR="0025315F" w:rsidRPr="007D5822" w:rsidRDefault="0025315F" w:rsidP="0025315F">
      <w:pPr>
        <w:pStyle w:val="ListParagraph"/>
        <w:spacing w:line="360" w:lineRule="auto"/>
        <w:ind w:left="780"/>
        <w:jc w:val="both"/>
        <w:rPr>
          <w:rFonts w:ascii="Arial" w:hAnsi="Arial" w:cs="Arial"/>
          <w:b/>
          <w:sz w:val="24"/>
          <w:szCs w:val="24"/>
        </w:rPr>
      </w:pPr>
    </w:p>
    <w:p w:rsidR="0025315F" w:rsidRPr="007D5822" w:rsidRDefault="0025315F" w:rsidP="0025315F">
      <w:pPr>
        <w:pStyle w:val="ListParagraph"/>
        <w:spacing w:line="360" w:lineRule="auto"/>
        <w:ind w:left="1560"/>
        <w:jc w:val="both"/>
        <w:rPr>
          <w:rFonts w:ascii="Arial" w:hAnsi="Arial" w:cs="Arial"/>
          <w:sz w:val="24"/>
          <w:szCs w:val="24"/>
        </w:rPr>
      </w:pPr>
      <w:r w:rsidRPr="007D5822">
        <w:rPr>
          <w:rFonts w:ascii="Arial" w:hAnsi="Arial" w:cs="Arial"/>
          <w:sz w:val="24"/>
          <w:szCs w:val="24"/>
        </w:rPr>
        <w:t>La comparación porcentual de la aplicación de los procedimientos de medición 1 y 2 antes mencionados, se realiza con la finalidad de mostrar la diferencia existente en los valores obtenidos en un mismo punto de medición.</w:t>
      </w:r>
    </w:p>
    <w:p w:rsidR="0025315F" w:rsidRPr="007D5822" w:rsidRDefault="0025315F" w:rsidP="0025315F">
      <w:pPr>
        <w:pStyle w:val="ListParagraph"/>
        <w:spacing w:line="360" w:lineRule="auto"/>
        <w:ind w:left="780"/>
        <w:jc w:val="both"/>
        <w:rPr>
          <w:rFonts w:ascii="Arial" w:hAnsi="Arial" w:cs="Arial"/>
          <w:sz w:val="24"/>
          <w:szCs w:val="24"/>
        </w:rPr>
      </w:pPr>
    </w:p>
    <w:p w:rsidR="0025315F" w:rsidRPr="007D5822" w:rsidRDefault="0025315F" w:rsidP="0025315F">
      <w:pPr>
        <w:pStyle w:val="ListParagraph"/>
        <w:spacing w:line="360" w:lineRule="auto"/>
        <w:ind w:left="1560"/>
        <w:jc w:val="both"/>
        <w:rPr>
          <w:rFonts w:ascii="Arial" w:hAnsi="Arial" w:cs="Arial"/>
          <w:sz w:val="24"/>
          <w:szCs w:val="24"/>
        </w:rPr>
      </w:pPr>
      <w:r w:rsidRPr="007D5822">
        <w:rPr>
          <w:rFonts w:ascii="Arial" w:hAnsi="Arial" w:cs="Arial"/>
          <w:sz w:val="24"/>
          <w:szCs w:val="24"/>
        </w:rPr>
        <w:t>Para el reconocimiento de esta comparación porcentual, se efectúo a calcular el valor promedio de intensidad de campo eléctrico a las tres alturas de medición en el mismo punto para los dos procedimientos de medición antes mencionados.</w:t>
      </w:r>
    </w:p>
    <w:p w:rsidR="0025315F" w:rsidRPr="007D5822" w:rsidRDefault="0025315F" w:rsidP="0025315F">
      <w:pPr>
        <w:pStyle w:val="ListParagraph"/>
        <w:spacing w:line="360" w:lineRule="auto"/>
        <w:ind w:left="780"/>
        <w:jc w:val="both"/>
        <w:rPr>
          <w:rFonts w:ascii="Arial" w:hAnsi="Arial" w:cs="Arial"/>
          <w:sz w:val="24"/>
          <w:szCs w:val="24"/>
        </w:rPr>
      </w:pPr>
    </w:p>
    <w:p w:rsidR="0025315F" w:rsidRPr="007D5822" w:rsidRDefault="0025315F" w:rsidP="0025315F">
      <w:pPr>
        <w:pStyle w:val="ListParagraph"/>
        <w:spacing w:line="360" w:lineRule="auto"/>
        <w:ind w:left="1560"/>
        <w:jc w:val="both"/>
        <w:rPr>
          <w:rFonts w:ascii="Arial" w:hAnsi="Arial" w:cs="Arial"/>
          <w:sz w:val="24"/>
          <w:szCs w:val="24"/>
        </w:rPr>
      </w:pPr>
      <w:r w:rsidRPr="007D5822">
        <w:rPr>
          <w:rFonts w:ascii="Arial" w:hAnsi="Arial" w:cs="Arial"/>
          <w:sz w:val="24"/>
          <w:szCs w:val="24"/>
        </w:rPr>
        <w:lastRenderedPageBreak/>
        <w:t>También se muestra las graficas representativas de los valores promedio obtenidos en las mediciones en las mediciones en ambiente interiores (puntos de medición wireless LAN y puntos de medición de Telefonía Móvil en edificios cercanos a las radio bases), y en ambientes exteriores (puntos de medición de Telefonía Móvil alrededor de las radio bases).</w:t>
      </w:r>
    </w:p>
    <w:p w:rsidR="0025315F" w:rsidRPr="007D5822" w:rsidRDefault="0025315F" w:rsidP="0025315F">
      <w:pPr>
        <w:pStyle w:val="ListParagraph"/>
        <w:spacing w:line="360" w:lineRule="auto"/>
        <w:ind w:left="780"/>
        <w:jc w:val="both"/>
        <w:rPr>
          <w:rFonts w:ascii="Arial" w:hAnsi="Arial" w:cs="Arial"/>
          <w:sz w:val="24"/>
          <w:szCs w:val="24"/>
        </w:rPr>
      </w:pPr>
    </w:p>
    <w:p w:rsidR="0025315F" w:rsidRPr="007D5822" w:rsidRDefault="0025315F" w:rsidP="0025315F">
      <w:pPr>
        <w:pStyle w:val="ListParagraph"/>
        <w:numPr>
          <w:ilvl w:val="3"/>
          <w:numId w:val="16"/>
        </w:numPr>
        <w:spacing w:line="360" w:lineRule="auto"/>
        <w:ind w:left="1985"/>
        <w:jc w:val="both"/>
        <w:rPr>
          <w:rFonts w:ascii="Arial" w:hAnsi="Arial" w:cs="Arial"/>
          <w:b/>
          <w:sz w:val="24"/>
          <w:szCs w:val="24"/>
        </w:rPr>
      </w:pPr>
      <w:r w:rsidRPr="007D5822">
        <w:rPr>
          <w:rFonts w:ascii="Arial" w:hAnsi="Arial" w:cs="Arial"/>
          <w:b/>
          <w:sz w:val="24"/>
          <w:szCs w:val="24"/>
        </w:rPr>
        <w:t>lustración Porcentual para las mediciones en Ambientes Interiores</w:t>
      </w:r>
    </w:p>
    <w:p w:rsidR="0025315F"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En la siguiente gráfica se muestra el cálculo de los valores promedios de intensidad de campo eléctrico en todos los puntos de medición en ambientes interiores de los puntos de acceso Wireless LAN.</w:t>
      </w:r>
    </w:p>
    <w:p w:rsidR="0025315F" w:rsidRDefault="0025315F" w:rsidP="0025315F">
      <w:pPr>
        <w:spacing w:line="360" w:lineRule="auto"/>
        <w:ind w:left="1985"/>
        <w:jc w:val="center"/>
        <w:rPr>
          <w:rFonts w:ascii="Arial" w:hAnsi="Arial" w:cs="Arial"/>
          <w:b/>
          <w:noProof/>
          <w:sz w:val="24"/>
          <w:szCs w:val="24"/>
          <w:lang w:eastAsia="es-ES"/>
        </w:rPr>
      </w:pPr>
      <w:r>
        <w:rPr>
          <w:rFonts w:ascii="Arial" w:hAnsi="Arial" w:cs="Arial"/>
          <w:b/>
          <w:noProof/>
          <w:sz w:val="24"/>
          <w:szCs w:val="24"/>
          <w:lang w:eastAsia="es-ES"/>
        </w:rPr>
        <w:drawing>
          <wp:inline distT="0" distB="0" distL="0" distR="0">
            <wp:extent cx="3995613" cy="2517660"/>
            <wp:effectExtent l="11793" t="5680" r="5159" b="1420"/>
            <wp:docPr id="16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25315F" w:rsidRPr="007D5822"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Figura 4.2 Comparación valores obtenidos con procedimientos 1 y 2, puntos de mediciones WLAN.</w:t>
      </w:r>
      <w:r w:rsidRPr="00664A36">
        <w:rPr>
          <w:rStyle w:val="FootnoteReference"/>
          <w:rFonts w:ascii="Arial" w:hAnsi="Arial" w:cs="Arial"/>
          <w:b/>
          <w:sz w:val="24"/>
          <w:szCs w:val="24"/>
        </w:rPr>
        <w:footnoteReference w:id="70"/>
      </w:r>
    </w:p>
    <w:p w:rsidR="0025315F" w:rsidRDefault="0025315F" w:rsidP="0025315F">
      <w:pPr>
        <w:spacing w:line="360" w:lineRule="auto"/>
        <w:ind w:left="1985"/>
        <w:jc w:val="both"/>
        <w:rPr>
          <w:rFonts w:ascii="Arial" w:hAnsi="Arial" w:cs="Arial"/>
          <w:sz w:val="24"/>
          <w:szCs w:val="24"/>
        </w:rPr>
      </w:pPr>
      <w:r w:rsidRPr="007D5822">
        <w:rPr>
          <w:rFonts w:ascii="Arial" w:hAnsi="Arial" w:cs="Arial"/>
          <w:sz w:val="24"/>
          <w:szCs w:val="24"/>
        </w:rPr>
        <w:lastRenderedPageBreak/>
        <w:t>Para las siguiente gráficas se muestra los valores promedios de intensidad de campo eléctrico de los puntos de medición en ambientes interiores de Telefonía Móvil en los edificios cercanos a las radio bases de las operadoras Porta y Movistar respectivamente.</w:t>
      </w:r>
    </w:p>
    <w:p w:rsidR="0025315F" w:rsidRPr="003839F7" w:rsidRDefault="0025315F" w:rsidP="0025315F">
      <w:pPr>
        <w:spacing w:line="360" w:lineRule="auto"/>
        <w:ind w:left="1985"/>
        <w:jc w:val="both"/>
        <w:rPr>
          <w:rFonts w:ascii="Arial" w:hAnsi="Arial" w:cs="Arial"/>
          <w:sz w:val="24"/>
          <w:szCs w:val="24"/>
          <w:lang w:val="es-EC"/>
        </w:rPr>
      </w:pP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drawing>
          <wp:inline distT="0" distB="0" distL="0" distR="0">
            <wp:extent cx="4037986" cy="2844012"/>
            <wp:effectExtent l="12175" t="6115" r="3044" b="2293"/>
            <wp:docPr id="16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p>
    <w:p w:rsidR="0025315F" w:rsidRPr="007D5822"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 xml:space="preserve">Figura 4.3  Comparación valores obtenidos con procedimientos 1 y 2, puntos de mediciones interiores Telefonía Móvil Porta. </w:t>
      </w:r>
      <w:r w:rsidRPr="00664A36">
        <w:rPr>
          <w:rStyle w:val="FootnoteReference"/>
          <w:rFonts w:ascii="Arial" w:hAnsi="Arial" w:cs="Arial"/>
          <w:b/>
          <w:sz w:val="24"/>
          <w:szCs w:val="24"/>
        </w:rPr>
        <w:footnoteReference w:id="71"/>
      </w: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996944" cy="2805046"/>
            <wp:effectExtent l="18288" t="6099" r="10668" b="0"/>
            <wp:docPr id="16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p>
    <w:p w:rsidR="0025315F" w:rsidRPr="007D5822"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 xml:space="preserve">Figura 4.4  Comparación valores obtenidos con procedimientos 1 y 2, puntos de mediciones interiores Telefonía Móvil Movistar. </w:t>
      </w:r>
      <w:r w:rsidRPr="00664A36">
        <w:rPr>
          <w:rStyle w:val="FootnoteReference"/>
          <w:rFonts w:ascii="Arial" w:hAnsi="Arial" w:cs="Arial"/>
          <w:b/>
          <w:sz w:val="24"/>
          <w:szCs w:val="24"/>
        </w:rPr>
        <w:footnoteReference w:id="72"/>
      </w:r>
    </w:p>
    <w:p w:rsidR="0025315F" w:rsidRPr="005847F0" w:rsidRDefault="0025315F" w:rsidP="0025315F">
      <w:pPr>
        <w:spacing w:line="360" w:lineRule="auto"/>
        <w:ind w:left="1985"/>
        <w:jc w:val="both"/>
        <w:rPr>
          <w:rFonts w:ascii="Arial" w:hAnsi="Arial" w:cs="Arial"/>
          <w:sz w:val="24"/>
          <w:szCs w:val="24"/>
          <w:lang w:val="es-EC"/>
        </w:rPr>
      </w:pP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b/>
          <w:sz w:val="24"/>
          <w:szCs w:val="24"/>
        </w:rPr>
        <w:t xml:space="preserve"> </w:t>
      </w:r>
      <w:r w:rsidRPr="007D5822">
        <w:rPr>
          <w:rFonts w:ascii="Arial" w:hAnsi="Arial" w:cs="Arial"/>
          <w:sz w:val="24"/>
          <w:szCs w:val="24"/>
        </w:rPr>
        <w:t xml:space="preserve">Al final calculamos la diferencia porcentual entre el promedio de intensidad de campo eléctrico a las tres alturas de medición para el procedimiento 1 y el promedio del procedimiento 2, con el respectivo número de puntos de medición en cada rango de variabilidad, como se indica a continuación.  </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384170" cy="2997215"/>
            <wp:effectExtent l="19050" t="0" r="25780" b="0"/>
            <wp:docPr id="16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 xml:space="preserve">Figura 4.5  </w:t>
      </w:r>
      <w:r w:rsidRPr="00ED5F47">
        <w:rPr>
          <w:rFonts w:ascii="Arial" w:hAnsi="Arial" w:cs="Arial"/>
          <w:b/>
          <w:bCs/>
          <w:sz w:val="24"/>
          <w:szCs w:val="24"/>
        </w:rPr>
        <w:t>Comparación Porcentual entre Procedimientos de Medición en Ambientes Interiores</w:t>
      </w:r>
      <w:r w:rsidRPr="00ED5F47">
        <w:rPr>
          <w:rFonts w:ascii="Arial" w:hAnsi="Arial" w:cs="Arial"/>
          <w:b/>
          <w:sz w:val="24"/>
          <w:szCs w:val="24"/>
        </w:rPr>
        <w:t xml:space="preserve">. </w:t>
      </w:r>
      <w:r w:rsidRPr="00ED5F47">
        <w:rPr>
          <w:rStyle w:val="FootnoteReference"/>
          <w:rFonts w:ascii="Arial" w:hAnsi="Arial" w:cs="Arial"/>
          <w:b/>
          <w:sz w:val="24"/>
          <w:szCs w:val="24"/>
        </w:rPr>
        <w:footnoteReference w:id="73"/>
      </w:r>
    </w:p>
    <w:p w:rsidR="0025315F" w:rsidRDefault="0025315F" w:rsidP="0025315F">
      <w:pPr>
        <w:pStyle w:val="ListParagraph"/>
        <w:spacing w:line="360" w:lineRule="auto"/>
        <w:ind w:left="2127"/>
        <w:jc w:val="center"/>
        <w:rPr>
          <w:rFonts w:ascii="Arial" w:hAnsi="Arial" w:cs="Arial"/>
          <w:b/>
          <w:sz w:val="24"/>
          <w:szCs w:val="24"/>
        </w:rPr>
      </w:pPr>
    </w:p>
    <w:p w:rsidR="0025315F"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De la figura 4.5 se muestra que al efectuar las mediciones con los dos procedimientos de medición en los mismos puntos, los valores de intensidad de campo eléctrico resultante se duplican, se triplican y superan hasta ser 1000 % entre una medición y otra, ya que la mayoría de los valores obtenidos son decimales, centésimas y milésimas  de V/m como se mostraron anteriormente. </w:t>
      </w: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Los procedimientos de medición fueron realizados bajos las mismas condiciones, por lo cual en la parte 4.3.2 de este documento, se analiza la confiabilidad de los </w:t>
      </w:r>
      <w:r>
        <w:rPr>
          <w:rFonts w:ascii="Arial" w:hAnsi="Arial" w:cs="Arial"/>
          <w:sz w:val="24"/>
          <w:szCs w:val="24"/>
        </w:rPr>
        <w:lastRenderedPageBreak/>
        <w:t>procedimientos, basados en la desviación máxima de los valores a las tres alturas de medición con respecto al promedio, en cada uno de los puntos analizados</w:t>
      </w:r>
    </w:p>
    <w:p w:rsidR="0025315F" w:rsidRPr="0018752F" w:rsidRDefault="0025315F" w:rsidP="0025315F">
      <w:pPr>
        <w:pStyle w:val="ListParagraph"/>
        <w:spacing w:line="360" w:lineRule="auto"/>
        <w:ind w:left="2127"/>
        <w:jc w:val="both"/>
        <w:rPr>
          <w:rFonts w:ascii="Arial" w:hAnsi="Arial" w:cs="Arial"/>
          <w:sz w:val="24"/>
          <w:szCs w:val="24"/>
        </w:rPr>
      </w:pPr>
    </w:p>
    <w:p w:rsidR="0025315F" w:rsidRPr="007D5822" w:rsidRDefault="0025315F" w:rsidP="0025315F">
      <w:pPr>
        <w:pStyle w:val="ListParagraph"/>
        <w:numPr>
          <w:ilvl w:val="3"/>
          <w:numId w:val="16"/>
        </w:numPr>
        <w:spacing w:line="360" w:lineRule="auto"/>
        <w:ind w:left="1985"/>
        <w:jc w:val="both"/>
        <w:rPr>
          <w:rFonts w:ascii="Arial" w:hAnsi="Arial" w:cs="Arial"/>
          <w:b/>
          <w:sz w:val="24"/>
          <w:szCs w:val="24"/>
        </w:rPr>
      </w:pPr>
      <w:r w:rsidRPr="007D5822">
        <w:rPr>
          <w:rFonts w:ascii="Arial" w:hAnsi="Arial" w:cs="Arial"/>
          <w:b/>
          <w:sz w:val="24"/>
          <w:szCs w:val="24"/>
        </w:rPr>
        <w:t>Ilustración Porcentual  para mediciones en Ambientes Exteriores</w:t>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pStyle w:val="ListParagraph"/>
        <w:spacing w:line="360" w:lineRule="auto"/>
        <w:ind w:left="1985"/>
        <w:jc w:val="both"/>
        <w:rPr>
          <w:rFonts w:ascii="Arial" w:hAnsi="Arial" w:cs="Arial"/>
          <w:sz w:val="24"/>
          <w:szCs w:val="24"/>
        </w:rPr>
      </w:pPr>
      <w:r w:rsidRPr="007D5822">
        <w:rPr>
          <w:rFonts w:ascii="Arial" w:hAnsi="Arial" w:cs="Arial"/>
          <w:sz w:val="24"/>
          <w:szCs w:val="24"/>
        </w:rPr>
        <w:t>En las siguiente gráficas se muestra los valores promedio de intensidad de campo eléctrico en todos los puntos de medición en ambientes exteriores  (Puntos de medición de Telefonía Móvil alrededor de las  radio bases de las operadoras Porta, en los rangos de frecuencia de 869-880 MHz y de 890-891.5 MHz; y Movistar de 880-890 MHz y de 891.5-894MHz).</w:t>
      </w:r>
    </w:p>
    <w:p w:rsidR="0025315F" w:rsidRDefault="0025315F" w:rsidP="0025315F">
      <w:pPr>
        <w:pStyle w:val="ListParagraph"/>
        <w:spacing w:line="360" w:lineRule="auto"/>
        <w:ind w:left="1985"/>
        <w:jc w:val="center"/>
        <w:rPr>
          <w:rFonts w:ascii="Arial" w:hAnsi="Arial" w:cs="Arial"/>
          <w:sz w:val="24"/>
          <w:szCs w:val="24"/>
        </w:rPr>
      </w:pPr>
      <w:r>
        <w:rPr>
          <w:rFonts w:ascii="Arial" w:hAnsi="Arial" w:cs="Arial"/>
          <w:noProof/>
          <w:sz w:val="24"/>
          <w:szCs w:val="24"/>
          <w:lang w:eastAsia="es-ES"/>
        </w:rPr>
        <w:drawing>
          <wp:inline distT="0" distB="0" distL="0" distR="0">
            <wp:extent cx="3546678" cy="2683226"/>
            <wp:effectExtent l="10670" t="5364" r="5002" b="0"/>
            <wp:docPr id="164"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 xml:space="preserve">Figura 4.6  Comparación valores obtenidos con procedimientos 1 y 2, puntos de mediciones exteriores Telefonía Móvil Porta. </w:t>
      </w:r>
      <w:r w:rsidRPr="00664A36">
        <w:rPr>
          <w:rStyle w:val="FootnoteReference"/>
          <w:rFonts w:ascii="Arial" w:hAnsi="Arial" w:cs="Arial"/>
          <w:b/>
          <w:sz w:val="24"/>
          <w:szCs w:val="24"/>
        </w:rPr>
        <w:footnoteReference w:id="74"/>
      </w:r>
    </w:p>
    <w:p w:rsidR="0025315F" w:rsidRPr="00ED5F47" w:rsidRDefault="0025315F" w:rsidP="0025315F">
      <w:pPr>
        <w:pStyle w:val="ListParagraph"/>
        <w:spacing w:line="360" w:lineRule="auto"/>
        <w:ind w:left="2127"/>
        <w:jc w:val="center"/>
        <w:rPr>
          <w:rFonts w:ascii="Arial" w:hAnsi="Arial" w:cs="Arial"/>
          <w:sz w:val="24"/>
          <w:szCs w:val="24"/>
        </w:rPr>
      </w:pPr>
    </w:p>
    <w:p w:rsidR="0025315F" w:rsidRDefault="0025315F" w:rsidP="0025315F">
      <w:pPr>
        <w:pStyle w:val="ListParagraph"/>
        <w:spacing w:line="360" w:lineRule="auto"/>
        <w:ind w:left="1985"/>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049282" cy="2735232"/>
            <wp:effectExtent l="12182" t="6071" r="5711" b="1897"/>
            <wp:docPr id="163"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rsidR="0025315F" w:rsidRDefault="0025315F" w:rsidP="0025315F">
      <w:pPr>
        <w:pStyle w:val="ListParagraph"/>
        <w:spacing w:line="360" w:lineRule="auto"/>
        <w:ind w:left="2127"/>
        <w:jc w:val="center"/>
        <w:rPr>
          <w:rFonts w:ascii="Arial" w:hAnsi="Arial" w:cs="Arial"/>
          <w:b/>
          <w:sz w:val="24"/>
          <w:szCs w:val="24"/>
        </w:rPr>
      </w:pPr>
    </w:p>
    <w:p w:rsidR="0025315F" w:rsidRPr="007D5822"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 xml:space="preserve">Figura 4.7  Comparación valores obtenidos con procedimientos 1 y 2, puntos de mediciones exteriores Telefonía Móvil Movistar. </w:t>
      </w:r>
      <w:r w:rsidRPr="00664A36">
        <w:rPr>
          <w:rStyle w:val="FootnoteReference"/>
          <w:rFonts w:ascii="Arial" w:hAnsi="Arial" w:cs="Arial"/>
          <w:b/>
          <w:sz w:val="24"/>
          <w:szCs w:val="24"/>
        </w:rPr>
        <w:footnoteReference w:id="75"/>
      </w:r>
    </w:p>
    <w:p w:rsidR="0025315F" w:rsidRPr="007D5822" w:rsidRDefault="0025315F" w:rsidP="0025315F">
      <w:pPr>
        <w:pStyle w:val="ListParagraph"/>
        <w:spacing w:line="360" w:lineRule="auto"/>
        <w:ind w:left="1985"/>
        <w:jc w:val="both"/>
        <w:rPr>
          <w:rFonts w:ascii="Arial" w:hAnsi="Arial" w:cs="Arial"/>
          <w:sz w:val="24"/>
          <w:szCs w:val="24"/>
        </w:rPr>
      </w:pP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 xml:space="preserve">A continuación se manifiesta la diferencia porcentual entre el promedio de intensidad de campo eléctrico a las tres alturas de medición para el procedimiento 1 y el promedio del procedimiento 2, con el respectivo número de puntos de medición en ambientes exteriores en cada rango de variabilidad.  </w:t>
      </w: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492870" cy="3079071"/>
            <wp:effectExtent l="10200" t="5124" r="4670" b="0"/>
            <wp:docPr id="16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Figura 4.8</w:t>
      </w:r>
      <w:r w:rsidRPr="00ED5F47">
        <w:rPr>
          <w:rFonts w:ascii="Arial" w:hAnsi="Arial" w:cs="Arial"/>
          <w:b/>
          <w:sz w:val="24"/>
          <w:szCs w:val="24"/>
        </w:rPr>
        <w:t xml:space="preserve">  </w:t>
      </w:r>
      <w:r w:rsidRPr="00ED5F47">
        <w:rPr>
          <w:rFonts w:ascii="Arial" w:hAnsi="Arial" w:cs="Arial"/>
          <w:b/>
          <w:bCs/>
          <w:sz w:val="24"/>
          <w:szCs w:val="24"/>
        </w:rPr>
        <w:t xml:space="preserve">Comparación Porcentual entre Procedimientos de Medición en Ambientes </w:t>
      </w:r>
      <w:r>
        <w:rPr>
          <w:rFonts w:ascii="Arial" w:hAnsi="Arial" w:cs="Arial"/>
          <w:b/>
          <w:bCs/>
          <w:sz w:val="24"/>
          <w:szCs w:val="24"/>
        </w:rPr>
        <w:t>Ex</w:t>
      </w:r>
      <w:r w:rsidRPr="00ED5F47">
        <w:rPr>
          <w:rFonts w:ascii="Arial" w:hAnsi="Arial" w:cs="Arial"/>
          <w:b/>
          <w:bCs/>
          <w:sz w:val="24"/>
          <w:szCs w:val="24"/>
        </w:rPr>
        <w:t>teriores</w:t>
      </w:r>
      <w:r w:rsidRPr="00ED5F47">
        <w:rPr>
          <w:rFonts w:ascii="Arial" w:hAnsi="Arial" w:cs="Arial"/>
          <w:b/>
          <w:sz w:val="24"/>
          <w:szCs w:val="24"/>
        </w:rPr>
        <w:t>.</w:t>
      </w:r>
      <w:r w:rsidRPr="00ED5F47">
        <w:rPr>
          <w:rStyle w:val="FootnoteReference"/>
          <w:rFonts w:ascii="Arial" w:hAnsi="Arial" w:cs="Arial"/>
          <w:b/>
          <w:sz w:val="24"/>
          <w:szCs w:val="24"/>
        </w:rPr>
        <w:footnoteReference w:id="76"/>
      </w:r>
    </w:p>
    <w:p w:rsidR="0025315F" w:rsidRDefault="0025315F" w:rsidP="0025315F">
      <w:pPr>
        <w:pStyle w:val="ListParagraph"/>
        <w:spacing w:line="360" w:lineRule="auto"/>
        <w:ind w:left="2127"/>
        <w:jc w:val="both"/>
        <w:rPr>
          <w:rFonts w:ascii="Arial" w:hAnsi="Arial" w:cs="Arial"/>
          <w:sz w:val="24"/>
          <w:szCs w:val="24"/>
        </w:rPr>
      </w:pPr>
    </w:p>
    <w:p w:rsidR="0025315F" w:rsidRPr="004E3D1D"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Los procedimientos de medición en ambientes exteriores fueron realizados bajos los mismas condiciones de tiempo, espacio y tráfico, y al igual que para las mediciones en ambiente interiores se denota que existe gran variabilidad entre los resultados obtenidos, ya que el comportamiento del espectro varía constantemente, para lo cual se efectuó en la siguiente para de este trabajo en documentar la confiabilidad de los procedimientos de medición tanto en ambientes interiores y exteriores, y particularizando las bandas frecuencias analizadas.</w:t>
      </w:r>
    </w:p>
    <w:p w:rsidR="0025315F" w:rsidRPr="007D5822" w:rsidRDefault="0025315F" w:rsidP="0025315F">
      <w:pPr>
        <w:spacing w:line="360" w:lineRule="auto"/>
        <w:ind w:left="1080"/>
        <w:jc w:val="both"/>
        <w:rPr>
          <w:rFonts w:ascii="Arial" w:hAnsi="Arial" w:cs="Arial"/>
          <w:b/>
          <w:sz w:val="24"/>
          <w:szCs w:val="24"/>
          <w:lang w:val="es-EC"/>
        </w:rPr>
      </w:pPr>
      <w:r>
        <w:rPr>
          <w:rFonts w:ascii="Arial" w:hAnsi="Arial" w:cs="Arial"/>
          <w:b/>
          <w:sz w:val="24"/>
          <w:szCs w:val="24"/>
          <w:lang w:val="es-EC"/>
        </w:rPr>
        <w:tab/>
      </w:r>
      <w:r>
        <w:rPr>
          <w:rFonts w:ascii="Arial" w:hAnsi="Arial" w:cs="Arial"/>
          <w:b/>
          <w:sz w:val="24"/>
          <w:szCs w:val="24"/>
          <w:lang w:val="es-EC"/>
        </w:rPr>
        <w:tab/>
      </w:r>
    </w:p>
    <w:p w:rsidR="0025315F" w:rsidRPr="007D5822" w:rsidRDefault="0025315F" w:rsidP="0025315F">
      <w:pPr>
        <w:pStyle w:val="ListParagraph"/>
        <w:numPr>
          <w:ilvl w:val="2"/>
          <w:numId w:val="16"/>
        </w:numPr>
        <w:spacing w:line="360" w:lineRule="auto"/>
        <w:ind w:left="1134" w:hanging="708"/>
        <w:jc w:val="both"/>
        <w:rPr>
          <w:rFonts w:ascii="Arial" w:hAnsi="Arial" w:cs="Arial"/>
          <w:b/>
          <w:sz w:val="24"/>
          <w:szCs w:val="24"/>
        </w:rPr>
      </w:pPr>
      <w:r w:rsidRPr="007D5822">
        <w:rPr>
          <w:rFonts w:ascii="Arial" w:hAnsi="Arial" w:cs="Arial"/>
          <w:b/>
          <w:sz w:val="24"/>
          <w:szCs w:val="24"/>
        </w:rPr>
        <w:lastRenderedPageBreak/>
        <w:t>Calculo de Desviación Máxima de las mediciones con respecto  al promedio de las alturas.</w:t>
      </w:r>
    </w:p>
    <w:p w:rsidR="0025315F" w:rsidRPr="007D5822" w:rsidRDefault="0025315F" w:rsidP="0025315F">
      <w:pPr>
        <w:spacing w:line="360" w:lineRule="auto"/>
        <w:ind w:left="1134" w:hanging="54"/>
        <w:jc w:val="both"/>
        <w:rPr>
          <w:rFonts w:ascii="Arial" w:hAnsi="Arial" w:cs="Arial"/>
          <w:sz w:val="24"/>
          <w:szCs w:val="24"/>
        </w:rPr>
      </w:pPr>
      <w:r w:rsidRPr="007D5822">
        <w:rPr>
          <w:rFonts w:ascii="Arial" w:hAnsi="Arial" w:cs="Arial"/>
          <w:sz w:val="24"/>
          <w:szCs w:val="24"/>
        </w:rPr>
        <w:t xml:space="preserve"> La desviación máxima se calcula a partir de las mediciones realizas a las tres alturas de 1.1, 1.5 y 1.7 metros, en cada punto de medición. Se calcula el valor promedio de las tres alturas en capa punto de medición y se hallara la diferencia porcentual con respecto al valor más alto obtenido en dicho punto. Por ejemplo de unas de las mediciones de telefonía móvil se obtiene los valores de 0.225 V/m, 0.258 V/m y 0.286 V/m, en las alturas de 1.1, 1.5 y 1.7, respectivamente. El promedio de los valores es 0.256 V/m, y la diferencia porcentual con respecto al valor más alto es 10.45%.</w:t>
      </w:r>
    </w:p>
    <w:p w:rsidR="0025315F" w:rsidRPr="007D5822" w:rsidRDefault="0025315F" w:rsidP="0025315F">
      <w:pPr>
        <w:spacing w:line="360" w:lineRule="auto"/>
        <w:ind w:left="1134" w:hanging="54"/>
        <w:jc w:val="both"/>
        <w:rPr>
          <w:rFonts w:ascii="Arial" w:hAnsi="Arial" w:cs="Arial"/>
          <w:sz w:val="24"/>
          <w:szCs w:val="24"/>
        </w:rPr>
      </w:pPr>
      <w:r w:rsidRPr="007D5822">
        <w:rPr>
          <w:rFonts w:ascii="Arial" w:hAnsi="Arial" w:cs="Arial"/>
          <w:sz w:val="24"/>
          <w:szCs w:val="24"/>
        </w:rPr>
        <w:t xml:space="preserve"> El objetivo es identificar la confiabilidad de los procedimientos, ya que las mediciones realizadas en el mismo lugar en el mismo transcurso de tiempo de la medición a las tres alturas, no debería fluctuar drásticamente en los resultados obtenidos.</w:t>
      </w:r>
    </w:p>
    <w:p w:rsidR="0025315F" w:rsidRPr="007D5822" w:rsidRDefault="0025315F" w:rsidP="0025315F">
      <w:pPr>
        <w:spacing w:line="360" w:lineRule="auto"/>
        <w:ind w:left="1134" w:hanging="54"/>
        <w:jc w:val="both"/>
        <w:rPr>
          <w:rFonts w:ascii="Arial" w:hAnsi="Arial" w:cs="Arial"/>
          <w:sz w:val="24"/>
          <w:szCs w:val="24"/>
        </w:rPr>
      </w:pPr>
      <w:r w:rsidRPr="007D5822">
        <w:rPr>
          <w:rFonts w:ascii="Arial" w:hAnsi="Arial" w:cs="Arial"/>
          <w:sz w:val="24"/>
          <w:szCs w:val="24"/>
        </w:rPr>
        <w:t>Para lo cual se verificara el porcentaje de desviación máxima de las  mediciones en cada una de las bandas de frecuencias analizadas. Se mostrará por separado las gráficas en ambientes interiores y exteriores, por bandas de frecuencias y  por procedimientos de medición.</w:t>
      </w:r>
    </w:p>
    <w:p w:rsidR="0025315F" w:rsidRPr="007D5822" w:rsidRDefault="0025315F" w:rsidP="0025315F">
      <w:pPr>
        <w:pStyle w:val="ListParagraph"/>
        <w:numPr>
          <w:ilvl w:val="3"/>
          <w:numId w:val="16"/>
        </w:numPr>
        <w:spacing w:line="360" w:lineRule="auto"/>
        <w:ind w:left="1985" w:hanging="851"/>
        <w:jc w:val="both"/>
        <w:rPr>
          <w:rFonts w:ascii="Arial" w:hAnsi="Arial" w:cs="Arial"/>
          <w:b/>
          <w:sz w:val="24"/>
          <w:szCs w:val="24"/>
        </w:rPr>
      </w:pPr>
      <w:r w:rsidRPr="007D5822">
        <w:rPr>
          <w:rFonts w:ascii="Arial" w:hAnsi="Arial" w:cs="Arial"/>
          <w:b/>
          <w:sz w:val="24"/>
          <w:szCs w:val="24"/>
        </w:rPr>
        <w:t xml:space="preserve"> Ilustración Porcentual  para </w:t>
      </w:r>
      <w:r>
        <w:rPr>
          <w:rFonts w:ascii="Arial" w:hAnsi="Arial" w:cs="Arial"/>
          <w:b/>
          <w:sz w:val="24"/>
          <w:szCs w:val="24"/>
        </w:rPr>
        <w:t xml:space="preserve">las </w:t>
      </w:r>
      <w:r w:rsidRPr="007D5822">
        <w:rPr>
          <w:rFonts w:ascii="Arial" w:hAnsi="Arial" w:cs="Arial"/>
          <w:b/>
          <w:sz w:val="24"/>
          <w:szCs w:val="24"/>
        </w:rPr>
        <w:t>mediciones en Ambientes Interiores</w:t>
      </w: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Las siguientes graficas que mostramos muestran la desviación máxima de las mediciones con respecto al promedio de las alturas, para el procedimiento de medición 1.</w:t>
      </w: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lastRenderedPageBreak/>
        <w:t>En la primera gráfica se muestra la cantidad de mediciones realizadas en la banda de 2.4 a 2.5 GHz correspondiente a la tecnología Wireless LAN, efectuadas con el procedimiento de medición 1. Se denota que la confiabilidad referente al porcentaje de desviación máxima no supera  en más de 5 puntos de medición el 20% de desviación.</w:t>
      </w: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drawing>
          <wp:inline distT="0" distB="0" distL="0" distR="0">
            <wp:extent cx="3914746" cy="2478623"/>
            <wp:effectExtent l="11310" t="5497" r="4594" b="0"/>
            <wp:docPr id="16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9</w:t>
      </w:r>
      <w:r w:rsidRPr="00ED5F47">
        <w:rPr>
          <w:rFonts w:ascii="Arial" w:hAnsi="Arial" w:cs="Arial"/>
          <w:b/>
          <w:sz w:val="24"/>
          <w:szCs w:val="24"/>
        </w:rPr>
        <w:t xml:space="preserve">  </w:t>
      </w:r>
      <w:r>
        <w:rPr>
          <w:rFonts w:ascii="Arial" w:hAnsi="Arial" w:cs="Arial"/>
          <w:b/>
          <w:bCs/>
          <w:sz w:val="24"/>
          <w:szCs w:val="24"/>
        </w:rPr>
        <w:t>Porcentaje de Desviación Máxima para mediciones WLAN con procedimiento 1</w:t>
      </w:r>
      <w:r w:rsidRPr="00ED5F47">
        <w:rPr>
          <w:rFonts w:ascii="Arial" w:hAnsi="Arial" w:cs="Arial"/>
          <w:b/>
          <w:sz w:val="24"/>
          <w:szCs w:val="24"/>
        </w:rPr>
        <w:t xml:space="preserve">. </w:t>
      </w:r>
      <w:r w:rsidRPr="00ED5F47">
        <w:rPr>
          <w:rStyle w:val="FootnoteReference"/>
          <w:rFonts w:ascii="Arial" w:hAnsi="Arial" w:cs="Arial"/>
          <w:b/>
          <w:sz w:val="24"/>
          <w:szCs w:val="24"/>
        </w:rPr>
        <w:footnoteReference w:id="77"/>
      </w:r>
    </w:p>
    <w:p w:rsidR="0025315F" w:rsidRDefault="0025315F" w:rsidP="0025315F">
      <w:pPr>
        <w:pStyle w:val="ListParagraph"/>
        <w:spacing w:line="360" w:lineRule="auto"/>
        <w:ind w:left="2127"/>
        <w:jc w:val="center"/>
        <w:rPr>
          <w:rFonts w:ascii="Arial" w:hAnsi="Arial" w:cs="Arial"/>
          <w:b/>
          <w:sz w:val="24"/>
          <w:szCs w:val="24"/>
        </w:rPr>
      </w:pPr>
    </w:p>
    <w:p w:rsidR="0025315F" w:rsidRPr="00BE1301" w:rsidRDefault="0025315F" w:rsidP="0025315F">
      <w:pPr>
        <w:spacing w:line="360" w:lineRule="auto"/>
        <w:ind w:left="1985"/>
        <w:jc w:val="both"/>
        <w:rPr>
          <w:rFonts w:ascii="Arial" w:hAnsi="Arial" w:cs="Arial"/>
          <w:sz w:val="24"/>
          <w:szCs w:val="24"/>
        </w:rPr>
      </w:pPr>
      <w:r w:rsidRPr="00BE1301">
        <w:rPr>
          <w:rFonts w:ascii="Arial" w:hAnsi="Arial" w:cs="Arial"/>
          <w:sz w:val="24"/>
          <w:szCs w:val="24"/>
        </w:rPr>
        <w:t>De los valores correspondientes a la figura 4.8 tenemos que el promedio de desviación máxima es 17,025% con un valor máximo de 51,74%</w:t>
      </w:r>
      <w:r>
        <w:rPr>
          <w:rFonts w:ascii="Arial" w:hAnsi="Arial" w:cs="Arial"/>
          <w:sz w:val="24"/>
          <w:szCs w:val="24"/>
        </w:rPr>
        <w:t>.</w:t>
      </w: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 xml:space="preserve">Para las siguiente gráficas se muestra el porcentaje de desviación máxima de la mediciones realizadas en la banda de 800 MHz, dentro de predios de ESPOL, de la </w:t>
      </w:r>
      <w:r w:rsidRPr="007D5822">
        <w:rPr>
          <w:rFonts w:ascii="Arial" w:hAnsi="Arial" w:cs="Arial"/>
          <w:sz w:val="24"/>
          <w:szCs w:val="24"/>
        </w:rPr>
        <w:lastRenderedPageBreak/>
        <w:t>operadora de telefonía móvil Porta (869-880 MHz y 890-891.5 MHz), y de la operadora Movistar (880-890 MHz y 891.5-894 MHz), con el procedimiento de medición 1.</w:t>
      </w:r>
    </w:p>
    <w:p w:rsidR="0025315F" w:rsidRPr="000519C0" w:rsidRDefault="0025315F" w:rsidP="0025315F">
      <w:pPr>
        <w:spacing w:line="360" w:lineRule="auto"/>
        <w:ind w:left="1985"/>
        <w:jc w:val="center"/>
        <w:rPr>
          <w:rFonts w:ascii="Arial" w:hAnsi="Arial" w:cs="Arial"/>
          <w:b/>
          <w:sz w:val="24"/>
          <w:szCs w:val="24"/>
        </w:rPr>
      </w:pPr>
      <w:r>
        <w:rPr>
          <w:rFonts w:ascii="Arial" w:hAnsi="Arial" w:cs="Arial"/>
          <w:b/>
          <w:noProof/>
          <w:sz w:val="24"/>
          <w:szCs w:val="24"/>
          <w:lang w:eastAsia="es-ES"/>
        </w:rPr>
        <w:drawing>
          <wp:inline distT="0" distB="0" distL="0" distR="0">
            <wp:extent cx="3776911" cy="2491928"/>
            <wp:effectExtent l="11397" t="5527" r="5817" b="0"/>
            <wp:docPr id="160"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10</w:t>
      </w:r>
      <w:r w:rsidRPr="00ED5F47">
        <w:rPr>
          <w:rFonts w:ascii="Arial" w:hAnsi="Arial" w:cs="Arial"/>
          <w:b/>
          <w:sz w:val="24"/>
          <w:szCs w:val="24"/>
        </w:rPr>
        <w:t xml:space="preserve">  </w:t>
      </w:r>
      <w:r>
        <w:rPr>
          <w:rFonts w:ascii="Arial" w:hAnsi="Arial" w:cs="Arial"/>
          <w:b/>
          <w:bCs/>
          <w:sz w:val="24"/>
          <w:szCs w:val="24"/>
        </w:rPr>
        <w:t>Porcentaje de Desviación Máxima para mediciones  interiores  telefonía móvil Porta con procedimiento 1</w:t>
      </w:r>
      <w:r w:rsidRPr="00ED5F47">
        <w:rPr>
          <w:rFonts w:ascii="Arial" w:hAnsi="Arial" w:cs="Arial"/>
          <w:b/>
          <w:sz w:val="24"/>
          <w:szCs w:val="24"/>
        </w:rPr>
        <w:t>.</w:t>
      </w:r>
      <w:r w:rsidRPr="00ED5F47">
        <w:rPr>
          <w:rStyle w:val="FootnoteReference"/>
          <w:rFonts w:ascii="Arial" w:hAnsi="Arial" w:cs="Arial"/>
          <w:b/>
          <w:sz w:val="24"/>
          <w:szCs w:val="24"/>
        </w:rPr>
        <w:footnoteReference w:id="78"/>
      </w:r>
    </w:p>
    <w:p w:rsidR="0025315F" w:rsidRDefault="0025315F" w:rsidP="0025315F">
      <w:pPr>
        <w:pStyle w:val="ListParagraph"/>
        <w:spacing w:line="360" w:lineRule="auto"/>
        <w:ind w:left="2127"/>
        <w:jc w:val="center"/>
        <w:rPr>
          <w:rFonts w:ascii="Arial" w:hAnsi="Arial" w:cs="Arial"/>
          <w:b/>
          <w:sz w:val="24"/>
          <w:szCs w:val="24"/>
        </w:rPr>
      </w:pPr>
    </w:p>
    <w:p w:rsidR="0025315F" w:rsidRPr="00BE1301"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De los resultados de figura 4.10 se tiene que el valor promedio de desviación máxima es de </w:t>
      </w:r>
      <w:r w:rsidRPr="00BE1301">
        <w:rPr>
          <w:rFonts w:ascii="Arial" w:hAnsi="Arial" w:cs="Arial"/>
          <w:sz w:val="24"/>
          <w:szCs w:val="24"/>
        </w:rPr>
        <w:t>15,38</w:t>
      </w:r>
      <w:r>
        <w:rPr>
          <w:rFonts w:ascii="Arial" w:hAnsi="Arial" w:cs="Arial"/>
          <w:sz w:val="24"/>
          <w:szCs w:val="24"/>
        </w:rPr>
        <w:t>% con un valor máximo de 35,8%.</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392802" cy="2546417"/>
            <wp:effectExtent l="11409" t="5648" r="7644" b="0"/>
            <wp:docPr id="159"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25315F" w:rsidRPr="00ED5F47"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11</w:t>
      </w:r>
      <w:r w:rsidRPr="00ED5F47">
        <w:rPr>
          <w:rFonts w:ascii="Arial" w:hAnsi="Arial" w:cs="Arial"/>
          <w:b/>
          <w:sz w:val="24"/>
          <w:szCs w:val="24"/>
        </w:rPr>
        <w:t xml:space="preserve">  </w:t>
      </w:r>
      <w:r>
        <w:rPr>
          <w:rFonts w:ascii="Arial" w:hAnsi="Arial" w:cs="Arial"/>
          <w:b/>
          <w:bCs/>
          <w:sz w:val="24"/>
          <w:szCs w:val="24"/>
        </w:rPr>
        <w:t>Porcentaje de Desviación Máxima para mediciones interiores telefonía móvil Movistar con procedimiento 1</w:t>
      </w:r>
      <w:r w:rsidRPr="00ED5F47">
        <w:rPr>
          <w:rFonts w:ascii="Arial" w:hAnsi="Arial" w:cs="Arial"/>
          <w:b/>
          <w:sz w:val="24"/>
          <w:szCs w:val="24"/>
        </w:rPr>
        <w:t>.</w:t>
      </w:r>
      <w:r w:rsidRPr="00ED5F47">
        <w:rPr>
          <w:rStyle w:val="FootnoteReference"/>
          <w:rFonts w:ascii="Arial" w:hAnsi="Arial" w:cs="Arial"/>
          <w:b/>
          <w:sz w:val="24"/>
          <w:szCs w:val="24"/>
        </w:rPr>
        <w:footnoteReference w:id="79"/>
      </w:r>
    </w:p>
    <w:p w:rsidR="0025315F" w:rsidRPr="007D5822" w:rsidRDefault="0025315F" w:rsidP="0025315F">
      <w:pPr>
        <w:spacing w:line="360" w:lineRule="auto"/>
        <w:ind w:left="1985"/>
        <w:rPr>
          <w:rFonts w:ascii="Arial" w:hAnsi="Arial" w:cs="Arial"/>
          <w:sz w:val="24"/>
          <w:szCs w:val="24"/>
        </w:rPr>
      </w:pPr>
      <w:r>
        <w:rPr>
          <w:rFonts w:ascii="Arial" w:hAnsi="Arial" w:cs="Arial"/>
          <w:sz w:val="24"/>
          <w:szCs w:val="24"/>
        </w:rPr>
        <w:t xml:space="preserve">De los valores de esta última grafica  tenemos que el valor de desviación máxima promedio es de </w:t>
      </w:r>
      <w:r w:rsidRPr="00BE1301">
        <w:rPr>
          <w:rFonts w:ascii="Arial" w:hAnsi="Arial" w:cs="Arial"/>
          <w:sz w:val="24"/>
          <w:szCs w:val="24"/>
        </w:rPr>
        <w:t>14,31</w:t>
      </w:r>
      <w:r>
        <w:rPr>
          <w:rFonts w:ascii="Arial" w:hAnsi="Arial" w:cs="Arial"/>
          <w:sz w:val="24"/>
          <w:szCs w:val="24"/>
        </w:rPr>
        <w:t xml:space="preserve">% con un máximo de  </w:t>
      </w:r>
      <w:r w:rsidRPr="00BE1301">
        <w:rPr>
          <w:rFonts w:ascii="Arial" w:hAnsi="Arial" w:cs="Arial"/>
          <w:sz w:val="24"/>
          <w:szCs w:val="24"/>
        </w:rPr>
        <w:t>27,33</w:t>
      </w:r>
      <w:r>
        <w:rPr>
          <w:rFonts w:ascii="Arial" w:hAnsi="Arial" w:cs="Arial"/>
          <w:sz w:val="24"/>
          <w:szCs w:val="24"/>
        </w:rPr>
        <w:t>%.</w:t>
      </w: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En cambio para las siguientes graficas que mostramos muestran la desviación máxima de las mediciones con respecto al promedio de las alturas, para el procedimiento de medición 2</w:t>
      </w:r>
      <w:r>
        <w:rPr>
          <w:rFonts w:ascii="Arial" w:hAnsi="Arial" w:cs="Arial"/>
          <w:sz w:val="24"/>
          <w:szCs w:val="24"/>
        </w:rPr>
        <w:t>, igualmente en ambiente interiores</w:t>
      </w:r>
      <w:r w:rsidRPr="007D5822">
        <w:rPr>
          <w:rFonts w:ascii="Arial" w:hAnsi="Arial" w:cs="Arial"/>
          <w:sz w:val="24"/>
          <w:szCs w:val="24"/>
        </w:rPr>
        <w:t>.</w:t>
      </w: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886108" cy="2737129"/>
            <wp:effectExtent l="12194" t="6071" r="5043" b="0"/>
            <wp:docPr id="158"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25315F" w:rsidRPr="00ED5F47"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12</w:t>
      </w:r>
      <w:r w:rsidRPr="00ED5F47">
        <w:rPr>
          <w:rFonts w:ascii="Arial" w:hAnsi="Arial" w:cs="Arial"/>
          <w:b/>
          <w:sz w:val="24"/>
          <w:szCs w:val="24"/>
        </w:rPr>
        <w:t xml:space="preserve">  </w:t>
      </w:r>
      <w:r>
        <w:rPr>
          <w:rFonts w:ascii="Arial" w:hAnsi="Arial" w:cs="Arial"/>
          <w:b/>
          <w:bCs/>
          <w:sz w:val="24"/>
          <w:szCs w:val="24"/>
        </w:rPr>
        <w:t>Porcentaje de Desviación Máxima para mediciones WLAN con procedimiento 2</w:t>
      </w:r>
      <w:r w:rsidRPr="00ED5F47">
        <w:rPr>
          <w:rFonts w:ascii="Arial" w:hAnsi="Arial" w:cs="Arial"/>
          <w:b/>
          <w:sz w:val="24"/>
          <w:szCs w:val="24"/>
        </w:rPr>
        <w:t>.</w:t>
      </w:r>
      <w:r w:rsidRPr="00ED5F47">
        <w:rPr>
          <w:rStyle w:val="FootnoteReference"/>
          <w:rFonts w:ascii="Arial" w:hAnsi="Arial" w:cs="Arial"/>
          <w:b/>
          <w:sz w:val="24"/>
          <w:szCs w:val="24"/>
        </w:rPr>
        <w:footnoteReference w:id="80"/>
      </w:r>
    </w:p>
    <w:p w:rsidR="0025315F" w:rsidRDefault="0025315F" w:rsidP="0025315F">
      <w:pPr>
        <w:spacing w:line="360" w:lineRule="auto"/>
        <w:ind w:left="1985"/>
        <w:jc w:val="both"/>
        <w:rPr>
          <w:rFonts w:ascii="Arial" w:hAnsi="Arial" w:cs="Arial"/>
          <w:sz w:val="24"/>
          <w:szCs w:val="24"/>
        </w:rPr>
      </w:pPr>
      <w:r>
        <w:rPr>
          <w:rFonts w:ascii="Arial" w:hAnsi="Arial" w:cs="Arial"/>
          <w:sz w:val="24"/>
          <w:szCs w:val="24"/>
        </w:rPr>
        <w:t xml:space="preserve">De la figura 4.12 referente al porcentaje de  desviación máxima de las mediciones WLAN de ambientes interiores tenemos que el valor promedio es </w:t>
      </w:r>
      <w:r w:rsidRPr="00B75AE5">
        <w:rPr>
          <w:rFonts w:ascii="Arial" w:hAnsi="Arial" w:cs="Arial"/>
          <w:sz w:val="24"/>
          <w:szCs w:val="24"/>
        </w:rPr>
        <w:t>15,27</w:t>
      </w:r>
      <w:r>
        <w:rPr>
          <w:rFonts w:ascii="Arial" w:hAnsi="Arial" w:cs="Arial"/>
          <w:sz w:val="24"/>
          <w:szCs w:val="24"/>
        </w:rPr>
        <w:t xml:space="preserve">%, con un máximo de </w:t>
      </w:r>
      <w:r w:rsidRPr="00B75AE5">
        <w:rPr>
          <w:rFonts w:ascii="Arial" w:hAnsi="Arial" w:cs="Arial"/>
          <w:sz w:val="24"/>
          <w:szCs w:val="24"/>
        </w:rPr>
        <w:t>32,76</w:t>
      </w:r>
      <w:r>
        <w:rPr>
          <w:rFonts w:ascii="Arial" w:hAnsi="Arial" w:cs="Arial"/>
          <w:sz w:val="24"/>
          <w:szCs w:val="24"/>
        </w:rPr>
        <w:t>%.</w:t>
      </w:r>
    </w:p>
    <w:p w:rsidR="0025315F"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 xml:space="preserve">De igual forma para </w:t>
      </w:r>
      <w:r>
        <w:rPr>
          <w:rFonts w:ascii="Arial" w:hAnsi="Arial" w:cs="Arial"/>
          <w:sz w:val="24"/>
          <w:szCs w:val="24"/>
        </w:rPr>
        <w:t xml:space="preserve">las mediciones en interiores de </w:t>
      </w:r>
      <w:r w:rsidRPr="007D5822">
        <w:rPr>
          <w:rFonts w:ascii="Arial" w:hAnsi="Arial" w:cs="Arial"/>
          <w:sz w:val="24"/>
          <w:szCs w:val="24"/>
        </w:rPr>
        <w:t>predios de ESPOL, de la operadora de telefonía móvil Porta (869-880 MHz y 890-891.5 MHz</w:t>
      </w:r>
      <w:r>
        <w:rPr>
          <w:rFonts w:ascii="Arial" w:hAnsi="Arial" w:cs="Arial"/>
          <w:sz w:val="24"/>
          <w:szCs w:val="24"/>
        </w:rPr>
        <w:t xml:space="preserve"> se calculó los porcentaje de desviación máxima obteniendo la figura 4.13, en la que el valor promedio es de </w:t>
      </w:r>
      <w:r w:rsidRPr="00B75AE5">
        <w:rPr>
          <w:rFonts w:ascii="Arial" w:hAnsi="Arial" w:cs="Arial"/>
          <w:sz w:val="24"/>
          <w:szCs w:val="24"/>
        </w:rPr>
        <w:t>19,81</w:t>
      </w:r>
      <w:r>
        <w:rPr>
          <w:rFonts w:ascii="Arial" w:hAnsi="Arial" w:cs="Arial"/>
          <w:sz w:val="24"/>
          <w:szCs w:val="24"/>
        </w:rPr>
        <w:t xml:space="preserve">% y un máximo de </w:t>
      </w:r>
      <w:r w:rsidRPr="00B75AE5">
        <w:rPr>
          <w:rFonts w:ascii="Arial" w:hAnsi="Arial" w:cs="Arial"/>
          <w:sz w:val="24"/>
          <w:szCs w:val="24"/>
        </w:rPr>
        <w:t>45,64</w:t>
      </w:r>
      <w:r>
        <w:rPr>
          <w:rFonts w:ascii="Arial" w:hAnsi="Arial" w:cs="Arial"/>
          <w:sz w:val="24"/>
          <w:szCs w:val="24"/>
        </w:rPr>
        <w:t>%.</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642028" cy="2737129"/>
            <wp:effectExtent l="12154" t="6071" r="3418" b="0"/>
            <wp:docPr id="157"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13</w:t>
      </w:r>
      <w:r w:rsidRPr="00ED5F47">
        <w:rPr>
          <w:rFonts w:ascii="Arial" w:hAnsi="Arial" w:cs="Arial"/>
          <w:b/>
          <w:sz w:val="24"/>
          <w:szCs w:val="24"/>
        </w:rPr>
        <w:t xml:space="preserve">  </w:t>
      </w:r>
      <w:r>
        <w:rPr>
          <w:rFonts w:ascii="Arial" w:hAnsi="Arial" w:cs="Arial"/>
          <w:b/>
          <w:bCs/>
          <w:sz w:val="24"/>
          <w:szCs w:val="24"/>
        </w:rPr>
        <w:t>Porcentaje de Desviación Máxima para mediciones interiores telefonía móvil Porta con procedimiento 2</w:t>
      </w:r>
      <w:r w:rsidRPr="00ED5F47">
        <w:rPr>
          <w:rFonts w:ascii="Arial" w:hAnsi="Arial" w:cs="Arial"/>
          <w:b/>
          <w:sz w:val="24"/>
          <w:szCs w:val="24"/>
        </w:rPr>
        <w:t>.</w:t>
      </w:r>
      <w:r w:rsidRPr="00ED5F47">
        <w:rPr>
          <w:rStyle w:val="FootnoteReference"/>
          <w:rFonts w:ascii="Arial" w:hAnsi="Arial" w:cs="Arial"/>
          <w:b/>
          <w:sz w:val="24"/>
          <w:szCs w:val="24"/>
        </w:rPr>
        <w:footnoteReference w:id="81"/>
      </w:r>
    </w:p>
    <w:p w:rsidR="0025315F" w:rsidRDefault="0025315F" w:rsidP="0025315F">
      <w:pPr>
        <w:pStyle w:val="ListParagraph"/>
        <w:spacing w:line="360" w:lineRule="auto"/>
        <w:ind w:left="2127"/>
        <w:jc w:val="center"/>
        <w:rPr>
          <w:rFonts w:ascii="Arial" w:hAnsi="Arial" w:cs="Arial"/>
          <w:b/>
          <w:sz w:val="24"/>
          <w:szCs w:val="24"/>
        </w:rPr>
      </w:pPr>
    </w:p>
    <w:p w:rsidR="0025315F" w:rsidRPr="00B75AE5"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Ahora para las bandas concesionadas por Movistar tenemos la figura 4.14 donde se muestra el histograma de distribución de las mediciones  porcentaje de desviación máxima, donde se obtiene que el promedio la desviación es </w:t>
      </w:r>
      <w:r w:rsidRPr="006F1B09">
        <w:rPr>
          <w:rFonts w:ascii="Arial" w:hAnsi="Arial" w:cs="Arial"/>
          <w:sz w:val="24"/>
          <w:szCs w:val="24"/>
        </w:rPr>
        <w:t>13,09</w:t>
      </w:r>
      <w:r>
        <w:rPr>
          <w:rFonts w:ascii="Arial" w:hAnsi="Arial" w:cs="Arial"/>
          <w:sz w:val="24"/>
          <w:szCs w:val="24"/>
        </w:rPr>
        <w:t>%, con un máximo de 24,55%.</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570991" cy="2737129"/>
            <wp:effectExtent l="12188" t="6071" r="6476" b="0"/>
            <wp:docPr id="156" name="Chart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25315F" w:rsidRPr="00ED5F47"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14</w:t>
      </w:r>
      <w:r w:rsidRPr="00ED5F47">
        <w:rPr>
          <w:rFonts w:ascii="Arial" w:hAnsi="Arial" w:cs="Arial"/>
          <w:b/>
          <w:sz w:val="24"/>
          <w:szCs w:val="24"/>
        </w:rPr>
        <w:t xml:space="preserve">  </w:t>
      </w:r>
      <w:r>
        <w:rPr>
          <w:rFonts w:ascii="Arial" w:hAnsi="Arial" w:cs="Arial"/>
          <w:b/>
          <w:bCs/>
          <w:sz w:val="24"/>
          <w:szCs w:val="24"/>
        </w:rPr>
        <w:t>Porcentaje de Desviación Máxima para mediciones interiores telefonía móvil Movistar con procedimiento 2</w:t>
      </w:r>
      <w:r w:rsidRPr="00ED5F47">
        <w:rPr>
          <w:rFonts w:ascii="Arial" w:hAnsi="Arial" w:cs="Arial"/>
          <w:b/>
          <w:sz w:val="24"/>
          <w:szCs w:val="24"/>
        </w:rPr>
        <w:t>.</w:t>
      </w:r>
      <w:r w:rsidRPr="00ED5F47">
        <w:rPr>
          <w:rStyle w:val="FootnoteReference"/>
          <w:rFonts w:ascii="Arial" w:hAnsi="Arial" w:cs="Arial"/>
          <w:b/>
          <w:sz w:val="24"/>
          <w:szCs w:val="24"/>
        </w:rPr>
        <w:footnoteReference w:id="82"/>
      </w:r>
    </w:p>
    <w:p w:rsidR="0025315F" w:rsidRDefault="0025315F" w:rsidP="0025315F">
      <w:pPr>
        <w:pStyle w:val="ListParagraph"/>
        <w:spacing w:line="360" w:lineRule="auto"/>
        <w:ind w:left="1985"/>
        <w:jc w:val="both"/>
        <w:rPr>
          <w:rFonts w:ascii="Arial" w:hAnsi="Arial" w:cs="Arial"/>
          <w:b/>
          <w:sz w:val="24"/>
          <w:szCs w:val="24"/>
        </w:rPr>
      </w:pPr>
    </w:p>
    <w:p w:rsidR="0025315F" w:rsidRDefault="0025315F" w:rsidP="0025315F">
      <w:pPr>
        <w:pStyle w:val="ListParagraph"/>
        <w:spacing w:line="360" w:lineRule="auto"/>
        <w:ind w:left="1985"/>
        <w:jc w:val="both"/>
        <w:rPr>
          <w:rFonts w:ascii="Arial" w:hAnsi="Arial" w:cs="Arial"/>
          <w:sz w:val="24"/>
          <w:szCs w:val="24"/>
        </w:rPr>
      </w:pPr>
      <w:r>
        <w:rPr>
          <w:rFonts w:ascii="Arial" w:hAnsi="Arial" w:cs="Arial"/>
          <w:sz w:val="24"/>
          <w:szCs w:val="24"/>
        </w:rPr>
        <w:t xml:space="preserve">De la cuantificación de los datos se analiza que la confiabilidad de los procedimientos de medición varía  según la banda de frecuencia a analizar, mostrando que para las mediciones de interiores de WLAN de 2,4-2,5GHz el procedimiento de medición 2 tiene menos porcentaje de desviación estándar que el procedimiento 1. </w:t>
      </w:r>
    </w:p>
    <w:p w:rsidR="0025315F" w:rsidRDefault="0025315F" w:rsidP="0025315F">
      <w:pPr>
        <w:pStyle w:val="ListParagraph"/>
        <w:spacing w:line="360" w:lineRule="auto"/>
        <w:ind w:left="1985"/>
        <w:jc w:val="both"/>
        <w:rPr>
          <w:rFonts w:ascii="Arial" w:hAnsi="Arial" w:cs="Arial"/>
          <w:sz w:val="24"/>
          <w:szCs w:val="24"/>
        </w:rPr>
      </w:pPr>
    </w:p>
    <w:p w:rsidR="0025315F" w:rsidRPr="006F1B09" w:rsidRDefault="0025315F" w:rsidP="0025315F">
      <w:pPr>
        <w:pStyle w:val="ListParagraph"/>
        <w:spacing w:line="360" w:lineRule="auto"/>
        <w:ind w:left="1985"/>
        <w:jc w:val="both"/>
        <w:rPr>
          <w:rFonts w:ascii="Arial" w:hAnsi="Arial" w:cs="Arial"/>
          <w:sz w:val="24"/>
          <w:szCs w:val="24"/>
        </w:rPr>
      </w:pPr>
      <w:r>
        <w:rPr>
          <w:rFonts w:ascii="Arial" w:hAnsi="Arial" w:cs="Arial"/>
          <w:sz w:val="24"/>
          <w:szCs w:val="24"/>
        </w:rPr>
        <w:t>Todo lo contrario sucede para las mediciones en ambientes interiores de todas las mediciones de la banda celular tanto la Porta como Movistar ya que muestra más confiabilidad  o sea menos porcentaje de desviación máxima en todos los casos para el procedimiento  de medición 1</w:t>
      </w:r>
    </w:p>
    <w:p w:rsidR="0025315F" w:rsidRPr="007D5822" w:rsidRDefault="0025315F" w:rsidP="0025315F">
      <w:pPr>
        <w:pStyle w:val="ListParagraph"/>
        <w:numPr>
          <w:ilvl w:val="3"/>
          <w:numId w:val="16"/>
        </w:numPr>
        <w:spacing w:line="360" w:lineRule="auto"/>
        <w:ind w:left="1985" w:hanging="992"/>
        <w:jc w:val="both"/>
        <w:rPr>
          <w:rFonts w:ascii="Arial" w:hAnsi="Arial" w:cs="Arial"/>
          <w:b/>
          <w:sz w:val="24"/>
          <w:szCs w:val="24"/>
        </w:rPr>
      </w:pPr>
      <w:r w:rsidRPr="007D5822">
        <w:rPr>
          <w:rFonts w:ascii="Arial" w:hAnsi="Arial" w:cs="Arial"/>
          <w:b/>
          <w:sz w:val="24"/>
          <w:szCs w:val="24"/>
        </w:rPr>
        <w:lastRenderedPageBreak/>
        <w:t>Ilustración Porcentual  para mediciones en Ambientes Exteriores</w:t>
      </w:r>
    </w:p>
    <w:p w:rsidR="0025315F"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Para las mediciones en ambientes exteriores con el procedimiento de medición 1, para las o</w:t>
      </w:r>
      <w:r>
        <w:rPr>
          <w:rFonts w:ascii="Arial" w:hAnsi="Arial" w:cs="Arial"/>
          <w:sz w:val="24"/>
          <w:szCs w:val="24"/>
        </w:rPr>
        <w:t xml:space="preserve">peradoras de telefonía móvil Porta y Movistar, las mediciones en cada punto de medición no sobrepasa en general el 30% y 40 % de desviación máxima respectivamente. </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drawing>
          <wp:inline distT="0" distB="0" distL="0" distR="0">
            <wp:extent cx="3642028" cy="2587256"/>
            <wp:effectExtent l="12154" t="6084" r="3418" b="0"/>
            <wp:docPr id="15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15</w:t>
      </w:r>
      <w:r w:rsidRPr="00ED5F47">
        <w:rPr>
          <w:rFonts w:ascii="Arial" w:hAnsi="Arial" w:cs="Arial"/>
          <w:b/>
          <w:sz w:val="24"/>
          <w:szCs w:val="24"/>
        </w:rPr>
        <w:t xml:space="preserve">  </w:t>
      </w:r>
      <w:r>
        <w:rPr>
          <w:rFonts w:ascii="Arial" w:hAnsi="Arial" w:cs="Arial"/>
          <w:b/>
          <w:bCs/>
          <w:sz w:val="24"/>
          <w:szCs w:val="24"/>
        </w:rPr>
        <w:t>Porcentaje de Desviación Máxima para mediciones exteriores telefonía móvil Porta con procedimiento 1</w:t>
      </w:r>
      <w:r w:rsidRPr="00ED5F47">
        <w:rPr>
          <w:rFonts w:ascii="Arial" w:hAnsi="Arial" w:cs="Arial"/>
          <w:b/>
          <w:sz w:val="24"/>
          <w:szCs w:val="24"/>
        </w:rPr>
        <w:t>.</w:t>
      </w:r>
      <w:r w:rsidRPr="00ED5F47">
        <w:rPr>
          <w:rStyle w:val="FootnoteReference"/>
          <w:rFonts w:ascii="Arial" w:hAnsi="Arial" w:cs="Arial"/>
          <w:b/>
          <w:sz w:val="24"/>
          <w:szCs w:val="24"/>
        </w:rPr>
        <w:footnoteReference w:id="83"/>
      </w:r>
    </w:p>
    <w:p w:rsidR="0025315F" w:rsidRDefault="0025315F" w:rsidP="0025315F">
      <w:pPr>
        <w:pStyle w:val="ListParagraph"/>
        <w:spacing w:line="360" w:lineRule="auto"/>
        <w:ind w:left="2127"/>
        <w:jc w:val="center"/>
        <w:rPr>
          <w:rFonts w:ascii="Arial" w:hAnsi="Arial" w:cs="Arial"/>
          <w:b/>
          <w:sz w:val="24"/>
          <w:szCs w:val="24"/>
        </w:rPr>
      </w:pPr>
    </w:p>
    <w:p w:rsidR="0025315F" w:rsidRPr="00BB7A71" w:rsidRDefault="0025315F" w:rsidP="0025315F">
      <w:pPr>
        <w:pStyle w:val="ListParagraph"/>
        <w:spacing w:line="360" w:lineRule="auto"/>
        <w:ind w:left="2127"/>
        <w:rPr>
          <w:rFonts w:ascii="Arial" w:hAnsi="Arial" w:cs="Arial"/>
          <w:sz w:val="24"/>
          <w:szCs w:val="24"/>
        </w:rPr>
      </w:pPr>
      <w:r>
        <w:rPr>
          <w:rFonts w:ascii="Arial" w:hAnsi="Arial" w:cs="Arial"/>
          <w:sz w:val="24"/>
          <w:szCs w:val="24"/>
        </w:rPr>
        <w:t xml:space="preserve">De los resultados de las mediciones en ambientes exteriores del espectro concesionado de Porta en la banda de 800MHz, tenemos que la media de la desviación máxima es de </w:t>
      </w:r>
      <w:r w:rsidRPr="00BB7A71">
        <w:rPr>
          <w:rFonts w:ascii="Arial" w:hAnsi="Arial" w:cs="Arial"/>
          <w:sz w:val="24"/>
          <w:szCs w:val="24"/>
        </w:rPr>
        <w:t>14,82</w:t>
      </w:r>
      <w:r>
        <w:rPr>
          <w:rFonts w:ascii="Arial" w:hAnsi="Arial" w:cs="Arial"/>
          <w:sz w:val="24"/>
          <w:szCs w:val="24"/>
        </w:rPr>
        <w:t>%, con un valor máximo de 31,97%.</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682803" cy="2696455"/>
            <wp:effectExtent l="12215" t="6105" r="3222" b="0"/>
            <wp:docPr id="1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25315F" w:rsidRPr="00ED5F47"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16</w:t>
      </w:r>
      <w:r w:rsidRPr="00ED5F47">
        <w:rPr>
          <w:rFonts w:ascii="Arial" w:hAnsi="Arial" w:cs="Arial"/>
          <w:b/>
          <w:sz w:val="24"/>
          <w:szCs w:val="24"/>
        </w:rPr>
        <w:t xml:space="preserve">  </w:t>
      </w:r>
      <w:r>
        <w:rPr>
          <w:rFonts w:ascii="Arial" w:hAnsi="Arial" w:cs="Arial"/>
          <w:b/>
          <w:bCs/>
          <w:sz w:val="24"/>
          <w:szCs w:val="24"/>
        </w:rPr>
        <w:t xml:space="preserve">Porcentaje de Desviación Máxima para mediciones exteriores telefonía móvil Movistar con procedimiento </w:t>
      </w:r>
      <w:r w:rsidR="00C03BDD">
        <w:rPr>
          <w:rFonts w:ascii="Arial" w:hAnsi="Arial" w:cs="Arial"/>
          <w:b/>
          <w:bCs/>
          <w:sz w:val="24"/>
          <w:szCs w:val="24"/>
        </w:rPr>
        <w:t>2</w:t>
      </w:r>
      <w:r w:rsidRPr="00ED5F47">
        <w:rPr>
          <w:rFonts w:ascii="Arial" w:hAnsi="Arial" w:cs="Arial"/>
          <w:b/>
          <w:sz w:val="24"/>
          <w:szCs w:val="24"/>
        </w:rPr>
        <w:t>.</w:t>
      </w:r>
      <w:r w:rsidRPr="00ED5F47">
        <w:rPr>
          <w:rStyle w:val="FootnoteReference"/>
          <w:rFonts w:ascii="Arial" w:hAnsi="Arial" w:cs="Arial"/>
          <w:b/>
          <w:sz w:val="24"/>
          <w:szCs w:val="24"/>
        </w:rPr>
        <w:footnoteReference w:id="84"/>
      </w:r>
    </w:p>
    <w:p w:rsidR="0025315F" w:rsidRPr="00C053BB" w:rsidRDefault="0025315F" w:rsidP="0025315F">
      <w:pPr>
        <w:spacing w:line="360" w:lineRule="auto"/>
        <w:ind w:left="1985"/>
        <w:rPr>
          <w:rFonts w:ascii="Arial" w:hAnsi="Arial" w:cs="Arial"/>
          <w:sz w:val="24"/>
          <w:szCs w:val="24"/>
        </w:rPr>
      </w:pPr>
      <w:r>
        <w:rPr>
          <w:rFonts w:ascii="Arial" w:hAnsi="Arial" w:cs="Arial"/>
          <w:sz w:val="24"/>
          <w:szCs w:val="24"/>
        </w:rPr>
        <w:t xml:space="preserve">De la figura 4.16 se tiene de los valores analizados, que la media de la desviación máxima es de </w:t>
      </w:r>
      <w:r w:rsidRPr="000D30D1">
        <w:rPr>
          <w:rFonts w:ascii="Arial" w:hAnsi="Arial" w:cs="Arial"/>
          <w:sz w:val="24"/>
          <w:szCs w:val="24"/>
        </w:rPr>
        <w:t>10,28</w:t>
      </w:r>
      <w:r>
        <w:rPr>
          <w:rFonts w:ascii="Arial" w:hAnsi="Arial" w:cs="Arial"/>
          <w:sz w:val="24"/>
          <w:szCs w:val="24"/>
        </w:rPr>
        <w:t xml:space="preserve">% con un máximo de 23.43%, </w:t>
      </w:r>
    </w:p>
    <w:p w:rsidR="0025315F" w:rsidRPr="007D5822" w:rsidRDefault="0025315F" w:rsidP="0025315F">
      <w:pPr>
        <w:spacing w:line="360" w:lineRule="auto"/>
        <w:ind w:left="1985"/>
        <w:jc w:val="both"/>
        <w:rPr>
          <w:rFonts w:ascii="Arial" w:hAnsi="Arial" w:cs="Arial"/>
          <w:sz w:val="24"/>
          <w:szCs w:val="24"/>
        </w:rPr>
      </w:pPr>
      <w:r w:rsidRPr="007D5822">
        <w:rPr>
          <w:rFonts w:ascii="Arial" w:hAnsi="Arial" w:cs="Arial"/>
          <w:sz w:val="24"/>
          <w:szCs w:val="24"/>
        </w:rPr>
        <w:t>Para las mediciones en ambientes exteriores con el procedimiento de medición 2, para las o</w:t>
      </w:r>
      <w:r>
        <w:rPr>
          <w:rFonts w:ascii="Arial" w:hAnsi="Arial" w:cs="Arial"/>
          <w:sz w:val="24"/>
          <w:szCs w:val="24"/>
        </w:rPr>
        <w:t xml:space="preserve">peradora de telefonía móvil Porta se determino la desviación máxima de las mediciones con respecto al promedio de las alturas en cada punto de medición mostrado en el histograma de la figura 4.16, donde se obtuvo un media de </w:t>
      </w:r>
      <w:r w:rsidRPr="000C232A">
        <w:rPr>
          <w:rFonts w:ascii="Arial" w:hAnsi="Arial" w:cs="Arial"/>
          <w:sz w:val="24"/>
          <w:szCs w:val="24"/>
        </w:rPr>
        <w:t>17,95</w:t>
      </w:r>
      <w:r>
        <w:rPr>
          <w:rFonts w:ascii="Arial" w:hAnsi="Arial" w:cs="Arial"/>
          <w:sz w:val="24"/>
          <w:szCs w:val="24"/>
        </w:rPr>
        <w:t xml:space="preserve">% y un máximo de </w:t>
      </w:r>
      <w:r w:rsidRPr="000C232A">
        <w:rPr>
          <w:rFonts w:ascii="Arial" w:hAnsi="Arial" w:cs="Arial"/>
          <w:sz w:val="24"/>
          <w:szCs w:val="24"/>
        </w:rPr>
        <w:t>32,76</w:t>
      </w:r>
      <w:r>
        <w:rPr>
          <w:rFonts w:ascii="Arial" w:hAnsi="Arial" w:cs="Arial"/>
          <w:sz w:val="24"/>
          <w:szCs w:val="24"/>
        </w:rPr>
        <w:t>%</w:t>
      </w:r>
    </w:p>
    <w:p w:rsidR="0025315F" w:rsidRDefault="0025315F" w:rsidP="0025315F">
      <w:pPr>
        <w:spacing w:line="360" w:lineRule="auto"/>
        <w:ind w:left="1985"/>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774300" cy="2587256"/>
            <wp:effectExtent l="12200" t="6084" r="7625" b="0"/>
            <wp:docPr id="15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17</w:t>
      </w:r>
      <w:r w:rsidRPr="00ED5F47">
        <w:rPr>
          <w:rFonts w:ascii="Arial" w:hAnsi="Arial" w:cs="Arial"/>
          <w:b/>
          <w:sz w:val="24"/>
          <w:szCs w:val="24"/>
        </w:rPr>
        <w:t xml:space="preserve"> </w:t>
      </w:r>
      <w:r>
        <w:rPr>
          <w:rFonts w:ascii="Arial" w:hAnsi="Arial" w:cs="Arial"/>
          <w:b/>
          <w:bCs/>
          <w:sz w:val="24"/>
          <w:szCs w:val="24"/>
        </w:rPr>
        <w:t>Porcentaje de Desviación Máxima para mediciones exteriores telefonía móvil Porta con procedimiento 2</w:t>
      </w:r>
      <w:r w:rsidRPr="00ED5F47">
        <w:rPr>
          <w:rFonts w:ascii="Arial" w:hAnsi="Arial" w:cs="Arial"/>
          <w:b/>
          <w:sz w:val="24"/>
          <w:szCs w:val="24"/>
        </w:rPr>
        <w:t>.</w:t>
      </w:r>
      <w:r w:rsidRPr="00ED5F47">
        <w:rPr>
          <w:rStyle w:val="FootnoteReference"/>
          <w:rFonts w:ascii="Arial" w:hAnsi="Arial" w:cs="Arial"/>
          <w:b/>
          <w:sz w:val="24"/>
          <w:szCs w:val="24"/>
        </w:rPr>
        <w:footnoteReference w:id="85"/>
      </w:r>
    </w:p>
    <w:p w:rsidR="0025315F" w:rsidRDefault="0025315F" w:rsidP="0025315F">
      <w:pPr>
        <w:pStyle w:val="ListParagraph"/>
        <w:spacing w:line="360" w:lineRule="auto"/>
        <w:ind w:left="2127"/>
        <w:jc w:val="center"/>
        <w:rPr>
          <w:rFonts w:ascii="Arial" w:hAnsi="Arial" w:cs="Arial"/>
          <w:b/>
          <w:sz w:val="24"/>
          <w:szCs w:val="24"/>
        </w:rPr>
      </w:pPr>
    </w:p>
    <w:p w:rsidR="0025315F" w:rsidRDefault="0025315F" w:rsidP="0025315F">
      <w:pPr>
        <w:pStyle w:val="ListParagraph"/>
        <w:spacing w:line="360" w:lineRule="auto"/>
        <w:ind w:left="2127"/>
        <w:jc w:val="both"/>
        <w:rPr>
          <w:rFonts w:ascii="Arial" w:hAnsi="Arial" w:cs="Arial"/>
          <w:bCs/>
          <w:sz w:val="24"/>
          <w:szCs w:val="24"/>
        </w:rPr>
      </w:pPr>
      <w:r>
        <w:rPr>
          <w:rFonts w:ascii="Arial" w:hAnsi="Arial" w:cs="Arial"/>
          <w:sz w:val="24"/>
          <w:szCs w:val="24"/>
        </w:rPr>
        <w:t xml:space="preserve">En </w:t>
      </w:r>
      <w:r w:rsidRPr="000F1C96">
        <w:rPr>
          <w:rFonts w:ascii="Arial" w:hAnsi="Arial" w:cs="Arial"/>
          <w:sz w:val="24"/>
          <w:szCs w:val="24"/>
        </w:rPr>
        <w:t xml:space="preserve">cambio la media de la desviación </w:t>
      </w:r>
      <w:r>
        <w:rPr>
          <w:rFonts w:ascii="Arial" w:hAnsi="Arial" w:cs="Arial"/>
          <w:sz w:val="24"/>
          <w:szCs w:val="24"/>
        </w:rPr>
        <w:t>máxima</w:t>
      </w:r>
      <w:r w:rsidRPr="000F1C96">
        <w:rPr>
          <w:rFonts w:ascii="Arial" w:hAnsi="Arial" w:cs="Arial"/>
          <w:sz w:val="24"/>
          <w:szCs w:val="24"/>
        </w:rPr>
        <w:t xml:space="preserve"> de </w:t>
      </w:r>
      <w:r w:rsidRPr="000F1C96">
        <w:rPr>
          <w:rFonts w:ascii="Arial" w:hAnsi="Arial" w:cs="Arial"/>
          <w:bCs/>
          <w:sz w:val="24"/>
          <w:szCs w:val="24"/>
        </w:rPr>
        <w:t>mediciones exteriores telefonía móvil Movistar con procedimiento 2</w:t>
      </w:r>
      <w:r>
        <w:rPr>
          <w:rFonts w:ascii="Arial" w:hAnsi="Arial" w:cs="Arial"/>
          <w:bCs/>
          <w:sz w:val="24"/>
          <w:szCs w:val="24"/>
        </w:rPr>
        <w:t xml:space="preserve">, es de </w:t>
      </w:r>
      <w:r w:rsidRPr="000F1C96">
        <w:rPr>
          <w:rFonts w:ascii="Arial" w:hAnsi="Arial" w:cs="Arial"/>
          <w:bCs/>
          <w:sz w:val="24"/>
          <w:szCs w:val="24"/>
        </w:rPr>
        <w:t>14,48</w:t>
      </w:r>
      <w:r>
        <w:rPr>
          <w:rFonts w:ascii="Arial" w:hAnsi="Arial" w:cs="Arial"/>
          <w:bCs/>
          <w:sz w:val="24"/>
          <w:szCs w:val="24"/>
        </w:rPr>
        <w:t xml:space="preserve">%; y con un valor máximo de </w:t>
      </w:r>
      <w:r w:rsidRPr="000F1C96">
        <w:rPr>
          <w:rFonts w:ascii="Arial" w:hAnsi="Arial" w:cs="Arial"/>
          <w:bCs/>
          <w:sz w:val="24"/>
          <w:szCs w:val="24"/>
        </w:rPr>
        <w:t>36,71</w:t>
      </w:r>
      <w:r>
        <w:rPr>
          <w:rFonts w:ascii="Arial" w:hAnsi="Arial" w:cs="Arial"/>
          <w:bCs/>
          <w:sz w:val="24"/>
          <w:szCs w:val="24"/>
        </w:rPr>
        <w:t xml:space="preserve">%, </w:t>
      </w:r>
    </w:p>
    <w:p w:rsidR="0025315F" w:rsidRPr="000C232A" w:rsidRDefault="0025315F" w:rsidP="0025315F">
      <w:pPr>
        <w:pStyle w:val="ListParagraph"/>
        <w:spacing w:line="360" w:lineRule="auto"/>
        <w:ind w:left="2127"/>
        <w:jc w:val="both"/>
        <w:rPr>
          <w:rFonts w:ascii="Arial" w:hAnsi="Arial" w:cs="Arial"/>
          <w:sz w:val="24"/>
          <w:szCs w:val="24"/>
        </w:rPr>
      </w:pPr>
    </w:p>
    <w:p w:rsidR="0025315F" w:rsidRDefault="0025315F" w:rsidP="0025315F">
      <w:pPr>
        <w:spacing w:line="360" w:lineRule="auto"/>
        <w:ind w:left="1985"/>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813817" cy="2696455"/>
            <wp:effectExtent l="12188" t="6105" r="8760" b="0"/>
            <wp:docPr id="152"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18</w:t>
      </w:r>
      <w:r w:rsidRPr="00ED5F47">
        <w:rPr>
          <w:rFonts w:ascii="Arial" w:hAnsi="Arial" w:cs="Arial"/>
          <w:b/>
          <w:sz w:val="24"/>
          <w:szCs w:val="24"/>
        </w:rPr>
        <w:t xml:space="preserve">  </w:t>
      </w:r>
      <w:r>
        <w:rPr>
          <w:rFonts w:ascii="Arial" w:hAnsi="Arial" w:cs="Arial"/>
          <w:b/>
          <w:bCs/>
          <w:sz w:val="24"/>
          <w:szCs w:val="24"/>
        </w:rPr>
        <w:t>Porcentaje de Desviación Máxima para mediciones exteriores telefonía móvil Movistar con procedimiento 2</w:t>
      </w:r>
      <w:r w:rsidRPr="00ED5F47">
        <w:rPr>
          <w:rFonts w:ascii="Arial" w:hAnsi="Arial" w:cs="Arial"/>
          <w:b/>
          <w:sz w:val="24"/>
          <w:szCs w:val="24"/>
        </w:rPr>
        <w:t>.</w:t>
      </w:r>
      <w:r w:rsidRPr="00ED5F47">
        <w:rPr>
          <w:rStyle w:val="FootnoteReference"/>
          <w:rFonts w:ascii="Arial" w:hAnsi="Arial" w:cs="Arial"/>
          <w:b/>
          <w:sz w:val="24"/>
          <w:szCs w:val="24"/>
        </w:rPr>
        <w:footnoteReference w:id="86"/>
      </w:r>
    </w:p>
    <w:p w:rsidR="0025315F" w:rsidRDefault="0025315F" w:rsidP="0025315F">
      <w:pPr>
        <w:pStyle w:val="ListParagraph"/>
        <w:spacing w:line="360" w:lineRule="auto"/>
        <w:ind w:left="2127"/>
        <w:jc w:val="both"/>
        <w:rPr>
          <w:rFonts w:ascii="Arial" w:hAnsi="Arial" w:cs="Arial"/>
          <w:b/>
          <w:sz w:val="24"/>
          <w:szCs w:val="24"/>
        </w:rPr>
      </w:pPr>
    </w:p>
    <w:p w:rsidR="0025315F" w:rsidRPr="000F1C96"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En la cuantificación de los datos tenemos  que para el análisis en ambientes exteriores, que el procedimiento de medición 1 resulta más confiable ya que muestra una menor media de desviación máxima con respecto a la media de las alturas de los puntos de medición antes descritos.</w:t>
      </w:r>
    </w:p>
    <w:p w:rsidR="0025315F" w:rsidRDefault="0025315F" w:rsidP="0025315F">
      <w:pPr>
        <w:pStyle w:val="ListParagraph"/>
        <w:spacing w:line="360" w:lineRule="auto"/>
        <w:ind w:left="2127"/>
        <w:jc w:val="both"/>
        <w:rPr>
          <w:rFonts w:ascii="Arial" w:hAnsi="Arial" w:cs="Arial"/>
          <w:b/>
          <w:sz w:val="24"/>
          <w:szCs w:val="24"/>
        </w:rPr>
      </w:pPr>
    </w:p>
    <w:p w:rsidR="0025315F" w:rsidRPr="006B308E" w:rsidRDefault="0025315F" w:rsidP="0025315F">
      <w:pPr>
        <w:pStyle w:val="ListParagraph"/>
        <w:spacing w:line="360" w:lineRule="auto"/>
        <w:ind w:left="2127"/>
        <w:jc w:val="both"/>
        <w:rPr>
          <w:rFonts w:ascii="Arial" w:hAnsi="Arial" w:cs="Arial"/>
          <w:noProof/>
          <w:sz w:val="24"/>
          <w:szCs w:val="24"/>
          <w:lang w:eastAsia="es-ES"/>
        </w:rPr>
      </w:pPr>
      <w:r>
        <w:rPr>
          <w:rFonts w:ascii="Arial" w:hAnsi="Arial" w:cs="Arial"/>
          <w:noProof/>
          <w:sz w:val="24"/>
          <w:szCs w:val="24"/>
          <w:lang w:eastAsia="es-ES"/>
        </w:rPr>
        <w:t>En términos generales tenemos la distribución normal de los resultados de la desviación máxima para el procedimiento de medición 1 como mostramos en la Figura 4.19.</w:t>
      </w:r>
    </w:p>
    <w:p w:rsidR="0025315F" w:rsidRDefault="0025315F" w:rsidP="0025315F">
      <w:pPr>
        <w:pStyle w:val="ListParagraph"/>
        <w:spacing w:line="360" w:lineRule="auto"/>
        <w:ind w:left="2127"/>
        <w:jc w:val="both"/>
        <w:rPr>
          <w:rFonts w:ascii="Arial" w:hAnsi="Arial" w:cs="Arial"/>
          <w:b/>
          <w:noProof/>
          <w:sz w:val="24"/>
          <w:szCs w:val="24"/>
          <w:lang w:eastAsia="es-ES"/>
        </w:rPr>
      </w:pP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3575685" cy="2402205"/>
            <wp:effectExtent l="19050" t="0" r="5715" b="0"/>
            <wp:docPr id="1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6" cstate="print"/>
                    <a:srcRect/>
                    <a:stretch>
                      <a:fillRect/>
                    </a:stretch>
                  </pic:blipFill>
                  <pic:spPr bwMode="auto">
                    <a:xfrm>
                      <a:off x="0" y="0"/>
                      <a:ext cx="3575685" cy="2402205"/>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19</w:t>
      </w:r>
      <w:r w:rsidRPr="00ED5F47">
        <w:rPr>
          <w:rFonts w:ascii="Arial" w:hAnsi="Arial" w:cs="Arial"/>
          <w:b/>
          <w:sz w:val="24"/>
          <w:szCs w:val="24"/>
        </w:rPr>
        <w:t xml:space="preserve">  </w:t>
      </w:r>
      <w:r>
        <w:rPr>
          <w:rFonts w:ascii="Arial" w:hAnsi="Arial" w:cs="Arial"/>
          <w:b/>
          <w:bCs/>
          <w:sz w:val="24"/>
          <w:szCs w:val="24"/>
        </w:rPr>
        <w:t>Histograma de la desviación máxima para las mediciones con el procedimiento 1</w:t>
      </w:r>
      <w:r w:rsidRPr="00ED5F47">
        <w:rPr>
          <w:rFonts w:ascii="Arial" w:hAnsi="Arial" w:cs="Arial"/>
          <w:b/>
          <w:sz w:val="24"/>
          <w:szCs w:val="24"/>
        </w:rPr>
        <w:t>.</w:t>
      </w:r>
      <w:r w:rsidRPr="00ED5F47">
        <w:rPr>
          <w:rStyle w:val="FootnoteReference"/>
          <w:rFonts w:ascii="Arial" w:hAnsi="Arial" w:cs="Arial"/>
          <w:b/>
          <w:sz w:val="24"/>
          <w:szCs w:val="24"/>
        </w:rPr>
        <w:footnoteReference w:id="87"/>
      </w:r>
    </w:p>
    <w:p w:rsidR="0025315F" w:rsidRDefault="0025315F" w:rsidP="0025315F">
      <w:pPr>
        <w:pStyle w:val="ListParagraph"/>
        <w:spacing w:line="360" w:lineRule="auto"/>
        <w:ind w:left="2127"/>
        <w:jc w:val="center"/>
        <w:rPr>
          <w:rFonts w:ascii="Arial" w:hAnsi="Arial" w:cs="Arial"/>
          <w:b/>
          <w:sz w:val="24"/>
          <w:szCs w:val="24"/>
        </w:rPr>
      </w:pPr>
    </w:p>
    <w:p w:rsidR="0025315F" w:rsidRPr="006B308E" w:rsidRDefault="0025315F" w:rsidP="0025315F">
      <w:pPr>
        <w:pStyle w:val="ListParagraph"/>
        <w:spacing w:line="360" w:lineRule="auto"/>
        <w:ind w:left="2127"/>
        <w:jc w:val="both"/>
        <w:rPr>
          <w:rFonts w:ascii="Arial" w:hAnsi="Arial" w:cs="Arial"/>
          <w:noProof/>
          <w:sz w:val="24"/>
          <w:szCs w:val="24"/>
          <w:lang w:eastAsia="es-ES"/>
        </w:rPr>
      </w:pPr>
      <w:r>
        <w:rPr>
          <w:rFonts w:ascii="Arial" w:hAnsi="Arial" w:cs="Arial"/>
          <w:noProof/>
          <w:sz w:val="24"/>
          <w:szCs w:val="24"/>
          <w:lang w:eastAsia="es-ES"/>
        </w:rPr>
        <w:t>En términos generales tenemos la distribución normal de los resultados de la desviación máxima para</w:t>
      </w:r>
      <w:r w:rsidR="00BE1F5E">
        <w:rPr>
          <w:rFonts w:ascii="Arial" w:hAnsi="Arial" w:cs="Arial"/>
          <w:noProof/>
          <w:sz w:val="24"/>
          <w:szCs w:val="24"/>
          <w:lang w:eastAsia="es-ES"/>
        </w:rPr>
        <w:t xml:space="preserve"> el procedimiento de medición 1, </w:t>
      </w:r>
      <w:r>
        <w:rPr>
          <w:rFonts w:ascii="Arial" w:hAnsi="Arial" w:cs="Arial"/>
          <w:noProof/>
          <w:sz w:val="24"/>
          <w:szCs w:val="24"/>
          <w:lang w:eastAsia="es-ES"/>
        </w:rPr>
        <w:t xml:space="preserve">como </w:t>
      </w:r>
      <w:r w:rsidR="00BE1F5E">
        <w:rPr>
          <w:rFonts w:ascii="Arial" w:hAnsi="Arial" w:cs="Arial"/>
          <w:noProof/>
          <w:sz w:val="24"/>
          <w:szCs w:val="24"/>
          <w:lang w:eastAsia="es-ES"/>
        </w:rPr>
        <w:t>se muestra</w:t>
      </w:r>
      <w:r>
        <w:rPr>
          <w:rFonts w:ascii="Arial" w:hAnsi="Arial" w:cs="Arial"/>
          <w:noProof/>
          <w:sz w:val="24"/>
          <w:szCs w:val="24"/>
          <w:lang w:eastAsia="es-ES"/>
        </w:rPr>
        <w:t xml:space="preserve"> en la Figura 4.20.</w:t>
      </w: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noProof/>
          <w:sz w:val="24"/>
          <w:szCs w:val="24"/>
          <w:lang w:eastAsia="es-ES"/>
        </w:rPr>
        <w:drawing>
          <wp:inline distT="0" distB="0" distL="0" distR="0">
            <wp:extent cx="3535045" cy="2360930"/>
            <wp:effectExtent l="19050" t="0" r="8255" b="0"/>
            <wp:docPr id="1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7" cstate="print"/>
                    <a:srcRect/>
                    <a:stretch>
                      <a:fillRect/>
                    </a:stretch>
                  </pic:blipFill>
                  <pic:spPr bwMode="auto">
                    <a:xfrm>
                      <a:off x="0" y="0"/>
                      <a:ext cx="3535045" cy="236093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20</w:t>
      </w:r>
      <w:r w:rsidRPr="00ED5F47">
        <w:rPr>
          <w:rFonts w:ascii="Arial" w:hAnsi="Arial" w:cs="Arial"/>
          <w:b/>
          <w:sz w:val="24"/>
          <w:szCs w:val="24"/>
        </w:rPr>
        <w:t xml:space="preserve">  </w:t>
      </w:r>
      <w:r>
        <w:rPr>
          <w:rFonts w:ascii="Arial" w:hAnsi="Arial" w:cs="Arial"/>
          <w:b/>
          <w:bCs/>
          <w:sz w:val="24"/>
          <w:szCs w:val="24"/>
        </w:rPr>
        <w:t>Histograma de la desviación máxima para las mediciones con el procedimiento 2</w:t>
      </w:r>
      <w:r w:rsidRPr="00ED5F47">
        <w:rPr>
          <w:rFonts w:ascii="Arial" w:hAnsi="Arial" w:cs="Arial"/>
          <w:b/>
          <w:sz w:val="24"/>
          <w:szCs w:val="24"/>
        </w:rPr>
        <w:t>.</w:t>
      </w:r>
      <w:r w:rsidRPr="00ED5F47">
        <w:rPr>
          <w:rStyle w:val="FootnoteReference"/>
          <w:rFonts w:ascii="Arial" w:hAnsi="Arial" w:cs="Arial"/>
          <w:b/>
          <w:sz w:val="24"/>
          <w:szCs w:val="24"/>
        </w:rPr>
        <w:footnoteReference w:id="88"/>
      </w:r>
    </w:p>
    <w:p w:rsidR="0025315F" w:rsidRDefault="0025315F" w:rsidP="0025315F">
      <w:pPr>
        <w:pStyle w:val="ListParagraph"/>
        <w:spacing w:line="360" w:lineRule="auto"/>
        <w:ind w:left="2127"/>
        <w:rPr>
          <w:rFonts w:ascii="Arial" w:hAnsi="Arial" w:cs="Arial"/>
          <w:b/>
          <w:sz w:val="24"/>
          <w:szCs w:val="24"/>
        </w:rPr>
      </w:pP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noProof/>
          <w:sz w:val="24"/>
          <w:szCs w:val="24"/>
          <w:lang w:eastAsia="es-ES"/>
        </w:rPr>
        <w:drawing>
          <wp:inline distT="0" distB="0" distL="0" distR="0">
            <wp:extent cx="3794125" cy="2538730"/>
            <wp:effectExtent l="19050" t="0" r="0" b="0"/>
            <wp:docPr id="14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8" cstate="print"/>
                    <a:srcRect/>
                    <a:stretch>
                      <a:fillRect/>
                    </a:stretch>
                  </pic:blipFill>
                  <pic:spPr bwMode="auto">
                    <a:xfrm>
                      <a:off x="0" y="0"/>
                      <a:ext cx="3794125" cy="2538730"/>
                    </a:xfrm>
                    <a:prstGeom prst="rect">
                      <a:avLst/>
                    </a:prstGeom>
                    <a:noFill/>
                    <a:ln w="9525">
                      <a:noFill/>
                      <a:miter lim="800000"/>
                      <a:headEnd/>
                      <a:tailEnd/>
                    </a:ln>
                  </pic:spPr>
                </pic:pic>
              </a:graphicData>
            </a:graphic>
          </wp:inline>
        </w:drawing>
      </w: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21</w:t>
      </w:r>
      <w:r w:rsidRPr="00ED5F47">
        <w:rPr>
          <w:rFonts w:ascii="Arial" w:hAnsi="Arial" w:cs="Arial"/>
          <w:b/>
          <w:sz w:val="24"/>
          <w:szCs w:val="24"/>
        </w:rPr>
        <w:t xml:space="preserve">  </w:t>
      </w:r>
      <w:r>
        <w:rPr>
          <w:rFonts w:ascii="Arial" w:hAnsi="Arial" w:cs="Arial"/>
          <w:b/>
          <w:bCs/>
          <w:sz w:val="24"/>
          <w:szCs w:val="24"/>
        </w:rPr>
        <w:t>Comparación de la Distribución normal de los histogramas de desviación máximas de los procedimientos de medición 1 y 2</w:t>
      </w:r>
      <w:r w:rsidRPr="00ED5F47">
        <w:rPr>
          <w:rFonts w:ascii="Arial" w:hAnsi="Arial" w:cs="Arial"/>
          <w:b/>
          <w:sz w:val="24"/>
          <w:szCs w:val="24"/>
        </w:rPr>
        <w:t>.</w:t>
      </w:r>
      <w:r w:rsidRPr="00ED5F47">
        <w:rPr>
          <w:rStyle w:val="FootnoteReference"/>
          <w:rFonts w:ascii="Arial" w:hAnsi="Arial" w:cs="Arial"/>
          <w:b/>
          <w:sz w:val="24"/>
          <w:szCs w:val="24"/>
        </w:rPr>
        <w:footnoteReference w:id="89"/>
      </w:r>
    </w:p>
    <w:p w:rsidR="0025315F" w:rsidRDefault="0025315F" w:rsidP="0025315F">
      <w:pPr>
        <w:pStyle w:val="ListParagraph"/>
        <w:spacing w:line="360" w:lineRule="auto"/>
        <w:ind w:left="2127"/>
        <w:rPr>
          <w:rFonts w:ascii="Arial" w:hAnsi="Arial" w:cs="Arial"/>
          <w:b/>
          <w:sz w:val="24"/>
          <w:szCs w:val="24"/>
        </w:rPr>
      </w:pPr>
    </w:p>
    <w:p w:rsidR="0025315F" w:rsidRPr="00543C6D"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En términos generales tenemos que el procedimiento de medición 1 resulta con mayor confiabilidad ya que presenta menos desviación en sus mediciones, en comparación al procedimiento de medición 2, aunque dicha comparación resulta leve según los resultados obtenidos. La hipótesis debido a la cual sucede esto es porque la la entena triaxial del Narda SRM 3000 polariza automáticamente sus tres ejes para obtener la respuesta triaxial de la medición, en cambio la antenas Field Nose PCD8250 debe de rotar y seccionar la rotación  para obtener la respuesta triaxial al final de la medición.</w:t>
      </w:r>
    </w:p>
    <w:p w:rsidR="0025315F" w:rsidRDefault="0025315F" w:rsidP="0025315F">
      <w:pPr>
        <w:pStyle w:val="ListParagraph"/>
        <w:spacing w:line="360" w:lineRule="auto"/>
        <w:ind w:left="2127"/>
        <w:rPr>
          <w:rFonts w:ascii="Arial" w:hAnsi="Arial" w:cs="Arial"/>
          <w:b/>
          <w:sz w:val="24"/>
          <w:szCs w:val="24"/>
        </w:rPr>
      </w:pPr>
    </w:p>
    <w:p w:rsidR="0025315F" w:rsidRDefault="0025315F" w:rsidP="0025315F">
      <w:pPr>
        <w:pStyle w:val="ListParagraph"/>
        <w:spacing w:line="360" w:lineRule="auto"/>
        <w:ind w:left="2127"/>
        <w:rPr>
          <w:rFonts w:ascii="Arial" w:hAnsi="Arial" w:cs="Arial"/>
          <w:b/>
          <w:sz w:val="24"/>
          <w:szCs w:val="24"/>
        </w:rPr>
      </w:pPr>
    </w:p>
    <w:p w:rsidR="0025315F" w:rsidRPr="007D5822" w:rsidRDefault="0025315F" w:rsidP="0025315F">
      <w:pPr>
        <w:pStyle w:val="ListParagraph"/>
        <w:numPr>
          <w:ilvl w:val="2"/>
          <w:numId w:val="16"/>
        </w:numPr>
        <w:spacing w:line="360" w:lineRule="auto"/>
        <w:ind w:left="1418" w:hanging="851"/>
        <w:jc w:val="both"/>
        <w:rPr>
          <w:rFonts w:ascii="Arial" w:hAnsi="Arial" w:cs="Arial"/>
          <w:b/>
          <w:sz w:val="24"/>
          <w:szCs w:val="24"/>
        </w:rPr>
      </w:pPr>
      <w:r w:rsidRPr="007D5822">
        <w:rPr>
          <w:rFonts w:ascii="Arial" w:hAnsi="Arial" w:cs="Arial"/>
          <w:b/>
          <w:sz w:val="24"/>
          <w:szCs w:val="24"/>
        </w:rPr>
        <w:lastRenderedPageBreak/>
        <w:t>Calculo del Efecto de Medición de a Múltiples Fuentes</w:t>
      </w:r>
    </w:p>
    <w:p w:rsidR="0025315F" w:rsidRPr="007D5822" w:rsidRDefault="0025315F" w:rsidP="0025315F">
      <w:pPr>
        <w:spacing w:line="360" w:lineRule="auto"/>
        <w:ind w:left="1416"/>
        <w:jc w:val="both"/>
        <w:rPr>
          <w:rFonts w:ascii="Arial" w:hAnsi="Arial" w:cs="Arial"/>
          <w:sz w:val="24"/>
          <w:szCs w:val="24"/>
        </w:rPr>
      </w:pPr>
      <w:r w:rsidRPr="007D5822">
        <w:rPr>
          <w:rFonts w:ascii="Arial" w:hAnsi="Arial" w:cs="Arial"/>
          <w:sz w:val="24"/>
          <w:szCs w:val="24"/>
        </w:rPr>
        <w:t>Como se indico el efecto de las mediciones a múltiples fuentes se</w:t>
      </w:r>
      <w:r>
        <w:rPr>
          <w:rFonts w:ascii="Arial" w:hAnsi="Arial" w:cs="Arial"/>
          <w:sz w:val="24"/>
          <w:szCs w:val="24"/>
        </w:rPr>
        <w:t xml:space="preserve"> realizo en canchas de tecnologí</w:t>
      </w:r>
      <w:r w:rsidRPr="007D5822">
        <w:rPr>
          <w:rFonts w:ascii="Arial" w:hAnsi="Arial" w:cs="Arial"/>
          <w:sz w:val="24"/>
          <w:szCs w:val="24"/>
        </w:rPr>
        <w:t>a en ESPOL, y se midió las bandas en el rango de Broadcasting (Radiodifusión) y Telefonía Móvil. La referencia está en la fórmula para calcular el cumplimiento del efecto a múltiples que se muestra a continuación.</w:t>
      </w:r>
    </w:p>
    <w:p w:rsidR="0025315F" w:rsidRPr="007D5822" w:rsidRDefault="00985E19" w:rsidP="0025315F">
      <w:pPr>
        <w:spacing w:line="360" w:lineRule="auto"/>
        <w:ind w:left="1416"/>
        <w:jc w:val="both"/>
        <w:rPr>
          <w:rFonts w:ascii="Arial" w:eastAsia="Times New Roman" w:hAnsi="Arial" w:cs="Arial"/>
        </w:rPr>
      </w:pPr>
      <m:oMathPara>
        <m:oMath>
          <m:nary>
            <m:naryPr>
              <m:chr m:val="∑"/>
              <m:limLoc m:val="undOvr"/>
              <m:ctrlPr>
                <w:rPr>
                  <w:rFonts w:ascii="Cambria Math" w:hAnsi="Arial" w:cs="Arial"/>
                  <w:i/>
                </w:rPr>
              </m:ctrlPr>
            </m:naryPr>
            <m:sub>
              <m:r>
                <w:rPr>
                  <w:rFonts w:ascii="Cambria Math" w:hAnsi="Cambria Math" w:cs="Arial"/>
                </w:rPr>
                <m:t>i</m:t>
              </m:r>
              <m:r>
                <w:rPr>
                  <w:rFonts w:ascii="Cambria Math" w:hAnsi="Arial" w:cs="Arial"/>
                </w:rPr>
                <m:t>=100</m:t>
              </m:r>
              <m:r>
                <w:rPr>
                  <w:rFonts w:ascii="Cambria Math" w:hAnsi="Cambria Math" w:cs="Arial"/>
                </w:rPr>
                <m:t>KHz</m:t>
              </m:r>
            </m:sub>
            <m:sup>
              <m:r>
                <w:rPr>
                  <w:rFonts w:ascii="Cambria Math" w:hAnsi="Arial" w:cs="Arial"/>
                </w:rPr>
                <m:t>1</m:t>
              </m:r>
              <m:r>
                <w:rPr>
                  <w:rFonts w:ascii="Cambria Math" w:hAnsi="Cambria Math" w:cs="Arial"/>
                </w:rPr>
                <m:t>MHz</m:t>
              </m:r>
            </m:sup>
            <m:e>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sub>
                          </m:sSub>
                        </m:num>
                        <m:den>
                          <m:r>
                            <w:rPr>
                              <w:rFonts w:ascii="Cambria Math" w:hAnsi="Cambria Math" w:cs="Arial"/>
                            </w:rPr>
                            <m:t>c</m:t>
                          </m:r>
                        </m:den>
                      </m:f>
                    </m:e>
                  </m:d>
                </m:e>
                <m:sup>
                  <m:r>
                    <w:rPr>
                      <w:rFonts w:ascii="Cambria Math" w:hAnsi="Arial" w:cs="Arial"/>
                    </w:rPr>
                    <m:t>2</m:t>
                  </m:r>
                </m:sup>
              </m:sSup>
            </m:e>
          </m:nary>
          <m:r>
            <w:rPr>
              <w:rFonts w:ascii="Cambria Math" w:hAnsi="Arial" w:cs="Arial"/>
            </w:rPr>
            <m:t>+</m:t>
          </m:r>
          <m:nary>
            <m:naryPr>
              <m:chr m:val="∑"/>
              <m:limLoc m:val="undOvr"/>
              <m:ctrlPr>
                <w:rPr>
                  <w:rFonts w:ascii="Cambria Math" w:hAnsi="Arial" w:cs="Arial"/>
                  <w:i/>
                </w:rPr>
              </m:ctrlPr>
            </m:naryPr>
            <m:sub>
              <m:r>
                <w:rPr>
                  <w:rFonts w:ascii="Cambria Math" w:hAnsi="Cambria Math" w:cs="Arial"/>
                </w:rPr>
                <m:t>i</m:t>
              </m:r>
              <m:r>
                <w:rPr>
                  <w:rFonts w:ascii="Cambria Math" w:hAnsi="Arial" w:cs="Arial"/>
                </w:rPr>
                <m:t>&gt;1</m:t>
              </m:r>
              <m:r>
                <w:rPr>
                  <w:rFonts w:ascii="Cambria Math" w:hAnsi="Cambria Math" w:cs="Arial"/>
                </w:rPr>
                <m:t>MHz</m:t>
              </m:r>
            </m:sub>
            <m:sup>
              <m:r>
                <w:rPr>
                  <w:rFonts w:ascii="Cambria Math" w:hAnsi="Arial" w:cs="Arial"/>
                </w:rPr>
                <m:t>300</m:t>
              </m:r>
              <m:r>
                <w:rPr>
                  <w:rFonts w:ascii="Cambria Math" w:hAnsi="Cambria Math" w:cs="Arial"/>
                </w:rPr>
                <m:t>GHz</m:t>
              </m:r>
            </m:sup>
            <m:e>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sub>
                          </m:sSub>
                        </m:den>
                      </m:f>
                    </m:e>
                  </m:d>
                </m:e>
                <m:sup>
                  <m:r>
                    <w:rPr>
                      <w:rFonts w:ascii="Cambria Math" w:hAnsi="Arial" w:cs="Arial"/>
                    </w:rPr>
                    <m:t>2</m:t>
                  </m:r>
                </m:sup>
              </m:sSup>
              <m:r>
                <w:rPr>
                  <w:rFonts w:ascii="Cambria Math" w:hAnsi="Arial" w:cs="Arial"/>
                </w:rPr>
                <m:t>≤</m:t>
              </m:r>
              <m:r>
                <w:rPr>
                  <w:rFonts w:ascii="Cambria Math" w:hAnsi="Arial" w:cs="Arial"/>
                </w:rPr>
                <m:t>1</m:t>
              </m:r>
            </m:e>
          </m:nary>
        </m:oMath>
      </m:oMathPara>
    </w:p>
    <w:p w:rsidR="0025315F" w:rsidRDefault="0025315F" w:rsidP="0025315F">
      <w:pPr>
        <w:spacing w:line="360" w:lineRule="auto"/>
        <w:ind w:left="1416"/>
        <w:jc w:val="both"/>
        <w:rPr>
          <w:rFonts w:ascii="Arial" w:eastAsia="Times New Roman" w:hAnsi="Arial" w:cs="Arial"/>
        </w:rPr>
      </w:pPr>
      <w:r>
        <w:rPr>
          <w:rFonts w:ascii="Arial" w:eastAsia="Times New Roman" w:hAnsi="Arial" w:cs="Arial"/>
          <w:sz w:val="24"/>
        </w:rPr>
        <w:t>En la descomposición de la fó</w:t>
      </w:r>
      <w:r w:rsidRPr="00E61139">
        <w:rPr>
          <w:rFonts w:ascii="Arial" w:eastAsia="Times New Roman" w:hAnsi="Arial" w:cs="Arial"/>
          <w:sz w:val="24"/>
        </w:rPr>
        <w:t xml:space="preserve">rmula tenemos que </w:t>
      </w:r>
      <w:r w:rsidRPr="00E61139">
        <w:rPr>
          <w:rFonts w:ascii="Arial" w:hAnsi="Arial" w:cs="Arial"/>
          <w:i/>
          <w:iCs/>
          <w:sz w:val="28"/>
          <w:szCs w:val="24"/>
        </w:rPr>
        <w:t>E</w:t>
      </w:r>
      <w:r w:rsidRPr="00E61139">
        <w:rPr>
          <w:rFonts w:ascii="Arial" w:hAnsi="Arial" w:cs="Arial"/>
          <w:i/>
          <w:iCs/>
          <w:sz w:val="20"/>
          <w:szCs w:val="18"/>
        </w:rPr>
        <w:t xml:space="preserve">l, i  </w:t>
      </w:r>
      <w:r w:rsidRPr="00E61139">
        <w:rPr>
          <w:rFonts w:ascii="Arial" w:eastAsia="Times New Roman" w:hAnsi="Arial" w:cs="Arial"/>
          <w:sz w:val="24"/>
        </w:rPr>
        <w:t>es el límite de referencia a la frecuencia analizada. Para los dos procedimientos de medición este término es el mismo, como se muestra en la siguiente tabla</w:t>
      </w:r>
      <w:r w:rsidRPr="007D5822">
        <w:rPr>
          <w:rFonts w:ascii="Arial" w:eastAsia="Times New Roman" w:hAnsi="Arial" w:cs="Arial"/>
        </w:rPr>
        <w:t>.</w:t>
      </w:r>
    </w:p>
    <w:p w:rsidR="0025315F" w:rsidRPr="00ED5F47"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Tabla XXX. Valores de componente E</w:t>
      </w:r>
      <w:r w:rsidRPr="004F1245">
        <w:rPr>
          <w:rFonts w:ascii="Arial" w:hAnsi="Arial" w:cs="Arial"/>
          <w:b/>
          <w:sz w:val="24"/>
          <w:szCs w:val="24"/>
          <w:vertAlign w:val="subscript"/>
        </w:rPr>
        <w:t>i</w:t>
      </w:r>
      <w:r>
        <w:rPr>
          <w:rFonts w:ascii="Arial" w:hAnsi="Arial" w:cs="Arial"/>
          <w:b/>
          <w:sz w:val="24"/>
          <w:szCs w:val="24"/>
          <w:vertAlign w:val="subscript"/>
        </w:rPr>
        <w:t>,j</w:t>
      </w:r>
      <w:r>
        <w:rPr>
          <w:rFonts w:ascii="Arial" w:hAnsi="Arial" w:cs="Arial"/>
          <w:b/>
          <w:sz w:val="24"/>
          <w:szCs w:val="24"/>
        </w:rPr>
        <w:t xml:space="preserve"> para medición a múltiples fuentes</w:t>
      </w:r>
      <w:r w:rsidRPr="00ED5F47">
        <w:rPr>
          <w:rFonts w:ascii="Arial" w:hAnsi="Arial" w:cs="Arial"/>
          <w:b/>
          <w:sz w:val="24"/>
          <w:szCs w:val="24"/>
        </w:rPr>
        <w:t>.</w:t>
      </w:r>
      <w:r w:rsidRPr="00ED5F47">
        <w:rPr>
          <w:rStyle w:val="FootnoteReference"/>
          <w:rFonts w:ascii="Arial" w:hAnsi="Arial" w:cs="Arial"/>
          <w:b/>
          <w:sz w:val="24"/>
          <w:szCs w:val="24"/>
        </w:rPr>
        <w:footnoteReference w:id="90"/>
      </w:r>
    </w:p>
    <w:p w:rsidR="0025315F" w:rsidRDefault="0025315F" w:rsidP="0025315F">
      <w:pPr>
        <w:spacing w:line="360" w:lineRule="auto"/>
        <w:ind w:left="1416"/>
        <w:jc w:val="center"/>
        <w:rPr>
          <w:rFonts w:ascii="Arial" w:eastAsia="Times New Roman" w:hAnsi="Arial" w:cs="Arial"/>
        </w:rPr>
      </w:pPr>
      <w:r>
        <w:rPr>
          <w:rFonts w:ascii="Arial" w:eastAsia="Times New Roman" w:hAnsi="Arial" w:cs="Arial"/>
          <w:noProof/>
          <w:lang w:eastAsia="es-ES"/>
        </w:rPr>
        <w:drawing>
          <wp:inline distT="0" distB="0" distL="0" distR="0">
            <wp:extent cx="2497455" cy="1815465"/>
            <wp:effectExtent l="19050" t="0" r="0" b="0"/>
            <wp:docPr id="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cstate="print"/>
                    <a:srcRect/>
                    <a:stretch>
                      <a:fillRect/>
                    </a:stretch>
                  </pic:blipFill>
                  <pic:spPr bwMode="auto">
                    <a:xfrm>
                      <a:off x="0" y="0"/>
                      <a:ext cx="2497455" cy="1815465"/>
                    </a:xfrm>
                    <a:prstGeom prst="rect">
                      <a:avLst/>
                    </a:prstGeom>
                    <a:noFill/>
                    <a:ln w="9525">
                      <a:noFill/>
                      <a:miter lim="800000"/>
                      <a:headEnd/>
                      <a:tailEnd/>
                    </a:ln>
                  </pic:spPr>
                </pic:pic>
              </a:graphicData>
            </a:graphic>
          </wp:inline>
        </w:drawing>
      </w:r>
    </w:p>
    <w:p w:rsidR="0025315F" w:rsidRPr="007D5822" w:rsidRDefault="0025315F" w:rsidP="0025315F">
      <w:pPr>
        <w:spacing w:line="360" w:lineRule="auto"/>
        <w:ind w:left="1416"/>
        <w:jc w:val="center"/>
        <w:rPr>
          <w:rFonts w:ascii="Arial" w:eastAsia="Times New Roman" w:hAnsi="Arial" w:cs="Arial"/>
        </w:rPr>
      </w:pPr>
    </w:p>
    <w:p w:rsidR="0025315F" w:rsidRDefault="0025315F" w:rsidP="0025315F">
      <w:pPr>
        <w:spacing w:line="360" w:lineRule="auto"/>
        <w:ind w:left="1416"/>
        <w:jc w:val="both"/>
        <w:rPr>
          <w:rFonts w:ascii="Arial" w:hAnsi="Arial" w:cs="Arial"/>
          <w:sz w:val="24"/>
          <w:szCs w:val="24"/>
        </w:rPr>
      </w:pPr>
      <w:r w:rsidRPr="007D5822">
        <w:rPr>
          <w:rFonts w:ascii="Arial" w:hAnsi="Arial" w:cs="Arial"/>
          <w:sz w:val="24"/>
          <w:szCs w:val="24"/>
        </w:rPr>
        <w:lastRenderedPageBreak/>
        <w:t xml:space="preserve">A continuación mostramos los valores de </w:t>
      </w:r>
      <w:r w:rsidRPr="007D5822">
        <w:rPr>
          <w:rFonts w:ascii="Arial" w:hAnsi="Arial" w:cs="Arial"/>
          <w:i/>
          <w:iCs/>
          <w:sz w:val="24"/>
          <w:szCs w:val="24"/>
        </w:rPr>
        <w:t>E</w:t>
      </w:r>
      <w:r w:rsidRPr="007D5822">
        <w:rPr>
          <w:rFonts w:ascii="Arial" w:hAnsi="Arial" w:cs="Arial"/>
          <w:i/>
          <w:iCs/>
          <w:sz w:val="18"/>
          <w:szCs w:val="18"/>
        </w:rPr>
        <w:t xml:space="preserve"> i  </w:t>
      </w:r>
      <w:r w:rsidRPr="007D5822">
        <w:rPr>
          <w:rFonts w:ascii="Arial" w:hAnsi="Arial" w:cs="Arial"/>
          <w:sz w:val="24"/>
          <w:szCs w:val="24"/>
        </w:rPr>
        <w:t xml:space="preserve"> referentes a los valores de intensidad de campo eléctrico a la frecuencia </w:t>
      </w:r>
      <w:r w:rsidRPr="007D5822">
        <w:rPr>
          <w:rFonts w:ascii="Arial" w:hAnsi="Arial" w:cs="Arial"/>
          <w:i/>
          <w:sz w:val="24"/>
          <w:szCs w:val="24"/>
        </w:rPr>
        <w:t xml:space="preserve">i </w:t>
      </w:r>
      <w:r w:rsidRPr="007D5822">
        <w:rPr>
          <w:rFonts w:ascii="Arial" w:hAnsi="Arial" w:cs="Arial"/>
          <w:sz w:val="24"/>
          <w:szCs w:val="24"/>
        </w:rPr>
        <w:t>para el procedimiento de medición1.</w:t>
      </w:r>
    </w:p>
    <w:p w:rsidR="0025315F" w:rsidRPr="007D5822" w:rsidRDefault="0025315F" w:rsidP="0025315F">
      <w:pPr>
        <w:spacing w:line="360" w:lineRule="auto"/>
        <w:ind w:left="1416"/>
        <w:jc w:val="both"/>
        <w:rPr>
          <w:rFonts w:ascii="Arial" w:hAnsi="Arial" w:cs="Arial"/>
          <w:sz w:val="24"/>
          <w:szCs w:val="24"/>
        </w:rPr>
      </w:pPr>
    </w:p>
    <w:p w:rsidR="0025315F" w:rsidRPr="00ED5F47" w:rsidRDefault="0025315F" w:rsidP="0025315F">
      <w:pPr>
        <w:pStyle w:val="ListParagraph"/>
        <w:spacing w:line="360" w:lineRule="auto"/>
        <w:ind w:left="1418"/>
        <w:jc w:val="center"/>
        <w:rPr>
          <w:rFonts w:ascii="Arial" w:hAnsi="Arial" w:cs="Arial"/>
          <w:b/>
          <w:sz w:val="24"/>
          <w:szCs w:val="24"/>
        </w:rPr>
      </w:pPr>
      <w:r>
        <w:rPr>
          <w:rFonts w:ascii="Arial" w:hAnsi="Arial" w:cs="Arial"/>
          <w:b/>
          <w:sz w:val="24"/>
          <w:szCs w:val="24"/>
        </w:rPr>
        <w:t>Tabla XXXI Valores de componente E</w:t>
      </w:r>
      <w:r w:rsidRPr="004F1245">
        <w:rPr>
          <w:rFonts w:ascii="Arial" w:hAnsi="Arial" w:cs="Arial"/>
          <w:b/>
          <w:sz w:val="24"/>
          <w:szCs w:val="24"/>
          <w:vertAlign w:val="subscript"/>
        </w:rPr>
        <w:t>i</w:t>
      </w:r>
      <w:r>
        <w:rPr>
          <w:rFonts w:ascii="Arial" w:hAnsi="Arial" w:cs="Arial"/>
          <w:b/>
          <w:sz w:val="24"/>
          <w:szCs w:val="24"/>
        </w:rPr>
        <w:t xml:space="preserve"> para medición a múltiples fuentes con procedimiento de medición 1</w:t>
      </w:r>
      <w:r w:rsidRPr="00ED5F47">
        <w:rPr>
          <w:rFonts w:ascii="Arial" w:hAnsi="Arial" w:cs="Arial"/>
          <w:b/>
          <w:sz w:val="24"/>
          <w:szCs w:val="24"/>
        </w:rPr>
        <w:t>.</w:t>
      </w:r>
      <w:r w:rsidRPr="00ED5F47">
        <w:rPr>
          <w:rStyle w:val="FootnoteReference"/>
          <w:rFonts w:ascii="Arial" w:hAnsi="Arial" w:cs="Arial"/>
          <w:b/>
          <w:sz w:val="24"/>
          <w:szCs w:val="24"/>
        </w:rPr>
        <w:footnoteReference w:id="91"/>
      </w:r>
    </w:p>
    <w:p w:rsidR="0025315F" w:rsidRPr="007D5822" w:rsidRDefault="0025315F" w:rsidP="0025315F">
      <w:pPr>
        <w:spacing w:line="360" w:lineRule="auto"/>
        <w:ind w:left="1416"/>
        <w:jc w:val="center"/>
        <w:rPr>
          <w:rFonts w:ascii="Arial" w:eastAsia="Times New Roman" w:hAnsi="Arial" w:cs="Arial"/>
        </w:rPr>
      </w:pPr>
      <w:r>
        <w:rPr>
          <w:rFonts w:ascii="Arial" w:eastAsia="Times New Roman" w:hAnsi="Arial" w:cs="Arial"/>
          <w:noProof/>
          <w:lang w:eastAsia="es-ES"/>
        </w:rPr>
        <w:drawing>
          <wp:inline distT="0" distB="0" distL="0" distR="0">
            <wp:extent cx="3712210" cy="1869440"/>
            <wp:effectExtent l="19050" t="0" r="2540" b="0"/>
            <wp:docPr id="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0" cstate="print"/>
                    <a:srcRect/>
                    <a:stretch>
                      <a:fillRect/>
                    </a:stretch>
                  </pic:blipFill>
                  <pic:spPr bwMode="auto">
                    <a:xfrm>
                      <a:off x="0" y="0"/>
                      <a:ext cx="3712210" cy="1869440"/>
                    </a:xfrm>
                    <a:prstGeom prst="rect">
                      <a:avLst/>
                    </a:prstGeom>
                    <a:noFill/>
                    <a:ln w="9525">
                      <a:noFill/>
                      <a:miter lim="800000"/>
                      <a:headEnd/>
                      <a:tailEnd/>
                    </a:ln>
                  </pic:spPr>
                </pic:pic>
              </a:graphicData>
            </a:graphic>
          </wp:inline>
        </w:drawing>
      </w:r>
    </w:p>
    <w:p w:rsidR="0025315F" w:rsidRPr="00E61139" w:rsidRDefault="0025315F" w:rsidP="0025315F">
      <w:pPr>
        <w:spacing w:line="360" w:lineRule="auto"/>
        <w:ind w:left="1416"/>
        <w:jc w:val="both"/>
        <w:rPr>
          <w:rFonts w:ascii="Arial" w:eastAsia="Times New Roman" w:hAnsi="Arial" w:cs="Arial"/>
          <w:sz w:val="24"/>
        </w:rPr>
      </w:pPr>
      <w:r w:rsidRPr="00E61139">
        <w:rPr>
          <w:rFonts w:ascii="Arial" w:eastAsia="Times New Roman" w:hAnsi="Arial" w:cs="Arial"/>
          <w:sz w:val="24"/>
        </w:rPr>
        <w:t>Luego al final tenemos al descomponer la ecuación tenemos:</w:t>
      </w:r>
    </w:p>
    <w:p w:rsidR="0025315F" w:rsidRPr="007D5822" w:rsidRDefault="0025315F" w:rsidP="0025315F">
      <w:pPr>
        <w:spacing w:line="360" w:lineRule="auto"/>
        <w:ind w:left="1418" w:right="-285"/>
        <w:jc w:val="both"/>
        <w:rPr>
          <w:rFonts w:ascii="Arial" w:eastAsia="Times New Roman" w:hAnsi="Arial" w:cs="Arial"/>
        </w:rPr>
      </w:pPr>
      <w:r w:rsidRPr="007D5822">
        <w:rPr>
          <w:rFonts w:ascii="Arial" w:hAnsi="Arial" w:cs="Arial"/>
        </w:rPr>
        <w:br/>
      </w:r>
      <m:oMathPara>
        <m:oMathParaPr>
          <m:jc m:val="center"/>
        </m:oMathParaPr>
        <m:oMath>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1</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1</m:t>
                          </m:r>
                        </m:sub>
                      </m:sSub>
                    </m:den>
                  </m:f>
                </m:e>
              </m:d>
            </m:e>
            <m:sup>
              <m:r>
                <w:rPr>
                  <w:rFonts w:ascii="Cambria Math" w:hAnsi="Arial" w:cs="Arial"/>
                </w:rPr>
                <m:t>2</m:t>
              </m:r>
            </m:sup>
          </m:sSup>
          <m:r>
            <w:rPr>
              <w:rFonts w:ascii="Cambria Math" w:hAnsi="Arial" w:cs="Arial"/>
            </w:rPr>
            <m:t>+</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2</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2</m:t>
                          </m:r>
                        </m:sub>
                      </m:sSub>
                    </m:den>
                  </m:f>
                </m:e>
              </m:d>
            </m:e>
            <m:sup>
              <m:r>
                <w:rPr>
                  <w:rFonts w:ascii="Cambria Math" w:hAnsi="Arial" w:cs="Arial"/>
                </w:rPr>
                <m:t>2</m:t>
              </m:r>
            </m:sup>
          </m:sSup>
          <m:r>
            <w:rPr>
              <w:rFonts w:ascii="Cambria Math" w:hAnsi="Arial" w:cs="Arial"/>
            </w:rPr>
            <m:t>+</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3</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3</m:t>
                          </m:r>
                        </m:sub>
                      </m:sSub>
                    </m:den>
                  </m:f>
                </m:e>
              </m:d>
            </m:e>
            <m:sup>
              <m:r>
                <w:rPr>
                  <w:rFonts w:ascii="Cambria Math" w:hAnsi="Arial" w:cs="Arial"/>
                </w:rPr>
                <m:t>2</m:t>
              </m:r>
            </m:sup>
          </m:sSup>
          <m:r>
            <w:rPr>
              <w:rFonts w:ascii="Cambria Math" w:hAnsi="Arial" w:cs="Arial"/>
            </w:rPr>
            <m:t>+</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4</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4</m:t>
                          </m:r>
                        </m:sub>
                      </m:sSub>
                    </m:den>
                  </m:f>
                </m:e>
              </m:d>
            </m:e>
            <m:sup>
              <m:r>
                <w:rPr>
                  <w:rFonts w:ascii="Cambria Math" w:hAnsi="Arial" w:cs="Arial"/>
                </w:rPr>
                <m:t>2</m:t>
              </m:r>
            </m:sup>
          </m:sSup>
          <m:r>
            <w:rPr>
              <w:rFonts w:ascii="Cambria Math" w:hAnsi="Arial" w:cs="Arial"/>
            </w:rPr>
            <m:t>+</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5</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5</m:t>
                          </m:r>
                        </m:sub>
                      </m:sSub>
                    </m:den>
                  </m:f>
                </m:e>
              </m:d>
            </m:e>
            <m:sup>
              <m:r>
                <w:rPr>
                  <w:rFonts w:ascii="Cambria Math" w:hAnsi="Arial" w:cs="Arial"/>
                </w:rPr>
                <m:t>2</m:t>
              </m:r>
            </m:sup>
          </m:sSup>
          <m:r>
            <w:rPr>
              <w:rFonts w:ascii="Cambria Math" w:hAnsi="Arial" w:cs="Arial"/>
            </w:rPr>
            <m:t>+</m:t>
          </m:r>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E</m:t>
                          </m:r>
                        </m:e>
                        <m:sub>
                          <m:r>
                            <w:rPr>
                              <w:rFonts w:ascii="Cambria Math" w:hAnsi="Cambria Math" w:cs="Arial"/>
                            </w:rPr>
                            <m:t>i</m:t>
                          </m:r>
                          <m:r>
                            <w:rPr>
                              <w:rFonts w:ascii="Cambria Math" w:hAnsi="Arial" w:cs="Arial"/>
                            </w:rPr>
                            <m:t>6</m:t>
                          </m:r>
                        </m:sub>
                      </m:sSub>
                    </m:num>
                    <m:den>
                      <m:sSub>
                        <m:sSubPr>
                          <m:ctrlPr>
                            <w:rPr>
                              <w:rFonts w:ascii="Cambria Math" w:hAnsi="Arial" w:cs="Arial"/>
                              <w:i/>
                            </w:rPr>
                          </m:ctrlPr>
                        </m:sSubPr>
                        <m:e>
                          <m:r>
                            <w:rPr>
                              <w:rFonts w:ascii="Cambria Math" w:hAnsi="Cambria Math" w:cs="Arial"/>
                            </w:rPr>
                            <m:t>E</m:t>
                          </m:r>
                        </m:e>
                        <m:sub>
                          <m:r>
                            <w:rPr>
                              <w:rFonts w:ascii="Cambria Math" w:hAnsi="Cambria Math" w:cs="Arial"/>
                            </w:rPr>
                            <m:t>l</m:t>
                          </m:r>
                          <m:r>
                            <w:rPr>
                              <w:rFonts w:ascii="Cambria Math" w:hAnsi="Arial" w:cs="Arial"/>
                            </w:rPr>
                            <m:t>,</m:t>
                          </m:r>
                          <m:r>
                            <w:rPr>
                              <w:rFonts w:ascii="Cambria Math" w:hAnsi="Cambria Math" w:cs="Arial"/>
                            </w:rPr>
                            <m:t>i</m:t>
                          </m:r>
                          <m:r>
                            <w:rPr>
                              <w:rFonts w:ascii="Cambria Math" w:hAnsi="Arial" w:cs="Arial"/>
                            </w:rPr>
                            <m:t>6</m:t>
                          </m:r>
                        </m:sub>
                      </m:sSub>
                    </m:den>
                  </m:f>
                </m:e>
              </m:d>
            </m:e>
            <m:sup>
              <m:r>
                <w:rPr>
                  <w:rFonts w:ascii="Cambria Math" w:hAnsi="Arial" w:cs="Arial"/>
                </w:rPr>
                <m:t>2</m:t>
              </m:r>
            </m:sup>
          </m:sSup>
          <m:r>
            <w:rPr>
              <w:rFonts w:ascii="Cambria Math" w:hAnsi="Arial" w:cs="Arial"/>
            </w:rPr>
            <m:t>≤</m:t>
          </m:r>
          <m:r>
            <w:rPr>
              <w:rFonts w:ascii="Cambria Math" w:hAnsi="Arial" w:cs="Arial"/>
            </w:rPr>
            <m:t>1</m:t>
          </m:r>
        </m:oMath>
      </m:oMathPara>
    </w:p>
    <w:p w:rsidR="0025315F" w:rsidRDefault="0025315F" w:rsidP="0025315F">
      <w:pPr>
        <w:spacing w:line="360" w:lineRule="auto"/>
        <w:ind w:left="1418" w:right="-285"/>
        <w:jc w:val="both"/>
        <w:rPr>
          <w:rFonts w:ascii="Arial" w:hAnsi="Arial" w:cs="Arial"/>
          <w:sz w:val="24"/>
        </w:rPr>
      </w:pPr>
      <w:r w:rsidRPr="007D5822">
        <w:rPr>
          <w:rFonts w:ascii="Arial" w:hAnsi="Arial" w:cs="Arial"/>
          <w:sz w:val="24"/>
        </w:rPr>
        <w:t>Al final tenemos para el procedimiento de medición 1, para las alturas de 1.1m, 1.5m y 1.7m respectivamente los siguientes resultados:</w:t>
      </w:r>
    </w:p>
    <w:p w:rsidR="0025315F" w:rsidRPr="007D5822" w:rsidRDefault="0025315F" w:rsidP="0025315F">
      <w:pPr>
        <w:spacing w:line="360" w:lineRule="auto"/>
        <w:ind w:left="1418" w:right="-285"/>
        <w:jc w:val="both"/>
        <w:rPr>
          <w:rFonts w:ascii="Arial" w:eastAsia="Times New Roman" w:hAnsi="Arial" w:cs="Arial"/>
        </w:rPr>
      </w:pPr>
      <m:oMathPara>
        <m:oMath>
          <m:r>
            <w:rPr>
              <w:rFonts w:ascii="Cambria Math" w:hAnsi="Arial" w:cs="Arial"/>
            </w:rPr>
            <m:t>0.653</m:t>
          </m:r>
          <m:r>
            <w:rPr>
              <w:rFonts w:ascii="Cambria Math" w:hAnsi="Cambria Math" w:cs="Arial"/>
            </w:rPr>
            <m:t>m</m:t>
          </m:r>
          <m:r>
            <w:rPr>
              <w:rFonts w:ascii="Cambria Math" w:hAnsi="Arial" w:cs="Arial"/>
            </w:rPr>
            <m:t>≤</m:t>
          </m:r>
          <m:r>
            <w:rPr>
              <w:rFonts w:ascii="Cambria Math" w:hAnsi="Arial" w:cs="Arial"/>
            </w:rPr>
            <m:t>1</m:t>
          </m:r>
        </m:oMath>
      </m:oMathPara>
    </w:p>
    <w:p w:rsidR="0025315F" w:rsidRPr="007D5822" w:rsidRDefault="0025315F" w:rsidP="0025315F">
      <w:pPr>
        <w:spacing w:line="360" w:lineRule="auto"/>
        <w:ind w:left="1418" w:right="-285"/>
        <w:jc w:val="both"/>
        <w:rPr>
          <w:rFonts w:ascii="Arial" w:eastAsia="Times New Roman" w:hAnsi="Arial" w:cs="Arial"/>
        </w:rPr>
      </w:pPr>
      <m:oMathPara>
        <m:oMath>
          <m:r>
            <w:rPr>
              <w:rFonts w:ascii="Cambria Math" w:hAnsi="Arial" w:cs="Arial"/>
            </w:rPr>
            <m:t>0.621</m:t>
          </m:r>
          <m:r>
            <w:rPr>
              <w:rFonts w:ascii="Cambria Math" w:hAnsi="Cambria Math" w:cs="Arial"/>
            </w:rPr>
            <m:t>m</m:t>
          </m:r>
          <m:r>
            <w:rPr>
              <w:rFonts w:ascii="Cambria Math" w:hAnsi="Arial" w:cs="Arial"/>
            </w:rPr>
            <m:t>≤</m:t>
          </m:r>
          <m:r>
            <w:rPr>
              <w:rFonts w:ascii="Cambria Math" w:hAnsi="Arial" w:cs="Arial"/>
            </w:rPr>
            <m:t>1</m:t>
          </m:r>
        </m:oMath>
      </m:oMathPara>
    </w:p>
    <w:p w:rsidR="0025315F" w:rsidRPr="007D5822" w:rsidRDefault="0025315F" w:rsidP="0025315F">
      <w:pPr>
        <w:spacing w:line="360" w:lineRule="auto"/>
        <w:ind w:left="1418" w:right="-285"/>
        <w:jc w:val="both"/>
        <w:rPr>
          <w:rFonts w:ascii="Arial" w:hAnsi="Arial" w:cs="Arial"/>
        </w:rPr>
      </w:pPr>
      <m:oMathPara>
        <m:oMath>
          <m:r>
            <w:rPr>
              <w:rFonts w:ascii="Cambria Math" w:hAnsi="Arial" w:cs="Arial"/>
            </w:rPr>
            <m:t>0.583</m:t>
          </m:r>
          <m:r>
            <w:rPr>
              <w:rFonts w:ascii="Cambria Math" w:hAnsi="Cambria Math" w:cs="Arial"/>
            </w:rPr>
            <m:t>m</m:t>
          </m:r>
          <m:r>
            <w:rPr>
              <w:rFonts w:ascii="Cambria Math" w:hAnsi="Arial" w:cs="Arial"/>
            </w:rPr>
            <m:t>≤</m:t>
          </m:r>
          <m:r>
            <w:rPr>
              <w:rFonts w:ascii="Cambria Math" w:hAnsi="Arial" w:cs="Arial"/>
            </w:rPr>
            <m:t>1</m:t>
          </m:r>
        </m:oMath>
      </m:oMathPara>
    </w:p>
    <w:p w:rsidR="0025315F" w:rsidRPr="00965457" w:rsidRDefault="0025315F" w:rsidP="0025315F">
      <w:pPr>
        <w:spacing w:line="360" w:lineRule="auto"/>
        <w:ind w:left="1418" w:right="-1"/>
        <w:jc w:val="both"/>
        <w:rPr>
          <w:rFonts w:ascii="Arial" w:eastAsia="Times New Roman" w:hAnsi="Arial" w:cs="Arial"/>
          <w:sz w:val="24"/>
          <w:szCs w:val="24"/>
        </w:rPr>
      </w:pPr>
      <w:r w:rsidRPr="00965457">
        <w:rPr>
          <w:rFonts w:ascii="Arial" w:eastAsia="Times New Roman" w:hAnsi="Arial" w:cs="Arial"/>
          <w:sz w:val="24"/>
          <w:szCs w:val="24"/>
        </w:rPr>
        <w:lastRenderedPageBreak/>
        <w:t xml:space="preserve">En la </w:t>
      </w:r>
      <w:r>
        <w:rPr>
          <w:rFonts w:ascii="Arial" w:eastAsia="Times New Roman" w:hAnsi="Arial" w:cs="Arial"/>
          <w:sz w:val="24"/>
          <w:szCs w:val="24"/>
        </w:rPr>
        <w:t>figura 4.22 se muestran que para el análisis de la sumatoria de la contribución de múltiples fuentes en las tres alturas medidas con el procedimiento de medición 1, todas están por debajo de 1 como indica la recomendación.</w:t>
      </w:r>
    </w:p>
    <w:p w:rsidR="0025315F" w:rsidRDefault="0025315F" w:rsidP="0025315F">
      <w:pPr>
        <w:spacing w:line="360" w:lineRule="auto"/>
        <w:ind w:left="1418" w:right="-285"/>
        <w:jc w:val="center"/>
        <w:rPr>
          <w:rFonts w:ascii="Arial" w:hAnsi="Arial" w:cs="Arial"/>
          <w:sz w:val="24"/>
          <w:szCs w:val="24"/>
        </w:rPr>
      </w:pPr>
      <w:r>
        <w:rPr>
          <w:rFonts w:ascii="Arial" w:hAnsi="Arial" w:cs="Arial"/>
          <w:noProof/>
          <w:sz w:val="24"/>
          <w:szCs w:val="24"/>
          <w:lang w:eastAsia="es-ES"/>
        </w:rPr>
        <w:drawing>
          <wp:inline distT="0" distB="0" distL="0" distR="0">
            <wp:extent cx="4217035" cy="3329940"/>
            <wp:effectExtent l="19050" t="0" r="0" b="0"/>
            <wp:docPr id="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1" cstate="print"/>
                    <a:srcRect/>
                    <a:stretch>
                      <a:fillRect/>
                    </a:stretch>
                  </pic:blipFill>
                  <pic:spPr bwMode="auto">
                    <a:xfrm>
                      <a:off x="0" y="0"/>
                      <a:ext cx="4217035" cy="3329940"/>
                    </a:xfrm>
                    <a:prstGeom prst="rect">
                      <a:avLst/>
                    </a:prstGeom>
                    <a:noFill/>
                    <a:ln w="9525">
                      <a:noFill/>
                      <a:miter lim="800000"/>
                      <a:headEnd/>
                      <a:tailEnd/>
                    </a:ln>
                  </pic:spPr>
                </pic:pic>
              </a:graphicData>
            </a:graphic>
          </wp:inline>
        </w:drawing>
      </w:r>
    </w:p>
    <w:p w:rsidR="0025315F" w:rsidRPr="00E16308" w:rsidRDefault="0025315F" w:rsidP="0025315F">
      <w:pPr>
        <w:spacing w:line="360" w:lineRule="auto"/>
        <w:ind w:left="1418" w:right="-285"/>
        <w:jc w:val="center"/>
        <w:rPr>
          <w:rFonts w:ascii="Arial" w:hAnsi="Arial" w:cs="Arial"/>
          <w:sz w:val="24"/>
          <w:szCs w:val="24"/>
        </w:rPr>
      </w:pPr>
      <w:r w:rsidRPr="00E16308">
        <w:rPr>
          <w:rFonts w:ascii="Arial" w:hAnsi="Arial" w:cs="Arial"/>
          <w:b/>
          <w:sz w:val="24"/>
          <w:szCs w:val="24"/>
        </w:rPr>
        <w:t>Figura 4.</w:t>
      </w:r>
      <w:r>
        <w:rPr>
          <w:rFonts w:ascii="Arial" w:hAnsi="Arial" w:cs="Arial"/>
          <w:b/>
          <w:sz w:val="24"/>
          <w:szCs w:val="24"/>
        </w:rPr>
        <w:t>22</w:t>
      </w:r>
      <w:r w:rsidRPr="00E16308">
        <w:rPr>
          <w:rFonts w:ascii="Arial" w:hAnsi="Arial" w:cs="Arial"/>
          <w:b/>
          <w:sz w:val="24"/>
          <w:szCs w:val="24"/>
        </w:rPr>
        <w:t xml:space="preserve"> </w:t>
      </w:r>
      <w:r w:rsidRPr="00E16308">
        <w:rPr>
          <w:rFonts w:ascii="Arial" w:hAnsi="Arial" w:cs="Arial"/>
          <w:b/>
          <w:bCs/>
          <w:sz w:val="24"/>
          <w:szCs w:val="24"/>
        </w:rPr>
        <w:t>Valores de Análisis de Múltiples Fuentes, para procedimiento de medición 1.</w:t>
      </w:r>
      <w:r w:rsidRPr="00E16308">
        <w:rPr>
          <w:rStyle w:val="FootnoteReference"/>
          <w:rFonts w:ascii="Arial" w:hAnsi="Arial" w:cs="Arial"/>
          <w:b/>
          <w:sz w:val="24"/>
          <w:szCs w:val="24"/>
        </w:rPr>
        <w:footnoteReference w:id="92"/>
      </w:r>
    </w:p>
    <w:p w:rsidR="0025315F" w:rsidRDefault="0025315F" w:rsidP="0025315F">
      <w:pPr>
        <w:spacing w:line="360" w:lineRule="auto"/>
        <w:ind w:left="1418" w:right="-285"/>
        <w:jc w:val="both"/>
        <w:rPr>
          <w:rFonts w:ascii="Arial" w:hAnsi="Arial" w:cs="Arial"/>
          <w:sz w:val="24"/>
          <w:szCs w:val="24"/>
        </w:rPr>
      </w:pPr>
    </w:p>
    <w:p w:rsidR="0025315F" w:rsidRPr="007D5822" w:rsidRDefault="0025315F" w:rsidP="0025315F">
      <w:pPr>
        <w:spacing w:line="360" w:lineRule="auto"/>
        <w:ind w:left="1418" w:right="-285"/>
        <w:jc w:val="both"/>
        <w:rPr>
          <w:rFonts w:ascii="Arial" w:hAnsi="Arial" w:cs="Arial"/>
          <w:sz w:val="24"/>
          <w:szCs w:val="24"/>
        </w:rPr>
      </w:pPr>
      <w:r w:rsidRPr="007D5822">
        <w:rPr>
          <w:rFonts w:ascii="Arial" w:hAnsi="Arial" w:cs="Arial"/>
          <w:sz w:val="24"/>
          <w:szCs w:val="24"/>
        </w:rPr>
        <w:t>Con este análisis se demostró el cumplimiento del cálculo realizado para del efecto de medición a múltiples fuentes, para el procedimiento de medición 1.</w:t>
      </w:r>
    </w:p>
    <w:p w:rsidR="0025315F" w:rsidRDefault="0025315F" w:rsidP="0025315F">
      <w:pPr>
        <w:spacing w:line="360" w:lineRule="auto"/>
        <w:ind w:left="1416"/>
        <w:jc w:val="both"/>
        <w:rPr>
          <w:rFonts w:ascii="Arial" w:hAnsi="Arial" w:cs="Arial"/>
          <w:sz w:val="24"/>
          <w:szCs w:val="24"/>
        </w:rPr>
      </w:pPr>
      <w:r w:rsidRPr="007D5822">
        <w:rPr>
          <w:rFonts w:ascii="Arial" w:hAnsi="Arial" w:cs="Arial"/>
          <w:sz w:val="24"/>
          <w:szCs w:val="24"/>
        </w:rPr>
        <w:t xml:space="preserve">Ahora  tenemos a continuación mostramos los valores de </w:t>
      </w:r>
      <w:r w:rsidRPr="007D5822">
        <w:rPr>
          <w:rFonts w:ascii="Arial" w:hAnsi="Arial" w:cs="Arial"/>
          <w:i/>
          <w:iCs/>
          <w:sz w:val="24"/>
          <w:szCs w:val="24"/>
        </w:rPr>
        <w:t>E</w:t>
      </w:r>
      <w:r w:rsidRPr="007D5822">
        <w:rPr>
          <w:rFonts w:ascii="Arial" w:hAnsi="Arial" w:cs="Arial"/>
          <w:i/>
          <w:iCs/>
          <w:sz w:val="18"/>
          <w:szCs w:val="18"/>
        </w:rPr>
        <w:t xml:space="preserve"> i  </w:t>
      </w:r>
      <w:r w:rsidRPr="007D5822">
        <w:rPr>
          <w:rFonts w:ascii="Arial" w:hAnsi="Arial" w:cs="Arial"/>
          <w:sz w:val="24"/>
          <w:szCs w:val="24"/>
        </w:rPr>
        <w:t xml:space="preserve"> referentes a los valores de intensidad de campo eléctrico a la frecuencia </w:t>
      </w:r>
      <w:r w:rsidRPr="007D5822">
        <w:rPr>
          <w:rFonts w:ascii="Arial" w:hAnsi="Arial" w:cs="Arial"/>
          <w:i/>
          <w:sz w:val="24"/>
          <w:szCs w:val="24"/>
        </w:rPr>
        <w:t xml:space="preserve">i </w:t>
      </w:r>
      <w:r w:rsidRPr="007D5822">
        <w:rPr>
          <w:rFonts w:ascii="Arial" w:hAnsi="Arial" w:cs="Arial"/>
          <w:sz w:val="24"/>
          <w:szCs w:val="24"/>
        </w:rPr>
        <w:t>para el procedimiento de medición</w:t>
      </w:r>
      <w:r>
        <w:rPr>
          <w:rFonts w:ascii="Arial" w:hAnsi="Arial" w:cs="Arial"/>
          <w:sz w:val="24"/>
          <w:szCs w:val="24"/>
        </w:rPr>
        <w:t xml:space="preserve"> </w:t>
      </w:r>
      <w:r w:rsidRPr="007D5822">
        <w:rPr>
          <w:rFonts w:ascii="Arial" w:hAnsi="Arial" w:cs="Arial"/>
          <w:sz w:val="24"/>
          <w:szCs w:val="24"/>
        </w:rPr>
        <w:t>2.</w:t>
      </w:r>
    </w:p>
    <w:p w:rsidR="0025315F" w:rsidRPr="00ED5F47" w:rsidRDefault="0025315F" w:rsidP="0025315F">
      <w:pPr>
        <w:pStyle w:val="ListParagraph"/>
        <w:spacing w:line="360" w:lineRule="auto"/>
        <w:ind w:left="1418"/>
        <w:jc w:val="center"/>
        <w:rPr>
          <w:rFonts w:ascii="Arial" w:hAnsi="Arial" w:cs="Arial"/>
          <w:b/>
          <w:sz w:val="24"/>
          <w:szCs w:val="24"/>
        </w:rPr>
      </w:pPr>
      <w:r>
        <w:rPr>
          <w:rFonts w:ascii="Arial" w:hAnsi="Arial" w:cs="Arial"/>
          <w:b/>
          <w:sz w:val="24"/>
          <w:szCs w:val="24"/>
        </w:rPr>
        <w:lastRenderedPageBreak/>
        <w:t>Tabla XXXII Valores de componente E</w:t>
      </w:r>
      <w:r w:rsidRPr="004F1245">
        <w:rPr>
          <w:rFonts w:ascii="Arial" w:hAnsi="Arial" w:cs="Arial"/>
          <w:b/>
          <w:sz w:val="24"/>
          <w:szCs w:val="24"/>
          <w:vertAlign w:val="subscript"/>
        </w:rPr>
        <w:t>i</w:t>
      </w:r>
      <w:r>
        <w:rPr>
          <w:rFonts w:ascii="Arial" w:hAnsi="Arial" w:cs="Arial"/>
          <w:b/>
          <w:sz w:val="24"/>
          <w:szCs w:val="24"/>
        </w:rPr>
        <w:t xml:space="preserve"> para medición a múltiples fuentes con procedimiento de medición 2</w:t>
      </w:r>
      <w:r w:rsidRPr="00ED5F47">
        <w:rPr>
          <w:rFonts w:ascii="Arial" w:hAnsi="Arial" w:cs="Arial"/>
          <w:b/>
          <w:sz w:val="24"/>
          <w:szCs w:val="24"/>
        </w:rPr>
        <w:t>.</w:t>
      </w:r>
      <w:r w:rsidRPr="00ED5F47">
        <w:rPr>
          <w:rStyle w:val="FootnoteReference"/>
          <w:rFonts w:ascii="Arial" w:hAnsi="Arial" w:cs="Arial"/>
          <w:b/>
          <w:sz w:val="24"/>
          <w:szCs w:val="24"/>
        </w:rPr>
        <w:footnoteReference w:id="93"/>
      </w:r>
    </w:p>
    <w:p w:rsidR="0025315F" w:rsidRDefault="0025315F" w:rsidP="0025315F">
      <w:pPr>
        <w:spacing w:line="360" w:lineRule="auto"/>
        <w:ind w:left="1416"/>
        <w:jc w:val="center"/>
        <w:rPr>
          <w:rFonts w:ascii="Arial" w:hAnsi="Arial" w:cs="Arial"/>
          <w:sz w:val="24"/>
          <w:szCs w:val="24"/>
        </w:rPr>
      </w:pPr>
      <w:r>
        <w:rPr>
          <w:rFonts w:ascii="Arial" w:hAnsi="Arial" w:cs="Arial"/>
          <w:noProof/>
          <w:sz w:val="24"/>
          <w:szCs w:val="24"/>
          <w:lang w:eastAsia="es-ES"/>
        </w:rPr>
        <w:drawing>
          <wp:inline distT="0" distB="0" distL="0" distR="0">
            <wp:extent cx="3670935" cy="1746885"/>
            <wp:effectExtent l="19050" t="0" r="5715"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srcRect/>
                    <a:stretch>
                      <a:fillRect/>
                    </a:stretch>
                  </pic:blipFill>
                  <pic:spPr bwMode="auto">
                    <a:xfrm>
                      <a:off x="0" y="0"/>
                      <a:ext cx="3670935" cy="1746885"/>
                    </a:xfrm>
                    <a:prstGeom prst="rect">
                      <a:avLst/>
                    </a:prstGeom>
                    <a:noFill/>
                    <a:ln w="9525">
                      <a:noFill/>
                      <a:miter lim="800000"/>
                      <a:headEnd/>
                      <a:tailEnd/>
                    </a:ln>
                  </pic:spPr>
                </pic:pic>
              </a:graphicData>
            </a:graphic>
          </wp:inline>
        </w:drawing>
      </w:r>
    </w:p>
    <w:p w:rsidR="0025315F" w:rsidRPr="007D5822" w:rsidRDefault="0025315F" w:rsidP="0025315F">
      <w:pPr>
        <w:spacing w:line="360" w:lineRule="auto"/>
        <w:ind w:left="1416"/>
        <w:jc w:val="center"/>
        <w:rPr>
          <w:rFonts w:ascii="Arial" w:hAnsi="Arial" w:cs="Arial"/>
          <w:sz w:val="24"/>
          <w:szCs w:val="24"/>
        </w:rPr>
      </w:pPr>
    </w:p>
    <w:p w:rsidR="0025315F" w:rsidRPr="007D5822" w:rsidRDefault="0025315F" w:rsidP="0025315F">
      <w:pPr>
        <w:spacing w:line="360" w:lineRule="auto"/>
        <w:ind w:left="1418" w:right="-285"/>
        <w:jc w:val="both"/>
        <w:rPr>
          <w:rFonts w:ascii="Arial" w:hAnsi="Arial" w:cs="Arial"/>
          <w:sz w:val="24"/>
        </w:rPr>
      </w:pPr>
      <w:r w:rsidRPr="00E61139">
        <w:rPr>
          <w:rFonts w:ascii="Arial" w:eastAsia="Times New Roman" w:hAnsi="Arial" w:cs="Arial"/>
          <w:sz w:val="24"/>
        </w:rPr>
        <w:t xml:space="preserve">Luego al final tenemos </w:t>
      </w:r>
      <w:r w:rsidRPr="007D5822">
        <w:rPr>
          <w:rFonts w:ascii="Arial" w:hAnsi="Arial" w:cs="Arial"/>
          <w:sz w:val="24"/>
        </w:rPr>
        <w:t>obtenemos para el procedimiento de medición 1, para las alturas de 1.1m, 1.5m y 1.7m respectivamente los siguientes resultados:</w:t>
      </w:r>
    </w:p>
    <w:p w:rsidR="0025315F" w:rsidRPr="007D5822" w:rsidRDefault="0025315F" w:rsidP="0025315F">
      <w:pPr>
        <w:spacing w:line="360" w:lineRule="auto"/>
        <w:ind w:left="1418" w:right="-285"/>
        <w:jc w:val="both"/>
        <w:rPr>
          <w:rFonts w:ascii="Arial" w:eastAsia="Times New Roman" w:hAnsi="Arial" w:cs="Arial"/>
        </w:rPr>
      </w:pPr>
      <m:oMathPara>
        <m:oMath>
          <m:r>
            <w:rPr>
              <w:rFonts w:ascii="Cambria Math" w:hAnsi="Arial" w:cs="Arial"/>
            </w:rPr>
            <m:t>0.548m</m:t>
          </m:r>
          <m:r>
            <w:rPr>
              <w:rFonts w:ascii="Cambria Math" w:hAnsi="Arial" w:cs="Arial"/>
            </w:rPr>
            <m:t>≤</m:t>
          </m:r>
          <m:r>
            <w:rPr>
              <w:rFonts w:ascii="Cambria Math" w:hAnsi="Arial" w:cs="Arial"/>
            </w:rPr>
            <m:t>1</m:t>
          </m:r>
        </m:oMath>
      </m:oMathPara>
    </w:p>
    <w:p w:rsidR="0025315F" w:rsidRPr="007D5822" w:rsidRDefault="0025315F" w:rsidP="0025315F">
      <w:pPr>
        <w:spacing w:line="360" w:lineRule="auto"/>
        <w:ind w:left="1418" w:right="-285"/>
        <w:jc w:val="both"/>
        <w:rPr>
          <w:rFonts w:ascii="Arial" w:eastAsia="Times New Roman" w:hAnsi="Arial" w:cs="Arial"/>
        </w:rPr>
      </w:pPr>
      <m:oMathPara>
        <m:oMath>
          <m:r>
            <w:rPr>
              <w:rFonts w:ascii="Cambria Math" w:hAnsi="Arial" w:cs="Arial"/>
            </w:rPr>
            <m:t>0.461m</m:t>
          </m:r>
          <m:r>
            <w:rPr>
              <w:rFonts w:ascii="Cambria Math" w:hAnsi="Arial" w:cs="Arial"/>
            </w:rPr>
            <m:t>≤</m:t>
          </m:r>
          <m:r>
            <w:rPr>
              <w:rFonts w:ascii="Cambria Math" w:hAnsi="Arial" w:cs="Arial"/>
            </w:rPr>
            <m:t>1</m:t>
          </m:r>
        </m:oMath>
      </m:oMathPara>
    </w:p>
    <w:p w:rsidR="0025315F" w:rsidRDefault="0025315F" w:rsidP="0025315F">
      <w:pPr>
        <w:spacing w:line="360" w:lineRule="auto"/>
        <w:ind w:left="1418" w:right="-285"/>
        <w:jc w:val="both"/>
        <w:rPr>
          <w:rFonts w:ascii="Arial" w:eastAsia="Times New Roman" w:hAnsi="Arial" w:cs="Arial"/>
        </w:rPr>
      </w:pPr>
      <m:oMathPara>
        <m:oMath>
          <m:r>
            <w:rPr>
              <w:rFonts w:ascii="Cambria Math" w:hAnsi="Arial" w:cs="Arial"/>
            </w:rPr>
            <m:t>0.312m</m:t>
          </m:r>
          <m:r>
            <w:rPr>
              <w:rFonts w:ascii="Cambria Math" w:hAnsi="Arial" w:cs="Arial"/>
            </w:rPr>
            <m:t>≤</m:t>
          </m:r>
          <m:r>
            <w:rPr>
              <w:rFonts w:ascii="Cambria Math" w:hAnsi="Arial" w:cs="Arial"/>
            </w:rPr>
            <m:t>1</m:t>
          </m:r>
        </m:oMath>
      </m:oMathPara>
    </w:p>
    <w:p w:rsidR="0025315F" w:rsidRPr="00965457" w:rsidRDefault="0025315F" w:rsidP="0025315F">
      <w:pPr>
        <w:spacing w:line="360" w:lineRule="auto"/>
        <w:ind w:left="1418" w:right="-285"/>
        <w:jc w:val="both"/>
        <w:rPr>
          <w:rFonts w:ascii="Arial" w:eastAsia="Times New Roman" w:hAnsi="Arial" w:cs="Arial"/>
          <w:sz w:val="24"/>
          <w:szCs w:val="24"/>
        </w:rPr>
      </w:pPr>
      <w:r w:rsidRPr="00965457">
        <w:rPr>
          <w:rFonts w:ascii="Arial" w:eastAsia="Times New Roman" w:hAnsi="Arial" w:cs="Arial"/>
          <w:sz w:val="24"/>
          <w:szCs w:val="24"/>
        </w:rPr>
        <w:t xml:space="preserve">En la </w:t>
      </w:r>
      <w:r>
        <w:rPr>
          <w:rFonts w:ascii="Arial" w:eastAsia="Times New Roman" w:hAnsi="Arial" w:cs="Arial"/>
          <w:sz w:val="24"/>
          <w:szCs w:val="24"/>
        </w:rPr>
        <w:t>figura 4.23 se muestran que para el análisis de la sumatoria de la contribución de múltiples fuentes en las tres alturas medidas con el procedimiento de medición 2, todas están por debajo de 1.</w:t>
      </w:r>
    </w:p>
    <w:p w:rsidR="0025315F" w:rsidRDefault="0025315F" w:rsidP="0025315F">
      <w:pPr>
        <w:spacing w:line="360" w:lineRule="auto"/>
        <w:ind w:left="1418" w:right="-285"/>
        <w:jc w:val="center"/>
        <w:rPr>
          <w:rFonts w:ascii="Arial" w:hAnsi="Arial" w:cs="Arial"/>
        </w:rPr>
      </w:pPr>
      <w:r>
        <w:rPr>
          <w:rFonts w:ascii="Arial" w:hAnsi="Arial" w:cs="Arial"/>
          <w:noProof/>
          <w:lang w:eastAsia="es-ES"/>
        </w:rPr>
        <w:lastRenderedPageBreak/>
        <w:drawing>
          <wp:inline distT="0" distB="0" distL="0" distR="0">
            <wp:extent cx="4231005" cy="3453130"/>
            <wp:effectExtent l="1905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srcRect/>
                    <a:stretch>
                      <a:fillRect/>
                    </a:stretch>
                  </pic:blipFill>
                  <pic:spPr bwMode="auto">
                    <a:xfrm>
                      <a:off x="0" y="0"/>
                      <a:ext cx="4231005" cy="3453130"/>
                    </a:xfrm>
                    <a:prstGeom prst="rect">
                      <a:avLst/>
                    </a:prstGeom>
                    <a:noFill/>
                    <a:ln w="9525">
                      <a:noFill/>
                      <a:miter lim="800000"/>
                      <a:headEnd/>
                      <a:tailEnd/>
                    </a:ln>
                  </pic:spPr>
                </pic:pic>
              </a:graphicData>
            </a:graphic>
          </wp:inline>
        </w:drawing>
      </w:r>
    </w:p>
    <w:p w:rsidR="0025315F" w:rsidRDefault="0025315F" w:rsidP="0025315F">
      <w:pPr>
        <w:spacing w:line="360" w:lineRule="auto"/>
        <w:ind w:left="1418" w:right="-285"/>
        <w:jc w:val="center"/>
        <w:rPr>
          <w:rFonts w:ascii="Arial" w:hAnsi="Arial" w:cs="Arial"/>
          <w:sz w:val="24"/>
          <w:szCs w:val="24"/>
        </w:rPr>
      </w:pPr>
      <w:r w:rsidRPr="00ED5F47">
        <w:rPr>
          <w:rFonts w:ascii="Arial" w:hAnsi="Arial" w:cs="Arial"/>
          <w:b/>
          <w:sz w:val="24"/>
          <w:szCs w:val="24"/>
        </w:rPr>
        <w:t>Figura 4.</w:t>
      </w:r>
      <w:r>
        <w:rPr>
          <w:rFonts w:ascii="Arial" w:hAnsi="Arial" w:cs="Arial"/>
          <w:b/>
          <w:sz w:val="24"/>
          <w:szCs w:val="24"/>
        </w:rPr>
        <w:t xml:space="preserve">23 </w:t>
      </w:r>
      <w:r w:rsidRPr="00E16308">
        <w:rPr>
          <w:rFonts w:ascii="Arial" w:hAnsi="Arial" w:cs="Arial"/>
          <w:b/>
          <w:bCs/>
          <w:sz w:val="24"/>
          <w:szCs w:val="24"/>
        </w:rPr>
        <w:t xml:space="preserve">Valores de Análisis de Múltiples Fuentes, para procedimiento de medición </w:t>
      </w:r>
      <w:r>
        <w:rPr>
          <w:rFonts w:ascii="Arial" w:hAnsi="Arial" w:cs="Arial"/>
          <w:b/>
          <w:bCs/>
          <w:sz w:val="24"/>
          <w:szCs w:val="24"/>
        </w:rPr>
        <w:t>2.</w:t>
      </w:r>
      <w:r w:rsidRPr="00ED5F47">
        <w:rPr>
          <w:rStyle w:val="FootnoteReference"/>
          <w:rFonts w:ascii="Arial" w:hAnsi="Arial" w:cs="Arial"/>
          <w:b/>
          <w:sz w:val="24"/>
          <w:szCs w:val="24"/>
        </w:rPr>
        <w:footnoteReference w:id="94"/>
      </w:r>
    </w:p>
    <w:p w:rsidR="0025315F" w:rsidRPr="007D5822" w:rsidRDefault="0025315F" w:rsidP="0025315F">
      <w:pPr>
        <w:spacing w:line="360" w:lineRule="auto"/>
        <w:ind w:left="1418" w:right="-285"/>
        <w:jc w:val="both"/>
        <w:rPr>
          <w:rFonts w:ascii="Arial" w:hAnsi="Arial" w:cs="Arial"/>
        </w:rPr>
      </w:pPr>
    </w:p>
    <w:p w:rsidR="0025315F" w:rsidRPr="007D5822" w:rsidRDefault="0025315F" w:rsidP="0025315F">
      <w:pPr>
        <w:spacing w:line="360" w:lineRule="auto"/>
        <w:ind w:left="1418" w:right="-285"/>
        <w:jc w:val="both"/>
        <w:rPr>
          <w:rFonts w:ascii="Arial" w:hAnsi="Arial" w:cs="Arial"/>
          <w:sz w:val="24"/>
          <w:szCs w:val="24"/>
        </w:rPr>
      </w:pPr>
      <w:r w:rsidRPr="007D5822">
        <w:rPr>
          <w:rFonts w:ascii="Arial" w:hAnsi="Arial" w:cs="Arial"/>
          <w:sz w:val="24"/>
          <w:szCs w:val="24"/>
        </w:rPr>
        <w:t>Nuevamente queda comprobado el cumplimiento del cálculo realizado para del efecto de medición a múltiples fuentes de telecomunicaciones, para el procedimiento de medición 2.</w:t>
      </w:r>
    </w:p>
    <w:p w:rsidR="0025315F" w:rsidRPr="007D5822" w:rsidRDefault="0025315F" w:rsidP="0025315F">
      <w:pPr>
        <w:pStyle w:val="ListParagraph"/>
        <w:spacing w:line="360" w:lineRule="auto"/>
        <w:ind w:left="1800" w:hanging="992"/>
        <w:jc w:val="both"/>
        <w:rPr>
          <w:rFonts w:ascii="Arial" w:hAnsi="Arial" w:cs="Arial"/>
          <w:b/>
          <w:sz w:val="24"/>
          <w:szCs w:val="24"/>
        </w:rPr>
      </w:pPr>
    </w:p>
    <w:p w:rsidR="0025315F" w:rsidRPr="007D5822" w:rsidRDefault="0025315F" w:rsidP="0025315F">
      <w:pPr>
        <w:pStyle w:val="ListParagraph"/>
        <w:numPr>
          <w:ilvl w:val="2"/>
          <w:numId w:val="16"/>
        </w:numPr>
        <w:spacing w:line="360" w:lineRule="auto"/>
        <w:ind w:left="1418" w:hanging="851"/>
        <w:jc w:val="both"/>
        <w:rPr>
          <w:rFonts w:ascii="Arial" w:hAnsi="Arial" w:cs="Arial"/>
          <w:b/>
          <w:sz w:val="24"/>
          <w:szCs w:val="24"/>
        </w:rPr>
      </w:pPr>
      <w:r w:rsidRPr="007D5822">
        <w:rPr>
          <w:rFonts w:ascii="Arial" w:hAnsi="Arial" w:cs="Arial"/>
          <w:b/>
          <w:sz w:val="24"/>
          <w:szCs w:val="24"/>
        </w:rPr>
        <w:t>C</w:t>
      </w:r>
      <w:r w:rsidR="00333373">
        <w:rPr>
          <w:rFonts w:ascii="Arial" w:hAnsi="Arial" w:cs="Arial"/>
          <w:b/>
          <w:sz w:val="24"/>
          <w:szCs w:val="24"/>
        </w:rPr>
        <w:t>á</w:t>
      </w:r>
      <w:r w:rsidRPr="007D5822">
        <w:rPr>
          <w:rFonts w:ascii="Arial" w:hAnsi="Arial" w:cs="Arial"/>
          <w:b/>
          <w:sz w:val="24"/>
          <w:szCs w:val="24"/>
        </w:rPr>
        <w:t>lculo de la Relación Porcentual  de las mediciones con respecto a los límites fijados por ICNIRP</w:t>
      </w:r>
    </w:p>
    <w:p w:rsidR="0025315F" w:rsidRPr="007D5822" w:rsidRDefault="0025315F" w:rsidP="0025315F">
      <w:pPr>
        <w:spacing w:line="360" w:lineRule="auto"/>
        <w:ind w:left="1416"/>
        <w:jc w:val="both"/>
        <w:rPr>
          <w:rFonts w:ascii="Arial" w:hAnsi="Arial" w:cs="Arial"/>
          <w:sz w:val="24"/>
          <w:szCs w:val="24"/>
        </w:rPr>
      </w:pPr>
      <w:r w:rsidRPr="007D5822">
        <w:rPr>
          <w:rFonts w:ascii="Arial" w:hAnsi="Arial" w:cs="Arial"/>
          <w:sz w:val="24"/>
          <w:szCs w:val="24"/>
        </w:rPr>
        <w:t xml:space="preserve">El objetivo de calcular la relación porcentual de las mediciones con respecto a los límites de referencia fijados por ICNIRP, es verificar el cumplimiento de los límites de exposición humana al espectro electromagnético en aéreas poblacional, que en este </w:t>
      </w:r>
      <w:r w:rsidRPr="007D5822">
        <w:rPr>
          <w:rFonts w:ascii="Arial" w:hAnsi="Arial" w:cs="Arial"/>
          <w:sz w:val="24"/>
          <w:szCs w:val="24"/>
        </w:rPr>
        <w:lastRenderedPageBreak/>
        <w:t>caso son áreas de acceso en predios de ESPOL tanto en ambientes interiores como exteriores.</w:t>
      </w:r>
    </w:p>
    <w:p w:rsidR="0025315F" w:rsidRPr="007D5822" w:rsidRDefault="0025315F" w:rsidP="0025315F">
      <w:pPr>
        <w:spacing w:line="360" w:lineRule="auto"/>
        <w:ind w:left="1416"/>
        <w:jc w:val="both"/>
        <w:rPr>
          <w:rFonts w:ascii="Arial" w:hAnsi="Arial" w:cs="Arial"/>
          <w:sz w:val="24"/>
          <w:szCs w:val="24"/>
        </w:rPr>
      </w:pPr>
      <w:r w:rsidRPr="007D5822">
        <w:rPr>
          <w:rFonts w:ascii="Arial" w:hAnsi="Arial" w:cs="Arial"/>
          <w:sz w:val="24"/>
          <w:szCs w:val="24"/>
        </w:rPr>
        <w:t>Para verificar el cumplimiento la relación porcentual debe ser la más baja posible, para que se demuestre el cumplimiento de los niveles de referencia antes mencionados.</w:t>
      </w:r>
    </w:p>
    <w:p w:rsidR="0025315F" w:rsidRPr="007D5822" w:rsidRDefault="0025315F" w:rsidP="0025315F">
      <w:pPr>
        <w:spacing w:line="360" w:lineRule="auto"/>
        <w:ind w:left="1416"/>
        <w:jc w:val="both"/>
        <w:rPr>
          <w:rFonts w:ascii="Arial" w:hAnsi="Arial" w:cs="Arial"/>
          <w:sz w:val="24"/>
          <w:szCs w:val="24"/>
        </w:rPr>
      </w:pPr>
      <w:r w:rsidRPr="007D5822">
        <w:rPr>
          <w:rFonts w:ascii="Arial" w:hAnsi="Arial" w:cs="Arial"/>
          <w:sz w:val="24"/>
          <w:szCs w:val="24"/>
        </w:rPr>
        <w:t>Además mostraremos que porcentaje del total de las mediciones corresponde a los rangos de relación porcentual determinados  en cada gráfica, según los resultados para cada uno de la banda de frecuencia analizadas con respectivos procedimientos de medición.</w:t>
      </w:r>
    </w:p>
    <w:p w:rsidR="0025315F" w:rsidRPr="007D5822" w:rsidRDefault="0025315F" w:rsidP="0025315F">
      <w:pPr>
        <w:pStyle w:val="ListParagraph"/>
        <w:spacing w:line="360" w:lineRule="auto"/>
        <w:ind w:hanging="992"/>
        <w:jc w:val="both"/>
        <w:rPr>
          <w:rFonts w:ascii="Arial" w:hAnsi="Arial" w:cs="Arial"/>
          <w:b/>
          <w:sz w:val="24"/>
          <w:szCs w:val="24"/>
        </w:rPr>
      </w:pPr>
      <w:r w:rsidRPr="007D5822">
        <w:rPr>
          <w:rFonts w:ascii="Arial" w:hAnsi="Arial" w:cs="Arial"/>
          <w:b/>
          <w:sz w:val="24"/>
          <w:szCs w:val="24"/>
        </w:rPr>
        <w:tab/>
      </w:r>
      <w:r w:rsidRPr="007D5822">
        <w:rPr>
          <w:rFonts w:ascii="Arial" w:hAnsi="Arial" w:cs="Arial"/>
          <w:b/>
          <w:sz w:val="24"/>
          <w:szCs w:val="24"/>
        </w:rPr>
        <w:tab/>
      </w:r>
    </w:p>
    <w:p w:rsidR="0025315F" w:rsidRPr="007D5822" w:rsidRDefault="0025315F" w:rsidP="0025315F">
      <w:pPr>
        <w:pStyle w:val="ListParagraph"/>
        <w:numPr>
          <w:ilvl w:val="3"/>
          <w:numId w:val="16"/>
        </w:numPr>
        <w:spacing w:line="360" w:lineRule="auto"/>
        <w:ind w:left="2127" w:hanging="851"/>
        <w:jc w:val="both"/>
        <w:rPr>
          <w:rFonts w:ascii="Arial" w:hAnsi="Arial" w:cs="Arial"/>
          <w:b/>
          <w:sz w:val="24"/>
          <w:szCs w:val="24"/>
        </w:rPr>
      </w:pPr>
      <w:r w:rsidRPr="007D5822">
        <w:rPr>
          <w:rFonts w:ascii="Arial" w:hAnsi="Arial" w:cs="Arial"/>
          <w:b/>
          <w:sz w:val="24"/>
          <w:szCs w:val="24"/>
        </w:rPr>
        <w:t>Ilustración Porcentual  para mediciones de Telefonía Móvil</w:t>
      </w:r>
    </w:p>
    <w:p w:rsidR="0025315F" w:rsidRDefault="0025315F" w:rsidP="0025315F">
      <w:pPr>
        <w:pStyle w:val="ListParagraph"/>
        <w:spacing w:line="360" w:lineRule="auto"/>
        <w:ind w:left="2160"/>
        <w:jc w:val="both"/>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Antes de mostrar las referencias porcentuales  mostraremos  figuras donde se muestra los valores obtenidos de las mediciones en las bandas 869-880 MHz y 890 a 891.5 MHz de Porta y las bandas de 880-890 MHz y 891,5 a 894 MHz, de cada procedimiento y con cada uno de su límites de valores de intensidad de campo respectivos.</w:t>
      </w: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Seguido se muestran las figuras correspondientes a la visualización de los valores de E [V/m] de las mediciones realizadas en las bandas de frecuencias de 869 a 880 MHz y de 890 a 891,5 MHz con el procedimiento de medición 1, en comparación a los límites correspondientes.</w:t>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3872887" cy="2655396"/>
            <wp:effectExtent l="11812" t="5889" r="4676" b="0"/>
            <wp:docPr id="14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25315F" w:rsidRPr="006266E8" w:rsidRDefault="0025315F" w:rsidP="0025315F">
      <w:pPr>
        <w:pStyle w:val="ListParagraph"/>
        <w:spacing w:line="360" w:lineRule="auto"/>
        <w:ind w:left="2160"/>
        <w:jc w:val="center"/>
        <w:rPr>
          <w:rFonts w:ascii="Arial" w:hAnsi="Arial" w:cs="Arial"/>
          <w:b/>
          <w:bCs/>
          <w:sz w:val="24"/>
          <w:szCs w:val="24"/>
        </w:rPr>
      </w:pPr>
      <w:r w:rsidRPr="00112B14">
        <w:rPr>
          <w:rFonts w:ascii="Arial" w:hAnsi="Arial" w:cs="Arial"/>
          <w:b/>
          <w:sz w:val="24"/>
          <w:szCs w:val="24"/>
        </w:rPr>
        <w:t>Figura 4.</w:t>
      </w:r>
      <w:r>
        <w:rPr>
          <w:rFonts w:ascii="Arial" w:hAnsi="Arial" w:cs="Arial"/>
          <w:b/>
          <w:sz w:val="24"/>
          <w:szCs w:val="24"/>
        </w:rPr>
        <w:t>24</w:t>
      </w:r>
      <w:r w:rsidRPr="00112B14">
        <w:rPr>
          <w:rFonts w:ascii="Arial" w:hAnsi="Arial" w:cs="Arial"/>
          <w:b/>
          <w:sz w:val="24"/>
          <w:szCs w:val="24"/>
        </w:rPr>
        <w:t xml:space="preserve"> </w:t>
      </w:r>
      <w:r w:rsidRPr="00112B14">
        <w:rPr>
          <w:rFonts w:ascii="Arial" w:hAnsi="Arial" w:cs="Arial"/>
          <w:b/>
          <w:bCs/>
          <w:sz w:val="24"/>
          <w:szCs w:val="24"/>
        </w:rPr>
        <w:t xml:space="preserve">Límite Vs. Valores de las mediciones realizadas Banda  869-880 MHz con </w:t>
      </w:r>
      <w:r>
        <w:rPr>
          <w:rFonts w:ascii="Arial" w:hAnsi="Arial" w:cs="Arial"/>
          <w:b/>
          <w:bCs/>
          <w:sz w:val="24"/>
          <w:szCs w:val="24"/>
        </w:rPr>
        <w:t>el p</w:t>
      </w:r>
      <w:r w:rsidRPr="00112B14">
        <w:rPr>
          <w:rFonts w:ascii="Arial" w:hAnsi="Arial" w:cs="Arial"/>
          <w:b/>
          <w:bCs/>
          <w:sz w:val="24"/>
          <w:szCs w:val="24"/>
        </w:rPr>
        <w:t>rocedimiento de medición 1</w:t>
      </w:r>
      <w:r>
        <w:rPr>
          <w:rFonts w:ascii="Arial" w:hAnsi="Arial" w:cs="Arial"/>
          <w:b/>
          <w:bCs/>
          <w:sz w:val="24"/>
          <w:szCs w:val="24"/>
        </w:rPr>
        <w:t xml:space="preserve">. </w:t>
      </w:r>
      <w:r w:rsidRPr="00ED5F47">
        <w:rPr>
          <w:rStyle w:val="FootnoteReference"/>
          <w:rFonts w:ascii="Arial" w:hAnsi="Arial" w:cs="Arial"/>
          <w:b/>
          <w:sz w:val="24"/>
          <w:szCs w:val="24"/>
        </w:rPr>
        <w:footnoteReference w:id="95"/>
      </w:r>
    </w:p>
    <w:p w:rsidR="0025315F" w:rsidRDefault="0025315F" w:rsidP="0025315F">
      <w:pPr>
        <w:pStyle w:val="ListParagraph"/>
        <w:spacing w:line="360" w:lineRule="auto"/>
        <w:ind w:left="2160"/>
        <w:jc w:val="center"/>
        <w:rPr>
          <w:rFonts w:ascii="Arial" w:hAnsi="Arial" w:cs="Arial"/>
          <w:b/>
          <w:bCs/>
          <w:sz w:val="24"/>
          <w:szCs w:val="24"/>
        </w:rPr>
      </w:pPr>
    </w:p>
    <w:p w:rsidR="0025315F" w:rsidRDefault="0025315F" w:rsidP="0025315F">
      <w:pPr>
        <w:pStyle w:val="ListParagraph"/>
        <w:spacing w:line="360" w:lineRule="auto"/>
        <w:ind w:left="2160"/>
        <w:jc w:val="both"/>
        <w:rPr>
          <w:rFonts w:ascii="Arial" w:hAnsi="Arial" w:cs="Arial"/>
          <w:bCs/>
          <w:sz w:val="24"/>
          <w:szCs w:val="24"/>
        </w:rPr>
      </w:pPr>
      <w:r>
        <w:rPr>
          <w:rFonts w:ascii="Arial" w:hAnsi="Arial" w:cs="Arial"/>
          <w:bCs/>
          <w:sz w:val="24"/>
          <w:szCs w:val="24"/>
        </w:rPr>
        <w:t>De la figura 4.24 tenemos que la media de los valores de intensidad de campo eléctrico de las mediciones en la banda de frecuencia de 869-880 MHz con el procedimiento de medición 1, es de 0,391 V/m con una desviación estándar de ± 0,062 V/m.</w:t>
      </w:r>
    </w:p>
    <w:p w:rsidR="0025315F" w:rsidRDefault="0025315F" w:rsidP="0025315F">
      <w:pPr>
        <w:pStyle w:val="ListParagraph"/>
        <w:spacing w:line="360" w:lineRule="auto"/>
        <w:ind w:left="2160"/>
        <w:jc w:val="both"/>
        <w:rPr>
          <w:rFonts w:ascii="Arial" w:hAnsi="Arial" w:cs="Arial"/>
          <w:bCs/>
          <w:sz w:val="24"/>
          <w:szCs w:val="24"/>
        </w:rPr>
      </w:pPr>
    </w:p>
    <w:p w:rsidR="0025315F" w:rsidRPr="00EA43BC" w:rsidRDefault="0025315F" w:rsidP="0025315F">
      <w:pPr>
        <w:pStyle w:val="ListParagraph"/>
        <w:spacing w:line="360" w:lineRule="auto"/>
        <w:ind w:left="2160"/>
        <w:jc w:val="both"/>
        <w:rPr>
          <w:rFonts w:ascii="Arial" w:hAnsi="Arial" w:cs="Arial"/>
          <w:bCs/>
          <w:sz w:val="24"/>
          <w:szCs w:val="24"/>
        </w:rPr>
      </w:pPr>
      <w:r>
        <w:rPr>
          <w:rFonts w:ascii="Arial" w:hAnsi="Arial" w:cs="Arial"/>
          <w:bCs/>
          <w:sz w:val="24"/>
          <w:szCs w:val="24"/>
        </w:rPr>
        <w:t xml:space="preserve">Para las mediciones 890-891,5 MHz con el procedimiento de medición 1, encontramos que la media de los valores de intensidad de campo eléctrico es de 0,048 V/m con una desviación estándar de ± 0,007 V/m. </w:t>
      </w:r>
    </w:p>
    <w:p w:rsidR="0025315F" w:rsidRDefault="0025315F" w:rsidP="0025315F">
      <w:pPr>
        <w:pStyle w:val="ListParagraph"/>
        <w:spacing w:line="360" w:lineRule="auto"/>
        <w:ind w:left="2160"/>
        <w:jc w:val="center"/>
        <w:rPr>
          <w:rFonts w:ascii="Arial" w:hAnsi="Arial" w:cs="Arial"/>
          <w:b/>
          <w:sz w:val="24"/>
          <w:szCs w:val="24"/>
        </w:rPr>
      </w:pPr>
      <w:r>
        <w:rPr>
          <w:rFonts w:ascii="Arial" w:hAnsi="Arial" w:cs="Arial"/>
          <w:b/>
          <w:noProof/>
          <w:sz w:val="24"/>
          <w:szCs w:val="24"/>
          <w:lang w:eastAsia="es-ES"/>
        </w:rPr>
        <w:lastRenderedPageBreak/>
        <w:drawing>
          <wp:inline distT="0" distB="0" distL="0" distR="0">
            <wp:extent cx="4023855" cy="2928259"/>
            <wp:effectExtent l="12202" t="6076" r="3813" b="0"/>
            <wp:docPr id="14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25315F" w:rsidRDefault="0025315F" w:rsidP="0025315F">
      <w:pPr>
        <w:pStyle w:val="ListParagraph"/>
        <w:spacing w:line="360" w:lineRule="auto"/>
        <w:ind w:left="2160"/>
        <w:jc w:val="center"/>
        <w:rPr>
          <w:rFonts w:ascii="Arial" w:hAnsi="Arial" w:cs="Arial"/>
          <w:b/>
          <w:sz w:val="24"/>
          <w:szCs w:val="24"/>
        </w:rPr>
      </w:pPr>
    </w:p>
    <w:p w:rsidR="0025315F" w:rsidRPr="006266E8" w:rsidRDefault="0025315F" w:rsidP="0025315F">
      <w:pPr>
        <w:pStyle w:val="ListParagraph"/>
        <w:spacing w:line="360" w:lineRule="auto"/>
        <w:ind w:left="2160"/>
        <w:jc w:val="center"/>
        <w:rPr>
          <w:rFonts w:ascii="Arial" w:hAnsi="Arial" w:cs="Arial"/>
          <w:b/>
          <w:sz w:val="24"/>
          <w:szCs w:val="24"/>
        </w:rPr>
      </w:pPr>
      <w:r>
        <w:rPr>
          <w:rFonts w:ascii="Arial" w:hAnsi="Arial" w:cs="Arial"/>
          <w:b/>
          <w:sz w:val="24"/>
          <w:szCs w:val="24"/>
        </w:rPr>
        <w:t>Figura 4.25</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Banda  890</w:t>
      </w:r>
      <w:r w:rsidRPr="006266E8">
        <w:rPr>
          <w:rFonts w:ascii="Arial" w:hAnsi="Arial" w:cs="Arial"/>
          <w:b/>
          <w:bCs/>
          <w:sz w:val="24"/>
          <w:szCs w:val="24"/>
        </w:rPr>
        <w:t xml:space="preserve">-891,5 MHz con </w:t>
      </w:r>
      <w:r>
        <w:rPr>
          <w:rFonts w:ascii="Arial" w:hAnsi="Arial" w:cs="Arial"/>
          <w:b/>
          <w:bCs/>
          <w:sz w:val="24"/>
          <w:szCs w:val="24"/>
        </w:rPr>
        <w:t>el p</w:t>
      </w:r>
      <w:r w:rsidRPr="006266E8">
        <w:rPr>
          <w:rFonts w:ascii="Arial" w:hAnsi="Arial" w:cs="Arial"/>
          <w:b/>
          <w:bCs/>
          <w:sz w:val="24"/>
          <w:szCs w:val="24"/>
        </w:rPr>
        <w:t>rocedimiento de medición 1</w:t>
      </w:r>
      <w:r>
        <w:rPr>
          <w:rFonts w:ascii="Arial" w:hAnsi="Arial" w:cs="Arial"/>
          <w:b/>
          <w:bCs/>
          <w:sz w:val="24"/>
          <w:szCs w:val="24"/>
        </w:rPr>
        <w:t xml:space="preserve">. </w:t>
      </w:r>
      <w:r w:rsidRPr="00ED5F47">
        <w:rPr>
          <w:rStyle w:val="FootnoteReference"/>
          <w:rFonts w:ascii="Arial" w:hAnsi="Arial" w:cs="Arial"/>
          <w:b/>
          <w:sz w:val="24"/>
          <w:szCs w:val="24"/>
        </w:rPr>
        <w:footnoteReference w:id="96"/>
      </w:r>
    </w:p>
    <w:p w:rsidR="0025315F" w:rsidRPr="00112B14"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En las figuras 4.24 y 4.25 se denota que los valores obtenidos de las mediciones de las bandas de frecuencia analizadas, están por debajo de los valores </w:t>
      </w:r>
      <w:r w:rsidRPr="006266E8">
        <w:rPr>
          <w:rFonts w:ascii="Arial" w:hAnsi="Arial" w:cs="Arial"/>
          <w:sz w:val="24"/>
          <w:szCs w:val="24"/>
        </w:rPr>
        <w:t>límites de establecidos por ICNIRP.</w:t>
      </w:r>
      <w:r>
        <w:rPr>
          <w:rFonts w:ascii="Arial" w:hAnsi="Arial" w:cs="Arial"/>
          <w:sz w:val="24"/>
          <w:szCs w:val="24"/>
        </w:rPr>
        <w:t xml:space="preserve"> </w:t>
      </w:r>
    </w:p>
    <w:p w:rsidR="0025315F" w:rsidRPr="006266E8"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995809" cy="3405760"/>
            <wp:effectExtent l="12186" t="6095" r="4570" b="0"/>
            <wp:docPr id="14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25315F" w:rsidRPr="00AB45FC"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Figura 4.26</w:t>
      </w:r>
      <w:r w:rsidRPr="00AB45FC">
        <w:rPr>
          <w:rFonts w:ascii="Arial" w:hAnsi="Arial" w:cs="Arial"/>
          <w:b/>
          <w:sz w:val="24"/>
          <w:szCs w:val="24"/>
        </w:rPr>
        <w:t xml:space="preserve"> </w:t>
      </w:r>
      <w:r>
        <w:rPr>
          <w:rFonts w:ascii="Arial" w:hAnsi="Arial" w:cs="Arial"/>
          <w:b/>
          <w:bCs/>
          <w:iCs/>
          <w:sz w:val="24"/>
          <w:szCs w:val="24"/>
        </w:rPr>
        <w:t xml:space="preserve">Número </w:t>
      </w:r>
      <w:r w:rsidRPr="00AB45FC">
        <w:rPr>
          <w:rFonts w:ascii="Arial" w:hAnsi="Arial" w:cs="Arial"/>
          <w:b/>
          <w:bCs/>
          <w:iCs/>
          <w:sz w:val="24"/>
          <w:szCs w:val="24"/>
        </w:rPr>
        <w:t>de Mediciones por Rango de Relación Porcentual al Nivel de Referencia. Telefonía Móvil PORTA Procedimiento Medición 1</w:t>
      </w:r>
      <w:r w:rsidRPr="00AB45FC">
        <w:rPr>
          <w:rFonts w:ascii="Arial" w:hAnsi="Arial" w:cs="Arial"/>
          <w:b/>
          <w:sz w:val="24"/>
          <w:szCs w:val="24"/>
        </w:rPr>
        <w:t>.</w:t>
      </w:r>
      <w:r w:rsidRPr="00ED5F47">
        <w:rPr>
          <w:rStyle w:val="FootnoteReference"/>
          <w:rFonts w:ascii="Arial" w:hAnsi="Arial" w:cs="Arial"/>
          <w:b/>
          <w:sz w:val="24"/>
          <w:szCs w:val="24"/>
        </w:rPr>
        <w:footnoteReference w:id="97"/>
      </w:r>
    </w:p>
    <w:p w:rsidR="0025315F" w:rsidRPr="00AB45FC" w:rsidRDefault="0025315F" w:rsidP="0025315F">
      <w:pPr>
        <w:pStyle w:val="ListParagraph"/>
        <w:spacing w:line="360" w:lineRule="auto"/>
        <w:ind w:left="2127"/>
        <w:jc w:val="center"/>
        <w:rPr>
          <w:rFonts w:ascii="Arial" w:hAnsi="Arial" w:cs="Arial"/>
          <w:b/>
          <w:bCs/>
          <w:sz w:val="24"/>
          <w:szCs w:val="24"/>
        </w:rPr>
      </w:pPr>
    </w:p>
    <w:p w:rsidR="0025315F" w:rsidRDefault="0025315F" w:rsidP="0025315F">
      <w:pPr>
        <w:pStyle w:val="ListParagraph"/>
        <w:spacing w:line="360" w:lineRule="auto"/>
        <w:ind w:left="2127"/>
        <w:rPr>
          <w:rFonts w:ascii="Arial" w:hAnsi="Arial" w:cs="Arial"/>
          <w:sz w:val="24"/>
          <w:szCs w:val="24"/>
        </w:rPr>
      </w:pPr>
    </w:p>
    <w:p w:rsidR="0025315F" w:rsidRPr="00AB45FC" w:rsidRDefault="0025315F" w:rsidP="0025315F">
      <w:pPr>
        <w:pStyle w:val="ListParagraph"/>
        <w:spacing w:line="360" w:lineRule="auto"/>
        <w:ind w:left="2127"/>
        <w:rPr>
          <w:rFonts w:ascii="Arial" w:hAnsi="Arial" w:cs="Arial"/>
          <w:sz w:val="24"/>
          <w:szCs w:val="24"/>
        </w:rPr>
      </w:pPr>
      <w:r>
        <w:rPr>
          <w:rFonts w:ascii="Arial" w:hAnsi="Arial" w:cs="Arial"/>
          <w:sz w:val="24"/>
          <w:szCs w:val="24"/>
        </w:rPr>
        <w:t xml:space="preserve"> De la figura  4.26  tenemos que la mayor concentración de las mediciones el 40.28% tiene una relación porcentual por debajo del 0.05% de los límites establecidos.</w:t>
      </w:r>
    </w:p>
    <w:p w:rsidR="0025315F" w:rsidRPr="008C2CBF" w:rsidRDefault="0025315F" w:rsidP="0025315F">
      <w:pPr>
        <w:pStyle w:val="ListParagraph"/>
        <w:spacing w:line="360" w:lineRule="auto"/>
        <w:ind w:left="2127"/>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Igualmente denota que el 100% de las mediciones realizadas con el procedimiento 1 de telefonía móvil   en la banda de 800 MHz de la operadora Porta, están por </w:t>
      </w:r>
      <w:r>
        <w:rPr>
          <w:rFonts w:ascii="Arial" w:hAnsi="Arial" w:cs="Arial"/>
          <w:sz w:val="24"/>
          <w:szCs w:val="24"/>
        </w:rPr>
        <w:lastRenderedPageBreak/>
        <w:t>debajo del 1% de los límites de referencia correspondientes.</w:t>
      </w:r>
    </w:p>
    <w:p w:rsidR="0025315F" w:rsidRDefault="0025315F" w:rsidP="0025315F">
      <w:pPr>
        <w:pStyle w:val="ListParagraph"/>
        <w:spacing w:line="360" w:lineRule="auto"/>
        <w:ind w:left="2160"/>
        <w:jc w:val="center"/>
        <w:rPr>
          <w:rFonts w:ascii="Arial" w:hAnsi="Arial" w:cs="Arial"/>
          <w:b/>
          <w:bCs/>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A continuación mostramos la visualización de los valores de E [V/m] de las mediciones en las bandas de frecuencias de 860 a 880 MHz y de 890 a 891,5 MHz con el procedimiento de medición 2, en comparación a los límites respectivos.</w:t>
      </w:r>
    </w:p>
    <w:p w:rsidR="0025315F" w:rsidRDefault="0025315F" w:rsidP="0025315F">
      <w:pPr>
        <w:pStyle w:val="ListParagraph"/>
        <w:spacing w:line="360" w:lineRule="auto"/>
        <w:ind w:left="2160"/>
        <w:rPr>
          <w:rFonts w:ascii="Arial" w:hAnsi="Arial" w:cs="Arial"/>
          <w:bCs/>
          <w:sz w:val="24"/>
          <w:szCs w:val="24"/>
        </w:rPr>
      </w:pPr>
    </w:p>
    <w:p w:rsidR="0025315F" w:rsidRDefault="0025315F" w:rsidP="0025315F">
      <w:pPr>
        <w:pStyle w:val="ListParagraph"/>
        <w:spacing w:line="360" w:lineRule="auto"/>
        <w:ind w:left="2160"/>
        <w:rPr>
          <w:rFonts w:ascii="Arial" w:hAnsi="Arial" w:cs="Arial"/>
          <w:bCs/>
          <w:sz w:val="24"/>
          <w:szCs w:val="24"/>
        </w:rPr>
      </w:pPr>
      <w:r>
        <w:rPr>
          <w:rFonts w:ascii="Arial" w:hAnsi="Arial" w:cs="Arial"/>
          <w:noProof/>
          <w:sz w:val="24"/>
          <w:szCs w:val="24"/>
          <w:lang w:eastAsia="es-ES"/>
        </w:rPr>
        <w:drawing>
          <wp:inline distT="0" distB="0" distL="0" distR="0">
            <wp:extent cx="3841857" cy="3090931"/>
            <wp:effectExtent l="12204" t="6092" r="8009" b="1142"/>
            <wp:docPr id="14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rsidR="0025315F"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4.27</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en la banda  869-890</w:t>
      </w:r>
      <w:r w:rsidRPr="006266E8">
        <w:rPr>
          <w:rFonts w:ascii="Arial" w:hAnsi="Arial" w:cs="Arial"/>
          <w:b/>
          <w:bCs/>
          <w:sz w:val="24"/>
          <w:szCs w:val="24"/>
        </w:rPr>
        <w:t xml:space="preserve"> MHz con </w:t>
      </w:r>
      <w:r>
        <w:rPr>
          <w:rFonts w:ascii="Arial" w:hAnsi="Arial" w:cs="Arial"/>
          <w:b/>
          <w:bCs/>
          <w:sz w:val="24"/>
          <w:szCs w:val="24"/>
        </w:rPr>
        <w:t xml:space="preserve">el procedimiento de medición 2. </w:t>
      </w:r>
      <w:r w:rsidRPr="00ED5F47">
        <w:rPr>
          <w:rStyle w:val="FootnoteReference"/>
          <w:rFonts w:ascii="Arial" w:hAnsi="Arial" w:cs="Arial"/>
          <w:b/>
          <w:sz w:val="24"/>
          <w:szCs w:val="24"/>
        </w:rPr>
        <w:footnoteReference w:id="98"/>
      </w:r>
    </w:p>
    <w:p w:rsidR="0025315F" w:rsidRPr="006266E8"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rPr>
          <w:rFonts w:ascii="Arial" w:hAnsi="Arial" w:cs="Arial"/>
          <w:bCs/>
          <w:sz w:val="24"/>
          <w:szCs w:val="24"/>
        </w:rPr>
      </w:pPr>
      <w:r>
        <w:rPr>
          <w:rFonts w:ascii="Arial" w:hAnsi="Arial" w:cs="Arial"/>
          <w:bCs/>
          <w:sz w:val="24"/>
          <w:szCs w:val="24"/>
        </w:rPr>
        <w:t xml:space="preserve"> De los valores de intensidad de campo eléctrico de las mediciones realizadas con el procedimiento de medición </w:t>
      </w:r>
      <w:r>
        <w:rPr>
          <w:rFonts w:ascii="Arial" w:hAnsi="Arial" w:cs="Arial"/>
          <w:bCs/>
          <w:sz w:val="24"/>
          <w:szCs w:val="24"/>
        </w:rPr>
        <w:lastRenderedPageBreak/>
        <w:t>dos del espectro de 869 a 890 MHZ, tenemos que la media de los mismos es de 0,610 V/m con desviación estándar de ± 0,099 V/m.</w:t>
      </w:r>
    </w:p>
    <w:p w:rsidR="0025315F" w:rsidRDefault="0025315F" w:rsidP="0025315F">
      <w:pPr>
        <w:pStyle w:val="ListParagraph"/>
        <w:spacing w:line="360" w:lineRule="auto"/>
        <w:ind w:left="2160"/>
        <w:rPr>
          <w:rFonts w:ascii="Arial" w:hAnsi="Arial" w:cs="Arial"/>
          <w:bCs/>
          <w:sz w:val="24"/>
          <w:szCs w:val="24"/>
        </w:rPr>
      </w:pPr>
    </w:p>
    <w:p w:rsidR="0025315F" w:rsidRDefault="0025315F" w:rsidP="0025315F">
      <w:pPr>
        <w:pStyle w:val="ListParagraph"/>
        <w:spacing w:line="360" w:lineRule="auto"/>
        <w:ind w:left="2160"/>
        <w:rPr>
          <w:rFonts w:ascii="Arial" w:hAnsi="Arial" w:cs="Arial"/>
          <w:bCs/>
          <w:sz w:val="24"/>
          <w:szCs w:val="24"/>
        </w:rPr>
      </w:pPr>
      <w:r>
        <w:rPr>
          <w:rFonts w:ascii="Arial" w:hAnsi="Arial" w:cs="Arial"/>
          <w:noProof/>
          <w:sz w:val="24"/>
          <w:szCs w:val="24"/>
          <w:lang w:eastAsia="es-ES"/>
        </w:rPr>
        <w:drawing>
          <wp:inline distT="0" distB="0" distL="0" distR="0">
            <wp:extent cx="3816429" cy="2708257"/>
            <wp:effectExtent l="12224" t="6110" r="6112" b="1528"/>
            <wp:docPr id="139"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rsidR="0025315F" w:rsidRDefault="0025315F" w:rsidP="0025315F">
      <w:pPr>
        <w:pStyle w:val="ListParagraph"/>
        <w:spacing w:line="360" w:lineRule="auto"/>
        <w:ind w:left="2160"/>
        <w:jc w:val="both"/>
        <w:rPr>
          <w:rFonts w:ascii="Arial" w:hAnsi="Arial" w:cs="Arial"/>
          <w:bCs/>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4.28</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en la banda de 890-891,5</w:t>
      </w:r>
      <w:r w:rsidRPr="006266E8">
        <w:rPr>
          <w:rFonts w:ascii="Arial" w:hAnsi="Arial" w:cs="Arial"/>
          <w:b/>
          <w:bCs/>
          <w:sz w:val="24"/>
          <w:szCs w:val="24"/>
        </w:rPr>
        <w:t xml:space="preserve"> MHz con </w:t>
      </w:r>
      <w:r>
        <w:rPr>
          <w:rFonts w:ascii="Arial" w:hAnsi="Arial" w:cs="Arial"/>
          <w:b/>
          <w:bCs/>
          <w:sz w:val="24"/>
          <w:szCs w:val="24"/>
        </w:rPr>
        <w:t xml:space="preserve">el procedimiento de medición 2. </w:t>
      </w:r>
      <w:r w:rsidRPr="00ED5F47">
        <w:rPr>
          <w:rStyle w:val="FootnoteReference"/>
          <w:rFonts w:ascii="Arial" w:hAnsi="Arial" w:cs="Arial"/>
          <w:b/>
          <w:sz w:val="24"/>
          <w:szCs w:val="24"/>
        </w:rPr>
        <w:footnoteReference w:id="99"/>
      </w:r>
    </w:p>
    <w:p w:rsidR="0025315F" w:rsidRPr="006266E8"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Para las mediciones efectuadas con el procedimiento de medición 2 en la banda de 890-891,5 MHz, se halló que la media es de 0,079 V/m con una desviación estándar de 0,019 V/m.</w:t>
      </w:r>
    </w:p>
    <w:p w:rsidR="0025315F" w:rsidRPr="007D5822"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3708364" cy="2940910"/>
            <wp:effectExtent l="11220" t="5408" r="5961" b="1352"/>
            <wp:docPr id="13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25315F" w:rsidRDefault="0025315F" w:rsidP="0025315F">
      <w:pPr>
        <w:pStyle w:val="ListParagraph"/>
        <w:spacing w:line="360" w:lineRule="auto"/>
        <w:ind w:left="2160"/>
        <w:jc w:val="both"/>
        <w:rPr>
          <w:rFonts w:ascii="Arial" w:hAnsi="Arial" w:cs="Arial"/>
          <w:sz w:val="24"/>
          <w:szCs w:val="24"/>
        </w:rPr>
      </w:pPr>
    </w:p>
    <w:p w:rsidR="0025315F" w:rsidRPr="00AB45FC" w:rsidRDefault="0025315F" w:rsidP="0025315F">
      <w:pPr>
        <w:pStyle w:val="ListParagraph"/>
        <w:spacing w:line="360" w:lineRule="auto"/>
        <w:ind w:left="2127"/>
        <w:jc w:val="center"/>
        <w:rPr>
          <w:rFonts w:ascii="Arial" w:hAnsi="Arial" w:cs="Arial"/>
          <w:b/>
          <w:bCs/>
          <w:sz w:val="24"/>
          <w:szCs w:val="24"/>
        </w:rPr>
      </w:pPr>
      <w:r w:rsidRPr="00ED5F47">
        <w:rPr>
          <w:rFonts w:ascii="Arial" w:hAnsi="Arial" w:cs="Arial"/>
          <w:b/>
          <w:sz w:val="24"/>
          <w:szCs w:val="24"/>
        </w:rPr>
        <w:t>Figura 4.</w:t>
      </w:r>
      <w:r>
        <w:rPr>
          <w:rFonts w:ascii="Arial" w:hAnsi="Arial" w:cs="Arial"/>
          <w:b/>
          <w:sz w:val="24"/>
          <w:szCs w:val="24"/>
        </w:rPr>
        <w:t>29</w:t>
      </w:r>
      <w:r w:rsidRPr="00ED5F47">
        <w:rPr>
          <w:rFonts w:ascii="Arial" w:hAnsi="Arial" w:cs="Arial"/>
          <w:b/>
          <w:sz w:val="24"/>
          <w:szCs w:val="24"/>
        </w:rPr>
        <w:t xml:space="preserve"> </w:t>
      </w:r>
      <w:r>
        <w:rPr>
          <w:rFonts w:ascii="Arial" w:hAnsi="Arial" w:cs="Arial"/>
          <w:b/>
          <w:bCs/>
          <w:iCs/>
          <w:sz w:val="24"/>
          <w:szCs w:val="24"/>
        </w:rPr>
        <w:t>Número</w:t>
      </w:r>
      <w:r w:rsidRPr="00AB45FC">
        <w:rPr>
          <w:rFonts w:ascii="Arial" w:hAnsi="Arial" w:cs="Arial"/>
          <w:b/>
          <w:bCs/>
          <w:iCs/>
          <w:sz w:val="24"/>
          <w:szCs w:val="24"/>
        </w:rPr>
        <w:t xml:space="preserve"> de Mediciones por Rango de Relación Porcentual al Nivel de Referencia. Telefonía Móvil Porta Procedimiento Medición 2</w:t>
      </w:r>
      <w:r w:rsidRPr="00AB45FC">
        <w:rPr>
          <w:rFonts w:ascii="Arial" w:hAnsi="Arial" w:cs="Arial"/>
          <w:b/>
          <w:sz w:val="24"/>
          <w:szCs w:val="24"/>
        </w:rPr>
        <w:t>.</w:t>
      </w:r>
      <w:r w:rsidRPr="00AB45FC">
        <w:rPr>
          <w:rStyle w:val="FootnoteReference"/>
          <w:rFonts w:ascii="Arial" w:hAnsi="Arial" w:cs="Arial"/>
          <w:b/>
          <w:sz w:val="24"/>
          <w:szCs w:val="24"/>
        </w:rPr>
        <w:footnoteReference w:id="100"/>
      </w: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 </w:t>
      </w:r>
    </w:p>
    <w:p w:rsidR="0025315F" w:rsidRPr="00F02FBB"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De la figura 4.29 tenemos igualmente que los valores de las mediciones, realizadas con el procedimiento 2, están por debajo del 2% de los límites referenciales para la banda de 880-890MHz y 891,5-890MHZ concesionada por Movistar para telefonía móvil. </w:t>
      </w:r>
      <w:r w:rsidRPr="00F02FBB">
        <w:rPr>
          <w:rFonts w:ascii="Arial" w:hAnsi="Arial" w:cs="Arial"/>
          <w:sz w:val="24"/>
          <w:szCs w:val="24"/>
        </w:rPr>
        <w:t>También se muestra que la mayor concentración de estas mediciones se encuentran entre un 0,05 a 0,1 de relación porcentual</w:t>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La diferencia entre los resultados con los dos procedimientos de mediciones en la misma banda, no es muy grande ya que aproximadamente el 40% de las mediciones con cada procedimiento tiene una relación </w:t>
      </w:r>
      <w:r>
        <w:rPr>
          <w:rFonts w:ascii="Arial" w:hAnsi="Arial" w:cs="Arial"/>
          <w:sz w:val="24"/>
          <w:szCs w:val="24"/>
        </w:rPr>
        <w:lastRenderedPageBreak/>
        <w:t>porcentual por debajo del 0,05 %, además que en términos generales todas las mediciones efectuadas con el procedimientos de medición uno del espectro concesionado por Porta, están por debajo del 2% de relación porcentual con los límites de referencia, y con el procedimiento de medición dos en los mismos puntos están por debajo del 3%.</w:t>
      </w:r>
    </w:p>
    <w:p w:rsidR="0025315F" w:rsidRDefault="0025315F" w:rsidP="0025315F">
      <w:pPr>
        <w:pStyle w:val="ListParagraph"/>
        <w:spacing w:line="360" w:lineRule="auto"/>
        <w:ind w:left="2127"/>
        <w:jc w:val="both"/>
        <w:rPr>
          <w:rFonts w:ascii="Arial" w:hAnsi="Arial" w:cs="Arial"/>
          <w:sz w:val="24"/>
          <w:szCs w:val="24"/>
        </w:rPr>
      </w:pPr>
    </w:p>
    <w:p w:rsidR="0025315F"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 xml:space="preserve">Seguido se muestran las figuras 4.30 y 4.31 correspondientes a los valores de intensidad de campo eléctrico de las mediciones en las bandas de frecuencias de 880 a 890 MHz y de 891,5 a 894 MHz con el procedimiento de medición 1, en comparación a los límites correspondientes. </w:t>
      </w:r>
    </w:p>
    <w:p w:rsidR="0025315F"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ab/>
      </w:r>
      <w:r>
        <w:rPr>
          <w:rFonts w:ascii="Arial" w:hAnsi="Arial" w:cs="Arial"/>
          <w:noProof/>
          <w:sz w:val="24"/>
          <w:szCs w:val="24"/>
          <w:lang w:eastAsia="es-ES"/>
        </w:rPr>
        <w:drawing>
          <wp:inline distT="0" distB="0" distL="0" distR="0">
            <wp:extent cx="3600099" cy="2641839"/>
            <wp:effectExtent l="10954" t="5362" r="5907" b="749"/>
            <wp:docPr id="13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4.30</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Banda  880</w:t>
      </w:r>
      <w:r w:rsidRPr="006266E8">
        <w:rPr>
          <w:rFonts w:ascii="Arial" w:hAnsi="Arial" w:cs="Arial"/>
          <w:b/>
          <w:bCs/>
          <w:sz w:val="24"/>
          <w:szCs w:val="24"/>
        </w:rPr>
        <w:t>-</w:t>
      </w:r>
      <w:r>
        <w:rPr>
          <w:rFonts w:ascii="Arial" w:hAnsi="Arial" w:cs="Arial"/>
          <w:b/>
          <w:bCs/>
          <w:sz w:val="24"/>
          <w:szCs w:val="24"/>
        </w:rPr>
        <w:t>890</w:t>
      </w:r>
      <w:r w:rsidRPr="006266E8">
        <w:rPr>
          <w:rFonts w:ascii="Arial" w:hAnsi="Arial" w:cs="Arial"/>
          <w:b/>
          <w:bCs/>
          <w:sz w:val="24"/>
          <w:szCs w:val="24"/>
        </w:rPr>
        <w:t xml:space="preserve"> MHz con </w:t>
      </w:r>
      <w:r>
        <w:rPr>
          <w:rFonts w:ascii="Arial" w:hAnsi="Arial" w:cs="Arial"/>
          <w:b/>
          <w:bCs/>
          <w:sz w:val="24"/>
          <w:szCs w:val="24"/>
        </w:rPr>
        <w:t>el p</w:t>
      </w:r>
      <w:r w:rsidRPr="006266E8">
        <w:rPr>
          <w:rFonts w:ascii="Arial" w:hAnsi="Arial" w:cs="Arial"/>
          <w:b/>
          <w:bCs/>
          <w:sz w:val="24"/>
          <w:szCs w:val="24"/>
        </w:rPr>
        <w:t>rocedimiento de medición 1</w:t>
      </w:r>
      <w:r>
        <w:rPr>
          <w:rFonts w:ascii="Arial" w:hAnsi="Arial" w:cs="Arial"/>
          <w:b/>
          <w:bCs/>
          <w:sz w:val="24"/>
          <w:szCs w:val="24"/>
        </w:rPr>
        <w:t xml:space="preserve">. </w:t>
      </w:r>
      <w:r w:rsidRPr="00ED5F47">
        <w:rPr>
          <w:rStyle w:val="FootnoteReference"/>
          <w:rFonts w:ascii="Arial" w:hAnsi="Arial" w:cs="Arial"/>
          <w:b/>
          <w:sz w:val="24"/>
          <w:szCs w:val="24"/>
        </w:rPr>
        <w:footnoteReference w:id="101"/>
      </w:r>
    </w:p>
    <w:p w:rsidR="0025315F" w:rsidRDefault="0025315F" w:rsidP="0025315F">
      <w:pPr>
        <w:pStyle w:val="ListParagraph"/>
        <w:spacing w:line="360" w:lineRule="auto"/>
        <w:ind w:left="2160"/>
        <w:jc w:val="center"/>
        <w:rPr>
          <w:rFonts w:ascii="Arial" w:hAnsi="Arial" w:cs="Arial"/>
          <w:b/>
          <w:bCs/>
          <w:sz w:val="24"/>
          <w:szCs w:val="24"/>
        </w:rPr>
      </w:pPr>
    </w:p>
    <w:p w:rsidR="0025315F" w:rsidRDefault="0025315F" w:rsidP="0025315F">
      <w:pPr>
        <w:pStyle w:val="ListParagraph"/>
        <w:spacing w:line="360" w:lineRule="auto"/>
        <w:ind w:left="2160"/>
        <w:jc w:val="both"/>
        <w:rPr>
          <w:rFonts w:ascii="Arial" w:hAnsi="Arial" w:cs="Arial"/>
          <w:bCs/>
          <w:sz w:val="24"/>
          <w:szCs w:val="24"/>
        </w:rPr>
      </w:pPr>
      <w:r>
        <w:rPr>
          <w:rFonts w:ascii="Arial" w:hAnsi="Arial" w:cs="Arial"/>
          <w:bCs/>
          <w:sz w:val="24"/>
          <w:szCs w:val="24"/>
        </w:rPr>
        <w:t>De los valores obtenidos de las mediciones que se muestran en la figura 4.30 tenemos que, la media de los valores de E es de 0,656 V/m con desviación estándar de 0,0795 V/m.</w:t>
      </w:r>
    </w:p>
    <w:p w:rsidR="0025315F" w:rsidRPr="00EC17A7" w:rsidRDefault="0025315F" w:rsidP="0025315F">
      <w:pPr>
        <w:pStyle w:val="ListParagraph"/>
        <w:spacing w:line="360" w:lineRule="auto"/>
        <w:ind w:left="2160"/>
        <w:jc w:val="both"/>
        <w:rPr>
          <w:rFonts w:ascii="Arial" w:hAnsi="Arial" w:cs="Arial"/>
          <w:bCs/>
          <w:sz w:val="24"/>
          <w:szCs w:val="24"/>
        </w:rPr>
      </w:pPr>
    </w:p>
    <w:p w:rsidR="0025315F" w:rsidRPr="006266E8" w:rsidRDefault="0025315F" w:rsidP="0025315F">
      <w:pPr>
        <w:pStyle w:val="ListParagraph"/>
        <w:spacing w:line="360" w:lineRule="auto"/>
        <w:ind w:left="2160"/>
        <w:jc w:val="center"/>
        <w:rPr>
          <w:rFonts w:ascii="Arial" w:hAnsi="Arial" w:cs="Arial"/>
          <w:b/>
          <w:sz w:val="24"/>
          <w:szCs w:val="24"/>
        </w:rPr>
      </w:pPr>
      <w:r>
        <w:rPr>
          <w:rFonts w:ascii="Arial" w:hAnsi="Arial" w:cs="Arial"/>
          <w:b/>
          <w:noProof/>
          <w:sz w:val="24"/>
          <w:szCs w:val="24"/>
          <w:lang w:eastAsia="es-ES"/>
        </w:rPr>
        <w:drawing>
          <wp:inline distT="0" distB="0" distL="0" distR="0">
            <wp:extent cx="3412055" cy="2792518"/>
            <wp:effectExtent l="10015" t="5292" r="3755" b="0"/>
            <wp:docPr id="13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rsidR="0025315F" w:rsidRDefault="0025315F" w:rsidP="0025315F">
      <w:pPr>
        <w:pStyle w:val="ListParagraph"/>
        <w:spacing w:line="360" w:lineRule="auto"/>
        <w:ind w:left="2127"/>
        <w:rPr>
          <w:rFonts w:ascii="Arial" w:hAnsi="Arial" w:cs="Arial"/>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4.31</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Banda  891,5</w:t>
      </w:r>
      <w:r w:rsidRPr="006266E8">
        <w:rPr>
          <w:rFonts w:ascii="Arial" w:hAnsi="Arial" w:cs="Arial"/>
          <w:b/>
          <w:bCs/>
          <w:sz w:val="24"/>
          <w:szCs w:val="24"/>
        </w:rPr>
        <w:t>-</w:t>
      </w:r>
      <w:r>
        <w:rPr>
          <w:rFonts w:ascii="Arial" w:hAnsi="Arial" w:cs="Arial"/>
          <w:b/>
          <w:bCs/>
          <w:sz w:val="24"/>
          <w:szCs w:val="24"/>
        </w:rPr>
        <w:t>894</w:t>
      </w:r>
      <w:r w:rsidRPr="006266E8">
        <w:rPr>
          <w:rFonts w:ascii="Arial" w:hAnsi="Arial" w:cs="Arial"/>
          <w:b/>
          <w:bCs/>
          <w:sz w:val="24"/>
          <w:szCs w:val="24"/>
        </w:rPr>
        <w:t xml:space="preserve"> MHz con </w:t>
      </w:r>
      <w:r>
        <w:rPr>
          <w:rFonts w:ascii="Arial" w:hAnsi="Arial" w:cs="Arial"/>
          <w:b/>
          <w:bCs/>
          <w:sz w:val="24"/>
          <w:szCs w:val="24"/>
        </w:rPr>
        <w:t>el p</w:t>
      </w:r>
      <w:r w:rsidRPr="006266E8">
        <w:rPr>
          <w:rFonts w:ascii="Arial" w:hAnsi="Arial" w:cs="Arial"/>
          <w:b/>
          <w:bCs/>
          <w:sz w:val="24"/>
          <w:szCs w:val="24"/>
        </w:rPr>
        <w:t>rocedimiento de medición 1</w:t>
      </w:r>
      <w:r>
        <w:rPr>
          <w:rFonts w:ascii="Arial" w:hAnsi="Arial" w:cs="Arial"/>
          <w:b/>
          <w:bCs/>
          <w:sz w:val="24"/>
          <w:szCs w:val="24"/>
        </w:rPr>
        <w:t>.</w:t>
      </w:r>
    </w:p>
    <w:p w:rsidR="0025315F" w:rsidRDefault="0025315F" w:rsidP="0025315F">
      <w:pPr>
        <w:pStyle w:val="ListParagraph"/>
        <w:spacing w:line="360" w:lineRule="auto"/>
        <w:ind w:left="2160"/>
        <w:jc w:val="center"/>
        <w:rPr>
          <w:rFonts w:ascii="Arial" w:hAnsi="Arial" w:cs="Arial"/>
          <w:b/>
          <w:bCs/>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De los valores de E obtenidos de las mediciones correspondientes en lo indicados en la figura 4.31, tenemos que la media es de 0,481 V/m, con desviación estándar de 0,051. </w:t>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Ahora para la banda de frecuencia  de Movistar, tenemos que con el procedimiento de medición 1 de la Figura 4.29, todas las mediciones están por debajo del 3% de </w:t>
      </w:r>
      <w:r>
        <w:rPr>
          <w:rFonts w:ascii="Arial" w:hAnsi="Arial" w:cs="Arial"/>
          <w:sz w:val="24"/>
          <w:szCs w:val="24"/>
        </w:rPr>
        <w:lastRenderedPageBreak/>
        <w:t xml:space="preserve">los límites de referencia, como se muestra a continuación. </w:t>
      </w:r>
    </w:p>
    <w:p w:rsidR="0025315F" w:rsidRDefault="0025315F" w:rsidP="0025315F">
      <w:pPr>
        <w:pStyle w:val="ListParagraph"/>
        <w:spacing w:line="360" w:lineRule="auto"/>
        <w:ind w:left="2160"/>
        <w:jc w:val="center"/>
        <w:rPr>
          <w:rFonts w:ascii="Arial" w:hAnsi="Arial" w:cs="Arial"/>
          <w:b/>
          <w:bCs/>
          <w:sz w:val="24"/>
          <w:szCs w:val="24"/>
        </w:rPr>
      </w:pPr>
    </w:p>
    <w:p w:rsidR="0025315F" w:rsidRPr="007D5822"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drawing>
          <wp:inline distT="0" distB="0" distL="0" distR="0">
            <wp:extent cx="4106181" cy="3405760"/>
            <wp:effectExtent l="12179" t="6095" r="3425" b="0"/>
            <wp:docPr id="13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Figura 4.32</w:t>
      </w:r>
      <w:r w:rsidRPr="00AB45FC">
        <w:rPr>
          <w:rFonts w:ascii="Arial" w:hAnsi="Arial" w:cs="Arial"/>
          <w:b/>
          <w:sz w:val="24"/>
          <w:szCs w:val="24"/>
        </w:rPr>
        <w:t xml:space="preserve"> </w:t>
      </w:r>
      <w:r>
        <w:rPr>
          <w:rFonts w:ascii="Arial" w:hAnsi="Arial" w:cs="Arial"/>
          <w:b/>
          <w:bCs/>
          <w:iCs/>
          <w:sz w:val="24"/>
          <w:szCs w:val="24"/>
        </w:rPr>
        <w:t>Número</w:t>
      </w:r>
      <w:r w:rsidRPr="00AB45FC">
        <w:rPr>
          <w:rFonts w:ascii="Arial" w:hAnsi="Arial" w:cs="Arial"/>
          <w:b/>
          <w:bCs/>
          <w:iCs/>
          <w:sz w:val="24"/>
          <w:szCs w:val="24"/>
        </w:rPr>
        <w:t xml:space="preserve"> de Mediciones por Rango de Relación Porcentual al Nivel de Referencia. Telefonía Móvil Movistar </w:t>
      </w:r>
      <w:r>
        <w:rPr>
          <w:rFonts w:ascii="Arial" w:hAnsi="Arial" w:cs="Arial"/>
          <w:b/>
          <w:bCs/>
          <w:iCs/>
          <w:sz w:val="24"/>
          <w:szCs w:val="24"/>
        </w:rPr>
        <w:t>con p</w:t>
      </w:r>
      <w:r w:rsidRPr="00AB45FC">
        <w:rPr>
          <w:rFonts w:ascii="Arial" w:hAnsi="Arial" w:cs="Arial"/>
          <w:b/>
          <w:bCs/>
          <w:iCs/>
          <w:sz w:val="24"/>
          <w:szCs w:val="24"/>
        </w:rPr>
        <w:t>rocedimiento</w:t>
      </w:r>
      <w:r>
        <w:rPr>
          <w:rFonts w:ascii="Arial" w:hAnsi="Arial" w:cs="Arial"/>
          <w:b/>
          <w:bCs/>
          <w:iCs/>
          <w:sz w:val="24"/>
          <w:szCs w:val="24"/>
        </w:rPr>
        <w:t xml:space="preserve"> de m</w:t>
      </w:r>
      <w:r w:rsidRPr="00AB45FC">
        <w:rPr>
          <w:rFonts w:ascii="Arial" w:hAnsi="Arial" w:cs="Arial"/>
          <w:b/>
          <w:bCs/>
          <w:iCs/>
          <w:sz w:val="24"/>
          <w:szCs w:val="24"/>
        </w:rPr>
        <w:t>edición 1</w:t>
      </w:r>
      <w:r w:rsidRPr="00AB45FC">
        <w:rPr>
          <w:rFonts w:ascii="Arial" w:hAnsi="Arial" w:cs="Arial"/>
          <w:b/>
          <w:sz w:val="24"/>
          <w:szCs w:val="24"/>
        </w:rPr>
        <w:t>.</w:t>
      </w:r>
      <w:r w:rsidRPr="00AB45FC">
        <w:rPr>
          <w:rStyle w:val="FootnoteReference"/>
          <w:rFonts w:ascii="Arial" w:hAnsi="Arial" w:cs="Arial"/>
          <w:b/>
          <w:sz w:val="24"/>
          <w:szCs w:val="24"/>
        </w:rPr>
        <w:footnoteReference w:id="102"/>
      </w:r>
    </w:p>
    <w:p w:rsidR="0025315F" w:rsidRDefault="0025315F" w:rsidP="0025315F">
      <w:pPr>
        <w:pStyle w:val="ListParagraph"/>
        <w:spacing w:line="360" w:lineRule="auto"/>
        <w:ind w:left="2127"/>
        <w:jc w:val="center"/>
        <w:rPr>
          <w:rFonts w:ascii="Arial" w:hAnsi="Arial" w:cs="Arial"/>
          <w:b/>
          <w:bCs/>
          <w:sz w:val="24"/>
          <w:szCs w:val="24"/>
        </w:rPr>
      </w:pPr>
    </w:p>
    <w:p w:rsidR="0025315F" w:rsidRDefault="0025315F" w:rsidP="0025315F">
      <w:pPr>
        <w:pStyle w:val="ListParagraph"/>
        <w:spacing w:line="360" w:lineRule="auto"/>
        <w:ind w:left="2127"/>
        <w:jc w:val="both"/>
        <w:rPr>
          <w:rFonts w:ascii="Arial" w:hAnsi="Arial" w:cs="Arial"/>
          <w:bCs/>
          <w:sz w:val="24"/>
          <w:szCs w:val="24"/>
        </w:rPr>
      </w:pPr>
    </w:p>
    <w:p w:rsidR="0025315F" w:rsidRPr="00AB7A32" w:rsidRDefault="0025315F" w:rsidP="0025315F">
      <w:pPr>
        <w:pStyle w:val="ListParagraph"/>
        <w:spacing w:line="360" w:lineRule="auto"/>
        <w:ind w:left="2127"/>
        <w:jc w:val="both"/>
        <w:rPr>
          <w:rFonts w:ascii="Arial" w:hAnsi="Arial" w:cs="Arial"/>
          <w:bCs/>
          <w:sz w:val="24"/>
          <w:szCs w:val="24"/>
        </w:rPr>
      </w:pPr>
      <w:r>
        <w:rPr>
          <w:rFonts w:ascii="Arial" w:hAnsi="Arial" w:cs="Arial"/>
          <w:bCs/>
          <w:sz w:val="24"/>
          <w:szCs w:val="24"/>
        </w:rPr>
        <w:t xml:space="preserve">Los valores obtenidos de E [V/m] de las mediciones con el procedimiento de medición dos, en las bandas de </w:t>
      </w:r>
      <w:r>
        <w:rPr>
          <w:rFonts w:ascii="Arial" w:hAnsi="Arial" w:cs="Arial"/>
          <w:sz w:val="24"/>
          <w:szCs w:val="24"/>
        </w:rPr>
        <w:t>880 a 890 MHz y de 891,5 a 894 MHz en comparación a los límites correspondientes; se muestran en las gráficas 4.33 y 4.34 respectivamente.</w:t>
      </w:r>
    </w:p>
    <w:p w:rsidR="0025315F" w:rsidRDefault="0025315F" w:rsidP="0025315F">
      <w:pPr>
        <w:pStyle w:val="ListParagraph"/>
        <w:spacing w:line="360" w:lineRule="auto"/>
        <w:ind w:left="2160"/>
        <w:jc w:val="center"/>
        <w:rPr>
          <w:rFonts w:ascii="Arial" w:hAnsi="Arial" w:cs="Arial"/>
          <w:sz w:val="24"/>
          <w:szCs w:val="24"/>
        </w:rPr>
      </w:pPr>
      <w:r>
        <w:rPr>
          <w:rFonts w:ascii="Arial" w:hAnsi="Arial" w:cs="Arial"/>
          <w:noProof/>
          <w:sz w:val="24"/>
          <w:szCs w:val="24"/>
          <w:lang w:eastAsia="es-ES"/>
        </w:rPr>
        <w:lastRenderedPageBreak/>
        <w:drawing>
          <wp:inline distT="0" distB="0" distL="0" distR="0">
            <wp:extent cx="3992382" cy="3241923"/>
            <wp:effectExtent l="12186" t="6102" r="7997" b="0"/>
            <wp:docPr id="134"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p>
    <w:p w:rsidR="0025315F" w:rsidRDefault="0025315F" w:rsidP="0025315F">
      <w:pPr>
        <w:pStyle w:val="ListParagraph"/>
        <w:spacing w:line="360" w:lineRule="auto"/>
        <w:ind w:left="2160"/>
        <w:jc w:val="center"/>
        <w:rPr>
          <w:rFonts w:ascii="Arial" w:hAnsi="Arial" w:cs="Arial"/>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4.33</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en la banda  880</w:t>
      </w:r>
      <w:r w:rsidRPr="006266E8">
        <w:rPr>
          <w:rFonts w:ascii="Arial" w:hAnsi="Arial" w:cs="Arial"/>
          <w:b/>
          <w:bCs/>
          <w:sz w:val="24"/>
          <w:szCs w:val="24"/>
        </w:rPr>
        <w:t>-</w:t>
      </w:r>
      <w:r>
        <w:rPr>
          <w:rFonts w:ascii="Arial" w:hAnsi="Arial" w:cs="Arial"/>
          <w:b/>
          <w:bCs/>
          <w:sz w:val="24"/>
          <w:szCs w:val="24"/>
        </w:rPr>
        <w:t>890</w:t>
      </w:r>
      <w:r w:rsidRPr="006266E8">
        <w:rPr>
          <w:rFonts w:ascii="Arial" w:hAnsi="Arial" w:cs="Arial"/>
          <w:b/>
          <w:bCs/>
          <w:sz w:val="24"/>
          <w:szCs w:val="24"/>
        </w:rPr>
        <w:t xml:space="preserve"> MHz con </w:t>
      </w:r>
      <w:r>
        <w:rPr>
          <w:rFonts w:ascii="Arial" w:hAnsi="Arial" w:cs="Arial"/>
          <w:b/>
          <w:bCs/>
          <w:sz w:val="24"/>
          <w:szCs w:val="24"/>
        </w:rPr>
        <w:t xml:space="preserve">el procedimiento de medición 2. </w:t>
      </w:r>
      <w:r w:rsidRPr="00ED5F47">
        <w:rPr>
          <w:rStyle w:val="FootnoteReference"/>
          <w:rFonts w:ascii="Arial" w:hAnsi="Arial" w:cs="Arial"/>
          <w:b/>
          <w:sz w:val="24"/>
          <w:szCs w:val="24"/>
        </w:rPr>
        <w:footnoteReference w:id="103"/>
      </w:r>
    </w:p>
    <w:p w:rsidR="0025315F" w:rsidRDefault="0025315F" w:rsidP="0025315F">
      <w:pPr>
        <w:pStyle w:val="ListParagraph"/>
        <w:spacing w:line="360" w:lineRule="auto"/>
        <w:ind w:left="2160"/>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De los valores correspondientes a las mediciones indicadas en la figura 4.33, se obtuvo una media de 0,319 V/m con desviación estándar de 0,0507 V/m.</w:t>
      </w:r>
    </w:p>
    <w:p w:rsidR="0025315F" w:rsidRPr="00793B1A" w:rsidRDefault="0025315F" w:rsidP="0025315F">
      <w:pPr>
        <w:pStyle w:val="ListParagraph"/>
        <w:spacing w:line="360" w:lineRule="auto"/>
        <w:ind w:left="2160"/>
        <w:rPr>
          <w:rFonts w:ascii="Arial" w:hAnsi="Arial" w:cs="Arial"/>
          <w:sz w:val="24"/>
          <w:szCs w:val="24"/>
        </w:rPr>
      </w:pPr>
    </w:p>
    <w:p w:rsidR="0025315F" w:rsidRPr="00793B1A" w:rsidRDefault="0025315F" w:rsidP="0025315F">
      <w:pPr>
        <w:pStyle w:val="ListParagraph"/>
        <w:tabs>
          <w:tab w:val="left" w:pos="4962"/>
        </w:tabs>
        <w:spacing w:line="360" w:lineRule="auto"/>
        <w:ind w:left="2160"/>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046110" cy="3269219"/>
            <wp:effectExtent l="12182" t="6111" r="8883" b="0"/>
            <wp:docPr id="133"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p>
    <w:p w:rsidR="0025315F"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4.34</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Banda  891,5</w:t>
      </w:r>
      <w:r w:rsidRPr="006266E8">
        <w:rPr>
          <w:rFonts w:ascii="Arial" w:hAnsi="Arial" w:cs="Arial"/>
          <w:b/>
          <w:bCs/>
          <w:sz w:val="24"/>
          <w:szCs w:val="24"/>
        </w:rPr>
        <w:t>-</w:t>
      </w:r>
      <w:r>
        <w:rPr>
          <w:rFonts w:ascii="Arial" w:hAnsi="Arial" w:cs="Arial"/>
          <w:b/>
          <w:bCs/>
          <w:sz w:val="24"/>
          <w:szCs w:val="24"/>
        </w:rPr>
        <w:t>894</w:t>
      </w:r>
      <w:r w:rsidRPr="006266E8">
        <w:rPr>
          <w:rFonts w:ascii="Arial" w:hAnsi="Arial" w:cs="Arial"/>
          <w:b/>
          <w:bCs/>
          <w:sz w:val="24"/>
          <w:szCs w:val="24"/>
        </w:rPr>
        <w:t xml:space="preserve"> MHz con </w:t>
      </w:r>
      <w:r>
        <w:rPr>
          <w:rFonts w:ascii="Arial" w:hAnsi="Arial" w:cs="Arial"/>
          <w:b/>
          <w:bCs/>
          <w:sz w:val="24"/>
          <w:szCs w:val="24"/>
        </w:rPr>
        <w:t xml:space="preserve">el procedimiento de medición 2. </w:t>
      </w:r>
      <w:r w:rsidRPr="00ED5F47">
        <w:rPr>
          <w:rStyle w:val="FootnoteReference"/>
          <w:rFonts w:ascii="Arial" w:hAnsi="Arial" w:cs="Arial"/>
          <w:b/>
          <w:sz w:val="24"/>
          <w:szCs w:val="24"/>
        </w:rPr>
        <w:footnoteReference w:id="104"/>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60"/>
        <w:jc w:val="both"/>
        <w:rPr>
          <w:rFonts w:ascii="Arial" w:hAnsi="Arial" w:cs="Arial"/>
          <w:bCs/>
          <w:sz w:val="24"/>
          <w:szCs w:val="24"/>
        </w:rPr>
      </w:pPr>
      <w:r w:rsidRPr="00793B1A">
        <w:rPr>
          <w:rFonts w:ascii="Arial" w:hAnsi="Arial" w:cs="Arial"/>
          <w:sz w:val="24"/>
          <w:szCs w:val="24"/>
        </w:rPr>
        <w:t xml:space="preserve">Seguido de los valores obtenidos </w:t>
      </w:r>
      <w:r w:rsidRPr="00793B1A">
        <w:rPr>
          <w:rFonts w:ascii="Arial" w:hAnsi="Arial" w:cs="Arial"/>
          <w:bCs/>
          <w:sz w:val="24"/>
          <w:szCs w:val="24"/>
        </w:rPr>
        <w:t>de las mediciones realizadas Banda  891,5-894 MHz con el procedimiento de medición 2 c</w:t>
      </w:r>
      <w:r>
        <w:rPr>
          <w:rFonts w:ascii="Arial" w:hAnsi="Arial" w:cs="Arial"/>
          <w:bCs/>
          <w:sz w:val="24"/>
          <w:szCs w:val="24"/>
        </w:rPr>
        <w:t>omo se muestra en la figura 4.34</w:t>
      </w:r>
      <w:r w:rsidRPr="00793B1A">
        <w:rPr>
          <w:rFonts w:ascii="Arial" w:hAnsi="Arial" w:cs="Arial"/>
          <w:bCs/>
          <w:sz w:val="24"/>
          <w:szCs w:val="24"/>
        </w:rPr>
        <w:t xml:space="preserve"> tenemos que la media </w:t>
      </w:r>
      <w:r>
        <w:rPr>
          <w:rFonts w:ascii="Arial" w:hAnsi="Arial" w:cs="Arial"/>
          <w:bCs/>
          <w:sz w:val="24"/>
          <w:szCs w:val="24"/>
        </w:rPr>
        <w:t>es de 0,027 V/m con desviación estándar de 0,00353 V/m.</w:t>
      </w:r>
    </w:p>
    <w:p w:rsidR="0025315F" w:rsidRPr="00793B1A" w:rsidRDefault="0025315F" w:rsidP="0025315F">
      <w:pPr>
        <w:pStyle w:val="ListParagraph"/>
        <w:spacing w:line="360" w:lineRule="auto"/>
        <w:ind w:left="2160"/>
        <w:jc w:val="both"/>
        <w:rPr>
          <w:rFonts w:ascii="Arial" w:hAnsi="Arial" w:cs="Arial"/>
          <w:sz w:val="24"/>
          <w:szCs w:val="24"/>
        </w:rPr>
      </w:pPr>
    </w:p>
    <w:p w:rsidR="0025315F" w:rsidRPr="007D5822"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 xml:space="preserve">Correspondientemente para las mediciones realizadas al espectro de Movistar en la banda de 880-890 MHz y 891,5-894 MHz, con el procedimiento de medición 2, </w:t>
      </w:r>
      <w:r>
        <w:rPr>
          <w:rFonts w:ascii="Arial" w:hAnsi="Arial" w:cs="Arial"/>
          <w:sz w:val="24"/>
          <w:szCs w:val="24"/>
        </w:rPr>
        <w:lastRenderedPageBreak/>
        <w:t>todos los valores están por debajo del 0.05% de los límites de referencia como se ve en la Figura 4.35.</w:t>
      </w: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noProof/>
          <w:sz w:val="24"/>
          <w:szCs w:val="24"/>
          <w:lang w:eastAsia="es-ES"/>
        </w:rPr>
        <w:drawing>
          <wp:inline distT="0" distB="0" distL="0" distR="0">
            <wp:extent cx="4170381" cy="3310521"/>
            <wp:effectExtent l="12183" t="6084" r="7166" b="0"/>
            <wp:docPr id="13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p>
    <w:p w:rsidR="0025315F" w:rsidRDefault="0025315F" w:rsidP="0025315F">
      <w:pPr>
        <w:pStyle w:val="ListParagraph"/>
        <w:spacing w:line="360" w:lineRule="auto"/>
        <w:ind w:left="2160"/>
        <w:jc w:val="both"/>
        <w:rPr>
          <w:rFonts w:ascii="Arial" w:hAnsi="Arial" w:cs="Arial"/>
          <w:sz w:val="24"/>
          <w:szCs w:val="24"/>
        </w:rPr>
      </w:pPr>
    </w:p>
    <w:p w:rsidR="0025315F" w:rsidRPr="00AB45FC" w:rsidRDefault="0025315F" w:rsidP="0025315F">
      <w:pPr>
        <w:pStyle w:val="ListParagraph"/>
        <w:spacing w:line="360" w:lineRule="auto"/>
        <w:ind w:left="2127"/>
        <w:jc w:val="center"/>
        <w:rPr>
          <w:rFonts w:ascii="Arial" w:hAnsi="Arial" w:cs="Arial"/>
          <w:b/>
          <w:bCs/>
          <w:sz w:val="24"/>
          <w:szCs w:val="24"/>
        </w:rPr>
      </w:pPr>
      <w:r w:rsidRPr="00AB45FC">
        <w:rPr>
          <w:rFonts w:ascii="Arial" w:hAnsi="Arial" w:cs="Arial"/>
          <w:b/>
          <w:sz w:val="24"/>
          <w:szCs w:val="24"/>
        </w:rPr>
        <w:t>Figura 4.</w:t>
      </w:r>
      <w:r>
        <w:rPr>
          <w:rFonts w:ascii="Arial" w:hAnsi="Arial" w:cs="Arial"/>
          <w:b/>
          <w:sz w:val="24"/>
          <w:szCs w:val="24"/>
        </w:rPr>
        <w:t>35</w:t>
      </w:r>
      <w:r w:rsidRPr="00AB45FC">
        <w:rPr>
          <w:rFonts w:ascii="Arial" w:hAnsi="Arial" w:cs="Arial"/>
          <w:b/>
          <w:sz w:val="24"/>
          <w:szCs w:val="24"/>
        </w:rPr>
        <w:t xml:space="preserve"> </w:t>
      </w:r>
      <w:r w:rsidRPr="00AB45FC">
        <w:rPr>
          <w:rFonts w:ascii="Arial" w:hAnsi="Arial" w:cs="Arial"/>
          <w:b/>
          <w:bCs/>
          <w:iCs/>
          <w:sz w:val="24"/>
          <w:szCs w:val="24"/>
        </w:rPr>
        <w:t>N</w:t>
      </w:r>
      <w:r>
        <w:rPr>
          <w:rFonts w:ascii="Arial" w:hAnsi="Arial" w:cs="Arial"/>
          <w:b/>
          <w:bCs/>
          <w:iCs/>
          <w:sz w:val="24"/>
          <w:szCs w:val="24"/>
        </w:rPr>
        <w:t>úmero</w:t>
      </w:r>
      <w:r w:rsidRPr="00AB45FC">
        <w:rPr>
          <w:rFonts w:ascii="Arial" w:hAnsi="Arial" w:cs="Arial"/>
          <w:b/>
          <w:bCs/>
          <w:iCs/>
          <w:sz w:val="24"/>
          <w:szCs w:val="24"/>
        </w:rPr>
        <w:t xml:space="preserve"> de Mediciones por Rango de Relación Porcentual al Nivel de Referencia. Telefonía Móvil M</w:t>
      </w:r>
      <w:r>
        <w:rPr>
          <w:rFonts w:ascii="Arial" w:hAnsi="Arial" w:cs="Arial"/>
          <w:b/>
          <w:bCs/>
          <w:iCs/>
          <w:sz w:val="24"/>
          <w:szCs w:val="24"/>
        </w:rPr>
        <w:t>ovistar</w:t>
      </w:r>
      <w:r w:rsidRPr="00AB45FC">
        <w:rPr>
          <w:rFonts w:ascii="Arial" w:hAnsi="Arial" w:cs="Arial"/>
          <w:b/>
          <w:bCs/>
          <w:iCs/>
          <w:sz w:val="24"/>
          <w:szCs w:val="24"/>
        </w:rPr>
        <w:t xml:space="preserve"> Procedimiento Medición 2</w:t>
      </w:r>
      <w:r w:rsidRPr="00AB45FC">
        <w:rPr>
          <w:rFonts w:ascii="Arial" w:hAnsi="Arial" w:cs="Arial"/>
          <w:b/>
          <w:sz w:val="24"/>
          <w:szCs w:val="24"/>
        </w:rPr>
        <w:t>.</w:t>
      </w:r>
      <w:r w:rsidRPr="00AB45FC">
        <w:rPr>
          <w:rStyle w:val="FootnoteReference"/>
          <w:rFonts w:ascii="Arial" w:hAnsi="Arial" w:cs="Arial"/>
          <w:b/>
          <w:sz w:val="24"/>
          <w:szCs w:val="24"/>
        </w:rPr>
        <w:footnoteReference w:id="105"/>
      </w:r>
    </w:p>
    <w:p w:rsidR="0025315F" w:rsidRPr="007D5822" w:rsidRDefault="0025315F" w:rsidP="0025315F">
      <w:pPr>
        <w:pStyle w:val="ListParagraph"/>
        <w:spacing w:line="360" w:lineRule="auto"/>
        <w:ind w:left="2160"/>
        <w:jc w:val="both"/>
        <w:rPr>
          <w:rFonts w:ascii="Arial" w:hAnsi="Arial" w:cs="Arial"/>
          <w:sz w:val="24"/>
          <w:szCs w:val="24"/>
        </w:rPr>
      </w:pPr>
    </w:p>
    <w:p w:rsidR="0025315F" w:rsidRPr="007D5822" w:rsidRDefault="0025315F" w:rsidP="0025315F">
      <w:pPr>
        <w:pStyle w:val="ListParagraph"/>
        <w:numPr>
          <w:ilvl w:val="3"/>
          <w:numId w:val="16"/>
        </w:numPr>
        <w:spacing w:line="360" w:lineRule="auto"/>
        <w:ind w:hanging="884"/>
        <w:jc w:val="both"/>
        <w:rPr>
          <w:rFonts w:ascii="Arial" w:hAnsi="Arial" w:cs="Arial"/>
          <w:b/>
          <w:sz w:val="24"/>
          <w:szCs w:val="24"/>
        </w:rPr>
      </w:pPr>
      <w:r w:rsidRPr="007D5822">
        <w:rPr>
          <w:rFonts w:ascii="Arial" w:hAnsi="Arial" w:cs="Arial"/>
          <w:b/>
          <w:sz w:val="24"/>
          <w:szCs w:val="24"/>
        </w:rPr>
        <w:t>Ilustración Porcentual  para mediciones de Redes Wireless LAN</w:t>
      </w:r>
    </w:p>
    <w:p w:rsidR="0025315F" w:rsidRDefault="0025315F" w:rsidP="0025315F">
      <w:pPr>
        <w:pStyle w:val="ListParagraph"/>
        <w:spacing w:line="360" w:lineRule="auto"/>
        <w:ind w:left="2124"/>
        <w:jc w:val="both"/>
        <w:rPr>
          <w:rFonts w:ascii="Arial" w:hAnsi="Arial" w:cs="Arial"/>
          <w:b/>
          <w:sz w:val="24"/>
          <w:szCs w:val="24"/>
        </w:rPr>
      </w:pP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 xml:space="preserve">Para las mediciones de Wireless LAN tenemos que el espectro utilizable para las mismas está en el rango libre de 2.4 GHz a 2.5 GHZ, y según los niveles de referencia  de exposición poblacional de campos eléctrico y </w:t>
      </w:r>
      <w:r>
        <w:rPr>
          <w:rFonts w:ascii="Arial" w:hAnsi="Arial" w:cs="Arial"/>
          <w:sz w:val="24"/>
          <w:szCs w:val="24"/>
        </w:rPr>
        <w:lastRenderedPageBreak/>
        <w:t>magnéticos, para este rango, el límite de intensidad de campo eléctrico es de 61 V/m.</w:t>
      </w: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La visualización de los valores de E [V/m] de las mediciones de la Red Wireless LAN ESPOL con el procedimiento de medición uno,  en comparación al límite de exposición, se muestra en la figura 4.36.</w:t>
      </w:r>
    </w:p>
    <w:p w:rsidR="0025315F" w:rsidRDefault="0025315F" w:rsidP="0025315F">
      <w:pPr>
        <w:spacing w:line="360" w:lineRule="auto"/>
        <w:ind w:left="2124"/>
        <w:jc w:val="both"/>
        <w:rPr>
          <w:rFonts w:ascii="Arial" w:hAnsi="Arial" w:cs="Arial"/>
          <w:sz w:val="24"/>
          <w:szCs w:val="24"/>
        </w:rPr>
      </w:pPr>
      <w:r>
        <w:rPr>
          <w:rFonts w:ascii="Arial" w:hAnsi="Arial" w:cs="Arial"/>
          <w:noProof/>
          <w:sz w:val="24"/>
          <w:szCs w:val="24"/>
          <w:lang w:eastAsia="es-ES"/>
        </w:rPr>
        <w:drawing>
          <wp:inline distT="0" distB="0" distL="0" distR="0">
            <wp:extent cx="4293543" cy="3078108"/>
            <wp:effectExtent l="19050" t="0" r="11757" b="7992"/>
            <wp:docPr id="13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4.36</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ediciones realizadas en la banda  2,</w:t>
      </w:r>
      <w:r w:rsidR="00C37AB2">
        <w:rPr>
          <w:rFonts w:ascii="Arial" w:hAnsi="Arial" w:cs="Arial"/>
          <w:b/>
          <w:bCs/>
          <w:sz w:val="24"/>
          <w:szCs w:val="24"/>
        </w:rPr>
        <w:t>4</w:t>
      </w:r>
      <w:r w:rsidRPr="006266E8">
        <w:rPr>
          <w:rFonts w:ascii="Arial" w:hAnsi="Arial" w:cs="Arial"/>
          <w:b/>
          <w:bCs/>
          <w:sz w:val="24"/>
          <w:szCs w:val="24"/>
        </w:rPr>
        <w:t>-</w:t>
      </w:r>
      <w:r>
        <w:rPr>
          <w:rFonts w:ascii="Arial" w:hAnsi="Arial" w:cs="Arial"/>
          <w:b/>
          <w:bCs/>
          <w:sz w:val="24"/>
          <w:szCs w:val="24"/>
        </w:rPr>
        <w:t>2,</w:t>
      </w:r>
      <w:r w:rsidR="00C37AB2">
        <w:rPr>
          <w:rFonts w:ascii="Arial" w:hAnsi="Arial" w:cs="Arial"/>
          <w:b/>
          <w:bCs/>
          <w:sz w:val="24"/>
          <w:szCs w:val="24"/>
        </w:rPr>
        <w:t>5</w:t>
      </w:r>
      <w:r>
        <w:rPr>
          <w:rFonts w:ascii="Arial" w:hAnsi="Arial" w:cs="Arial"/>
          <w:b/>
          <w:bCs/>
          <w:sz w:val="24"/>
          <w:szCs w:val="24"/>
        </w:rPr>
        <w:t xml:space="preserve"> G</w:t>
      </w:r>
      <w:r w:rsidRPr="006266E8">
        <w:rPr>
          <w:rFonts w:ascii="Arial" w:hAnsi="Arial" w:cs="Arial"/>
          <w:b/>
          <w:bCs/>
          <w:sz w:val="24"/>
          <w:szCs w:val="24"/>
        </w:rPr>
        <w:t xml:space="preserve">Hz con </w:t>
      </w:r>
      <w:r>
        <w:rPr>
          <w:rFonts w:ascii="Arial" w:hAnsi="Arial" w:cs="Arial"/>
          <w:b/>
          <w:bCs/>
          <w:sz w:val="24"/>
          <w:szCs w:val="24"/>
        </w:rPr>
        <w:t xml:space="preserve">el procedimiento de medición 1. </w:t>
      </w:r>
      <w:r w:rsidRPr="00ED5F47">
        <w:rPr>
          <w:rStyle w:val="FootnoteReference"/>
          <w:rFonts w:ascii="Arial" w:hAnsi="Arial" w:cs="Arial"/>
          <w:b/>
          <w:sz w:val="24"/>
          <w:szCs w:val="24"/>
        </w:rPr>
        <w:footnoteReference w:id="106"/>
      </w: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De estos mismos valores mostrados en la Figura 4,36 se obtuvo una media de 0,947 V/m con desviación estándar de 0,147 V/m.</w:t>
      </w: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 xml:space="preserve">Correspondientemente la ilustración porcentual de los valores en las mediciones de WLAN con el procedimiento </w:t>
      </w:r>
      <w:r>
        <w:rPr>
          <w:rFonts w:ascii="Arial" w:hAnsi="Arial" w:cs="Arial"/>
          <w:sz w:val="24"/>
          <w:szCs w:val="24"/>
        </w:rPr>
        <w:lastRenderedPageBreak/>
        <w:t>de medición 1, se muestra que los valores están por debajo al 6% del límite de referencia respectivo, como se muestra en la figura 4.37.</w:t>
      </w:r>
    </w:p>
    <w:p w:rsidR="0025315F" w:rsidRDefault="0025315F" w:rsidP="0025315F">
      <w:pPr>
        <w:pStyle w:val="ListParagraph"/>
        <w:spacing w:line="360" w:lineRule="auto"/>
        <w:ind w:left="2124"/>
        <w:jc w:val="center"/>
        <w:rPr>
          <w:rFonts w:ascii="Arial" w:hAnsi="Arial" w:cs="Arial"/>
          <w:sz w:val="24"/>
          <w:szCs w:val="24"/>
        </w:rPr>
      </w:pPr>
      <w:r>
        <w:rPr>
          <w:rFonts w:ascii="Arial" w:hAnsi="Arial" w:cs="Arial"/>
          <w:noProof/>
          <w:sz w:val="24"/>
          <w:szCs w:val="24"/>
          <w:lang w:eastAsia="es-ES"/>
        </w:rPr>
        <w:drawing>
          <wp:inline distT="0" distB="0" distL="0" distR="0">
            <wp:extent cx="3927618" cy="3405760"/>
            <wp:effectExtent l="19050" t="0" r="15732" b="4190"/>
            <wp:docPr id="10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27"/>
        <w:jc w:val="center"/>
        <w:rPr>
          <w:rFonts w:ascii="Arial" w:hAnsi="Arial" w:cs="Arial"/>
          <w:b/>
          <w:sz w:val="24"/>
          <w:szCs w:val="24"/>
        </w:rPr>
      </w:pPr>
      <w:r>
        <w:rPr>
          <w:rFonts w:ascii="Arial" w:hAnsi="Arial" w:cs="Arial"/>
          <w:b/>
          <w:sz w:val="24"/>
          <w:szCs w:val="24"/>
        </w:rPr>
        <w:t>Figura 4.37</w:t>
      </w:r>
      <w:r w:rsidRPr="00AB45FC">
        <w:rPr>
          <w:rFonts w:ascii="Arial" w:hAnsi="Arial" w:cs="Arial"/>
          <w:b/>
          <w:sz w:val="24"/>
          <w:szCs w:val="24"/>
        </w:rPr>
        <w:t xml:space="preserve"> </w:t>
      </w:r>
      <w:r>
        <w:rPr>
          <w:rFonts w:ascii="Arial" w:hAnsi="Arial" w:cs="Arial"/>
          <w:b/>
          <w:bCs/>
          <w:iCs/>
          <w:sz w:val="24"/>
          <w:szCs w:val="24"/>
        </w:rPr>
        <w:t>Número</w:t>
      </w:r>
      <w:r w:rsidRPr="00AB45FC">
        <w:rPr>
          <w:rFonts w:ascii="Arial" w:hAnsi="Arial" w:cs="Arial"/>
          <w:b/>
          <w:bCs/>
          <w:iCs/>
          <w:sz w:val="24"/>
          <w:szCs w:val="24"/>
        </w:rPr>
        <w:t xml:space="preserve"> de Mediciones por Rango de Relación Porcentual al Nivel de Referencia. </w:t>
      </w:r>
      <w:r w:rsidRPr="004E395B">
        <w:rPr>
          <w:rFonts w:ascii="Arial" w:hAnsi="Arial" w:cs="Arial"/>
          <w:b/>
          <w:bCs/>
          <w:iCs/>
          <w:sz w:val="24"/>
          <w:szCs w:val="24"/>
        </w:rPr>
        <w:t>WLAN con procedimiento</w:t>
      </w:r>
      <w:r w:rsidRPr="005E7552">
        <w:rPr>
          <w:rFonts w:ascii="Arial" w:hAnsi="Arial" w:cs="Arial"/>
          <w:b/>
          <w:bCs/>
          <w:iCs/>
          <w:sz w:val="24"/>
          <w:szCs w:val="24"/>
        </w:rPr>
        <w:t xml:space="preserve"> de </w:t>
      </w:r>
      <w:r w:rsidRPr="003C4424">
        <w:rPr>
          <w:rFonts w:ascii="Arial" w:hAnsi="Arial" w:cs="Arial"/>
          <w:b/>
          <w:bCs/>
          <w:iCs/>
          <w:sz w:val="24"/>
          <w:szCs w:val="24"/>
        </w:rPr>
        <w:t>medición</w:t>
      </w:r>
      <w:r w:rsidRPr="005E7552">
        <w:rPr>
          <w:rFonts w:ascii="Arial" w:hAnsi="Arial" w:cs="Arial"/>
          <w:b/>
          <w:bCs/>
          <w:iCs/>
          <w:sz w:val="24"/>
          <w:szCs w:val="24"/>
        </w:rPr>
        <w:t xml:space="preserve"> 1</w:t>
      </w:r>
      <w:r w:rsidRPr="00AB45FC">
        <w:rPr>
          <w:rFonts w:ascii="Arial" w:hAnsi="Arial" w:cs="Arial"/>
          <w:b/>
          <w:sz w:val="24"/>
          <w:szCs w:val="24"/>
        </w:rPr>
        <w:t>.</w:t>
      </w:r>
      <w:r w:rsidRPr="00AB45FC">
        <w:rPr>
          <w:rStyle w:val="FootnoteReference"/>
          <w:rFonts w:ascii="Arial" w:hAnsi="Arial" w:cs="Arial"/>
          <w:b/>
          <w:sz w:val="24"/>
          <w:szCs w:val="24"/>
        </w:rPr>
        <w:footnoteReference w:id="107"/>
      </w:r>
    </w:p>
    <w:p w:rsidR="0025315F" w:rsidRDefault="0025315F" w:rsidP="0025315F">
      <w:pPr>
        <w:pStyle w:val="ListParagraph"/>
        <w:spacing w:line="360" w:lineRule="auto"/>
        <w:ind w:left="2127"/>
        <w:jc w:val="center"/>
        <w:rPr>
          <w:rFonts w:ascii="Arial" w:hAnsi="Arial" w:cs="Arial"/>
          <w:b/>
          <w:sz w:val="24"/>
          <w:szCs w:val="24"/>
        </w:rPr>
      </w:pPr>
    </w:p>
    <w:p w:rsidR="0025315F" w:rsidRPr="000078D6" w:rsidRDefault="0025315F" w:rsidP="0025315F">
      <w:pPr>
        <w:pStyle w:val="ListParagraph"/>
        <w:spacing w:line="360" w:lineRule="auto"/>
        <w:ind w:left="2127"/>
        <w:jc w:val="both"/>
        <w:rPr>
          <w:rFonts w:ascii="Arial" w:hAnsi="Arial" w:cs="Arial"/>
          <w:sz w:val="24"/>
          <w:szCs w:val="24"/>
        </w:rPr>
      </w:pPr>
      <w:r>
        <w:rPr>
          <w:rFonts w:ascii="Arial" w:hAnsi="Arial" w:cs="Arial"/>
          <w:sz w:val="24"/>
          <w:szCs w:val="24"/>
        </w:rPr>
        <w:t>En la realización del procedimiento de medición dos en el espectro de WLAN, los valores de intensidad de campo eléctrico obtenidos en comparación al límite de exposición respectivo, se muestran en la figura 4.38.</w:t>
      </w:r>
    </w:p>
    <w:p w:rsidR="0025315F" w:rsidRDefault="0025315F" w:rsidP="0025315F">
      <w:pPr>
        <w:pStyle w:val="ListParagraph"/>
        <w:spacing w:line="360" w:lineRule="auto"/>
        <w:ind w:left="1276"/>
        <w:jc w:val="both"/>
        <w:rPr>
          <w:rFonts w:ascii="Arial" w:hAnsi="Arial" w:cs="Arial"/>
          <w:sz w:val="24"/>
          <w:szCs w:val="24"/>
        </w:rPr>
      </w:pPr>
    </w:p>
    <w:p w:rsidR="0025315F" w:rsidRDefault="0025315F" w:rsidP="0025315F">
      <w:pPr>
        <w:pStyle w:val="ListParagraph"/>
        <w:spacing w:line="360" w:lineRule="auto"/>
        <w:ind w:left="2127" w:firstLine="4"/>
        <w:jc w:val="both"/>
        <w:rPr>
          <w:rFonts w:ascii="Arial" w:hAnsi="Arial" w:cs="Arial"/>
          <w:sz w:val="24"/>
          <w:szCs w:val="24"/>
        </w:rPr>
      </w:pPr>
      <w:r>
        <w:rPr>
          <w:rFonts w:ascii="Arial" w:hAnsi="Arial" w:cs="Arial"/>
          <w:noProof/>
          <w:sz w:val="24"/>
          <w:szCs w:val="24"/>
          <w:lang w:eastAsia="es-ES"/>
        </w:rPr>
        <w:lastRenderedPageBreak/>
        <w:drawing>
          <wp:inline distT="0" distB="0" distL="0" distR="0">
            <wp:extent cx="4077581" cy="2737129"/>
            <wp:effectExtent l="12198" t="6071" r="4701" b="0"/>
            <wp:docPr id="10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rsidR="0025315F" w:rsidRDefault="0025315F" w:rsidP="0025315F">
      <w:pPr>
        <w:pStyle w:val="ListParagraph"/>
        <w:spacing w:line="360" w:lineRule="auto"/>
        <w:ind w:left="2160"/>
        <w:jc w:val="center"/>
        <w:rPr>
          <w:rFonts w:ascii="Arial" w:hAnsi="Arial" w:cs="Arial"/>
          <w:b/>
          <w:sz w:val="24"/>
          <w:szCs w:val="24"/>
        </w:rPr>
      </w:pPr>
    </w:p>
    <w:p w:rsidR="0025315F" w:rsidRDefault="0025315F" w:rsidP="0025315F">
      <w:pPr>
        <w:pStyle w:val="ListParagraph"/>
        <w:spacing w:line="360" w:lineRule="auto"/>
        <w:ind w:left="2160"/>
        <w:jc w:val="center"/>
        <w:rPr>
          <w:rFonts w:ascii="Arial" w:hAnsi="Arial" w:cs="Arial"/>
          <w:b/>
          <w:bCs/>
          <w:sz w:val="24"/>
          <w:szCs w:val="24"/>
        </w:rPr>
      </w:pPr>
      <w:r>
        <w:rPr>
          <w:rFonts w:ascii="Arial" w:hAnsi="Arial" w:cs="Arial"/>
          <w:b/>
          <w:sz w:val="24"/>
          <w:szCs w:val="24"/>
        </w:rPr>
        <w:t>Figura 4.38</w:t>
      </w:r>
      <w:r w:rsidRPr="006266E8">
        <w:rPr>
          <w:rFonts w:ascii="Arial" w:hAnsi="Arial" w:cs="Arial"/>
          <w:b/>
          <w:sz w:val="24"/>
          <w:szCs w:val="24"/>
        </w:rPr>
        <w:t xml:space="preserve"> </w:t>
      </w:r>
      <w:r w:rsidRPr="006266E8">
        <w:rPr>
          <w:rFonts w:ascii="Arial" w:hAnsi="Arial" w:cs="Arial"/>
          <w:b/>
          <w:bCs/>
          <w:sz w:val="24"/>
          <w:szCs w:val="24"/>
        </w:rPr>
        <w:t>Límite Vs. Valores de las m</w:t>
      </w:r>
      <w:r>
        <w:rPr>
          <w:rFonts w:ascii="Arial" w:hAnsi="Arial" w:cs="Arial"/>
          <w:b/>
          <w:bCs/>
          <w:sz w:val="24"/>
          <w:szCs w:val="24"/>
        </w:rPr>
        <w:t>edici</w:t>
      </w:r>
      <w:r w:rsidR="00C37AB2">
        <w:rPr>
          <w:rFonts w:ascii="Arial" w:hAnsi="Arial" w:cs="Arial"/>
          <w:b/>
          <w:bCs/>
          <w:sz w:val="24"/>
          <w:szCs w:val="24"/>
        </w:rPr>
        <w:t>ones realizadas en la banda  2,4</w:t>
      </w:r>
      <w:r w:rsidRPr="006266E8">
        <w:rPr>
          <w:rFonts w:ascii="Arial" w:hAnsi="Arial" w:cs="Arial"/>
          <w:b/>
          <w:bCs/>
          <w:sz w:val="24"/>
          <w:szCs w:val="24"/>
        </w:rPr>
        <w:t>-</w:t>
      </w:r>
      <w:r>
        <w:rPr>
          <w:rFonts w:ascii="Arial" w:hAnsi="Arial" w:cs="Arial"/>
          <w:b/>
          <w:bCs/>
          <w:sz w:val="24"/>
          <w:szCs w:val="24"/>
        </w:rPr>
        <w:t>2,</w:t>
      </w:r>
      <w:r w:rsidR="00C37AB2">
        <w:rPr>
          <w:rFonts w:ascii="Arial" w:hAnsi="Arial" w:cs="Arial"/>
          <w:b/>
          <w:bCs/>
          <w:sz w:val="24"/>
          <w:szCs w:val="24"/>
        </w:rPr>
        <w:t xml:space="preserve">5 </w:t>
      </w:r>
      <w:r>
        <w:rPr>
          <w:rFonts w:ascii="Arial" w:hAnsi="Arial" w:cs="Arial"/>
          <w:b/>
          <w:bCs/>
          <w:sz w:val="24"/>
          <w:szCs w:val="24"/>
        </w:rPr>
        <w:t>G</w:t>
      </w:r>
      <w:r w:rsidRPr="006266E8">
        <w:rPr>
          <w:rFonts w:ascii="Arial" w:hAnsi="Arial" w:cs="Arial"/>
          <w:b/>
          <w:bCs/>
          <w:sz w:val="24"/>
          <w:szCs w:val="24"/>
        </w:rPr>
        <w:t xml:space="preserve">Hz con </w:t>
      </w:r>
      <w:r>
        <w:rPr>
          <w:rFonts w:ascii="Arial" w:hAnsi="Arial" w:cs="Arial"/>
          <w:b/>
          <w:bCs/>
          <w:sz w:val="24"/>
          <w:szCs w:val="24"/>
        </w:rPr>
        <w:t xml:space="preserve">el procedimiento de medición 2. </w:t>
      </w:r>
      <w:r w:rsidRPr="00ED5F47">
        <w:rPr>
          <w:rStyle w:val="FootnoteReference"/>
          <w:rFonts w:ascii="Arial" w:hAnsi="Arial" w:cs="Arial"/>
          <w:b/>
          <w:sz w:val="24"/>
          <w:szCs w:val="24"/>
        </w:rPr>
        <w:footnoteReference w:id="108"/>
      </w:r>
    </w:p>
    <w:p w:rsidR="0025315F" w:rsidRDefault="0025315F" w:rsidP="0025315F">
      <w:pPr>
        <w:pStyle w:val="ListParagraph"/>
        <w:spacing w:line="360" w:lineRule="auto"/>
        <w:ind w:left="2127" w:firstLine="4"/>
        <w:jc w:val="both"/>
        <w:rPr>
          <w:rFonts w:ascii="Arial" w:hAnsi="Arial" w:cs="Arial"/>
          <w:sz w:val="24"/>
          <w:szCs w:val="24"/>
        </w:rPr>
      </w:pPr>
    </w:p>
    <w:p w:rsidR="0025315F" w:rsidRPr="00E16785" w:rsidRDefault="0025315F" w:rsidP="0025315F">
      <w:pPr>
        <w:pStyle w:val="ListParagraph"/>
        <w:spacing w:line="360" w:lineRule="auto"/>
        <w:ind w:left="2127" w:firstLine="4"/>
        <w:jc w:val="both"/>
        <w:rPr>
          <w:rFonts w:ascii="Arial" w:hAnsi="Arial" w:cs="Arial"/>
          <w:sz w:val="24"/>
          <w:szCs w:val="24"/>
        </w:rPr>
      </w:pPr>
      <w:r w:rsidRPr="00E16785">
        <w:rPr>
          <w:rFonts w:ascii="Arial" w:hAnsi="Arial" w:cs="Arial"/>
          <w:sz w:val="24"/>
          <w:szCs w:val="24"/>
        </w:rPr>
        <w:t xml:space="preserve">De los valores obtenidos </w:t>
      </w:r>
      <w:r>
        <w:rPr>
          <w:rFonts w:ascii="Arial" w:hAnsi="Arial" w:cs="Arial"/>
          <w:sz w:val="24"/>
          <w:szCs w:val="24"/>
        </w:rPr>
        <w:t xml:space="preserve"> de E en</w:t>
      </w:r>
      <w:r w:rsidRPr="00E16785">
        <w:rPr>
          <w:rFonts w:ascii="Arial" w:hAnsi="Arial" w:cs="Arial"/>
          <w:bCs/>
          <w:sz w:val="24"/>
          <w:szCs w:val="24"/>
        </w:rPr>
        <w:t xml:space="preserve"> las mediciones realizadas en la banda  2,3-2,4 GHz con </w:t>
      </w:r>
      <w:r>
        <w:rPr>
          <w:rFonts w:ascii="Arial" w:hAnsi="Arial" w:cs="Arial"/>
          <w:bCs/>
          <w:sz w:val="24"/>
          <w:szCs w:val="24"/>
        </w:rPr>
        <w:t>el procedimiento de medición dos, tenemos que la media es de 1,221 V/m con desviación estándar de 0,190 V/m.</w:t>
      </w:r>
    </w:p>
    <w:p w:rsidR="0025315F" w:rsidRDefault="0025315F" w:rsidP="0025315F">
      <w:pPr>
        <w:pStyle w:val="ListParagraph"/>
        <w:spacing w:line="360" w:lineRule="auto"/>
        <w:ind w:left="2127" w:firstLine="4"/>
        <w:jc w:val="both"/>
        <w:rPr>
          <w:rFonts w:ascii="Arial" w:hAnsi="Arial" w:cs="Arial"/>
          <w:sz w:val="24"/>
          <w:szCs w:val="24"/>
        </w:rPr>
      </w:pPr>
    </w:p>
    <w:p w:rsidR="0025315F" w:rsidRDefault="0025315F" w:rsidP="0025315F">
      <w:pPr>
        <w:pStyle w:val="ListParagraph"/>
        <w:spacing w:line="360" w:lineRule="auto"/>
        <w:ind w:left="2127" w:firstLine="4"/>
        <w:jc w:val="both"/>
        <w:rPr>
          <w:rFonts w:ascii="Arial" w:hAnsi="Arial" w:cs="Arial"/>
          <w:sz w:val="24"/>
          <w:szCs w:val="24"/>
        </w:rPr>
      </w:pPr>
      <w:r>
        <w:rPr>
          <w:rFonts w:ascii="Arial" w:hAnsi="Arial" w:cs="Arial"/>
          <w:sz w:val="24"/>
          <w:szCs w:val="24"/>
        </w:rPr>
        <w:t>Relativamente en la figura 4.39 tenemos que la mayor concentración de las mediciones se ubico en el rango de relación porcentual del 1 al 2% del valor de 61 V/m; y que en totalidad los valores son menor al 10% del límite correspondiente.</w:t>
      </w:r>
    </w:p>
    <w:p w:rsidR="0025315F" w:rsidRPr="00AB45FC" w:rsidRDefault="0025315F" w:rsidP="0025315F">
      <w:pPr>
        <w:pStyle w:val="ListParagraph"/>
        <w:spacing w:line="360" w:lineRule="auto"/>
        <w:ind w:left="2124"/>
        <w:jc w:val="both"/>
        <w:rPr>
          <w:rFonts w:ascii="Arial" w:hAnsi="Arial" w:cs="Arial"/>
          <w:b/>
          <w:sz w:val="24"/>
          <w:szCs w:val="24"/>
        </w:rPr>
      </w:pPr>
      <w:r>
        <w:rPr>
          <w:rFonts w:ascii="Arial" w:hAnsi="Arial" w:cs="Arial"/>
          <w:b/>
          <w:noProof/>
          <w:sz w:val="24"/>
          <w:szCs w:val="24"/>
          <w:lang w:eastAsia="es-ES"/>
        </w:rPr>
        <w:lastRenderedPageBreak/>
        <w:drawing>
          <wp:inline distT="0" distB="0" distL="0" distR="0">
            <wp:extent cx="3438623" cy="2736549"/>
            <wp:effectExtent l="19050" t="0" r="28477" b="6651"/>
            <wp:docPr id="10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rsidR="0025315F" w:rsidRPr="00AB45FC" w:rsidRDefault="0025315F" w:rsidP="0025315F">
      <w:pPr>
        <w:pStyle w:val="ListParagraph"/>
        <w:spacing w:line="360" w:lineRule="auto"/>
        <w:ind w:left="2160"/>
        <w:jc w:val="both"/>
        <w:rPr>
          <w:rFonts w:ascii="Arial" w:hAnsi="Arial" w:cs="Arial"/>
          <w:b/>
          <w:sz w:val="24"/>
          <w:szCs w:val="24"/>
        </w:rPr>
      </w:pPr>
    </w:p>
    <w:p w:rsidR="0025315F" w:rsidRDefault="0025315F" w:rsidP="0025315F">
      <w:pPr>
        <w:pStyle w:val="ListParagraph"/>
        <w:spacing w:line="360" w:lineRule="auto"/>
        <w:ind w:left="2127"/>
        <w:jc w:val="center"/>
        <w:rPr>
          <w:rFonts w:ascii="Arial" w:hAnsi="Arial" w:cs="Arial"/>
          <w:b/>
          <w:sz w:val="24"/>
          <w:szCs w:val="24"/>
        </w:rPr>
      </w:pPr>
      <w:r w:rsidRPr="00AB45FC">
        <w:rPr>
          <w:rFonts w:ascii="Arial" w:hAnsi="Arial" w:cs="Arial"/>
          <w:b/>
          <w:sz w:val="24"/>
          <w:szCs w:val="24"/>
        </w:rPr>
        <w:t>Figura 4.</w:t>
      </w:r>
      <w:r>
        <w:rPr>
          <w:rFonts w:ascii="Arial" w:hAnsi="Arial" w:cs="Arial"/>
          <w:b/>
          <w:sz w:val="24"/>
          <w:szCs w:val="24"/>
        </w:rPr>
        <w:t>39</w:t>
      </w:r>
      <w:r w:rsidRPr="00AB45FC">
        <w:rPr>
          <w:rFonts w:ascii="Arial" w:hAnsi="Arial" w:cs="Arial"/>
          <w:b/>
          <w:sz w:val="24"/>
          <w:szCs w:val="24"/>
        </w:rPr>
        <w:t xml:space="preserve"> </w:t>
      </w:r>
      <w:r w:rsidRPr="00AB45FC">
        <w:rPr>
          <w:rFonts w:ascii="Arial" w:hAnsi="Arial" w:cs="Arial"/>
          <w:b/>
          <w:iCs/>
          <w:sz w:val="24"/>
          <w:szCs w:val="24"/>
        </w:rPr>
        <w:t>Número de Mediciones por Rango de Relación Porcentual al Nivel de Referencia. WLAN Procedimiento Medición 2</w:t>
      </w:r>
      <w:r w:rsidRPr="00AB45FC">
        <w:rPr>
          <w:rFonts w:ascii="Arial" w:hAnsi="Arial" w:cs="Arial"/>
          <w:b/>
          <w:sz w:val="24"/>
          <w:szCs w:val="24"/>
        </w:rPr>
        <w:t>.</w:t>
      </w:r>
      <w:r w:rsidRPr="00AB45FC">
        <w:rPr>
          <w:rStyle w:val="FootnoteReference"/>
          <w:rFonts w:ascii="Arial" w:hAnsi="Arial" w:cs="Arial"/>
          <w:b/>
          <w:sz w:val="24"/>
          <w:szCs w:val="24"/>
        </w:rPr>
        <w:footnoteReference w:id="109"/>
      </w:r>
    </w:p>
    <w:p w:rsidR="0025315F" w:rsidRDefault="0025315F" w:rsidP="0025315F">
      <w:pPr>
        <w:pStyle w:val="ListParagraph"/>
        <w:spacing w:line="360" w:lineRule="auto"/>
        <w:ind w:left="2127"/>
        <w:jc w:val="center"/>
        <w:rPr>
          <w:rFonts w:ascii="Arial" w:hAnsi="Arial" w:cs="Arial"/>
          <w:b/>
          <w:sz w:val="24"/>
          <w:szCs w:val="24"/>
        </w:rPr>
      </w:pPr>
    </w:p>
    <w:p w:rsidR="0025315F" w:rsidRDefault="0025315F" w:rsidP="0025315F">
      <w:pPr>
        <w:pStyle w:val="ListParagraph"/>
        <w:spacing w:line="360" w:lineRule="auto"/>
        <w:ind w:left="2160"/>
        <w:jc w:val="both"/>
        <w:rPr>
          <w:rFonts w:ascii="Arial" w:hAnsi="Arial" w:cs="Arial"/>
          <w:sz w:val="24"/>
          <w:szCs w:val="24"/>
        </w:rPr>
      </w:pPr>
      <w:r>
        <w:rPr>
          <w:rFonts w:ascii="Arial" w:hAnsi="Arial" w:cs="Arial"/>
          <w:sz w:val="24"/>
          <w:szCs w:val="24"/>
        </w:rPr>
        <w:t>Finalizando tenemos que igualmente para las mediciones en el espectro libre de 2,4 a 2,5 GHz para uso de tecnología wireless LAN, todos los valores obtenidos cumplen los niveles de referencia de exposición a campos electromagnéticos.</w:t>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numPr>
          <w:ilvl w:val="3"/>
          <w:numId w:val="16"/>
        </w:numPr>
        <w:spacing w:line="360" w:lineRule="auto"/>
        <w:ind w:hanging="884"/>
        <w:jc w:val="both"/>
        <w:rPr>
          <w:rFonts w:ascii="Arial" w:hAnsi="Arial" w:cs="Arial"/>
          <w:b/>
          <w:sz w:val="24"/>
          <w:szCs w:val="24"/>
        </w:rPr>
      </w:pPr>
      <w:r w:rsidRPr="007D5822">
        <w:rPr>
          <w:rFonts w:ascii="Arial" w:hAnsi="Arial" w:cs="Arial"/>
          <w:b/>
          <w:sz w:val="24"/>
          <w:szCs w:val="24"/>
        </w:rPr>
        <w:t>Ilustración Porcentual  para medición de Broadcasting.</w:t>
      </w: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 xml:space="preserve">En esta parte tenemos que para las mediciones de tecnologías Broadcasting en las bandas y procedimientos ya antes mencionados; todas las mediciones están por debajo a sus niveles de referencia respectivos, </w:t>
      </w:r>
      <w:r>
        <w:rPr>
          <w:rFonts w:ascii="Arial" w:hAnsi="Arial" w:cs="Arial"/>
          <w:sz w:val="24"/>
          <w:szCs w:val="24"/>
        </w:rPr>
        <w:lastRenderedPageBreak/>
        <w:t>cumpliendo así las recomendaciones nacionales e internacionales, además se comprobó en la parte 4.3.3 de este documento cumplen con el análisis de contribución por múltiples fuente.</w:t>
      </w: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t>En la figura 4.40 se muestra los valores de las mediciones Broadcasting con el procedimiento de medición 1, en comparación a los límites respectivos a cada una de las bandas de frecuencias analizadas</w:t>
      </w:r>
    </w:p>
    <w:p w:rsidR="0025315F" w:rsidRDefault="0025315F" w:rsidP="0025315F">
      <w:pPr>
        <w:spacing w:line="360" w:lineRule="auto"/>
        <w:ind w:left="2124"/>
        <w:jc w:val="center"/>
        <w:rPr>
          <w:rFonts w:ascii="Arial" w:hAnsi="Arial" w:cs="Arial"/>
          <w:noProof/>
          <w:sz w:val="24"/>
          <w:szCs w:val="24"/>
          <w:lang w:eastAsia="es-ES"/>
        </w:rPr>
      </w:pPr>
    </w:p>
    <w:p w:rsidR="0025315F" w:rsidRDefault="0025315F" w:rsidP="0025315F">
      <w:pPr>
        <w:spacing w:line="360" w:lineRule="auto"/>
        <w:ind w:left="2124"/>
        <w:jc w:val="center"/>
        <w:rPr>
          <w:rFonts w:ascii="Arial" w:hAnsi="Arial" w:cs="Arial"/>
          <w:noProof/>
          <w:sz w:val="24"/>
          <w:szCs w:val="24"/>
          <w:lang w:eastAsia="es-ES"/>
        </w:rPr>
      </w:pPr>
      <w:r>
        <w:rPr>
          <w:rFonts w:ascii="Arial" w:hAnsi="Arial" w:cs="Arial"/>
          <w:noProof/>
          <w:sz w:val="24"/>
          <w:szCs w:val="24"/>
          <w:lang w:eastAsia="es-ES"/>
        </w:rPr>
        <w:drawing>
          <wp:inline distT="0" distB="0" distL="0" distR="0">
            <wp:extent cx="3505904" cy="3829145"/>
            <wp:effectExtent l="11290" t="5620" r="3881" b="0"/>
            <wp:docPr id="10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rsidR="0025315F" w:rsidRPr="002C61D1" w:rsidRDefault="0025315F" w:rsidP="0025315F">
      <w:pPr>
        <w:pStyle w:val="ListParagraph"/>
        <w:spacing w:line="360" w:lineRule="auto"/>
        <w:ind w:left="2127"/>
        <w:jc w:val="center"/>
        <w:rPr>
          <w:rFonts w:ascii="Arial" w:hAnsi="Arial" w:cs="Arial"/>
          <w:b/>
          <w:bCs/>
          <w:iCs/>
          <w:sz w:val="24"/>
          <w:szCs w:val="24"/>
        </w:rPr>
      </w:pPr>
      <w:r w:rsidRPr="002C61D1">
        <w:rPr>
          <w:rFonts w:ascii="Arial" w:hAnsi="Arial" w:cs="Arial"/>
          <w:b/>
          <w:sz w:val="24"/>
          <w:szCs w:val="24"/>
        </w:rPr>
        <w:t>F</w:t>
      </w:r>
      <w:r>
        <w:rPr>
          <w:rFonts w:ascii="Arial" w:hAnsi="Arial" w:cs="Arial"/>
          <w:b/>
          <w:sz w:val="24"/>
          <w:szCs w:val="24"/>
        </w:rPr>
        <w:t>igura 4.40</w:t>
      </w:r>
      <w:r w:rsidRPr="002C61D1">
        <w:rPr>
          <w:rFonts w:ascii="Arial" w:hAnsi="Arial" w:cs="Arial"/>
          <w:b/>
          <w:sz w:val="24"/>
          <w:szCs w:val="24"/>
        </w:rPr>
        <w:t xml:space="preserve"> </w:t>
      </w:r>
      <w:r w:rsidRPr="002C61D1">
        <w:rPr>
          <w:rFonts w:ascii="Arial" w:hAnsi="Arial" w:cs="Arial"/>
          <w:b/>
          <w:bCs/>
          <w:iCs/>
          <w:sz w:val="24"/>
          <w:szCs w:val="24"/>
        </w:rPr>
        <w:t>Límite Vs. Valores de las mediciones Broadcasting Procedimiento de medición 1</w:t>
      </w:r>
      <w:r w:rsidRPr="002C61D1">
        <w:rPr>
          <w:rFonts w:ascii="Arial" w:hAnsi="Arial" w:cs="Arial"/>
          <w:b/>
          <w:sz w:val="24"/>
          <w:szCs w:val="24"/>
        </w:rPr>
        <w:t>.</w:t>
      </w:r>
      <w:r w:rsidRPr="002C61D1">
        <w:rPr>
          <w:rStyle w:val="FootnoteReference"/>
          <w:rFonts w:ascii="Arial" w:hAnsi="Arial" w:cs="Arial"/>
          <w:b/>
          <w:sz w:val="24"/>
          <w:szCs w:val="24"/>
        </w:rPr>
        <w:footnoteReference w:id="110"/>
      </w:r>
    </w:p>
    <w:p w:rsidR="0025315F" w:rsidRDefault="0025315F" w:rsidP="0025315F">
      <w:pPr>
        <w:spacing w:line="360" w:lineRule="auto"/>
        <w:ind w:left="2124"/>
        <w:jc w:val="both"/>
        <w:rPr>
          <w:rFonts w:ascii="Arial" w:hAnsi="Arial" w:cs="Arial"/>
          <w:sz w:val="24"/>
          <w:szCs w:val="24"/>
        </w:rPr>
      </w:pPr>
    </w:p>
    <w:p w:rsidR="0025315F" w:rsidRDefault="0025315F" w:rsidP="0025315F">
      <w:pPr>
        <w:spacing w:line="360" w:lineRule="auto"/>
        <w:ind w:left="2160"/>
        <w:jc w:val="both"/>
        <w:rPr>
          <w:rFonts w:ascii="Arial" w:hAnsi="Arial" w:cs="Arial"/>
          <w:sz w:val="24"/>
          <w:szCs w:val="24"/>
        </w:rPr>
      </w:pPr>
      <w:r>
        <w:rPr>
          <w:rFonts w:ascii="Arial" w:hAnsi="Arial" w:cs="Arial"/>
          <w:noProof/>
          <w:sz w:val="24"/>
          <w:szCs w:val="24"/>
          <w:lang w:eastAsia="es-ES"/>
        </w:rPr>
        <w:drawing>
          <wp:inline distT="0" distB="0" distL="0" distR="0">
            <wp:extent cx="3779193" cy="3173832"/>
            <wp:effectExtent l="10860" t="5554" r="4072" b="694"/>
            <wp:docPr id="103"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rsidR="0025315F" w:rsidRDefault="0025315F" w:rsidP="0025315F">
      <w:pPr>
        <w:pStyle w:val="ListParagraph"/>
        <w:spacing w:line="360" w:lineRule="auto"/>
        <w:ind w:left="2160"/>
        <w:jc w:val="both"/>
        <w:rPr>
          <w:rFonts w:ascii="Arial" w:hAnsi="Arial" w:cs="Arial"/>
          <w:sz w:val="24"/>
          <w:szCs w:val="24"/>
        </w:rPr>
      </w:pPr>
    </w:p>
    <w:p w:rsidR="0025315F"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41 Relación Porcentual al nivel de Referencia de mediciones Broadcasting con Procedimiento de medición 1</w:t>
      </w:r>
      <w:r w:rsidRPr="00A26C72">
        <w:rPr>
          <w:rFonts w:ascii="Arial" w:hAnsi="Arial" w:cs="Arial"/>
          <w:b/>
          <w:sz w:val="24"/>
          <w:szCs w:val="24"/>
        </w:rPr>
        <w:t>.</w:t>
      </w:r>
      <w:r w:rsidRPr="00ED5F47">
        <w:rPr>
          <w:rStyle w:val="FootnoteReference"/>
          <w:rFonts w:ascii="Arial" w:hAnsi="Arial" w:cs="Arial"/>
          <w:b/>
          <w:sz w:val="24"/>
          <w:szCs w:val="24"/>
        </w:rPr>
        <w:footnoteReference w:id="111"/>
      </w:r>
    </w:p>
    <w:p w:rsidR="0025315F" w:rsidRDefault="0025315F" w:rsidP="0025315F">
      <w:pPr>
        <w:pStyle w:val="ListParagraph"/>
        <w:spacing w:line="360" w:lineRule="auto"/>
        <w:ind w:left="2127"/>
        <w:jc w:val="center"/>
        <w:rPr>
          <w:rFonts w:ascii="Arial" w:hAnsi="Arial" w:cs="Arial"/>
          <w:b/>
          <w:sz w:val="24"/>
          <w:szCs w:val="24"/>
        </w:rPr>
      </w:pPr>
    </w:p>
    <w:p w:rsidR="0025315F" w:rsidRPr="007D5822" w:rsidRDefault="0025315F" w:rsidP="0025315F">
      <w:pPr>
        <w:spacing w:line="360" w:lineRule="auto"/>
        <w:ind w:left="2160"/>
        <w:jc w:val="both"/>
        <w:rPr>
          <w:rFonts w:ascii="Arial" w:hAnsi="Arial" w:cs="Arial"/>
          <w:sz w:val="24"/>
          <w:szCs w:val="24"/>
        </w:rPr>
      </w:pPr>
      <w:r>
        <w:rPr>
          <w:rFonts w:ascii="Arial" w:hAnsi="Arial" w:cs="Arial"/>
          <w:sz w:val="24"/>
          <w:szCs w:val="24"/>
        </w:rPr>
        <w:t>Respectivamente en la figura 4.41, se muestra que la relación porcentual del espectro de Radiodifusión FM se aproxima al 3% del nivel de referencia que es de 28 V/m, de ahí las relación en las banda de Televisión Abierta en todos los casos están por debajo del 1% de relación porcentual al nivel de referencia o límite respectivo.</w:t>
      </w:r>
    </w:p>
    <w:p w:rsidR="0025315F" w:rsidRDefault="0025315F" w:rsidP="0025315F">
      <w:pPr>
        <w:spacing w:line="360" w:lineRule="auto"/>
        <w:ind w:left="2124"/>
        <w:jc w:val="both"/>
        <w:rPr>
          <w:rFonts w:ascii="Arial" w:hAnsi="Arial" w:cs="Arial"/>
          <w:sz w:val="24"/>
          <w:szCs w:val="24"/>
        </w:rPr>
      </w:pPr>
    </w:p>
    <w:p w:rsidR="0025315F" w:rsidRDefault="0025315F" w:rsidP="0025315F">
      <w:pPr>
        <w:spacing w:line="360" w:lineRule="auto"/>
        <w:ind w:left="2124"/>
        <w:jc w:val="both"/>
        <w:rPr>
          <w:rFonts w:ascii="Arial" w:hAnsi="Arial" w:cs="Arial"/>
          <w:sz w:val="24"/>
          <w:szCs w:val="24"/>
        </w:rPr>
      </w:pPr>
      <w:r>
        <w:rPr>
          <w:rFonts w:ascii="Arial" w:hAnsi="Arial" w:cs="Arial"/>
          <w:sz w:val="24"/>
          <w:szCs w:val="24"/>
        </w:rPr>
        <w:lastRenderedPageBreak/>
        <w:t>A continuación se muestra los valores de E [V/m] de las mediciones Broadcasting con el procedimiento de medición 2, en comparación a los límites o niveles de referencias respectivos a cada una de las bandas de frecuencias analizadas; como se ve en la figura 4.42.</w:t>
      </w:r>
    </w:p>
    <w:p w:rsidR="0025315F" w:rsidRPr="00157D7E" w:rsidRDefault="0025315F" w:rsidP="0025315F">
      <w:pPr>
        <w:pStyle w:val="ListParagraph"/>
        <w:spacing w:line="360" w:lineRule="auto"/>
        <w:ind w:left="2127"/>
        <w:jc w:val="both"/>
        <w:rPr>
          <w:rFonts w:ascii="Arial" w:hAnsi="Arial" w:cs="Arial"/>
          <w:b/>
          <w:sz w:val="24"/>
          <w:szCs w:val="24"/>
        </w:rPr>
      </w:pPr>
    </w:p>
    <w:p w:rsidR="0025315F" w:rsidRDefault="0025315F" w:rsidP="0025315F">
      <w:pPr>
        <w:spacing w:line="360" w:lineRule="auto"/>
        <w:ind w:left="2160"/>
        <w:jc w:val="center"/>
        <w:rPr>
          <w:rFonts w:ascii="Arial" w:hAnsi="Arial" w:cs="Arial"/>
          <w:sz w:val="24"/>
          <w:szCs w:val="24"/>
        </w:rPr>
      </w:pPr>
      <w:r>
        <w:rPr>
          <w:rFonts w:ascii="Arial" w:hAnsi="Arial" w:cs="Arial"/>
          <w:noProof/>
          <w:sz w:val="24"/>
          <w:szCs w:val="24"/>
          <w:lang w:eastAsia="es-ES"/>
        </w:rPr>
        <w:drawing>
          <wp:inline distT="0" distB="0" distL="0" distR="0">
            <wp:extent cx="3355975" cy="3409950"/>
            <wp:effectExtent l="19050" t="0" r="15875" b="0"/>
            <wp:docPr id="10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rsidR="0025315F" w:rsidRPr="002C61D1" w:rsidRDefault="0025315F" w:rsidP="0025315F">
      <w:pPr>
        <w:pStyle w:val="ListParagraph"/>
        <w:spacing w:line="360" w:lineRule="auto"/>
        <w:ind w:left="2127"/>
        <w:jc w:val="center"/>
        <w:rPr>
          <w:rFonts w:ascii="Arial" w:hAnsi="Arial" w:cs="Arial"/>
          <w:b/>
          <w:bCs/>
          <w:iCs/>
          <w:sz w:val="24"/>
          <w:szCs w:val="24"/>
        </w:rPr>
      </w:pPr>
      <w:r>
        <w:rPr>
          <w:rFonts w:ascii="Arial" w:hAnsi="Arial" w:cs="Arial"/>
          <w:b/>
          <w:sz w:val="24"/>
          <w:szCs w:val="24"/>
        </w:rPr>
        <w:t>Figura 4.42</w:t>
      </w:r>
      <w:r w:rsidRPr="002C61D1">
        <w:rPr>
          <w:rFonts w:ascii="Arial" w:hAnsi="Arial" w:cs="Arial"/>
          <w:b/>
          <w:sz w:val="24"/>
          <w:szCs w:val="24"/>
        </w:rPr>
        <w:t xml:space="preserve"> </w:t>
      </w:r>
      <w:r w:rsidRPr="002C61D1">
        <w:rPr>
          <w:rFonts w:ascii="Arial" w:hAnsi="Arial" w:cs="Arial"/>
          <w:b/>
          <w:bCs/>
          <w:iCs/>
          <w:sz w:val="24"/>
          <w:szCs w:val="24"/>
        </w:rPr>
        <w:t xml:space="preserve">Límite Vs. Valores de las mediciones Broadcasting Procedimiento de medición </w:t>
      </w:r>
      <w:r>
        <w:rPr>
          <w:rFonts w:ascii="Arial" w:hAnsi="Arial" w:cs="Arial"/>
          <w:b/>
          <w:bCs/>
          <w:iCs/>
          <w:sz w:val="24"/>
          <w:szCs w:val="24"/>
        </w:rPr>
        <w:t>2</w:t>
      </w:r>
      <w:r w:rsidRPr="002C61D1">
        <w:rPr>
          <w:rFonts w:ascii="Arial" w:hAnsi="Arial" w:cs="Arial"/>
          <w:b/>
          <w:sz w:val="24"/>
          <w:szCs w:val="24"/>
        </w:rPr>
        <w:t>.</w:t>
      </w:r>
      <w:r w:rsidRPr="002C61D1">
        <w:rPr>
          <w:rStyle w:val="FootnoteReference"/>
          <w:rFonts w:ascii="Arial" w:hAnsi="Arial" w:cs="Arial"/>
          <w:b/>
          <w:sz w:val="24"/>
          <w:szCs w:val="24"/>
        </w:rPr>
        <w:footnoteReference w:id="112"/>
      </w:r>
    </w:p>
    <w:p w:rsidR="0025315F" w:rsidRPr="007D5822" w:rsidRDefault="0025315F" w:rsidP="0025315F">
      <w:pPr>
        <w:spacing w:line="360" w:lineRule="auto"/>
        <w:ind w:left="2160"/>
        <w:jc w:val="both"/>
        <w:rPr>
          <w:rFonts w:ascii="Arial" w:hAnsi="Arial" w:cs="Arial"/>
          <w:sz w:val="24"/>
          <w:szCs w:val="24"/>
        </w:rPr>
      </w:pPr>
      <w:r>
        <w:rPr>
          <w:rFonts w:ascii="Arial" w:hAnsi="Arial" w:cs="Arial"/>
          <w:sz w:val="24"/>
          <w:szCs w:val="24"/>
        </w:rPr>
        <w:t xml:space="preserve">Para la figura 4.43 correspondiente a la relación porcentual de las mediciones en el rango de Broadcasting con el procedimiento de medición 2, se repite el mismo análisis que con el procedimiento 1 en el espectro de televisión, aunque para Radio FM tenemos </w:t>
      </w:r>
      <w:r>
        <w:rPr>
          <w:rFonts w:ascii="Arial" w:hAnsi="Arial" w:cs="Arial"/>
          <w:sz w:val="24"/>
          <w:szCs w:val="24"/>
        </w:rPr>
        <w:lastRenderedPageBreak/>
        <w:t>que en cambio es menor ya que se aproximan al 2% de relación porcentual al nivel de referencia correspondiente y los valores de intensidad de campo eléctrico para las bandas de televisión abierta están por debajo al 1% de los límites de referencia.</w:t>
      </w:r>
    </w:p>
    <w:p w:rsidR="0025315F" w:rsidRPr="007D5822" w:rsidRDefault="0025315F" w:rsidP="0025315F">
      <w:pPr>
        <w:spacing w:line="360" w:lineRule="auto"/>
        <w:ind w:left="2160"/>
        <w:jc w:val="both"/>
        <w:rPr>
          <w:rFonts w:ascii="Arial" w:hAnsi="Arial" w:cs="Arial"/>
          <w:sz w:val="24"/>
          <w:szCs w:val="24"/>
        </w:rPr>
      </w:pPr>
      <w:r>
        <w:rPr>
          <w:rFonts w:ascii="Arial" w:hAnsi="Arial" w:cs="Arial"/>
          <w:noProof/>
          <w:sz w:val="24"/>
          <w:szCs w:val="24"/>
          <w:lang w:eastAsia="es-ES"/>
        </w:rPr>
        <w:drawing>
          <wp:inline distT="0" distB="0" distL="0" distR="0">
            <wp:extent cx="3933825" cy="3466465"/>
            <wp:effectExtent l="19050" t="0" r="9525" b="635"/>
            <wp:docPr id="10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rsidR="0025315F" w:rsidRPr="00ED5F47" w:rsidRDefault="0025315F" w:rsidP="0025315F">
      <w:pPr>
        <w:pStyle w:val="ListParagraph"/>
        <w:spacing w:line="360" w:lineRule="auto"/>
        <w:ind w:left="2127"/>
        <w:jc w:val="center"/>
        <w:rPr>
          <w:rFonts w:ascii="Arial" w:hAnsi="Arial" w:cs="Arial"/>
          <w:b/>
          <w:sz w:val="24"/>
          <w:szCs w:val="24"/>
        </w:rPr>
      </w:pPr>
      <w:r w:rsidRPr="00ED5F47">
        <w:rPr>
          <w:rFonts w:ascii="Arial" w:hAnsi="Arial" w:cs="Arial"/>
          <w:b/>
          <w:sz w:val="24"/>
          <w:szCs w:val="24"/>
        </w:rPr>
        <w:t>Figura 4.</w:t>
      </w:r>
      <w:r>
        <w:rPr>
          <w:rFonts w:ascii="Arial" w:hAnsi="Arial" w:cs="Arial"/>
          <w:b/>
          <w:sz w:val="24"/>
          <w:szCs w:val="24"/>
        </w:rPr>
        <w:t>43</w:t>
      </w:r>
      <w:r w:rsidRPr="00ED5F47">
        <w:rPr>
          <w:rFonts w:ascii="Arial" w:hAnsi="Arial" w:cs="Arial"/>
          <w:b/>
          <w:sz w:val="24"/>
          <w:szCs w:val="24"/>
        </w:rPr>
        <w:t xml:space="preserve"> </w:t>
      </w:r>
      <w:r>
        <w:rPr>
          <w:rFonts w:ascii="Arial" w:hAnsi="Arial" w:cs="Arial"/>
          <w:b/>
          <w:sz w:val="24"/>
          <w:szCs w:val="24"/>
        </w:rPr>
        <w:t>Relación Porcentual al nivel de Referencia de mediciones Broadcasting con Procedimiento de medición 2</w:t>
      </w:r>
      <w:r w:rsidRPr="00ED5F47">
        <w:rPr>
          <w:rFonts w:ascii="Arial" w:hAnsi="Arial" w:cs="Arial"/>
          <w:b/>
          <w:sz w:val="24"/>
          <w:szCs w:val="24"/>
        </w:rPr>
        <w:t>.</w:t>
      </w:r>
      <w:r w:rsidRPr="00ED5F47">
        <w:rPr>
          <w:rStyle w:val="FootnoteReference"/>
          <w:rFonts w:ascii="Arial" w:hAnsi="Arial" w:cs="Arial"/>
          <w:b/>
          <w:sz w:val="24"/>
          <w:szCs w:val="24"/>
        </w:rPr>
        <w:footnoteReference w:id="113"/>
      </w:r>
    </w:p>
    <w:p w:rsidR="0025315F" w:rsidRDefault="0025315F" w:rsidP="0025315F">
      <w:pPr>
        <w:spacing w:line="360" w:lineRule="auto"/>
        <w:ind w:left="2160"/>
        <w:jc w:val="both"/>
        <w:rPr>
          <w:rFonts w:ascii="Arial" w:hAnsi="Arial" w:cs="Arial"/>
          <w:sz w:val="24"/>
          <w:szCs w:val="24"/>
        </w:rPr>
      </w:pPr>
      <w:r>
        <w:rPr>
          <w:rFonts w:ascii="Arial" w:hAnsi="Arial" w:cs="Arial"/>
          <w:sz w:val="24"/>
          <w:szCs w:val="24"/>
        </w:rPr>
        <w:t>Finalmente se concluye que en general todas las mediciones que se realizaron están por debajo de los límites establecidos por  las recomendaciones de ICNIRP, cumpliendo tanto la normativa internacional, como la local.</w:t>
      </w:r>
    </w:p>
    <w:p w:rsidR="004A5D40" w:rsidRDefault="004A5D40" w:rsidP="007F539E">
      <w:pPr>
        <w:spacing w:line="360" w:lineRule="auto"/>
        <w:ind w:left="2160"/>
        <w:jc w:val="both"/>
        <w:rPr>
          <w:rFonts w:ascii="Arial" w:hAnsi="Arial" w:cs="Arial"/>
          <w:sz w:val="24"/>
          <w:szCs w:val="24"/>
        </w:rPr>
        <w:sectPr w:rsidR="004A5D40" w:rsidSect="003A3F89">
          <w:pgSz w:w="11906" w:h="16838" w:code="9"/>
          <w:pgMar w:top="2268" w:right="1361" w:bottom="2268" w:left="2268" w:header="709" w:footer="709" w:gutter="0"/>
          <w:pgNumType w:start="1"/>
          <w:cols w:space="708"/>
          <w:titlePg/>
          <w:docGrid w:linePitch="360"/>
        </w:sectPr>
      </w:pPr>
    </w:p>
    <w:p w:rsidR="0025315F" w:rsidRDefault="0025315F" w:rsidP="0025315F">
      <w:pPr>
        <w:spacing w:line="360" w:lineRule="auto"/>
        <w:jc w:val="center"/>
        <w:rPr>
          <w:rFonts w:ascii="Arial" w:hAnsi="Arial" w:cs="Arial"/>
          <w:b/>
          <w:sz w:val="48"/>
          <w:szCs w:val="48"/>
        </w:rPr>
      </w:pPr>
      <w:r w:rsidRPr="00C55078">
        <w:rPr>
          <w:rFonts w:ascii="Arial" w:hAnsi="Arial" w:cs="Arial"/>
          <w:b/>
          <w:sz w:val="48"/>
          <w:szCs w:val="48"/>
        </w:rPr>
        <w:lastRenderedPageBreak/>
        <w:t>CONCLUSIONES</w:t>
      </w:r>
      <w:r>
        <w:rPr>
          <w:rFonts w:ascii="Arial" w:hAnsi="Arial" w:cs="Arial"/>
          <w:b/>
          <w:sz w:val="48"/>
          <w:szCs w:val="48"/>
        </w:rPr>
        <w:t xml:space="preserve"> Y RECOMENDACIONES</w:t>
      </w:r>
    </w:p>
    <w:p w:rsidR="0025315F" w:rsidRPr="007764A5" w:rsidRDefault="0025315F" w:rsidP="0025315F">
      <w:pPr>
        <w:spacing w:line="360" w:lineRule="auto"/>
        <w:rPr>
          <w:rFonts w:ascii="Arial" w:hAnsi="Arial" w:cs="Arial"/>
          <w:sz w:val="24"/>
          <w:szCs w:val="24"/>
        </w:rPr>
      </w:pPr>
      <w:r>
        <w:rPr>
          <w:rFonts w:ascii="Arial" w:hAnsi="Arial" w:cs="Arial"/>
          <w:sz w:val="24"/>
          <w:szCs w:val="24"/>
        </w:rPr>
        <w:t xml:space="preserve">Las conclusiones son: </w:t>
      </w:r>
    </w:p>
    <w:p w:rsidR="0025315F" w:rsidRPr="000E0BE2" w:rsidRDefault="0025315F" w:rsidP="0025315F">
      <w:pPr>
        <w:numPr>
          <w:ilvl w:val="0"/>
          <w:numId w:val="34"/>
        </w:numPr>
        <w:spacing w:before="240" w:line="360" w:lineRule="auto"/>
        <w:jc w:val="both"/>
        <w:rPr>
          <w:rFonts w:ascii="Arial" w:hAnsi="Arial" w:cs="Arial"/>
          <w:sz w:val="24"/>
          <w:szCs w:val="24"/>
        </w:rPr>
      </w:pPr>
      <w:r w:rsidRPr="000E0BE2">
        <w:rPr>
          <w:rFonts w:ascii="Arial" w:hAnsi="Arial" w:cs="Arial"/>
          <w:sz w:val="24"/>
          <w:szCs w:val="24"/>
        </w:rPr>
        <w:t>El análisis de los resultados obtenidos en las mediciones de Campo Eléctrico en los puntos de medición, combinado con la medición a tres alturas distintas, permite obtener resultados más significativos, debido a que se encuentran valores de mayor magnitud en otras alturas distintas a 1.5m</w:t>
      </w:r>
    </w:p>
    <w:p w:rsidR="0025315F" w:rsidRDefault="0025315F" w:rsidP="0025315F">
      <w:pPr>
        <w:numPr>
          <w:ilvl w:val="0"/>
          <w:numId w:val="34"/>
        </w:numPr>
        <w:spacing w:before="240" w:line="360" w:lineRule="auto"/>
        <w:jc w:val="both"/>
        <w:rPr>
          <w:rFonts w:ascii="Arial" w:hAnsi="Arial" w:cs="Arial"/>
          <w:sz w:val="24"/>
          <w:szCs w:val="24"/>
        </w:rPr>
      </w:pPr>
      <w:r>
        <w:rPr>
          <w:rFonts w:ascii="Arial" w:hAnsi="Arial" w:cs="Arial"/>
          <w:sz w:val="24"/>
          <w:szCs w:val="24"/>
        </w:rPr>
        <w:t>La utilización de un segundo procedimiento de medición, diferente a la utilización del equipo Narda SRM-3000, se muestra como un gran aporte a las mediciones de RNI en nuestro país, ya que se conoce que la entidad estatal de control de RNI solo utiliza este equipo, y no se muestran estudios de alguna otra entidad diferente a ESPOL en la realización de estudio y análisis de RNI, con equipos diferentes.</w:t>
      </w:r>
    </w:p>
    <w:p w:rsidR="0025315F" w:rsidRDefault="0025315F" w:rsidP="0025315F">
      <w:pPr>
        <w:numPr>
          <w:ilvl w:val="0"/>
          <w:numId w:val="34"/>
        </w:numPr>
        <w:spacing w:before="240" w:line="360" w:lineRule="auto"/>
        <w:jc w:val="both"/>
        <w:rPr>
          <w:rFonts w:ascii="Arial" w:hAnsi="Arial" w:cs="Arial"/>
          <w:sz w:val="24"/>
          <w:szCs w:val="24"/>
        </w:rPr>
      </w:pPr>
      <w:r>
        <w:rPr>
          <w:rFonts w:ascii="Arial" w:hAnsi="Arial" w:cs="Arial"/>
          <w:sz w:val="24"/>
          <w:szCs w:val="24"/>
        </w:rPr>
        <w:t>Otro aporte significativo es el análisis de mediciones de tecnologías diferentes a la telefonía móvil, ya que se involucra mediciones de interiores de redes wireless LAN que son de gran auge en la actualidad,  y análisis de mediciones a múltiples fuentes para redes de radiodifusión.</w:t>
      </w:r>
    </w:p>
    <w:p w:rsidR="00151CD7" w:rsidRDefault="0025315F" w:rsidP="0025315F">
      <w:pPr>
        <w:numPr>
          <w:ilvl w:val="0"/>
          <w:numId w:val="34"/>
        </w:numPr>
        <w:spacing w:before="240" w:line="360" w:lineRule="auto"/>
        <w:jc w:val="both"/>
        <w:rPr>
          <w:rFonts w:ascii="Arial" w:hAnsi="Arial" w:cs="Arial"/>
          <w:sz w:val="24"/>
          <w:szCs w:val="24"/>
        </w:rPr>
        <w:sectPr w:rsidR="00151CD7" w:rsidSect="003A3F89">
          <w:pgSz w:w="11906" w:h="16838" w:code="9"/>
          <w:pgMar w:top="2268" w:right="1361" w:bottom="2268" w:left="2268" w:header="709" w:footer="709" w:gutter="0"/>
          <w:pgNumType w:start="1"/>
          <w:cols w:space="708"/>
          <w:titlePg/>
          <w:docGrid w:linePitch="360"/>
        </w:sectPr>
      </w:pPr>
      <w:r>
        <w:rPr>
          <w:rFonts w:ascii="Arial" w:hAnsi="Arial" w:cs="Arial"/>
          <w:sz w:val="24"/>
          <w:szCs w:val="24"/>
        </w:rPr>
        <w:t>Las mediciones en ambientes exteriores e interiores fueron realizadas bajos los mismas condiciones de tiempo, espacio, tráfico y calibración, denotando que existe gran variabilidad en la comparación de los valores promedios de cada punto de medición con los dos procedimientos, ya que el comportamiento del espectro varía constantemente.</w:t>
      </w:r>
    </w:p>
    <w:p w:rsidR="0025315F" w:rsidRDefault="0025315F" w:rsidP="0025315F">
      <w:pPr>
        <w:numPr>
          <w:ilvl w:val="0"/>
          <w:numId w:val="34"/>
        </w:numPr>
        <w:spacing w:before="240" w:line="360" w:lineRule="auto"/>
        <w:jc w:val="both"/>
        <w:rPr>
          <w:rFonts w:ascii="Arial" w:hAnsi="Arial" w:cs="Arial"/>
          <w:sz w:val="24"/>
          <w:szCs w:val="24"/>
        </w:rPr>
      </w:pPr>
      <w:r>
        <w:rPr>
          <w:rFonts w:ascii="Arial" w:hAnsi="Arial" w:cs="Arial"/>
          <w:sz w:val="24"/>
          <w:szCs w:val="24"/>
        </w:rPr>
        <w:lastRenderedPageBreak/>
        <w:t>En general el procedimiento de medición 1 muestre levemente tener menos desviación estándar en los valores de relación porcentual máxima de las mediciones volviéndose más confiable, con respecto al procedimiento de medición 2, ya que la forma de obtener la respuesta isotrópica es automática en la antena del Narda SRM 3000 del procedimiento de medición 1, en cambio para la antena bicónica Field Nose PCD8250 del procedimiento 2 debe rotar 360º para luego obtener la respuesta isotrópica de la medición del espectro de radiofrecuencia .</w:t>
      </w:r>
    </w:p>
    <w:p w:rsidR="0025315F" w:rsidRDefault="0025315F" w:rsidP="0025315F">
      <w:pPr>
        <w:numPr>
          <w:ilvl w:val="0"/>
          <w:numId w:val="34"/>
        </w:numPr>
        <w:spacing w:before="240" w:line="360" w:lineRule="auto"/>
        <w:jc w:val="both"/>
        <w:rPr>
          <w:rFonts w:ascii="Arial" w:hAnsi="Arial" w:cs="Arial"/>
          <w:sz w:val="24"/>
          <w:szCs w:val="24"/>
        </w:rPr>
      </w:pPr>
      <w:r>
        <w:rPr>
          <w:rFonts w:ascii="Arial" w:hAnsi="Arial" w:cs="Arial"/>
          <w:sz w:val="24"/>
          <w:szCs w:val="24"/>
        </w:rPr>
        <w:t>Particularmente para las mediciones de Wireless LAN tenemos que el procedimiento de medición 2 presenta menos desviación en la que el procedimiento 1; aunque lo contrario sucede para las mediciones de telefonía celular, cabe recalcar que esta diferenciación es baja.</w:t>
      </w:r>
    </w:p>
    <w:p w:rsidR="0025315F" w:rsidRDefault="0025315F" w:rsidP="0025315F">
      <w:pPr>
        <w:numPr>
          <w:ilvl w:val="0"/>
          <w:numId w:val="34"/>
        </w:numPr>
        <w:spacing w:before="240" w:line="360" w:lineRule="auto"/>
        <w:jc w:val="both"/>
        <w:rPr>
          <w:rFonts w:ascii="Arial" w:hAnsi="Arial" w:cs="Arial"/>
          <w:sz w:val="24"/>
          <w:szCs w:val="24"/>
        </w:rPr>
      </w:pPr>
      <w:r>
        <w:rPr>
          <w:rFonts w:ascii="Arial" w:hAnsi="Arial" w:cs="Arial"/>
          <w:sz w:val="24"/>
          <w:szCs w:val="24"/>
        </w:rPr>
        <w:t>Del análisis de las mediciones a múltiples fuentes, tenemos que para los dos procedimientos de medición la contribución aditiva de las fuentes de telecomunicaciones en las bandas de telefonía móvil, televisión abierta, y radio FM, tiene una relación porcentual, en todos los casos, por debajo al 0,1% al límite establecido.</w:t>
      </w:r>
    </w:p>
    <w:p w:rsidR="0025315F" w:rsidRPr="005F549F" w:rsidRDefault="0025315F" w:rsidP="0025315F">
      <w:pPr>
        <w:numPr>
          <w:ilvl w:val="0"/>
          <w:numId w:val="34"/>
        </w:numPr>
        <w:spacing w:before="240" w:line="360" w:lineRule="auto"/>
        <w:jc w:val="both"/>
        <w:rPr>
          <w:rFonts w:ascii="Arial" w:hAnsi="Arial" w:cs="Arial"/>
          <w:sz w:val="24"/>
          <w:szCs w:val="24"/>
        </w:rPr>
      </w:pPr>
      <w:r w:rsidRPr="005A0298">
        <w:rPr>
          <w:rFonts w:ascii="Arial" w:hAnsi="Arial" w:cs="Arial"/>
          <w:sz w:val="24"/>
          <w:szCs w:val="24"/>
          <w:lang w:val="es-EC"/>
        </w:rPr>
        <w:t xml:space="preserve">Del conjunto de análisis realizados, todas las mediciones de Campo Eléctrico promedio cumplen en todos los casos con los Niveles de Referencia ICNIRP pues </w:t>
      </w:r>
      <w:r w:rsidRPr="005A0298">
        <w:rPr>
          <w:rFonts w:ascii="Arial" w:hAnsi="Arial" w:cs="Arial"/>
          <w:sz w:val="24"/>
          <w:szCs w:val="24"/>
        </w:rPr>
        <w:t>la relación máxima obtenida no sobrepasa el 10% para mediciones de WLAN y 6% para mediciones de telefonía móvil</w:t>
      </w:r>
      <w:r w:rsidRPr="005A0298">
        <w:rPr>
          <w:rFonts w:ascii="Arial" w:hAnsi="Arial" w:cs="Arial"/>
          <w:sz w:val="24"/>
          <w:szCs w:val="24"/>
          <w:lang w:val="es-EC"/>
        </w:rPr>
        <w:t xml:space="preserve"> tal forma se demuestra que no hay riesgo alguno para las personas que t</w:t>
      </w:r>
      <w:r>
        <w:rPr>
          <w:rFonts w:ascii="Arial" w:hAnsi="Arial" w:cs="Arial"/>
          <w:sz w:val="24"/>
          <w:szCs w:val="24"/>
          <w:lang w:val="es-EC"/>
        </w:rPr>
        <w:t>ransiten en la zona poblacional, cumpliendo en todos los sentidos las recomendaciones internacionales y estatales para la exposición humana a radiofrecuencias</w:t>
      </w:r>
    </w:p>
    <w:p w:rsidR="004A5D40" w:rsidRDefault="004A5D40" w:rsidP="00383067">
      <w:pPr>
        <w:numPr>
          <w:ilvl w:val="0"/>
          <w:numId w:val="34"/>
        </w:numPr>
        <w:tabs>
          <w:tab w:val="clear" w:pos="720"/>
          <w:tab w:val="num" w:pos="284"/>
        </w:tabs>
        <w:spacing w:before="240" w:line="360" w:lineRule="auto"/>
        <w:ind w:left="284" w:hanging="284"/>
        <w:jc w:val="both"/>
        <w:rPr>
          <w:rFonts w:ascii="Arial" w:hAnsi="Arial" w:cs="Arial"/>
          <w:sz w:val="24"/>
          <w:szCs w:val="24"/>
        </w:rPr>
        <w:sectPr w:rsidR="004A5D40" w:rsidSect="003A3F89">
          <w:pgSz w:w="11906" w:h="16838" w:code="9"/>
          <w:pgMar w:top="2268" w:right="1361" w:bottom="2268" w:left="2268" w:header="709" w:footer="709" w:gutter="0"/>
          <w:pgNumType w:start="1"/>
          <w:cols w:space="708"/>
          <w:titlePg/>
          <w:docGrid w:linePitch="360"/>
        </w:sectPr>
      </w:pPr>
    </w:p>
    <w:p w:rsidR="0025315F" w:rsidRPr="00047D9B" w:rsidRDefault="0025315F" w:rsidP="0025315F">
      <w:pPr>
        <w:spacing w:line="360" w:lineRule="auto"/>
        <w:jc w:val="both"/>
        <w:rPr>
          <w:rFonts w:ascii="Arial" w:hAnsi="Arial" w:cs="Arial"/>
          <w:sz w:val="24"/>
          <w:szCs w:val="24"/>
        </w:rPr>
      </w:pPr>
      <w:r>
        <w:rPr>
          <w:rFonts w:ascii="Arial" w:hAnsi="Arial" w:cs="Arial"/>
          <w:sz w:val="24"/>
          <w:szCs w:val="24"/>
        </w:rPr>
        <w:lastRenderedPageBreak/>
        <w:t>Las recomendaciones son</w:t>
      </w:r>
    </w:p>
    <w:p w:rsidR="0025315F" w:rsidRDefault="0025315F" w:rsidP="0025315F">
      <w:pPr>
        <w:pStyle w:val="ListParagraph"/>
        <w:numPr>
          <w:ilvl w:val="0"/>
          <w:numId w:val="41"/>
        </w:numPr>
        <w:spacing w:before="240" w:line="360" w:lineRule="auto"/>
        <w:ind w:left="284" w:hanging="284"/>
        <w:jc w:val="both"/>
        <w:rPr>
          <w:rFonts w:ascii="Arial" w:hAnsi="Arial" w:cs="Arial"/>
          <w:sz w:val="24"/>
          <w:szCs w:val="24"/>
        </w:rPr>
      </w:pPr>
      <w:r w:rsidRPr="0025315F">
        <w:rPr>
          <w:rFonts w:ascii="Arial" w:hAnsi="Arial" w:cs="Arial"/>
          <w:sz w:val="24"/>
          <w:szCs w:val="24"/>
        </w:rPr>
        <w:t>La hora de valoración de los puntos de medición es muy importante, escoger una hora inadecuada para la realización de las mediciones podría no considerar la condición de de máximo tráfico exigida para la evaluación de antenas emisoras.</w:t>
      </w:r>
    </w:p>
    <w:p w:rsidR="0025315F" w:rsidRDefault="0025315F" w:rsidP="0025315F">
      <w:pPr>
        <w:pStyle w:val="ListParagraph"/>
        <w:spacing w:before="240" w:line="360" w:lineRule="auto"/>
        <w:ind w:left="284"/>
        <w:jc w:val="both"/>
        <w:rPr>
          <w:rFonts w:ascii="Arial" w:hAnsi="Arial" w:cs="Arial"/>
          <w:sz w:val="24"/>
          <w:szCs w:val="24"/>
        </w:rPr>
      </w:pPr>
    </w:p>
    <w:p w:rsidR="0025315F" w:rsidRDefault="0025315F" w:rsidP="0025315F">
      <w:pPr>
        <w:pStyle w:val="ListParagraph"/>
        <w:numPr>
          <w:ilvl w:val="0"/>
          <w:numId w:val="41"/>
        </w:numPr>
        <w:spacing w:before="240" w:line="360" w:lineRule="auto"/>
        <w:ind w:left="284" w:hanging="284"/>
        <w:jc w:val="both"/>
        <w:rPr>
          <w:rFonts w:ascii="Arial" w:hAnsi="Arial" w:cs="Arial"/>
          <w:sz w:val="24"/>
          <w:szCs w:val="24"/>
        </w:rPr>
      </w:pPr>
      <w:r w:rsidRPr="0025315F">
        <w:rPr>
          <w:rFonts w:ascii="Arial" w:hAnsi="Arial" w:cs="Arial"/>
          <w:sz w:val="24"/>
          <w:szCs w:val="24"/>
        </w:rPr>
        <w:t>Un factor importante a considerar en la aplicación de tres alturas distintas para las mediciones de Campo Eléctrico, es el tiempo total, puesto que esto tomaría tres veces el tiempo normal de un procedimiento de medición, además del hecho que se realizan dos procedimientos de medición lo que duplica el trabajo; por lo que consideramos se debería tratar de lograr un compromiso entre estos dos factores.</w:t>
      </w:r>
    </w:p>
    <w:p w:rsidR="0025315F" w:rsidRPr="0025315F" w:rsidRDefault="0025315F" w:rsidP="0025315F">
      <w:pPr>
        <w:pStyle w:val="ListParagraph"/>
        <w:rPr>
          <w:rFonts w:ascii="Arial" w:hAnsi="Arial" w:cs="Arial"/>
          <w:sz w:val="24"/>
          <w:szCs w:val="24"/>
        </w:rPr>
      </w:pPr>
    </w:p>
    <w:p w:rsidR="0025315F" w:rsidRDefault="0025315F" w:rsidP="0025315F">
      <w:pPr>
        <w:pStyle w:val="ListParagraph"/>
        <w:numPr>
          <w:ilvl w:val="0"/>
          <w:numId w:val="41"/>
        </w:numPr>
        <w:spacing w:before="240" w:line="360" w:lineRule="auto"/>
        <w:ind w:left="284" w:hanging="284"/>
        <w:jc w:val="both"/>
        <w:rPr>
          <w:rFonts w:ascii="Arial" w:hAnsi="Arial" w:cs="Arial"/>
          <w:sz w:val="24"/>
          <w:szCs w:val="24"/>
        </w:rPr>
      </w:pPr>
      <w:r w:rsidRPr="0025315F">
        <w:rPr>
          <w:rFonts w:ascii="Arial" w:hAnsi="Arial" w:cs="Arial"/>
          <w:sz w:val="24"/>
          <w:szCs w:val="24"/>
        </w:rPr>
        <w:t>En la realización de las mediciones al momento de documentar se debe verificar la realización de las mediciones en todos los puntos preestablecidos a demás de llevar un orden en el procesamiento de los datos obtenidos.</w:t>
      </w:r>
    </w:p>
    <w:p w:rsidR="0025315F" w:rsidRPr="0025315F" w:rsidRDefault="0025315F" w:rsidP="0025315F">
      <w:pPr>
        <w:pStyle w:val="ListParagraph"/>
        <w:rPr>
          <w:rFonts w:ascii="Arial" w:hAnsi="Arial" w:cs="Arial"/>
          <w:sz w:val="24"/>
          <w:szCs w:val="24"/>
        </w:rPr>
      </w:pPr>
    </w:p>
    <w:p w:rsidR="0025315F" w:rsidRDefault="0025315F" w:rsidP="0025315F">
      <w:pPr>
        <w:pStyle w:val="ListParagraph"/>
        <w:numPr>
          <w:ilvl w:val="0"/>
          <w:numId w:val="41"/>
        </w:numPr>
        <w:spacing w:before="240" w:line="360" w:lineRule="auto"/>
        <w:ind w:left="284" w:hanging="284"/>
        <w:jc w:val="both"/>
        <w:rPr>
          <w:rFonts w:ascii="Arial" w:hAnsi="Arial" w:cs="Arial"/>
          <w:sz w:val="24"/>
          <w:szCs w:val="24"/>
        </w:rPr>
      </w:pPr>
      <w:r w:rsidRPr="0025315F">
        <w:rPr>
          <w:rFonts w:ascii="Arial" w:hAnsi="Arial" w:cs="Arial"/>
          <w:sz w:val="24"/>
          <w:szCs w:val="24"/>
        </w:rPr>
        <w:t>Como futuro proyecto se puede recomendar la realización de mediciones en periodos extensos lo cual se puede realizar de manera efectiva con el equipo Fiel Nose PCD 8250, ya que en su opciones en el software de operación se puede repetir las mediciones las veces necesarias, en un tiempo preestablecido, para las banda</w:t>
      </w:r>
      <w:r>
        <w:rPr>
          <w:rFonts w:ascii="Arial" w:hAnsi="Arial" w:cs="Arial"/>
          <w:sz w:val="24"/>
          <w:szCs w:val="24"/>
        </w:rPr>
        <w:t>s</w:t>
      </w:r>
      <w:r w:rsidRPr="0025315F">
        <w:rPr>
          <w:rFonts w:ascii="Arial" w:hAnsi="Arial" w:cs="Arial"/>
          <w:sz w:val="24"/>
          <w:szCs w:val="24"/>
        </w:rPr>
        <w:t xml:space="preserve"> de frecuencia a determinar.</w:t>
      </w:r>
    </w:p>
    <w:p w:rsidR="0025315F" w:rsidRPr="0025315F" w:rsidRDefault="0025315F" w:rsidP="0025315F">
      <w:pPr>
        <w:pStyle w:val="ListParagraph"/>
        <w:rPr>
          <w:rFonts w:ascii="Arial" w:hAnsi="Arial" w:cs="Arial"/>
          <w:sz w:val="24"/>
          <w:szCs w:val="24"/>
        </w:rPr>
      </w:pPr>
    </w:p>
    <w:p w:rsidR="0025315F" w:rsidRPr="0025315F" w:rsidRDefault="0025315F" w:rsidP="0025315F">
      <w:pPr>
        <w:pStyle w:val="ListParagraph"/>
        <w:numPr>
          <w:ilvl w:val="0"/>
          <w:numId w:val="41"/>
        </w:numPr>
        <w:spacing w:before="240" w:line="360" w:lineRule="auto"/>
        <w:ind w:left="284" w:hanging="284"/>
        <w:jc w:val="both"/>
        <w:rPr>
          <w:rFonts w:ascii="Arial" w:hAnsi="Arial" w:cs="Arial"/>
          <w:sz w:val="24"/>
          <w:szCs w:val="24"/>
        </w:rPr>
      </w:pPr>
      <w:r w:rsidRPr="0025315F">
        <w:rPr>
          <w:rFonts w:ascii="Arial" w:hAnsi="Arial" w:cs="Arial"/>
          <w:sz w:val="24"/>
          <w:szCs w:val="24"/>
        </w:rPr>
        <w:t>Otra opción para futuro proyecto es el análisis a múltiples fuentes de radiaciones no ionizantes en sectores de mayor concentración de personas en predios de ESPOL.</w:t>
      </w:r>
    </w:p>
    <w:p w:rsidR="00151CD7" w:rsidRDefault="00151CD7" w:rsidP="004A5D40">
      <w:pPr>
        <w:spacing w:before="240" w:line="360" w:lineRule="auto"/>
        <w:ind w:left="284"/>
        <w:jc w:val="both"/>
        <w:rPr>
          <w:rFonts w:ascii="Arial" w:hAnsi="Arial" w:cs="Arial"/>
          <w:sz w:val="24"/>
          <w:szCs w:val="24"/>
        </w:rPr>
        <w:sectPr w:rsidR="00151CD7" w:rsidSect="004A5D40">
          <w:pgSz w:w="11906" w:h="16838" w:code="9"/>
          <w:pgMar w:top="2268" w:right="1361" w:bottom="2268" w:left="2268" w:header="709" w:footer="709" w:gutter="0"/>
          <w:pgNumType w:start="1"/>
          <w:cols w:space="708"/>
          <w:titlePg/>
          <w:docGrid w:linePitch="360"/>
        </w:sectPr>
      </w:pPr>
    </w:p>
    <w:p w:rsidR="00FF6DAD" w:rsidRDefault="00FF6DAD" w:rsidP="004A5D40">
      <w:pPr>
        <w:spacing w:before="240" w:line="360" w:lineRule="auto"/>
        <w:ind w:left="284"/>
        <w:jc w:val="both"/>
        <w:rPr>
          <w:rFonts w:ascii="Arial" w:hAnsi="Arial" w:cs="Arial"/>
          <w:sz w:val="24"/>
          <w:szCs w:val="24"/>
        </w:rPr>
      </w:pPr>
    </w:p>
    <w:p w:rsidR="00835F3E" w:rsidRDefault="00835F3E" w:rsidP="00835F3E">
      <w:pPr>
        <w:spacing w:before="240" w:line="360" w:lineRule="auto"/>
        <w:jc w:val="both"/>
        <w:rPr>
          <w:rFonts w:ascii="Arial" w:hAnsi="Arial" w:cs="Arial"/>
          <w:sz w:val="24"/>
          <w:szCs w:val="24"/>
        </w:rPr>
      </w:pPr>
    </w:p>
    <w:p w:rsidR="00835F3E" w:rsidRDefault="00835F3E" w:rsidP="00835F3E">
      <w:pPr>
        <w:tabs>
          <w:tab w:val="left" w:pos="3090"/>
          <w:tab w:val="center" w:pos="4564"/>
        </w:tabs>
        <w:spacing w:line="360" w:lineRule="auto"/>
        <w:ind w:left="851"/>
        <w:rPr>
          <w:rFonts w:ascii="Arial" w:hAnsi="Arial" w:cs="Arial"/>
          <w:sz w:val="48"/>
          <w:szCs w:val="48"/>
        </w:rPr>
      </w:pPr>
    </w:p>
    <w:p w:rsidR="00835F3E" w:rsidRDefault="00835F3E" w:rsidP="00835F3E">
      <w:pPr>
        <w:tabs>
          <w:tab w:val="left" w:pos="3090"/>
          <w:tab w:val="center" w:pos="4564"/>
        </w:tabs>
        <w:spacing w:line="360" w:lineRule="auto"/>
        <w:ind w:left="851"/>
        <w:rPr>
          <w:rFonts w:ascii="Arial" w:hAnsi="Arial" w:cs="Arial"/>
          <w:sz w:val="48"/>
          <w:szCs w:val="48"/>
        </w:rPr>
      </w:pPr>
    </w:p>
    <w:p w:rsidR="00835F3E" w:rsidRDefault="00835F3E" w:rsidP="00835F3E">
      <w:pPr>
        <w:tabs>
          <w:tab w:val="left" w:pos="3090"/>
          <w:tab w:val="center" w:pos="4564"/>
        </w:tabs>
        <w:spacing w:line="360" w:lineRule="auto"/>
        <w:ind w:left="851"/>
        <w:rPr>
          <w:rFonts w:ascii="Arial" w:hAnsi="Arial" w:cs="Arial"/>
          <w:sz w:val="48"/>
          <w:szCs w:val="48"/>
        </w:rPr>
      </w:pPr>
    </w:p>
    <w:p w:rsidR="00835F3E" w:rsidRDefault="00835F3E" w:rsidP="00835F3E">
      <w:pPr>
        <w:tabs>
          <w:tab w:val="left" w:pos="3090"/>
          <w:tab w:val="center" w:pos="4564"/>
        </w:tabs>
        <w:spacing w:line="360" w:lineRule="auto"/>
        <w:ind w:left="851"/>
        <w:rPr>
          <w:rFonts w:ascii="Arial" w:hAnsi="Arial" w:cs="Arial"/>
          <w:sz w:val="48"/>
          <w:szCs w:val="48"/>
        </w:rPr>
      </w:pPr>
    </w:p>
    <w:p w:rsidR="00835F3E" w:rsidRDefault="00835F3E" w:rsidP="00835F3E">
      <w:pPr>
        <w:tabs>
          <w:tab w:val="left" w:pos="3090"/>
          <w:tab w:val="center" w:pos="4564"/>
        </w:tabs>
        <w:spacing w:line="360" w:lineRule="auto"/>
        <w:ind w:left="851"/>
        <w:rPr>
          <w:rFonts w:ascii="Arial" w:hAnsi="Arial" w:cs="Arial"/>
          <w:sz w:val="48"/>
          <w:szCs w:val="48"/>
        </w:rPr>
      </w:pPr>
      <w:r>
        <w:rPr>
          <w:rFonts w:ascii="Arial" w:hAnsi="Arial" w:cs="Arial"/>
          <w:sz w:val="48"/>
          <w:szCs w:val="48"/>
        </w:rPr>
        <w:tab/>
      </w:r>
      <w:r w:rsidRPr="00B23055">
        <w:rPr>
          <w:rFonts w:ascii="Arial" w:hAnsi="Arial" w:cs="Arial"/>
          <w:sz w:val="48"/>
          <w:szCs w:val="48"/>
        </w:rPr>
        <w:t>ANEXOS</w:t>
      </w: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4A5D40" w:rsidRDefault="004A5D40" w:rsidP="00835F3E">
      <w:pPr>
        <w:spacing w:line="360" w:lineRule="auto"/>
        <w:ind w:left="851"/>
        <w:jc w:val="center"/>
        <w:rPr>
          <w:rFonts w:ascii="Arial" w:hAnsi="Arial" w:cs="Arial"/>
          <w:sz w:val="48"/>
          <w:szCs w:val="48"/>
        </w:rPr>
        <w:sectPr w:rsidR="004A5D40" w:rsidSect="004A5D40">
          <w:pgSz w:w="11906" w:h="16838" w:code="9"/>
          <w:pgMar w:top="2268" w:right="1361" w:bottom="2268" w:left="2268" w:header="709" w:footer="709" w:gutter="0"/>
          <w:pgNumType w:start="1"/>
          <w:cols w:space="708"/>
          <w:titlePg/>
          <w:docGrid w:linePitch="360"/>
        </w:sect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bookmarkStart w:id="0" w:name="OLE_LINK7"/>
      <w:bookmarkStart w:id="1" w:name="OLE_LINK8"/>
      <w:r>
        <w:rPr>
          <w:rFonts w:ascii="Arial" w:hAnsi="Arial" w:cs="Arial"/>
          <w:sz w:val="48"/>
          <w:szCs w:val="48"/>
        </w:rPr>
        <w:t>ANEXO A</w:t>
      </w: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835F3E" w:rsidRDefault="00835F3E" w:rsidP="00835F3E">
      <w:pPr>
        <w:spacing w:line="360" w:lineRule="auto"/>
        <w:ind w:left="851"/>
        <w:jc w:val="center"/>
        <w:rPr>
          <w:rFonts w:ascii="Arial" w:hAnsi="Arial" w:cs="Arial"/>
          <w:sz w:val="48"/>
          <w:szCs w:val="48"/>
        </w:rPr>
      </w:pPr>
    </w:p>
    <w:p w:rsidR="004A5D40" w:rsidRDefault="004A5D40" w:rsidP="00835F3E">
      <w:pPr>
        <w:spacing w:line="360" w:lineRule="auto"/>
        <w:ind w:left="851"/>
        <w:jc w:val="center"/>
        <w:rPr>
          <w:rFonts w:ascii="Arial" w:hAnsi="Arial" w:cs="Arial"/>
          <w:sz w:val="48"/>
          <w:szCs w:val="48"/>
        </w:rPr>
        <w:sectPr w:rsidR="004A5D40" w:rsidSect="004A5D40">
          <w:pgSz w:w="11906" w:h="16838" w:code="9"/>
          <w:pgMar w:top="2268" w:right="1361" w:bottom="2268" w:left="2268" w:header="709" w:footer="709" w:gutter="0"/>
          <w:pgNumType w:start="1"/>
          <w:cols w:space="708"/>
          <w:titlePg/>
          <w:docGrid w:linePitch="360"/>
        </w:sectPr>
      </w:pPr>
    </w:p>
    <w:p w:rsidR="00835F3E" w:rsidRDefault="00835F3E" w:rsidP="00835F3E">
      <w:pPr>
        <w:spacing w:line="360" w:lineRule="auto"/>
        <w:ind w:left="851"/>
        <w:jc w:val="center"/>
        <w:rPr>
          <w:rFonts w:ascii="Arial" w:hAnsi="Arial" w:cs="Arial"/>
          <w:sz w:val="48"/>
          <w:szCs w:val="48"/>
        </w:rPr>
      </w:pPr>
    </w:p>
    <w:bookmarkEnd w:id="0"/>
    <w:bookmarkEnd w:id="1"/>
    <w:p w:rsidR="00C17E80" w:rsidRDefault="00C17E80" w:rsidP="00835F3E">
      <w:pPr>
        <w:rPr>
          <w:noProof/>
          <w:lang w:eastAsia="es-ES"/>
        </w:rPr>
      </w:pPr>
    </w:p>
    <w:p w:rsidR="00C17E80" w:rsidRDefault="00C17E80" w:rsidP="00835F3E">
      <w:pPr>
        <w:rPr>
          <w:noProof/>
          <w:lang w:eastAsia="es-ES"/>
        </w:rPr>
      </w:pPr>
    </w:p>
    <w:p w:rsidR="00C17E80" w:rsidRDefault="00C17E80" w:rsidP="00835F3E">
      <w:pPr>
        <w:rPr>
          <w:noProof/>
          <w:lang w:eastAsia="es-ES"/>
        </w:rPr>
      </w:pPr>
    </w:p>
    <w:p w:rsidR="00C17E80" w:rsidRDefault="00C17E80" w:rsidP="00835F3E">
      <w:pPr>
        <w:rPr>
          <w:noProof/>
          <w:lang w:eastAsia="es-ES"/>
        </w:rPr>
      </w:pPr>
    </w:p>
    <w:p w:rsidR="00C17E80" w:rsidRDefault="00C17E80" w:rsidP="00835F3E">
      <w:pPr>
        <w:rPr>
          <w:noProof/>
          <w:lang w:eastAsia="es-ES"/>
        </w:rPr>
      </w:pPr>
    </w:p>
    <w:p w:rsidR="00C17E80" w:rsidRDefault="00C17E80" w:rsidP="00835F3E">
      <w:pPr>
        <w:rPr>
          <w:noProof/>
          <w:lang w:eastAsia="es-ES"/>
        </w:rPr>
      </w:pPr>
    </w:p>
    <w:p w:rsidR="00C17E80" w:rsidRDefault="00C17E80" w:rsidP="00835F3E">
      <w:pPr>
        <w:rPr>
          <w:noProof/>
          <w:lang w:eastAsia="es-ES"/>
        </w:rPr>
      </w:pPr>
    </w:p>
    <w:p w:rsidR="004A5D40" w:rsidRDefault="00835F3E" w:rsidP="00C17E80">
      <w:pPr>
        <w:jc w:val="center"/>
        <w:rPr>
          <w:rFonts w:ascii="Arial" w:hAnsi="Arial" w:cs="Arial"/>
          <w:b/>
          <w:noProof/>
          <w:sz w:val="24"/>
          <w:szCs w:val="24"/>
          <w:lang w:eastAsia="es-ES"/>
        </w:rPr>
        <w:sectPr w:rsidR="004A5D40" w:rsidSect="004A5D40">
          <w:pgSz w:w="11906" w:h="16838" w:code="9"/>
          <w:pgMar w:top="2268" w:right="1361" w:bottom="2268" w:left="2268" w:header="709" w:footer="709" w:gutter="0"/>
          <w:pgNumType w:start="1"/>
          <w:cols w:space="708"/>
          <w:titlePg/>
          <w:docGrid w:linePitch="360"/>
        </w:sectPr>
      </w:pPr>
      <w:r w:rsidRPr="00C17E80">
        <w:rPr>
          <w:rFonts w:ascii="Arial" w:hAnsi="Arial" w:cs="Arial"/>
          <w:b/>
          <w:noProof/>
          <w:sz w:val="24"/>
          <w:szCs w:val="24"/>
          <w:lang w:eastAsia="es-ES"/>
        </w:rPr>
        <w:t xml:space="preserve">RESULTADOS PARA LOS PUNTOS MEDIDOS </w:t>
      </w:r>
      <w:r w:rsidR="00C17E80" w:rsidRPr="00C17E80">
        <w:rPr>
          <w:rFonts w:ascii="Arial" w:hAnsi="Arial" w:cs="Arial"/>
          <w:b/>
          <w:noProof/>
          <w:sz w:val="24"/>
          <w:szCs w:val="24"/>
          <w:lang w:eastAsia="es-ES"/>
        </w:rPr>
        <w:t>CON EL PROCEDIMIENTO DE MEDICIÓN 1</w:t>
      </w:r>
      <w:r w:rsidR="00C17E80">
        <w:rPr>
          <w:rFonts w:ascii="Arial" w:hAnsi="Arial" w:cs="Arial"/>
          <w:b/>
          <w:noProof/>
          <w:sz w:val="24"/>
          <w:szCs w:val="24"/>
          <w:lang w:eastAsia="es-ES"/>
        </w:rPr>
        <w:t xml:space="preserve"> Y RELACIÓN PORCENTUAL CON LOS LÍMITES DE EXPOSICION POBLACIONAL</w:t>
      </w:r>
    </w:p>
    <w:p w:rsidR="004A5D40" w:rsidRDefault="00362759" w:rsidP="00835F3E">
      <w:pPr>
        <w:jc w:val="center"/>
        <w:rPr>
          <w:noProof/>
          <w:lang w:eastAsia="es-ES"/>
        </w:rPr>
        <w:sectPr w:rsidR="004A5D40" w:rsidSect="004A5D40">
          <w:pgSz w:w="11906" w:h="16838" w:code="9"/>
          <w:pgMar w:top="2268" w:right="1361" w:bottom="2268" w:left="2268" w:header="709" w:footer="709" w:gutter="0"/>
          <w:pgNumType w:start="1"/>
          <w:cols w:space="708"/>
          <w:titlePg/>
          <w:docGrid w:linePitch="360"/>
        </w:sectPr>
      </w:pPr>
      <w:r>
        <w:rPr>
          <w:noProof/>
          <w:lang w:eastAsia="es-ES"/>
        </w:rPr>
        <w:lastRenderedPageBreak/>
        <w:drawing>
          <wp:inline distT="0" distB="0" distL="0" distR="0">
            <wp:extent cx="4886560" cy="7756634"/>
            <wp:effectExtent l="19050" t="0" r="929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4" cstate="print"/>
                    <a:srcRect/>
                    <a:stretch>
                      <a:fillRect/>
                    </a:stretch>
                  </pic:blipFill>
                  <pic:spPr bwMode="auto">
                    <a:xfrm>
                      <a:off x="0" y="0"/>
                      <a:ext cx="4889500" cy="7761300"/>
                    </a:xfrm>
                    <a:prstGeom prst="rect">
                      <a:avLst/>
                    </a:prstGeom>
                    <a:noFill/>
                    <a:ln w="9525">
                      <a:noFill/>
                      <a:miter lim="800000"/>
                      <a:headEnd/>
                      <a:tailEnd/>
                    </a:ln>
                  </pic:spPr>
                </pic:pic>
              </a:graphicData>
            </a:graphic>
          </wp:inline>
        </w:drawing>
      </w:r>
    </w:p>
    <w:p w:rsidR="004A5D40" w:rsidRDefault="00362759" w:rsidP="00835F3E">
      <w:pPr>
        <w:jc w:val="center"/>
        <w:rPr>
          <w:noProof/>
          <w:lang w:eastAsia="es-ES"/>
        </w:rPr>
        <w:sectPr w:rsidR="004A5D40" w:rsidSect="004A5D40">
          <w:pgSz w:w="11906" w:h="16838" w:code="9"/>
          <w:pgMar w:top="2268" w:right="1361" w:bottom="2268" w:left="2268" w:header="709" w:footer="709" w:gutter="0"/>
          <w:pgNumType w:start="1"/>
          <w:cols w:space="708"/>
          <w:titlePg/>
          <w:docGrid w:linePitch="360"/>
        </w:sectPr>
      </w:pPr>
      <w:r>
        <w:rPr>
          <w:noProof/>
          <w:lang w:eastAsia="es-ES"/>
        </w:rPr>
        <w:lastRenderedPageBreak/>
        <w:drawing>
          <wp:inline distT="0" distB="0" distL="0" distR="0">
            <wp:extent cx="4521419" cy="7756634"/>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5" cstate="print"/>
                    <a:srcRect/>
                    <a:stretch>
                      <a:fillRect/>
                    </a:stretch>
                  </pic:blipFill>
                  <pic:spPr bwMode="auto">
                    <a:xfrm>
                      <a:off x="0" y="0"/>
                      <a:ext cx="4533900" cy="7778046"/>
                    </a:xfrm>
                    <a:prstGeom prst="rect">
                      <a:avLst/>
                    </a:prstGeom>
                    <a:noFill/>
                    <a:ln w="9525">
                      <a:noFill/>
                      <a:miter lim="800000"/>
                      <a:headEnd/>
                      <a:tailEnd/>
                    </a:ln>
                  </pic:spPr>
                </pic:pic>
              </a:graphicData>
            </a:graphic>
          </wp:inline>
        </w:drawing>
      </w:r>
    </w:p>
    <w:p w:rsidR="004A5D40" w:rsidRDefault="00362759" w:rsidP="00FF31BC">
      <w:pPr>
        <w:jc w:val="right"/>
        <w:rPr>
          <w:noProof/>
          <w:lang w:eastAsia="es-ES"/>
        </w:rPr>
        <w:sectPr w:rsidR="004A5D40" w:rsidSect="004A5D40">
          <w:pgSz w:w="11906" w:h="16838" w:code="9"/>
          <w:pgMar w:top="2268" w:right="1361" w:bottom="2268" w:left="2268" w:header="709" w:footer="709" w:gutter="0"/>
          <w:pgNumType w:start="1"/>
          <w:cols w:space="708"/>
          <w:titlePg/>
          <w:docGrid w:linePitch="360"/>
        </w:sectPr>
      </w:pPr>
      <w:r>
        <w:rPr>
          <w:noProof/>
          <w:lang w:eastAsia="es-ES"/>
        </w:rPr>
        <w:lastRenderedPageBreak/>
        <w:drawing>
          <wp:inline distT="0" distB="0" distL="0" distR="0">
            <wp:extent cx="4876800" cy="7759700"/>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srcRect/>
                    <a:stretch>
                      <a:fillRect/>
                    </a:stretch>
                  </pic:blipFill>
                  <pic:spPr bwMode="auto">
                    <a:xfrm>
                      <a:off x="0" y="0"/>
                      <a:ext cx="4876800" cy="7759700"/>
                    </a:xfrm>
                    <a:prstGeom prst="rect">
                      <a:avLst/>
                    </a:prstGeom>
                    <a:noFill/>
                    <a:ln w="9525">
                      <a:noFill/>
                      <a:miter lim="800000"/>
                      <a:headEnd/>
                      <a:tailEnd/>
                    </a:ln>
                  </pic:spPr>
                </pic:pic>
              </a:graphicData>
            </a:graphic>
          </wp:inline>
        </w:drawing>
      </w:r>
    </w:p>
    <w:p w:rsidR="004A5D40" w:rsidRDefault="00835F3E" w:rsidP="00FF31BC">
      <w:pPr>
        <w:jc w:val="right"/>
        <w:rPr>
          <w:noProof/>
          <w:lang w:eastAsia="es-ES"/>
        </w:rPr>
        <w:sectPr w:rsidR="004A5D40" w:rsidSect="004A5D40">
          <w:pgSz w:w="11906" w:h="16838" w:code="9"/>
          <w:pgMar w:top="2268" w:right="1361" w:bottom="2268" w:left="2268" w:header="709" w:footer="709" w:gutter="0"/>
          <w:pgNumType w:start="1"/>
          <w:cols w:space="708"/>
          <w:titlePg/>
          <w:docGrid w:linePitch="360"/>
        </w:sectPr>
      </w:pPr>
      <w:r>
        <w:rPr>
          <w:noProof/>
          <w:lang w:eastAsia="es-ES"/>
        </w:rPr>
        <w:lastRenderedPageBreak/>
        <w:t>OVISTAR</w:t>
      </w:r>
      <w:r w:rsidR="00362759">
        <w:rPr>
          <w:noProof/>
          <w:lang w:eastAsia="es-ES"/>
        </w:rPr>
        <w:drawing>
          <wp:inline distT="0" distB="0" distL="0" distR="0">
            <wp:extent cx="4457700" cy="88138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7" cstate="print"/>
                    <a:srcRect/>
                    <a:stretch>
                      <a:fillRect/>
                    </a:stretch>
                  </pic:blipFill>
                  <pic:spPr bwMode="auto">
                    <a:xfrm>
                      <a:off x="0" y="0"/>
                      <a:ext cx="4457700" cy="8813800"/>
                    </a:xfrm>
                    <a:prstGeom prst="rect">
                      <a:avLst/>
                    </a:prstGeom>
                    <a:noFill/>
                    <a:ln w="9525">
                      <a:noFill/>
                      <a:miter lim="800000"/>
                      <a:headEnd/>
                      <a:tailEnd/>
                    </a:ln>
                  </pic:spPr>
                </pic:pic>
              </a:graphicData>
            </a:graphic>
          </wp:inline>
        </w:drawing>
      </w:r>
    </w:p>
    <w:p w:rsidR="00C17E80" w:rsidRDefault="00C17E80" w:rsidP="00C17E80">
      <w:pPr>
        <w:ind w:right="-285"/>
      </w:pPr>
      <w:r>
        <w:lastRenderedPageBreak/>
        <w:t>R</w:t>
      </w:r>
      <w:r w:rsidRPr="005433D2">
        <w:t>esultados para los puntos</w:t>
      </w:r>
      <w:r>
        <w:t xml:space="preserve"> de medición Wireless LAN</w:t>
      </w:r>
    </w:p>
    <w:tbl>
      <w:tblPr>
        <w:tblW w:w="8875" w:type="dxa"/>
        <w:tblInd w:w="60" w:type="dxa"/>
        <w:tblCellMar>
          <w:left w:w="70" w:type="dxa"/>
          <w:right w:w="70" w:type="dxa"/>
        </w:tblCellMar>
        <w:tblLook w:val="04A0"/>
      </w:tblPr>
      <w:tblGrid>
        <w:gridCol w:w="1124"/>
        <w:gridCol w:w="700"/>
        <w:gridCol w:w="845"/>
        <w:gridCol w:w="851"/>
        <w:gridCol w:w="929"/>
        <w:gridCol w:w="1124"/>
        <w:gridCol w:w="677"/>
        <w:gridCol w:w="845"/>
        <w:gridCol w:w="851"/>
        <w:gridCol w:w="929"/>
      </w:tblGrid>
      <w:tr w:rsidR="00C17E80" w:rsidRPr="005433D2" w:rsidTr="00C17E80">
        <w:trPr>
          <w:trHeight w:val="22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8"/>
                <w:szCs w:val="18"/>
                <w:lang w:eastAsia="es-ES"/>
              </w:rPr>
            </w:pPr>
            <w:r w:rsidRPr="005433D2">
              <w:rPr>
                <w:rFonts w:eastAsia="Times New Roman"/>
                <w:b/>
                <w:bCs/>
                <w:color w:val="000000"/>
                <w:sz w:val="18"/>
                <w:szCs w:val="18"/>
                <w:lang w:eastAsia="es-ES"/>
              </w:rPr>
              <w:t>Punto de Medición</w:t>
            </w:r>
          </w:p>
        </w:tc>
        <w:tc>
          <w:tcPr>
            <w:tcW w:w="700" w:type="dxa"/>
            <w:vMerge w:val="restart"/>
            <w:tcBorders>
              <w:top w:val="single" w:sz="8" w:space="0" w:color="auto"/>
              <w:left w:val="nil"/>
              <w:bottom w:val="single" w:sz="8" w:space="0" w:color="000000"/>
              <w:right w:val="nil"/>
            </w:tcBorders>
            <w:shd w:val="clear" w:color="auto" w:fill="auto"/>
            <w:noWrap/>
            <w:vAlign w:val="center"/>
            <w:hideMark/>
          </w:tcPr>
          <w:p w:rsidR="00C17E80" w:rsidRPr="005433D2" w:rsidRDefault="00C17E80" w:rsidP="00C17E80">
            <w:pPr>
              <w:spacing w:after="0" w:line="240" w:lineRule="auto"/>
              <w:jc w:val="center"/>
              <w:rPr>
                <w:rFonts w:eastAsia="Times New Roman"/>
                <w:b/>
                <w:bCs/>
                <w:color w:val="000000"/>
                <w:sz w:val="18"/>
                <w:szCs w:val="18"/>
                <w:lang w:eastAsia="es-ES"/>
              </w:rPr>
            </w:pPr>
            <w:r w:rsidRPr="005433D2">
              <w:rPr>
                <w:rFonts w:eastAsia="Times New Roman"/>
                <w:b/>
                <w:bCs/>
                <w:color w:val="000000"/>
                <w:sz w:val="18"/>
                <w:szCs w:val="18"/>
                <w:lang w:eastAsia="es-ES"/>
              </w:rPr>
              <w:t>Alturas</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Intensidad Campo Eléctrico [V/m]</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Límite de Referencia [V/m]</w:t>
            </w:r>
          </w:p>
        </w:tc>
        <w:tc>
          <w:tcPr>
            <w:tcW w:w="929" w:type="dxa"/>
            <w:vMerge w:val="restart"/>
            <w:tcBorders>
              <w:top w:val="single" w:sz="8" w:space="0" w:color="auto"/>
              <w:left w:val="nil"/>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Intensidad Campo Elec./Limite Ref. [%]</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8"/>
                <w:szCs w:val="18"/>
                <w:lang w:eastAsia="es-ES"/>
              </w:rPr>
            </w:pPr>
            <w:r w:rsidRPr="005433D2">
              <w:rPr>
                <w:rFonts w:eastAsia="Times New Roman"/>
                <w:b/>
                <w:bCs/>
                <w:color w:val="000000"/>
                <w:sz w:val="18"/>
                <w:szCs w:val="18"/>
                <w:lang w:eastAsia="es-ES"/>
              </w:rPr>
              <w:t>Punto de Medición</w:t>
            </w:r>
          </w:p>
        </w:tc>
        <w:tc>
          <w:tcPr>
            <w:tcW w:w="677" w:type="dxa"/>
            <w:vMerge w:val="restart"/>
            <w:tcBorders>
              <w:top w:val="single" w:sz="8" w:space="0" w:color="auto"/>
              <w:left w:val="single" w:sz="8" w:space="0" w:color="auto"/>
              <w:bottom w:val="single" w:sz="8" w:space="0" w:color="000000"/>
              <w:right w:val="nil"/>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8"/>
                <w:szCs w:val="18"/>
                <w:lang w:eastAsia="es-ES"/>
              </w:rPr>
            </w:pPr>
            <w:r w:rsidRPr="005433D2">
              <w:rPr>
                <w:rFonts w:eastAsia="Times New Roman"/>
                <w:b/>
                <w:bCs/>
                <w:color w:val="000000"/>
                <w:sz w:val="18"/>
                <w:szCs w:val="18"/>
                <w:lang w:eastAsia="es-ES"/>
              </w:rPr>
              <w:t>Alturas</w:t>
            </w:r>
          </w:p>
        </w:tc>
        <w:tc>
          <w:tcPr>
            <w:tcW w:w="8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Intensidad Campo Eléctrico [V/m]</w:t>
            </w:r>
          </w:p>
        </w:tc>
        <w:tc>
          <w:tcPr>
            <w:tcW w:w="851" w:type="dxa"/>
            <w:vMerge w:val="restart"/>
            <w:tcBorders>
              <w:top w:val="single" w:sz="8" w:space="0" w:color="auto"/>
              <w:left w:val="nil"/>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Límite de Referencia [V/m]</w:t>
            </w:r>
          </w:p>
        </w:tc>
        <w:tc>
          <w:tcPr>
            <w:tcW w:w="929" w:type="dxa"/>
            <w:vMerge w:val="restart"/>
            <w:tcBorders>
              <w:top w:val="single" w:sz="8" w:space="0" w:color="auto"/>
              <w:left w:val="nil"/>
              <w:bottom w:val="single" w:sz="8" w:space="0" w:color="000000"/>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b/>
                <w:bCs/>
                <w:color w:val="000000"/>
                <w:sz w:val="16"/>
                <w:szCs w:val="16"/>
                <w:lang w:eastAsia="es-ES"/>
              </w:rPr>
            </w:pPr>
            <w:r w:rsidRPr="005433D2">
              <w:rPr>
                <w:rFonts w:eastAsia="Times New Roman"/>
                <w:b/>
                <w:bCs/>
                <w:color w:val="000000"/>
                <w:sz w:val="16"/>
                <w:szCs w:val="16"/>
                <w:lang w:eastAsia="es-ES"/>
              </w:rPr>
              <w:t>Intensidad Campo Elec./Limite Ref. [%]</w:t>
            </w:r>
          </w:p>
        </w:tc>
      </w:tr>
      <w:tr w:rsidR="00C17E80" w:rsidRPr="005433D2" w:rsidTr="00C17E80">
        <w:trPr>
          <w:trHeight w:val="22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700" w:type="dxa"/>
            <w:vMerge/>
            <w:tcBorders>
              <w:top w:val="single" w:sz="8" w:space="0" w:color="auto"/>
              <w:left w:val="nil"/>
              <w:bottom w:val="single" w:sz="8" w:space="0" w:color="000000"/>
              <w:right w:val="nil"/>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929"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677" w:type="dxa"/>
            <w:vMerge/>
            <w:tcBorders>
              <w:top w:val="single" w:sz="8" w:space="0" w:color="auto"/>
              <w:left w:val="single" w:sz="8" w:space="0" w:color="auto"/>
              <w:bottom w:val="single" w:sz="8" w:space="0" w:color="000000"/>
              <w:right w:val="nil"/>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851"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929"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r>
      <w:tr w:rsidR="00C17E80" w:rsidRPr="005433D2" w:rsidTr="00C17E80">
        <w:trPr>
          <w:trHeight w:val="22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700" w:type="dxa"/>
            <w:vMerge/>
            <w:tcBorders>
              <w:top w:val="single" w:sz="8" w:space="0" w:color="auto"/>
              <w:left w:val="nil"/>
              <w:bottom w:val="single" w:sz="8" w:space="0" w:color="000000"/>
              <w:right w:val="nil"/>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929"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677" w:type="dxa"/>
            <w:vMerge/>
            <w:tcBorders>
              <w:top w:val="single" w:sz="8" w:space="0" w:color="auto"/>
              <w:left w:val="single" w:sz="8" w:space="0" w:color="auto"/>
              <w:bottom w:val="single" w:sz="8" w:space="0" w:color="000000"/>
              <w:right w:val="nil"/>
            </w:tcBorders>
            <w:vAlign w:val="center"/>
            <w:hideMark/>
          </w:tcPr>
          <w:p w:rsidR="00C17E80" w:rsidRPr="005433D2" w:rsidRDefault="00C17E80" w:rsidP="00C17E80">
            <w:pPr>
              <w:spacing w:after="0" w:line="240" w:lineRule="auto"/>
              <w:rPr>
                <w:rFonts w:eastAsia="Times New Roman"/>
                <w:b/>
                <w:bCs/>
                <w:color w:val="000000"/>
                <w:sz w:val="18"/>
                <w:szCs w:val="18"/>
                <w:lang w:eastAsia="es-ES"/>
              </w:rPr>
            </w:pPr>
          </w:p>
        </w:tc>
        <w:tc>
          <w:tcPr>
            <w:tcW w:w="845" w:type="dxa"/>
            <w:vMerge/>
            <w:tcBorders>
              <w:top w:val="single" w:sz="8" w:space="0" w:color="auto"/>
              <w:left w:val="single" w:sz="8" w:space="0" w:color="auto"/>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851"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c>
          <w:tcPr>
            <w:tcW w:w="929" w:type="dxa"/>
            <w:vMerge/>
            <w:tcBorders>
              <w:top w:val="single" w:sz="8" w:space="0" w:color="auto"/>
              <w:left w:val="nil"/>
              <w:bottom w:val="single" w:sz="8" w:space="0" w:color="000000"/>
              <w:right w:val="single" w:sz="8" w:space="0" w:color="auto"/>
            </w:tcBorders>
            <w:vAlign w:val="center"/>
            <w:hideMark/>
          </w:tcPr>
          <w:p w:rsidR="00C17E80" w:rsidRPr="005433D2" w:rsidRDefault="00C17E80" w:rsidP="00C17E80">
            <w:pPr>
              <w:spacing w:after="0" w:line="240" w:lineRule="auto"/>
              <w:rPr>
                <w:rFonts w:eastAsia="Times New Roman"/>
                <w:b/>
                <w:bCs/>
                <w:color w:val="000000"/>
                <w:sz w:val="16"/>
                <w:szCs w:val="16"/>
                <w:lang w:eastAsia="es-ES"/>
              </w:rPr>
            </w:pP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FIMCP Asociación Estudiantil</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1,328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2,177</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Rectorado Auditorio</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1,674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2,744</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0,973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1,595</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1,126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1,846</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1,364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2,236</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1,371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2,248</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FIMCP Edificio Nuevo</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0,148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0,242</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CSI</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0,371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0,608</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0,267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0,438</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0,254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0,417</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0,399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0,654</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0,271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0,443</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FIMCP Edificio Administración</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0,170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0,279</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FICT Edificio Administración</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0,871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1,427</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0,394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0,645</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1,126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1,846</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0,181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0,297</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1,371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2,248</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FIMCM Edificio Administración</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0,334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0,547</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Biblioteca Central</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0,943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1,546</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0,295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0,484</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0,612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1,003</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0,179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0,294</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0,520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0,852</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FIMCM Laboratorios</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1,151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1,887</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Biblioteca 1250a</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0,533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0,873</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0,970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1,590</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0,668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1,095</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0,833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1,365</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0,422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0,692</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FEPOL</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0,194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0,318</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Biblioteca 1250b</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0,458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0,751</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0,283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0,463</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0,428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0,702</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1,189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1,949</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0,441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0,722</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Estadística</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0,411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0,674</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Biblioteca 1250c</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0,958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1,570</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0,512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0,839</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0,637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1,045</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0,447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0,732</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0,624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1,022</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Aulas de Básico</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1,395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2,287</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ICHE Edificio Administración</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2,206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3,616</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1,536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2,518</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1,137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1,864</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1,777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2,913</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1,222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2,003</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Edificio ICQ</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0,780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1,278</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ICHE Laboratorios</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1,179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1,933</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0,550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0,902</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1,106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1,813</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0,588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0,964</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1,095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1,795</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Laboratorios Física y Química</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0,593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0,972</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ICHE Biblioteca Científica</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1,067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1,749</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0,622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1,020</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1,153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1,890</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0,659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1,080</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0,929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1,523</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Edificio Nuevo 3er Piso</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1,334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2,187</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ICHE Bloque B</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0,987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1,618</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1,546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2,534</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1,120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1,836</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1,277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2,093</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0,864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1,417</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Laboratorio de Robótica</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0,742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1,217</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CTI Aula Satelital</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0,7227</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1,185</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0,533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0,873</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0,5829</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0,956</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0,680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1,114</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0,3547</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0,581</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Viejo Decanato</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2,493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4,087</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Protel</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1,171</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1,920</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2,797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4,585</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1,097</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1,798</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3,284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5,384</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1,524</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2,498</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Edificio Nuevo</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1,428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2,341</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Protmec</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0,9327</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1,529</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1,300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2,131</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0,7997</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1,311</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0,942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1,544</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1,248</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2,046</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Laboratorio Computación</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0,318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0,521</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Protal</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0,715</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1,172</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0,285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0,467</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0,7586</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1,244</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0,281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0,460</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0,7708</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1,264</w:t>
            </w:r>
          </w:p>
        </w:tc>
      </w:tr>
      <w:tr w:rsidR="00C17E80" w:rsidRPr="005433D2" w:rsidTr="00C17E80">
        <w:trPr>
          <w:trHeight w:val="180"/>
        </w:trPr>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FIEC Aulas</w:t>
            </w: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1,441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2,362</w:t>
            </w:r>
          </w:p>
        </w:tc>
        <w:tc>
          <w:tcPr>
            <w:tcW w:w="1124" w:type="dxa"/>
            <w:vMerge w:val="restart"/>
            <w:tcBorders>
              <w:top w:val="nil"/>
              <w:left w:val="single" w:sz="8" w:space="0" w:color="auto"/>
              <w:bottom w:val="single" w:sz="4" w:space="0" w:color="auto"/>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Intec Biblioteca</w:t>
            </w: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3,279</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0,846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1,387</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2,186</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3,584</w:t>
            </w:r>
          </w:p>
        </w:tc>
      </w:tr>
      <w:tr w:rsidR="00C17E80" w:rsidRPr="005433D2" w:rsidTr="00C17E80">
        <w:trPr>
          <w:trHeight w:val="180"/>
        </w:trPr>
        <w:tc>
          <w:tcPr>
            <w:tcW w:w="1124" w:type="dxa"/>
            <w:vMerge/>
            <w:tcBorders>
              <w:top w:val="nil"/>
              <w:left w:val="single" w:sz="8" w:space="0" w:color="auto"/>
              <w:bottom w:val="single" w:sz="4" w:space="0" w:color="auto"/>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0,898   </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1,472</w:t>
            </w:r>
          </w:p>
        </w:tc>
        <w:tc>
          <w:tcPr>
            <w:tcW w:w="1124" w:type="dxa"/>
            <w:vMerge/>
            <w:tcBorders>
              <w:top w:val="nil"/>
              <w:left w:val="nil"/>
              <w:bottom w:val="nil"/>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nil"/>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2,016</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3,305</w:t>
            </w:r>
          </w:p>
        </w:tc>
      </w:tr>
      <w:tr w:rsidR="00C17E80" w:rsidRPr="005433D2" w:rsidTr="00C17E80">
        <w:trPr>
          <w:trHeight w:val="180"/>
        </w:trPr>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Rectorado</w:t>
            </w:r>
          </w:p>
        </w:tc>
        <w:tc>
          <w:tcPr>
            <w:tcW w:w="700"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1,424   </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2,334</w:t>
            </w:r>
          </w:p>
        </w:tc>
        <w:tc>
          <w:tcPr>
            <w:tcW w:w="112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Intec Aulas Tecnología</w:t>
            </w:r>
          </w:p>
        </w:tc>
        <w:tc>
          <w:tcPr>
            <w:tcW w:w="677" w:type="dxa"/>
            <w:tcBorders>
              <w:top w:val="single" w:sz="8" w:space="0" w:color="auto"/>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w:t>
            </w:r>
          </w:p>
        </w:tc>
        <w:tc>
          <w:tcPr>
            <w:tcW w:w="845"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1,181</w:t>
            </w:r>
          </w:p>
        </w:tc>
        <w:tc>
          <w:tcPr>
            <w:tcW w:w="851"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single" w:sz="8" w:space="0" w:color="auto"/>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1,936</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single" w:sz="4"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0,876   </w:t>
            </w:r>
          </w:p>
        </w:tc>
        <w:tc>
          <w:tcPr>
            <w:tcW w:w="851"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1,436</w:t>
            </w:r>
          </w:p>
        </w:tc>
        <w:tc>
          <w:tcPr>
            <w:tcW w:w="1124" w:type="dxa"/>
            <w:vMerge/>
            <w:tcBorders>
              <w:top w:val="nil"/>
              <w:left w:val="nil"/>
              <w:bottom w:val="single" w:sz="4"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4"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1,5</w:t>
            </w:r>
          </w:p>
        </w:tc>
        <w:tc>
          <w:tcPr>
            <w:tcW w:w="845" w:type="dxa"/>
            <w:tcBorders>
              <w:top w:val="nil"/>
              <w:left w:val="single" w:sz="8" w:space="0" w:color="auto"/>
              <w:bottom w:val="nil"/>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1,018</w:t>
            </w:r>
          </w:p>
        </w:tc>
        <w:tc>
          <w:tcPr>
            <w:tcW w:w="851" w:type="dxa"/>
            <w:tcBorders>
              <w:top w:val="nil"/>
              <w:left w:val="nil"/>
              <w:bottom w:val="nil"/>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4"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1,669</w:t>
            </w:r>
          </w:p>
        </w:tc>
      </w:tr>
      <w:tr w:rsidR="00C17E80" w:rsidRPr="005433D2" w:rsidTr="00C17E80">
        <w:trPr>
          <w:trHeight w:val="180"/>
        </w:trPr>
        <w:tc>
          <w:tcPr>
            <w:tcW w:w="1124" w:type="dxa"/>
            <w:vMerge/>
            <w:tcBorders>
              <w:top w:val="single" w:sz="8" w:space="0" w:color="auto"/>
              <w:left w:val="single" w:sz="8" w:space="0" w:color="auto"/>
              <w:bottom w:val="single" w:sz="8" w:space="0" w:color="000000"/>
              <w:right w:val="single" w:sz="8" w:space="0" w:color="000000"/>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700"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nil"/>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 xml:space="preserve">    1,120   </w:t>
            </w:r>
          </w:p>
        </w:tc>
        <w:tc>
          <w:tcPr>
            <w:tcW w:w="851"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1,836</w:t>
            </w:r>
          </w:p>
        </w:tc>
        <w:tc>
          <w:tcPr>
            <w:tcW w:w="1124" w:type="dxa"/>
            <w:vMerge/>
            <w:tcBorders>
              <w:top w:val="nil"/>
              <w:left w:val="nil"/>
              <w:bottom w:val="single" w:sz="8" w:space="0" w:color="auto"/>
              <w:right w:val="single" w:sz="8" w:space="0" w:color="auto"/>
            </w:tcBorders>
            <w:vAlign w:val="center"/>
            <w:hideMark/>
          </w:tcPr>
          <w:p w:rsidR="00C17E80" w:rsidRPr="005433D2" w:rsidRDefault="00C17E80" w:rsidP="00C17E80">
            <w:pPr>
              <w:spacing w:after="0" w:line="240" w:lineRule="auto"/>
              <w:rPr>
                <w:rFonts w:eastAsia="Times New Roman"/>
                <w:color w:val="000000"/>
                <w:sz w:val="16"/>
                <w:szCs w:val="16"/>
                <w:lang w:eastAsia="es-ES"/>
              </w:rPr>
            </w:pPr>
          </w:p>
        </w:tc>
        <w:tc>
          <w:tcPr>
            <w:tcW w:w="677" w:type="dxa"/>
            <w:tcBorders>
              <w:top w:val="nil"/>
              <w:left w:val="nil"/>
              <w:bottom w:val="single" w:sz="8" w:space="0" w:color="auto"/>
              <w:right w:val="nil"/>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1,7</w:t>
            </w:r>
          </w:p>
        </w:tc>
        <w:tc>
          <w:tcPr>
            <w:tcW w:w="84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1,367</w:t>
            </w:r>
          </w:p>
        </w:tc>
        <w:tc>
          <w:tcPr>
            <w:tcW w:w="851" w:type="dxa"/>
            <w:tcBorders>
              <w:top w:val="single" w:sz="4" w:space="0" w:color="auto"/>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61</w:t>
            </w:r>
          </w:p>
        </w:tc>
        <w:tc>
          <w:tcPr>
            <w:tcW w:w="929" w:type="dxa"/>
            <w:tcBorders>
              <w:top w:val="nil"/>
              <w:left w:val="nil"/>
              <w:bottom w:val="single" w:sz="8" w:space="0" w:color="auto"/>
              <w:right w:val="single" w:sz="8" w:space="0" w:color="auto"/>
            </w:tcBorders>
            <w:shd w:val="clear" w:color="auto" w:fill="auto"/>
            <w:vAlign w:val="center"/>
            <w:hideMark/>
          </w:tcPr>
          <w:p w:rsidR="00C17E80" w:rsidRPr="005433D2" w:rsidRDefault="00C17E80" w:rsidP="00C17E80">
            <w:pPr>
              <w:spacing w:after="0" w:line="240" w:lineRule="auto"/>
              <w:jc w:val="center"/>
              <w:rPr>
                <w:rFonts w:eastAsia="Times New Roman"/>
                <w:color w:val="000000"/>
                <w:sz w:val="16"/>
                <w:szCs w:val="16"/>
                <w:lang w:eastAsia="es-ES"/>
              </w:rPr>
            </w:pPr>
            <w:r w:rsidRPr="005433D2">
              <w:rPr>
                <w:rFonts w:eastAsia="Times New Roman"/>
                <w:color w:val="000000"/>
                <w:sz w:val="16"/>
                <w:szCs w:val="16"/>
                <w:lang w:eastAsia="es-ES"/>
              </w:rPr>
              <w:t>2,241</w:t>
            </w:r>
          </w:p>
        </w:tc>
      </w:tr>
    </w:tbl>
    <w:p w:rsidR="004A5D40" w:rsidRDefault="004A5D40" w:rsidP="00C17E80">
      <w:pPr>
        <w:tabs>
          <w:tab w:val="left" w:pos="3090"/>
          <w:tab w:val="center" w:pos="4564"/>
        </w:tabs>
        <w:spacing w:line="360" w:lineRule="auto"/>
        <w:ind w:left="851"/>
        <w:rPr>
          <w:rFonts w:ascii="Arial" w:hAnsi="Arial" w:cs="Arial"/>
          <w:sz w:val="48"/>
          <w:szCs w:val="48"/>
        </w:rPr>
        <w:sectPr w:rsidR="004A5D40" w:rsidSect="004A5D40">
          <w:pgSz w:w="11906" w:h="16838" w:code="9"/>
          <w:pgMar w:top="2268" w:right="1361" w:bottom="2268" w:left="2268" w:header="709" w:footer="709" w:gutter="0"/>
          <w:pgNumType w:start="1"/>
          <w:cols w:space="708"/>
          <w:titlePg/>
          <w:docGrid w:linePitch="360"/>
        </w:sectPr>
      </w:pPr>
    </w:p>
    <w:p w:rsidR="00C17E80" w:rsidRDefault="00C17E80" w:rsidP="00C17E80">
      <w:pPr>
        <w:tabs>
          <w:tab w:val="left" w:pos="3090"/>
          <w:tab w:val="center" w:pos="4564"/>
        </w:tabs>
        <w:spacing w:line="360" w:lineRule="auto"/>
        <w:ind w:left="851"/>
        <w:rPr>
          <w:rFonts w:ascii="Arial" w:hAnsi="Arial" w:cs="Arial"/>
          <w:sz w:val="48"/>
          <w:szCs w:val="48"/>
        </w:rPr>
      </w:pPr>
    </w:p>
    <w:p w:rsidR="00C17E80" w:rsidRDefault="00C17E80" w:rsidP="00C17E80">
      <w:pPr>
        <w:spacing w:line="360" w:lineRule="auto"/>
        <w:ind w:left="851"/>
        <w:jc w:val="center"/>
        <w:rPr>
          <w:rFonts w:ascii="Arial" w:hAnsi="Arial" w:cs="Arial"/>
          <w:sz w:val="48"/>
          <w:szCs w:val="48"/>
        </w:rPr>
      </w:pPr>
    </w:p>
    <w:p w:rsidR="00C17E80" w:rsidRDefault="00C17E80" w:rsidP="00C17E80">
      <w:pPr>
        <w:spacing w:line="360" w:lineRule="auto"/>
        <w:ind w:left="851"/>
        <w:jc w:val="center"/>
        <w:rPr>
          <w:rFonts w:ascii="Arial" w:hAnsi="Arial" w:cs="Arial"/>
          <w:sz w:val="48"/>
          <w:szCs w:val="48"/>
        </w:rPr>
      </w:pPr>
    </w:p>
    <w:p w:rsidR="00C17E80" w:rsidRDefault="00C17E80" w:rsidP="00C17E80">
      <w:pPr>
        <w:spacing w:line="360" w:lineRule="auto"/>
        <w:ind w:left="851"/>
        <w:jc w:val="center"/>
        <w:rPr>
          <w:rFonts w:ascii="Arial" w:hAnsi="Arial" w:cs="Arial"/>
          <w:sz w:val="48"/>
          <w:szCs w:val="48"/>
        </w:rPr>
      </w:pPr>
    </w:p>
    <w:p w:rsidR="00C17E80" w:rsidRDefault="00C17E80" w:rsidP="00C17E80">
      <w:pPr>
        <w:spacing w:after="0" w:line="360" w:lineRule="auto"/>
        <w:ind w:left="851"/>
        <w:jc w:val="center"/>
        <w:rPr>
          <w:rFonts w:ascii="Arial" w:hAnsi="Arial" w:cs="Arial"/>
          <w:sz w:val="48"/>
          <w:szCs w:val="48"/>
        </w:rPr>
      </w:pPr>
    </w:p>
    <w:p w:rsidR="00C17E80" w:rsidRDefault="00305685" w:rsidP="00C17E80">
      <w:pPr>
        <w:spacing w:line="360" w:lineRule="auto"/>
        <w:ind w:left="851"/>
        <w:jc w:val="center"/>
        <w:rPr>
          <w:rFonts w:ascii="Arial" w:hAnsi="Arial" w:cs="Arial"/>
          <w:sz w:val="48"/>
          <w:szCs w:val="48"/>
        </w:rPr>
      </w:pPr>
      <w:r>
        <w:rPr>
          <w:rFonts w:ascii="Arial" w:hAnsi="Arial" w:cs="Arial"/>
          <w:sz w:val="48"/>
          <w:szCs w:val="48"/>
        </w:rPr>
        <w:t>ANEXO B</w:t>
      </w:r>
    </w:p>
    <w:p w:rsidR="00C17E80" w:rsidRDefault="00C17E80" w:rsidP="00C17E80">
      <w:pPr>
        <w:spacing w:line="360" w:lineRule="auto"/>
        <w:ind w:left="851"/>
        <w:jc w:val="center"/>
        <w:rPr>
          <w:rFonts w:ascii="Arial" w:hAnsi="Arial" w:cs="Arial"/>
          <w:sz w:val="48"/>
          <w:szCs w:val="48"/>
        </w:rPr>
      </w:pPr>
    </w:p>
    <w:p w:rsidR="00C17E80" w:rsidRDefault="00C17E80" w:rsidP="00C17E80">
      <w:pPr>
        <w:spacing w:line="360" w:lineRule="auto"/>
        <w:ind w:left="851"/>
        <w:jc w:val="center"/>
        <w:rPr>
          <w:rFonts w:ascii="Arial" w:hAnsi="Arial" w:cs="Arial"/>
          <w:sz w:val="48"/>
          <w:szCs w:val="48"/>
        </w:rPr>
      </w:pPr>
    </w:p>
    <w:p w:rsidR="00C17E80" w:rsidRDefault="00C17E80" w:rsidP="00C17E80">
      <w:pPr>
        <w:ind w:left="-284" w:right="-285"/>
      </w:pPr>
    </w:p>
    <w:p w:rsidR="00C17E80" w:rsidRDefault="00C17E80" w:rsidP="00C17E80">
      <w:pPr>
        <w:ind w:left="-284" w:right="-285"/>
      </w:pPr>
    </w:p>
    <w:p w:rsidR="00C17E80" w:rsidRDefault="00C17E80" w:rsidP="00C17E80">
      <w:pPr>
        <w:ind w:left="-284" w:right="-285"/>
      </w:pPr>
    </w:p>
    <w:p w:rsidR="00C17E80" w:rsidRDefault="00C17E80" w:rsidP="00C17E80">
      <w:pPr>
        <w:ind w:left="-284" w:right="-285"/>
      </w:pPr>
    </w:p>
    <w:p w:rsidR="00C17E80" w:rsidRDefault="00C17E80" w:rsidP="00C17E80">
      <w:pPr>
        <w:ind w:left="-284" w:right="-285"/>
      </w:pPr>
    </w:p>
    <w:p w:rsidR="00C17E80" w:rsidRPr="005433D2" w:rsidRDefault="00C17E80" w:rsidP="00C17E80">
      <w:pPr>
        <w:ind w:left="-284" w:right="-285"/>
      </w:pPr>
    </w:p>
    <w:p w:rsidR="00835F3E" w:rsidRDefault="00835F3E" w:rsidP="00835F3E">
      <w:pPr>
        <w:jc w:val="center"/>
        <w:rPr>
          <w:noProof/>
          <w:lang w:eastAsia="es-ES"/>
        </w:rPr>
      </w:pPr>
    </w:p>
    <w:p w:rsidR="00835F3E" w:rsidRDefault="00835F3E" w:rsidP="00835F3E">
      <w:pPr>
        <w:spacing w:before="240" w:line="360" w:lineRule="auto"/>
        <w:jc w:val="both"/>
        <w:rPr>
          <w:rFonts w:ascii="Arial" w:hAnsi="Arial" w:cs="Arial"/>
          <w:sz w:val="24"/>
          <w:szCs w:val="24"/>
        </w:rPr>
      </w:pPr>
    </w:p>
    <w:p w:rsidR="004A5D40" w:rsidRDefault="004A5D40" w:rsidP="00835F3E">
      <w:pPr>
        <w:spacing w:before="240" w:line="360" w:lineRule="auto"/>
        <w:jc w:val="both"/>
        <w:rPr>
          <w:rFonts w:ascii="Arial" w:hAnsi="Arial" w:cs="Arial"/>
          <w:sz w:val="24"/>
          <w:szCs w:val="24"/>
        </w:rPr>
        <w:sectPr w:rsidR="004A5D40" w:rsidSect="004A5D40">
          <w:pgSz w:w="11906" w:h="16838" w:code="9"/>
          <w:pgMar w:top="2268" w:right="1361" w:bottom="2268" w:left="2268" w:header="709" w:footer="709" w:gutter="0"/>
          <w:pgNumType w:start="1"/>
          <w:cols w:space="708"/>
          <w:titlePg/>
          <w:docGrid w:linePitch="360"/>
        </w:sectPr>
      </w:pPr>
    </w:p>
    <w:p w:rsidR="00C17E80" w:rsidRDefault="00C17E80"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13006C" w:rsidRDefault="0013006C"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C17E80" w:rsidRDefault="00C17E80" w:rsidP="00835F3E">
      <w:pPr>
        <w:spacing w:before="240" w:line="360" w:lineRule="auto"/>
        <w:jc w:val="both"/>
        <w:rPr>
          <w:rFonts w:ascii="Arial" w:hAnsi="Arial" w:cs="Arial"/>
          <w:sz w:val="24"/>
          <w:szCs w:val="24"/>
        </w:rPr>
      </w:pPr>
    </w:p>
    <w:p w:rsidR="00C17E80" w:rsidRPr="00C17E80" w:rsidRDefault="00C17E80" w:rsidP="00C17E80">
      <w:pPr>
        <w:jc w:val="center"/>
        <w:rPr>
          <w:rFonts w:ascii="Arial" w:hAnsi="Arial" w:cs="Arial"/>
          <w:b/>
          <w:noProof/>
          <w:sz w:val="24"/>
          <w:szCs w:val="24"/>
          <w:lang w:eastAsia="es-ES"/>
        </w:rPr>
      </w:pPr>
      <w:r w:rsidRPr="00C17E80">
        <w:rPr>
          <w:rFonts w:ascii="Arial" w:hAnsi="Arial" w:cs="Arial"/>
          <w:b/>
          <w:noProof/>
          <w:sz w:val="24"/>
          <w:szCs w:val="24"/>
          <w:lang w:eastAsia="es-ES"/>
        </w:rPr>
        <w:t xml:space="preserve">RESULTADOS PARA LOS PUNTOS MEDIDOS CON EL PROCEDIMIENTO DE MEDICIÓN </w:t>
      </w:r>
      <w:r>
        <w:rPr>
          <w:rFonts w:ascii="Arial" w:hAnsi="Arial" w:cs="Arial"/>
          <w:b/>
          <w:noProof/>
          <w:sz w:val="24"/>
          <w:szCs w:val="24"/>
          <w:lang w:eastAsia="es-ES"/>
        </w:rPr>
        <w:t>2 Y RELACIÓN PORCENTUAL CON LOS LÍMITES DE EXPOSICION POBLACIONAL</w:t>
      </w: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305685" w:rsidRDefault="00305685" w:rsidP="00835F3E">
      <w:pPr>
        <w:spacing w:before="240" w:line="360" w:lineRule="auto"/>
        <w:jc w:val="both"/>
        <w:rPr>
          <w:rFonts w:ascii="Arial" w:hAnsi="Arial" w:cs="Arial"/>
          <w:sz w:val="24"/>
          <w:szCs w:val="24"/>
        </w:rPr>
      </w:pPr>
    </w:p>
    <w:p w:rsidR="004A5D40" w:rsidRDefault="004A5D40" w:rsidP="00305685">
      <w:pPr>
        <w:sectPr w:rsidR="004A5D40" w:rsidSect="004A5D40">
          <w:pgSz w:w="11906" w:h="16838" w:code="9"/>
          <w:pgMar w:top="2268" w:right="1361" w:bottom="2268" w:left="2268" w:header="709" w:footer="709" w:gutter="0"/>
          <w:pgNumType w:start="1"/>
          <w:cols w:space="708"/>
          <w:titlePg/>
          <w:docGrid w:linePitch="360"/>
        </w:sectPr>
      </w:pPr>
    </w:p>
    <w:p w:rsidR="00305685" w:rsidRDefault="00362759" w:rsidP="00305685">
      <w:r>
        <w:rPr>
          <w:noProof/>
          <w:lang w:eastAsia="es-ES"/>
        </w:rPr>
        <w:lastRenderedPageBreak/>
        <w:drawing>
          <wp:inline distT="0" distB="0" distL="0" distR="0">
            <wp:extent cx="4572000" cy="773430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cstate="print"/>
                    <a:srcRect/>
                    <a:stretch>
                      <a:fillRect/>
                    </a:stretch>
                  </pic:blipFill>
                  <pic:spPr bwMode="auto">
                    <a:xfrm>
                      <a:off x="0" y="0"/>
                      <a:ext cx="4572000" cy="7734300"/>
                    </a:xfrm>
                    <a:prstGeom prst="rect">
                      <a:avLst/>
                    </a:prstGeom>
                    <a:noFill/>
                    <a:ln w="9525">
                      <a:noFill/>
                      <a:miter lim="800000"/>
                      <a:headEnd/>
                      <a:tailEnd/>
                    </a:ln>
                  </pic:spPr>
                </pic:pic>
              </a:graphicData>
            </a:graphic>
          </wp:inline>
        </w:drawing>
      </w:r>
    </w:p>
    <w:p w:rsidR="004A5D40" w:rsidRDefault="004A5D40" w:rsidP="00305685">
      <w:pPr>
        <w:rPr>
          <w:noProof/>
          <w:lang w:eastAsia="es-ES"/>
        </w:rPr>
        <w:sectPr w:rsidR="004A5D40" w:rsidSect="004A5D40">
          <w:pgSz w:w="11906" w:h="16838" w:code="9"/>
          <w:pgMar w:top="2268" w:right="1361" w:bottom="2268" w:left="2268" w:header="709" w:footer="709" w:gutter="0"/>
          <w:pgNumType w:start="1"/>
          <w:cols w:space="708"/>
          <w:titlePg/>
          <w:docGrid w:linePitch="360"/>
        </w:sectPr>
      </w:pPr>
    </w:p>
    <w:p w:rsidR="00305685" w:rsidRDefault="00362759" w:rsidP="00305685">
      <w:pPr>
        <w:rPr>
          <w:noProof/>
          <w:lang w:eastAsia="es-ES"/>
        </w:rPr>
      </w:pPr>
      <w:r>
        <w:rPr>
          <w:noProof/>
          <w:lang w:eastAsia="es-ES"/>
        </w:rPr>
        <w:lastRenderedPageBreak/>
        <w:drawing>
          <wp:inline distT="0" distB="0" distL="0" distR="0">
            <wp:extent cx="5223099" cy="769357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9" cstate="print"/>
                    <a:srcRect/>
                    <a:stretch>
                      <a:fillRect/>
                    </a:stretch>
                  </pic:blipFill>
                  <pic:spPr bwMode="auto">
                    <a:xfrm>
                      <a:off x="0" y="0"/>
                      <a:ext cx="5232400" cy="7707272"/>
                    </a:xfrm>
                    <a:prstGeom prst="rect">
                      <a:avLst/>
                    </a:prstGeom>
                    <a:noFill/>
                    <a:ln w="9525">
                      <a:noFill/>
                      <a:miter lim="800000"/>
                      <a:headEnd/>
                      <a:tailEnd/>
                    </a:ln>
                  </pic:spPr>
                </pic:pic>
              </a:graphicData>
            </a:graphic>
          </wp:inline>
        </w:drawing>
      </w:r>
    </w:p>
    <w:p w:rsidR="004A5D40" w:rsidRDefault="004A5D40" w:rsidP="00305685">
      <w:pPr>
        <w:jc w:val="center"/>
        <w:rPr>
          <w:noProof/>
          <w:lang w:eastAsia="es-ES"/>
        </w:rPr>
        <w:sectPr w:rsidR="004A5D40" w:rsidSect="004A5D40">
          <w:pgSz w:w="11906" w:h="16838" w:code="9"/>
          <w:pgMar w:top="2268" w:right="1361" w:bottom="2268" w:left="2268" w:header="709" w:footer="709" w:gutter="0"/>
          <w:pgNumType w:start="1"/>
          <w:cols w:space="708"/>
          <w:titlePg/>
          <w:docGrid w:linePitch="360"/>
        </w:sectPr>
      </w:pPr>
    </w:p>
    <w:p w:rsidR="00305685" w:rsidRDefault="00362759" w:rsidP="00305685">
      <w:pPr>
        <w:jc w:val="center"/>
        <w:rPr>
          <w:noProof/>
          <w:lang w:eastAsia="es-ES"/>
        </w:rPr>
      </w:pPr>
      <w:r>
        <w:rPr>
          <w:noProof/>
          <w:lang w:eastAsia="es-ES"/>
        </w:rPr>
        <w:lastRenderedPageBreak/>
        <w:drawing>
          <wp:inline distT="0" distB="0" distL="0" distR="0">
            <wp:extent cx="4533900" cy="76581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a:stretch>
                      <a:fillRect/>
                    </a:stretch>
                  </pic:blipFill>
                  <pic:spPr bwMode="auto">
                    <a:xfrm>
                      <a:off x="0" y="0"/>
                      <a:ext cx="4533900" cy="7658100"/>
                    </a:xfrm>
                    <a:prstGeom prst="rect">
                      <a:avLst/>
                    </a:prstGeom>
                    <a:noFill/>
                    <a:ln w="9525">
                      <a:noFill/>
                      <a:miter lim="800000"/>
                      <a:headEnd/>
                      <a:tailEnd/>
                    </a:ln>
                  </pic:spPr>
                </pic:pic>
              </a:graphicData>
            </a:graphic>
          </wp:inline>
        </w:drawing>
      </w:r>
    </w:p>
    <w:p w:rsidR="004A5D40" w:rsidRDefault="004A5D40" w:rsidP="00305685">
      <w:pPr>
        <w:rPr>
          <w:noProof/>
          <w:lang w:eastAsia="es-ES"/>
        </w:rPr>
        <w:sectPr w:rsidR="004A5D40" w:rsidSect="004A5D40">
          <w:pgSz w:w="11906" w:h="16838" w:code="9"/>
          <w:pgMar w:top="2268" w:right="1361" w:bottom="2268" w:left="2268" w:header="709" w:footer="709" w:gutter="0"/>
          <w:pgNumType w:start="1"/>
          <w:cols w:space="708"/>
          <w:titlePg/>
          <w:docGrid w:linePitch="360"/>
        </w:sectPr>
      </w:pPr>
    </w:p>
    <w:p w:rsidR="00305685" w:rsidRDefault="00362759" w:rsidP="00305685">
      <w:pPr>
        <w:rPr>
          <w:noProof/>
          <w:lang w:eastAsia="es-ES"/>
        </w:rPr>
      </w:pPr>
      <w:r>
        <w:rPr>
          <w:noProof/>
          <w:lang w:eastAsia="es-ES"/>
        </w:rPr>
        <w:lastRenderedPageBreak/>
        <w:drawing>
          <wp:inline distT="0" distB="0" distL="0" distR="0">
            <wp:extent cx="4443861" cy="772510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srcRect/>
                    <a:stretch>
                      <a:fillRect/>
                    </a:stretch>
                  </pic:blipFill>
                  <pic:spPr bwMode="auto">
                    <a:xfrm>
                      <a:off x="0" y="0"/>
                      <a:ext cx="4445000" cy="7727083"/>
                    </a:xfrm>
                    <a:prstGeom prst="rect">
                      <a:avLst/>
                    </a:prstGeom>
                    <a:noFill/>
                    <a:ln w="9525">
                      <a:noFill/>
                      <a:miter lim="800000"/>
                      <a:headEnd/>
                      <a:tailEnd/>
                    </a:ln>
                  </pic:spPr>
                </pic:pic>
              </a:graphicData>
            </a:graphic>
          </wp:inline>
        </w:drawing>
      </w:r>
    </w:p>
    <w:p w:rsidR="004A5D40" w:rsidRDefault="004A5D40" w:rsidP="00305685">
      <w:pPr>
        <w:ind w:right="-285"/>
        <w:sectPr w:rsidR="004A5D40" w:rsidSect="004A5D40">
          <w:pgSz w:w="11906" w:h="16838" w:code="9"/>
          <w:pgMar w:top="2268" w:right="1361" w:bottom="2268" w:left="2268" w:header="709" w:footer="709" w:gutter="0"/>
          <w:pgNumType w:start="1"/>
          <w:cols w:space="708"/>
          <w:titlePg/>
          <w:docGrid w:linePitch="360"/>
        </w:sectPr>
      </w:pPr>
    </w:p>
    <w:p w:rsidR="00305685" w:rsidRDefault="00305685" w:rsidP="00305685">
      <w:pPr>
        <w:ind w:right="-285"/>
      </w:pPr>
      <w:r>
        <w:lastRenderedPageBreak/>
        <w:t>R</w:t>
      </w:r>
      <w:r w:rsidRPr="005433D2">
        <w:t>esultados para los puntos</w:t>
      </w:r>
      <w:r>
        <w:t xml:space="preserve"> de medición Wireless LAN</w:t>
      </w:r>
    </w:p>
    <w:tbl>
      <w:tblPr>
        <w:tblW w:w="8924" w:type="dxa"/>
        <w:tblInd w:w="60" w:type="dxa"/>
        <w:tblCellMar>
          <w:left w:w="70" w:type="dxa"/>
          <w:right w:w="70" w:type="dxa"/>
        </w:tblCellMar>
        <w:tblLook w:val="04A0"/>
      </w:tblPr>
      <w:tblGrid>
        <w:gridCol w:w="1196"/>
        <w:gridCol w:w="677"/>
        <w:gridCol w:w="845"/>
        <w:gridCol w:w="851"/>
        <w:gridCol w:w="929"/>
        <w:gridCol w:w="1124"/>
        <w:gridCol w:w="677"/>
        <w:gridCol w:w="845"/>
        <w:gridCol w:w="851"/>
        <w:gridCol w:w="929"/>
      </w:tblGrid>
      <w:tr w:rsidR="00305685" w:rsidRPr="00C44951" w:rsidTr="00DC5004">
        <w:trPr>
          <w:trHeight w:val="22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8"/>
                <w:szCs w:val="18"/>
                <w:lang w:eastAsia="es-ES"/>
              </w:rPr>
            </w:pPr>
            <w:r w:rsidRPr="00C44951">
              <w:rPr>
                <w:rFonts w:eastAsia="Times New Roman"/>
                <w:b/>
                <w:bCs/>
                <w:color w:val="000000"/>
                <w:sz w:val="18"/>
                <w:szCs w:val="18"/>
                <w:lang w:eastAsia="es-ES"/>
              </w:rPr>
              <w:t>Punto de Medición</w:t>
            </w:r>
          </w:p>
        </w:tc>
        <w:tc>
          <w:tcPr>
            <w:tcW w:w="657" w:type="dxa"/>
            <w:vMerge w:val="restart"/>
            <w:tcBorders>
              <w:top w:val="single" w:sz="8" w:space="0" w:color="auto"/>
              <w:left w:val="nil"/>
              <w:bottom w:val="single" w:sz="8" w:space="0" w:color="000000"/>
              <w:right w:val="nil"/>
            </w:tcBorders>
            <w:shd w:val="clear" w:color="auto" w:fill="auto"/>
            <w:noWrap/>
            <w:vAlign w:val="center"/>
            <w:hideMark/>
          </w:tcPr>
          <w:p w:rsidR="00305685" w:rsidRPr="00C44951" w:rsidRDefault="00305685" w:rsidP="00DC5004">
            <w:pPr>
              <w:spacing w:after="0" w:line="240" w:lineRule="auto"/>
              <w:jc w:val="center"/>
              <w:rPr>
                <w:rFonts w:eastAsia="Times New Roman"/>
                <w:b/>
                <w:bCs/>
                <w:color w:val="000000"/>
                <w:sz w:val="18"/>
                <w:szCs w:val="18"/>
                <w:lang w:eastAsia="es-ES"/>
              </w:rPr>
            </w:pPr>
            <w:r w:rsidRPr="00C44951">
              <w:rPr>
                <w:rFonts w:eastAsia="Times New Roman"/>
                <w:b/>
                <w:bCs/>
                <w:color w:val="000000"/>
                <w:sz w:val="18"/>
                <w:szCs w:val="18"/>
                <w:lang w:eastAsia="es-ES"/>
              </w:rPr>
              <w:t>Alturas</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Intensidad Campo Eléctrico [V/m]</w:t>
            </w:r>
          </w:p>
        </w:tc>
        <w:tc>
          <w:tcPr>
            <w:tcW w:w="82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Límite de Referencia [V/m]</w:t>
            </w:r>
          </w:p>
        </w:tc>
        <w:tc>
          <w:tcPr>
            <w:tcW w:w="901" w:type="dxa"/>
            <w:vMerge w:val="restart"/>
            <w:tcBorders>
              <w:top w:val="single" w:sz="8" w:space="0" w:color="auto"/>
              <w:left w:val="nil"/>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Intensidad Campo Elec./Limite Ref. [%]</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8"/>
                <w:szCs w:val="18"/>
                <w:lang w:eastAsia="es-ES"/>
              </w:rPr>
            </w:pPr>
            <w:r w:rsidRPr="00C44951">
              <w:rPr>
                <w:rFonts w:eastAsia="Times New Roman"/>
                <w:b/>
                <w:bCs/>
                <w:color w:val="000000"/>
                <w:sz w:val="18"/>
                <w:szCs w:val="18"/>
                <w:lang w:eastAsia="es-ES"/>
              </w:rPr>
              <w:t>Punto de Medición</w:t>
            </w:r>
          </w:p>
        </w:tc>
        <w:tc>
          <w:tcPr>
            <w:tcW w:w="658" w:type="dxa"/>
            <w:vMerge w:val="restart"/>
            <w:tcBorders>
              <w:top w:val="single" w:sz="8" w:space="0" w:color="auto"/>
              <w:left w:val="single" w:sz="8" w:space="0" w:color="auto"/>
              <w:bottom w:val="single" w:sz="8" w:space="0" w:color="000000"/>
              <w:right w:val="nil"/>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8"/>
                <w:szCs w:val="18"/>
                <w:lang w:eastAsia="es-ES"/>
              </w:rPr>
            </w:pPr>
            <w:r w:rsidRPr="00C44951">
              <w:rPr>
                <w:rFonts w:eastAsia="Times New Roman"/>
                <w:b/>
                <w:bCs/>
                <w:color w:val="000000"/>
                <w:sz w:val="18"/>
                <w:szCs w:val="18"/>
                <w:lang w:eastAsia="es-ES"/>
              </w:rPr>
              <w:t>Alturas</w:t>
            </w:r>
          </w:p>
        </w:tc>
        <w:tc>
          <w:tcPr>
            <w:tcW w:w="8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Intensidad Campo Eléctrico [V/m]</w:t>
            </w:r>
          </w:p>
        </w:tc>
        <w:tc>
          <w:tcPr>
            <w:tcW w:w="825" w:type="dxa"/>
            <w:vMerge w:val="restart"/>
            <w:tcBorders>
              <w:top w:val="single" w:sz="8" w:space="0" w:color="auto"/>
              <w:left w:val="nil"/>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Límite de Referencia [V/m]</w:t>
            </w:r>
          </w:p>
        </w:tc>
        <w:tc>
          <w:tcPr>
            <w:tcW w:w="901" w:type="dxa"/>
            <w:vMerge w:val="restart"/>
            <w:tcBorders>
              <w:top w:val="single" w:sz="8" w:space="0" w:color="auto"/>
              <w:left w:val="nil"/>
              <w:bottom w:val="single" w:sz="8" w:space="0" w:color="000000"/>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b/>
                <w:bCs/>
                <w:color w:val="000000"/>
                <w:sz w:val="16"/>
                <w:szCs w:val="16"/>
                <w:lang w:eastAsia="es-ES"/>
              </w:rPr>
            </w:pPr>
            <w:r w:rsidRPr="00C44951">
              <w:rPr>
                <w:rFonts w:eastAsia="Times New Roman"/>
                <w:b/>
                <w:bCs/>
                <w:color w:val="000000"/>
                <w:sz w:val="16"/>
                <w:szCs w:val="16"/>
                <w:lang w:eastAsia="es-ES"/>
              </w:rPr>
              <w:t>Intensidad Campo Elec./Limite Ref. [%]</w:t>
            </w:r>
          </w:p>
        </w:tc>
      </w:tr>
      <w:tr w:rsidR="00305685" w:rsidRPr="00C44951" w:rsidTr="00DC5004">
        <w:trPr>
          <w:trHeight w:val="22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657" w:type="dxa"/>
            <w:vMerge/>
            <w:tcBorders>
              <w:top w:val="single" w:sz="8" w:space="0" w:color="auto"/>
              <w:left w:val="nil"/>
              <w:bottom w:val="single" w:sz="8" w:space="0" w:color="000000"/>
              <w:right w:val="nil"/>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901"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1089"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658" w:type="dxa"/>
            <w:vMerge/>
            <w:tcBorders>
              <w:top w:val="single" w:sz="8" w:space="0" w:color="auto"/>
              <w:left w:val="single" w:sz="8" w:space="0" w:color="auto"/>
              <w:bottom w:val="single" w:sz="8" w:space="0" w:color="000000"/>
              <w:right w:val="nil"/>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825"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901"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r>
      <w:tr w:rsidR="00305685" w:rsidRPr="00C44951" w:rsidTr="00DC5004">
        <w:trPr>
          <w:trHeight w:val="22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657" w:type="dxa"/>
            <w:vMerge/>
            <w:tcBorders>
              <w:top w:val="single" w:sz="8" w:space="0" w:color="auto"/>
              <w:left w:val="nil"/>
              <w:bottom w:val="single" w:sz="8" w:space="0" w:color="000000"/>
              <w:right w:val="nil"/>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825"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901"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1089"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658" w:type="dxa"/>
            <w:vMerge/>
            <w:tcBorders>
              <w:top w:val="single" w:sz="8" w:space="0" w:color="auto"/>
              <w:left w:val="single" w:sz="8" w:space="0" w:color="auto"/>
              <w:bottom w:val="single" w:sz="8" w:space="0" w:color="000000"/>
              <w:right w:val="nil"/>
            </w:tcBorders>
            <w:vAlign w:val="center"/>
            <w:hideMark/>
          </w:tcPr>
          <w:p w:rsidR="00305685" w:rsidRPr="00C44951" w:rsidRDefault="00305685" w:rsidP="00DC5004">
            <w:pPr>
              <w:spacing w:after="0" w:line="240" w:lineRule="auto"/>
              <w:rPr>
                <w:rFonts w:eastAsia="Times New Roman"/>
                <w:b/>
                <w:bCs/>
                <w:color w:val="000000"/>
                <w:sz w:val="18"/>
                <w:szCs w:val="18"/>
                <w:lang w:eastAsia="es-ES"/>
              </w:rPr>
            </w:pPr>
          </w:p>
        </w:tc>
        <w:tc>
          <w:tcPr>
            <w:tcW w:w="820" w:type="dxa"/>
            <w:vMerge/>
            <w:tcBorders>
              <w:top w:val="single" w:sz="8" w:space="0" w:color="auto"/>
              <w:left w:val="single" w:sz="8" w:space="0" w:color="auto"/>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825"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c>
          <w:tcPr>
            <w:tcW w:w="901" w:type="dxa"/>
            <w:vMerge/>
            <w:tcBorders>
              <w:top w:val="single" w:sz="8" w:space="0" w:color="auto"/>
              <w:left w:val="nil"/>
              <w:bottom w:val="single" w:sz="8" w:space="0" w:color="000000"/>
              <w:right w:val="single" w:sz="8" w:space="0" w:color="auto"/>
            </w:tcBorders>
            <w:vAlign w:val="center"/>
            <w:hideMark/>
          </w:tcPr>
          <w:p w:rsidR="00305685" w:rsidRPr="00C44951" w:rsidRDefault="00305685" w:rsidP="00DC5004">
            <w:pPr>
              <w:spacing w:after="0" w:line="240" w:lineRule="auto"/>
              <w:rPr>
                <w:rFonts w:eastAsia="Times New Roman"/>
                <w:b/>
                <w:bCs/>
                <w:color w:val="000000"/>
                <w:sz w:val="16"/>
                <w:szCs w:val="16"/>
                <w:lang w:eastAsia="es-ES"/>
              </w:rPr>
            </w:pP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FIMCP Asociación Estudiantil</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1,328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2,177</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Rectorado Auditorio</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1,674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2,744</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0,973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1,595</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1,126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1,846</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1,364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2,236</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1,371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2,248</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FIMCP Edificio Nuevo</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0,148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0,242</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CSI</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0,371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0,608</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0,267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0,438</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0,254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0,417</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0,399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0,654</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0,271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0,443</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FIMCP Edificio Administración</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0,170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0,279</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FICT Edificio Administración</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0,871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1,427</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0,394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0,645</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1,126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1,846</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0,181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0,297</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1,371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2,248</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FIMCM Edificio Administración</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0,334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0,547</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Biblioteca Central</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0,943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1,546</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0,295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0,484</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0,612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1,003</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0,179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0,294</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0,520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0,852</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FIMCM Laboratorios</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1,151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1,887</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Biblioteca 1250a</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0,533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0,873</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0,970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1,590</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0,668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1,095</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0,833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1,365</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0,422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0,692</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FEPOL</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0,194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0,318</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Biblioteca 1250b</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0,458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0,751</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0,283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0,463</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0,428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0,702</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1,189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1,949</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0,441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0,722</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Estadística</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0,411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0,674</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Biblioteca 1250c</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0,958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1,570</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0,512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0,839</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0,637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1,045</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0,447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0,732</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0,624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1,022</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Aulas de Básico</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1,395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2,287</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ICHE Edificio Administración</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2,206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3,616</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1,536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2,518</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1,137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1,864</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1,777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2,913</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1,222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2,003</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Edificio ICQ</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0,780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1,278</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ICHE Laboratorios</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1,179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1,933</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0,550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0,902</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1,106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1,813</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0,588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0,964</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1,095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1,795</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Laboratorios Física y Química</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0,593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0,972</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ICHE Biblioteca Científica</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1,067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1,749</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0,622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1,020</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1,153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1,890</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0,659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1,080</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0,929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1,523</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Edificio Nuevo 3er Piso</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1,334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2,187</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ICHE Bloque B</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0,987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1,618</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1,546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2,534</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1,120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1,836</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1,277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2,093</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0,864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1,417</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Laboratorio de Robótica</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0,742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1,217</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CTI Aula Satelital</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0,7227</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1,185</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0,533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0,873</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0,5829</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0,956</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0,680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1,114</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0,3547</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0,581</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Viejo Decanato</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2,493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4,087</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Protel</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1,171</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1,920</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2,797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4,585</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1,097</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1,798</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3,284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5,384</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1,524</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2,498</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Edificio Nuevo</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1,428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2,341</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Protmec</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0,9327</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1,529</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1,300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2,131</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0,7997</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1,311</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0,942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1,544</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1,248</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2,046</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Laboratorio Computación</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0,318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0,521</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Protal</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0,715</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1,172</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0,285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0,467</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0,7586</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1,244</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0,281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0,460</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0,7708</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1,264</w:t>
            </w:r>
          </w:p>
        </w:tc>
      </w:tr>
      <w:tr w:rsidR="00305685" w:rsidRPr="00C44951" w:rsidTr="00DC5004">
        <w:trPr>
          <w:trHeight w:val="180"/>
        </w:trPr>
        <w:tc>
          <w:tcPr>
            <w:tcW w:w="1428"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FIEC Aulas</w:t>
            </w: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1,441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2,362</w:t>
            </w:r>
          </w:p>
        </w:tc>
        <w:tc>
          <w:tcPr>
            <w:tcW w:w="1089" w:type="dxa"/>
            <w:vMerge w:val="restart"/>
            <w:tcBorders>
              <w:top w:val="nil"/>
              <w:left w:val="single" w:sz="8" w:space="0" w:color="auto"/>
              <w:bottom w:val="single" w:sz="4" w:space="0" w:color="auto"/>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Intec Biblioteca</w:t>
            </w: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3,279</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0,846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1,387</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2,186</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3,584</w:t>
            </w:r>
          </w:p>
        </w:tc>
      </w:tr>
      <w:tr w:rsidR="00305685" w:rsidRPr="00C44951" w:rsidTr="00DC5004">
        <w:trPr>
          <w:trHeight w:val="180"/>
        </w:trPr>
        <w:tc>
          <w:tcPr>
            <w:tcW w:w="1428" w:type="dxa"/>
            <w:vMerge/>
            <w:tcBorders>
              <w:top w:val="nil"/>
              <w:left w:val="single" w:sz="8" w:space="0" w:color="auto"/>
              <w:bottom w:val="single" w:sz="4" w:space="0" w:color="auto"/>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0,898   </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1,472</w:t>
            </w:r>
          </w:p>
        </w:tc>
        <w:tc>
          <w:tcPr>
            <w:tcW w:w="1089" w:type="dxa"/>
            <w:vMerge/>
            <w:tcBorders>
              <w:top w:val="nil"/>
              <w:left w:val="nil"/>
              <w:bottom w:val="nil"/>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nil"/>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2,016</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3,305</w:t>
            </w:r>
          </w:p>
        </w:tc>
      </w:tr>
      <w:tr w:rsidR="00305685" w:rsidRPr="00C44951" w:rsidTr="00DC5004">
        <w:trPr>
          <w:trHeight w:val="180"/>
        </w:trPr>
        <w:tc>
          <w:tcPr>
            <w:tcW w:w="142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Rectorado</w:t>
            </w:r>
          </w:p>
        </w:tc>
        <w:tc>
          <w:tcPr>
            <w:tcW w:w="657"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1,424   </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2,334</w:t>
            </w:r>
          </w:p>
        </w:tc>
        <w:tc>
          <w:tcPr>
            <w:tcW w:w="1089"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Intec Aulas Tecnología</w:t>
            </w:r>
          </w:p>
        </w:tc>
        <w:tc>
          <w:tcPr>
            <w:tcW w:w="658" w:type="dxa"/>
            <w:tcBorders>
              <w:top w:val="single" w:sz="8" w:space="0" w:color="auto"/>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w:t>
            </w:r>
          </w:p>
        </w:tc>
        <w:tc>
          <w:tcPr>
            <w:tcW w:w="8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1,181</w:t>
            </w:r>
          </w:p>
        </w:tc>
        <w:tc>
          <w:tcPr>
            <w:tcW w:w="825"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single" w:sz="8" w:space="0" w:color="auto"/>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1,936</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single" w:sz="4"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0,876   </w:t>
            </w:r>
          </w:p>
        </w:tc>
        <w:tc>
          <w:tcPr>
            <w:tcW w:w="825"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1,436</w:t>
            </w:r>
          </w:p>
        </w:tc>
        <w:tc>
          <w:tcPr>
            <w:tcW w:w="1089" w:type="dxa"/>
            <w:vMerge/>
            <w:tcBorders>
              <w:top w:val="nil"/>
              <w:left w:val="nil"/>
              <w:bottom w:val="single" w:sz="4"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4"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1,5</w:t>
            </w:r>
          </w:p>
        </w:tc>
        <w:tc>
          <w:tcPr>
            <w:tcW w:w="820" w:type="dxa"/>
            <w:tcBorders>
              <w:top w:val="nil"/>
              <w:left w:val="single" w:sz="8" w:space="0" w:color="auto"/>
              <w:bottom w:val="nil"/>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1,018</w:t>
            </w:r>
          </w:p>
        </w:tc>
        <w:tc>
          <w:tcPr>
            <w:tcW w:w="825" w:type="dxa"/>
            <w:tcBorders>
              <w:top w:val="nil"/>
              <w:left w:val="nil"/>
              <w:bottom w:val="nil"/>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4"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1,669</w:t>
            </w:r>
          </w:p>
        </w:tc>
      </w:tr>
      <w:tr w:rsidR="00305685" w:rsidRPr="00C44951" w:rsidTr="00DC5004">
        <w:trPr>
          <w:trHeight w:val="180"/>
        </w:trPr>
        <w:tc>
          <w:tcPr>
            <w:tcW w:w="1428" w:type="dxa"/>
            <w:vMerge/>
            <w:tcBorders>
              <w:top w:val="single" w:sz="8" w:space="0" w:color="auto"/>
              <w:left w:val="single" w:sz="8" w:space="0" w:color="auto"/>
              <w:bottom w:val="single" w:sz="8" w:space="0" w:color="000000"/>
              <w:right w:val="single" w:sz="8" w:space="0" w:color="000000"/>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7"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nil"/>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 xml:space="preserve">    1,120   </w:t>
            </w:r>
          </w:p>
        </w:tc>
        <w:tc>
          <w:tcPr>
            <w:tcW w:w="825"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1,836</w:t>
            </w:r>
          </w:p>
        </w:tc>
        <w:tc>
          <w:tcPr>
            <w:tcW w:w="1089" w:type="dxa"/>
            <w:vMerge/>
            <w:tcBorders>
              <w:top w:val="nil"/>
              <w:left w:val="nil"/>
              <w:bottom w:val="single" w:sz="8" w:space="0" w:color="auto"/>
              <w:right w:val="single" w:sz="8" w:space="0" w:color="auto"/>
            </w:tcBorders>
            <w:vAlign w:val="center"/>
            <w:hideMark/>
          </w:tcPr>
          <w:p w:rsidR="00305685" w:rsidRPr="00C44951" w:rsidRDefault="00305685" w:rsidP="00DC5004">
            <w:pPr>
              <w:spacing w:after="0" w:line="240" w:lineRule="auto"/>
              <w:rPr>
                <w:rFonts w:eastAsia="Times New Roman"/>
                <w:color w:val="000000"/>
                <w:sz w:val="16"/>
                <w:szCs w:val="16"/>
                <w:lang w:eastAsia="es-ES"/>
              </w:rPr>
            </w:pPr>
          </w:p>
        </w:tc>
        <w:tc>
          <w:tcPr>
            <w:tcW w:w="658" w:type="dxa"/>
            <w:tcBorders>
              <w:top w:val="nil"/>
              <w:left w:val="nil"/>
              <w:bottom w:val="single" w:sz="8" w:space="0" w:color="auto"/>
              <w:right w:val="nil"/>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1,7</w:t>
            </w:r>
          </w:p>
        </w:tc>
        <w:tc>
          <w:tcPr>
            <w:tcW w:w="82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1,367</w:t>
            </w:r>
          </w:p>
        </w:tc>
        <w:tc>
          <w:tcPr>
            <w:tcW w:w="825" w:type="dxa"/>
            <w:tcBorders>
              <w:top w:val="single" w:sz="4" w:space="0" w:color="auto"/>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61</w:t>
            </w:r>
          </w:p>
        </w:tc>
        <w:tc>
          <w:tcPr>
            <w:tcW w:w="901" w:type="dxa"/>
            <w:tcBorders>
              <w:top w:val="nil"/>
              <w:left w:val="nil"/>
              <w:bottom w:val="single" w:sz="8" w:space="0" w:color="auto"/>
              <w:right w:val="single" w:sz="8" w:space="0" w:color="auto"/>
            </w:tcBorders>
            <w:shd w:val="clear" w:color="auto" w:fill="auto"/>
            <w:vAlign w:val="center"/>
            <w:hideMark/>
          </w:tcPr>
          <w:p w:rsidR="00305685" w:rsidRPr="00C44951" w:rsidRDefault="00305685" w:rsidP="00DC5004">
            <w:pPr>
              <w:spacing w:after="0" w:line="240" w:lineRule="auto"/>
              <w:jc w:val="center"/>
              <w:rPr>
                <w:rFonts w:eastAsia="Times New Roman"/>
                <w:color w:val="000000"/>
                <w:sz w:val="16"/>
                <w:szCs w:val="16"/>
                <w:lang w:eastAsia="es-ES"/>
              </w:rPr>
            </w:pPr>
            <w:r w:rsidRPr="00C44951">
              <w:rPr>
                <w:rFonts w:eastAsia="Times New Roman"/>
                <w:color w:val="000000"/>
                <w:sz w:val="16"/>
                <w:szCs w:val="16"/>
                <w:lang w:eastAsia="es-ES"/>
              </w:rPr>
              <w:t>2,241</w:t>
            </w:r>
          </w:p>
        </w:tc>
      </w:tr>
    </w:tbl>
    <w:p w:rsidR="004A5D40" w:rsidRDefault="004A5D40" w:rsidP="003C7DEC">
      <w:pPr>
        <w:spacing w:before="240" w:line="360" w:lineRule="auto"/>
        <w:jc w:val="center"/>
        <w:rPr>
          <w:rFonts w:ascii="Arial" w:hAnsi="Arial" w:cs="Arial"/>
          <w:b/>
          <w:sz w:val="48"/>
          <w:szCs w:val="48"/>
        </w:rPr>
        <w:sectPr w:rsidR="004A5D40" w:rsidSect="004A5D40">
          <w:pgSz w:w="11906" w:h="16838" w:code="9"/>
          <w:pgMar w:top="2268" w:right="1361" w:bottom="2268" w:left="2268" w:header="709" w:footer="709" w:gutter="0"/>
          <w:pgNumType w:start="1"/>
          <w:cols w:space="708"/>
          <w:titlePg/>
          <w:docGrid w:linePitch="360"/>
        </w:sectPr>
      </w:pPr>
    </w:p>
    <w:p w:rsidR="00ED2518" w:rsidRDefault="00ED2518" w:rsidP="00ED2518">
      <w:pPr>
        <w:spacing w:before="240" w:line="360" w:lineRule="auto"/>
        <w:jc w:val="center"/>
        <w:rPr>
          <w:rFonts w:ascii="Arial" w:hAnsi="Arial" w:cs="Arial"/>
          <w:b/>
          <w:sz w:val="48"/>
          <w:szCs w:val="48"/>
        </w:rPr>
      </w:pPr>
      <w:r>
        <w:rPr>
          <w:rFonts w:ascii="Arial" w:hAnsi="Arial" w:cs="Arial"/>
          <w:b/>
          <w:sz w:val="48"/>
          <w:szCs w:val="48"/>
        </w:rPr>
        <w:lastRenderedPageBreak/>
        <w:t>BIBLIOGRAFIA</w:t>
      </w:r>
    </w:p>
    <w:p w:rsidR="00F14FF2" w:rsidRPr="00414BB9" w:rsidRDefault="00F14FF2" w:rsidP="00F14FF2">
      <w:pPr>
        <w:numPr>
          <w:ilvl w:val="0"/>
          <w:numId w:val="32"/>
        </w:numPr>
        <w:spacing w:line="360" w:lineRule="auto"/>
        <w:jc w:val="both"/>
        <w:rPr>
          <w:rFonts w:ascii="Arial" w:hAnsi="Arial" w:cs="Arial"/>
          <w:sz w:val="24"/>
          <w:szCs w:val="24"/>
          <w:lang w:val="en-US"/>
        </w:rPr>
      </w:pPr>
      <w:r>
        <w:rPr>
          <w:rFonts w:ascii="Arial" w:hAnsi="Arial" w:cs="Arial"/>
          <w:sz w:val="24"/>
          <w:szCs w:val="24"/>
          <w:lang w:val="en-US"/>
        </w:rPr>
        <w:t xml:space="preserve">Austrian Research Center, Nose Software </w:t>
      </w:r>
      <w:r w:rsidRPr="00414BB9">
        <w:rPr>
          <w:rFonts w:ascii="Arial" w:hAnsi="Arial" w:cs="Arial"/>
          <w:sz w:val="24"/>
          <w:szCs w:val="24"/>
          <w:lang w:val="en-US"/>
        </w:rPr>
        <w:t>– “</w:t>
      </w:r>
      <w:r w:rsidRPr="00414BB9">
        <w:rPr>
          <w:rFonts w:ascii="Arial" w:hAnsi="Arial" w:cs="Arial"/>
          <w:i/>
          <w:sz w:val="24"/>
          <w:szCs w:val="24"/>
          <w:lang w:val="en-US"/>
        </w:rPr>
        <w:t>User</w:t>
      </w:r>
      <w:r w:rsidRPr="00414BB9">
        <w:rPr>
          <w:rFonts w:ascii="Arial" w:hAnsi="Arial" w:cs="Arial"/>
          <w:sz w:val="24"/>
          <w:szCs w:val="24"/>
          <w:lang w:val="en-US"/>
        </w:rPr>
        <w:t xml:space="preserve"> </w:t>
      </w:r>
      <w:r w:rsidRPr="00414BB9">
        <w:rPr>
          <w:rFonts w:ascii="Arial" w:hAnsi="Arial" w:cs="Arial"/>
          <w:i/>
          <w:sz w:val="24"/>
          <w:szCs w:val="24"/>
          <w:lang w:val="en-US"/>
        </w:rPr>
        <w:t>Manual Nose Software V2.9</w:t>
      </w:r>
      <w:r w:rsidRPr="00414BB9">
        <w:rPr>
          <w:rFonts w:ascii="Arial" w:hAnsi="Arial" w:cs="Arial"/>
          <w:sz w:val="24"/>
          <w:szCs w:val="24"/>
          <w:lang w:val="en-US"/>
        </w:rPr>
        <w:t>”.</w:t>
      </w:r>
      <w:r>
        <w:rPr>
          <w:rFonts w:ascii="Arial" w:hAnsi="Arial" w:cs="Arial"/>
          <w:sz w:val="24"/>
          <w:szCs w:val="24"/>
          <w:lang w:val="en-US"/>
        </w:rPr>
        <w:t xml:space="preserve"> Junio 2005</w:t>
      </w:r>
    </w:p>
    <w:p w:rsidR="00F14FF2" w:rsidRDefault="00F14FF2" w:rsidP="00F14FF2">
      <w:pPr>
        <w:numPr>
          <w:ilvl w:val="0"/>
          <w:numId w:val="32"/>
        </w:numPr>
        <w:spacing w:line="360" w:lineRule="auto"/>
        <w:jc w:val="both"/>
        <w:rPr>
          <w:rFonts w:ascii="Arial" w:hAnsi="Arial" w:cs="Arial"/>
          <w:sz w:val="24"/>
          <w:szCs w:val="24"/>
          <w:lang w:val="en-US"/>
        </w:rPr>
      </w:pPr>
      <w:r>
        <w:rPr>
          <w:rFonts w:ascii="Arial" w:hAnsi="Arial" w:cs="Arial"/>
          <w:sz w:val="24"/>
          <w:szCs w:val="24"/>
          <w:lang w:val="en-US"/>
        </w:rPr>
        <w:t xml:space="preserve">Austrian Research Center, Field Nose </w:t>
      </w:r>
      <w:r w:rsidRPr="00414BB9">
        <w:rPr>
          <w:rFonts w:ascii="Arial" w:hAnsi="Arial" w:cs="Arial"/>
          <w:sz w:val="24"/>
          <w:szCs w:val="24"/>
          <w:lang w:val="en-US"/>
        </w:rPr>
        <w:t>– “</w:t>
      </w:r>
      <w:r w:rsidRPr="00E545DD">
        <w:rPr>
          <w:rFonts w:ascii="Arial" w:hAnsi="Arial" w:cs="Arial"/>
          <w:bCs/>
          <w:i/>
          <w:sz w:val="24"/>
          <w:szCs w:val="40"/>
          <w:lang w:val="en-US" w:eastAsia="es-ES"/>
        </w:rPr>
        <w:t>Field Nose Basic – The Modular Measuring System</w:t>
      </w:r>
      <w:r>
        <w:rPr>
          <w:rFonts w:ascii="Arial" w:hAnsi="Arial" w:cs="Arial"/>
          <w:bCs/>
          <w:sz w:val="24"/>
          <w:szCs w:val="40"/>
          <w:lang w:val="en-US" w:eastAsia="es-ES"/>
        </w:rPr>
        <w:t xml:space="preserve">”. </w:t>
      </w:r>
      <w:r>
        <w:rPr>
          <w:rFonts w:ascii="Arial" w:hAnsi="Arial" w:cs="Arial"/>
          <w:sz w:val="24"/>
          <w:szCs w:val="24"/>
          <w:lang w:val="en-US"/>
        </w:rPr>
        <w:t>Junio 2005</w:t>
      </w:r>
    </w:p>
    <w:p w:rsidR="00F14FF2" w:rsidRDefault="00F14FF2" w:rsidP="00F14FF2">
      <w:pPr>
        <w:numPr>
          <w:ilvl w:val="0"/>
          <w:numId w:val="32"/>
        </w:numPr>
        <w:spacing w:line="360" w:lineRule="auto"/>
        <w:jc w:val="both"/>
        <w:rPr>
          <w:rFonts w:ascii="Arial" w:hAnsi="Arial" w:cs="Arial"/>
          <w:sz w:val="24"/>
          <w:szCs w:val="24"/>
          <w:lang w:val="en-US"/>
        </w:rPr>
      </w:pPr>
      <w:r w:rsidRPr="00930198">
        <w:rPr>
          <w:rFonts w:ascii="Arial" w:hAnsi="Arial" w:cs="Arial"/>
          <w:sz w:val="24"/>
          <w:szCs w:val="24"/>
          <w:lang w:val="en-US"/>
        </w:rPr>
        <w:t>Comité Europeo de Normalización Electrotécnica, CENELEC EN 54000. - “</w:t>
      </w:r>
      <w:r w:rsidRPr="00372AE9">
        <w:rPr>
          <w:rFonts w:ascii="Arial" w:hAnsi="Arial" w:cs="Arial"/>
          <w:bCs/>
          <w:i/>
          <w:sz w:val="24"/>
          <w:szCs w:val="24"/>
          <w:lang w:val="en-US" w:eastAsia="es-ES"/>
        </w:rPr>
        <w:t>Basic standard to demonstrate the compliance of fixed equipment for radio transmission (110 MHz - 40 GHz) intended for use in wireless telecommunication networks with the basic restrictions or the reference levels related to general public exposure to radio frequency electromagnetic fields, when put into service</w:t>
      </w:r>
      <w:r w:rsidRPr="00930198">
        <w:rPr>
          <w:rFonts w:ascii="Arial" w:hAnsi="Arial" w:cs="Arial"/>
          <w:bCs/>
          <w:sz w:val="24"/>
          <w:szCs w:val="24"/>
          <w:lang w:val="en-US" w:eastAsia="es-ES"/>
        </w:rPr>
        <w:t>”</w:t>
      </w:r>
      <w:r>
        <w:rPr>
          <w:rFonts w:ascii="Arial" w:hAnsi="Arial" w:cs="Arial"/>
          <w:bCs/>
          <w:sz w:val="24"/>
          <w:szCs w:val="24"/>
          <w:lang w:val="en-US" w:eastAsia="es-ES"/>
        </w:rPr>
        <w:t>. Junio 2006</w:t>
      </w:r>
    </w:p>
    <w:p w:rsidR="00F14FF2" w:rsidRDefault="00F14FF2" w:rsidP="00F14FF2">
      <w:pPr>
        <w:numPr>
          <w:ilvl w:val="0"/>
          <w:numId w:val="32"/>
        </w:numPr>
        <w:spacing w:line="360" w:lineRule="auto"/>
        <w:jc w:val="both"/>
        <w:rPr>
          <w:rFonts w:ascii="Arial" w:hAnsi="Arial" w:cs="Arial"/>
          <w:sz w:val="24"/>
          <w:szCs w:val="24"/>
          <w:lang w:val="en-US"/>
        </w:rPr>
      </w:pPr>
      <w:r w:rsidRPr="00F14FF2">
        <w:rPr>
          <w:rFonts w:ascii="Arial" w:hAnsi="Arial" w:cs="Arial"/>
          <w:sz w:val="24"/>
          <w:szCs w:val="24"/>
        </w:rPr>
        <w:t xml:space="preserve">Comité Europeo de Normalización Electrotécnica, CENELEC EN 50383. </w:t>
      </w:r>
      <w:r w:rsidRPr="00930198">
        <w:rPr>
          <w:rFonts w:ascii="Arial" w:hAnsi="Arial" w:cs="Arial"/>
          <w:sz w:val="24"/>
          <w:szCs w:val="24"/>
          <w:lang w:val="en-US"/>
        </w:rPr>
        <w:t>“</w:t>
      </w:r>
      <w:r w:rsidRPr="00372AE9">
        <w:rPr>
          <w:rFonts w:ascii="Arial" w:hAnsi="Arial" w:cs="Arial"/>
          <w:i/>
          <w:sz w:val="24"/>
          <w:szCs w:val="24"/>
          <w:lang w:val="en-US"/>
        </w:rPr>
        <w:t>Basic standard for the calculation and measurement of electromagnetic field strength and SAR related to human exposure from radio base stations and fixed terminal stations for wireless telecommunications system (110 MHz – 40 GHz)</w:t>
      </w:r>
      <w:r w:rsidRPr="00930198">
        <w:rPr>
          <w:rFonts w:ascii="Arial" w:hAnsi="Arial" w:cs="Arial"/>
          <w:sz w:val="24"/>
          <w:szCs w:val="24"/>
          <w:lang w:val="en-US"/>
        </w:rPr>
        <w:t>”.</w:t>
      </w:r>
      <w:r>
        <w:rPr>
          <w:rFonts w:ascii="Arial" w:hAnsi="Arial" w:cs="Arial"/>
          <w:sz w:val="24"/>
          <w:szCs w:val="24"/>
          <w:lang w:val="en-US"/>
        </w:rPr>
        <w:t xml:space="preserve"> Agosto 2003</w:t>
      </w:r>
    </w:p>
    <w:p w:rsidR="00F14FF2" w:rsidRPr="00C55078" w:rsidRDefault="00F14FF2" w:rsidP="00F14FF2">
      <w:pPr>
        <w:numPr>
          <w:ilvl w:val="0"/>
          <w:numId w:val="32"/>
        </w:numPr>
        <w:spacing w:line="360" w:lineRule="auto"/>
        <w:jc w:val="both"/>
        <w:rPr>
          <w:rFonts w:ascii="Arial" w:hAnsi="Arial" w:cs="Arial"/>
          <w:sz w:val="24"/>
          <w:szCs w:val="24"/>
        </w:rPr>
      </w:pPr>
      <w:r w:rsidRPr="00C55078">
        <w:rPr>
          <w:rFonts w:ascii="Arial" w:hAnsi="Arial" w:cs="Arial"/>
          <w:sz w:val="24"/>
          <w:szCs w:val="24"/>
        </w:rPr>
        <w:t xml:space="preserve">Comunidad de Madrid </w:t>
      </w:r>
      <w:r>
        <w:rPr>
          <w:rFonts w:ascii="Arial" w:hAnsi="Arial" w:cs="Arial"/>
          <w:sz w:val="24"/>
          <w:szCs w:val="24"/>
        </w:rPr>
        <w:t xml:space="preserve">  - “</w:t>
      </w:r>
      <w:r w:rsidRPr="00372AE9">
        <w:rPr>
          <w:rFonts w:ascii="Arial" w:hAnsi="Arial" w:cs="Arial"/>
          <w:i/>
          <w:sz w:val="24"/>
          <w:szCs w:val="24"/>
        </w:rPr>
        <w:t>Campos Electromagnéticos, Telefonía Móvil y Salud Pública</w:t>
      </w:r>
      <w:r>
        <w:rPr>
          <w:rFonts w:ascii="Arial" w:hAnsi="Arial" w:cs="Arial"/>
          <w:sz w:val="24"/>
          <w:szCs w:val="24"/>
        </w:rPr>
        <w:t xml:space="preserve">” – </w:t>
      </w:r>
      <w:r w:rsidRPr="004D6DCB">
        <w:rPr>
          <w:rFonts w:ascii="Arial" w:hAnsi="Arial" w:cs="Arial"/>
          <w:sz w:val="24"/>
          <w:szCs w:val="24"/>
        </w:rPr>
        <w:t>http://www.madrid.org</w:t>
      </w:r>
      <w:r>
        <w:rPr>
          <w:rFonts w:ascii="Arial" w:hAnsi="Arial" w:cs="Arial"/>
          <w:sz w:val="24"/>
          <w:szCs w:val="24"/>
        </w:rPr>
        <w:t>. Noviembre 2006</w:t>
      </w:r>
    </w:p>
    <w:p w:rsidR="00F14FF2" w:rsidRPr="00C55078" w:rsidRDefault="00F14FF2" w:rsidP="00F14FF2">
      <w:pPr>
        <w:numPr>
          <w:ilvl w:val="0"/>
          <w:numId w:val="32"/>
        </w:numPr>
        <w:spacing w:line="360" w:lineRule="auto"/>
        <w:jc w:val="both"/>
        <w:rPr>
          <w:rFonts w:ascii="Arial" w:hAnsi="Arial" w:cs="Arial"/>
          <w:sz w:val="24"/>
          <w:szCs w:val="24"/>
        </w:rPr>
      </w:pPr>
      <w:r>
        <w:rPr>
          <w:rFonts w:ascii="Arial" w:hAnsi="Arial" w:cs="Arial"/>
          <w:sz w:val="24"/>
          <w:szCs w:val="24"/>
        </w:rPr>
        <w:t>Consejo Nacional de Telecomunicaciones – “</w:t>
      </w:r>
      <w:r w:rsidRPr="00372AE9">
        <w:rPr>
          <w:rFonts w:ascii="Arial" w:hAnsi="Arial" w:cs="Arial"/>
          <w:i/>
          <w:sz w:val="24"/>
          <w:szCs w:val="24"/>
        </w:rPr>
        <w:t>Plan Nacional de Frecuencias</w:t>
      </w:r>
      <w:r>
        <w:rPr>
          <w:rFonts w:ascii="Arial" w:hAnsi="Arial" w:cs="Arial"/>
          <w:sz w:val="24"/>
          <w:szCs w:val="24"/>
        </w:rPr>
        <w:t xml:space="preserve">” - </w:t>
      </w:r>
      <w:r w:rsidRPr="004D6DCB">
        <w:rPr>
          <w:rFonts w:ascii="Arial" w:hAnsi="Arial" w:cs="Arial"/>
          <w:sz w:val="24"/>
          <w:szCs w:val="24"/>
        </w:rPr>
        <w:t>http://www.conatel.gov.ec/site_conatel/index.php</w:t>
      </w:r>
      <w:r>
        <w:rPr>
          <w:rFonts w:ascii="Arial" w:hAnsi="Arial" w:cs="Arial"/>
          <w:sz w:val="24"/>
          <w:szCs w:val="24"/>
        </w:rPr>
        <w:t xml:space="preserve">. </w:t>
      </w:r>
      <w:r w:rsidRPr="00980ABB">
        <w:rPr>
          <w:rFonts w:ascii="Arial" w:hAnsi="Arial" w:cs="Arial"/>
          <w:sz w:val="24"/>
          <w:szCs w:val="24"/>
        </w:rPr>
        <w:t xml:space="preserve">Último Acceso: </w:t>
      </w:r>
      <w:r>
        <w:rPr>
          <w:rFonts w:ascii="Arial" w:hAnsi="Arial" w:cs="Arial"/>
          <w:sz w:val="24"/>
          <w:szCs w:val="24"/>
        </w:rPr>
        <w:t>Jun</w:t>
      </w:r>
      <w:r w:rsidRPr="00980ABB">
        <w:rPr>
          <w:rFonts w:ascii="Arial" w:hAnsi="Arial" w:cs="Arial"/>
          <w:sz w:val="24"/>
          <w:szCs w:val="24"/>
        </w:rPr>
        <w:t>io del 2010</w:t>
      </w:r>
    </w:p>
    <w:p w:rsidR="00151CD7" w:rsidRDefault="00F14FF2" w:rsidP="00F14FF2">
      <w:pPr>
        <w:numPr>
          <w:ilvl w:val="0"/>
          <w:numId w:val="32"/>
        </w:numPr>
        <w:spacing w:line="360" w:lineRule="auto"/>
        <w:jc w:val="both"/>
        <w:rPr>
          <w:rFonts w:ascii="Arial" w:hAnsi="Arial" w:cs="Arial"/>
          <w:sz w:val="24"/>
          <w:szCs w:val="24"/>
          <w:lang w:eastAsia="es-ES"/>
        </w:rPr>
        <w:sectPr w:rsidR="00151CD7" w:rsidSect="00F14FF2">
          <w:pgSz w:w="11906" w:h="16838" w:code="9"/>
          <w:pgMar w:top="2268" w:right="1361" w:bottom="2268" w:left="2268" w:header="709" w:footer="709" w:gutter="0"/>
          <w:pgNumType w:start="1"/>
          <w:cols w:space="708"/>
          <w:titlePg/>
          <w:docGrid w:linePitch="360"/>
        </w:sectPr>
      </w:pPr>
      <w:r>
        <w:rPr>
          <w:rFonts w:ascii="Arial" w:hAnsi="Arial" w:cs="Arial"/>
          <w:sz w:val="24"/>
          <w:szCs w:val="24"/>
        </w:rPr>
        <w:t>Consejo Nacional de Telecomunicaciones – “</w:t>
      </w:r>
      <w:r w:rsidRPr="00372AE9">
        <w:rPr>
          <w:rFonts w:ascii="Arial" w:hAnsi="Arial" w:cs="Arial"/>
          <w:i/>
          <w:sz w:val="24"/>
          <w:szCs w:val="24"/>
          <w:lang w:eastAsia="es-ES"/>
        </w:rPr>
        <w:t>Reglamento de Protección de Emisiones de Radiación No Ionizante generadas por uso de frecuencias del espectro radioeléctrico</w:t>
      </w:r>
      <w:r>
        <w:rPr>
          <w:rFonts w:ascii="Arial" w:hAnsi="Arial" w:cs="Arial"/>
          <w:sz w:val="24"/>
          <w:szCs w:val="24"/>
          <w:lang w:eastAsia="es-ES"/>
        </w:rPr>
        <w:t>". 2005</w:t>
      </w:r>
    </w:p>
    <w:p w:rsidR="00F14FF2" w:rsidRPr="00C55078" w:rsidRDefault="00F14FF2" w:rsidP="00F14FF2">
      <w:pPr>
        <w:numPr>
          <w:ilvl w:val="0"/>
          <w:numId w:val="32"/>
        </w:numPr>
        <w:spacing w:line="360" w:lineRule="auto"/>
        <w:jc w:val="both"/>
        <w:rPr>
          <w:rFonts w:ascii="Arial" w:hAnsi="Arial" w:cs="Arial"/>
          <w:sz w:val="24"/>
          <w:szCs w:val="24"/>
        </w:rPr>
      </w:pPr>
      <w:r>
        <w:rPr>
          <w:rFonts w:ascii="Arial" w:hAnsi="Arial" w:cs="Arial"/>
          <w:sz w:val="24"/>
          <w:szCs w:val="24"/>
        </w:rPr>
        <w:lastRenderedPageBreak/>
        <w:t>Grupo IRNI, Grupo de Investigaciones de Radiaciones No Ionizantes - “</w:t>
      </w:r>
      <w:r w:rsidRPr="00372AE9">
        <w:rPr>
          <w:rFonts w:ascii="Arial" w:hAnsi="Arial" w:cs="Arial"/>
          <w:i/>
          <w:sz w:val="24"/>
          <w:szCs w:val="24"/>
        </w:rPr>
        <w:t>Artículo Análisis de RNI en ESPOL</w:t>
      </w:r>
      <w:r>
        <w:rPr>
          <w:rFonts w:ascii="Arial" w:hAnsi="Arial" w:cs="Arial"/>
          <w:sz w:val="24"/>
          <w:szCs w:val="24"/>
        </w:rPr>
        <w:t>”</w:t>
      </w:r>
      <w:r w:rsidRPr="00C55078">
        <w:rPr>
          <w:rFonts w:ascii="Arial" w:hAnsi="Arial" w:cs="Arial"/>
          <w:sz w:val="24"/>
          <w:szCs w:val="24"/>
        </w:rPr>
        <w:t>.</w:t>
      </w:r>
      <w:r>
        <w:rPr>
          <w:rFonts w:ascii="Arial" w:hAnsi="Arial" w:cs="Arial"/>
          <w:sz w:val="24"/>
          <w:szCs w:val="24"/>
        </w:rPr>
        <w:t xml:space="preserve"> 2008</w:t>
      </w:r>
    </w:p>
    <w:p w:rsidR="00F14FF2" w:rsidRPr="00C55078" w:rsidRDefault="00F14FF2" w:rsidP="00F14FF2">
      <w:pPr>
        <w:numPr>
          <w:ilvl w:val="0"/>
          <w:numId w:val="32"/>
        </w:numPr>
        <w:spacing w:line="360" w:lineRule="auto"/>
        <w:jc w:val="both"/>
        <w:rPr>
          <w:rFonts w:ascii="Arial" w:hAnsi="Arial" w:cs="Arial"/>
          <w:sz w:val="24"/>
          <w:szCs w:val="24"/>
        </w:rPr>
      </w:pPr>
      <w:r w:rsidRPr="00CA2A06">
        <w:rPr>
          <w:rFonts w:ascii="Arial" w:hAnsi="Arial" w:cs="Arial"/>
          <w:sz w:val="24"/>
          <w:szCs w:val="24"/>
        </w:rPr>
        <w:t xml:space="preserve"> </w:t>
      </w:r>
      <w:r w:rsidRPr="00C55078">
        <w:rPr>
          <w:rFonts w:ascii="Arial" w:hAnsi="Arial" w:cs="Arial"/>
          <w:sz w:val="24"/>
          <w:szCs w:val="24"/>
        </w:rPr>
        <w:t>ICNIRP</w:t>
      </w:r>
      <w:r>
        <w:rPr>
          <w:rFonts w:ascii="Arial" w:hAnsi="Arial" w:cs="Arial"/>
          <w:sz w:val="24"/>
          <w:szCs w:val="24"/>
        </w:rPr>
        <w:t xml:space="preserve">, </w:t>
      </w:r>
      <w:r w:rsidRPr="000B1A93">
        <w:rPr>
          <w:rFonts w:ascii="Arial" w:hAnsi="Arial" w:cs="Arial"/>
          <w:color w:val="000000"/>
          <w:sz w:val="24"/>
          <w:szCs w:val="24"/>
        </w:rPr>
        <w:t>Comisión Internacional sobre Protección frente a Radiaciones No Ionizantes</w:t>
      </w:r>
      <w:r w:rsidRPr="0093603B">
        <w:rPr>
          <w:rFonts w:ascii="Arial" w:hAnsi="Arial" w:cs="Arial"/>
          <w:b/>
          <w:color w:val="000000"/>
          <w:sz w:val="24"/>
          <w:szCs w:val="24"/>
        </w:rPr>
        <w:t xml:space="preserve"> </w:t>
      </w:r>
      <w:r>
        <w:rPr>
          <w:rFonts w:ascii="Arial" w:hAnsi="Arial" w:cs="Arial"/>
          <w:color w:val="000000"/>
          <w:sz w:val="24"/>
          <w:szCs w:val="24"/>
        </w:rPr>
        <w:t>– “</w:t>
      </w:r>
      <w:r w:rsidRPr="00372AE9">
        <w:rPr>
          <w:rFonts w:ascii="Arial" w:hAnsi="Arial" w:cs="Arial"/>
          <w:i/>
          <w:sz w:val="24"/>
          <w:szCs w:val="24"/>
        </w:rPr>
        <w:t>Recomendaciones para limitar la Exposición a campos Eléctricos, Magnéticos y Electromagnéticos (Hasta 300 GHz)</w:t>
      </w:r>
      <w:r>
        <w:rPr>
          <w:rFonts w:ascii="Arial" w:hAnsi="Arial" w:cs="Arial"/>
          <w:sz w:val="24"/>
          <w:szCs w:val="24"/>
        </w:rPr>
        <w:t>.” Julio 1999</w:t>
      </w:r>
    </w:p>
    <w:p w:rsidR="00F14FF2" w:rsidRDefault="00F14FF2" w:rsidP="00F14FF2">
      <w:pPr>
        <w:numPr>
          <w:ilvl w:val="0"/>
          <w:numId w:val="32"/>
        </w:numPr>
        <w:spacing w:line="360" w:lineRule="auto"/>
        <w:jc w:val="both"/>
        <w:rPr>
          <w:rFonts w:ascii="Arial" w:hAnsi="Arial" w:cs="Arial"/>
          <w:sz w:val="24"/>
          <w:szCs w:val="24"/>
        </w:rPr>
      </w:pPr>
      <w:r w:rsidRPr="00CB2C23">
        <w:rPr>
          <w:rFonts w:ascii="Arial" w:hAnsi="Arial" w:cs="Arial"/>
          <w:iCs/>
          <w:sz w:val="24"/>
          <w:szCs w:val="24"/>
          <w:lang w:eastAsia="es-ES"/>
        </w:rPr>
        <w:t>Knave</w:t>
      </w:r>
      <w:r w:rsidRPr="00CB2C23">
        <w:rPr>
          <w:rFonts w:ascii="Arial" w:hAnsi="Arial" w:cs="Arial"/>
          <w:sz w:val="24"/>
          <w:szCs w:val="24"/>
        </w:rPr>
        <w:t xml:space="preserve">, </w:t>
      </w:r>
      <w:r w:rsidRPr="00CB2C23">
        <w:rPr>
          <w:rFonts w:ascii="Arial" w:hAnsi="Arial" w:cs="Arial"/>
          <w:iCs/>
          <w:sz w:val="24"/>
          <w:szCs w:val="24"/>
          <w:lang w:eastAsia="es-ES"/>
        </w:rPr>
        <w:t>Bengt</w:t>
      </w:r>
      <w:r w:rsidRPr="00CB2C23">
        <w:rPr>
          <w:rFonts w:ascii="Arial" w:hAnsi="Arial" w:cs="Arial"/>
          <w:sz w:val="24"/>
          <w:szCs w:val="24"/>
        </w:rPr>
        <w:t xml:space="preserve"> –</w:t>
      </w:r>
      <w:r w:rsidRPr="00CA2A06">
        <w:rPr>
          <w:rFonts w:ascii="Arial" w:hAnsi="Arial" w:cs="Arial"/>
          <w:sz w:val="24"/>
          <w:szCs w:val="24"/>
        </w:rPr>
        <w:t xml:space="preserve"> “</w:t>
      </w:r>
      <w:r w:rsidRPr="00372AE9">
        <w:rPr>
          <w:rFonts w:ascii="Arial" w:hAnsi="Arial" w:cs="Arial"/>
          <w:i/>
          <w:sz w:val="24"/>
          <w:szCs w:val="24"/>
        </w:rPr>
        <w:t>Radiaciones No Ionizantes</w:t>
      </w:r>
      <w:r w:rsidRPr="00CA2A06">
        <w:rPr>
          <w:rFonts w:ascii="Arial" w:hAnsi="Arial" w:cs="Arial"/>
          <w:sz w:val="24"/>
          <w:szCs w:val="24"/>
        </w:rPr>
        <w:t>”</w:t>
      </w:r>
      <w:r>
        <w:rPr>
          <w:rFonts w:ascii="Arial" w:hAnsi="Arial" w:cs="Arial"/>
          <w:sz w:val="24"/>
          <w:szCs w:val="24"/>
        </w:rPr>
        <w:t xml:space="preserve"> - </w:t>
      </w:r>
      <w:r w:rsidRPr="00CA2A06">
        <w:rPr>
          <w:rFonts w:ascii="Arial" w:hAnsi="Arial" w:cs="Arial"/>
          <w:sz w:val="24"/>
          <w:szCs w:val="24"/>
        </w:rPr>
        <w:t>http://www.mtas.es/es/publica/pub_electronicas/destacadas/enciclo/general/contenido/tomo2/49.pdf DOC RNI</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80ABB">
        <w:rPr>
          <w:rFonts w:ascii="Arial" w:hAnsi="Arial" w:cs="Arial"/>
          <w:sz w:val="24"/>
          <w:szCs w:val="24"/>
        </w:rPr>
        <w:t>Último Acceso: Junio del 2010.</w:t>
      </w:r>
    </w:p>
    <w:p w:rsidR="00F14FF2" w:rsidRPr="00930198" w:rsidRDefault="00F14FF2" w:rsidP="00F14FF2">
      <w:pPr>
        <w:numPr>
          <w:ilvl w:val="0"/>
          <w:numId w:val="32"/>
        </w:numPr>
        <w:spacing w:line="360" w:lineRule="auto"/>
        <w:jc w:val="both"/>
        <w:rPr>
          <w:rFonts w:ascii="Arial" w:hAnsi="Arial" w:cs="Arial"/>
          <w:sz w:val="24"/>
          <w:szCs w:val="24"/>
        </w:rPr>
      </w:pPr>
      <w:r w:rsidRPr="00930198">
        <w:rPr>
          <w:rFonts w:ascii="Arial" w:hAnsi="Arial" w:cs="Arial"/>
          <w:sz w:val="24"/>
          <w:szCs w:val="24"/>
        </w:rPr>
        <w:t>Narda Safety Test Solutions – “</w:t>
      </w:r>
      <w:r w:rsidRPr="00372AE9">
        <w:rPr>
          <w:rFonts w:ascii="Arial" w:hAnsi="Arial" w:cs="Arial"/>
          <w:i/>
          <w:sz w:val="24"/>
          <w:szCs w:val="24"/>
        </w:rPr>
        <w:t>Manual de funcionamiento del Medidor Selectivo de RadiaciónSRM-3000</w:t>
      </w:r>
      <w:r w:rsidRPr="00930198">
        <w:rPr>
          <w:rFonts w:ascii="Arial" w:hAnsi="Arial" w:cs="Arial"/>
          <w:sz w:val="24"/>
          <w:szCs w:val="24"/>
        </w:rPr>
        <w:t>.”</w:t>
      </w:r>
    </w:p>
    <w:p w:rsidR="00F14FF2" w:rsidRDefault="00F14FF2" w:rsidP="00F14FF2">
      <w:pPr>
        <w:numPr>
          <w:ilvl w:val="0"/>
          <w:numId w:val="32"/>
        </w:numPr>
        <w:spacing w:line="360" w:lineRule="auto"/>
        <w:jc w:val="both"/>
        <w:rPr>
          <w:rFonts w:ascii="Arial" w:hAnsi="Arial" w:cs="Arial"/>
          <w:sz w:val="24"/>
          <w:szCs w:val="24"/>
        </w:rPr>
      </w:pPr>
      <w:r w:rsidRPr="00E76679">
        <w:rPr>
          <w:rFonts w:ascii="Arial" w:hAnsi="Arial" w:cs="Arial"/>
          <w:sz w:val="24"/>
          <w:szCs w:val="24"/>
        </w:rPr>
        <w:t>Organización Mundial de la Salud</w:t>
      </w:r>
      <w:r>
        <w:rPr>
          <w:rFonts w:ascii="Arial" w:hAnsi="Arial" w:cs="Arial"/>
          <w:sz w:val="24"/>
          <w:szCs w:val="24"/>
        </w:rPr>
        <w:t xml:space="preserve"> –</w:t>
      </w:r>
      <w:r w:rsidRPr="00E76679">
        <w:rPr>
          <w:rFonts w:ascii="Arial" w:hAnsi="Arial" w:cs="Arial"/>
          <w:sz w:val="24"/>
          <w:szCs w:val="24"/>
        </w:rPr>
        <w:t xml:space="preserve"> </w:t>
      </w:r>
      <w:r>
        <w:rPr>
          <w:rFonts w:ascii="Arial" w:hAnsi="Arial" w:cs="Arial"/>
          <w:sz w:val="24"/>
          <w:szCs w:val="24"/>
        </w:rPr>
        <w:t>“</w:t>
      </w:r>
      <w:r w:rsidRPr="00372AE9">
        <w:rPr>
          <w:rFonts w:ascii="Arial" w:hAnsi="Arial" w:cs="Arial"/>
          <w:i/>
          <w:sz w:val="24"/>
          <w:szCs w:val="24"/>
        </w:rPr>
        <w:t>Estableciendo un Diálogo sobre los Riesgos de los Campos Electromagnéticos</w:t>
      </w:r>
      <w:r>
        <w:rPr>
          <w:rFonts w:ascii="Arial" w:hAnsi="Arial" w:cs="Arial"/>
          <w:sz w:val="24"/>
          <w:szCs w:val="24"/>
        </w:rPr>
        <w:t>”</w:t>
      </w:r>
      <w:r w:rsidRPr="00E76679">
        <w:rPr>
          <w:rFonts w:ascii="Arial" w:hAnsi="Arial" w:cs="Arial"/>
          <w:sz w:val="24"/>
          <w:szCs w:val="24"/>
        </w:rPr>
        <w:t xml:space="preserve">. </w:t>
      </w:r>
      <w:r>
        <w:rPr>
          <w:rFonts w:ascii="Arial" w:hAnsi="Arial" w:cs="Arial"/>
          <w:sz w:val="24"/>
          <w:szCs w:val="24"/>
        </w:rPr>
        <w:t>2007</w:t>
      </w:r>
    </w:p>
    <w:p w:rsidR="00F14FF2" w:rsidRPr="00754BD3" w:rsidRDefault="00F14FF2" w:rsidP="00F14FF2">
      <w:pPr>
        <w:numPr>
          <w:ilvl w:val="0"/>
          <w:numId w:val="32"/>
        </w:numPr>
        <w:spacing w:line="360" w:lineRule="auto"/>
        <w:jc w:val="both"/>
        <w:rPr>
          <w:rFonts w:ascii="Arial" w:hAnsi="Arial" w:cs="Arial"/>
          <w:sz w:val="24"/>
          <w:szCs w:val="24"/>
          <w:u w:val="single"/>
        </w:rPr>
      </w:pPr>
      <w:r>
        <w:rPr>
          <w:rFonts w:ascii="Arial" w:hAnsi="Arial" w:cs="Arial"/>
          <w:sz w:val="24"/>
          <w:szCs w:val="24"/>
        </w:rPr>
        <w:t xml:space="preserve">Superintendencia de Telecomunicaciones – “Radiodifusión </w:t>
      </w:r>
      <w:r w:rsidRPr="00372AE9">
        <w:rPr>
          <w:rFonts w:ascii="Arial" w:hAnsi="Arial" w:cs="Arial"/>
          <w:i/>
          <w:sz w:val="24"/>
          <w:szCs w:val="24"/>
        </w:rPr>
        <w:t>y Televisión</w:t>
      </w:r>
      <w:r>
        <w:rPr>
          <w:rFonts w:ascii="Arial" w:hAnsi="Arial" w:cs="Arial"/>
          <w:sz w:val="24"/>
          <w:szCs w:val="24"/>
        </w:rPr>
        <w:t xml:space="preserve">” - </w:t>
      </w:r>
      <w:r w:rsidRPr="00980ABB">
        <w:rPr>
          <w:rFonts w:ascii="Arial" w:hAnsi="Arial" w:cs="Arial"/>
          <w:sz w:val="24"/>
          <w:szCs w:val="24"/>
        </w:rPr>
        <w:t>http://www.supertel.gov.ec/index.php/radiodifusion-y-television</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80ABB">
        <w:rPr>
          <w:rFonts w:ascii="Arial" w:hAnsi="Arial" w:cs="Arial"/>
          <w:sz w:val="24"/>
          <w:szCs w:val="24"/>
        </w:rPr>
        <w:t xml:space="preserve">Último Acceso: </w:t>
      </w:r>
      <w:r>
        <w:rPr>
          <w:rFonts w:ascii="Arial" w:hAnsi="Arial" w:cs="Arial"/>
          <w:sz w:val="24"/>
          <w:szCs w:val="24"/>
        </w:rPr>
        <w:t>Jun</w:t>
      </w:r>
      <w:r w:rsidRPr="00980ABB">
        <w:rPr>
          <w:rFonts w:ascii="Arial" w:hAnsi="Arial" w:cs="Arial"/>
          <w:sz w:val="24"/>
          <w:szCs w:val="24"/>
        </w:rPr>
        <w:t>io del 2010.</w:t>
      </w:r>
    </w:p>
    <w:p w:rsidR="00F14FF2" w:rsidRPr="00694859" w:rsidRDefault="00F14FF2" w:rsidP="00F14FF2">
      <w:pPr>
        <w:numPr>
          <w:ilvl w:val="0"/>
          <w:numId w:val="32"/>
        </w:numPr>
        <w:spacing w:line="360" w:lineRule="auto"/>
        <w:jc w:val="both"/>
        <w:rPr>
          <w:rFonts w:ascii="Arial" w:hAnsi="Arial" w:cs="Arial"/>
          <w:sz w:val="24"/>
          <w:szCs w:val="24"/>
          <w:lang w:val="en-US"/>
        </w:rPr>
      </w:pPr>
      <w:r w:rsidRPr="00694859">
        <w:rPr>
          <w:rFonts w:ascii="Arial" w:hAnsi="Arial" w:cs="Arial"/>
          <w:sz w:val="24"/>
          <w:szCs w:val="24"/>
          <w:lang w:val="en-US"/>
        </w:rPr>
        <w:t>Trinchero, S. “</w:t>
      </w:r>
      <w:r w:rsidRPr="00694859">
        <w:rPr>
          <w:rFonts w:ascii="Arial" w:hAnsi="Arial" w:cs="Arial"/>
          <w:bCs/>
          <w:i/>
          <w:sz w:val="24"/>
          <w:szCs w:val="24"/>
          <w:lang w:val="en-US" w:eastAsia="es-ES"/>
        </w:rPr>
        <w:t>Radiofrequency measurements for human exposure assessment in indoor environment”</w:t>
      </w:r>
      <w:r>
        <w:rPr>
          <w:rFonts w:ascii="Arial" w:hAnsi="Arial" w:cs="Arial"/>
          <w:bCs/>
          <w:i/>
          <w:sz w:val="24"/>
          <w:szCs w:val="24"/>
          <w:lang w:val="en-US" w:eastAsia="es-ES"/>
        </w:rPr>
        <w:t xml:space="preserve">. </w:t>
      </w:r>
      <w:r w:rsidRPr="00694859">
        <w:rPr>
          <w:rFonts w:ascii="Arial" w:hAnsi="Arial" w:cs="Arial"/>
          <w:bCs/>
          <w:i/>
          <w:sz w:val="24"/>
          <w:szCs w:val="24"/>
          <w:lang w:val="en-US" w:eastAsia="es-ES"/>
        </w:rPr>
        <w:t>Noviembre 2009</w:t>
      </w:r>
    </w:p>
    <w:p w:rsidR="00151CD7" w:rsidRDefault="00F14FF2" w:rsidP="00F14FF2">
      <w:pPr>
        <w:numPr>
          <w:ilvl w:val="0"/>
          <w:numId w:val="32"/>
        </w:numPr>
        <w:spacing w:line="360" w:lineRule="auto"/>
        <w:jc w:val="both"/>
        <w:rPr>
          <w:rFonts w:ascii="Arial" w:hAnsi="Arial" w:cs="Arial"/>
          <w:bCs/>
          <w:sz w:val="24"/>
          <w:szCs w:val="24"/>
          <w:lang w:eastAsia="es-ES"/>
        </w:rPr>
        <w:sectPr w:rsidR="00151CD7" w:rsidSect="00F14FF2">
          <w:pgSz w:w="11906" w:h="16838" w:code="9"/>
          <w:pgMar w:top="2268" w:right="1361" w:bottom="2268" w:left="2268" w:header="709" w:footer="709" w:gutter="0"/>
          <w:pgNumType w:start="1"/>
          <w:cols w:space="708"/>
          <w:titlePg/>
          <w:docGrid w:linePitch="360"/>
        </w:sectPr>
      </w:pPr>
      <w:r w:rsidRPr="00930198">
        <w:rPr>
          <w:rFonts w:ascii="Arial" w:hAnsi="Arial" w:cs="Arial"/>
          <w:sz w:val="24"/>
          <w:szCs w:val="24"/>
        </w:rPr>
        <w:t xml:space="preserve">Unión internacional de Telecomunicaciones, ITU-T K.52. </w:t>
      </w:r>
      <w:r>
        <w:rPr>
          <w:rFonts w:ascii="Arial" w:hAnsi="Arial" w:cs="Arial"/>
          <w:sz w:val="24"/>
          <w:szCs w:val="24"/>
        </w:rPr>
        <w:t>“</w:t>
      </w:r>
      <w:r w:rsidRPr="00372AE9">
        <w:rPr>
          <w:rFonts w:ascii="Arial" w:hAnsi="Arial" w:cs="Arial"/>
          <w:bCs/>
          <w:i/>
          <w:sz w:val="24"/>
          <w:szCs w:val="24"/>
          <w:lang w:eastAsia="es-ES"/>
        </w:rPr>
        <w:t>Orientación sobre el cumplimiento de los límites de exposición de las personas a los campos electromagnéticos</w:t>
      </w:r>
      <w:r>
        <w:rPr>
          <w:rFonts w:ascii="Arial" w:hAnsi="Arial" w:cs="Arial"/>
          <w:bCs/>
          <w:i/>
          <w:sz w:val="24"/>
          <w:szCs w:val="24"/>
          <w:lang w:eastAsia="es-ES"/>
        </w:rPr>
        <w:t>”.</w:t>
      </w:r>
      <w:r>
        <w:rPr>
          <w:rFonts w:ascii="Arial" w:hAnsi="Arial" w:cs="Arial"/>
          <w:bCs/>
          <w:sz w:val="24"/>
          <w:szCs w:val="24"/>
          <w:lang w:eastAsia="es-ES"/>
        </w:rPr>
        <w:t xml:space="preserve"> Diciembre 2004</w:t>
      </w:r>
    </w:p>
    <w:p w:rsidR="00F14FF2" w:rsidRDefault="00F14FF2" w:rsidP="00F14FF2">
      <w:pPr>
        <w:numPr>
          <w:ilvl w:val="0"/>
          <w:numId w:val="32"/>
        </w:numPr>
        <w:spacing w:line="360" w:lineRule="auto"/>
        <w:jc w:val="both"/>
        <w:rPr>
          <w:rFonts w:ascii="Arial" w:hAnsi="Arial" w:cs="Arial"/>
          <w:sz w:val="24"/>
          <w:szCs w:val="24"/>
        </w:rPr>
      </w:pPr>
      <w:r w:rsidRPr="00930198">
        <w:rPr>
          <w:rFonts w:ascii="Arial" w:hAnsi="Arial" w:cs="Arial"/>
          <w:sz w:val="24"/>
          <w:szCs w:val="24"/>
        </w:rPr>
        <w:lastRenderedPageBreak/>
        <w:t>Unión internacional de Telecomunicaciones, ITU-T K.61 – “</w:t>
      </w:r>
      <w:r w:rsidRPr="00372AE9">
        <w:rPr>
          <w:rFonts w:ascii="Arial" w:hAnsi="Arial" w:cs="Arial"/>
          <w:bCs/>
          <w:i/>
          <w:sz w:val="24"/>
          <w:szCs w:val="24"/>
          <w:lang w:eastAsia="es-ES"/>
        </w:rPr>
        <w:t>Directrices sobre la medición y la predicción numérica de los campos electromagnéticos para comprobar que las instalaciones de telecomunicaciones cumplen los límites de exposición de las personas</w:t>
      </w:r>
      <w:r>
        <w:rPr>
          <w:rFonts w:ascii="Arial" w:hAnsi="Arial" w:cs="Arial"/>
          <w:bCs/>
          <w:i/>
          <w:sz w:val="24"/>
          <w:szCs w:val="24"/>
          <w:lang w:eastAsia="es-ES"/>
        </w:rPr>
        <w:t xml:space="preserve">”. </w:t>
      </w:r>
      <w:r w:rsidRPr="00694859">
        <w:rPr>
          <w:rFonts w:ascii="Arial" w:hAnsi="Arial" w:cs="Arial"/>
          <w:bCs/>
          <w:sz w:val="24"/>
          <w:szCs w:val="24"/>
          <w:lang w:eastAsia="es-ES"/>
        </w:rPr>
        <w:t>Octubre 2003</w:t>
      </w:r>
    </w:p>
    <w:p w:rsidR="00F14FF2" w:rsidRDefault="00F14FF2" w:rsidP="00F14FF2">
      <w:pPr>
        <w:numPr>
          <w:ilvl w:val="0"/>
          <w:numId w:val="32"/>
        </w:numPr>
        <w:spacing w:line="360" w:lineRule="auto"/>
        <w:jc w:val="both"/>
        <w:rPr>
          <w:rFonts w:ascii="Arial" w:hAnsi="Arial" w:cs="Arial"/>
          <w:sz w:val="24"/>
          <w:szCs w:val="24"/>
        </w:rPr>
      </w:pPr>
      <w:r>
        <w:rPr>
          <w:rFonts w:ascii="Arial" w:hAnsi="Arial" w:cs="Arial"/>
          <w:bCs/>
          <w:sz w:val="24"/>
          <w:szCs w:val="24"/>
        </w:rPr>
        <w:t>Wikipedia  - “</w:t>
      </w:r>
      <w:r w:rsidRPr="00372AE9">
        <w:rPr>
          <w:rFonts w:ascii="Arial" w:hAnsi="Arial" w:cs="Arial"/>
          <w:bCs/>
          <w:i/>
          <w:sz w:val="24"/>
          <w:szCs w:val="24"/>
        </w:rPr>
        <w:t>Telefonía Móvil</w:t>
      </w:r>
      <w:r w:rsidRPr="00CC2E5A">
        <w:rPr>
          <w:rFonts w:ascii="Arial" w:hAnsi="Arial" w:cs="Arial"/>
          <w:bCs/>
          <w:sz w:val="24"/>
          <w:szCs w:val="24"/>
        </w:rPr>
        <w:t>”</w:t>
      </w:r>
      <w:r>
        <w:rPr>
          <w:rFonts w:ascii="Arial" w:hAnsi="Arial" w:cs="Arial"/>
          <w:bCs/>
          <w:sz w:val="24"/>
          <w:szCs w:val="24"/>
        </w:rPr>
        <w:t xml:space="preserve"> </w:t>
      </w:r>
      <w:r w:rsidRPr="00CC2E5A">
        <w:rPr>
          <w:rFonts w:ascii="Arial" w:hAnsi="Arial" w:cs="Arial"/>
          <w:bCs/>
          <w:sz w:val="24"/>
          <w:szCs w:val="24"/>
        </w:rPr>
        <w:t>-</w:t>
      </w:r>
      <w:r w:rsidRPr="00CC2E5A">
        <w:rPr>
          <w:rFonts w:ascii="Arial" w:hAnsi="Arial" w:cs="Arial"/>
          <w:sz w:val="24"/>
          <w:szCs w:val="24"/>
        </w:rPr>
        <w:t xml:space="preserve"> </w:t>
      </w:r>
      <w:r w:rsidRPr="00980ABB">
        <w:rPr>
          <w:rFonts w:ascii="Arial" w:hAnsi="Arial" w:cs="Arial"/>
          <w:sz w:val="24"/>
          <w:szCs w:val="24"/>
        </w:rPr>
        <w:t>http://es.wikipedia.org/wiki/TelefoníaMóvil</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980ABB">
        <w:rPr>
          <w:rFonts w:ascii="Arial" w:hAnsi="Arial" w:cs="Arial"/>
          <w:sz w:val="24"/>
          <w:szCs w:val="24"/>
        </w:rPr>
        <w:t>Último Acceso: Junio del 2010.</w:t>
      </w:r>
    </w:p>
    <w:p w:rsidR="00F14FF2" w:rsidRPr="00A30BD3" w:rsidRDefault="00F14FF2" w:rsidP="00F14FF2">
      <w:pPr>
        <w:numPr>
          <w:ilvl w:val="0"/>
          <w:numId w:val="32"/>
        </w:numPr>
        <w:spacing w:line="360" w:lineRule="auto"/>
        <w:jc w:val="both"/>
        <w:rPr>
          <w:rFonts w:ascii="Arial" w:hAnsi="Arial" w:cs="Arial"/>
          <w:sz w:val="24"/>
          <w:szCs w:val="24"/>
        </w:rPr>
      </w:pPr>
      <w:r w:rsidRPr="00A30BD3">
        <w:rPr>
          <w:rFonts w:ascii="Arial" w:hAnsi="Arial" w:cs="Arial"/>
          <w:bCs/>
          <w:sz w:val="24"/>
          <w:szCs w:val="24"/>
        </w:rPr>
        <w:t>Wikipedia  - “</w:t>
      </w:r>
      <w:r w:rsidRPr="00372AE9">
        <w:rPr>
          <w:rFonts w:ascii="Arial" w:hAnsi="Arial" w:cs="Arial"/>
          <w:bCs/>
          <w:i/>
          <w:sz w:val="24"/>
          <w:szCs w:val="24"/>
        </w:rPr>
        <w:t>Radiación Ionizante</w:t>
      </w:r>
      <w:r w:rsidRPr="00A30BD3">
        <w:rPr>
          <w:rFonts w:ascii="Arial" w:hAnsi="Arial" w:cs="Arial"/>
          <w:bCs/>
          <w:sz w:val="24"/>
          <w:szCs w:val="24"/>
        </w:rPr>
        <w:t xml:space="preserve">” - </w:t>
      </w:r>
      <w:r w:rsidRPr="00980ABB">
        <w:rPr>
          <w:rFonts w:ascii="Arial" w:hAnsi="Arial" w:cs="Arial"/>
          <w:sz w:val="24"/>
          <w:szCs w:val="24"/>
        </w:rPr>
        <w:t>http://es.wikipedia.org/wiki/Radiación_ionizante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Pr="00980ABB">
        <w:rPr>
          <w:rFonts w:ascii="Arial" w:hAnsi="Arial" w:cs="Arial"/>
          <w:sz w:val="24"/>
          <w:szCs w:val="24"/>
        </w:rPr>
        <w:t>Último Acceso: Junio del 2010.</w:t>
      </w:r>
    </w:p>
    <w:p w:rsidR="00F14FF2" w:rsidRDefault="00F14FF2" w:rsidP="00F14FF2">
      <w:pPr>
        <w:numPr>
          <w:ilvl w:val="0"/>
          <w:numId w:val="32"/>
        </w:numPr>
        <w:spacing w:line="360" w:lineRule="auto"/>
        <w:jc w:val="both"/>
        <w:rPr>
          <w:rFonts w:ascii="Arial" w:hAnsi="Arial" w:cs="Arial"/>
          <w:sz w:val="24"/>
          <w:szCs w:val="24"/>
        </w:rPr>
      </w:pPr>
      <w:r w:rsidRPr="00A30BD3">
        <w:rPr>
          <w:rFonts w:ascii="Arial" w:hAnsi="Arial" w:cs="Arial"/>
          <w:bCs/>
          <w:sz w:val="24"/>
          <w:szCs w:val="24"/>
        </w:rPr>
        <w:t>Wikipedia  - “</w:t>
      </w:r>
      <w:r w:rsidRPr="00372AE9">
        <w:rPr>
          <w:rFonts w:ascii="Arial" w:hAnsi="Arial" w:cs="Arial"/>
          <w:bCs/>
          <w:i/>
          <w:sz w:val="24"/>
          <w:szCs w:val="24"/>
        </w:rPr>
        <w:t>Radiación No Ionizante</w:t>
      </w:r>
      <w:r w:rsidRPr="00A30BD3">
        <w:rPr>
          <w:rFonts w:ascii="Arial" w:hAnsi="Arial" w:cs="Arial"/>
          <w:bCs/>
          <w:sz w:val="24"/>
          <w:szCs w:val="24"/>
        </w:rPr>
        <w:t xml:space="preserve">” - </w:t>
      </w:r>
      <w:r w:rsidRPr="00980ABB">
        <w:rPr>
          <w:rFonts w:ascii="Arial" w:hAnsi="Arial" w:cs="Arial"/>
          <w:sz w:val="24"/>
          <w:szCs w:val="24"/>
        </w:rPr>
        <w:t>http://es.wikipedia.org/wiki/Radiación_no_ionizante</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 xml:space="preserve">         </w:t>
      </w:r>
      <w:r w:rsidRPr="00980ABB">
        <w:rPr>
          <w:rFonts w:ascii="Arial" w:hAnsi="Arial" w:cs="Arial"/>
          <w:sz w:val="24"/>
          <w:szCs w:val="24"/>
        </w:rPr>
        <w:t>Último Acceso: Junio del 2010.</w:t>
      </w:r>
    </w:p>
    <w:p w:rsidR="00F14FF2" w:rsidRPr="00980ABB" w:rsidRDefault="00F14FF2" w:rsidP="00F14FF2">
      <w:pPr>
        <w:numPr>
          <w:ilvl w:val="0"/>
          <w:numId w:val="32"/>
        </w:numPr>
        <w:spacing w:line="360" w:lineRule="auto"/>
        <w:jc w:val="both"/>
        <w:rPr>
          <w:rFonts w:ascii="Arial" w:hAnsi="Arial" w:cs="Arial"/>
          <w:sz w:val="24"/>
          <w:szCs w:val="24"/>
        </w:rPr>
      </w:pPr>
      <w:r w:rsidRPr="00372AE9">
        <w:rPr>
          <w:rFonts w:ascii="Arial" w:hAnsi="Arial" w:cs="Arial"/>
          <w:bCs/>
          <w:sz w:val="24"/>
          <w:szCs w:val="24"/>
        </w:rPr>
        <w:t>Wikipedia  - “</w:t>
      </w:r>
      <w:r w:rsidRPr="00372AE9">
        <w:rPr>
          <w:rFonts w:ascii="Arial" w:hAnsi="Arial" w:cs="Arial"/>
          <w:bCs/>
          <w:i/>
          <w:sz w:val="24"/>
          <w:szCs w:val="24"/>
        </w:rPr>
        <w:t>Radiofrecuencia</w:t>
      </w:r>
      <w:r w:rsidRPr="00372AE9">
        <w:rPr>
          <w:rFonts w:ascii="Arial" w:hAnsi="Arial" w:cs="Arial"/>
          <w:bCs/>
          <w:sz w:val="24"/>
          <w:szCs w:val="24"/>
        </w:rPr>
        <w:t xml:space="preserve">” - </w:t>
      </w:r>
      <w:r w:rsidRPr="00980ABB">
        <w:rPr>
          <w:rFonts w:ascii="Arial" w:hAnsi="Arial" w:cs="Arial"/>
          <w:sz w:val="24"/>
        </w:rPr>
        <w:t>http:// es.wikipedia.org/wiki/Radiofrecuencia</w:t>
      </w:r>
      <w:r>
        <w:rPr>
          <w:rFonts w:ascii="Arial" w:hAnsi="Arial" w:cs="Arial"/>
          <w:sz w:val="24"/>
        </w:rPr>
        <w:t xml:space="preserve">.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w:t>
      </w:r>
      <w:r w:rsidRPr="00980ABB">
        <w:rPr>
          <w:rFonts w:ascii="Arial" w:hAnsi="Arial" w:cs="Arial"/>
          <w:sz w:val="24"/>
          <w:szCs w:val="24"/>
        </w:rPr>
        <w:t>Último Acceso: Junio del 2010.</w:t>
      </w:r>
    </w:p>
    <w:p w:rsidR="00F14FF2" w:rsidRPr="00980ABB" w:rsidRDefault="00F14FF2" w:rsidP="00F14FF2">
      <w:pPr>
        <w:numPr>
          <w:ilvl w:val="0"/>
          <w:numId w:val="32"/>
        </w:numPr>
        <w:spacing w:line="360" w:lineRule="auto"/>
        <w:jc w:val="both"/>
        <w:rPr>
          <w:rFonts w:ascii="Arial" w:hAnsi="Arial" w:cs="Arial"/>
          <w:sz w:val="24"/>
          <w:szCs w:val="24"/>
        </w:rPr>
      </w:pPr>
      <w:r w:rsidRPr="00980ABB">
        <w:rPr>
          <w:rFonts w:ascii="Arial" w:hAnsi="Arial" w:cs="Arial"/>
          <w:bCs/>
          <w:sz w:val="24"/>
          <w:szCs w:val="24"/>
          <w:lang w:val="en-US"/>
        </w:rPr>
        <w:t>Wikipedia  - “</w:t>
      </w:r>
      <w:r w:rsidRPr="00980ABB">
        <w:rPr>
          <w:rFonts w:ascii="Arial" w:hAnsi="Arial" w:cs="Arial"/>
          <w:bCs/>
          <w:i/>
          <w:sz w:val="24"/>
          <w:szCs w:val="24"/>
          <w:lang w:val="en-US"/>
        </w:rPr>
        <w:t>Wireless Local Area Network</w:t>
      </w:r>
      <w:r w:rsidRPr="00980ABB">
        <w:rPr>
          <w:rFonts w:ascii="Arial" w:hAnsi="Arial" w:cs="Arial"/>
          <w:bCs/>
          <w:sz w:val="24"/>
          <w:szCs w:val="24"/>
          <w:lang w:val="en-US"/>
        </w:rPr>
        <w:t>” -</w:t>
      </w:r>
      <w:r w:rsidRPr="00980ABB">
        <w:rPr>
          <w:rFonts w:ascii="Arial" w:hAnsi="Arial" w:cs="Arial"/>
          <w:sz w:val="24"/>
          <w:szCs w:val="24"/>
          <w:lang w:val="en-US"/>
        </w:rPr>
        <w:t xml:space="preserve"> http://es.wikipedia.org/wiki/WLAN.                                                 </w:t>
      </w:r>
      <w:r w:rsidRPr="00980ABB">
        <w:rPr>
          <w:rFonts w:ascii="Arial" w:hAnsi="Arial" w:cs="Arial"/>
          <w:sz w:val="24"/>
          <w:szCs w:val="24"/>
        </w:rPr>
        <w:t>Último Acceso: Junio del 2010.</w:t>
      </w:r>
    </w:p>
    <w:sectPr w:rsidR="00F14FF2" w:rsidRPr="00980ABB" w:rsidSect="00F14FF2">
      <w:pgSz w:w="11906" w:h="16838" w:code="9"/>
      <w:pgMar w:top="2268" w:right="1361" w:bottom="2268"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95E" w:rsidRDefault="0073795E" w:rsidP="004330D4">
      <w:pPr>
        <w:spacing w:after="0" w:line="240" w:lineRule="auto"/>
      </w:pPr>
      <w:r>
        <w:separator/>
      </w:r>
    </w:p>
  </w:endnote>
  <w:endnote w:type="continuationSeparator" w:id="0">
    <w:p w:rsidR="0073795E" w:rsidRDefault="0073795E" w:rsidP="004330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GCNAIO+Arial,Bold">
    <w:altName w:val="Arial"/>
    <w:panose1 w:val="00000000000000000000"/>
    <w:charset w:val="00"/>
    <w:family w:val="swiss"/>
    <w:notTrueType/>
    <w:pitch w:val="default"/>
    <w:sig w:usb0="00000003" w:usb1="00000000" w:usb2="00000000" w:usb3="00000000" w:csb0="00000001" w:csb1="00000000"/>
  </w:font>
  <w:font w:name="GCNAKE+Arial">
    <w:altName w:val="Arial"/>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95E" w:rsidRDefault="0073795E" w:rsidP="004330D4">
      <w:pPr>
        <w:spacing w:after="0" w:line="240" w:lineRule="auto"/>
      </w:pPr>
      <w:r>
        <w:separator/>
      </w:r>
    </w:p>
  </w:footnote>
  <w:footnote w:type="continuationSeparator" w:id="0">
    <w:p w:rsidR="0073795E" w:rsidRDefault="0073795E" w:rsidP="004330D4">
      <w:pPr>
        <w:spacing w:after="0" w:line="240" w:lineRule="auto"/>
      </w:pPr>
      <w:r>
        <w:continuationSeparator/>
      </w:r>
    </w:p>
  </w:footnote>
  <w:footnote w:id="1">
    <w:p w:rsidR="001421CB" w:rsidRPr="00AB080B" w:rsidRDefault="001421CB" w:rsidP="0025315F">
      <w:pPr>
        <w:pStyle w:val="FootnoteText"/>
        <w:rPr>
          <w:rFonts w:ascii="Arial" w:hAnsi="Arial" w:cs="Arial"/>
          <w:lang w:val="es-SV"/>
        </w:rPr>
      </w:pPr>
      <w:r w:rsidRPr="00AB080B">
        <w:rPr>
          <w:rStyle w:val="FootnoteReference"/>
          <w:rFonts w:ascii="Arial" w:hAnsi="Arial" w:cs="Arial"/>
        </w:rPr>
        <w:footnoteRef/>
      </w:r>
      <w:r w:rsidRPr="00AB080B">
        <w:rPr>
          <w:rFonts w:ascii="Arial" w:hAnsi="Arial" w:cs="Arial"/>
        </w:rPr>
        <w:t xml:space="preserve"> </w:t>
      </w:r>
      <w:r w:rsidRPr="00EE3D85">
        <w:t>http://html.rincondelvago.com/carga-electrica-y-electricidad.html</w:t>
      </w:r>
    </w:p>
  </w:footnote>
  <w:footnote w:id="2">
    <w:p w:rsidR="001421CB" w:rsidRPr="00D8063B" w:rsidRDefault="001421CB" w:rsidP="0025315F">
      <w:pPr>
        <w:pStyle w:val="FootnoteText"/>
        <w:rPr>
          <w:rFonts w:cs="Arial"/>
          <w:sz w:val="22"/>
          <w:szCs w:val="22"/>
          <w:lang w:val="es-SV"/>
        </w:rPr>
      </w:pPr>
      <w:r w:rsidRPr="00D8063B">
        <w:rPr>
          <w:rStyle w:val="FootnoteReference"/>
          <w:rFonts w:cs="Arial"/>
          <w:sz w:val="22"/>
          <w:szCs w:val="22"/>
        </w:rPr>
        <w:footnoteRef/>
      </w:r>
      <w:r w:rsidRPr="00D8063B">
        <w:rPr>
          <w:rFonts w:cs="Arial"/>
          <w:sz w:val="22"/>
          <w:szCs w:val="22"/>
        </w:rPr>
        <w:t xml:space="preserve"> </w:t>
      </w:r>
      <w:hyperlink r:id="rId1" w:history="1">
        <w:r w:rsidRPr="00D8063B">
          <w:rPr>
            <w:rStyle w:val="Hyperlink"/>
            <w:color w:val="auto"/>
            <w:u w:val="none"/>
          </w:rPr>
          <w:t>http://html.rincondelvago.com/carga-electrica-y-electricidad.html</w:t>
        </w:r>
      </w:hyperlink>
    </w:p>
  </w:footnote>
  <w:footnote w:id="3">
    <w:p w:rsidR="001421CB" w:rsidRPr="005C5DBE" w:rsidRDefault="001421CB" w:rsidP="0025315F">
      <w:r w:rsidRPr="001406D0">
        <w:rPr>
          <w:rStyle w:val="FootnoteReference"/>
          <w:rFonts w:ascii="Arial" w:hAnsi="Arial" w:cs="Arial"/>
        </w:rPr>
        <w:footnoteRef/>
      </w:r>
      <w:r w:rsidRPr="001406D0">
        <w:rPr>
          <w:rFonts w:ascii="Arial" w:hAnsi="Arial" w:cs="Arial"/>
        </w:rPr>
        <w:t xml:space="preserve"> </w:t>
      </w:r>
      <w:r>
        <w:rPr>
          <w:rFonts w:cs="Arial"/>
        </w:rPr>
        <w:t>Fuente: Los Autores</w:t>
      </w:r>
    </w:p>
    <w:p w:rsidR="001421CB" w:rsidRPr="001406D0" w:rsidRDefault="001421CB" w:rsidP="0025315F">
      <w:pPr>
        <w:pStyle w:val="FootnoteText"/>
        <w:rPr>
          <w:rFonts w:ascii="Arial" w:hAnsi="Arial" w:cs="Arial"/>
          <w:lang w:val="es-SV"/>
        </w:rPr>
      </w:pPr>
    </w:p>
  </w:footnote>
  <w:footnote w:id="4">
    <w:p w:rsidR="001421CB" w:rsidRPr="00016933" w:rsidRDefault="001421CB" w:rsidP="0025315F">
      <w:pPr>
        <w:spacing w:after="0"/>
        <w:rPr>
          <w:rFonts w:cs="Arial"/>
          <w:lang w:val="es-SV"/>
        </w:rPr>
      </w:pPr>
      <w:r w:rsidRPr="00016933">
        <w:rPr>
          <w:rStyle w:val="FootnoteReference"/>
          <w:rFonts w:cs="Arial"/>
        </w:rPr>
        <w:footnoteRef/>
      </w:r>
      <w:r w:rsidRPr="00016933">
        <w:rPr>
          <w:rFonts w:cs="Arial"/>
        </w:rPr>
        <w:t xml:space="preserve"> </w:t>
      </w:r>
      <w:r w:rsidRPr="00EE3D85">
        <w:t>http://es.wikipedia.org/wiki/Ecuaciones_de_Maxwell</w:t>
      </w:r>
    </w:p>
  </w:footnote>
  <w:footnote w:id="5">
    <w:p w:rsidR="001421CB" w:rsidRPr="00C26C49" w:rsidRDefault="001421CB" w:rsidP="0025315F">
      <w:pPr>
        <w:spacing w:after="0"/>
        <w:rPr>
          <w:rFonts w:ascii="Arial" w:hAnsi="Arial" w:cs="Arial"/>
          <w:lang w:val="es-SV"/>
        </w:rPr>
      </w:pPr>
      <w:r w:rsidRPr="00C26C49">
        <w:rPr>
          <w:rStyle w:val="FootnoteReference"/>
          <w:rFonts w:cs="Arial"/>
        </w:rPr>
        <w:footnoteRef/>
      </w:r>
      <w:r w:rsidRPr="00C26C49">
        <w:rPr>
          <w:rFonts w:cs="Arial"/>
        </w:rPr>
        <w:t xml:space="preserve"> </w:t>
      </w:r>
      <w:r w:rsidRPr="00C26C49">
        <w:t>http://es.wikipedia.org/wiki/Ecuaciones_de_Maxwell</w:t>
      </w:r>
    </w:p>
  </w:footnote>
  <w:footnote w:id="6">
    <w:p w:rsidR="001421CB" w:rsidRPr="00C26C49" w:rsidRDefault="001421CB" w:rsidP="0025315F">
      <w:pPr>
        <w:spacing w:after="0"/>
        <w:ind w:left="142" w:hanging="142"/>
      </w:pPr>
      <w:r w:rsidRPr="00C26C49">
        <w:rPr>
          <w:rStyle w:val="FootnoteReference"/>
          <w:rFonts w:cs="Arial"/>
        </w:rPr>
        <w:footnoteRef/>
      </w:r>
      <w:r w:rsidRPr="00C26C49">
        <w:rPr>
          <w:rFonts w:cs="Arial"/>
        </w:rPr>
        <w:t xml:space="preserve"> </w:t>
      </w:r>
      <w:hyperlink r:id="rId2" w:history="1">
        <w:r w:rsidRPr="00C26C49">
          <w:rPr>
            <w:rStyle w:val="Hyperlink"/>
            <w:color w:val="auto"/>
            <w:u w:val="none"/>
          </w:rPr>
          <w:t>http://www.santaursula.es/ayto/fileadmin/archivos_de_editores/Documentos/Medio-Ambiente/mesaredonda/Bases_biol_gicas_para_normativas_de_protecci_n.pdf</w:t>
        </w:r>
      </w:hyperlink>
    </w:p>
    <w:p w:rsidR="001421CB" w:rsidRPr="001406D0" w:rsidRDefault="001421CB" w:rsidP="0025315F">
      <w:pPr>
        <w:pStyle w:val="FootnoteText"/>
        <w:rPr>
          <w:rFonts w:ascii="Arial" w:hAnsi="Arial" w:cs="Arial"/>
          <w:lang w:val="es-SV"/>
        </w:rPr>
      </w:pPr>
    </w:p>
  </w:footnote>
  <w:footnote w:id="7">
    <w:p w:rsidR="001421CB" w:rsidRPr="001406D0" w:rsidRDefault="001421CB" w:rsidP="0025315F">
      <w:pPr>
        <w:spacing w:after="0"/>
        <w:rPr>
          <w:rFonts w:ascii="Arial" w:hAnsi="Arial" w:cs="Arial"/>
          <w:lang w:val="es-SV"/>
        </w:rPr>
      </w:pPr>
      <w:r w:rsidRPr="00016933">
        <w:rPr>
          <w:rStyle w:val="FootnoteReference"/>
          <w:rFonts w:cs="Arial"/>
        </w:rPr>
        <w:footnoteRef/>
      </w:r>
      <w:r w:rsidRPr="00016933">
        <w:rPr>
          <w:rFonts w:cs="Arial"/>
        </w:rPr>
        <w:t xml:space="preserve"> </w:t>
      </w:r>
      <w:r w:rsidRPr="00EE3D85">
        <w:t>http://es.wikipedia.org/wiki/Electromagnetismo</w:t>
      </w:r>
    </w:p>
  </w:footnote>
  <w:footnote w:id="8">
    <w:p w:rsidR="001421CB" w:rsidRPr="001406D0" w:rsidRDefault="001421CB" w:rsidP="0025315F">
      <w:pPr>
        <w:spacing w:after="0"/>
        <w:rPr>
          <w:rFonts w:ascii="Arial" w:hAnsi="Arial" w:cs="Arial"/>
          <w:lang w:val="es-SV"/>
        </w:rPr>
      </w:pPr>
      <w:r w:rsidRPr="00016933">
        <w:rPr>
          <w:rStyle w:val="FootnoteReference"/>
          <w:rFonts w:cs="Arial"/>
        </w:rPr>
        <w:footnoteRef/>
      </w:r>
      <w:r w:rsidRPr="00016933">
        <w:rPr>
          <w:rFonts w:cs="Arial"/>
        </w:rPr>
        <w:t xml:space="preserve"> </w:t>
      </w:r>
      <w:r w:rsidRPr="000C6166">
        <w:t>http://es.wikipedia.org/wiki/Radiación_ionizante</w:t>
      </w:r>
    </w:p>
  </w:footnote>
  <w:footnote w:id="9">
    <w:p w:rsidR="001421CB" w:rsidRPr="00016933" w:rsidRDefault="001421CB" w:rsidP="0025315F">
      <w:pPr>
        <w:spacing w:after="0"/>
      </w:pPr>
      <w:r w:rsidRPr="00016933">
        <w:rPr>
          <w:rStyle w:val="FootnoteReference"/>
          <w:rFonts w:cs="Arial"/>
        </w:rPr>
        <w:footnoteRef/>
      </w:r>
      <w:r w:rsidRPr="00016933">
        <w:rPr>
          <w:rFonts w:cs="Arial"/>
        </w:rPr>
        <w:t xml:space="preserve"> Fuente: </w:t>
      </w:r>
      <w:r>
        <w:rPr>
          <w:rFonts w:cs="Arial"/>
        </w:rPr>
        <w:t>Instituto Nacional de Seguridad e Higiene en el Trabajo, España</w:t>
      </w:r>
    </w:p>
    <w:p w:rsidR="001421CB" w:rsidRPr="001406D0" w:rsidRDefault="001421CB" w:rsidP="0025315F">
      <w:pPr>
        <w:pStyle w:val="FootnoteText"/>
        <w:rPr>
          <w:rFonts w:ascii="Arial" w:hAnsi="Arial" w:cs="Arial"/>
          <w:lang w:val="es-SV"/>
        </w:rPr>
      </w:pPr>
    </w:p>
  </w:footnote>
  <w:footnote w:id="10">
    <w:p w:rsidR="001421CB" w:rsidRPr="00016933" w:rsidRDefault="001421CB" w:rsidP="0025315F">
      <w:pPr>
        <w:spacing w:after="0"/>
      </w:pPr>
      <w:r w:rsidRPr="00016933">
        <w:rPr>
          <w:rStyle w:val="FootnoteReference"/>
          <w:rFonts w:cs="Arial"/>
        </w:rPr>
        <w:footnoteRef/>
      </w:r>
      <w:r w:rsidRPr="00016933">
        <w:rPr>
          <w:rFonts w:cs="Arial"/>
        </w:rPr>
        <w:t xml:space="preserve"> </w:t>
      </w:r>
      <w:r w:rsidRPr="00085119">
        <w:t>http://www.um.es/docencia/barzana/II/Ii03.html</w:t>
      </w:r>
    </w:p>
    <w:p w:rsidR="001421CB" w:rsidRPr="001406D0" w:rsidRDefault="001421CB" w:rsidP="0025315F">
      <w:pPr>
        <w:pStyle w:val="FootnoteText"/>
        <w:rPr>
          <w:rFonts w:ascii="Arial" w:hAnsi="Arial" w:cs="Arial"/>
          <w:lang w:val="es-SV"/>
        </w:rPr>
      </w:pPr>
    </w:p>
  </w:footnote>
  <w:footnote w:id="11">
    <w:p w:rsidR="001421CB" w:rsidRPr="00C26C49" w:rsidRDefault="001421CB" w:rsidP="0025315F">
      <w:pPr>
        <w:spacing w:after="0"/>
      </w:pPr>
      <w:r w:rsidRPr="00C26C49">
        <w:rPr>
          <w:rStyle w:val="FootnoteReference"/>
          <w:rFonts w:cs="Arial"/>
        </w:rPr>
        <w:footnoteRef/>
      </w:r>
      <w:r w:rsidRPr="00C26C49">
        <w:rPr>
          <w:rFonts w:cs="Arial"/>
        </w:rPr>
        <w:t xml:space="preserve"> </w:t>
      </w:r>
      <w:hyperlink r:id="rId3" w:history="1">
        <w:r w:rsidRPr="00C26C49">
          <w:rPr>
            <w:rStyle w:val="Hyperlink"/>
            <w:color w:val="auto"/>
            <w:u w:val="none"/>
          </w:rPr>
          <w:t>http://</w:t>
        </w:r>
      </w:hyperlink>
      <w:r w:rsidRPr="00C26C49">
        <w:rPr>
          <w:rFonts w:cs="Arial"/>
        </w:rPr>
        <w:t xml:space="preserve"> es.wikipedia.org/wiki/Radiofrecuencia</w:t>
      </w:r>
    </w:p>
    <w:p w:rsidR="001421CB" w:rsidRPr="001406D0" w:rsidRDefault="001421CB" w:rsidP="0025315F">
      <w:pPr>
        <w:pStyle w:val="FootnoteText"/>
        <w:rPr>
          <w:rFonts w:ascii="Arial" w:hAnsi="Arial" w:cs="Arial"/>
          <w:lang w:val="es-SV"/>
        </w:rPr>
      </w:pPr>
    </w:p>
  </w:footnote>
  <w:footnote w:id="12">
    <w:p w:rsidR="001421CB" w:rsidRPr="00016933" w:rsidRDefault="001421CB" w:rsidP="0025315F">
      <w:pPr>
        <w:spacing w:after="0" w:line="240" w:lineRule="auto"/>
      </w:pPr>
      <w:r w:rsidRPr="00016933">
        <w:rPr>
          <w:rStyle w:val="FootnoteReference"/>
          <w:rFonts w:cs="Arial"/>
        </w:rPr>
        <w:footnoteRef/>
      </w:r>
      <w:r w:rsidRPr="00016933">
        <w:rPr>
          <w:rFonts w:cs="Arial"/>
        </w:rPr>
        <w:t xml:space="preserve"> </w:t>
      </w:r>
      <w:r w:rsidRPr="00B46CF7">
        <w:rPr>
          <w:rFonts w:cs="Arial"/>
        </w:rPr>
        <w:t>Campos Electromagnéticos, Telefonía Móvil y Salud Pública.</w:t>
      </w:r>
      <w:r>
        <w:rPr>
          <w:rFonts w:cs="Arial"/>
        </w:rPr>
        <w:t xml:space="preserve"> </w:t>
      </w:r>
      <w:r w:rsidRPr="00B46CF7">
        <w:rPr>
          <w:rFonts w:cs="Arial"/>
        </w:rPr>
        <w:t>Comunidad de Madrid</w:t>
      </w:r>
    </w:p>
    <w:p w:rsidR="001421CB" w:rsidRPr="001406D0" w:rsidRDefault="001421CB" w:rsidP="0025315F">
      <w:pPr>
        <w:pStyle w:val="FootnoteText"/>
        <w:rPr>
          <w:rFonts w:ascii="Arial" w:hAnsi="Arial" w:cs="Arial"/>
          <w:lang w:val="es-SV"/>
        </w:rPr>
      </w:pPr>
    </w:p>
  </w:footnote>
  <w:footnote w:id="13">
    <w:p w:rsidR="001421CB" w:rsidRPr="00236C00" w:rsidRDefault="001421CB" w:rsidP="0025315F">
      <w:pPr>
        <w:spacing w:after="0"/>
        <w:rPr>
          <w:rFonts w:cs="Arial"/>
          <w:lang w:val="es-SV"/>
        </w:rPr>
      </w:pPr>
      <w:r w:rsidRPr="00236C00">
        <w:rPr>
          <w:rStyle w:val="FootnoteReference"/>
          <w:rFonts w:cs="Arial"/>
        </w:rPr>
        <w:footnoteRef/>
      </w:r>
      <w:r w:rsidRPr="00236C00">
        <w:rPr>
          <w:rFonts w:cs="Arial"/>
        </w:rPr>
        <w:t xml:space="preserve"> </w:t>
      </w:r>
      <w:r w:rsidRPr="00085119">
        <w:t>http://www2.udec.cl/~johperez/psi/tic/cuerpo.html</w:t>
      </w:r>
    </w:p>
  </w:footnote>
  <w:footnote w:id="14">
    <w:p w:rsidR="001421CB" w:rsidRPr="00236C00" w:rsidRDefault="001421CB" w:rsidP="0025315F">
      <w:pPr>
        <w:spacing w:after="0"/>
      </w:pPr>
      <w:r w:rsidRPr="00236C00">
        <w:rPr>
          <w:rStyle w:val="FootnoteReference"/>
          <w:rFonts w:cs="Arial"/>
        </w:rPr>
        <w:footnoteRef/>
      </w:r>
      <w:r w:rsidRPr="00236C00">
        <w:rPr>
          <w:rFonts w:cs="Arial"/>
        </w:rPr>
        <w:t xml:space="preserve"> </w:t>
      </w:r>
      <w:r w:rsidRPr="003E7B79">
        <w:rPr>
          <w:rFonts w:cs="Arial"/>
        </w:rPr>
        <w:t>Campos Electromagnéticos, Telefonía Móvil y Salud Pública.</w:t>
      </w:r>
      <w:r>
        <w:rPr>
          <w:rFonts w:cs="Arial"/>
        </w:rPr>
        <w:t xml:space="preserve"> </w:t>
      </w:r>
      <w:r w:rsidRPr="003E7B79">
        <w:rPr>
          <w:rFonts w:cs="Arial"/>
        </w:rPr>
        <w:t>Comunidad de Madrid</w:t>
      </w:r>
    </w:p>
    <w:p w:rsidR="001421CB" w:rsidRPr="001406D0" w:rsidRDefault="001421CB" w:rsidP="0025315F">
      <w:pPr>
        <w:pStyle w:val="FootnoteText"/>
        <w:rPr>
          <w:rFonts w:ascii="Arial" w:hAnsi="Arial" w:cs="Arial"/>
          <w:lang w:val="es-SV"/>
        </w:rPr>
      </w:pPr>
    </w:p>
  </w:footnote>
  <w:footnote w:id="15">
    <w:p w:rsidR="001421CB" w:rsidRPr="002B52F4" w:rsidRDefault="001421CB" w:rsidP="0025315F">
      <w:pPr>
        <w:spacing w:after="0"/>
      </w:pPr>
      <w:r w:rsidRPr="002B52F4">
        <w:rPr>
          <w:rStyle w:val="FootnoteReference"/>
          <w:rFonts w:cs="Arial"/>
        </w:rPr>
        <w:footnoteRef/>
      </w:r>
      <w:r w:rsidRPr="002B52F4">
        <w:rPr>
          <w:rFonts w:cs="Arial"/>
        </w:rPr>
        <w:t xml:space="preserve"> </w:t>
      </w:r>
      <w:hyperlink r:id="rId4" w:history="1">
        <w:r w:rsidRPr="002B52F4">
          <w:rPr>
            <w:rStyle w:val="Hyperlink"/>
            <w:color w:val="auto"/>
            <w:u w:val="none"/>
          </w:rPr>
          <w:t>http://es.wikipedia.org/wiki/Telefonía_móvil</w:t>
        </w:r>
      </w:hyperlink>
    </w:p>
    <w:p w:rsidR="001421CB" w:rsidRPr="001406D0" w:rsidRDefault="001421CB" w:rsidP="0025315F">
      <w:pPr>
        <w:pStyle w:val="FootnoteText"/>
        <w:rPr>
          <w:rFonts w:ascii="Arial" w:hAnsi="Arial" w:cs="Arial"/>
          <w:lang w:val="es-SV"/>
        </w:rPr>
      </w:pPr>
    </w:p>
  </w:footnote>
  <w:footnote w:id="16">
    <w:p w:rsidR="001421CB" w:rsidRDefault="001421CB" w:rsidP="0025315F">
      <w:pPr>
        <w:spacing w:after="0"/>
        <w:rPr>
          <w:rFonts w:cs="Arial"/>
        </w:rPr>
      </w:pPr>
      <w:r w:rsidRPr="008E7576">
        <w:rPr>
          <w:rStyle w:val="FootnoteReference"/>
          <w:rFonts w:cs="Arial"/>
        </w:rPr>
        <w:footnoteRef/>
      </w:r>
      <w:r w:rsidRPr="008E7576">
        <w:rPr>
          <w:rFonts w:cs="Arial"/>
        </w:rPr>
        <w:t xml:space="preserve"> </w:t>
      </w:r>
      <w:r w:rsidRPr="0001091D">
        <w:rPr>
          <w:rFonts w:cs="Arial"/>
        </w:rPr>
        <w:t>Cuadro Nacional de Atribución de Bandas de Frecuencias 2008</w:t>
      </w:r>
      <w:r>
        <w:rPr>
          <w:rFonts w:cs="Arial"/>
        </w:rPr>
        <w:t>, Banda 800MHZ</w:t>
      </w:r>
    </w:p>
    <w:p w:rsidR="001421CB" w:rsidRPr="0001091D" w:rsidRDefault="001421CB" w:rsidP="0025315F">
      <w:pPr>
        <w:spacing w:after="0"/>
      </w:pPr>
      <w:r w:rsidRPr="0001091D">
        <w:rPr>
          <w:rStyle w:val="FootnoteReference"/>
          <w:rFonts w:cs="Arial"/>
        </w:rPr>
        <w:footnoteRef/>
      </w:r>
      <w:r w:rsidRPr="0001091D">
        <w:rPr>
          <w:rFonts w:cs="Arial"/>
        </w:rPr>
        <w:t xml:space="preserve"> Cuadro Nacional de Atribución de Bandas de Frecuencias 2008</w:t>
      </w:r>
      <w:r>
        <w:rPr>
          <w:rFonts w:cs="Arial"/>
        </w:rPr>
        <w:t>, Banda 1800-1900 MHZ</w:t>
      </w:r>
    </w:p>
    <w:p w:rsidR="001421CB" w:rsidRPr="0001091D" w:rsidRDefault="001421CB" w:rsidP="0025315F">
      <w:pPr>
        <w:spacing w:after="0"/>
        <w:rPr>
          <w:rFonts w:cs="Arial"/>
        </w:rPr>
      </w:pPr>
    </w:p>
  </w:footnote>
  <w:footnote w:id="17">
    <w:p w:rsidR="001421CB" w:rsidRPr="0001091D" w:rsidRDefault="001421CB" w:rsidP="0025315F">
      <w:pPr>
        <w:pStyle w:val="FootnoteText"/>
        <w:rPr>
          <w:rFonts w:ascii="Arial" w:hAnsi="Arial" w:cs="Arial"/>
        </w:rPr>
      </w:pPr>
    </w:p>
  </w:footnote>
  <w:footnote w:id="18">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sidRPr="00085119">
        <w:t>http://www.zero13wireless.net/foro/showthread.php?88-Que-es-el-Wireless-WLAN</w:t>
      </w:r>
    </w:p>
    <w:p w:rsidR="001421CB" w:rsidRPr="001406D0" w:rsidRDefault="001421CB" w:rsidP="0025315F">
      <w:pPr>
        <w:pStyle w:val="FootnoteText"/>
        <w:rPr>
          <w:rFonts w:ascii="Arial" w:hAnsi="Arial" w:cs="Arial"/>
          <w:lang w:val="es-SV"/>
        </w:rPr>
      </w:pPr>
    </w:p>
  </w:footnote>
  <w:footnote w:id="19">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Pr>
          <w:rFonts w:cs="Arial"/>
        </w:rPr>
        <w:t>Fuente: Los Autores</w:t>
      </w:r>
    </w:p>
    <w:p w:rsidR="001421CB" w:rsidRPr="001406D0" w:rsidRDefault="001421CB" w:rsidP="0025315F">
      <w:pPr>
        <w:pStyle w:val="FootnoteText"/>
        <w:rPr>
          <w:rFonts w:ascii="Arial" w:hAnsi="Arial" w:cs="Arial"/>
          <w:lang w:val="es-SV"/>
        </w:rPr>
      </w:pPr>
    </w:p>
  </w:footnote>
  <w:footnote w:id="20">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sidRPr="00085119">
        <w:t>http://es.kioskea.net/contents/wifi/wifiintro.php3</w:t>
      </w:r>
    </w:p>
    <w:p w:rsidR="001421CB" w:rsidRPr="001406D0" w:rsidRDefault="001421CB" w:rsidP="0025315F">
      <w:pPr>
        <w:pStyle w:val="FootnoteText"/>
        <w:rPr>
          <w:rFonts w:ascii="Arial" w:hAnsi="Arial" w:cs="Arial"/>
          <w:lang w:val="es-SV"/>
        </w:rPr>
      </w:pPr>
    </w:p>
  </w:footnote>
  <w:footnote w:id="21">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Pr>
          <w:rFonts w:cs="Arial"/>
        </w:rPr>
        <w:t>Fuente: Los autores</w:t>
      </w:r>
    </w:p>
    <w:p w:rsidR="001421CB" w:rsidRPr="001406D0" w:rsidRDefault="001421CB" w:rsidP="0025315F">
      <w:pPr>
        <w:pStyle w:val="FootnoteText"/>
        <w:rPr>
          <w:rFonts w:ascii="Arial" w:hAnsi="Arial" w:cs="Arial"/>
          <w:lang w:val="es-SV"/>
        </w:rPr>
      </w:pPr>
    </w:p>
  </w:footnote>
  <w:footnote w:id="22">
    <w:p w:rsidR="001421CB" w:rsidRPr="001406D0" w:rsidRDefault="001421CB" w:rsidP="0025315F">
      <w:pPr>
        <w:spacing w:after="0"/>
        <w:rPr>
          <w:rFonts w:ascii="Arial" w:hAnsi="Arial" w:cs="Arial"/>
          <w:lang w:val="es-SV"/>
        </w:rPr>
      </w:pPr>
      <w:r w:rsidRPr="0001091D">
        <w:rPr>
          <w:rStyle w:val="FootnoteReference"/>
          <w:rFonts w:cs="Arial"/>
        </w:rPr>
        <w:footnoteRef/>
      </w:r>
      <w:r w:rsidRPr="0001091D">
        <w:rPr>
          <w:rFonts w:cs="Arial"/>
        </w:rPr>
        <w:t xml:space="preserve"> </w:t>
      </w:r>
      <w:r w:rsidRPr="00845F1D">
        <w:rPr>
          <w:rFonts w:cs="Arial"/>
        </w:rPr>
        <w:t>Artículo Análisis de RNI en ESPOL</w:t>
      </w:r>
    </w:p>
  </w:footnote>
  <w:footnote w:id="23">
    <w:p w:rsidR="001421CB" w:rsidRPr="001406D0" w:rsidRDefault="001421CB" w:rsidP="0025315F">
      <w:pPr>
        <w:spacing w:after="0"/>
        <w:rPr>
          <w:rFonts w:ascii="Arial" w:hAnsi="Arial" w:cs="Arial"/>
          <w:lang w:val="es-SV"/>
        </w:rPr>
      </w:pPr>
      <w:r w:rsidRPr="0001091D">
        <w:rPr>
          <w:rStyle w:val="FootnoteReference"/>
          <w:rFonts w:cs="Arial"/>
        </w:rPr>
        <w:footnoteRef/>
      </w:r>
      <w:r w:rsidRPr="0001091D">
        <w:rPr>
          <w:rFonts w:cs="Arial"/>
        </w:rPr>
        <w:t xml:space="preserve"> </w:t>
      </w:r>
      <w:r>
        <w:rPr>
          <w:rFonts w:cs="Arial"/>
        </w:rPr>
        <w:t>Fuente: Los Autores</w:t>
      </w:r>
    </w:p>
  </w:footnote>
  <w:footnote w:id="24">
    <w:p w:rsidR="001421CB" w:rsidRPr="001406D0" w:rsidRDefault="001421CB" w:rsidP="0025315F">
      <w:pPr>
        <w:spacing w:after="0"/>
        <w:rPr>
          <w:rFonts w:ascii="Arial" w:hAnsi="Arial" w:cs="Arial"/>
          <w:lang w:val="es-SV"/>
        </w:rPr>
      </w:pPr>
      <w:r w:rsidRPr="0001091D">
        <w:rPr>
          <w:rStyle w:val="FootnoteReference"/>
          <w:rFonts w:cs="Arial"/>
        </w:rPr>
        <w:footnoteRef/>
      </w:r>
      <w:r w:rsidRPr="0001091D">
        <w:rPr>
          <w:rFonts w:cs="Arial"/>
        </w:rPr>
        <w:t xml:space="preserve"> </w:t>
      </w:r>
      <w:r>
        <w:rPr>
          <w:rFonts w:cs="Arial"/>
        </w:rPr>
        <w:t>Fuente: Los Autores</w:t>
      </w:r>
    </w:p>
  </w:footnote>
  <w:footnote w:id="25">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Pr>
          <w:rFonts w:cs="Arial"/>
        </w:rPr>
        <w:t>Fuente: Los Autores</w:t>
      </w:r>
    </w:p>
    <w:p w:rsidR="001421CB" w:rsidRPr="001406D0" w:rsidRDefault="001421CB" w:rsidP="0025315F">
      <w:pPr>
        <w:pStyle w:val="FootnoteText"/>
        <w:rPr>
          <w:rFonts w:ascii="Arial" w:hAnsi="Arial" w:cs="Arial"/>
          <w:lang w:val="es-SV"/>
        </w:rPr>
      </w:pPr>
    </w:p>
  </w:footnote>
  <w:footnote w:id="26">
    <w:p w:rsidR="001421CB" w:rsidRDefault="001421CB" w:rsidP="0025315F">
      <w:pPr>
        <w:spacing w:after="0"/>
        <w:rPr>
          <w:rFonts w:cs="Arial"/>
        </w:rPr>
      </w:pPr>
      <w:r w:rsidRPr="0001091D">
        <w:rPr>
          <w:rStyle w:val="FootnoteReference"/>
          <w:rFonts w:cs="Arial"/>
        </w:rPr>
        <w:footnoteRef/>
      </w:r>
      <w:r w:rsidRPr="0001091D">
        <w:rPr>
          <w:rFonts w:cs="Arial"/>
        </w:rPr>
        <w:t xml:space="preserve"> </w:t>
      </w:r>
      <w:r>
        <w:rPr>
          <w:rFonts w:cs="Arial"/>
        </w:rPr>
        <w:t xml:space="preserve"> E</w:t>
      </w:r>
      <w:r w:rsidRPr="006C10C7">
        <w:rPr>
          <w:rFonts w:cs="Arial"/>
        </w:rPr>
        <w:t>stableciendo un diálogo sobre los riesgos de los campos electromagnéticos. Organización Mundial de la Salud</w:t>
      </w:r>
    </w:p>
    <w:p w:rsidR="001421CB" w:rsidRPr="001406D0" w:rsidRDefault="001421CB" w:rsidP="0025315F">
      <w:pPr>
        <w:pStyle w:val="FootnoteText"/>
        <w:rPr>
          <w:rFonts w:ascii="Arial" w:hAnsi="Arial" w:cs="Arial"/>
          <w:lang w:val="es-SV"/>
        </w:rPr>
      </w:pPr>
    </w:p>
  </w:footnote>
  <w:footnote w:id="27">
    <w:p w:rsidR="001421CB" w:rsidRPr="006C10C7" w:rsidRDefault="001421CB" w:rsidP="0025315F">
      <w:pPr>
        <w:pStyle w:val="Default"/>
      </w:pPr>
      <w:r w:rsidRPr="0001091D">
        <w:rPr>
          <w:rStyle w:val="FootnoteReference"/>
          <w:rFonts w:ascii="Calibri" w:hAnsi="Calibri" w:cs="Arial"/>
          <w:color w:val="auto"/>
          <w:sz w:val="22"/>
          <w:szCs w:val="22"/>
        </w:rPr>
        <w:footnoteRef/>
      </w:r>
      <w:r w:rsidRPr="0001091D">
        <w:rPr>
          <w:rFonts w:ascii="Calibri" w:hAnsi="Calibri" w:cs="Arial"/>
          <w:color w:val="auto"/>
          <w:sz w:val="22"/>
          <w:szCs w:val="22"/>
        </w:rPr>
        <w:t xml:space="preserve"> </w:t>
      </w:r>
      <w:r w:rsidRPr="005412B4">
        <w:rPr>
          <w:rFonts w:ascii="Arial" w:hAnsi="Arial" w:cs="Arial"/>
          <w:bCs/>
          <w:sz w:val="20"/>
          <w:szCs w:val="20"/>
        </w:rPr>
        <w:t>Recomendaciones para limitar la Exposición a campos Eléctricos, Magnéticos y Electromagnéticos ( Hasta 300 Ghz). ICNIRP</w:t>
      </w:r>
    </w:p>
    <w:p w:rsidR="001421CB" w:rsidRPr="006C10C7" w:rsidRDefault="001421CB" w:rsidP="0025315F">
      <w:pPr>
        <w:pStyle w:val="FootnoteText"/>
        <w:rPr>
          <w:rFonts w:ascii="Arial" w:hAnsi="Arial" w:cs="Arial"/>
        </w:rPr>
      </w:pPr>
    </w:p>
  </w:footnote>
  <w:footnote w:id="28">
    <w:p w:rsidR="001421CB" w:rsidRPr="006C10C7" w:rsidRDefault="001421CB" w:rsidP="0025315F">
      <w:pPr>
        <w:pStyle w:val="Default"/>
      </w:pPr>
      <w:r w:rsidRPr="0001091D">
        <w:rPr>
          <w:rStyle w:val="FootnoteReference"/>
          <w:rFonts w:ascii="Calibri" w:hAnsi="Calibri" w:cs="Arial"/>
          <w:color w:val="auto"/>
          <w:sz w:val="22"/>
          <w:szCs w:val="22"/>
        </w:rPr>
        <w:footnoteRef/>
      </w:r>
      <w:r w:rsidRPr="0001091D">
        <w:rPr>
          <w:rFonts w:ascii="Calibri" w:hAnsi="Calibri" w:cs="Arial"/>
          <w:color w:val="auto"/>
          <w:sz w:val="22"/>
          <w:szCs w:val="22"/>
        </w:rPr>
        <w:t xml:space="preserve"> </w:t>
      </w:r>
      <w:r>
        <w:rPr>
          <w:b/>
          <w:bCs/>
          <w:sz w:val="18"/>
          <w:szCs w:val="18"/>
        </w:rPr>
        <w:t>Recomendaciones para limitar la Exposición a campos Eléctricos, Magnéticos y Electromagnéticos (Hasta 300 Ghz). ICNIRP</w:t>
      </w:r>
    </w:p>
    <w:p w:rsidR="001421CB" w:rsidRDefault="001421CB" w:rsidP="0025315F">
      <w:pPr>
        <w:spacing w:after="0"/>
        <w:rPr>
          <w:rFonts w:cs="Arial"/>
        </w:rPr>
      </w:pPr>
    </w:p>
    <w:p w:rsidR="001421CB" w:rsidRPr="001406D0" w:rsidRDefault="001421CB" w:rsidP="0025315F">
      <w:pPr>
        <w:pStyle w:val="FootnoteText"/>
        <w:rPr>
          <w:rFonts w:ascii="Arial" w:hAnsi="Arial" w:cs="Arial"/>
          <w:lang w:val="es-SV"/>
        </w:rPr>
      </w:pPr>
    </w:p>
  </w:footnote>
  <w:footnote w:id="29">
    <w:p w:rsidR="001421CB" w:rsidRPr="001406D0" w:rsidRDefault="001421CB" w:rsidP="0025315F">
      <w:pPr>
        <w:pStyle w:val="Default"/>
        <w:ind w:left="142" w:hanging="142"/>
        <w:rPr>
          <w:rFonts w:ascii="Arial" w:hAnsi="Arial" w:cs="Arial"/>
          <w:lang w:val="es-SV"/>
        </w:rPr>
      </w:pPr>
      <w:r w:rsidRPr="0001091D">
        <w:rPr>
          <w:rStyle w:val="FootnoteReference"/>
          <w:rFonts w:ascii="Calibri" w:hAnsi="Calibri" w:cs="Arial"/>
          <w:color w:val="auto"/>
          <w:sz w:val="22"/>
          <w:szCs w:val="22"/>
        </w:rPr>
        <w:footnoteRef/>
      </w:r>
      <w:r w:rsidRPr="0001091D">
        <w:rPr>
          <w:rFonts w:ascii="Calibri" w:hAnsi="Calibri" w:cs="Arial"/>
          <w:color w:val="auto"/>
          <w:sz w:val="22"/>
          <w:szCs w:val="22"/>
        </w:rPr>
        <w:t xml:space="preserve"> </w:t>
      </w:r>
      <w:r>
        <w:rPr>
          <w:b/>
          <w:bCs/>
          <w:sz w:val="18"/>
          <w:szCs w:val="18"/>
        </w:rPr>
        <w:t>Recomendaciones para limitar la Exposición a campos Eléctricos, Magnéticos y Electromagnéticos (Hasta 300 Ghz). ICNIRP</w:t>
      </w:r>
    </w:p>
  </w:footnote>
  <w:footnote w:id="30">
    <w:p w:rsidR="001421CB" w:rsidRPr="001406D0" w:rsidRDefault="001421CB" w:rsidP="0025315F">
      <w:pPr>
        <w:pStyle w:val="Default"/>
        <w:ind w:left="284" w:hanging="284"/>
        <w:rPr>
          <w:rFonts w:ascii="Arial" w:hAnsi="Arial" w:cs="Arial"/>
          <w:lang w:val="es-SV"/>
        </w:rPr>
      </w:pPr>
      <w:r w:rsidRPr="0001091D">
        <w:rPr>
          <w:rStyle w:val="FootnoteReference"/>
          <w:rFonts w:ascii="Calibri" w:hAnsi="Calibri" w:cs="Arial"/>
          <w:color w:val="auto"/>
          <w:sz w:val="22"/>
          <w:szCs w:val="22"/>
        </w:rPr>
        <w:footnoteRef/>
      </w:r>
      <w:r w:rsidRPr="0001091D">
        <w:rPr>
          <w:rFonts w:ascii="Calibri" w:hAnsi="Calibri" w:cs="Arial"/>
          <w:color w:val="auto"/>
          <w:sz w:val="22"/>
          <w:szCs w:val="22"/>
        </w:rPr>
        <w:t xml:space="preserve"> </w:t>
      </w:r>
      <w:r>
        <w:rPr>
          <w:b/>
          <w:bCs/>
          <w:sz w:val="18"/>
          <w:szCs w:val="18"/>
        </w:rPr>
        <w:t>Recomendaciones para limitar la Exposición a campos Eléctricos, Magnéticos y    Electromagnéticos (Hasta 300 Ghz). ICNIRP</w:t>
      </w:r>
    </w:p>
  </w:footnote>
  <w:footnote w:id="31">
    <w:p w:rsidR="001421CB" w:rsidRPr="001406D0" w:rsidRDefault="001421CB" w:rsidP="0025315F">
      <w:pPr>
        <w:pStyle w:val="Default"/>
        <w:ind w:left="142" w:hanging="142"/>
        <w:rPr>
          <w:rFonts w:ascii="Arial" w:hAnsi="Arial" w:cs="Arial"/>
          <w:lang w:val="es-SV"/>
        </w:rPr>
      </w:pPr>
      <w:r w:rsidRPr="0001091D">
        <w:rPr>
          <w:rStyle w:val="FootnoteReference"/>
          <w:rFonts w:ascii="Calibri" w:hAnsi="Calibri" w:cs="Arial"/>
          <w:color w:val="auto"/>
          <w:sz w:val="22"/>
          <w:szCs w:val="22"/>
        </w:rPr>
        <w:footnoteRef/>
      </w:r>
      <w:r w:rsidRPr="0001091D">
        <w:rPr>
          <w:rFonts w:ascii="Calibri" w:hAnsi="Calibri" w:cs="Arial"/>
          <w:color w:val="auto"/>
          <w:sz w:val="22"/>
          <w:szCs w:val="22"/>
        </w:rPr>
        <w:t xml:space="preserve"> </w:t>
      </w:r>
      <w:r>
        <w:rPr>
          <w:b/>
          <w:bCs/>
          <w:sz w:val="18"/>
          <w:szCs w:val="18"/>
        </w:rPr>
        <w:t>Fuente: Los autores</w:t>
      </w:r>
    </w:p>
  </w:footnote>
  <w:footnote w:id="32">
    <w:p w:rsidR="001421CB" w:rsidRDefault="001421CB" w:rsidP="0025315F">
      <w:pPr>
        <w:spacing w:after="0"/>
        <w:ind w:left="142" w:hanging="142"/>
        <w:rPr>
          <w:rFonts w:cs="Arial"/>
        </w:rPr>
      </w:pPr>
      <w:r w:rsidRPr="0001091D">
        <w:rPr>
          <w:rStyle w:val="FootnoteReference"/>
          <w:rFonts w:cs="Arial"/>
        </w:rPr>
        <w:footnoteRef/>
      </w:r>
      <w:r w:rsidRPr="0001091D">
        <w:rPr>
          <w:rFonts w:cs="Arial"/>
        </w:rPr>
        <w:t xml:space="preserve"> </w:t>
      </w:r>
      <w:r w:rsidRPr="00B279C5">
        <w:t>CENELEC</w:t>
      </w:r>
      <w:r>
        <w:t xml:space="preserve"> EN 54000</w:t>
      </w:r>
    </w:p>
    <w:p w:rsidR="001421CB" w:rsidRPr="001406D0" w:rsidRDefault="001421CB" w:rsidP="0025315F">
      <w:pPr>
        <w:pStyle w:val="FootnoteText"/>
        <w:rPr>
          <w:rFonts w:ascii="Arial" w:hAnsi="Arial" w:cs="Arial"/>
          <w:lang w:val="es-SV"/>
        </w:rPr>
      </w:pPr>
    </w:p>
  </w:footnote>
  <w:footnote w:id="33">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w:t>
      </w:r>
      <w:r w:rsidRPr="00B279C5">
        <w:t>CENELEC</w:t>
      </w:r>
      <w:r>
        <w:t xml:space="preserve"> EN 50383</w:t>
      </w:r>
    </w:p>
  </w:footnote>
  <w:footnote w:id="34">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35">
    <w:p w:rsidR="001421CB" w:rsidRDefault="001421CB" w:rsidP="0025315F">
      <w:pPr>
        <w:spacing w:after="0"/>
        <w:ind w:left="142" w:hanging="142"/>
        <w:rPr>
          <w:rFonts w:cs="Arial"/>
        </w:rPr>
      </w:pPr>
      <w:r w:rsidRPr="0001091D">
        <w:rPr>
          <w:rStyle w:val="FootnoteReference"/>
          <w:rFonts w:cs="Arial"/>
        </w:rPr>
        <w:footnoteRef/>
      </w:r>
      <w:r>
        <w:t xml:space="preserve"> Fuente: Los autores</w:t>
      </w:r>
    </w:p>
    <w:p w:rsidR="001421CB" w:rsidRPr="001406D0" w:rsidRDefault="001421CB" w:rsidP="0025315F">
      <w:pPr>
        <w:pStyle w:val="FootnoteText"/>
        <w:rPr>
          <w:rFonts w:ascii="Arial" w:hAnsi="Arial" w:cs="Arial"/>
          <w:lang w:val="es-SV"/>
        </w:rPr>
      </w:pPr>
    </w:p>
  </w:footnote>
  <w:footnote w:id="36">
    <w:p w:rsidR="001421CB" w:rsidRDefault="001421CB" w:rsidP="0025315F">
      <w:pPr>
        <w:spacing w:after="0"/>
        <w:ind w:left="142" w:hanging="142"/>
        <w:rPr>
          <w:rFonts w:cs="Arial"/>
        </w:rPr>
      </w:pPr>
      <w:r w:rsidRPr="0001091D">
        <w:rPr>
          <w:rStyle w:val="FootnoteReference"/>
          <w:rFonts w:cs="Arial"/>
        </w:rPr>
        <w:footnoteRef/>
      </w:r>
      <w:r>
        <w:t xml:space="preserve"> Fuente: Los autores</w:t>
      </w:r>
    </w:p>
    <w:p w:rsidR="001421CB" w:rsidRPr="001406D0" w:rsidRDefault="001421CB" w:rsidP="0025315F">
      <w:pPr>
        <w:pStyle w:val="FootnoteText"/>
        <w:rPr>
          <w:rFonts w:ascii="Arial" w:hAnsi="Arial" w:cs="Arial"/>
          <w:lang w:val="es-SV"/>
        </w:rPr>
      </w:pPr>
    </w:p>
  </w:footnote>
  <w:footnote w:id="37">
    <w:p w:rsidR="001421CB" w:rsidRDefault="001421CB" w:rsidP="0025315F">
      <w:pPr>
        <w:spacing w:after="0"/>
        <w:ind w:left="142" w:hanging="142"/>
        <w:rPr>
          <w:rFonts w:cs="Arial"/>
        </w:rPr>
      </w:pPr>
      <w:r w:rsidRPr="0001091D">
        <w:rPr>
          <w:rStyle w:val="FootnoteReference"/>
          <w:rFonts w:cs="Arial"/>
        </w:rPr>
        <w:footnoteRef/>
      </w:r>
      <w:r>
        <w:t xml:space="preserve"> </w:t>
      </w:r>
      <w:r w:rsidRPr="0093603B">
        <w:t>Manual de funcionamiento selectivo SRM-3000 Medidor de Radiación SRM-3000. Narda Safety Test Solutions</w:t>
      </w:r>
    </w:p>
    <w:p w:rsidR="001421CB" w:rsidRPr="001406D0" w:rsidRDefault="001421CB" w:rsidP="0025315F">
      <w:pPr>
        <w:pStyle w:val="FootnoteText"/>
        <w:rPr>
          <w:rFonts w:ascii="Arial" w:hAnsi="Arial" w:cs="Arial"/>
          <w:lang w:val="es-SV"/>
        </w:rPr>
      </w:pPr>
    </w:p>
  </w:footnote>
  <w:footnote w:id="38">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w:t>
      </w:r>
      <w:r w:rsidRPr="0093603B">
        <w:t>Manual de funcionamiento selectivo SRM-3000 Medidor de Radiación SRM-3000. Narda Safety Test Solutions</w:t>
      </w:r>
    </w:p>
  </w:footnote>
  <w:footnote w:id="39">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0">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1">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2">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3">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4">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5">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6">
    <w:p w:rsidR="001421CB" w:rsidRPr="001406D0" w:rsidRDefault="001421CB" w:rsidP="0025315F">
      <w:pPr>
        <w:spacing w:after="0"/>
        <w:ind w:left="142" w:hanging="142"/>
        <w:rPr>
          <w:rFonts w:ascii="Arial" w:hAnsi="Arial" w:cs="Arial"/>
          <w:lang w:val="es-SV"/>
        </w:rPr>
      </w:pPr>
      <w:r w:rsidRPr="0001091D">
        <w:rPr>
          <w:rStyle w:val="FootnoteReference"/>
          <w:rFonts w:cs="Arial"/>
        </w:rPr>
        <w:footnoteRef/>
      </w:r>
      <w:r>
        <w:t xml:space="preserve"> Fuente: Los autores</w:t>
      </w:r>
    </w:p>
  </w:footnote>
  <w:footnote w:id="47">
    <w:p w:rsidR="001421CB" w:rsidRPr="00200660" w:rsidRDefault="001421CB" w:rsidP="0025315F">
      <w:pPr>
        <w:spacing w:after="0"/>
        <w:rPr>
          <w:rFonts w:cs="Arial"/>
          <w:lang w:val="es-SV"/>
        </w:rPr>
      </w:pPr>
      <w:r w:rsidRPr="00200660">
        <w:rPr>
          <w:rStyle w:val="FootnoteReference"/>
          <w:rFonts w:cs="Arial"/>
        </w:rPr>
        <w:footnoteRef/>
      </w:r>
      <w:r w:rsidRPr="00200660">
        <w:rPr>
          <w:rFonts w:cs="Arial"/>
        </w:rPr>
        <w:t xml:space="preserve"> Fuente: Los autores</w:t>
      </w:r>
    </w:p>
  </w:footnote>
  <w:footnote w:id="48">
    <w:p w:rsidR="001421CB" w:rsidRPr="00200660" w:rsidRDefault="001421CB" w:rsidP="0025315F">
      <w:pPr>
        <w:spacing w:after="0"/>
      </w:pPr>
      <w:r w:rsidRPr="00200660">
        <w:rPr>
          <w:rStyle w:val="FootnoteReference"/>
          <w:rFonts w:cs="Arial"/>
        </w:rPr>
        <w:footnoteRef/>
      </w:r>
      <w:r w:rsidRPr="00200660">
        <w:rPr>
          <w:rFonts w:cs="Arial"/>
        </w:rPr>
        <w:t xml:space="preserve"> Fuente: Los autores</w:t>
      </w:r>
    </w:p>
    <w:p w:rsidR="001421CB" w:rsidRPr="001406D0" w:rsidRDefault="001421CB" w:rsidP="0025315F">
      <w:pPr>
        <w:pStyle w:val="FootnoteText"/>
        <w:rPr>
          <w:rFonts w:ascii="Arial" w:hAnsi="Arial" w:cs="Arial"/>
          <w:lang w:val="es-SV"/>
        </w:rPr>
      </w:pPr>
    </w:p>
  </w:footnote>
  <w:footnote w:id="49">
    <w:p w:rsidR="001421CB" w:rsidRDefault="001421CB" w:rsidP="0025315F">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Centro de Servicios informáticos de ESPOL</w:t>
      </w:r>
    </w:p>
    <w:p w:rsidR="001421CB" w:rsidRPr="001406D0" w:rsidRDefault="001421CB" w:rsidP="0025315F">
      <w:pPr>
        <w:pStyle w:val="FootnoteText"/>
        <w:rPr>
          <w:rFonts w:ascii="Arial" w:hAnsi="Arial" w:cs="Arial"/>
          <w:lang w:val="es-SV"/>
        </w:rPr>
      </w:pPr>
    </w:p>
  </w:footnote>
  <w:footnote w:id="50">
    <w:p w:rsidR="001421CB" w:rsidRDefault="001421CB" w:rsidP="0025315F">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1">
    <w:p w:rsidR="001421CB" w:rsidRDefault="001421CB" w:rsidP="0025315F">
      <w:r w:rsidRPr="001406D0">
        <w:rPr>
          <w:rStyle w:val="FootnoteReference"/>
          <w:rFonts w:ascii="Arial" w:hAnsi="Arial" w:cs="Arial"/>
        </w:rPr>
        <w:footnoteRef/>
      </w:r>
      <w:r w:rsidRPr="001406D0">
        <w:rPr>
          <w:rFonts w:ascii="Arial" w:hAnsi="Arial" w:cs="Arial"/>
        </w:rPr>
        <w:t xml:space="preserve"> </w:t>
      </w:r>
      <w:r w:rsidRPr="007D5822">
        <w:rPr>
          <w:rFonts w:ascii="Arial" w:hAnsi="Arial" w:cs="Arial"/>
          <w:sz w:val="16"/>
          <w:szCs w:val="16"/>
        </w:rPr>
        <w:t>Artículo</w:t>
      </w:r>
      <w:r>
        <w:rPr>
          <w:rFonts w:ascii="Arial" w:hAnsi="Arial" w:cs="Arial"/>
          <w:sz w:val="16"/>
          <w:szCs w:val="16"/>
        </w:rPr>
        <w:t xml:space="preserve"> </w:t>
      </w:r>
      <w:r w:rsidRPr="007D5822">
        <w:rPr>
          <w:rFonts w:ascii="Arial" w:hAnsi="Arial" w:cs="Arial"/>
          <w:sz w:val="16"/>
          <w:szCs w:val="16"/>
        </w:rPr>
        <w:t>de Análisis  de RNI en ESPOL.</w:t>
      </w:r>
    </w:p>
    <w:p w:rsidR="001421CB" w:rsidRPr="001406D0" w:rsidRDefault="001421CB" w:rsidP="0025315F">
      <w:pPr>
        <w:pStyle w:val="FootnoteText"/>
        <w:rPr>
          <w:rFonts w:ascii="Arial" w:hAnsi="Arial" w:cs="Arial"/>
          <w:lang w:val="es-SV"/>
        </w:rPr>
      </w:pPr>
    </w:p>
  </w:footnote>
  <w:footnote w:id="5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53">
    <w:p w:rsidR="001421CB" w:rsidRDefault="001421CB" w:rsidP="0025315F">
      <w:pPr>
        <w:spacing w:after="0"/>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4">
    <w:p w:rsidR="001421CB" w:rsidRDefault="001421CB" w:rsidP="0025315F">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56">
    <w:p w:rsidR="001421CB" w:rsidRDefault="001421CB" w:rsidP="0025315F">
      <w:pPr>
        <w:spacing w:after="0"/>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7">
    <w:p w:rsidR="001421CB" w:rsidRDefault="001421CB" w:rsidP="0025315F">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8">
    <w:p w:rsidR="001421CB" w:rsidRDefault="001421CB" w:rsidP="0025315F">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5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1">
    <w:p w:rsidR="001421CB" w:rsidRDefault="001421CB" w:rsidP="0025315F">
      <w:pPr>
        <w:spacing w:after="0"/>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6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3">
    <w:p w:rsidR="001421CB" w:rsidRDefault="001421CB" w:rsidP="0025315F">
      <w:pPr>
        <w:spacing w:after="0"/>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p w:rsidR="001421CB" w:rsidRPr="001406D0" w:rsidRDefault="001421CB" w:rsidP="0025315F">
      <w:pPr>
        <w:pStyle w:val="FootnoteText"/>
        <w:rPr>
          <w:rFonts w:ascii="Arial" w:hAnsi="Arial" w:cs="Arial"/>
          <w:lang w:val="es-SV"/>
        </w:rPr>
      </w:pPr>
    </w:p>
  </w:footnote>
  <w:footnote w:id="64">
    <w:p w:rsidR="001421CB" w:rsidRPr="001406D0" w:rsidRDefault="001421CB" w:rsidP="0025315F">
      <w:pPr>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6">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7">
    <w:p w:rsidR="001421CB" w:rsidRPr="001406D0" w:rsidRDefault="001421CB" w:rsidP="0025315F">
      <w:pPr>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8">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6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1">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3">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4">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6">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7">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8">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7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1">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3">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4">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6">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7">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8">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8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1">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3">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4">
    <w:p w:rsidR="001421CB" w:rsidRPr="001406D0" w:rsidRDefault="001421CB" w:rsidP="0025315F">
      <w:pPr>
        <w:spacing w:after="0" w:line="240" w:lineRule="auto"/>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6">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7">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8">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9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1">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3">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4">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5">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6">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7">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8">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09">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10">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11">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12">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 w:id="113">
    <w:p w:rsidR="001421CB" w:rsidRPr="001406D0" w:rsidRDefault="001421CB" w:rsidP="0025315F">
      <w:pPr>
        <w:spacing w:after="0"/>
        <w:rPr>
          <w:rFonts w:ascii="Arial" w:hAnsi="Arial" w:cs="Arial"/>
          <w:lang w:val="es-SV"/>
        </w:rPr>
      </w:pPr>
      <w:r w:rsidRPr="001406D0">
        <w:rPr>
          <w:rStyle w:val="FootnoteReference"/>
          <w:rFonts w:ascii="Arial" w:hAnsi="Arial" w:cs="Arial"/>
        </w:rPr>
        <w:footnoteRef/>
      </w:r>
      <w:r w:rsidRPr="001406D0">
        <w:rPr>
          <w:rFonts w:ascii="Arial" w:hAnsi="Arial" w:cs="Arial"/>
        </w:rPr>
        <w:t xml:space="preserve"> </w:t>
      </w:r>
      <w:r>
        <w:rPr>
          <w:rFonts w:ascii="Arial" w:hAnsi="Arial" w:cs="Arial"/>
          <w:sz w:val="20"/>
          <w:szCs w:val="20"/>
        </w:rPr>
        <w:t>Fuente: Los Autores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00133"/>
      <w:docPartObj>
        <w:docPartGallery w:val="Page Numbers (Top of Page)"/>
        <w:docPartUnique/>
      </w:docPartObj>
    </w:sdtPr>
    <w:sdtContent>
      <w:p w:rsidR="001421CB" w:rsidRDefault="00985E19">
        <w:pPr>
          <w:pStyle w:val="Header"/>
          <w:jc w:val="right"/>
        </w:pPr>
        <w:fldSimple w:instr=" PAGE   \* MERGEFORMAT ">
          <w:r w:rsidR="00283E64">
            <w:rPr>
              <w:noProof/>
            </w:rPr>
            <w:t>68</w:t>
          </w:r>
        </w:fldSimple>
      </w:p>
    </w:sdtContent>
  </w:sdt>
  <w:p w:rsidR="001421CB" w:rsidRDefault="001421C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21CB" w:rsidRDefault="001421CB" w:rsidP="005434CC">
    <w:pPr>
      <w:pStyle w:val="Header"/>
      <w:tabs>
        <w:tab w:val="clear" w:pos="8838"/>
        <w:tab w:val="right" w:pos="8222"/>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A95"/>
    <w:multiLevelType w:val="hybridMultilevel"/>
    <w:tmpl w:val="6B702644"/>
    <w:lvl w:ilvl="0" w:tplc="56A67E0E">
      <w:start w:val="1"/>
      <w:numFmt w:val="decimal"/>
      <w:lvlText w:val="%1."/>
      <w:lvlJc w:val="left"/>
      <w:pPr>
        <w:ind w:left="720" w:hanging="360"/>
      </w:pPr>
      <w:rPr>
        <w:b/>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9A5C12"/>
    <w:multiLevelType w:val="hybridMultilevel"/>
    <w:tmpl w:val="D41CEEB2"/>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7EE621D"/>
    <w:multiLevelType w:val="multilevel"/>
    <w:tmpl w:val="6046F1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C22FC"/>
    <w:multiLevelType w:val="hybridMultilevel"/>
    <w:tmpl w:val="EF841B04"/>
    <w:lvl w:ilvl="0" w:tplc="C938EE7C">
      <w:start w:val="1"/>
      <w:numFmt w:val="decimal"/>
      <w:lvlText w:val="%1."/>
      <w:lvlJc w:val="left"/>
      <w:pPr>
        <w:ind w:left="720" w:hanging="360"/>
      </w:pPr>
      <w:rPr>
        <w:rFonts w:ascii="Arial" w:hAnsi="Arial" w:cs="Arial" w:hint="default"/>
        <w:b w:val="0"/>
        <w:sz w:val="24"/>
      </w:r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4">
    <w:nsid w:val="0BF85522"/>
    <w:multiLevelType w:val="hybridMultilevel"/>
    <w:tmpl w:val="FA483BBA"/>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D5812BF"/>
    <w:multiLevelType w:val="hybridMultilevel"/>
    <w:tmpl w:val="D2940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3AD78F2"/>
    <w:multiLevelType w:val="multilevel"/>
    <w:tmpl w:val="CA8C0796"/>
    <w:lvl w:ilvl="0">
      <w:start w:val="1"/>
      <w:numFmt w:val="decimal"/>
      <w:lvlText w:val="%1."/>
      <w:lvlJc w:val="left"/>
      <w:pPr>
        <w:ind w:left="720" w:hanging="360"/>
      </w:pPr>
      <w:rPr>
        <w:rFonts w:hint="default"/>
      </w:rPr>
    </w:lvl>
    <w:lvl w:ilvl="1">
      <w:start w:val="3"/>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162B3208"/>
    <w:multiLevelType w:val="hybridMultilevel"/>
    <w:tmpl w:val="45DEAE96"/>
    <w:lvl w:ilvl="0" w:tplc="32B6DA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6C077B1"/>
    <w:multiLevelType w:val="hybridMultilevel"/>
    <w:tmpl w:val="355431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9840F83"/>
    <w:multiLevelType w:val="multilevel"/>
    <w:tmpl w:val="F14ECFD6"/>
    <w:lvl w:ilvl="0">
      <w:start w:val="3"/>
      <w:numFmt w:val="decimal"/>
      <w:lvlText w:val="%1."/>
      <w:lvlJc w:val="left"/>
      <w:pPr>
        <w:ind w:left="644" w:hanging="360"/>
      </w:pPr>
      <w:rPr>
        <w:rFonts w:eastAsia="Calibri" w:hint="default"/>
        <w:b/>
        <w:color w:val="auto"/>
        <w:sz w:val="32"/>
      </w:rPr>
    </w:lvl>
    <w:lvl w:ilvl="1">
      <w:start w:val="1"/>
      <w:numFmt w:val="decimal"/>
      <w:isLgl/>
      <w:lvlText w:val="%1.%2."/>
      <w:lvlJc w:val="left"/>
      <w:pPr>
        <w:ind w:left="1429" w:hanging="720"/>
      </w:pPr>
      <w:rPr>
        <w:rFonts w:eastAsia="Calibri" w:hint="default"/>
        <w:b/>
        <w:color w:val="auto"/>
        <w:sz w:val="24"/>
      </w:rPr>
    </w:lvl>
    <w:lvl w:ilvl="2">
      <w:start w:val="1"/>
      <w:numFmt w:val="decimal"/>
      <w:isLgl/>
      <w:lvlText w:val="%1.%2.%3."/>
      <w:lvlJc w:val="left"/>
      <w:pPr>
        <w:ind w:left="1854" w:hanging="720"/>
      </w:pPr>
      <w:rPr>
        <w:rFonts w:eastAsia="Calibri" w:hint="default"/>
        <w:b/>
        <w:color w:val="auto"/>
        <w:sz w:val="24"/>
      </w:rPr>
    </w:lvl>
    <w:lvl w:ilvl="3">
      <w:start w:val="1"/>
      <w:numFmt w:val="decimal"/>
      <w:isLgl/>
      <w:lvlText w:val="%1.%2.%3.%4."/>
      <w:lvlJc w:val="left"/>
      <w:pPr>
        <w:ind w:left="2639" w:hanging="1080"/>
      </w:pPr>
      <w:rPr>
        <w:rFonts w:eastAsia="Calibri" w:hint="default"/>
        <w:b/>
        <w:color w:val="auto"/>
        <w:sz w:val="24"/>
      </w:rPr>
    </w:lvl>
    <w:lvl w:ilvl="4">
      <w:start w:val="1"/>
      <w:numFmt w:val="decimal"/>
      <w:isLgl/>
      <w:lvlText w:val="%1.%2.%3.%4.%5."/>
      <w:lvlJc w:val="left"/>
      <w:pPr>
        <w:ind w:left="3064" w:hanging="1080"/>
      </w:pPr>
      <w:rPr>
        <w:rFonts w:eastAsia="Calibri" w:hint="default"/>
        <w:b/>
        <w:color w:val="auto"/>
        <w:sz w:val="24"/>
      </w:rPr>
    </w:lvl>
    <w:lvl w:ilvl="5">
      <w:start w:val="1"/>
      <w:numFmt w:val="decimal"/>
      <w:isLgl/>
      <w:lvlText w:val="%1.%2.%3.%4.%5.%6."/>
      <w:lvlJc w:val="left"/>
      <w:pPr>
        <w:ind w:left="3849" w:hanging="1440"/>
      </w:pPr>
      <w:rPr>
        <w:rFonts w:eastAsia="Calibri" w:hint="default"/>
        <w:b/>
        <w:color w:val="auto"/>
        <w:sz w:val="32"/>
      </w:rPr>
    </w:lvl>
    <w:lvl w:ilvl="6">
      <w:start w:val="1"/>
      <w:numFmt w:val="decimal"/>
      <w:isLgl/>
      <w:lvlText w:val="%1.%2.%3.%4.%5.%6.%7."/>
      <w:lvlJc w:val="left"/>
      <w:pPr>
        <w:ind w:left="4274" w:hanging="1440"/>
      </w:pPr>
      <w:rPr>
        <w:rFonts w:eastAsia="Calibri" w:hint="default"/>
        <w:b/>
        <w:color w:val="auto"/>
        <w:sz w:val="32"/>
      </w:rPr>
    </w:lvl>
    <w:lvl w:ilvl="7">
      <w:start w:val="1"/>
      <w:numFmt w:val="decimal"/>
      <w:isLgl/>
      <w:lvlText w:val="%1.%2.%3.%4.%5.%6.%7.%8."/>
      <w:lvlJc w:val="left"/>
      <w:pPr>
        <w:ind w:left="5059" w:hanging="1800"/>
      </w:pPr>
      <w:rPr>
        <w:rFonts w:eastAsia="Calibri" w:hint="default"/>
        <w:b/>
        <w:color w:val="auto"/>
        <w:sz w:val="32"/>
      </w:rPr>
    </w:lvl>
    <w:lvl w:ilvl="8">
      <w:start w:val="1"/>
      <w:numFmt w:val="decimal"/>
      <w:isLgl/>
      <w:lvlText w:val="%1.%2.%3.%4.%5.%6.%7.%8.%9."/>
      <w:lvlJc w:val="left"/>
      <w:pPr>
        <w:ind w:left="5484" w:hanging="1800"/>
      </w:pPr>
      <w:rPr>
        <w:rFonts w:eastAsia="Calibri" w:hint="default"/>
        <w:b/>
        <w:color w:val="auto"/>
        <w:sz w:val="32"/>
      </w:rPr>
    </w:lvl>
  </w:abstractNum>
  <w:abstractNum w:abstractNumId="10">
    <w:nsid w:val="205F0ECB"/>
    <w:multiLevelType w:val="hybridMultilevel"/>
    <w:tmpl w:val="553E915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cs="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cs="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cs="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11">
    <w:nsid w:val="228919FC"/>
    <w:multiLevelType w:val="hybridMultilevel"/>
    <w:tmpl w:val="45DEAE96"/>
    <w:lvl w:ilvl="0" w:tplc="32B6DA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4306CA9"/>
    <w:multiLevelType w:val="hybridMultilevel"/>
    <w:tmpl w:val="79AC27DE"/>
    <w:lvl w:ilvl="0" w:tplc="D808422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4B57473"/>
    <w:multiLevelType w:val="hybridMultilevel"/>
    <w:tmpl w:val="661EFFAE"/>
    <w:lvl w:ilvl="0" w:tplc="0C0A0001">
      <w:start w:val="1"/>
      <w:numFmt w:val="bullet"/>
      <w:lvlText w:val=""/>
      <w:lvlJc w:val="left"/>
      <w:pPr>
        <w:ind w:left="2635" w:hanging="360"/>
      </w:pPr>
      <w:rPr>
        <w:rFonts w:ascii="Symbol" w:hAnsi="Symbol" w:hint="default"/>
      </w:rPr>
    </w:lvl>
    <w:lvl w:ilvl="1" w:tplc="0C0A0003" w:tentative="1">
      <w:start w:val="1"/>
      <w:numFmt w:val="bullet"/>
      <w:lvlText w:val="o"/>
      <w:lvlJc w:val="left"/>
      <w:pPr>
        <w:ind w:left="3355" w:hanging="360"/>
      </w:pPr>
      <w:rPr>
        <w:rFonts w:ascii="Courier New" w:hAnsi="Courier New" w:cs="Courier New" w:hint="default"/>
      </w:rPr>
    </w:lvl>
    <w:lvl w:ilvl="2" w:tplc="0C0A0005" w:tentative="1">
      <w:start w:val="1"/>
      <w:numFmt w:val="bullet"/>
      <w:lvlText w:val=""/>
      <w:lvlJc w:val="left"/>
      <w:pPr>
        <w:ind w:left="4075" w:hanging="360"/>
      </w:pPr>
      <w:rPr>
        <w:rFonts w:ascii="Wingdings" w:hAnsi="Wingdings" w:hint="default"/>
      </w:rPr>
    </w:lvl>
    <w:lvl w:ilvl="3" w:tplc="0C0A0001" w:tentative="1">
      <w:start w:val="1"/>
      <w:numFmt w:val="bullet"/>
      <w:lvlText w:val=""/>
      <w:lvlJc w:val="left"/>
      <w:pPr>
        <w:ind w:left="4795" w:hanging="360"/>
      </w:pPr>
      <w:rPr>
        <w:rFonts w:ascii="Symbol" w:hAnsi="Symbol" w:hint="default"/>
      </w:rPr>
    </w:lvl>
    <w:lvl w:ilvl="4" w:tplc="0C0A0003" w:tentative="1">
      <w:start w:val="1"/>
      <w:numFmt w:val="bullet"/>
      <w:lvlText w:val="o"/>
      <w:lvlJc w:val="left"/>
      <w:pPr>
        <w:ind w:left="5515" w:hanging="360"/>
      </w:pPr>
      <w:rPr>
        <w:rFonts w:ascii="Courier New" w:hAnsi="Courier New" w:cs="Courier New" w:hint="default"/>
      </w:rPr>
    </w:lvl>
    <w:lvl w:ilvl="5" w:tplc="0C0A0005" w:tentative="1">
      <w:start w:val="1"/>
      <w:numFmt w:val="bullet"/>
      <w:lvlText w:val=""/>
      <w:lvlJc w:val="left"/>
      <w:pPr>
        <w:ind w:left="6235" w:hanging="360"/>
      </w:pPr>
      <w:rPr>
        <w:rFonts w:ascii="Wingdings" w:hAnsi="Wingdings" w:hint="default"/>
      </w:rPr>
    </w:lvl>
    <w:lvl w:ilvl="6" w:tplc="0C0A0001" w:tentative="1">
      <w:start w:val="1"/>
      <w:numFmt w:val="bullet"/>
      <w:lvlText w:val=""/>
      <w:lvlJc w:val="left"/>
      <w:pPr>
        <w:ind w:left="6955" w:hanging="360"/>
      </w:pPr>
      <w:rPr>
        <w:rFonts w:ascii="Symbol" w:hAnsi="Symbol" w:hint="default"/>
      </w:rPr>
    </w:lvl>
    <w:lvl w:ilvl="7" w:tplc="0C0A0003" w:tentative="1">
      <w:start w:val="1"/>
      <w:numFmt w:val="bullet"/>
      <w:lvlText w:val="o"/>
      <w:lvlJc w:val="left"/>
      <w:pPr>
        <w:ind w:left="7675" w:hanging="360"/>
      </w:pPr>
      <w:rPr>
        <w:rFonts w:ascii="Courier New" w:hAnsi="Courier New" w:cs="Courier New" w:hint="default"/>
      </w:rPr>
    </w:lvl>
    <w:lvl w:ilvl="8" w:tplc="0C0A0005" w:tentative="1">
      <w:start w:val="1"/>
      <w:numFmt w:val="bullet"/>
      <w:lvlText w:val=""/>
      <w:lvlJc w:val="left"/>
      <w:pPr>
        <w:ind w:left="8395" w:hanging="360"/>
      </w:pPr>
      <w:rPr>
        <w:rFonts w:ascii="Wingdings" w:hAnsi="Wingdings" w:hint="default"/>
      </w:r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61B0B04"/>
    <w:multiLevelType w:val="hybridMultilevel"/>
    <w:tmpl w:val="A70A93E4"/>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16">
    <w:nsid w:val="27A1783A"/>
    <w:multiLevelType w:val="hybridMultilevel"/>
    <w:tmpl w:val="3F88D09E"/>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7">
    <w:nsid w:val="28B71DAD"/>
    <w:multiLevelType w:val="hybridMultilevel"/>
    <w:tmpl w:val="4C6EA082"/>
    <w:lvl w:ilvl="0" w:tplc="0C0A0001">
      <w:start w:val="1"/>
      <w:numFmt w:val="bullet"/>
      <w:lvlText w:val=""/>
      <w:lvlJc w:val="left"/>
      <w:pPr>
        <w:ind w:left="2640" w:hanging="360"/>
      </w:pPr>
      <w:rPr>
        <w:rFonts w:ascii="Symbol" w:hAnsi="Symbol" w:hint="default"/>
      </w:rPr>
    </w:lvl>
    <w:lvl w:ilvl="1" w:tplc="0C0A0003" w:tentative="1">
      <w:start w:val="1"/>
      <w:numFmt w:val="bullet"/>
      <w:lvlText w:val="o"/>
      <w:lvlJc w:val="left"/>
      <w:pPr>
        <w:ind w:left="3360" w:hanging="360"/>
      </w:pPr>
      <w:rPr>
        <w:rFonts w:ascii="Courier New" w:hAnsi="Courier New" w:cs="Courier New" w:hint="default"/>
      </w:rPr>
    </w:lvl>
    <w:lvl w:ilvl="2" w:tplc="0C0A0005" w:tentative="1">
      <w:start w:val="1"/>
      <w:numFmt w:val="bullet"/>
      <w:lvlText w:val=""/>
      <w:lvlJc w:val="left"/>
      <w:pPr>
        <w:ind w:left="4080" w:hanging="360"/>
      </w:pPr>
      <w:rPr>
        <w:rFonts w:ascii="Wingdings" w:hAnsi="Wingdings" w:hint="default"/>
      </w:rPr>
    </w:lvl>
    <w:lvl w:ilvl="3" w:tplc="0C0A0001" w:tentative="1">
      <w:start w:val="1"/>
      <w:numFmt w:val="bullet"/>
      <w:lvlText w:val=""/>
      <w:lvlJc w:val="left"/>
      <w:pPr>
        <w:ind w:left="4800" w:hanging="360"/>
      </w:pPr>
      <w:rPr>
        <w:rFonts w:ascii="Symbol" w:hAnsi="Symbol" w:hint="default"/>
      </w:rPr>
    </w:lvl>
    <w:lvl w:ilvl="4" w:tplc="0C0A0003" w:tentative="1">
      <w:start w:val="1"/>
      <w:numFmt w:val="bullet"/>
      <w:lvlText w:val="o"/>
      <w:lvlJc w:val="left"/>
      <w:pPr>
        <w:ind w:left="5520" w:hanging="360"/>
      </w:pPr>
      <w:rPr>
        <w:rFonts w:ascii="Courier New" w:hAnsi="Courier New" w:cs="Courier New" w:hint="default"/>
      </w:rPr>
    </w:lvl>
    <w:lvl w:ilvl="5" w:tplc="0C0A0005" w:tentative="1">
      <w:start w:val="1"/>
      <w:numFmt w:val="bullet"/>
      <w:lvlText w:val=""/>
      <w:lvlJc w:val="left"/>
      <w:pPr>
        <w:ind w:left="6240" w:hanging="360"/>
      </w:pPr>
      <w:rPr>
        <w:rFonts w:ascii="Wingdings" w:hAnsi="Wingdings" w:hint="default"/>
      </w:rPr>
    </w:lvl>
    <w:lvl w:ilvl="6" w:tplc="0C0A0001" w:tentative="1">
      <w:start w:val="1"/>
      <w:numFmt w:val="bullet"/>
      <w:lvlText w:val=""/>
      <w:lvlJc w:val="left"/>
      <w:pPr>
        <w:ind w:left="6960" w:hanging="360"/>
      </w:pPr>
      <w:rPr>
        <w:rFonts w:ascii="Symbol" w:hAnsi="Symbol" w:hint="default"/>
      </w:rPr>
    </w:lvl>
    <w:lvl w:ilvl="7" w:tplc="0C0A0003" w:tentative="1">
      <w:start w:val="1"/>
      <w:numFmt w:val="bullet"/>
      <w:lvlText w:val="o"/>
      <w:lvlJc w:val="left"/>
      <w:pPr>
        <w:ind w:left="7680" w:hanging="360"/>
      </w:pPr>
      <w:rPr>
        <w:rFonts w:ascii="Courier New" w:hAnsi="Courier New" w:cs="Courier New" w:hint="default"/>
      </w:rPr>
    </w:lvl>
    <w:lvl w:ilvl="8" w:tplc="0C0A0005" w:tentative="1">
      <w:start w:val="1"/>
      <w:numFmt w:val="bullet"/>
      <w:lvlText w:val=""/>
      <w:lvlJc w:val="left"/>
      <w:pPr>
        <w:ind w:left="8400" w:hanging="360"/>
      </w:pPr>
      <w:rPr>
        <w:rFonts w:ascii="Wingdings" w:hAnsi="Wingdings" w:hint="default"/>
      </w:rPr>
    </w:lvl>
  </w:abstractNum>
  <w:abstractNum w:abstractNumId="18">
    <w:nsid w:val="34B948BB"/>
    <w:multiLevelType w:val="hybridMultilevel"/>
    <w:tmpl w:val="463E372E"/>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
    <w:nsid w:val="35484CC9"/>
    <w:multiLevelType w:val="hybridMultilevel"/>
    <w:tmpl w:val="BC0A3FFA"/>
    <w:lvl w:ilvl="0" w:tplc="5196457C">
      <w:numFmt w:val="bullet"/>
      <w:lvlText w:val=""/>
      <w:lvlJc w:val="left"/>
      <w:pPr>
        <w:ind w:left="2346" w:hanging="360"/>
      </w:pPr>
      <w:rPr>
        <w:rFonts w:ascii="Symbol" w:eastAsia="Calibri" w:hAnsi="Symbol" w:cs="Arial" w:hint="default"/>
      </w:rPr>
    </w:lvl>
    <w:lvl w:ilvl="1" w:tplc="0C0A0003" w:tentative="1">
      <w:start w:val="1"/>
      <w:numFmt w:val="bullet"/>
      <w:lvlText w:val="o"/>
      <w:lvlJc w:val="left"/>
      <w:pPr>
        <w:ind w:left="3066" w:hanging="360"/>
      </w:pPr>
      <w:rPr>
        <w:rFonts w:ascii="Courier New" w:hAnsi="Courier New" w:cs="Courier New" w:hint="default"/>
      </w:rPr>
    </w:lvl>
    <w:lvl w:ilvl="2" w:tplc="0C0A0005" w:tentative="1">
      <w:start w:val="1"/>
      <w:numFmt w:val="bullet"/>
      <w:lvlText w:val=""/>
      <w:lvlJc w:val="left"/>
      <w:pPr>
        <w:ind w:left="3786" w:hanging="360"/>
      </w:pPr>
      <w:rPr>
        <w:rFonts w:ascii="Wingdings" w:hAnsi="Wingdings" w:hint="default"/>
      </w:rPr>
    </w:lvl>
    <w:lvl w:ilvl="3" w:tplc="0C0A0001" w:tentative="1">
      <w:start w:val="1"/>
      <w:numFmt w:val="bullet"/>
      <w:lvlText w:val=""/>
      <w:lvlJc w:val="left"/>
      <w:pPr>
        <w:ind w:left="4506" w:hanging="360"/>
      </w:pPr>
      <w:rPr>
        <w:rFonts w:ascii="Symbol" w:hAnsi="Symbol" w:hint="default"/>
      </w:rPr>
    </w:lvl>
    <w:lvl w:ilvl="4" w:tplc="0C0A0003" w:tentative="1">
      <w:start w:val="1"/>
      <w:numFmt w:val="bullet"/>
      <w:lvlText w:val="o"/>
      <w:lvlJc w:val="left"/>
      <w:pPr>
        <w:ind w:left="5226" w:hanging="360"/>
      </w:pPr>
      <w:rPr>
        <w:rFonts w:ascii="Courier New" w:hAnsi="Courier New" w:cs="Courier New" w:hint="default"/>
      </w:rPr>
    </w:lvl>
    <w:lvl w:ilvl="5" w:tplc="0C0A0005" w:tentative="1">
      <w:start w:val="1"/>
      <w:numFmt w:val="bullet"/>
      <w:lvlText w:val=""/>
      <w:lvlJc w:val="left"/>
      <w:pPr>
        <w:ind w:left="5946" w:hanging="360"/>
      </w:pPr>
      <w:rPr>
        <w:rFonts w:ascii="Wingdings" w:hAnsi="Wingdings" w:hint="default"/>
      </w:rPr>
    </w:lvl>
    <w:lvl w:ilvl="6" w:tplc="0C0A0001" w:tentative="1">
      <w:start w:val="1"/>
      <w:numFmt w:val="bullet"/>
      <w:lvlText w:val=""/>
      <w:lvlJc w:val="left"/>
      <w:pPr>
        <w:ind w:left="6666" w:hanging="360"/>
      </w:pPr>
      <w:rPr>
        <w:rFonts w:ascii="Symbol" w:hAnsi="Symbol" w:hint="default"/>
      </w:rPr>
    </w:lvl>
    <w:lvl w:ilvl="7" w:tplc="0C0A0003" w:tentative="1">
      <w:start w:val="1"/>
      <w:numFmt w:val="bullet"/>
      <w:lvlText w:val="o"/>
      <w:lvlJc w:val="left"/>
      <w:pPr>
        <w:ind w:left="7386" w:hanging="360"/>
      </w:pPr>
      <w:rPr>
        <w:rFonts w:ascii="Courier New" w:hAnsi="Courier New" w:cs="Courier New" w:hint="default"/>
      </w:rPr>
    </w:lvl>
    <w:lvl w:ilvl="8" w:tplc="0C0A0005" w:tentative="1">
      <w:start w:val="1"/>
      <w:numFmt w:val="bullet"/>
      <w:lvlText w:val=""/>
      <w:lvlJc w:val="left"/>
      <w:pPr>
        <w:ind w:left="8106" w:hanging="360"/>
      </w:pPr>
      <w:rPr>
        <w:rFonts w:ascii="Wingdings" w:hAnsi="Wingdings" w:hint="default"/>
      </w:rPr>
    </w:lvl>
  </w:abstractNum>
  <w:abstractNum w:abstractNumId="20">
    <w:nsid w:val="359607ED"/>
    <w:multiLevelType w:val="multilevel"/>
    <w:tmpl w:val="72186B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3763"/>
        </w:tabs>
        <w:ind w:left="3763"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73705B4"/>
    <w:multiLevelType w:val="hybridMultilevel"/>
    <w:tmpl w:val="D50490B6"/>
    <w:lvl w:ilvl="0" w:tplc="0C0A0001">
      <w:start w:val="1"/>
      <w:numFmt w:val="bullet"/>
      <w:lvlText w:val=""/>
      <w:lvlJc w:val="left"/>
      <w:pPr>
        <w:ind w:left="2220" w:hanging="360"/>
      </w:pPr>
      <w:rPr>
        <w:rFonts w:ascii="Symbol" w:hAnsi="Symbol" w:hint="default"/>
      </w:rPr>
    </w:lvl>
    <w:lvl w:ilvl="1" w:tplc="0C0A0003" w:tentative="1">
      <w:start w:val="1"/>
      <w:numFmt w:val="bullet"/>
      <w:lvlText w:val="o"/>
      <w:lvlJc w:val="left"/>
      <w:pPr>
        <w:ind w:left="2940" w:hanging="360"/>
      </w:pPr>
      <w:rPr>
        <w:rFonts w:ascii="Courier New" w:hAnsi="Courier New" w:cs="Courier New" w:hint="default"/>
      </w:rPr>
    </w:lvl>
    <w:lvl w:ilvl="2" w:tplc="0C0A0005" w:tentative="1">
      <w:start w:val="1"/>
      <w:numFmt w:val="bullet"/>
      <w:lvlText w:val=""/>
      <w:lvlJc w:val="left"/>
      <w:pPr>
        <w:ind w:left="3660" w:hanging="360"/>
      </w:pPr>
      <w:rPr>
        <w:rFonts w:ascii="Wingdings" w:hAnsi="Wingdings" w:hint="default"/>
      </w:rPr>
    </w:lvl>
    <w:lvl w:ilvl="3" w:tplc="0C0A0001" w:tentative="1">
      <w:start w:val="1"/>
      <w:numFmt w:val="bullet"/>
      <w:lvlText w:val=""/>
      <w:lvlJc w:val="left"/>
      <w:pPr>
        <w:ind w:left="4380" w:hanging="360"/>
      </w:pPr>
      <w:rPr>
        <w:rFonts w:ascii="Symbol" w:hAnsi="Symbol" w:hint="default"/>
      </w:rPr>
    </w:lvl>
    <w:lvl w:ilvl="4" w:tplc="0C0A0003" w:tentative="1">
      <w:start w:val="1"/>
      <w:numFmt w:val="bullet"/>
      <w:lvlText w:val="o"/>
      <w:lvlJc w:val="left"/>
      <w:pPr>
        <w:ind w:left="5100" w:hanging="360"/>
      </w:pPr>
      <w:rPr>
        <w:rFonts w:ascii="Courier New" w:hAnsi="Courier New" w:cs="Courier New" w:hint="default"/>
      </w:rPr>
    </w:lvl>
    <w:lvl w:ilvl="5" w:tplc="0C0A0005" w:tentative="1">
      <w:start w:val="1"/>
      <w:numFmt w:val="bullet"/>
      <w:lvlText w:val=""/>
      <w:lvlJc w:val="left"/>
      <w:pPr>
        <w:ind w:left="5820" w:hanging="360"/>
      </w:pPr>
      <w:rPr>
        <w:rFonts w:ascii="Wingdings" w:hAnsi="Wingdings" w:hint="default"/>
      </w:rPr>
    </w:lvl>
    <w:lvl w:ilvl="6" w:tplc="0C0A0001" w:tentative="1">
      <w:start w:val="1"/>
      <w:numFmt w:val="bullet"/>
      <w:lvlText w:val=""/>
      <w:lvlJc w:val="left"/>
      <w:pPr>
        <w:ind w:left="6540" w:hanging="360"/>
      </w:pPr>
      <w:rPr>
        <w:rFonts w:ascii="Symbol" w:hAnsi="Symbol" w:hint="default"/>
      </w:rPr>
    </w:lvl>
    <w:lvl w:ilvl="7" w:tplc="0C0A0003" w:tentative="1">
      <w:start w:val="1"/>
      <w:numFmt w:val="bullet"/>
      <w:lvlText w:val="o"/>
      <w:lvlJc w:val="left"/>
      <w:pPr>
        <w:ind w:left="7260" w:hanging="360"/>
      </w:pPr>
      <w:rPr>
        <w:rFonts w:ascii="Courier New" w:hAnsi="Courier New" w:cs="Courier New" w:hint="default"/>
      </w:rPr>
    </w:lvl>
    <w:lvl w:ilvl="8" w:tplc="0C0A0005" w:tentative="1">
      <w:start w:val="1"/>
      <w:numFmt w:val="bullet"/>
      <w:lvlText w:val=""/>
      <w:lvlJc w:val="left"/>
      <w:pPr>
        <w:ind w:left="7980" w:hanging="360"/>
      </w:pPr>
      <w:rPr>
        <w:rFonts w:ascii="Wingdings" w:hAnsi="Wingdings" w:hint="default"/>
      </w:rPr>
    </w:lvl>
  </w:abstractNum>
  <w:abstractNum w:abstractNumId="22">
    <w:nsid w:val="3F474EED"/>
    <w:multiLevelType w:val="hybridMultilevel"/>
    <w:tmpl w:val="44E8EA66"/>
    <w:lvl w:ilvl="0" w:tplc="0C0A000D">
      <w:start w:val="1"/>
      <w:numFmt w:val="bullet"/>
      <w:lvlText w:val=""/>
      <w:lvlJc w:val="left"/>
      <w:pPr>
        <w:ind w:left="2484" w:hanging="360"/>
      </w:pPr>
      <w:rPr>
        <w:rFonts w:ascii="Wingdings" w:hAnsi="Wingdings"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3">
    <w:nsid w:val="3F67100D"/>
    <w:multiLevelType w:val="hybridMultilevel"/>
    <w:tmpl w:val="0B98453E"/>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24">
    <w:nsid w:val="42C716F9"/>
    <w:multiLevelType w:val="hybridMultilevel"/>
    <w:tmpl w:val="124C3F04"/>
    <w:lvl w:ilvl="0" w:tplc="0C74365C">
      <w:start w:val="1"/>
      <w:numFmt w:val="decimal"/>
      <w:lvlText w:val="%1."/>
      <w:lvlJc w:val="left"/>
      <w:pPr>
        <w:tabs>
          <w:tab w:val="num" w:pos="720"/>
        </w:tabs>
        <w:ind w:left="720" w:hanging="360"/>
      </w:pPr>
      <w:rPr>
        <w:rFonts w:hint="default"/>
        <w:b/>
      </w:rPr>
    </w:lvl>
    <w:lvl w:ilvl="1" w:tplc="930A7352" w:tentative="1">
      <w:start w:val="1"/>
      <w:numFmt w:val="bullet"/>
      <w:lvlText w:val=""/>
      <w:lvlJc w:val="left"/>
      <w:pPr>
        <w:tabs>
          <w:tab w:val="num" w:pos="1440"/>
        </w:tabs>
        <w:ind w:left="1440" w:hanging="360"/>
      </w:pPr>
      <w:rPr>
        <w:rFonts w:ascii="Wingdings" w:hAnsi="Wingdings" w:hint="default"/>
      </w:rPr>
    </w:lvl>
    <w:lvl w:ilvl="2" w:tplc="8FC27676" w:tentative="1">
      <w:start w:val="1"/>
      <w:numFmt w:val="bullet"/>
      <w:lvlText w:val=""/>
      <w:lvlJc w:val="left"/>
      <w:pPr>
        <w:tabs>
          <w:tab w:val="num" w:pos="2160"/>
        </w:tabs>
        <w:ind w:left="2160" w:hanging="360"/>
      </w:pPr>
      <w:rPr>
        <w:rFonts w:ascii="Wingdings" w:hAnsi="Wingdings" w:hint="default"/>
      </w:rPr>
    </w:lvl>
    <w:lvl w:ilvl="3" w:tplc="ED88299C" w:tentative="1">
      <w:start w:val="1"/>
      <w:numFmt w:val="bullet"/>
      <w:lvlText w:val=""/>
      <w:lvlJc w:val="left"/>
      <w:pPr>
        <w:tabs>
          <w:tab w:val="num" w:pos="2880"/>
        </w:tabs>
        <w:ind w:left="2880" w:hanging="360"/>
      </w:pPr>
      <w:rPr>
        <w:rFonts w:ascii="Wingdings" w:hAnsi="Wingdings" w:hint="default"/>
      </w:rPr>
    </w:lvl>
    <w:lvl w:ilvl="4" w:tplc="CBA2BB8A" w:tentative="1">
      <w:start w:val="1"/>
      <w:numFmt w:val="bullet"/>
      <w:lvlText w:val=""/>
      <w:lvlJc w:val="left"/>
      <w:pPr>
        <w:tabs>
          <w:tab w:val="num" w:pos="3600"/>
        </w:tabs>
        <w:ind w:left="3600" w:hanging="360"/>
      </w:pPr>
      <w:rPr>
        <w:rFonts w:ascii="Wingdings" w:hAnsi="Wingdings" w:hint="default"/>
      </w:rPr>
    </w:lvl>
    <w:lvl w:ilvl="5" w:tplc="4F668F60" w:tentative="1">
      <w:start w:val="1"/>
      <w:numFmt w:val="bullet"/>
      <w:lvlText w:val=""/>
      <w:lvlJc w:val="left"/>
      <w:pPr>
        <w:tabs>
          <w:tab w:val="num" w:pos="4320"/>
        </w:tabs>
        <w:ind w:left="4320" w:hanging="360"/>
      </w:pPr>
      <w:rPr>
        <w:rFonts w:ascii="Wingdings" w:hAnsi="Wingdings" w:hint="default"/>
      </w:rPr>
    </w:lvl>
    <w:lvl w:ilvl="6" w:tplc="DA64E2D4" w:tentative="1">
      <w:start w:val="1"/>
      <w:numFmt w:val="bullet"/>
      <w:lvlText w:val=""/>
      <w:lvlJc w:val="left"/>
      <w:pPr>
        <w:tabs>
          <w:tab w:val="num" w:pos="5040"/>
        </w:tabs>
        <w:ind w:left="5040" w:hanging="360"/>
      </w:pPr>
      <w:rPr>
        <w:rFonts w:ascii="Wingdings" w:hAnsi="Wingdings" w:hint="default"/>
      </w:rPr>
    </w:lvl>
    <w:lvl w:ilvl="7" w:tplc="84B0F1A0" w:tentative="1">
      <w:start w:val="1"/>
      <w:numFmt w:val="bullet"/>
      <w:lvlText w:val=""/>
      <w:lvlJc w:val="left"/>
      <w:pPr>
        <w:tabs>
          <w:tab w:val="num" w:pos="5760"/>
        </w:tabs>
        <w:ind w:left="5760" w:hanging="360"/>
      </w:pPr>
      <w:rPr>
        <w:rFonts w:ascii="Wingdings" w:hAnsi="Wingdings" w:hint="default"/>
      </w:rPr>
    </w:lvl>
    <w:lvl w:ilvl="8" w:tplc="24508638" w:tentative="1">
      <w:start w:val="1"/>
      <w:numFmt w:val="bullet"/>
      <w:lvlText w:val=""/>
      <w:lvlJc w:val="left"/>
      <w:pPr>
        <w:tabs>
          <w:tab w:val="num" w:pos="6480"/>
        </w:tabs>
        <w:ind w:left="6480" w:hanging="360"/>
      </w:pPr>
      <w:rPr>
        <w:rFonts w:ascii="Wingdings" w:hAnsi="Wingdings" w:hint="default"/>
      </w:rPr>
    </w:lvl>
  </w:abstractNum>
  <w:abstractNum w:abstractNumId="25">
    <w:nsid w:val="44C87B97"/>
    <w:multiLevelType w:val="multilevel"/>
    <w:tmpl w:val="9A1A5F7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99653A4"/>
    <w:multiLevelType w:val="hybridMultilevel"/>
    <w:tmpl w:val="1EC83C4E"/>
    <w:lvl w:ilvl="0" w:tplc="0C0A0001">
      <w:start w:val="1"/>
      <w:numFmt w:val="bullet"/>
      <w:lvlText w:val=""/>
      <w:lvlJc w:val="left"/>
      <w:pPr>
        <w:ind w:left="3784" w:hanging="360"/>
      </w:pPr>
      <w:rPr>
        <w:rFonts w:ascii="Symbol" w:hAnsi="Symbol" w:hint="default"/>
      </w:rPr>
    </w:lvl>
    <w:lvl w:ilvl="1" w:tplc="0C0A0003" w:tentative="1">
      <w:start w:val="1"/>
      <w:numFmt w:val="bullet"/>
      <w:lvlText w:val="o"/>
      <w:lvlJc w:val="left"/>
      <w:pPr>
        <w:ind w:left="4504" w:hanging="360"/>
      </w:pPr>
      <w:rPr>
        <w:rFonts w:ascii="Courier New" w:hAnsi="Courier New" w:cs="Courier New" w:hint="default"/>
      </w:rPr>
    </w:lvl>
    <w:lvl w:ilvl="2" w:tplc="0C0A0005" w:tentative="1">
      <w:start w:val="1"/>
      <w:numFmt w:val="bullet"/>
      <w:lvlText w:val=""/>
      <w:lvlJc w:val="left"/>
      <w:pPr>
        <w:ind w:left="5224" w:hanging="360"/>
      </w:pPr>
      <w:rPr>
        <w:rFonts w:ascii="Wingdings" w:hAnsi="Wingdings" w:hint="default"/>
      </w:rPr>
    </w:lvl>
    <w:lvl w:ilvl="3" w:tplc="0C0A0001" w:tentative="1">
      <w:start w:val="1"/>
      <w:numFmt w:val="bullet"/>
      <w:lvlText w:val=""/>
      <w:lvlJc w:val="left"/>
      <w:pPr>
        <w:ind w:left="5944" w:hanging="360"/>
      </w:pPr>
      <w:rPr>
        <w:rFonts w:ascii="Symbol" w:hAnsi="Symbol" w:hint="default"/>
      </w:rPr>
    </w:lvl>
    <w:lvl w:ilvl="4" w:tplc="0C0A0003" w:tentative="1">
      <w:start w:val="1"/>
      <w:numFmt w:val="bullet"/>
      <w:lvlText w:val="o"/>
      <w:lvlJc w:val="left"/>
      <w:pPr>
        <w:ind w:left="6664" w:hanging="360"/>
      </w:pPr>
      <w:rPr>
        <w:rFonts w:ascii="Courier New" w:hAnsi="Courier New" w:cs="Courier New" w:hint="default"/>
      </w:rPr>
    </w:lvl>
    <w:lvl w:ilvl="5" w:tplc="0C0A0005" w:tentative="1">
      <w:start w:val="1"/>
      <w:numFmt w:val="bullet"/>
      <w:lvlText w:val=""/>
      <w:lvlJc w:val="left"/>
      <w:pPr>
        <w:ind w:left="7384" w:hanging="360"/>
      </w:pPr>
      <w:rPr>
        <w:rFonts w:ascii="Wingdings" w:hAnsi="Wingdings" w:hint="default"/>
      </w:rPr>
    </w:lvl>
    <w:lvl w:ilvl="6" w:tplc="0C0A0001" w:tentative="1">
      <w:start w:val="1"/>
      <w:numFmt w:val="bullet"/>
      <w:lvlText w:val=""/>
      <w:lvlJc w:val="left"/>
      <w:pPr>
        <w:ind w:left="8104" w:hanging="360"/>
      </w:pPr>
      <w:rPr>
        <w:rFonts w:ascii="Symbol" w:hAnsi="Symbol" w:hint="default"/>
      </w:rPr>
    </w:lvl>
    <w:lvl w:ilvl="7" w:tplc="0C0A0003" w:tentative="1">
      <w:start w:val="1"/>
      <w:numFmt w:val="bullet"/>
      <w:lvlText w:val="o"/>
      <w:lvlJc w:val="left"/>
      <w:pPr>
        <w:ind w:left="8824" w:hanging="360"/>
      </w:pPr>
      <w:rPr>
        <w:rFonts w:ascii="Courier New" w:hAnsi="Courier New" w:cs="Courier New" w:hint="default"/>
      </w:rPr>
    </w:lvl>
    <w:lvl w:ilvl="8" w:tplc="0C0A0005" w:tentative="1">
      <w:start w:val="1"/>
      <w:numFmt w:val="bullet"/>
      <w:lvlText w:val=""/>
      <w:lvlJc w:val="left"/>
      <w:pPr>
        <w:ind w:left="9544" w:hanging="360"/>
      </w:pPr>
      <w:rPr>
        <w:rFonts w:ascii="Wingdings" w:hAnsi="Wingdings" w:hint="default"/>
      </w:rPr>
    </w:lvl>
  </w:abstractNum>
  <w:abstractNum w:abstractNumId="27">
    <w:nsid w:val="4B357D3C"/>
    <w:multiLevelType w:val="hybridMultilevel"/>
    <w:tmpl w:val="7C149338"/>
    <w:lvl w:ilvl="0" w:tplc="0C0A0001">
      <w:start w:val="1"/>
      <w:numFmt w:val="bullet"/>
      <w:lvlText w:val=""/>
      <w:lvlJc w:val="left"/>
      <w:pPr>
        <w:ind w:left="1320" w:hanging="360"/>
      </w:pPr>
      <w:rPr>
        <w:rFonts w:ascii="Symbol" w:hAnsi="Symbo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28">
    <w:nsid w:val="4BCB76A0"/>
    <w:multiLevelType w:val="hybridMultilevel"/>
    <w:tmpl w:val="124C3F04"/>
    <w:lvl w:ilvl="0" w:tplc="0C74365C">
      <w:start w:val="1"/>
      <w:numFmt w:val="decimal"/>
      <w:lvlText w:val="%1."/>
      <w:lvlJc w:val="left"/>
      <w:pPr>
        <w:tabs>
          <w:tab w:val="num" w:pos="720"/>
        </w:tabs>
        <w:ind w:left="720" w:hanging="360"/>
      </w:pPr>
      <w:rPr>
        <w:rFonts w:hint="default"/>
        <w:b/>
      </w:rPr>
    </w:lvl>
    <w:lvl w:ilvl="1" w:tplc="930A7352" w:tentative="1">
      <w:start w:val="1"/>
      <w:numFmt w:val="bullet"/>
      <w:lvlText w:val=""/>
      <w:lvlJc w:val="left"/>
      <w:pPr>
        <w:tabs>
          <w:tab w:val="num" w:pos="1440"/>
        </w:tabs>
        <w:ind w:left="1440" w:hanging="360"/>
      </w:pPr>
      <w:rPr>
        <w:rFonts w:ascii="Wingdings" w:hAnsi="Wingdings" w:hint="default"/>
      </w:rPr>
    </w:lvl>
    <w:lvl w:ilvl="2" w:tplc="8FC27676" w:tentative="1">
      <w:start w:val="1"/>
      <w:numFmt w:val="bullet"/>
      <w:lvlText w:val=""/>
      <w:lvlJc w:val="left"/>
      <w:pPr>
        <w:tabs>
          <w:tab w:val="num" w:pos="2160"/>
        </w:tabs>
        <w:ind w:left="2160" w:hanging="360"/>
      </w:pPr>
      <w:rPr>
        <w:rFonts w:ascii="Wingdings" w:hAnsi="Wingdings" w:hint="default"/>
      </w:rPr>
    </w:lvl>
    <w:lvl w:ilvl="3" w:tplc="ED88299C" w:tentative="1">
      <w:start w:val="1"/>
      <w:numFmt w:val="bullet"/>
      <w:lvlText w:val=""/>
      <w:lvlJc w:val="left"/>
      <w:pPr>
        <w:tabs>
          <w:tab w:val="num" w:pos="2880"/>
        </w:tabs>
        <w:ind w:left="2880" w:hanging="360"/>
      </w:pPr>
      <w:rPr>
        <w:rFonts w:ascii="Wingdings" w:hAnsi="Wingdings" w:hint="default"/>
      </w:rPr>
    </w:lvl>
    <w:lvl w:ilvl="4" w:tplc="CBA2BB8A" w:tentative="1">
      <w:start w:val="1"/>
      <w:numFmt w:val="bullet"/>
      <w:lvlText w:val=""/>
      <w:lvlJc w:val="left"/>
      <w:pPr>
        <w:tabs>
          <w:tab w:val="num" w:pos="3600"/>
        </w:tabs>
        <w:ind w:left="3600" w:hanging="360"/>
      </w:pPr>
      <w:rPr>
        <w:rFonts w:ascii="Wingdings" w:hAnsi="Wingdings" w:hint="default"/>
      </w:rPr>
    </w:lvl>
    <w:lvl w:ilvl="5" w:tplc="4F668F60" w:tentative="1">
      <w:start w:val="1"/>
      <w:numFmt w:val="bullet"/>
      <w:lvlText w:val=""/>
      <w:lvlJc w:val="left"/>
      <w:pPr>
        <w:tabs>
          <w:tab w:val="num" w:pos="4320"/>
        </w:tabs>
        <w:ind w:left="4320" w:hanging="360"/>
      </w:pPr>
      <w:rPr>
        <w:rFonts w:ascii="Wingdings" w:hAnsi="Wingdings" w:hint="default"/>
      </w:rPr>
    </w:lvl>
    <w:lvl w:ilvl="6" w:tplc="DA64E2D4" w:tentative="1">
      <w:start w:val="1"/>
      <w:numFmt w:val="bullet"/>
      <w:lvlText w:val=""/>
      <w:lvlJc w:val="left"/>
      <w:pPr>
        <w:tabs>
          <w:tab w:val="num" w:pos="5040"/>
        </w:tabs>
        <w:ind w:left="5040" w:hanging="360"/>
      </w:pPr>
      <w:rPr>
        <w:rFonts w:ascii="Wingdings" w:hAnsi="Wingdings" w:hint="default"/>
      </w:rPr>
    </w:lvl>
    <w:lvl w:ilvl="7" w:tplc="84B0F1A0" w:tentative="1">
      <w:start w:val="1"/>
      <w:numFmt w:val="bullet"/>
      <w:lvlText w:val=""/>
      <w:lvlJc w:val="left"/>
      <w:pPr>
        <w:tabs>
          <w:tab w:val="num" w:pos="5760"/>
        </w:tabs>
        <w:ind w:left="5760" w:hanging="360"/>
      </w:pPr>
      <w:rPr>
        <w:rFonts w:ascii="Wingdings" w:hAnsi="Wingdings" w:hint="default"/>
      </w:rPr>
    </w:lvl>
    <w:lvl w:ilvl="8" w:tplc="24508638" w:tentative="1">
      <w:start w:val="1"/>
      <w:numFmt w:val="bullet"/>
      <w:lvlText w:val=""/>
      <w:lvlJc w:val="left"/>
      <w:pPr>
        <w:tabs>
          <w:tab w:val="num" w:pos="6480"/>
        </w:tabs>
        <w:ind w:left="6480" w:hanging="360"/>
      </w:pPr>
      <w:rPr>
        <w:rFonts w:ascii="Wingdings" w:hAnsi="Wingdings" w:hint="default"/>
      </w:rPr>
    </w:lvl>
  </w:abstractNum>
  <w:abstractNum w:abstractNumId="29">
    <w:nsid w:val="4D806209"/>
    <w:multiLevelType w:val="hybridMultilevel"/>
    <w:tmpl w:val="3CCA88D4"/>
    <w:lvl w:ilvl="0" w:tplc="5196457C">
      <w:numFmt w:val="bullet"/>
      <w:lvlText w:val=""/>
      <w:lvlJc w:val="left"/>
      <w:pPr>
        <w:ind w:left="2988" w:hanging="360"/>
      </w:pPr>
      <w:rPr>
        <w:rFonts w:ascii="Symbol" w:eastAsia="Calibri" w:hAnsi="Symbol" w:cs="Arial" w:hint="default"/>
      </w:rPr>
    </w:lvl>
    <w:lvl w:ilvl="1" w:tplc="0C0A0003" w:tentative="1">
      <w:start w:val="1"/>
      <w:numFmt w:val="bullet"/>
      <w:lvlText w:val="o"/>
      <w:lvlJc w:val="left"/>
      <w:pPr>
        <w:ind w:left="3708" w:hanging="360"/>
      </w:pPr>
      <w:rPr>
        <w:rFonts w:ascii="Courier New" w:hAnsi="Courier New" w:cs="Courier New" w:hint="default"/>
      </w:rPr>
    </w:lvl>
    <w:lvl w:ilvl="2" w:tplc="0C0A0005" w:tentative="1">
      <w:start w:val="1"/>
      <w:numFmt w:val="bullet"/>
      <w:lvlText w:val=""/>
      <w:lvlJc w:val="left"/>
      <w:pPr>
        <w:ind w:left="4428" w:hanging="360"/>
      </w:pPr>
      <w:rPr>
        <w:rFonts w:ascii="Wingdings" w:hAnsi="Wingdings" w:hint="default"/>
      </w:rPr>
    </w:lvl>
    <w:lvl w:ilvl="3" w:tplc="0C0A0001" w:tentative="1">
      <w:start w:val="1"/>
      <w:numFmt w:val="bullet"/>
      <w:lvlText w:val=""/>
      <w:lvlJc w:val="left"/>
      <w:pPr>
        <w:ind w:left="5148" w:hanging="360"/>
      </w:pPr>
      <w:rPr>
        <w:rFonts w:ascii="Symbol" w:hAnsi="Symbol" w:hint="default"/>
      </w:rPr>
    </w:lvl>
    <w:lvl w:ilvl="4" w:tplc="0C0A0003" w:tentative="1">
      <w:start w:val="1"/>
      <w:numFmt w:val="bullet"/>
      <w:lvlText w:val="o"/>
      <w:lvlJc w:val="left"/>
      <w:pPr>
        <w:ind w:left="5868" w:hanging="360"/>
      </w:pPr>
      <w:rPr>
        <w:rFonts w:ascii="Courier New" w:hAnsi="Courier New" w:cs="Courier New" w:hint="default"/>
      </w:rPr>
    </w:lvl>
    <w:lvl w:ilvl="5" w:tplc="0C0A0005" w:tentative="1">
      <w:start w:val="1"/>
      <w:numFmt w:val="bullet"/>
      <w:lvlText w:val=""/>
      <w:lvlJc w:val="left"/>
      <w:pPr>
        <w:ind w:left="6588" w:hanging="360"/>
      </w:pPr>
      <w:rPr>
        <w:rFonts w:ascii="Wingdings" w:hAnsi="Wingdings" w:hint="default"/>
      </w:rPr>
    </w:lvl>
    <w:lvl w:ilvl="6" w:tplc="0C0A0001" w:tentative="1">
      <w:start w:val="1"/>
      <w:numFmt w:val="bullet"/>
      <w:lvlText w:val=""/>
      <w:lvlJc w:val="left"/>
      <w:pPr>
        <w:ind w:left="7308" w:hanging="360"/>
      </w:pPr>
      <w:rPr>
        <w:rFonts w:ascii="Symbol" w:hAnsi="Symbol" w:hint="default"/>
      </w:rPr>
    </w:lvl>
    <w:lvl w:ilvl="7" w:tplc="0C0A0003" w:tentative="1">
      <w:start w:val="1"/>
      <w:numFmt w:val="bullet"/>
      <w:lvlText w:val="o"/>
      <w:lvlJc w:val="left"/>
      <w:pPr>
        <w:ind w:left="8028" w:hanging="360"/>
      </w:pPr>
      <w:rPr>
        <w:rFonts w:ascii="Courier New" w:hAnsi="Courier New" w:cs="Courier New" w:hint="default"/>
      </w:rPr>
    </w:lvl>
    <w:lvl w:ilvl="8" w:tplc="0C0A0005" w:tentative="1">
      <w:start w:val="1"/>
      <w:numFmt w:val="bullet"/>
      <w:lvlText w:val=""/>
      <w:lvlJc w:val="left"/>
      <w:pPr>
        <w:ind w:left="8748" w:hanging="360"/>
      </w:pPr>
      <w:rPr>
        <w:rFonts w:ascii="Wingdings" w:hAnsi="Wingdings" w:hint="default"/>
      </w:rPr>
    </w:lvl>
  </w:abstractNum>
  <w:abstractNum w:abstractNumId="30">
    <w:nsid w:val="561D4B95"/>
    <w:multiLevelType w:val="hybridMultilevel"/>
    <w:tmpl w:val="8DE63CEE"/>
    <w:lvl w:ilvl="0" w:tplc="0C0A000D">
      <w:start w:val="1"/>
      <w:numFmt w:val="bullet"/>
      <w:lvlText w:val=""/>
      <w:lvlJc w:val="left"/>
      <w:pPr>
        <w:ind w:left="2484" w:hanging="360"/>
      </w:pPr>
      <w:rPr>
        <w:rFonts w:ascii="Wingdings" w:hAnsi="Wingdings"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31">
    <w:nsid w:val="56511AC0"/>
    <w:multiLevelType w:val="hybridMultilevel"/>
    <w:tmpl w:val="D3840448"/>
    <w:lvl w:ilvl="0" w:tplc="0C0A0001">
      <w:start w:val="1"/>
      <w:numFmt w:val="bullet"/>
      <w:lvlText w:val=""/>
      <w:lvlJc w:val="left"/>
      <w:pPr>
        <w:ind w:left="2847" w:hanging="360"/>
      </w:pPr>
      <w:rPr>
        <w:rFonts w:ascii="Symbol" w:hAnsi="Symbol" w:hint="default"/>
      </w:rPr>
    </w:lvl>
    <w:lvl w:ilvl="1" w:tplc="0C0A0003" w:tentative="1">
      <w:start w:val="1"/>
      <w:numFmt w:val="bullet"/>
      <w:lvlText w:val="o"/>
      <w:lvlJc w:val="left"/>
      <w:pPr>
        <w:ind w:left="3567" w:hanging="360"/>
      </w:pPr>
      <w:rPr>
        <w:rFonts w:ascii="Courier New" w:hAnsi="Courier New" w:cs="Courier New" w:hint="default"/>
      </w:rPr>
    </w:lvl>
    <w:lvl w:ilvl="2" w:tplc="0C0A0005" w:tentative="1">
      <w:start w:val="1"/>
      <w:numFmt w:val="bullet"/>
      <w:lvlText w:val=""/>
      <w:lvlJc w:val="left"/>
      <w:pPr>
        <w:ind w:left="4287" w:hanging="360"/>
      </w:pPr>
      <w:rPr>
        <w:rFonts w:ascii="Wingdings" w:hAnsi="Wingdings" w:hint="default"/>
      </w:rPr>
    </w:lvl>
    <w:lvl w:ilvl="3" w:tplc="0C0A0001" w:tentative="1">
      <w:start w:val="1"/>
      <w:numFmt w:val="bullet"/>
      <w:lvlText w:val=""/>
      <w:lvlJc w:val="left"/>
      <w:pPr>
        <w:ind w:left="5007" w:hanging="360"/>
      </w:pPr>
      <w:rPr>
        <w:rFonts w:ascii="Symbol" w:hAnsi="Symbol" w:hint="default"/>
      </w:rPr>
    </w:lvl>
    <w:lvl w:ilvl="4" w:tplc="0C0A0003" w:tentative="1">
      <w:start w:val="1"/>
      <w:numFmt w:val="bullet"/>
      <w:lvlText w:val="o"/>
      <w:lvlJc w:val="left"/>
      <w:pPr>
        <w:ind w:left="5727" w:hanging="360"/>
      </w:pPr>
      <w:rPr>
        <w:rFonts w:ascii="Courier New" w:hAnsi="Courier New" w:cs="Courier New" w:hint="default"/>
      </w:rPr>
    </w:lvl>
    <w:lvl w:ilvl="5" w:tplc="0C0A0005" w:tentative="1">
      <w:start w:val="1"/>
      <w:numFmt w:val="bullet"/>
      <w:lvlText w:val=""/>
      <w:lvlJc w:val="left"/>
      <w:pPr>
        <w:ind w:left="6447" w:hanging="360"/>
      </w:pPr>
      <w:rPr>
        <w:rFonts w:ascii="Wingdings" w:hAnsi="Wingdings" w:hint="default"/>
      </w:rPr>
    </w:lvl>
    <w:lvl w:ilvl="6" w:tplc="0C0A0001" w:tentative="1">
      <w:start w:val="1"/>
      <w:numFmt w:val="bullet"/>
      <w:lvlText w:val=""/>
      <w:lvlJc w:val="left"/>
      <w:pPr>
        <w:ind w:left="7167" w:hanging="360"/>
      </w:pPr>
      <w:rPr>
        <w:rFonts w:ascii="Symbol" w:hAnsi="Symbol" w:hint="default"/>
      </w:rPr>
    </w:lvl>
    <w:lvl w:ilvl="7" w:tplc="0C0A0003" w:tentative="1">
      <w:start w:val="1"/>
      <w:numFmt w:val="bullet"/>
      <w:lvlText w:val="o"/>
      <w:lvlJc w:val="left"/>
      <w:pPr>
        <w:ind w:left="7887" w:hanging="360"/>
      </w:pPr>
      <w:rPr>
        <w:rFonts w:ascii="Courier New" w:hAnsi="Courier New" w:cs="Courier New" w:hint="default"/>
      </w:rPr>
    </w:lvl>
    <w:lvl w:ilvl="8" w:tplc="0C0A0005" w:tentative="1">
      <w:start w:val="1"/>
      <w:numFmt w:val="bullet"/>
      <w:lvlText w:val=""/>
      <w:lvlJc w:val="left"/>
      <w:pPr>
        <w:ind w:left="8607" w:hanging="360"/>
      </w:pPr>
      <w:rPr>
        <w:rFonts w:ascii="Wingdings" w:hAnsi="Wingdings" w:hint="default"/>
      </w:rPr>
    </w:lvl>
  </w:abstractNum>
  <w:abstractNum w:abstractNumId="32">
    <w:nsid w:val="58EC2280"/>
    <w:multiLevelType w:val="hybridMultilevel"/>
    <w:tmpl w:val="6DDADF4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33">
    <w:nsid w:val="5AF24756"/>
    <w:multiLevelType w:val="multilevel"/>
    <w:tmpl w:val="4A7AC2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3BC64FD"/>
    <w:multiLevelType w:val="hybridMultilevel"/>
    <w:tmpl w:val="45DEAE96"/>
    <w:lvl w:ilvl="0" w:tplc="32B6DA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48A3D95"/>
    <w:multiLevelType w:val="hybridMultilevel"/>
    <w:tmpl w:val="45DEAE96"/>
    <w:lvl w:ilvl="0" w:tplc="32B6DA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4DB00A8"/>
    <w:multiLevelType w:val="hybridMultilevel"/>
    <w:tmpl w:val="45DEAE96"/>
    <w:lvl w:ilvl="0" w:tplc="32B6DAF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B2C4DBE"/>
    <w:multiLevelType w:val="multilevel"/>
    <w:tmpl w:val="BA722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0D5710E"/>
    <w:multiLevelType w:val="hybridMultilevel"/>
    <w:tmpl w:val="0380B2B6"/>
    <w:lvl w:ilvl="0" w:tplc="0C0A000D">
      <w:start w:val="1"/>
      <w:numFmt w:val="bullet"/>
      <w:lvlText w:val=""/>
      <w:lvlJc w:val="left"/>
      <w:pPr>
        <w:ind w:left="2487" w:hanging="360"/>
      </w:pPr>
      <w:rPr>
        <w:rFonts w:ascii="Wingdings" w:hAnsi="Wingdings" w:hint="default"/>
      </w:rPr>
    </w:lvl>
    <w:lvl w:ilvl="1" w:tplc="0C0A0003" w:tentative="1">
      <w:start w:val="1"/>
      <w:numFmt w:val="bullet"/>
      <w:lvlText w:val="o"/>
      <w:lvlJc w:val="left"/>
      <w:pPr>
        <w:ind w:left="3207" w:hanging="360"/>
      </w:pPr>
      <w:rPr>
        <w:rFonts w:ascii="Courier New" w:hAnsi="Courier New" w:cs="Courier New" w:hint="default"/>
      </w:rPr>
    </w:lvl>
    <w:lvl w:ilvl="2" w:tplc="0C0A0005" w:tentative="1">
      <w:start w:val="1"/>
      <w:numFmt w:val="bullet"/>
      <w:lvlText w:val=""/>
      <w:lvlJc w:val="left"/>
      <w:pPr>
        <w:ind w:left="3927" w:hanging="360"/>
      </w:pPr>
      <w:rPr>
        <w:rFonts w:ascii="Wingdings" w:hAnsi="Wingdings" w:hint="default"/>
      </w:rPr>
    </w:lvl>
    <w:lvl w:ilvl="3" w:tplc="0C0A0001" w:tentative="1">
      <w:start w:val="1"/>
      <w:numFmt w:val="bullet"/>
      <w:lvlText w:val=""/>
      <w:lvlJc w:val="left"/>
      <w:pPr>
        <w:ind w:left="4647" w:hanging="360"/>
      </w:pPr>
      <w:rPr>
        <w:rFonts w:ascii="Symbol" w:hAnsi="Symbol" w:hint="default"/>
      </w:rPr>
    </w:lvl>
    <w:lvl w:ilvl="4" w:tplc="0C0A0003" w:tentative="1">
      <w:start w:val="1"/>
      <w:numFmt w:val="bullet"/>
      <w:lvlText w:val="o"/>
      <w:lvlJc w:val="left"/>
      <w:pPr>
        <w:ind w:left="5367" w:hanging="360"/>
      </w:pPr>
      <w:rPr>
        <w:rFonts w:ascii="Courier New" w:hAnsi="Courier New" w:cs="Courier New" w:hint="default"/>
      </w:rPr>
    </w:lvl>
    <w:lvl w:ilvl="5" w:tplc="0C0A0005" w:tentative="1">
      <w:start w:val="1"/>
      <w:numFmt w:val="bullet"/>
      <w:lvlText w:val=""/>
      <w:lvlJc w:val="left"/>
      <w:pPr>
        <w:ind w:left="6087" w:hanging="360"/>
      </w:pPr>
      <w:rPr>
        <w:rFonts w:ascii="Wingdings" w:hAnsi="Wingdings" w:hint="default"/>
      </w:rPr>
    </w:lvl>
    <w:lvl w:ilvl="6" w:tplc="0C0A0001" w:tentative="1">
      <w:start w:val="1"/>
      <w:numFmt w:val="bullet"/>
      <w:lvlText w:val=""/>
      <w:lvlJc w:val="left"/>
      <w:pPr>
        <w:ind w:left="6807" w:hanging="360"/>
      </w:pPr>
      <w:rPr>
        <w:rFonts w:ascii="Symbol" w:hAnsi="Symbol" w:hint="default"/>
      </w:rPr>
    </w:lvl>
    <w:lvl w:ilvl="7" w:tplc="0C0A0003" w:tentative="1">
      <w:start w:val="1"/>
      <w:numFmt w:val="bullet"/>
      <w:lvlText w:val="o"/>
      <w:lvlJc w:val="left"/>
      <w:pPr>
        <w:ind w:left="7527" w:hanging="360"/>
      </w:pPr>
      <w:rPr>
        <w:rFonts w:ascii="Courier New" w:hAnsi="Courier New" w:cs="Courier New" w:hint="default"/>
      </w:rPr>
    </w:lvl>
    <w:lvl w:ilvl="8" w:tplc="0C0A0005" w:tentative="1">
      <w:start w:val="1"/>
      <w:numFmt w:val="bullet"/>
      <w:lvlText w:val=""/>
      <w:lvlJc w:val="left"/>
      <w:pPr>
        <w:ind w:left="8247" w:hanging="360"/>
      </w:pPr>
      <w:rPr>
        <w:rFonts w:ascii="Wingdings" w:hAnsi="Wingdings" w:hint="default"/>
      </w:rPr>
    </w:lvl>
  </w:abstractNum>
  <w:abstractNum w:abstractNumId="39">
    <w:nsid w:val="7563262C"/>
    <w:multiLevelType w:val="hybridMultilevel"/>
    <w:tmpl w:val="C9E6FEE2"/>
    <w:lvl w:ilvl="0" w:tplc="0C0A0001">
      <w:start w:val="1"/>
      <w:numFmt w:val="bullet"/>
      <w:lvlText w:val=""/>
      <w:lvlJc w:val="left"/>
      <w:pPr>
        <w:ind w:left="3196" w:hanging="360"/>
      </w:pPr>
      <w:rPr>
        <w:rFonts w:ascii="Symbol" w:hAnsi="Symbol" w:hint="default"/>
      </w:rPr>
    </w:lvl>
    <w:lvl w:ilvl="1" w:tplc="0C0A0019" w:tentative="1">
      <w:start w:val="1"/>
      <w:numFmt w:val="lowerLetter"/>
      <w:lvlText w:val="%2."/>
      <w:lvlJc w:val="left"/>
      <w:pPr>
        <w:ind w:left="3916" w:hanging="360"/>
      </w:pPr>
    </w:lvl>
    <w:lvl w:ilvl="2" w:tplc="0C0A001B" w:tentative="1">
      <w:start w:val="1"/>
      <w:numFmt w:val="lowerRoman"/>
      <w:lvlText w:val="%3."/>
      <w:lvlJc w:val="right"/>
      <w:pPr>
        <w:ind w:left="4636" w:hanging="180"/>
      </w:pPr>
    </w:lvl>
    <w:lvl w:ilvl="3" w:tplc="0C0A000F" w:tentative="1">
      <w:start w:val="1"/>
      <w:numFmt w:val="decimal"/>
      <w:lvlText w:val="%4."/>
      <w:lvlJc w:val="left"/>
      <w:pPr>
        <w:ind w:left="5356" w:hanging="360"/>
      </w:pPr>
    </w:lvl>
    <w:lvl w:ilvl="4" w:tplc="0C0A0019" w:tentative="1">
      <w:start w:val="1"/>
      <w:numFmt w:val="lowerLetter"/>
      <w:lvlText w:val="%5."/>
      <w:lvlJc w:val="left"/>
      <w:pPr>
        <w:ind w:left="6076" w:hanging="360"/>
      </w:pPr>
    </w:lvl>
    <w:lvl w:ilvl="5" w:tplc="0C0A001B" w:tentative="1">
      <w:start w:val="1"/>
      <w:numFmt w:val="lowerRoman"/>
      <w:lvlText w:val="%6."/>
      <w:lvlJc w:val="right"/>
      <w:pPr>
        <w:ind w:left="6796" w:hanging="180"/>
      </w:pPr>
    </w:lvl>
    <w:lvl w:ilvl="6" w:tplc="0C0A000F" w:tentative="1">
      <w:start w:val="1"/>
      <w:numFmt w:val="decimal"/>
      <w:lvlText w:val="%7."/>
      <w:lvlJc w:val="left"/>
      <w:pPr>
        <w:ind w:left="7516" w:hanging="360"/>
      </w:pPr>
    </w:lvl>
    <w:lvl w:ilvl="7" w:tplc="0C0A0019" w:tentative="1">
      <w:start w:val="1"/>
      <w:numFmt w:val="lowerLetter"/>
      <w:lvlText w:val="%8."/>
      <w:lvlJc w:val="left"/>
      <w:pPr>
        <w:ind w:left="8236" w:hanging="360"/>
      </w:pPr>
    </w:lvl>
    <w:lvl w:ilvl="8" w:tplc="0C0A001B" w:tentative="1">
      <w:start w:val="1"/>
      <w:numFmt w:val="lowerRoman"/>
      <w:lvlText w:val="%9."/>
      <w:lvlJc w:val="right"/>
      <w:pPr>
        <w:ind w:left="8956" w:hanging="180"/>
      </w:pPr>
    </w:lvl>
  </w:abstractNum>
  <w:abstractNum w:abstractNumId="40">
    <w:nsid w:val="78756E87"/>
    <w:multiLevelType w:val="multilevel"/>
    <w:tmpl w:val="0102FC0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18"/>
  </w:num>
  <w:num w:numId="2">
    <w:abstractNumId w:val="4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
  </w:num>
  <w:num w:numId="6">
    <w:abstractNumId w:val="15"/>
  </w:num>
  <w:num w:numId="7">
    <w:abstractNumId w:val="23"/>
  </w:num>
  <w:num w:numId="8">
    <w:abstractNumId w:val="31"/>
  </w:num>
  <w:num w:numId="9">
    <w:abstractNumId w:val="19"/>
  </w:num>
  <w:num w:numId="10">
    <w:abstractNumId w:val="29"/>
  </w:num>
  <w:num w:numId="11">
    <w:abstractNumId w:val="25"/>
  </w:num>
  <w:num w:numId="12">
    <w:abstractNumId w:val="21"/>
  </w:num>
  <w:num w:numId="13">
    <w:abstractNumId w:val="17"/>
  </w:num>
  <w:num w:numId="14">
    <w:abstractNumId w:val="27"/>
  </w:num>
  <w:num w:numId="15">
    <w:abstractNumId w:val="16"/>
  </w:num>
  <w:num w:numId="16">
    <w:abstractNumId w:val="9"/>
  </w:num>
  <w:num w:numId="17">
    <w:abstractNumId w:val="8"/>
  </w:num>
  <w:num w:numId="18">
    <w:abstractNumId w:val="4"/>
  </w:num>
  <w:num w:numId="19">
    <w:abstractNumId w:val="39"/>
  </w:num>
  <w:num w:numId="20">
    <w:abstractNumId w:val="20"/>
  </w:num>
  <w:num w:numId="21">
    <w:abstractNumId w:val="37"/>
  </w:num>
  <w:num w:numId="22">
    <w:abstractNumId w:val="10"/>
  </w:num>
  <w:num w:numId="23">
    <w:abstractNumId w:val="13"/>
  </w:num>
  <w:num w:numId="24">
    <w:abstractNumId w:val="5"/>
  </w:num>
  <w:num w:numId="25">
    <w:abstractNumId w:val="32"/>
  </w:num>
  <w:num w:numId="26">
    <w:abstractNumId w:val="33"/>
  </w:num>
  <w:num w:numId="27">
    <w:abstractNumId w:val="26"/>
  </w:num>
  <w:num w:numId="28">
    <w:abstractNumId w:val="22"/>
  </w:num>
  <w:num w:numId="29">
    <w:abstractNumId w:val="38"/>
  </w:num>
  <w:num w:numId="30">
    <w:abstractNumId w:val="30"/>
  </w:num>
  <w:num w:numId="31">
    <w:abstractNumId w:val="1"/>
  </w:num>
  <w:num w:numId="32">
    <w:abstractNumId w:val="0"/>
  </w:num>
  <w:num w:numId="33">
    <w:abstractNumId w:val="28"/>
  </w:num>
  <w:num w:numId="34">
    <w:abstractNumId w:val="24"/>
  </w:num>
  <w:num w:numId="35">
    <w:abstractNumId w:val="14"/>
  </w:num>
  <w:num w:numId="36">
    <w:abstractNumId w:val="35"/>
  </w:num>
  <w:num w:numId="37">
    <w:abstractNumId w:val="7"/>
  </w:num>
  <w:num w:numId="38">
    <w:abstractNumId w:val="11"/>
  </w:num>
  <w:num w:numId="39">
    <w:abstractNumId w:val="36"/>
  </w:num>
  <w:num w:numId="40">
    <w:abstractNumId w:val="34"/>
  </w:num>
  <w:num w:numId="41">
    <w:abstractNumId w:val="12"/>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10"/>
  <w:displayHorizontalDrawingGridEvery w:val="2"/>
  <w:characterSpacingControl w:val="doNotCompress"/>
  <w:hdrShapeDefaults>
    <o:shapedefaults v:ext="edit" spidmax="181250"/>
  </w:hdrShapeDefaults>
  <w:footnotePr>
    <w:footnote w:id="-1"/>
    <w:footnote w:id="0"/>
  </w:footnotePr>
  <w:endnotePr>
    <w:endnote w:id="-1"/>
    <w:endnote w:id="0"/>
  </w:endnotePr>
  <w:compat/>
  <w:rsids>
    <w:rsidRoot w:val="00F44E8E"/>
    <w:rsid w:val="000011A9"/>
    <w:rsid w:val="00001AF0"/>
    <w:rsid w:val="0000363F"/>
    <w:rsid w:val="00006597"/>
    <w:rsid w:val="00013A02"/>
    <w:rsid w:val="00013B1D"/>
    <w:rsid w:val="000174C5"/>
    <w:rsid w:val="000206F9"/>
    <w:rsid w:val="00020F23"/>
    <w:rsid w:val="0002154B"/>
    <w:rsid w:val="00024513"/>
    <w:rsid w:val="000246F2"/>
    <w:rsid w:val="000246FE"/>
    <w:rsid w:val="00025C46"/>
    <w:rsid w:val="000269A8"/>
    <w:rsid w:val="00030E8A"/>
    <w:rsid w:val="00031881"/>
    <w:rsid w:val="00032779"/>
    <w:rsid w:val="000331D4"/>
    <w:rsid w:val="000340A4"/>
    <w:rsid w:val="000348B1"/>
    <w:rsid w:val="000362C6"/>
    <w:rsid w:val="0003633D"/>
    <w:rsid w:val="00037D1A"/>
    <w:rsid w:val="00041C9C"/>
    <w:rsid w:val="00041D23"/>
    <w:rsid w:val="00041D53"/>
    <w:rsid w:val="000436BA"/>
    <w:rsid w:val="00044A42"/>
    <w:rsid w:val="00044C34"/>
    <w:rsid w:val="00046299"/>
    <w:rsid w:val="000470FD"/>
    <w:rsid w:val="00047887"/>
    <w:rsid w:val="000509ED"/>
    <w:rsid w:val="000515F6"/>
    <w:rsid w:val="000520D9"/>
    <w:rsid w:val="000534F3"/>
    <w:rsid w:val="00056014"/>
    <w:rsid w:val="000622B5"/>
    <w:rsid w:val="000625F0"/>
    <w:rsid w:val="00072321"/>
    <w:rsid w:val="000723A4"/>
    <w:rsid w:val="00074BEB"/>
    <w:rsid w:val="00075729"/>
    <w:rsid w:val="00081D86"/>
    <w:rsid w:val="00081E1B"/>
    <w:rsid w:val="000830A0"/>
    <w:rsid w:val="000850CC"/>
    <w:rsid w:val="00085EA1"/>
    <w:rsid w:val="0008731C"/>
    <w:rsid w:val="00090D6A"/>
    <w:rsid w:val="0009404A"/>
    <w:rsid w:val="00096F00"/>
    <w:rsid w:val="000A4BE5"/>
    <w:rsid w:val="000A5692"/>
    <w:rsid w:val="000B0790"/>
    <w:rsid w:val="000B1A93"/>
    <w:rsid w:val="000B33F3"/>
    <w:rsid w:val="000B636B"/>
    <w:rsid w:val="000B68BB"/>
    <w:rsid w:val="000C154A"/>
    <w:rsid w:val="000C3680"/>
    <w:rsid w:val="000C6DA1"/>
    <w:rsid w:val="000D0AE5"/>
    <w:rsid w:val="000D190B"/>
    <w:rsid w:val="000D241D"/>
    <w:rsid w:val="000D3DC9"/>
    <w:rsid w:val="000E0BE2"/>
    <w:rsid w:val="000E262A"/>
    <w:rsid w:val="000E38E1"/>
    <w:rsid w:val="000E3DB2"/>
    <w:rsid w:val="000E5674"/>
    <w:rsid w:val="000E7D8E"/>
    <w:rsid w:val="000F0F2A"/>
    <w:rsid w:val="000F3906"/>
    <w:rsid w:val="000F7E07"/>
    <w:rsid w:val="00100D83"/>
    <w:rsid w:val="00101980"/>
    <w:rsid w:val="00101C77"/>
    <w:rsid w:val="00103FD4"/>
    <w:rsid w:val="001077E2"/>
    <w:rsid w:val="0010789D"/>
    <w:rsid w:val="00111186"/>
    <w:rsid w:val="00116302"/>
    <w:rsid w:val="00120C44"/>
    <w:rsid w:val="00121A2D"/>
    <w:rsid w:val="0012206B"/>
    <w:rsid w:val="0012294A"/>
    <w:rsid w:val="00122C07"/>
    <w:rsid w:val="001272B2"/>
    <w:rsid w:val="00127FF1"/>
    <w:rsid w:val="0013006C"/>
    <w:rsid w:val="00131058"/>
    <w:rsid w:val="001315B2"/>
    <w:rsid w:val="001406D0"/>
    <w:rsid w:val="00142081"/>
    <w:rsid w:val="001421CB"/>
    <w:rsid w:val="00146A41"/>
    <w:rsid w:val="00151CD7"/>
    <w:rsid w:val="00152495"/>
    <w:rsid w:val="00153BE9"/>
    <w:rsid w:val="00153D8B"/>
    <w:rsid w:val="00154918"/>
    <w:rsid w:val="00157182"/>
    <w:rsid w:val="00160DF6"/>
    <w:rsid w:val="00165F6A"/>
    <w:rsid w:val="0017001D"/>
    <w:rsid w:val="00171E16"/>
    <w:rsid w:val="0017493E"/>
    <w:rsid w:val="00174E68"/>
    <w:rsid w:val="00176D63"/>
    <w:rsid w:val="00177FFE"/>
    <w:rsid w:val="00180020"/>
    <w:rsid w:val="00180233"/>
    <w:rsid w:val="00180600"/>
    <w:rsid w:val="00180765"/>
    <w:rsid w:val="001842D2"/>
    <w:rsid w:val="00186086"/>
    <w:rsid w:val="0018657D"/>
    <w:rsid w:val="00191422"/>
    <w:rsid w:val="00193314"/>
    <w:rsid w:val="00194280"/>
    <w:rsid w:val="00196A4E"/>
    <w:rsid w:val="00197E9C"/>
    <w:rsid w:val="001A1A12"/>
    <w:rsid w:val="001A1FB9"/>
    <w:rsid w:val="001A1FFE"/>
    <w:rsid w:val="001A3810"/>
    <w:rsid w:val="001A49E7"/>
    <w:rsid w:val="001A6CA8"/>
    <w:rsid w:val="001A7EA4"/>
    <w:rsid w:val="001B305C"/>
    <w:rsid w:val="001B5086"/>
    <w:rsid w:val="001B7A05"/>
    <w:rsid w:val="001C01D2"/>
    <w:rsid w:val="001C073B"/>
    <w:rsid w:val="001C0DF9"/>
    <w:rsid w:val="001C1293"/>
    <w:rsid w:val="001C1616"/>
    <w:rsid w:val="001C24C4"/>
    <w:rsid w:val="001C54AD"/>
    <w:rsid w:val="001D0DE5"/>
    <w:rsid w:val="001D0EEF"/>
    <w:rsid w:val="001D0FEB"/>
    <w:rsid w:val="001E10AC"/>
    <w:rsid w:val="001E2C7E"/>
    <w:rsid w:val="001E2FF3"/>
    <w:rsid w:val="001E5F31"/>
    <w:rsid w:val="001E6B91"/>
    <w:rsid w:val="001E7249"/>
    <w:rsid w:val="001F5DE6"/>
    <w:rsid w:val="00205193"/>
    <w:rsid w:val="00211E9C"/>
    <w:rsid w:val="00212223"/>
    <w:rsid w:val="00214B09"/>
    <w:rsid w:val="002162F3"/>
    <w:rsid w:val="00216864"/>
    <w:rsid w:val="002224A7"/>
    <w:rsid w:val="00226D00"/>
    <w:rsid w:val="0022785C"/>
    <w:rsid w:val="00230DD9"/>
    <w:rsid w:val="00231C61"/>
    <w:rsid w:val="002350DF"/>
    <w:rsid w:val="00242B92"/>
    <w:rsid w:val="00243059"/>
    <w:rsid w:val="00243D4B"/>
    <w:rsid w:val="00246548"/>
    <w:rsid w:val="00252F64"/>
    <w:rsid w:val="0025315F"/>
    <w:rsid w:val="0025792A"/>
    <w:rsid w:val="00257C13"/>
    <w:rsid w:val="002622D5"/>
    <w:rsid w:val="002637A3"/>
    <w:rsid w:val="00271063"/>
    <w:rsid w:val="00280729"/>
    <w:rsid w:val="0028263A"/>
    <w:rsid w:val="00283E64"/>
    <w:rsid w:val="002858FA"/>
    <w:rsid w:val="00292EA9"/>
    <w:rsid w:val="0029353A"/>
    <w:rsid w:val="0029405D"/>
    <w:rsid w:val="002A271C"/>
    <w:rsid w:val="002A43BB"/>
    <w:rsid w:val="002A5295"/>
    <w:rsid w:val="002A7B85"/>
    <w:rsid w:val="002B17BE"/>
    <w:rsid w:val="002B1ABE"/>
    <w:rsid w:val="002B4033"/>
    <w:rsid w:val="002B52F4"/>
    <w:rsid w:val="002B7F43"/>
    <w:rsid w:val="002C471F"/>
    <w:rsid w:val="002C5F2E"/>
    <w:rsid w:val="002C6597"/>
    <w:rsid w:val="002C6D3E"/>
    <w:rsid w:val="002C7E03"/>
    <w:rsid w:val="002D01D8"/>
    <w:rsid w:val="002D032E"/>
    <w:rsid w:val="002D239A"/>
    <w:rsid w:val="002D70D3"/>
    <w:rsid w:val="002D768B"/>
    <w:rsid w:val="002E0EE0"/>
    <w:rsid w:val="002E1EB0"/>
    <w:rsid w:val="002E2C4C"/>
    <w:rsid w:val="002E3F8F"/>
    <w:rsid w:val="002E787B"/>
    <w:rsid w:val="002F0342"/>
    <w:rsid w:val="002F79F8"/>
    <w:rsid w:val="00302AEC"/>
    <w:rsid w:val="00304A44"/>
    <w:rsid w:val="00305685"/>
    <w:rsid w:val="00306931"/>
    <w:rsid w:val="003116A1"/>
    <w:rsid w:val="0031424A"/>
    <w:rsid w:val="00317103"/>
    <w:rsid w:val="00320574"/>
    <w:rsid w:val="00322D1D"/>
    <w:rsid w:val="00323D1B"/>
    <w:rsid w:val="003255FB"/>
    <w:rsid w:val="00325F23"/>
    <w:rsid w:val="003310F7"/>
    <w:rsid w:val="003315A0"/>
    <w:rsid w:val="00332B8E"/>
    <w:rsid w:val="00333373"/>
    <w:rsid w:val="00341A93"/>
    <w:rsid w:val="00341D37"/>
    <w:rsid w:val="0034346B"/>
    <w:rsid w:val="00347122"/>
    <w:rsid w:val="003475EF"/>
    <w:rsid w:val="003479E4"/>
    <w:rsid w:val="003500E8"/>
    <w:rsid w:val="00351572"/>
    <w:rsid w:val="00357B09"/>
    <w:rsid w:val="0036092A"/>
    <w:rsid w:val="00362759"/>
    <w:rsid w:val="00372AE9"/>
    <w:rsid w:val="003732D0"/>
    <w:rsid w:val="00373821"/>
    <w:rsid w:val="00374277"/>
    <w:rsid w:val="003764D9"/>
    <w:rsid w:val="00376DB3"/>
    <w:rsid w:val="00382E58"/>
    <w:rsid w:val="00383067"/>
    <w:rsid w:val="003832F3"/>
    <w:rsid w:val="00386D80"/>
    <w:rsid w:val="00387046"/>
    <w:rsid w:val="00396BBF"/>
    <w:rsid w:val="003A0436"/>
    <w:rsid w:val="003A060B"/>
    <w:rsid w:val="003A12BF"/>
    <w:rsid w:val="003A1A47"/>
    <w:rsid w:val="003A31B0"/>
    <w:rsid w:val="003A34E4"/>
    <w:rsid w:val="003A3F89"/>
    <w:rsid w:val="003A5DCB"/>
    <w:rsid w:val="003B0EE3"/>
    <w:rsid w:val="003B3587"/>
    <w:rsid w:val="003C1FA4"/>
    <w:rsid w:val="003C1FB1"/>
    <w:rsid w:val="003C279F"/>
    <w:rsid w:val="003C2D16"/>
    <w:rsid w:val="003C407C"/>
    <w:rsid w:val="003C6D41"/>
    <w:rsid w:val="003C7DEC"/>
    <w:rsid w:val="003D291C"/>
    <w:rsid w:val="003D38C8"/>
    <w:rsid w:val="003D5B67"/>
    <w:rsid w:val="003E04B5"/>
    <w:rsid w:val="003E0A97"/>
    <w:rsid w:val="003E348A"/>
    <w:rsid w:val="003E5D50"/>
    <w:rsid w:val="003E5F0A"/>
    <w:rsid w:val="003E76C7"/>
    <w:rsid w:val="003F7C3F"/>
    <w:rsid w:val="0040021B"/>
    <w:rsid w:val="004006F0"/>
    <w:rsid w:val="004009DB"/>
    <w:rsid w:val="00403D2D"/>
    <w:rsid w:val="004041DB"/>
    <w:rsid w:val="00406331"/>
    <w:rsid w:val="0041136F"/>
    <w:rsid w:val="00411389"/>
    <w:rsid w:val="004149D5"/>
    <w:rsid w:val="00414BB9"/>
    <w:rsid w:val="0041685B"/>
    <w:rsid w:val="0043294F"/>
    <w:rsid w:val="004330D4"/>
    <w:rsid w:val="0043540A"/>
    <w:rsid w:val="004406DF"/>
    <w:rsid w:val="00441C29"/>
    <w:rsid w:val="0044378C"/>
    <w:rsid w:val="00443A73"/>
    <w:rsid w:val="00444182"/>
    <w:rsid w:val="00444D81"/>
    <w:rsid w:val="00445151"/>
    <w:rsid w:val="0044526E"/>
    <w:rsid w:val="00453049"/>
    <w:rsid w:val="004532F5"/>
    <w:rsid w:val="00463F2E"/>
    <w:rsid w:val="00464C96"/>
    <w:rsid w:val="004667A0"/>
    <w:rsid w:val="0047252D"/>
    <w:rsid w:val="00475217"/>
    <w:rsid w:val="00475D9F"/>
    <w:rsid w:val="0047768E"/>
    <w:rsid w:val="0047789E"/>
    <w:rsid w:val="00481EBC"/>
    <w:rsid w:val="00490E7E"/>
    <w:rsid w:val="004A060E"/>
    <w:rsid w:val="004A5D40"/>
    <w:rsid w:val="004A7A5C"/>
    <w:rsid w:val="004B3B0E"/>
    <w:rsid w:val="004B3BF2"/>
    <w:rsid w:val="004B59EA"/>
    <w:rsid w:val="004B60D3"/>
    <w:rsid w:val="004B649A"/>
    <w:rsid w:val="004B6AD5"/>
    <w:rsid w:val="004B6C1E"/>
    <w:rsid w:val="004C0595"/>
    <w:rsid w:val="004C1156"/>
    <w:rsid w:val="004C177D"/>
    <w:rsid w:val="004C1D88"/>
    <w:rsid w:val="004C46FA"/>
    <w:rsid w:val="004C5193"/>
    <w:rsid w:val="004C7058"/>
    <w:rsid w:val="004D140B"/>
    <w:rsid w:val="004D1966"/>
    <w:rsid w:val="004D2E9D"/>
    <w:rsid w:val="004D6143"/>
    <w:rsid w:val="004E1930"/>
    <w:rsid w:val="004E28DF"/>
    <w:rsid w:val="004E4599"/>
    <w:rsid w:val="004E799C"/>
    <w:rsid w:val="004F422C"/>
    <w:rsid w:val="004F43B0"/>
    <w:rsid w:val="004F4B8F"/>
    <w:rsid w:val="004F541E"/>
    <w:rsid w:val="00500653"/>
    <w:rsid w:val="005018DF"/>
    <w:rsid w:val="00503743"/>
    <w:rsid w:val="00505244"/>
    <w:rsid w:val="00505CDB"/>
    <w:rsid w:val="00505DBE"/>
    <w:rsid w:val="00505FC7"/>
    <w:rsid w:val="00510227"/>
    <w:rsid w:val="00514071"/>
    <w:rsid w:val="00522B97"/>
    <w:rsid w:val="00526129"/>
    <w:rsid w:val="00527E8D"/>
    <w:rsid w:val="0053114A"/>
    <w:rsid w:val="005312F6"/>
    <w:rsid w:val="0053526E"/>
    <w:rsid w:val="00537FB1"/>
    <w:rsid w:val="005403AB"/>
    <w:rsid w:val="005412E6"/>
    <w:rsid w:val="005434CC"/>
    <w:rsid w:val="005451F6"/>
    <w:rsid w:val="00545459"/>
    <w:rsid w:val="005538B9"/>
    <w:rsid w:val="00554143"/>
    <w:rsid w:val="00556298"/>
    <w:rsid w:val="005604AE"/>
    <w:rsid w:val="00562854"/>
    <w:rsid w:val="0056308C"/>
    <w:rsid w:val="005719E2"/>
    <w:rsid w:val="00574390"/>
    <w:rsid w:val="00581B81"/>
    <w:rsid w:val="00581D26"/>
    <w:rsid w:val="005830CE"/>
    <w:rsid w:val="00586B94"/>
    <w:rsid w:val="00587408"/>
    <w:rsid w:val="00591527"/>
    <w:rsid w:val="0059270B"/>
    <w:rsid w:val="00594479"/>
    <w:rsid w:val="00594D80"/>
    <w:rsid w:val="00595739"/>
    <w:rsid w:val="00595F15"/>
    <w:rsid w:val="0059604B"/>
    <w:rsid w:val="005A0298"/>
    <w:rsid w:val="005A0535"/>
    <w:rsid w:val="005A160F"/>
    <w:rsid w:val="005A3DA7"/>
    <w:rsid w:val="005A4E39"/>
    <w:rsid w:val="005A51C4"/>
    <w:rsid w:val="005A5C51"/>
    <w:rsid w:val="005A7F57"/>
    <w:rsid w:val="005B1654"/>
    <w:rsid w:val="005B2233"/>
    <w:rsid w:val="005B2B43"/>
    <w:rsid w:val="005B37EE"/>
    <w:rsid w:val="005B3F27"/>
    <w:rsid w:val="005B4C4D"/>
    <w:rsid w:val="005B5CF1"/>
    <w:rsid w:val="005B5E2D"/>
    <w:rsid w:val="005B6B3A"/>
    <w:rsid w:val="005C117B"/>
    <w:rsid w:val="005C18DB"/>
    <w:rsid w:val="005C18F3"/>
    <w:rsid w:val="005C6D8F"/>
    <w:rsid w:val="005C6F7C"/>
    <w:rsid w:val="005D0C4F"/>
    <w:rsid w:val="005D29FF"/>
    <w:rsid w:val="005D3195"/>
    <w:rsid w:val="005D32C4"/>
    <w:rsid w:val="005D34D4"/>
    <w:rsid w:val="005D6698"/>
    <w:rsid w:val="005D6E5F"/>
    <w:rsid w:val="005E4AC5"/>
    <w:rsid w:val="005E700C"/>
    <w:rsid w:val="005F1634"/>
    <w:rsid w:val="005F549F"/>
    <w:rsid w:val="00602431"/>
    <w:rsid w:val="0060427D"/>
    <w:rsid w:val="00605FFC"/>
    <w:rsid w:val="00606B22"/>
    <w:rsid w:val="00610778"/>
    <w:rsid w:val="00614E08"/>
    <w:rsid w:val="00617FA8"/>
    <w:rsid w:val="006201E0"/>
    <w:rsid w:val="006204AC"/>
    <w:rsid w:val="006215F8"/>
    <w:rsid w:val="00622400"/>
    <w:rsid w:val="00624D54"/>
    <w:rsid w:val="00626933"/>
    <w:rsid w:val="00631108"/>
    <w:rsid w:val="006400EC"/>
    <w:rsid w:val="00640D40"/>
    <w:rsid w:val="00651FE5"/>
    <w:rsid w:val="00652D95"/>
    <w:rsid w:val="00653BBE"/>
    <w:rsid w:val="00655854"/>
    <w:rsid w:val="00661A00"/>
    <w:rsid w:val="00661E43"/>
    <w:rsid w:val="0066633B"/>
    <w:rsid w:val="006709BC"/>
    <w:rsid w:val="006750E4"/>
    <w:rsid w:val="00675E5D"/>
    <w:rsid w:val="006766D0"/>
    <w:rsid w:val="00680521"/>
    <w:rsid w:val="00681F03"/>
    <w:rsid w:val="00692C0C"/>
    <w:rsid w:val="00692E91"/>
    <w:rsid w:val="00693BA7"/>
    <w:rsid w:val="00695765"/>
    <w:rsid w:val="006A1111"/>
    <w:rsid w:val="006A2E24"/>
    <w:rsid w:val="006A495A"/>
    <w:rsid w:val="006A5FE5"/>
    <w:rsid w:val="006A6BE9"/>
    <w:rsid w:val="006B1CC6"/>
    <w:rsid w:val="006B2F0F"/>
    <w:rsid w:val="006B5345"/>
    <w:rsid w:val="006B63AB"/>
    <w:rsid w:val="006C05AA"/>
    <w:rsid w:val="006C1D1A"/>
    <w:rsid w:val="006C26F3"/>
    <w:rsid w:val="006C2E98"/>
    <w:rsid w:val="006C3F28"/>
    <w:rsid w:val="006C57C9"/>
    <w:rsid w:val="006D06D7"/>
    <w:rsid w:val="006D21CA"/>
    <w:rsid w:val="006D563C"/>
    <w:rsid w:val="006D6A2B"/>
    <w:rsid w:val="006E0CA6"/>
    <w:rsid w:val="006E1B81"/>
    <w:rsid w:val="006E4009"/>
    <w:rsid w:val="006E77D3"/>
    <w:rsid w:val="006F3D16"/>
    <w:rsid w:val="006F7D23"/>
    <w:rsid w:val="007021BD"/>
    <w:rsid w:val="00703F5A"/>
    <w:rsid w:val="00710156"/>
    <w:rsid w:val="00711932"/>
    <w:rsid w:val="0071381D"/>
    <w:rsid w:val="00715CD2"/>
    <w:rsid w:val="00715E39"/>
    <w:rsid w:val="00721EA1"/>
    <w:rsid w:val="007307DC"/>
    <w:rsid w:val="007328BC"/>
    <w:rsid w:val="0073795E"/>
    <w:rsid w:val="00740ACA"/>
    <w:rsid w:val="007434D6"/>
    <w:rsid w:val="007435EC"/>
    <w:rsid w:val="007448B9"/>
    <w:rsid w:val="00747C62"/>
    <w:rsid w:val="007527F6"/>
    <w:rsid w:val="007534B0"/>
    <w:rsid w:val="007535D6"/>
    <w:rsid w:val="007537A7"/>
    <w:rsid w:val="00753DBD"/>
    <w:rsid w:val="00753E3A"/>
    <w:rsid w:val="00754BD3"/>
    <w:rsid w:val="007571BC"/>
    <w:rsid w:val="00763728"/>
    <w:rsid w:val="00763AFB"/>
    <w:rsid w:val="007645D5"/>
    <w:rsid w:val="00764917"/>
    <w:rsid w:val="00765865"/>
    <w:rsid w:val="007669F2"/>
    <w:rsid w:val="00767337"/>
    <w:rsid w:val="0077195B"/>
    <w:rsid w:val="00775602"/>
    <w:rsid w:val="007757BD"/>
    <w:rsid w:val="00785992"/>
    <w:rsid w:val="00786553"/>
    <w:rsid w:val="00795A71"/>
    <w:rsid w:val="007A05A0"/>
    <w:rsid w:val="007A1A8F"/>
    <w:rsid w:val="007A35FE"/>
    <w:rsid w:val="007A5A40"/>
    <w:rsid w:val="007B14DA"/>
    <w:rsid w:val="007B2BDE"/>
    <w:rsid w:val="007B7F06"/>
    <w:rsid w:val="007C04C1"/>
    <w:rsid w:val="007C0740"/>
    <w:rsid w:val="007C2EE0"/>
    <w:rsid w:val="007C49F5"/>
    <w:rsid w:val="007D3239"/>
    <w:rsid w:val="007D4232"/>
    <w:rsid w:val="007D59F9"/>
    <w:rsid w:val="007D625B"/>
    <w:rsid w:val="007D656C"/>
    <w:rsid w:val="007D67D2"/>
    <w:rsid w:val="007D74D7"/>
    <w:rsid w:val="007D7A3E"/>
    <w:rsid w:val="007E17BB"/>
    <w:rsid w:val="007E227E"/>
    <w:rsid w:val="007E2735"/>
    <w:rsid w:val="007E28AD"/>
    <w:rsid w:val="007E3A53"/>
    <w:rsid w:val="007E4113"/>
    <w:rsid w:val="007E5A87"/>
    <w:rsid w:val="007F0017"/>
    <w:rsid w:val="007F0D28"/>
    <w:rsid w:val="007F539E"/>
    <w:rsid w:val="00802121"/>
    <w:rsid w:val="00803301"/>
    <w:rsid w:val="0080336F"/>
    <w:rsid w:val="008035CD"/>
    <w:rsid w:val="0080372A"/>
    <w:rsid w:val="0080587C"/>
    <w:rsid w:val="00805FFA"/>
    <w:rsid w:val="00806F4A"/>
    <w:rsid w:val="008072E4"/>
    <w:rsid w:val="00807D5E"/>
    <w:rsid w:val="008105E7"/>
    <w:rsid w:val="00811319"/>
    <w:rsid w:val="00811B16"/>
    <w:rsid w:val="008136FE"/>
    <w:rsid w:val="008158FF"/>
    <w:rsid w:val="0083343B"/>
    <w:rsid w:val="008345C9"/>
    <w:rsid w:val="0083523B"/>
    <w:rsid w:val="00835F3E"/>
    <w:rsid w:val="00840019"/>
    <w:rsid w:val="008406C5"/>
    <w:rsid w:val="00841B2B"/>
    <w:rsid w:val="00843503"/>
    <w:rsid w:val="00851A55"/>
    <w:rsid w:val="00851AEF"/>
    <w:rsid w:val="00852C26"/>
    <w:rsid w:val="008648D6"/>
    <w:rsid w:val="008666ED"/>
    <w:rsid w:val="008667C3"/>
    <w:rsid w:val="00866DB4"/>
    <w:rsid w:val="00872D1E"/>
    <w:rsid w:val="008813F0"/>
    <w:rsid w:val="008827CF"/>
    <w:rsid w:val="00882934"/>
    <w:rsid w:val="00882D86"/>
    <w:rsid w:val="00885894"/>
    <w:rsid w:val="00885918"/>
    <w:rsid w:val="008A24C9"/>
    <w:rsid w:val="008A2E56"/>
    <w:rsid w:val="008A3C27"/>
    <w:rsid w:val="008A5AFC"/>
    <w:rsid w:val="008A6C89"/>
    <w:rsid w:val="008B3F08"/>
    <w:rsid w:val="008B7786"/>
    <w:rsid w:val="008B77DF"/>
    <w:rsid w:val="008B7EB9"/>
    <w:rsid w:val="008C0446"/>
    <w:rsid w:val="008C0D5C"/>
    <w:rsid w:val="008C1E1D"/>
    <w:rsid w:val="008D0136"/>
    <w:rsid w:val="008D0732"/>
    <w:rsid w:val="008D45CF"/>
    <w:rsid w:val="008D540A"/>
    <w:rsid w:val="008D66FA"/>
    <w:rsid w:val="008E23D1"/>
    <w:rsid w:val="008E3B6C"/>
    <w:rsid w:val="008E3CF6"/>
    <w:rsid w:val="008E51C1"/>
    <w:rsid w:val="008E7C84"/>
    <w:rsid w:val="008F23A9"/>
    <w:rsid w:val="008F3890"/>
    <w:rsid w:val="00900803"/>
    <w:rsid w:val="00903370"/>
    <w:rsid w:val="009043CE"/>
    <w:rsid w:val="0090548A"/>
    <w:rsid w:val="00905F55"/>
    <w:rsid w:val="00907E9B"/>
    <w:rsid w:val="009100E2"/>
    <w:rsid w:val="009142C0"/>
    <w:rsid w:val="0091582C"/>
    <w:rsid w:val="0091763B"/>
    <w:rsid w:val="009207EF"/>
    <w:rsid w:val="00922158"/>
    <w:rsid w:val="009229AB"/>
    <w:rsid w:val="00927FD3"/>
    <w:rsid w:val="00930198"/>
    <w:rsid w:val="009330AA"/>
    <w:rsid w:val="009356E6"/>
    <w:rsid w:val="00935AA6"/>
    <w:rsid w:val="00936029"/>
    <w:rsid w:val="0093609B"/>
    <w:rsid w:val="009434C4"/>
    <w:rsid w:val="00943C4A"/>
    <w:rsid w:val="009446F0"/>
    <w:rsid w:val="00950622"/>
    <w:rsid w:val="00951885"/>
    <w:rsid w:val="00953EC4"/>
    <w:rsid w:val="009558D6"/>
    <w:rsid w:val="0095608A"/>
    <w:rsid w:val="00956A29"/>
    <w:rsid w:val="00956CF5"/>
    <w:rsid w:val="0096051A"/>
    <w:rsid w:val="0096218F"/>
    <w:rsid w:val="00963976"/>
    <w:rsid w:val="0097116E"/>
    <w:rsid w:val="00975058"/>
    <w:rsid w:val="009760BD"/>
    <w:rsid w:val="00977C89"/>
    <w:rsid w:val="00980386"/>
    <w:rsid w:val="00981D3B"/>
    <w:rsid w:val="0098220D"/>
    <w:rsid w:val="00985E19"/>
    <w:rsid w:val="00990B04"/>
    <w:rsid w:val="009931BA"/>
    <w:rsid w:val="009932FC"/>
    <w:rsid w:val="00993544"/>
    <w:rsid w:val="0099368F"/>
    <w:rsid w:val="009969C6"/>
    <w:rsid w:val="009A4C85"/>
    <w:rsid w:val="009A613A"/>
    <w:rsid w:val="009B0A37"/>
    <w:rsid w:val="009B10D4"/>
    <w:rsid w:val="009B170F"/>
    <w:rsid w:val="009B19BB"/>
    <w:rsid w:val="009B44B4"/>
    <w:rsid w:val="009C23BD"/>
    <w:rsid w:val="009C2CE4"/>
    <w:rsid w:val="009C5B18"/>
    <w:rsid w:val="009D35E6"/>
    <w:rsid w:val="009D4449"/>
    <w:rsid w:val="009D7E78"/>
    <w:rsid w:val="009E04D0"/>
    <w:rsid w:val="009E2034"/>
    <w:rsid w:val="009E4512"/>
    <w:rsid w:val="009E5624"/>
    <w:rsid w:val="009F0192"/>
    <w:rsid w:val="009F3A72"/>
    <w:rsid w:val="009F3EA9"/>
    <w:rsid w:val="009F3EBD"/>
    <w:rsid w:val="00A0047E"/>
    <w:rsid w:val="00A05758"/>
    <w:rsid w:val="00A059E3"/>
    <w:rsid w:val="00A13442"/>
    <w:rsid w:val="00A135EB"/>
    <w:rsid w:val="00A15F9A"/>
    <w:rsid w:val="00A20EE5"/>
    <w:rsid w:val="00A23043"/>
    <w:rsid w:val="00A232E1"/>
    <w:rsid w:val="00A2362D"/>
    <w:rsid w:val="00A242D0"/>
    <w:rsid w:val="00A26E33"/>
    <w:rsid w:val="00A30BD3"/>
    <w:rsid w:val="00A3139C"/>
    <w:rsid w:val="00A3620C"/>
    <w:rsid w:val="00A36EB5"/>
    <w:rsid w:val="00A40580"/>
    <w:rsid w:val="00A41E6B"/>
    <w:rsid w:val="00A440B1"/>
    <w:rsid w:val="00A44D02"/>
    <w:rsid w:val="00A4687E"/>
    <w:rsid w:val="00A46DC8"/>
    <w:rsid w:val="00A46FB1"/>
    <w:rsid w:val="00A47E18"/>
    <w:rsid w:val="00A50A0E"/>
    <w:rsid w:val="00A5165C"/>
    <w:rsid w:val="00A530E0"/>
    <w:rsid w:val="00A5457C"/>
    <w:rsid w:val="00A54BCF"/>
    <w:rsid w:val="00A54C9B"/>
    <w:rsid w:val="00A60AA5"/>
    <w:rsid w:val="00A60DD2"/>
    <w:rsid w:val="00A6315C"/>
    <w:rsid w:val="00A64714"/>
    <w:rsid w:val="00A64BA3"/>
    <w:rsid w:val="00A652D3"/>
    <w:rsid w:val="00A716B3"/>
    <w:rsid w:val="00A74A66"/>
    <w:rsid w:val="00A75BA3"/>
    <w:rsid w:val="00A77C0D"/>
    <w:rsid w:val="00A8547A"/>
    <w:rsid w:val="00A85D63"/>
    <w:rsid w:val="00A85EFF"/>
    <w:rsid w:val="00A8629A"/>
    <w:rsid w:val="00A86952"/>
    <w:rsid w:val="00A9117E"/>
    <w:rsid w:val="00A930C6"/>
    <w:rsid w:val="00A95F61"/>
    <w:rsid w:val="00A973F8"/>
    <w:rsid w:val="00AA159E"/>
    <w:rsid w:val="00AA15AF"/>
    <w:rsid w:val="00AA7455"/>
    <w:rsid w:val="00AB080B"/>
    <w:rsid w:val="00AB23D2"/>
    <w:rsid w:val="00AB5BD2"/>
    <w:rsid w:val="00AC01AC"/>
    <w:rsid w:val="00AC0950"/>
    <w:rsid w:val="00AC1CAA"/>
    <w:rsid w:val="00AC37C3"/>
    <w:rsid w:val="00AC48E2"/>
    <w:rsid w:val="00AD0BD0"/>
    <w:rsid w:val="00AD2326"/>
    <w:rsid w:val="00AD61DB"/>
    <w:rsid w:val="00AE0266"/>
    <w:rsid w:val="00AE1236"/>
    <w:rsid w:val="00AE1A59"/>
    <w:rsid w:val="00AE1C1D"/>
    <w:rsid w:val="00AE243F"/>
    <w:rsid w:val="00AE5276"/>
    <w:rsid w:val="00AE5C7C"/>
    <w:rsid w:val="00AE610D"/>
    <w:rsid w:val="00AE691F"/>
    <w:rsid w:val="00AE6CE0"/>
    <w:rsid w:val="00AF1279"/>
    <w:rsid w:val="00AF5251"/>
    <w:rsid w:val="00AF624B"/>
    <w:rsid w:val="00B05279"/>
    <w:rsid w:val="00B0588C"/>
    <w:rsid w:val="00B062FA"/>
    <w:rsid w:val="00B066F9"/>
    <w:rsid w:val="00B13F4B"/>
    <w:rsid w:val="00B143D1"/>
    <w:rsid w:val="00B15A30"/>
    <w:rsid w:val="00B16DCD"/>
    <w:rsid w:val="00B17D07"/>
    <w:rsid w:val="00B17DC4"/>
    <w:rsid w:val="00B2001B"/>
    <w:rsid w:val="00B22B55"/>
    <w:rsid w:val="00B23055"/>
    <w:rsid w:val="00B23634"/>
    <w:rsid w:val="00B2552C"/>
    <w:rsid w:val="00B26413"/>
    <w:rsid w:val="00B300DF"/>
    <w:rsid w:val="00B362FF"/>
    <w:rsid w:val="00B41E94"/>
    <w:rsid w:val="00B50020"/>
    <w:rsid w:val="00B50E6F"/>
    <w:rsid w:val="00B5266D"/>
    <w:rsid w:val="00B53008"/>
    <w:rsid w:val="00B534CD"/>
    <w:rsid w:val="00B56DA9"/>
    <w:rsid w:val="00B571B3"/>
    <w:rsid w:val="00B61360"/>
    <w:rsid w:val="00B622AD"/>
    <w:rsid w:val="00B63DB6"/>
    <w:rsid w:val="00B6436C"/>
    <w:rsid w:val="00B65E69"/>
    <w:rsid w:val="00B66135"/>
    <w:rsid w:val="00B66AFD"/>
    <w:rsid w:val="00B6710E"/>
    <w:rsid w:val="00B70250"/>
    <w:rsid w:val="00B733B8"/>
    <w:rsid w:val="00B7650E"/>
    <w:rsid w:val="00B77E42"/>
    <w:rsid w:val="00B77EF2"/>
    <w:rsid w:val="00B8251A"/>
    <w:rsid w:val="00B83ED5"/>
    <w:rsid w:val="00B84186"/>
    <w:rsid w:val="00B841E4"/>
    <w:rsid w:val="00B855A8"/>
    <w:rsid w:val="00B8787E"/>
    <w:rsid w:val="00B90B4E"/>
    <w:rsid w:val="00B925E3"/>
    <w:rsid w:val="00B95436"/>
    <w:rsid w:val="00B95B99"/>
    <w:rsid w:val="00B95EEA"/>
    <w:rsid w:val="00B95F74"/>
    <w:rsid w:val="00B96624"/>
    <w:rsid w:val="00B97059"/>
    <w:rsid w:val="00B97A5F"/>
    <w:rsid w:val="00BA190E"/>
    <w:rsid w:val="00BA2E9D"/>
    <w:rsid w:val="00BA59CC"/>
    <w:rsid w:val="00BB0925"/>
    <w:rsid w:val="00BB0B24"/>
    <w:rsid w:val="00BC3744"/>
    <w:rsid w:val="00BD11F2"/>
    <w:rsid w:val="00BE0731"/>
    <w:rsid w:val="00BE1F5E"/>
    <w:rsid w:val="00BE524C"/>
    <w:rsid w:val="00BF2EB9"/>
    <w:rsid w:val="00BF3177"/>
    <w:rsid w:val="00BF35E4"/>
    <w:rsid w:val="00BF643D"/>
    <w:rsid w:val="00C01A0A"/>
    <w:rsid w:val="00C01FAA"/>
    <w:rsid w:val="00C03BDD"/>
    <w:rsid w:val="00C04E7A"/>
    <w:rsid w:val="00C06BD0"/>
    <w:rsid w:val="00C06E8F"/>
    <w:rsid w:val="00C11759"/>
    <w:rsid w:val="00C11C32"/>
    <w:rsid w:val="00C128EF"/>
    <w:rsid w:val="00C13502"/>
    <w:rsid w:val="00C1502D"/>
    <w:rsid w:val="00C15A04"/>
    <w:rsid w:val="00C15DD8"/>
    <w:rsid w:val="00C1711F"/>
    <w:rsid w:val="00C17E80"/>
    <w:rsid w:val="00C26C49"/>
    <w:rsid w:val="00C3472B"/>
    <w:rsid w:val="00C352B4"/>
    <w:rsid w:val="00C365D9"/>
    <w:rsid w:val="00C37AB2"/>
    <w:rsid w:val="00C42683"/>
    <w:rsid w:val="00C4371B"/>
    <w:rsid w:val="00C471CD"/>
    <w:rsid w:val="00C505BF"/>
    <w:rsid w:val="00C52D4B"/>
    <w:rsid w:val="00C5422A"/>
    <w:rsid w:val="00C55078"/>
    <w:rsid w:val="00C57862"/>
    <w:rsid w:val="00C606C1"/>
    <w:rsid w:val="00C60C38"/>
    <w:rsid w:val="00C6304D"/>
    <w:rsid w:val="00C63F40"/>
    <w:rsid w:val="00C6401D"/>
    <w:rsid w:val="00C6435A"/>
    <w:rsid w:val="00C644BA"/>
    <w:rsid w:val="00C659E8"/>
    <w:rsid w:val="00C65C9C"/>
    <w:rsid w:val="00C66F69"/>
    <w:rsid w:val="00C74FAA"/>
    <w:rsid w:val="00C82C92"/>
    <w:rsid w:val="00C834EF"/>
    <w:rsid w:val="00C840A4"/>
    <w:rsid w:val="00C909AC"/>
    <w:rsid w:val="00C92BF3"/>
    <w:rsid w:val="00CA0A8C"/>
    <w:rsid w:val="00CA165B"/>
    <w:rsid w:val="00CA2A06"/>
    <w:rsid w:val="00CA30C7"/>
    <w:rsid w:val="00CA3BBC"/>
    <w:rsid w:val="00CA588B"/>
    <w:rsid w:val="00CA5A77"/>
    <w:rsid w:val="00CA64C1"/>
    <w:rsid w:val="00CB2C23"/>
    <w:rsid w:val="00CB2CDA"/>
    <w:rsid w:val="00CB3257"/>
    <w:rsid w:val="00CB4FEF"/>
    <w:rsid w:val="00CB64A2"/>
    <w:rsid w:val="00CB6F56"/>
    <w:rsid w:val="00CC2E5A"/>
    <w:rsid w:val="00CC7FCE"/>
    <w:rsid w:val="00CD2BBA"/>
    <w:rsid w:val="00CD34BB"/>
    <w:rsid w:val="00CD49C5"/>
    <w:rsid w:val="00CE20AF"/>
    <w:rsid w:val="00CE2F7D"/>
    <w:rsid w:val="00CE409E"/>
    <w:rsid w:val="00CE5043"/>
    <w:rsid w:val="00CE5194"/>
    <w:rsid w:val="00CE6FAF"/>
    <w:rsid w:val="00CF19D1"/>
    <w:rsid w:val="00CF5BE9"/>
    <w:rsid w:val="00CF6D0B"/>
    <w:rsid w:val="00D019C4"/>
    <w:rsid w:val="00D03BF8"/>
    <w:rsid w:val="00D13C1F"/>
    <w:rsid w:val="00D154C3"/>
    <w:rsid w:val="00D2051F"/>
    <w:rsid w:val="00D2081C"/>
    <w:rsid w:val="00D20C4F"/>
    <w:rsid w:val="00D2407D"/>
    <w:rsid w:val="00D25EB8"/>
    <w:rsid w:val="00D30FB8"/>
    <w:rsid w:val="00D31298"/>
    <w:rsid w:val="00D31A76"/>
    <w:rsid w:val="00D35AD7"/>
    <w:rsid w:val="00D35D29"/>
    <w:rsid w:val="00D35F38"/>
    <w:rsid w:val="00D405C7"/>
    <w:rsid w:val="00D45430"/>
    <w:rsid w:val="00D47A45"/>
    <w:rsid w:val="00D47BDD"/>
    <w:rsid w:val="00D5142C"/>
    <w:rsid w:val="00D516D5"/>
    <w:rsid w:val="00D53387"/>
    <w:rsid w:val="00D6206A"/>
    <w:rsid w:val="00D63349"/>
    <w:rsid w:val="00D63505"/>
    <w:rsid w:val="00D7173C"/>
    <w:rsid w:val="00D722F9"/>
    <w:rsid w:val="00D7461B"/>
    <w:rsid w:val="00D74BC7"/>
    <w:rsid w:val="00D8063B"/>
    <w:rsid w:val="00D8070C"/>
    <w:rsid w:val="00D81310"/>
    <w:rsid w:val="00D829D2"/>
    <w:rsid w:val="00D83C16"/>
    <w:rsid w:val="00D851A3"/>
    <w:rsid w:val="00D8619F"/>
    <w:rsid w:val="00D90492"/>
    <w:rsid w:val="00D90774"/>
    <w:rsid w:val="00D91DCC"/>
    <w:rsid w:val="00D92208"/>
    <w:rsid w:val="00D94139"/>
    <w:rsid w:val="00D94966"/>
    <w:rsid w:val="00D94F6A"/>
    <w:rsid w:val="00DA24EF"/>
    <w:rsid w:val="00DA4586"/>
    <w:rsid w:val="00DB1E11"/>
    <w:rsid w:val="00DB36BA"/>
    <w:rsid w:val="00DB3E85"/>
    <w:rsid w:val="00DB4C35"/>
    <w:rsid w:val="00DB6F15"/>
    <w:rsid w:val="00DB6F45"/>
    <w:rsid w:val="00DB72CB"/>
    <w:rsid w:val="00DB7C9E"/>
    <w:rsid w:val="00DC1C8B"/>
    <w:rsid w:val="00DC5004"/>
    <w:rsid w:val="00DC56A8"/>
    <w:rsid w:val="00DD06F3"/>
    <w:rsid w:val="00DD2865"/>
    <w:rsid w:val="00DD29E5"/>
    <w:rsid w:val="00DD2ECC"/>
    <w:rsid w:val="00DD48B7"/>
    <w:rsid w:val="00DD6F7B"/>
    <w:rsid w:val="00DE041B"/>
    <w:rsid w:val="00DE5BC0"/>
    <w:rsid w:val="00DE7B45"/>
    <w:rsid w:val="00DF23C6"/>
    <w:rsid w:val="00DF2FE1"/>
    <w:rsid w:val="00E03F63"/>
    <w:rsid w:val="00E06771"/>
    <w:rsid w:val="00E10446"/>
    <w:rsid w:val="00E10D93"/>
    <w:rsid w:val="00E12691"/>
    <w:rsid w:val="00E25282"/>
    <w:rsid w:val="00E27CF8"/>
    <w:rsid w:val="00E308B3"/>
    <w:rsid w:val="00E35AF0"/>
    <w:rsid w:val="00E401AA"/>
    <w:rsid w:val="00E4247F"/>
    <w:rsid w:val="00E47C10"/>
    <w:rsid w:val="00E545DD"/>
    <w:rsid w:val="00E54CEE"/>
    <w:rsid w:val="00E561B5"/>
    <w:rsid w:val="00E64DC6"/>
    <w:rsid w:val="00E6506F"/>
    <w:rsid w:val="00E65BBD"/>
    <w:rsid w:val="00E70FBA"/>
    <w:rsid w:val="00E73676"/>
    <w:rsid w:val="00E7409D"/>
    <w:rsid w:val="00E76679"/>
    <w:rsid w:val="00E80EC4"/>
    <w:rsid w:val="00E81AE3"/>
    <w:rsid w:val="00E8337E"/>
    <w:rsid w:val="00E833AF"/>
    <w:rsid w:val="00E930A0"/>
    <w:rsid w:val="00E93204"/>
    <w:rsid w:val="00E93982"/>
    <w:rsid w:val="00E963CE"/>
    <w:rsid w:val="00E9670C"/>
    <w:rsid w:val="00E97B0F"/>
    <w:rsid w:val="00EA0ABD"/>
    <w:rsid w:val="00EA0CA8"/>
    <w:rsid w:val="00EA21EF"/>
    <w:rsid w:val="00EA244C"/>
    <w:rsid w:val="00EA4169"/>
    <w:rsid w:val="00EA6716"/>
    <w:rsid w:val="00EA7256"/>
    <w:rsid w:val="00EC3A28"/>
    <w:rsid w:val="00EC5278"/>
    <w:rsid w:val="00EC5C47"/>
    <w:rsid w:val="00EC7B57"/>
    <w:rsid w:val="00ED01D9"/>
    <w:rsid w:val="00ED06EE"/>
    <w:rsid w:val="00ED0859"/>
    <w:rsid w:val="00ED2518"/>
    <w:rsid w:val="00EE4AE1"/>
    <w:rsid w:val="00EF4C0A"/>
    <w:rsid w:val="00EF6D9B"/>
    <w:rsid w:val="00EF7785"/>
    <w:rsid w:val="00F044C3"/>
    <w:rsid w:val="00F07335"/>
    <w:rsid w:val="00F10C93"/>
    <w:rsid w:val="00F13EFA"/>
    <w:rsid w:val="00F14085"/>
    <w:rsid w:val="00F141C1"/>
    <w:rsid w:val="00F14FF2"/>
    <w:rsid w:val="00F162CC"/>
    <w:rsid w:val="00F166A1"/>
    <w:rsid w:val="00F205BF"/>
    <w:rsid w:val="00F206CA"/>
    <w:rsid w:val="00F21A99"/>
    <w:rsid w:val="00F23CD8"/>
    <w:rsid w:val="00F25362"/>
    <w:rsid w:val="00F25719"/>
    <w:rsid w:val="00F27FA9"/>
    <w:rsid w:val="00F30301"/>
    <w:rsid w:val="00F34B72"/>
    <w:rsid w:val="00F35182"/>
    <w:rsid w:val="00F36E97"/>
    <w:rsid w:val="00F43E3D"/>
    <w:rsid w:val="00F443DE"/>
    <w:rsid w:val="00F44E8E"/>
    <w:rsid w:val="00F46BD1"/>
    <w:rsid w:val="00F50A0A"/>
    <w:rsid w:val="00F5131E"/>
    <w:rsid w:val="00F514ED"/>
    <w:rsid w:val="00F51571"/>
    <w:rsid w:val="00F5449D"/>
    <w:rsid w:val="00F5474D"/>
    <w:rsid w:val="00F553C6"/>
    <w:rsid w:val="00F561BF"/>
    <w:rsid w:val="00F56ADE"/>
    <w:rsid w:val="00F575F2"/>
    <w:rsid w:val="00F57DD0"/>
    <w:rsid w:val="00F63152"/>
    <w:rsid w:val="00F66B29"/>
    <w:rsid w:val="00F66F0C"/>
    <w:rsid w:val="00F76D73"/>
    <w:rsid w:val="00F8116F"/>
    <w:rsid w:val="00F84736"/>
    <w:rsid w:val="00F85B79"/>
    <w:rsid w:val="00F92928"/>
    <w:rsid w:val="00F95ECA"/>
    <w:rsid w:val="00F967D4"/>
    <w:rsid w:val="00FA06DE"/>
    <w:rsid w:val="00FA3BEF"/>
    <w:rsid w:val="00FA4A15"/>
    <w:rsid w:val="00FA4BB4"/>
    <w:rsid w:val="00FA51B1"/>
    <w:rsid w:val="00FA7765"/>
    <w:rsid w:val="00FB1A74"/>
    <w:rsid w:val="00FB1C53"/>
    <w:rsid w:val="00FB5398"/>
    <w:rsid w:val="00FB5587"/>
    <w:rsid w:val="00FC304F"/>
    <w:rsid w:val="00FC42F4"/>
    <w:rsid w:val="00FC485A"/>
    <w:rsid w:val="00FC62ED"/>
    <w:rsid w:val="00FD6151"/>
    <w:rsid w:val="00FD7DEA"/>
    <w:rsid w:val="00FE0B6C"/>
    <w:rsid w:val="00FE0E21"/>
    <w:rsid w:val="00FE3343"/>
    <w:rsid w:val="00FE336B"/>
    <w:rsid w:val="00FF050A"/>
    <w:rsid w:val="00FF2E52"/>
    <w:rsid w:val="00FF31BC"/>
    <w:rsid w:val="00FF404C"/>
    <w:rsid w:val="00FF4AFE"/>
    <w:rsid w:val="00FF6B5A"/>
    <w:rsid w:val="00FF6C7C"/>
    <w:rsid w:val="00FF6D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1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B85"/>
    <w:pPr>
      <w:spacing w:after="200" w:line="276" w:lineRule="auto"/>
    </w:pPr>
    <w:rPr>
      <w:sz w:val="22"/>
      <w:szCs w:val="22"/>
      <w:lang w:eastAsia="en-US"/>
    </w:rPr>
  </w:style>
  <w:style w:type="paragraph" w:styleId="Heading1">
    <w:name w:val="heading 1"/>
    <w:basedOn w:val="Normal"/>
    <w:link w:val="Heading1Char"/>
    <w:uiPriority w:val="9"/>
    <w:qFormat/>
    <w:rsid w:val="00981D3B"/>
    <w:pPr>
      <w:spacing w:before="100" w:beforeAutospacing="1" w:after="100" w:afterAutospacing="1" w:line="240" w:lineRule="auto"/>
      <w:outlineLvl w:val="0"/>
    </w:pPr>
    <w:rPr>
      <w:rFonts w:ascii="Times New Roman" w:eastAsia="Times New Roman" w:hAnsi="Times New Roman"/>
      <w:b/>
      <w:bCs/>
      <w:kern w:val="36"/>
      <w:sz w:val="48"/>
      <w:szCs w:val="48"/>
      <w:lang w:val="es-EC" w:eastAsia="es-EC"/>
    </w:rPr>
  </w:style>
  <w:style w:type="paragraph" w:styleId="Heading3">
    <w:name w:val="heading 3"/>
    <w:basedOn w:val="Normal"/>
    <w:next w:val="Normal"/>
    <w:link w:val="Heading3Char"/>
    <w:uiPriority w:val="9"/>
    <w:unhideWhenUsed/>
    <w:qFormat/>
    <w:rsid w:val="007F539E"/>
    <w:pPr>
      <w:keepNext/>
      <w:spacing w:before="240" w:after="60"/>
      <w:outlineLvl w:val="2"/>
    </w:pPr>
    <w:rPr>
      <w:rFonts w:ascii="Cambria" w:eastAsia="Times New Roman" w:hAnsi="Cambria"/>
      <w:b/>
      <w:bCs/>
      <w:sz w:val="26"/>
      <w:szCs w:val="26"/>
    </w:rPr>
  </w:style>
  <w:style w:type="paragraph" w:styleId="Heading5">
    <w:name w:val="heading 5"/>
    <w:basedOn w:val="Normal"/>
    <w:next w:val="Normal"/>
    <w:link w:val="Heading5Char"/>
    <w:qFormat/>
    <w:rsid w:val="008E3CF6"/>
    <w:pPr>
      <w:spacing w:before="240" w:after="60"/>
      <w:outlineLvl w:val="4"/>
    </w:pPr>
    <w:rPr>
      <w:b/>
      <w:bCs/>
      <w:i/>
      <w:iCs/>
      <w:sz w:val="26"/>
      <w:szCs w:val="26"/>
      <w:lang w:val="es-S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6135"/>
    <w:pPr>
      <w:ind w:left="720"/>
      <w:contextualSpacing/>
    </w:pPr>
  </w:style>
  <w:style w:type="character" w:styleId="Hyperlink">
    <w:name w:val="Hyperlink"/>
    <w:basedOn w:val="DefaultParagraphFont"/>
    <w:uiPriority w:val="99"/>
    <w:unhideWhenUsed/>
    <w:rsid w:val="005B4C4D"/>
    <w:rPr>
      <w:color w:val="0000FF"/>
      <w:u w:val="single"/>
    </w:rPr>
  </w:style>
  <w:style w:type="character" w:customStyle="1" w:styleId="Heading1Char">
    <w:name w:val="Heading 1 Char"/>
    <w:basedOn w:val="DefaultParagraphFont"/>
    <w:link w:val="Heading1"/>
    <w:uiPriority w:val="9"/>
    <w:rsid w:val="00981D3B"/>
    <w:rPr>
      <w:rFonts w:ascii="Times New Roman" w:eastAsia="Times New Roman" w:hAnsi="Times New Roman" w:cs="Times New Roman"/>
      <w:b/>
      <w:bCs/>
      <w:kern w:val="36"/>
      <w:sz w:val="48"/>
      <w:szCs w:val="48"/>
      <w:lang w:val="es-EC" w:eastAsia="es-EC"/>
    </w:rPr>
  </w:style>
  <w:style w:type="paragraph" w:styleId="Header">
    <w:name w:val="header"/>
    <w:basedOn w:val="Normal"/>
    <w:link w:val="HeaderChar"/>
    <w:uiPriority w:val="99"/>
    <w:unhideWhenUsed/>
    <w:rsid w:val="004330D4"/>
    <w:pPr>
      <w:tabs>
        <w:tab w:val="center" w:pos="4419"/>
        <w:tab w:val="right" w:pos="8838"/>
      </w:tabs>
      <w:spacing w:after="0" w:line="240" w:lineRule="auto"/>
    </w:pPr>
  </w:style>
  <w:style w:type="character" w:customStyle="1" w:styleId="HeaderChar">
    <w:name w:val="Header Char"/>
    <w:basedOn w:val="DefaultParagraphFont"/>
    <w:link w:val="Header"/>
    <w:uiPriority w:val="99"/>
    <w:rsid w:val="004330D4"/>
    <w:rPr>
      <w:rFonts w:ascii="Calibri" w:eastAsia="Calibri" w:hAnsi="Calibri" w:cs="Times New Roman"/>
      <w:lang w:val="es-ES"/>
    </w:rPr>
  </w:style>
  <w:style w:type="paragraph" w:styleId="Footer">
    <w:name w:val="footer"/>
    <w:basedOn w:val="Normal"/>
    <w:link w:val="FooterChar"/>
    <w:uiPriority w:val="99"/>
    <w:unhideWhenUsed/>
    <w:rsid w:val="004330D4"/>
    <w:pPr>
      <w:tabs>
        <w:tab w:val="center" w:pos="4419"/>
        <w:tab w:val="right" w:pos="8838"/>
      </w:tabs>
      <w:spacing w:after="0" w:line="240" w:lineRule="auto"/>
    </w:pPr>
  </w:style>
  <w:style w:type="character" w:customStyle="1" w:styleId="FooterChar">
    <w:name w:val="Footer Char"/>
    <w:basedOn w:val="DefaultParagraphFont"/>
    <w:link w:val="Footer"/>
    <w:uiPriority w:val="99"/>
    <w:rsid w:val="004330D4"/>
    <w:rPr>
      <w:rFonts w:ascii="Calibri" w:eastAsia="Calibri" w:hAnsi="Calibri" w:cs="Times New Roman"/>
      <w:lang w:val="es-ES"/>
    </w:rPr>
  </w:style>
  <w:style w:type="paragraph" w:styleId="BalloonText">
    <w:name w:val="Balloon Text"/>
    <w:basedOn w:val="Normal"/>
    <w:link w:val="BalloonTextChar"/>
    <w:uiPriority w:val="99"/>
    <w:semiHidden/>
    <w:unhideWhenUsed/>
    <w:rsid w:val="00594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D80"/>
    <w:rPr>
      <w:rFonts w:ascii="Tahoma" w:eastAsia="Calibri" w:hAnsi="Tahoma" w:cs="Tahoma"/>
      <w:sz w:val="16"/>
      <w:szCs w:val="16"/>
      <w:lang w:val="es-ES"/>
    </w:rPr>
  </w:style>
  <w:style w:type="paragraph" w:styleId="TOCHeading">
    <w:name w:val="TOC Heading"/>
    <w:basedOn w:val="Heading1"/>
    <w:next w:val="Normal"/>
    <w:uiPriority w:val="39"/>
    <w:unhideWhenUsed/>
    <w:qFormat/>
    <w:rsid w:val="000520D9"/>
    <w:pPr>
      <w:keepNext/>
      <w:keepLines/>
      <w:spacing w:before="480" w:beforeAutospacing="0" w:after="0" w:afterAutospacing="0" w:line="276" w:lineRule="auto"/>
      <w:outlineLvl w:val="9"/>
    </w:pPr>
    <w:rPr>
      <w:rFonts w:ascii="Cambria" w:hAnsi="Cambria"/>
      <w:color w:val="365F91"/>
      <w:kern w:val="0"/>
      <w:sz w:val="28"/>
      <w:szCs w:val="28"/>
      <w:lang w:val="es-ES" w:eastAsia="en-US"/>
    </w:rPr>
  </w:style>
  <w:style w:type="paragraph" w:styleId="TOC1">
    <w:name w:val="toc 1"/>
    <w:basedOn w:val="Normal"/>
    <w:next w:val="Normal"/>
    <w:autoRedefine/>
    <w:uiPriority w:val="39"/>
    <w:unhideWhenUsed/>
    <w:qFormat/>
    <w:rsid w:val="007645D5"/>
    <w:pPr>
      <w:tabs>
        <w:tab w:val="right" w:leader="dot" w:pos="8222"/>
      </w:tabs>
      <w:spacing w:after="100" w:line="360" w:lineRule="auto"/>
      <w:jc w:val="both"/>
    </w:pPr>
  </w:style>
  <w:style w:type="character" w:customStyle="1" w:styleId="Heading5Char">
    <w:name w:val="Heading 5 Char"/>
    <w:basedOn w:val="DefaultParagraphFont"/>
    <w:link w:val="Heading5"/>
    <w:rsid w:val="008E3CF6"/>
    <w:rPr>
      <w:rFonts w:ascii="Calibri" w:eastAsia="Calibri" w:hAnsi="Calibri" w:cs="Times New Roman"/>
      <w:b/>
      <w:bCs/>
      <w:i/>
      <w:iCs/>
      <w:sz w:val="26"/>
      <w:szCs w:val="26"/>
    </w:rPr>
  </w:style>
  <w:style w:type="paragraph" w:styleId="NormalWeb">
    <w:name w:val="Normal (Web)"/>
    <w:basedOn w:val="Normal"/>
    <w:uiPriority w:val="99"/>
    <w:unhideWhenUsed/>
    <w:rsid w:val="008E3CF6"/>
    <w:pPr>
      <w:spacing w:before="100" w:beforeAutospacing="1" w:after="100" w:afterAutospacing="1" w:line="240" w:lineRule="auto"/>
    </w:pPr>
    <w:rPr>
      <w:rFonts w:ascii="Times New Roman" w:eastAsia="Times New Roman" w:hAnsi="Times New Roman"/>
      <w:sz w:val="24"/>
      <w:szCs w:val="24"/>
      <w:lang w:val="es-SV" w:eastAsia="es-SV"/>
    </w:rPr>
  </w:style>
  <w:style w:type="paragraph" w:customStyle="1" w:styleId="texto">
    <w:name w:val="texto"/>
    <w:basedOn w:val="Normal"/>
    <w:rsid w:val="008E3CF6"/>
    <w:pPr>
      <w:spacing w:before="100" w:beforeAutospacing="1" w:after="100" w:afterAutospacing="1" w:line="240" w:lineRule="auto"/>
    </w:pPr>
    <w:rPr>
      <w:rFonts w:ascii="Times New Roman" w:eastAsia="Times New Roman" w:hAnsi="Times New Roman"/>
      <w:sz w:val="24"/>
      <w:szCs w:val="24"/>
      <w:lang w:val="es-SV" w:eastAsia="es-SV"/>
    </w:rPr>
  </w:style>
  <w:style w:type="character" w:customStyle="1" w:styleId="azul">
    <w:name w:val="azul"/>
    <w:basedOn w:val="DefaultParagraphFont"/>
    <w:rsid w:val="008E3CF6"/>
  </w:style>
  <w:style w:type="character" w:customStyle="1" w:styleId="corchete-llamada">
    <w:name w:val="corchete-llamada"/>
    <w:basedOn w:val="DefaultParagraphFont"/>
    <w:rsid w:val="00BD11F2"/>
  </w:style>
  <w:style w:type="character" w:styleId="Strong">
    <w:name w:val="Strong"/>
    <w:basedOn w:val="DefaultParagraphFont"/>
    <w:uiPriority w:val="22"/>
    <w:qFormat/>
    <w:rsid w:val="007328BC"/>
    <w:rPr>
      <w:b/>
      <w:bCs/>
    </w:rPr>
  </w:style>
  <w:style w:type="character" w:customStyle="1" w:styleId="fullpost">
    <w:name w:val="fullpost"/>
    <w:basedOn w:val="DefaultParagraphFont"/>
    <w:rsid w:val="007328BC"/>
  </w:style>
  <w:style w:type="character" w:customStyle="1" w:styleId="caps">
    <w:name w:val="caps"/>
    <w:basedOn w:val="DefaultParagraphFont"/>
    <w:rsid w:val="00786553"/>
  </w:style>
  <w:style w:type="character" w:customStyle="1" w:styleId="intellitextlink1">
    <w:name w:val="intellitextlink1"/>
    <w:basedOn w:val="DefaultParagraphFont"/>
    <w:rsid w:val="00786553"/>
    <w:rPr>
      <w:color w:val="006400"/>
      <w:u w:val="single"/>
      <w:shd w:val="clear" w:color="auto" w:fill="auto"/>
    </w:rPr>
  </w:style>
  <w:style w:type="table" w:styleId="LightGrid-Accent5">
    <w:name w:val="Light Grid Accent 5"/>
    <w:basedOn w:val="TableNormal"/>
    <w:uiPriority w:val="62"/>
    <w:rsid w:val="002858FA"/>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z-TopofForm">
    <w:name w:val="HTML Top of Form"/>
    <w:basedOn w:val="Normal"/>
    <w:next w:val="Normal"/>
    <w:link w:val="z-TopofFormChar"/>
    <w:hidden/>
    <w:uiPriority w:val="99"/>
    <w:semiHidden/>
    <w:unhideWhenUsed/>
    <w:rsid w:val="00AF5251"/>
    <w:pPr>
      <w:pBdr>
        <w:bottom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TopofFormChar">
    <w:name w:val="z-Top of Form Char"/>
    <w:basedOn w:val="DefaultParagraphFont"/>
    <w:link w:val="z-TopofForm"/>
    <w:uiPriority w:val="99"/>
    <w:semiHidden/>
    <w:rsid w:val="00AF5251"/>
    <w:rPr>
      <w:rFonts w:ascii="Arial" w:eastAsia="Times New Roman" w:hAnsi="Arial" w:cs="Arial"/>
      <w:vanish/>
      <w:sz w:val="16"/>
      <w:szCs w:val="16"/>
      <w:lang w:eastAsia="es-SV"/>
    </w:rPr>
  </w:style>
  <w:style w:type="paragraph" w:styleId="z-BottomofForm">
    <w:name w:val="HTML Bottom of Form"/>
    <w:basedOn w:val="Normal"/>
    <w:next w:val="Normal"/>
    <w:link w:val="z-BottomofFormChar"/>
    <w:hidden/>
    <w:uiPriority w:val="99"/>
    <w:semiHidden/>
    <w:unhideWhenUsed/>
    <w:rsid w:val="00AF5251"/>
    <w:pPr>
      <w:pBdr>
        <w:top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BottomofFormChar">
    <w:name w:val="z-Bottom of Form Char"/>
    <w:basedOn w:val="DefaultParagraphFont"/>
    <w:link w:val="z-BottomofForm"/>
    <w:uiPriority w:val="99"/>
    <w:semiHidden/>
    <w:rsid w:val="00AF5251"/>
    <w:rPr>
      <w:rFonts w:ascii="Arial" w:eastAsia="Times New Roman" w:hAnsi="Arial" w:cs="Arial"/>
      <w:vanish/>
      <w:sz w:val="16"/>
      <w:szCs w:val="16"/>
      <w:lang w:eastAsia="es-SV"/>
    </w:rPr>
  </w:style>
  <w:style w:type="paragraph" w:styleId="Caption">
    <w:name w:val="caption"/>
    <w:basedOn w:val="Normal"/>
    <w:next w:val="Normal"/>
    <w:uiPriority w:val="35"/>
    <w:unhideWhenUsed/>
    <w:qFormat/>
    <w:rsid w:val="007A1A8F"/>
    <w:pPr>
      <w:spacing w:line="240" w:lineRule="auto"/>
    </w:pPr>
    <w:rPr>
      <w:b/>
      <w:bCs/>
      <w:color w:val="4F81BD"/>
      <w:sz w:val="18"/>
      <w:szCs w:val="18"/>
    </w:rPr>
  </w:style>
  <w:style w:type="table" w:styleId="MediumGrid3-Accent1">
    <w:name w:val="Medium Grid 3 Accent 1"/>
    <w:basedOn w:val="TableNormal"/>
    <w:uiPriority w:val="69"/>
    <w:rsid w:val="00BB0B2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
    <w:name w:val="Table Grid"/>
    <w:basedOn w:val="TableNormal"/>
    <w:uiPriority w:val="59"/>
    <w:rsid w:val="007C2E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style-span">
    <w:name w:val="apple-style-span"/>
    <w:basedOn w:val="DefaultParagraphFont"/>
    <w:rsid w:val="00193314"/>
  </w:style>
  <w:style w:type="character" w:customStyle="1" w:styleId="apple-converted-space">
    <w:name w:val="apple-converted-space"/>
    <w:basedOn w:val="DefaultParagraphFont"/>
    <w:rsid w:val="00243D4B"/>
  </w:style>
  <w:style w:type="paragraph" w:styleId="TOC2">
    <w:name w:val="toc 2"/>
    <w:basedOn w:val="Normal"/>
    <w:next w:val="Normal"/>
    <w:autoRedefine/>
    <w:uiPriority w:val="39"/>
    <w:unhideWhenUsed/>
    <w:qFormat/>
    <w:rsid w:val="00157182"/>
    <w:pPr>
      <w:spacing w:after="100"/>
      <w:ind w:left="220"/>
    </w:pPr>
    <w:rPr>
      <w:rFonts w:eastAsia="Times New Roman"/>
    </w:rPr>
  </w:style>
  <w:style w:type="paragraph" w:styleId="TOC3">
    <w:name w:val="toc 3"/>
    <w:basedOn w:val="Normal"/>
    <w:next w:val="Normal"/>
    <w:autoRedefine/>
    <w:uiPriority w:val="39"/>
    <w:unhideWhenUsed/>
    <w:qFormat/>
    <w:rsid w:val="00157182"/>
    <w:pPr>
      <w:spacing w:after="100"/>
      <w:ind w:left="440"/>
    </w:pPr>
    <w:rPr>
      <w:rFonts w:eastAsia="Times New Roman"/>
    </w:rPr>
  </w:style>
  <w:style w:type="paragraph" w:styleId="EndnoteText">
    <w:name w:val="endnote text"/>
    <w:basedOn w:val="Normal"/>
    <w:link w:val="EndnoteTextChar"/>
    <w:uiPriority w:val="99"/>
    <w:semiHidden/>
    <w:unhideWhenUsed/>
    <w:rsid w:val="00FB1A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B1A74"/>
    <w:rPr>
      <w:lang w:val="es-ES" w:eastAsia="en-US"/>
    </w:rPr>
  </w:style>
  <w:style w:type="character" w:styleId="EndnoteReference">
    <w:name w:val="endnote reference"/>
    <w:basedOn w:val="DefaultParagraphFont"/>
    <w:uiPriority w:val="99"/>
    <w:semiHidden/>
    <w:unhideWhenUsed/>
    <w:rsid w:val="00FB1A74"/>
    <w:rPr>
      <w:vertAlign w:val="superscript"/>
    </w:rPr>
  </w:style>
  <w:style w:type="paragraph" w:styleId="FootnoteText">
    <w:name w:val="footnote text"/>
    <w:basedOn w:val="Normal"/>
    <w:link w:val="FootnoteTextChar"/>
    <w:uiPriority w:val="99"/>
    <w:semiHidden/>
    <w:unhideWhenUsed/>
    <w:rsid w:val="00FB1A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B1A74"/>
    <w:rPr>
      <w:lang w:val="es-ES" w:eastAsia="en-US"/>
    </w:rPr>
  </w:style>
  <w:style w:type="character" w:styleId="FootnoteReference">
    <w:name w:val="footnote reference"/>
    <w:basedOn w:val="DefaultParagraphFont"/>
    <w:uiPriority w:val="99"/>
    <w:semiHidden/>
    <w:unhideWhenUsed/>
    <w:rsid w:val="00FB1A74"/>
    <w:rPr>
      <w:vertAlign w:val="superscript"/>
    </w:rPr>
  </w:style>
  <w:style w:type="character" w:styleId="FollowedHyperlink">
    <w:name w:val="FollowedHyperlink"/>
    <w:basedOn w:val="DefaultParagraphFont"/>
    <w:uiPriority w:val="99"/>
    <w:semiHidden/>
    <w:unhideWhenUsed/>
    <w:rsid w:val="00EA7256"/>
    <w:rPr>
      <w:color w:val="800080"/>
      <w:u w:val="single"/>
    </w:rPr>
  </w:style>
  <w:style w:type="character" w:customStyle="1" w:styleId="Heading3Char">
    <w:name w:val="Heading 3 Char"/>
    <w:basedOn w:val="DefaultParagraphFont"/>
    <w:link w:val="Heading3"/>
    <w:uiPriority w:val="9"/>
    <w:rsid w:val="007F539E"/>
    <w:rPr>
      <w:rFonts w:ascii="Cambria" w:eastAsia="Times New Roman" w:hAnsi="Cambria" w:cs="Times New Roman"/>
      <w:b/>
      <w:bCs/>
      <w:sz w:val="26"/>
      <w:szCs w:val="26"/>
      <w:lang w:eastAsia="en-US"/>
    </w:rPr>
  </w:style>
  <w:style w:type="character" w:customStyle="1" w:styleId="mw-headline">
    <w:name w:val="mw-headline"/>
    <w:basedOn w:val="DefaultParagraphFont"/>
    <w:rsid w:val="007F539E"/>
  </w:style>
  <w:style w:type="paragraph" w:customStyle="1" w:styleId="textomio1">
    <w:name w:val="textomio1"/>
    <w:basedOn w:val="Normal"/>
    <w:rsid w:val="007F539E"/>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efault">
    <w:name w:val="Default"/>
    <w:rsid w:val="007F539E"/>
    <w:pPr>
      <w:autoSpaceDE w:val="0"/>
      <w:autoSpaceDN w:val="0"/>
      <w:adjustRightInd w:val="0"/>
    </w:pPr>
    <w:rPr>
      <w:rFonts w:ascii="GCNAIO+Arial,Bold" w:hAnsi="GCNAIO+Arial,Bold" w:cs="GCNAIO+Arial,Bold"/>
      <w:color w:val="000000"/>
      <w:sz w:val="24"/>
      <w:szCs w:val="24"/>
      <w:lang w:eastAsia="en-US"/>
    </w:rPr>
  </w:style>
  <w:style w:type="paragraph" w:customStyle="1" w:styleId="TIT1">
    <w:name w:val="TIT1"/>
    <w:basedOn w:val="Default"/>
    <w:next w:val="Default"/>
    <w:uiPriority w:val="99"/>
    <w:rsid w:val="007F539E"/>
    <w:rPr>
      <w:rFonts w:cs="Times New Roman"/>
      <w:color w:val="auto"/>
    </w:rPr>
  </w:style>
  <w:style w:type="paragraph" w:customStyle="1" w:styleId="Textkrper">
    <w:name w:val="Textkörper"/>
    <w:basedOn w:val="Default"/>
    <w:next w:val="Default"/>
    <w:uiPriority w:val="99"/>
    <w:rsid w:val="007F539E"/>
    <w:rPr>
      <w:rFonts w:ascii="GCNAKE+Arial" w:hAnsi="GCNAKE+Arial" w:cs="Times New Roman"/>
      <w:color w:val="auto"/>
    </w:rPr>
  </w:style>
  <w:style w:type="character" w:customStyle="1" w:styleId="longtext">
    <w:name w:val="long_text"/>
    <w:basedOn w:val="DefaultParagraphFont"/>
    <w:rsid w:val="007F539E"/>
  </w:style>
  <w:style w:type="character" w:customStyle="1" w:styleId="longtext1">
    <w:name w:val="long_text1"/>
    <w:basedOn w:val="DefaultParagraphFont"/>
    <w:rsid w:val="007F539E"/>
    <w:rPr>
      <w:sz w:val="16"/>
      <w:szCs w:val="16"/>
    </w:rPr>
  </w:style>
  <w:style w:type="character" w:customStyle="1" w:styleId="mediumtext1">
    <w:name w:val="medium_text1"/>
    <w:basedOn w:val="DefaultParagraphFont"/>
    <w:rsid w:val="007F539E"/>
    <w:rPr>
      <w:sz w:val="24"/>
      <w:szCs w:val="24"/>
    </w:rPr>
  </w:style>
  <w:style w:type="paragraph" w:styleId="Index1">
    <w:name w:val="index 1"/>
    <w:basedOn w:val="Normal"/>
    <w:next w:val="Normal"/>
    <w:autoRedefine/>
    <w:uiPriority w:val="99"/>
    <w:semiHidden/>
    <w:unhideWhenUsed/>
    <w:rsid w:val="007F539E"/>
    <w:pPr>
      <w:spacing w:after="0" w:line="240" w:lineRule="auto"/>
      <w:ind w:left="220" w:hanging="220"/>
    </w:pPr>
  </w:style>
  <w:style w:type="character" w:styleId="PlaceholderText">
    <w:name w:val="Placeholder Text"/>
    <w:basedOn w:val="DefaultParagraphFont"/>
    <w:uiPriority w:val="99"/>
    <w:semiHidden/>
    <w:rsid w:val="007F539E"/>
    <w:rPr>
      <w:color w:val="808080"/>
    </w:rPr>
  </w:style>
  <w:style w:type="paragraph" w:styleId="BodyText">
    <w:name w:val="Body Text"/>
    <w:basedOn w:val="Normal"/>
    <w:link w:val="BodyTextChar"/>
    <w:uiPriority w:val="99"/>
    <w:unhideWhenUsed/>
    <w:rsid w:val="004006F0"/>
    <w:pPr>
      <w:autoSpaceDE w:val="0"/>
      <w:autoSpaceDN w:val="0"/>
      <w:spacing w:after="120" w:line="240" w:lineRule="auto"/>
    </w:pPr>
    <w:rPr>
      <w:rFonts w:ascii="Times New Roman" w:eastAsia="Times New Roman" w:hAnsi="Times New Roman"/>
      <w:sz w:val="20"/>
      <w:szCs w:val="20"/>
      <w:lang w:val="en-US"/>
    </w:rPr>
  </w:style>
  <w:style w:type="character" w:customStyle="1" w:styleId="BodyTextChar">
    <w:name w:val="Body Text Char"/>
    <w:basedOn w:val="DefaultParagraphFont"/>
    <w:link w:val="BodyText"/>
    <w:uiPriority w:val="99"/>
    <w:rsid w:val="004006F0"/>
    <w:rPr>
      <w:rFonts w:ascii="Times New Roman" w:eastAsia="Times New Roman" w:hAnsi="Times New Roman"/>
      <w:lang w:val="en-US" w:eastAsia="en-US"/>
    </w:rPr>
  </w:style>
</w:styles>
</file>

<file path=word/webSettings.xml><?xml version="1.0" encoding="utf-8"?>
<w:webSettings xmlns:r="http://schemas.openxmlformats.org/officeDocument/2006/relationships" xmlns:w="http://schemas.openxmlformats.org/wordprocessingml/2006/main">
  <w:divs>
    <w:div w:id="67122689">
      <w:bodyDiv w:val="1"/>
      <w:marLeft w:val="0"/>
      <w:marRight w:val="0"/>
      <w:marTop w:val="0"/>
      <w:marBottom w:val="0"/>
      <w:divBdr>
        <w:top w:val="none" w:sz="0" w:space="0" w:color="auto"/>
        <w:left w:val="none" w:sz="0" w:space="0" w:color="auto"/>
        <w:bottom w:val="none" w:sz="0" w:space="0" w:color="auto"/>
        <w:right w:val="none" w:sz="0" w:space="0" w:color="auto"/>
      </w:divBdr>
    </w:div>
    <w:div w:id="149174587">
      <w:bodyDiv w:val="1"/>
      <w:marLeft w:val="0"/>
      <w:marRight w:val="0"/>
      <w:marTop w:val="0"/>
      <w:marBottom w:val="0"/>
      <w:divBdr>
        <w:top w:val="none" w:sz="0" w:space="0" w:color="auto"/>
        <w:left w:val="none" w:sz="0" w:space="0" w:color="auto"/>
        <w:bottom w:val="none" w:sz="0" w:space="0" w:color="auto"/>
        <w:right w:val="none" w:sz="0" w:space="0" w:color="auto"/>
      </w:divBdr>
    </w:div>
    <w:div w:id="209463768">
      <w:bodyDiv w:val="1"/>
      <w:marLeft w:val="0"/>
      <w:marRight w:val="0"/>
      <w:marTop w:val="0"/>
      <w:marBottom w:val="0"/>
      <w:divBdr>
        <w:top w:val="none" w:sz="0" w:space="0" w:color="auto"/>
        <w:left w:val="none" w:sz="0" w:space="0" w:color="auto"/>
        <w:bottom w:val="none" w:sz="0" w:space="0" w:color="auto"/>
        <w:right w:val="none" w:sz="0" w:space="0" w:color="auto"/>
      </w:divBdr>
    </w:div>
    <w:div w:id="258371798">
      <w:bodyDiv w:val="1"/>
      <w:marLeft w:val="0"/>
      <w:marRight w:val="0"/>
      <w:marTop w:val="0"/>
      <w:marBottom w:val="0"/>
      <w:divBdr>
        <w:top w:val="none" w:sz="0" w:space="0" w:color="auto"/>
        <w:left w:val="none" w:sz="0" w:space="0" w:color="auto"/>
        <w:bottom w:val="none" w:sz="0" w:space="0" w:color="auto"/>
        <w:right w:val="none" w:sz="0" w:space="0" w:color="auto"/>
      </w:divBdr>
    </w:div>
    <w:div w:id="297565653">
      <w:bodyDiv w:val="1"/>
      <w:marLeft w:val="0"/>
      <w:marRight w:val="0"/>
      <w:marTop w:val="0"/>
      <w:marBottom w:val="0"/>
      <w:divBdr>
        <w:top w:val="none" w:sz="0" w:space="0" w:color="auto"/>
        <w:left w:val="none" w:sz="0" w:space="0" w:color="auto"/>
        <w:bottom w:val="none" w:sz="0" w:space="0" w:color="auto"/>
        <w:right w:val="none" w:sz="0" w:space="0" w:color="auto"/>
      </w:divBdr>
    </w:div>
    <w:div w:id="412354997">
      <w:bodyDiv w:val="1"/>
      <w:marLeft w:val="0"/>
      <w:marRight w:val="0"/>
      <w:marTop w:val="0"/>
      <w:marBottom w:val="0"/>
      <w:divBdr>
        <w:top w:val="none" w:sz="0" w:space="0" w:color="auto"/>
        <w:left w:val="none" w:sz="0" w:space="0" w:color="auto"/>
        <w:bottom w:val="none" w:sz="0" w:space="0" w:color="auto"/>
        <w:right w:val="none" w:sz="0" w:space="0" w:color="auto"/>
      </w:divBdr>
    </w:div>
    <w:div w:id="514660029">
      <w:bodyDiv w:val="1"/>
      <w:marLeft w:val="0"/>
      <w:marRight w:val="0"/>
      <w:marTop w:val="0"/>
      <w:marBottom w:val="0"/>
      <w:divBdr>
        <w:top w:val="none" w:sz="0" w:space="0" w:color="auto"/>
        <w:left w:val="none" w:sz="0" w:space="0" w:color="auto"/>
        <w:bottom w:val="none" w:sz="0" w:space="0" w:color="auto"/>
        <w:right w:val="none" w:sz="0" w:space="0" w:color="auto"/>
      </w:divBdr>
    </w:div>
    <w:div w:id="656343865">
      <w:bodyDiv w:val="1"/>
      <w:marLeft w:val="0"/>
      <w:marRight w:val="0"/>
      <w:marTop w:val="0"/>
      <w:marBottom w:val="0"/>
      <w:divBdr>
        <w:top w:val="none" w:sz="0" w:space="0" w:color="auto"/>
        <w:left w:val="none" w:sz="0" w:space="0" w:color="auto"/>
        <w:bottom w:val="none" w:sz="0" w:space="0" w:color="auto"/>
        <w:right w:val="none" w:sz="0" w:space="0" w:color="auto"/>
      </w:divBdr>
    </w:div>
    <w:div w:id="682631653">
      <w:bodyDiv w:val="1"/>
      <w:marLeft w:val="0"/>
      <w:marRight w:val="0"/>
      <w:marTop w:val="0"/>
      <w:marBottom w:val="0"/>
      <w:divBdr>
        <w:top w:val="none" w:sz="0" w:space="0" w:color="auto"/>
        <w:left w:val="none" w:sz="0" w:space="0" w:color="auto"/>
        <w:bottom w:val="none" w:sz="0" w:space="0" w:color="auto"/>
        <w:right w:val="none" w:sz="0" w:space="0" w:color="auto"/>
      </w:divBdr>
    </w:div>
    <w:div w:id="711030069">
      <w:bodyDiv w:val="1"/>
      <w:marLeft w:val="0"/>
      <w:marRight w:val="0"/>
      <w:marTop w:val="0"/>
      <w:marBottom w:val="0"/>
      <w:divBdr>
        <w:top w:val="none" w:sz="0" w:space="0" w:color="auto"/>
        <w:left w:val="none" w:sz="0" w:space="0" w:color="auto"/>
        <w:bottom w:val="none" w:sz="0" w:space="0" w:color="auto"/>
        <w:right w:val="none" w:sz="0" w:space="0" w:color="auto"/>
      </w:divBdr>
    </w:div>
    <w:div w:id="786847503">
      <w:bodyDiv w:val="1"/>
      <w:marLeft w:val="0"/>
      <w:marRight w:val="0"/>
      <w:marTop w:val="0"/>
      <w:marBottom w:val="0"/>
      <w:divBdr>
        <w:top w:val="none" w:sz="0" w:space="0" w:color="auto"/>
        <w:left w:val="none" w:sz="0" w:space="0" w:color="auto"/>
        <w:bottom w:val="none" w:sz="0" w:space="0" w:color="auto"/>
        <w:right w:val="none" w:sz="0" w:space="0" w:color="auto"/>
      </w:divBdr>
    </w:div>
    <w:div w:id="812403485">
      <w:bodyDiv w:val="1"/>
      <w:marLeft w:val="0"/>
      <w:marRight w:val="0"/>
      <w:marTop w:val="0"/>
      <w:marBottom w:val="0"/>
      <w:divBdr>
        <w:top w:val="none" w:sz="0" w:space="0" w:color="auto"/>
        <w:left w:val="none" w:sz="0" w:space="0" w:color="auto"/>
        <w:bottom w:val="none" w:sz="0" w:space="0" w:color="auto"/>
        <w:right w:val="none" w:sz="0" w:space="0" w:color="auto"/>
      </w:divBdr>
    </w:div>
    <w:div w:id="895774592">
      <w:bodyDiv w:val="1"/>
      <w:marLeft w:val="0"/>
      <w:marRight w:val="0"/>
      <w:marTop w:val="0"/>
      <w:marBottom w:val="0"/>
      <w:divBdr>
        <w:top w:val="none" w:sz="0" w:space="0" w:color="auto"/>
        <w:left w:val="none" w:sz="0" w:space="0" w:color="auto"/>
        <w:bottom w:val="none" w:sz="0" w:space="0" w:color="auto"/>
        <w:right w:val="none" w:sz="0" w:space="0" w:color="auto"/>
      </w:divBdr>
    </w:div>
    <w:div w:id="903294102">
      <w:bodyDiv w:val="1"/>
      <w:marLeft w:val="0"/>
      <w:marRight w:val="0"/>
      <w:marTop w:val="0"/>
      <w:marBottom w:val="0"/>
      <w:divBdr>
        <w:top w:val="none" w:sz="0" w:space="0" w:color="auto"/>
        <w:left w:val="none" w:sz="0" w:space="0" w:color="auto"/>
        <w:bottom w:val="none" w:sz="0" w:space="0" w:color="auto"/>
        <w:right w:val="none" w:sz="0" w:space="0" w:color="auto"/>
      </w:divBdr>
      <w:divsChild>
        <w:div w:id="284434541">
          <w:marLeft w:val="0"/>
          <w:marRight w:val="0"/>
          <w:marTop w:val="0"/>
          <w:marBottom w:val="0"/>
          <w:divBdr>
            <w:top w:val="none" w:sz="0" w:space="0" w:color="auto"/>
            <w:left w:val="none" w:sz="0" w:space="0" w:color="auto"/>
            <w:bottom w:val="none" w:sz="0" w:space="0" w:color="auto"/>
            <w:right w:val="none" w:sz="0" w:space="0" w:color="auto"/>
          </w:divBdr>
          <w:divsChild>
            <w:div w:id="2047168928">
              <w:marLeft w:val="0"/>
              <w:marRight w:val="0"/>
              <w:marTop w:val="0"/>
              <w:marBottom w:val="0"/>
              <w:divBdr>
                <w:top w:val="none" w:sz="0" w:space="0" w:color="auto"/>
                <w:left w:val="none" w:sz="0" w:space="0" w:color="auto"/>
                <w:bottom w:val="none" w:sz="0" w:space="0" w:color="auto"/>
                <w:right w:val="none" w:sz="0" w:space="0" w:color="auto"/>
              </w:divBdr>
              <w:divsChild>
                <w:div w:id="2125419245">
                  <w:marLeft w:val="0"/>
                  <w:marRight w:val="0"/>
                  <w:marTop w:val="0"/>
                  <w:marBottom w:val="0"/>
                  <w:divBdr>
                    <w:top w:val="none" w:sz="0" w:space="0" w:color="auto"/>
                    <w:left w:val="none" w:sz="0" w:space="0" w:color="auto"/>
                    <w:bottom w:val="none" w:sz="0" w:space="0" w:color="auto"/>
                    <w:right w:val="none" w:sz="0" w:space="0" w:color="auto"/>
                  </w:divBdr>
                  <w:divsChild>
                    <w:div w:id="5254268">
                      <w:marLeft w:val="0"/>
                      <w:marRight w:val="0"/>
                      <w:marTop w:val="0"/>
                      <w:marBottom w:val="0"/>
                      <w:divBdr>
                        <w:top w:val="none" w:sz="0" w:space="0" w:color="auto"/>
                        <w:left w:val="none" w:sz="0" w:space="0" w:color="auto"/>
                        <w:bottom w:val="none" w:sz="0" w:space="0" w:color="auto"/>
                        <w:right w:val="none" w:sz="0" w:space="0" w:color="auto"/>
                      </w:divBdr>
                    </w:div>
                    <w:div w:id="215241747">
                      <w:marLeft w:val="0"/>
                      <w:marRight w:val="0"/>
                      <w:marTop w:val="0"/>
                      <w:marBottom w:val="0"/>
                      <w:divBdr>
                        <w:top w:val="none" w:sz="0" w:space="0" w:color="auto"/>
                        <w:left w:val="none" w:sz="0" w:space="0" w:color="auto"/>
                        <w:bottom w:val="none" w:sz="0" w:space="0" w:color="auto"/>
                        <w:right w:val="none" w:sz="0" w:space="0" w:color="auto"/>
                      </w:divBdr>
                      <w:divsChild>
                        <w:div w:id="4796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56149">
          <w:marLeft w:val="0"/>
          <w:marRight w:val="0"/>
          <w:marTop w:val="0"/>
          <w:marBottom w:val="0"/>
          <w:divBdr>
            <w:top w:val="none" w:sz="0" w:space="0" w:color="auto"/>
            <w:left w:val="none" w:sz="0" w:space="0" w:color="auto"/>
            <w:bottom w:val="none" w:sz="0" w:space="0" w:color="auto"/>
            <w:right w:val="none" w:sz="0" w:space="0" w:color="auto"/>
          </w:divBdr>
          <w:divsChild>
            <w:div w:id="236523959">
              <w:marLeft w:val="0"/>
              <w:marRight w:val="0"/>
              <w:marTop w:val="0"/>
              <w:marBottom w:val="0"/>
              <w:divBdr>
                <w:top w:val="none" w:sz="0" w:space="0" w:color="auto"/>
                <w:left w:val="none" w:sz="0" w:space="0" w:color="auto"/>
                <w:bottom w:val="none" w:sz="0" w:space="0" w:color="auto"/>
                <w:right w:val="none" w:sz="0" w:space="0" w:color="auto"/>
              </w:divBdr>
              <w:divsChild>
                <w:div w:id="936642841">
                  <w:marLeft w:val="0"/>
                  <w:marRight w:val="0"/>
                  <w:marTop w:val="0"/>
                  <w:marBottom w:val="0"/>
                  <w:divBdr>
                    <w:top w:val="none" w:sz="0" w:space="0" w:color="auto"/>
                    <w:left w:val="none" w:sz="0" w:space="0" w:color="auto"/>
                    <w:bottom w:val="none" w:sz="0" w:space="0" w:color="auto"/>
                    <w:right w:val="none" w:sz="0" w:space="0" w:color="auto"/>
                  </w:divBdr>
                </w:div>
              </w:divsChild>
            </w:div>
            <w:div w:id="655260036">
              <w:marLeft w:val="0"/>
              <w:marRight w:val="0"/>
              <w:marTop w:val="0"/>
              <w:marBottom w:val="0"/>
              <w:divBdr>
                <w:top w:val="none" w:sz="0" w:space="0" w:color="auto"/>
                <w:left w:val="none" w:sz="0" w:space="0" w:color="auto"/>
                <w:bottom w:val="none" w:sz="0" w:space="0" w:color="auto"/>
                <w:right w:val="none" w:sz="0" w:space="0" w:color="auto"/>
              </w:divBdr>
              <w:divsChild>
                <w:div w:id="949430499">
                  <w:marLeft w:val="0"/>
                  <w:marRight w:val="0"/>
                  <w:marTop w:val="0"/>
                  <w:marBottom w:val="0"/>
                  <w:divBdr>
                    <w:top w:val="none" w:sz="0" w:space="0" w:color="auto"/>
                    <w:left w:val="none" w:sz="0" w:space="0" w:color="auto"/>
                    <w:bottom w:val="none" w:sz="0" w:space="0" w:color="auto"/>
                    <w:right w:val="none" w:sz="0" w:space="0" w:color="auto"/>
                  </w:divBdr>
                </w:div>
              </w:divsChild>
            </w:div>
            <w:div w:id="1547832165">
              <w:marLeft w:val="0"/>
              <w:marRight w:val="0"/>
              <w:marTop w:val="0"/>
              <w:marBottom w:val="0"/>
              <w:divBdr>
                <w:top w:val="none" w:sz="0" w:space="0" w:color="auto"/>
                <w:left w:val="none" w:sz="0" w:space="0" w:color="auto"/>
                <w:bottom w:val="none" w:sz="0" w:space="0" w:color="auto"/>
                <w:right w:val="none" w:sz="0" w:space="0" w:color="auto"/>
              </w:divBdr>
              <w:divsChild>
                <w:div w:id="1929122016">
                  <w:marLeft w:val="0"/>
                  <w:marRight w:val="0"/>
                  <w:marTop w:val="0"/>
                  <w:marBottom w:val="0"/>
                  <w:divBdr>
                    <w:top w:val="none" w:sz="0" w:space="0" w:color="auto"/>
                    <w:left w:val="none" w:sz="0" w:space="0" w:color="auto"/>
                    <w:bottom w:val="none" w:sz="0" w:space="0" w:color="auto"/>
                    <w:right w:val="none" w:sz="0" w:space="0" w:color="auto"/>
                  </w:divBdr>
                  <w:divsChild>
                    <w:div w:id="82825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73185">
      <w:bodyDiv w:val="1"/>
      <w:marLeft w:val="0"/>
      <w:marRight w:val="0"/>
      <w:marTop w:val="0"/>
      <w:marBottom w:val="0"/>
      <w:divBdr>
        <w:top w:val="none" w:sz="0" w:space="0" w:color="auto"/>
        <w:left w:val="none" w:sz="0" w:space="0" w:color="auto"/>
        <w:bottom w:val="none" w:sz="0" w:space="0" w:color="auto"/>
        <w:right w:val="none" w:sz="0" w:space="0" w:color="auto"/>
      </w:divBdr>
    </w:div>
    <w:div w:id="1186167671">
      <w:bodyDiv w:val="1"/>
      <w:marLeft w:val="0"/>
      <w:marRight w:val="0"/>
      <w:marTop w:val="0"/>
      <w:marBottom w:val="0"/>
      <w:divBdr>
        <w:top w:val="none" w:sz="0" w:space="0" w:color="auto"/>
        <w:left w:val="none" w:sz="0" w:space="0" w:color="auto"/>
        <w:bottom w:val="none" w:sz="0" w:space="0" w:color="auto"/>
        <w:right w:val="none" w:sz="0" w:space="0" w:color="auto"/>
      </w:divBdr>
    </w:div>
    <w:div w:id="1261449965">
      <w:bodyDiv w:val="1"/>
      <w:marLeft w:val="0"/>
      <w:marRight w:val="0"/>
      <w:marTop w:val="0"/>
      <w:marBottom w:val="0"/>
      <w:divBdr>
        <w:top w:val="none" w:sz="0" w:space="0" w:color="auto"/>
        <w:left w:val="none" w:sz="0" w:space="0" w:color="auto"/>
        <w:bottom w:val="none" w:sz="0" w:space="0" w:color="auto"/>
        <w:right w:val="none" w:sz="0" w:space="0" w:color="auto"/>
      </w:divBdr>
    </w:div>
    <w:div w:id="1367213977">
      <w:bodyDiv w:val="1"/>
      <w:marLeft w:val="0"/>
      <w:marRight w:val="0"/>
      <w:marTop w:val="0"/>
      <w:marBottom w:val="0"/>
      <w:divBdr>
        <w:top w:val="none" w:sz="0" w:space="0" w:color="auto"/>
        <w:left w:val="none" w:sz="0" w:space="0" w:color="auto"/>
        <w:bottom w:val="none" w:sz="0" w:space="0" w:color="auto"/>
        <w:right w:val="none" w:sz="0" w:space="0" w:color="auto"/>
      </w:divBdr>
    </w:div>
    <w:div w:id="1568568596">
      <w:bodyDiv w:val="1"/>
      <w:marLeft w:val="0"/>
      <w:marRight w:val="0"/>
      <w:marTop w:val="0"/>
      <w:marBottom w:val="0"/>
      <w:divBdr>
        <w:top w:val="none" w:sz="0" w:space="0" w:color="auto"/>
        <w:left w:val="none" w:sz="0" w:space="0" w:color="auto"/>
        <w:bottom w:val="none" w:sz="0" w:space="0" w:color="auto"/>
        <w:right w:val="none" w:sz="0" w:space="0" w:color="auto"/>
      </w:divBdr>
    </w:div>
    <w:div w:id="1794472958">
      <w:bodyDiv w:val="1"/>
      <w:marLeft w:val="0"/>
      <w:marRight w:val="0"/>
      <w:marTop w:val="0"/>
      <w:marBottom w:val="0"/>
      <w:divBdr>
        <w:top w:val="none" w:sz="0" w:space="0" w:color="auto"/>
        <w:left w:val="none" w:sz="0" w:space="0" w:color="auto"/>
        <w:bottom w:val="none" w:sz="0" w:space="0" w:color="auto"/>
        <w:right w:val="none" w:sz="0" w:space="0" w:color="auto"/>
      </w:divBdr>
    </w:div>
    <w:div w:id="1827550615">
      <w:bodyDiv w:val="1"/>
      <w:marLeft w:val="0"/>
      <w:marRight w:val="0"/>
      <w:marTop w:val="0"/>
      <w:marBottom w:val="0"/>
      <w:divBdr>
        <w:top w:val="none" w:sz="0" w:space="0" w:color="auto"/>
        <w:left w:val="none" w:sz="0" w:space="0" w:color="auto"/>
        <w:bottom w:val="none" w:sz="0" w:space="0" w:color="auto"/>
        <w:right w:val="none" w:sz="0" w:space="0" w:color="auto"/>
      </w:divBdr>
    </w:div>
    <w:div w:id="1928347971">
      <w:bodyDiv w:val="1"/>
      <w:marLeft w:val="0"/>
      <w:marRight w:val="0"/>
      <w:marTop w:val="0"/>
      <w:marBottom w:val="0"/>
      <w:divBdr>
        <w:top w:val="none" w:sz="0" w:space="0" w:color="auto"/>
        <w:left w:val="none" w:sz="0" w:space="0" w:color="auto"/>
        <w:bottom w:val="none" w:sz="0" w:space="0" w:color="auto"/>
        <w:right w:val="none" w:sz="0" w:space="0" w:color="auto"/>
      </w:divBdr>
    </w:div>
    <w:div w:id="1996300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Inal%C3%A1mbrico" TargetMode="External"/><Relationship Id="rId21" Type="http://schemas.openxmlformats.org/officeDocument/2006/relationships/hyperlink" Target="http://es.wikipedia.org/wiki/Charles-Augustin_de_Coulomb" TargetMode="External"/><Relationship Id="rId42" Type="http://schemas.openxmlformats.org/officeDocument/2006/relationships/hyperlink" Target="http://es.wikipedia.org/wiki/Rayos_X" TargetMode="External"/><Relationship Id="rId63" Type="http://schemas.openxmlformats.org/officeDocument/2006/relationships/hyperlink" Target="http://es.wikipedia.org/wiki/Ionizar" TargetMode="External"/><Relationship Id="rId84" Type="http://schemas.openxmlformats.org/officeDocument/2006/relationships/hyperlink" Target="http://es.wikipedia.org/wiki/Onda_de_presi%C3%B3n" TargetMode="External"/><Relationship Id="rId138" Type="http://schemas.openxmlformats.org/officeDocument/2006/relationships/hyperlink" Target="http://es.wikipedia.org/wiki/Sector_de_Desarrollo_de_las_Telecomunicaciones_de_la_UIT" TargetMode="External"/><Relationship Id="rId159" Type="http://schemas.openxmlformats.org/officeDocument/2006/relationships/image" Target="media/image51.png"/><Relationship Id="rId170" Type="http://schemas.openxmlformats.org/officeDocument/2006/relationships/image" Target="media/image62.png"/><Relationship Id="rId191" Type="http://schemas.openxmlformats.org/officeDocument/2006/relationships/chart" Target="charts/chart13.xml"/><Relationship Id="rId205" Type="http://schemas.openxmlformats.org/officeDocument/2006/relationships/chart" Target="charts/chart19.xml"/><Relationship Id="rId226" Type="http://schemas.openxmlformats.org/officeDocument/2006/relationships/image" Target="media/image81.png"/><Relationship Id="rId107" Type="http://schemas.openxmlformats.org/officeDocument/2006/relationships/hyperlink" Target="http://es.wikipedia.org/wiki/Fotograf%C3%ADa_digital" TargetMode="External"/><Relationship Id="rId11" Type="http://schemas.openxmlformats.org/officeDocument/2006/relationships/hyperlink" Target="http://es.wikipedia.org/wiki/Red_de_%C3%A1rea_local" TargetMode="External"/><Relationship Id="rId32" Type="http://schemas.openxmlformats.org/officeDocument/2006/relationships/image" Target="media/image6.png"/><Relationship Id="rId53" Type="http://schemas.openxmlformats.org/officeDocument/2006/relationships/hyperlink" Target="http://es.wikipedia.org/wiki/Electr%C3%B3n" TargetMode="External"/><Relationship Id="rId74" Type="http://schemas.openxmlformats.org/officeDocument/2006/relationships/image" Target="media/image11.jpeg"/><Relationship Id="rId128" Type="http://schemas.openxmlformats.org/officeDocument/2006/relationships/image" Target="media/image27.png"/><Relationship Id="rId149" Type="http://schemas.openxmlformats.org/officeDocument/2006/relationships/image" Target="media/image41.jpeg"/><Relationship Id="rId5" Type="http://schemas.openxmlformats.org/officeDocument/2006/relationships/webSettings" Target="webSettings.xml"/><Relationship Id="rId95" Type="http://schemas.openxmlformats.org/officeDocument/2006/relationships/hyperlink" Target="http://es.wikipedia.org/wiki/Cosmolog%C3%ADa" TargetMode="External"/><Relationship Id="rId160" Type="http://schemas.openxmlformats.org/officeDocument/2006/relationships/image" Target="media/image52.png"/><Relationship Id="rId181" Type="http://schemas.openxmlformats.org/officeDocument/2006/relationships/chart" Target="charts/chart3.xml"/><Relationship Id="rId216" Type="http://schemas.openxmlformats.org/officeDocument/2006/relationships/chart" Target="charts/chart30.xml"/><Relationship Id="rId22" Type="http://schemas.openxmlformats.org/officeDocument/2006/relationships/hyperlink" Target="http://es.wikipedia.org/wiki/Carl_Friedrich_Gauss" TargetMode="External"/><Relationship Id="rId27" Type="http://schemas.openxmlformats.org/officeDocument/2006/relationships/hyperlink" Target="http://es.wikipedia.org/wiki/Fuerza_de_Lorentz" TargetMode="External"/><Relationship Id="rId43" Type="http://schemas.openxmlformats.org/officeDocument/2006/relationships/hyperlink" Target="http://es.wikipedia.org/wiki/Luz_ultravioleta" TargetMode="External"/><Relationship Id="rId48" Type="http://schemas.openxmlformats.org/officeDocument/2006/relationships/hyperlink" Target="http://es.wikipedia.org/wiki/Universo_observable" TargetMode="External"/><Relationship Id="rId64" Type="http://schemas.openxmlformats.org/officeDocument/2006/relationships/hyperlink" Target="http://es.wikipedia.org/wiki/Frecuencia" TargetMode="External"/><Relationship Id="rId69" Type="http://schemas.openxmlformats.org/officeDocument/2006/relationships/hyperlink" Target="http://es.wikipedia.org/wiki/Radiaci%C3%B3n_ionizante" TargetMode="External"/><Relationship Id="rId113" Type="http://schemas.openxmlformats.org/officeDocument/2006/relationships/image" Target="media/image17.png"/><Relationship Id="rId118" Type="http://schemas.openxmlformats.org/officeDocument/2006/relationships/hyperlink" Target="http://es.wikipedia.org/wiki/Red_de_%C3%A1rea_local" TargetMode="External"/><Relationship Id="rId134" Type="http://schemas.openxmlformats.org/officeDocument/2006/relationships/hyperlink" Target="http://es.wikipedia.org/wiki/Organizaci%C3%B3n_de_las_Naciones_Unidas" TargetMode="External"/><Relationship Id="rId139" Type="http://schemas.openxmlformats.org/officeDocument/2006/relationships/hyperlink" Target="http://es.wikipedia.org/wiki/Sector_de_Desarrollo_de_las_Telecomunicaciones_de_la_UIT" TargetMode="External"/><Relationship Id="rId80" Type="http://schemas.openxmlformats.org/officeDocument/2006/relationships/hyperlink" Target="http://es.wikipedia.org/wiki/Infrarrojo" TargetMode="External"/><Relationship Id="rId85" Type="http://schemas.openxmlformats.org/officeDocument/2006/relationships/hyperlink" Target="http://es.wikipedia.org/wiki/Velocidad_del_sonido" TargetMode="External"/><Relationship Id="rId150" Type="http://schemas.openxmlformats.org/officeDocument/2006/relationships/image" Target="media/image42.png"/><Relationship Id="rId155" Type="http://schemas.openxmlformats.org/officeDocument/2006/relationships/image" Target="media/image47.png"/><Relationship Id="rId171" Type="http://schemas.openxmlformats.org/officeDocument/2006/relationships/image" Target="media/image63.png"/><Relationship Id="rId176" Type="http://schemas.openxmlformats.org/officeDocument/2006/relationships/image" Target="media/image68.png"/><Relationship Id="rId192" Type="http://schemas.openxmlformats.org/officeDocument/2006/relationships/chart" Target="charts/chart14.xml"/><Relationship Id="rId197" Type="http://schemas.openxmlformats.org/officeDocument/2006/relationships/image" Target="media/image72.png"/><Relationship Id="rId206" Type="http://schemas.openxmlformats.org/officeDocument/2006/relationships/chart" Target="charts/chart20.xml"/><Relationship Id="rId227" Type="http://schemas.openxmlformats.org/officeDocument/2006/relationships/image" Target="media/image82.png"/><Relationship Id="rId201" Type="http://schemas.openxmlformats.org/officeDocument/2006/relationships/image" Target="media/image76.png"/><Relationship Id="rId222" Type="http://schemas.openxmlformats.org/officeDocument/2006/relationships/chart" Target="charts/chart36.xml"/><Relationship Id="rId12" Type="http://schemas.openxmlformats.org/officeDocument/2006/relationships/hyperlink" Target="http://es.wikipedia.org/wiki/Sector_de_Normalizaci%C3%B3n_de_las_Telecomunicaciones_de_la_UIT" TargetMode="External"/><Relationship Id="rId17" Type="http://schemas.openxmlformats.org/officeDocument/2006/relationships/image" Target="media/image3.png"/><Relationship Id="rId33" Type="http://schemas.openxmlformats.org/officeDocument/2006/relationships/image" Target="media/image7.png"/><Relationship Id="rId38" Type="http://schemas.openxmlformats.org/officeDocument/2006/relationships/hyperlink" Target="http://es.wikipedia.org/wiki/Espectro_de_absorci%C3%B3n" TargetMode="External"/><Relationship Id="rId59" Type="http://schemas.openxmlformats.org/officeDocument/2006/relationships/hyperlink" Target="http://es.wikipedia.org/wiki/Part%C3%ADcula_subat%C3%B3mica" TargetMode="External"/><Relationship Id="rId103" Type="http://schemas.openxmlformats.org/officeDocument/2006/relationships/hyperlink" Target="http://es.wikipedia.org/wiki/MP3" TargetMode="External"/><Relationship Id="rId108" Type="http://schemas.openxmlformats.org/officeDocument/2006/relationships/hyperlink" Target="http://es.wikipedia.org/wiki/Video_digital" TargetMode="External"/><Relationship Id="rId124" Type="http://schemas.openxmlformats.org/officeDocument/2006/relationships/image" Target="media/image23.png"/><Relationship Id="rId129" Type="http://schemas.openxmlformats.org/officeDocument/2006/relationships/image" Target="media/image28.jpeg"/><Relationship Id="rId54" Type="http://schemas.openxmlformats.org/officeDocument/2006/relationships/hyperlink" Target="http://es.wikipedia.org/wiki/Part%C3%ADcula_alfa" TargetMode="External"/><Relationship Id="rId70" Type="http://schemas.openxmlformats.org/officeDocument/2006/relationships/hyperlink" Target="http://es.wikipedia.org/wiki/L%C3%A1ser" TargetMode="External"/><Relationship Id="rId75" Type="http://schemas.openxmlformats.org/officeDocument/2006/relationships/image" Target="media/image12.png"/><Relationship Id="rId91" Type="http://schemas.openxmlformats.org/officeDocument/2006/relationships/hyperlink" Target="http://es.wikipedia.org/wiki/Longitud_de_onda" TargetMode="External"/><Relationship Id="rId96" Type="http://schemas.openxmlformats.org/officeDocument/2006/relationships/image" Target="media/image13.png"/><Relationship Id="rId140" Type="http://schemas.openxmlformats.org/officeDocument/2006/relationships/hyperlink" Target="http://es.wikipedia.org/wiki/Ingenier%C3%ADa_el%C3%A9ctrica" TargetMode="External"/><Relationship Id="rId145" Type="http://schemas.openxmlformats.org/officeDocument/2006/relationships/image" Target="media/image37.jpeg"/><Relationship Id="rId161" Type="http://schemas.openxmlformats.org/officeDocument/2006/relationships/image" Target="media/image53.png"/><Relationship Id="rId166" Type="http://schemas.openxmlformats.org/officeDocument/2006/relationships/image" Target="media/image58.png"/><Relationship Id="rId182" Type="http://schemas.openxmlformats.org/officeDocument/2006/relationships/chart" Target="charts/chart4.xml"/><Relationship Id="rId187" Type="http://schemas.openxmlformats.org/officeDocument/2006/relationships/chart" Target="charts/chart9.xml"/><Relationship Id="rId217"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chart" Target="charts/chart26.xml"/><Relationship Id="rId233" Type="http://schemas.openxmlformats.org/officeDocument/2006/relationships/theme" Target="theme/theme1.xml"/><Relationship Id="rId23" Type="http://schemas.openxmlformats.org/officeDocument/2006/relationships/hyperlink" Target="http://es.wikipedia.org/wiki/Andr%C3%A9-Marie_Amp%C3%A8re" TargetMode="External"/><Relationship Id="rId28" Type="http://schemas.openxmlformats.org/officeDocument/2006/relationships/hyperlink" Target="http://es.wikipedia.org/wiki/Relatividad_especial" TargetMode="External"/><Relationship Id="rId49" Type="http://schemas.openxmlformats.org/officeDocument/2006/relationships/hyperlink" Target="http://es.wikipedia.org/wiki/Infinito" TargetMode="External"/><Relationship Id="rId114" Type="http://schemas.openxmlformats.org/officeDocument/2006/relationships/image" Target="media/image18.png"/><Relationship Id="rId119" Type="http://schemas.openxmlformats.org/officeDocument/2006/relationships/image" Target="media/image20.png"/><Relationship Id="rId44" Type="http://schemas.openxmlformats.org/officeDocument/2006/relationships/hyperlink" Target="http://es.wikipedia.org/wiki/Luz" TargetMode="External"/><Relationship Id="rId60" Type="http://schemas.openxmlformats.org/officeDocument/2006/relationships/hyperlink" Target="http://es.wikipedia.org/w/index.php?title=Excitaciones_electr%C3%B3nicas&amp;action=edit&amp;redlink=1" TargetMode="External"/><Relationship Id="rId65" Type="http://schemas.openxmlformats.org/officeDocument/2006/relationships/hyperlink" Target="http://es.wikipedia.org/wiki/Fot%C3%B3n" TargetMode="External"/><Relationship Id="rId81" Type="http://schemas.openxmlformats.org/officeDocument/2006/relationships/hyperlink" Target="http://es.wikipedia.org/wiki/Espectro_visible" TargetMode="External"/><Relationship Id="rId86" Type="http://schemas.openxmlformats.org/officeDocument/2006/relationships/hyperlink" Target="http://es.wikipedia.org/wiki/Ondas_electromagn%C3%A9ticas" TargetMode="External"/><Relationship Id="rId130" Type="http://schemas.openxmlformats.org/officeDocument/2006/relationships/image" Target="media/image29.png"/><Relationship Id="rId135" Type="http://schemas.openxmlformats.org/officeDocument/2006/relationships/hyperlink" Target="http://es.wikipedia.org/wiki/Telecomunicaci%C3%B3n" TargetMode="External"/><Relationship Id="rId151" Type="http://schemas.openxmlformats.org/officeDocument/2006/relationships/image" Target="media/image43.png"/><Relationship Id="rId156" Type="http://schemas.openxmlformats.org/officeDocument/2006/relationships/image" Target="media/image48.png"/><Relationship Id="rId177" Type="http://schemas.openxmlformats.org/officeDocument/2006/relationships/image" Target="media/image69.png"/><Relationship Id="rId198" Type="http://schemas.openxmlformats.org/officeDocument/2006/relationships/image" Target="media/image73.png"/><Relationship Id="rId172" Type="http://schemas.openxmlformats.org/officeDocument/2006/relationships/image" Target="media/image64.png"/><Relationship Id="rId193" Type="http://schemas.openxmlformats.org/officeDocument/2006/relationships/chart" Target="charts/chart15.xml"/><Relationship Id="rId202" Type="http://schemas.openxmlformats.org/officeDocument/2006/relationships/image" Target="media/image77.png"/><Relationship Id="rId207" Type="http://schemas.openxmlformats.org/officeDocument/2006/relationships/chart" Target="charts/chart21.xml"/><Relationship Id="rId223" Type="http://schemas.openxmlformats.org/officeDocument/2006/relationships/chart" Target="charts/chart37.xml"/><Relationship Id="rId228" Type="http://schemas.openxmlformats.org/officeDocument/2006/relationships/image" Target="media/image83.png"/><Relationship Id="rId13" Type="http://schemas.openxmlformats.org/officeDocument/2006/relationships/hyperlink" Target="http://es.wikipedia.org/wiki/CCIR" TargetMode="External"/><Relationship Id="rId18" Type="http://schemas.openxmlformats.org/officeDocument/2006/relationships/image" Target="media/image4.png"/><Relationship Id="rId39" Type="http://schemas.openxmlformats.org/officeDocument/2006/relationships/hyperlink" Target="http://es.wikipedia.org/wiki/Longitud_de_onda" TargetMode="External"/><Relationship Id="rId109" Type="http://schemas.openxmlformats.org/officeDocument/2006/relationships/hyperlink" Target="http://es.wikipedia.org/wiki/Videollamada" TargetMode="External"/><Relationship Id="rId34" Type="http://schemas.openxmlformats.org/officeDocument/2006/relationships/image" Target="media/image8.png"/><Relationship Id="rId50" Type="http://schemas.openxmlformats.org/officeDocument/2006/relationships/image" Target="media/image9.png"/><Relationship Id="rId55" Type="http://schemas.openxmlformats.org/officeDocument/2006/relationships/hyperlink" Target="http://es.wikipedia.org/wiki/Part%C3%ADcula_beta" TargetMode="External"/><Relationship Id="rId76" Type="http://schemas.openxmlformats.org/officeDocument/2006/relationships/hyperlink" Target="http://es.wikipedia.org/wiki/Microondas" TargetMode="External"/><Relationship Id="rId97" Type="http://schemas.openxmlformats.org/officeDocument/2006/relationships/image" Target="media/image14.jpeg"/><Relationship Id="rId104" Type="http://schemas.openxmlformats.org/officeDocument/2006/relationships/hyperlink" Target="http://es.wikipedia.org/wiki/Correo_electr%C3%B3nico" TargetMode="External"/><Relationship Id="rId120" Type="http://schemas.openxmlformats.org/officeDocument/2006/relationships/hyperlink" Target="http://es.wikipedia.org/wiki/Punto_de_acceso" TargetMode="External"/><Relationship Id="rId125" Type="http://schemas.openxmlformats.org/officeDocument/2006/relationships/image" Target="media/image24.png"/><Relationship Id="rId141" Type="http://schemas.openxmlformats.org/officeDocument/2006/relationships/image" Target="media/image33.png"/><Relationship Id="rId146" Type="http://schemas.openxmlformats.org/officeDocument/2006/relationships/image" Target="media/image38.jpeg"/><Relationship Id="rId167" Type="http://schemas.openxmlformats.org/officeDocument/2006/relationships/image" Target="media/image59.png"/><Relationship Id="rId188" Type="http://schemas.openxmlformats.org/officeDocument/2006/relationships/chart" Target="charts/chart10.xml"/><Relationship Id="rId7" Type="http://schemas.openxmlformats.org/officeDocument/2006/relationships/endnotes" Target="endnotes.xml"/><Relationship Id="rId71" Type="http://schemas.openxmlformats.org/officeDocument/2006/relationships/hyperlink" Target="http://es.wikipedia.org/w/index.php?title=Ionizaci%C3%B3n_no_lineal&amp;action=edit&amp;redlink=1" TargetMode="External"/><Relationship Id="rId92" Type="http://schemas.openxmlformats.org/officeDocument/2006/relationships/hyperlink" Target="http://es.wikipedia.org/wiki/Luz_visible" TargetMode="External"/><Relationship Id="rId162" Type="http://schemas.openxmlformats.org/officeDocument/2006/relationships/image" Target="media/image54.png"/><Relationship Id="rId183" Type="http://schemas.openxmlformats.org/officeDocument/2006/relationships/chart" Target="charts/chart5.xml"/><Relationship Id="rId213" Type="http://schemas.openxmlformats.org/officeDocument/2006/relationships/chart" Target="charts/chart27.xml"/><Relationship Id="rId218" Type="http://schemas.openxmlformats.org/officeDocument/2006/relationships/chart" Target="charts/chart32.xml"/><Relationship Id="rId2" Type="http://schemas.openxmlformats.org/officeDocument/2006/relationships/numbering" Target="numbering.xml"/><Relationship Id="rId29" Type="http://schemas.openxmlformats.org/officeDocument/2006/relationships/hyperlink" Target="http://es.wikipedia.org/wiki/Relatividad_general" TargetMode="External"/><Relationship Id="rId24" Type="http://schemas.openxmlformats.org/officeDocument/2006/relationships/hyperlink" Target="http://es.wikipedia.org/wiki/Michael_Faraday" TargetMode="External"/><Relationship Id="rId40" Type="http://schemas.openxmlformats.org/officeDocument/2006/relationships/hyperlink" Target="http://es.wikipedia.org/wiki/Frecuencia" TargetMode="External"/><Relationship Id="rId45" Type="http://schemas.openxmlformats.org/officeDocument/2006/relationships/hyperlink" Target="http://es.wikipedia.org/wiki/Rayos_infrarrojos" TargetMode="External"/><Relationship Id="rId66" Type="http://schemas.openxmlformats.org/officeDocument/2006/relationships/hyperlink" Target="http://es.wikipedia.org/w/index.php?title=Ionizaci%C3%B3n_no_lineal&amp;action=edit&amp;redlink=1" TargetMode="External"/><Relationship Id="rId87" Type="http://schemas.openxmlformats.org/officeDocument/2006/relationships/hyperlink" Target="http://es.wikipedia.org/wiki/Velocidad_de_la_luz" TargetMode="External"/><Relationship Id="rId110" Type="http://schemas.openxmlformats.org/officeDocument/2006/relationships/hyperlink" Target="http://es.wikipedia.org/wiki/Internet" TargetMode="External"/><Relationship Id="rId115" Type="http://schemas.openxmlformats.org/officeDocument/2006/relationships/image" Target="media/image19.jpeg"/><Relationship Id="rId131" Type="http://schemas.openxmlformats.org/officeDocument/2006/relationships/image" Target="media/image30.png"/><Relationship Id="rId136" Type="http://schemas.openxmlformats.org/officeDocument/2006/relationships/hyperlink" Target="http://es.wikipedia.org/wiki/Sector_de_Normalizaci%C3%B3n_de_las_Telecomunicaciones_de_la_UIT" TargetMode="External"/><Relationship Id="rId157" Type="http://schemas.openxmlformats.org/officeDocument/2006/relationships/image" Target="media/image49.png"/><Relationship Id="rId178" Type="http://schemas.openxmlformats.org/officeDocument/2006/relationships/image" Target="media/image70.png"/><Relationship Id="rId61" Type="http://schemas.openxmlformats.org/officeDocument/2006/relationships/hyperlink" Target="http://es.wikipedia.org/wiki/Radiaci%C3%B3n_electromagn%C3%A9tica" TargetMode="External"/><Relationship Id="rId82" Type="http://schemas.openxmlformats.org/officeDocument/2006/relationships/hyperlink" Target="http://es.wikipedia.org/wiki/Audiofrecuencia" TargetMode="External"/><Relationship Id="rId152" Type="http://schemas.openxmlformats.org/officeDocument/2006/relationships/image" Target="media/image44.png"/><Relationship Id="rId173" Type="http://schemas.openxmlformats.org/officeDocument/2006/relationships/image" Target="media/image65.png"/><Relationship Id="rId194" Type="http://schemas.openxmlformats.org/officeDocument/2006/relationships/chart" Target="charts/chart16.xml"/><Relationship Id="rId199" Type="http://schemas.openxmlformats.org/officeDocument/2006/relationships/image" Target="media/image74.png"/><Relationship Id="rId203" Type="http://schemas.openxmlformats.org/officeDocument/2006/relationships/image" Target="media/image78.png"/><Relationship Id="rId208" Type="http://schemas.openxmlformats.org/officeDocument/2006/relationships/chart" Target="charts/chart22.xml"/><Relationship Id="rId229" Type="http://schemas.openxmlformats.org/officeDocument/2006/relationships/image" Target="media/image84.png"/><Relationship Id="rId19" Type="http://schemas.openxmlformats.org/officeDocument/2006/relationships/hyperlink" Target="http://es.wikipedia.org/wiki/Electromagnetismo" TargetMode="External"/><Relationship Id="rId224" Type="http://schemas.openxmlformats.org/officeDocument/2006/relationships/image" Target="media/image79.png"/><Relationship Id="rId14" Type="http://schemas.openxmlformats.org/officeDocument/2006/relationships/hyperlink" Target="http://es.wikipedia.org/wiki/Sector_de_Desarrollo_de_las_Telecomunicaciones_de_la_UIT" TargetMode="External"/><Relationship Id="rId30" Type="http://schemas.openxmlformats.org/officeDocument/2006/relationships/hyperlink" Target="http://es.wikipedia.org/wiki/Velocidad_de_la_luz" TargetMode="External"/><Relationship Id="rId35" Type="http://schemas.openxmlformats.org/officeDocument/2006/relationships/hyperlink" Target="http://es.wikipedia.org/wiki/Onda_electromagn%C3%A9tica" TargetMode="External"/><Relationship Id="rId56" Type="http://schemas.openxmlformats.org/officeDocument/2006/relationships/hyperlink" Target="http://es.wikipedia.org/wiki/Rayo_gamma" TargetMode="External"/><Relationship Id="rId77" Type="http://schemas.openxmlformats.org/officeDocument/2006/relationships/hyperlink" Target="http://es.wikipedia.org/wiki/Absorci%C3%B3n_(%C3%B3ptica)" TargetMode="External"/><Relationship Id="rId100" Type="http://schemas.openxmlformats.org/officeDocument/2006/relationships/hyperlink" Target="http://es.wikipedia.org/wiki/1983" TargetMode="External"/><Relationship Id="rId105" Type="http://schemas.openxmlformats.org/officeDocument/2006/relationships/hyperlink" Target="http://es.wikipedia.org/wiki/Servicio_de_mensajes_cortos" TargetMode="External"/><Relationship Id="rId126" Type="http://schemas.openxmlformats.org/officeDocument/2006/relationships/image" Target="media/image25.png"/><Relationship Id="rId147" Type="http://schemas.openxmlformats.org/officeDocument/2006/relationships/image" Target="media/image39.png"/><Relationship Id="rId168"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hyperlink" Target="http://es.wikipedia.org/wiki/Radiaci%C3%B3n" TargetMode="External"/><Relationship Id="rId72" Type="http://schemas.openxmlformats.org/officeDocument/2006/relationships/image" Target="media/image10.jpeg"/><Relationship Id="rId93" Type="http://schemas.openxmlformats.org/officeDocument/2006/relationships/hyperlink" Target="http://es.wikipedia.org/wiki/Formaci%C3%B3n_estelar" TargetMode="External"/><Relationship Id="rId98" Type="http://schemas.openxmlformats.org/officeDocument/2006/relationships/image" Target="media/image15.png"/><Relationship Id="rId121" Type="http://schemas.openxmlformats.org/officeDocument/2006/relationships/image" Target="media/image21.png"/><Relationship Id="rId142" Type="http://schemas.openxmlformats.org/officeDocument/2006/relationships/image" Target="media/image34.png"/><Relationship Id="rId163" Type="http://schemas.openxmlformats.org/officeDocument/2006/relationships/image" Target="media/image55.png"/><Relationship Id="rId184" Type="http://schemas.openxmlformats.org/officeDocument/2006/relationships/chart" Target="charts/chart6.xml"/><Relationship Id="rId189" Type="http://schemas.openxmlformats.org/officeDocument/2006/relationships/chart" Target="charts/chart11.xml"/><Relationship Id="rId219" Type="http://schemas.openxmlformats.org/officeDocument/2006/relationships/chart" Target="charts/chart33.xml"/><Relationship Id="rId3" Type="http://schemas.openxmlformats.org/officeDocument/2006/relationships/styles" Target="styles.xml"/><Relationship Id="rId214" Type="http://schemas.openxmlformats.org/officeDocument/2006/relationships/chart" Target="charts/chart28.xml"/><Relationship Id="rId230" Type="http://schemas.openxmlformats.org/officeDocument/2006/relationships/image" Target="media/image85.png"/><Relationship Id="rId25" Type="http://schemas.openxmlformats.org/officeDocument/2006/relationships/hyperlink" Target="http://es.wikipedia.org/wiki/Campo_electromagn%C3%A9tico" TargetMode="External"/><Relationship Id="rId46" Type="http://schemas.openxmlformats.org/officeDocument/2006/relationships/hyperlink" Target="http://es.wikipedia.org/wiki/Radiofrecuencia" TargetMode="External"/><Relationship Id="rId67" Type="http://schemas.openxmlformats.org/officeDocument/2006/relationships/hyperlink" Target="http://es.wikipedia.org/wiki/Rayos_X" TargetMode="External"/><Relationship Id="rId116" Type="http://schemas.openxmlformats.org/officeDocument/2006/relationships/hyperlink" Target="http://es.wikipedia.org/wiki/Idioma_ingl%C3%A9s" TargetMode="External"/><Relationship Id="rId137" Type="http://schemas.openxmlformats.org/officeDocument/2006/relationships/hyperlink" Target="http://es.wikipedia.org/wiki/CCIR" TargetMode="External"/><Relationship Id="rId158" Type="http://schemas.openxmlformats.org/officeDocument/2006/relationships/image" Target="media/image50.png"/><Relationship Id="rId20" Type="http://schemas.openxmlformats.org/officeDocument/2006/relationships/hyperlink" Target="http://es.wikipedia.org/wiki/James_Clerk_Maxwell" TargetMode="External"/><Relationship Id="rId41" Type="http://schemas.openxmlformats.org/officeDocument/2006/relationships/hyperlink" Target="http://es.wikipedia.org/wiki/Rayos_gamma" TargetMode="External"/><Relationship Id="rId62" Type="http://schemas.openxmlformats.org/officeDocument/2006/relationships/hyperlink" Target="http://es.wikipedia.org/wiki/Electrones" TargetMode="External"/><Relationship Id="rId83" Type="http://schemas.openxmlformats.org/officeDocument/2006/relationships/hyperlink" Target="http://es.wikipedia.org/wiki/Hz" TargetMode="External"/><Relationship Id="rId88" Type="http://schemas.openxmlformats.org/officeDocument/2006/relationships/hyperlink" Target="http://es.wikipedia.org/wiki/Televisi%C3%B3n" TargetMode="External"/><Relationship Id="rId111" Type="http://schemas.openxmlformats.org/officeDocument/2006/relationships/hyperlink" Target="http://es.wikipedia.org/wiki/Televisi%C3%B3n_digital" TargetMode="External"/><Relationship Id="rId132" Type="http://schemas.openxmlformats.org/officeDocument/2006/relationships/image" Target="media/image31.png"/><Relationship Id="rId153" Type="http://schemas.openxmlformats.org/officeDocument/2006/relationships/image" Target="media/image45.png"/><Relationship Id="rId174" Type="http://schemas.openxmlformats.org/officeDocument/2006/relationships/image" Target="media/image66.png"/><Relationship Id="rId179" Type="http://schemas.openxmlformats.org/officeDocument/2006/relationships/chart" Target="charts/chart1.xml"/><Relationship Id="rId195" Type="http://schemas.openxmlformats.org/officeDocument/2006/relationships/chart" Target="charts/chart17.xml"/><Relationship Id="rId209" Type="http://schemas.openxmlformats.org/officeDocument/2006/relationships/chart" Target="charts/chart23.xml"/><Relationship Id="rId190" Type="http://schemas.openxmlformats.org/officeDocument/2006/relationships/chart" Target="charts/chart12.xml"/><Relationship Id="rId204" Type="http://schemas.openxmlformats.org/officeDocument/2006/relationships/chart" Target="charts/chart18.xml"/><Relationship Id="rId220" Type="http://schemas.openxmlformats.org/officeDocument/2006/relationships/chart" Target="charts/chart34.xml"/><Relationship Id="rId225" Type="http://schemas.openxmlformats.org/officeDocument/2006/relationships/image" Target="media/image80.png"/><Relationship Id="rId15" Type="http://schemas.openxmlformats.org/officeDocument/2006/relationships/hyperlink" Target="http://es.wikipedia.org/wiki/Sector_de_Desarrollo_de_las_Telecomunicaciones_de_la_UIT" TargetMode="External"/><Relationship Id="rId36" Type="http://schemas.openxmlformats.org/officeDocument/2006/relationships/hyperlink" Target="http://es.wikipedia.org/wiki/Radiaci%C3%B3n_electromagn%C3%A9tica" TargetMode="External"/><Relationship Id="rId57" Type="http://schemas.openxmlformats.org/officeDocument/2006/relationships/hyperlink" Target="http://es.wikipedia.org/wiki/Rayos_X" TargetMode="External"/><Relationship Id="rId106" Type="http://schemas.openxmlformats.org/officeDocument/2006/relationships/hyperlink" Target="http://es.wikipedia.org/wiki/PDA" TargetMode="External"/><Relationship Id="rId127" Type="http://schemas.openxmlformats.org/officeDocument/2006/relationships/image" Target="media/image26.png"/><Relationship Id="rId10" Type="http://schemas.openxmlformats.org/officeDocument/2006/relationships/header" Target="header2.xml"/><Relationship Id="rId31" Type="http://schemas.openxmlformats.org/officeDocument/2006/relationships/hyperlink" Target="http://es.wikipedia.org/wiki/Radiaci%C3%B3n_electromagn%C3%A9tica" TargetMode="External"/><Relationship Id="rId52" Type="http://schemas.openxmlformats.org/officeDocument/2006/relationships/hyperlink" Target="http://es.wikipedia.org/wiki/Ionizar" TargetMode="External"/><Relationship Id="rId73" Type="http://schemas.openxmlformats.org/officeDocument/2006/relationships/hyperlink" Target="http://www.sagan-gea.org/hojared_radiacion/paginas/Radiacion_no%20ionizante.html" TargetMode="External"/><Relationship Id="rId78" Type="http://schemas.openxmlformats.org/officeDocument/2006/relationships/hyperlink" Target="http://es.wikipedia.org/wiki/Radiaci%C3%B3n_electromagn%C3%A9tica" TargetMode="External"/><Relationship Id="rId94" Type="http://schemas.openxmlformats.org/officeDocument/2006/relationships/hyperlink" Target="http://es.wikipedia.org/wiki/Galaxia_activa" TargetMode="External"/><Relationship Id="rId99" Type="http://schemas.openxmlformats.org/officeDocument/2006/relationships/hyperlink" Target="http://www.moviles.us/telefonos/mensajes/numeros/caracteristicas_del_telefono_movil/" TargetMode="External"/><Relationship Id="rId101" Type="http://schemas.openxmlformats.org/officeDocument/2006/relationships/hyperlink" Target="http://es.wikipedia.org/wiki/Gramo" TargetMode="External"/><Relationship Id="rId122" Type="http://schemas.openxmlformats.org/officeDocument/2006/relationships/hyperlink" Target="http://es.wikipedia.org/wiki/Onda_electromagn%C3%A9tica" TargetMode="External"/><Relationship Id="rId143" Type="http://schemas.openxmlformats.org/officeDocument/2006/relationships/image" Target="media/image35.jpeg"/><Relationship Id="rId148" Type="http://schemas.openxmlformats.org/officeDocument/2006/relationships/image" Target="media/image40.png"/><Relationship Id="rId164" Type="http://schemas.openxmlformats.org/officeDocument/2006/relationships/image" Target="media/image56.png"/><Relationship Id="rId169" Type="http://schemas.openxmlformats.org/officeDocument/2006/relationships/image" Target="media/image61.png"/><Relationship Id="rId185"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chart" Target="charts/chart2.xml"/><Relationship Id="rId210" Type="http://schemas.openxmlformats.org/officeDocument/2006/relationships/chart" Target="charts/chart24.xml"/><Relationship Id="rId215" Type="http://schemas.openxmlformats.org/officeDocument/2006/relationships/chart" Target="charts/chart29.xml"/><Relationship Id="rId26" Type="http://schemas.openxmlformats.org/officeDocument/2006/relationships/image" Target="media/image5.png"/><Relationship Id="rId231" Type="http://schemas.openxmlformats.org/officeDocument/2006/relationships/image" Target="media/image86.png"/><Relationship Id="rId47" Type="http://schemas.openxmlformats.org/officeDocument/2006/relationships/hyperlink" Target="http://es.wikipedia.org/wiki/Longitud_de_Planck" TargetMode="External"/><Relationship Id="rId68" Type="http://schemas.openxmlformats.org/officeDocument/2006/relationships/hyperlink" Target="http://es.wikipedia.org/wiki/Rayos_gamma" TargetMode="External"/><Relationship Id="rId89" Type="http://schemas.openxmlformats.org/officeDocument/2006/relationships/hyperlink" Target="http://es.wikipedia.org/wiki/Radio_(medio_de_comunicaci%C3%B3n)" TargetMode="External"/><Relationship Id="rId112" Type="http://schemas.openxmlformats.org/officeDocument/2006/relationships/hyperlink" Target="http://es.wikipedia.org/w/index.php?title=Localizador&amp;action=edit&amp;redlink=1" TargetMode="External"/><Relationship Id="rId133" Type="http://schemas.openxmlformats.org/officeDocument/2006/relationships/image" Target="media/image32.png"/><Relationship Id="rId154" Type="http://schemas.openxmlformats.org/officeDocument/2006/relationships/image" Target="media/image46.png"/><Relationship Id="rId175" Type="http://schemas.openxmlformats.org/officeDocument/2006/relationships/image" Target="media/image67.png"/><Relationship Id="rId196" Type="http://schemas.openxmlformats.org/officeDocument/2006/relationships/image" Target="media/image71.png"/><Relationship Id="rId200" Type="http://schemas.openxmlformats.org/officeDocument/2006/relationships/image" Target="media/image75.png"/><Relationship Id="rId16" Type="http://schemas.openxmlformats.org/officeDocument/2006/relationships/image" Target="media/image2.png"/><Relationship Id="rId221" Type="http://schemas.openxmlformats.org/officeDocument/2006/relationships/chart" Target="charts/chart35.xml"/><Relationship Id="rId37" Type="http://schemas.openxmlformats.org/officeDocument/2006/relationships/hyperlink" Target="http://es.wikipedia.org/wiki/Espectro_de_emisi%C3%B3n" TargetMode="External"/><Relationship Id="rId58" Type="http://schemas.openxmlformats.org/officeDocument/2006/relationships/hyperlink" Target="http://es.wikipedia.org/wiki/Onda" TargetMode="External"/><Relationship Id="rId79" Type="http://schemas.openxmlformats.org/officeDocument/2006/relationships/hyperlink" Target="http://es.wikipedia.org/wiki/Atm%C3%B3sfera_terrestre" TargetMode="External"/><Relationship Id="rId102" Type="http://schemas.openxmlformats.org/officeDocument/2006/relationships/image" Target="media/image16.png"/><Relationship Id="rId123" Type="http://schemas.openxmlformats.org/officeDocument/2006/relationships/image" Target="media/image22.png"/><Relationship Id="rId144" Type="http://schemas.openxmlformats.org/officeDocument/2006/relationships/image" Target="media/image36.jpeg"/><Relationship Id="rId90" Type="http://schemas.openxmlformats.org/officeDocument/2006/relationships/hyperlink" Target="http://es.wikipedia.org/wiki/Telefon%C3%ADa_m%C3%B3vil" TargetMode="External"/><Relationship Id="rId165" Type="http://schemas.openxmlformats.org/officeDocument/2006/relationships/image" Target="media/image57.png"/><Relationship Id="rId186" Type="http://schemas.openxmlformats.org/officeDocument/2006/relationships/chart" Target="charts/chart8.xml"/><Relationship Id="rId211" Type="http://schemas.openxmlformats.org/officeDocument/2006/relationships/chart" Target="charts/chart25.xml"/><Relationship Id="rId23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Telefon%C3%ADa_m%C3%B3vil" TargetMode="External"/><Relationship Id="rId2" Type="http://schemas.openxmlformats.org/officeDocument/2006/relationships/hyperlink" Target="http://www.santaursula.es/ayto/fileadmin/archivos_de_editores/Documentos/Medio-Ambiente/mesaredonda/Bases_biol_gicas_para_normativas_de_protecci_n.pdf" TargetMode="External"/><Relationship Id="rId1" Type="http://schemas.openxmlformats.org/officeDocument/2006/relationships/hyperlink" Target="http://html.rincondelvago.com/carga-electrica-y-electricidad.html" TargetMode="External"/><Relationship Id="rId4" Type="http://schemas.openxmlformats.org/officeDocument/2006/relationships/hyperlink" Target="http://es.wikipedia.org/wiki/Telefon%C3%ADa_m%C3%B3vi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ALKIR\Desktop\irni\tabla%20de%20medicion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ALKIR\Desktop\irni\tabla%20de%20medicion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ALKIR\Desktop\irni\tabla%20de%20mediciones.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WALKIR\Desktop\irni\limites%20rni%20calculo.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WALKIR\Desktop\irni\grafica%20valore%20vs%20limit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WALKIR\Desktop\irni\limites%20rni%20calcul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ALKIR\Desktop\irni\tabla%20de%20medicione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ALKIR\Desktop\irni\tabla%20de%20medicion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ALKIR\Desktop\irni\tabla%20de%20medicion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sz="1600"/>
            </a:pPr>
            <a:r>
              <a:rPr lang="es-ES" sz="1400"/>
              <a:t>Valor</a:t>
            </a:r>
            <a:r>
              <a:rPr lang="es-ES" sz="1400" baseline="0"/>
              <a:t> Prom. E [V/m]</a:t>
            </a:r>
            <a:r>
              <a:rPr lang="es-ES" sz="1400"/>
              <a:t> Mediciones</a:t>
            </a:r>
            <a:r>
              <a:rPr lang="es-ES" sz="1400" baseline="0"/>
              <a:t> WLAN </a:t>
            </a:r>
            <a:endParaRPr lang="es-ES" sz="1400"/>
          </a:p>
        </c:rich>
      </c:tx>
      <c:layout>
        <c:manualLayout>
          <c:xMode val="edge"/>
          <c:yMode val="edge"/>
          <c:x val="0.21652320264090721"/>
          <c:y val="6.4215326025424055E-2"/>
        </c:manualLayout>
      </c:layout>
    </c:title>
    <c:view3D>
      <c:rotX val="70"/>
      <c:depthPercent val="100"/>
      <c:rAngAx val="1"/>
    </c:view3D>
    <c:plotArea>
      <c:layout/>
      <c:bar3DChart>
        <c:barDir val="col"/>
        <c:grouping val="clustered"/>
        <c:ser>
          <c:idx val="0"/>
          <c:order val="0"/>
          <c:tx>
            <c:v>Procedimiento de Medición 1</c:v>
          </c:tx>
          <c:val>
            <c:numRef>
              <c:f>'Comp % por porcedi'!$Q$6:$Q$39</c:f>
              <c:numCache>
                <c:formatCode>0.000</c:formatCode>
                <c:ptCount val="34"/>
                <c:pt idx="0">
                  <c:v>1.2215999999999823</c:v>
                </c:pt>
                <c:pt idx="1">
                  <c:v>0.27116666666666966</c:v>
                </c:pt>
                <c:pt idx="2">
                  <c:v>0.24840000000000192</c:v>
                </c:pt>
                <c:pt idx="3">
                  <c:v>0.26943333333333325</c:v>
                </c:pt>
                <c:pt idx="4">
                  <c:v>0.98453333333333326</c:v>
                </c:pt>
                <c:pt idx="5">
                  <c:v>0.57381666666666653</c:v>
                </c:pt>
                <c:pt idx="6">
                  <c:v>0.45643333333333325</c:v>
                </c:pt>
                <c:pt idx="7">
                  <c:v>1.5693333333333335</c:v>
                </c:pt>
                <c:pt idx="8">
                  <c:v>0.63930000000000065</c:v>
                </c:pt>
                <c:pt idx="9">
                  <c:v>0.62473333333334125</c:v>
                </c:pt>
                <c:pt idx="10">
                  <c:v>1.3856666666666666</c:v>
                </c:pt>
                <c:pt idx="11">
                  <c:v>0.65140000000000065</c:v>
                </c:pt>
                <c:pt idx="12">
                  <c:v>2.8579999999999997</c:v>
                </c:pt>
                <c:pt idx="13">
                  <c:v>1.2233333333333334</c:v>
                </c:pt>
                <c:pt idx="14">
                  <c:v>0.29463333333333325</c:v>
                </c:pt>
                <c:pt idx="15">
                  <c:v>1.0617666666666659</c:v>
                </c:pt>
                <c:pt idx="16">
                  <c:v>1.1399999999999864</c:v>
                </c:pt>
                <c:pt idx="17">
                  <c:v>1.3903333333333341</c:v>
                </c:pt>
                <c:pt idx="18">
                  <c:v>0.29856666666667125</c:v>
                </c:pt>
                <c:pt idx="19">
                  <c:v>1.1225666666666667</c:v>
                </c:pt>
                <c:pt idx="20">
                  <c:v>0.69146666666666656</c:v>
                </c:pt>
                <c:pt idx="21">
                  <c:v>0.5409333333333336</c:v>
                </c:pt>
                <c:pt idx="22">
                  <c:v>0.44230000000000202</c:v>
                </c:pt>
                <c:pt idx="23">
                  <c:v>0.7395333333333336</c:v>
                </c:pt>
                <c:pt idx="24">
                  <c:v>1.5216666666666658</c:v>
                </c:pt>
                <c:pt idx="25">
                  <c:v>1.1266666666666667</c:v>
                </c:pt>
                <c:pt idx="26">
                  <c:v>1.0496666666666659</c:v>
                </c:pt>
                <c:pt idx="27">
                  <c:v>0.99046666666665817</c:v>
                </c:pt>
                <c:pt idx="28">
                  <c:v>0.55343333333333333</c:v>
                </c:pt>
                <c:pt idx="29">
                  <c:v>1.264</c:v>
                </c:pt>
                <c:pt idx="30">
                  <c:v>0.99346666666665839</c:v>
                </c:pt>
                <c:pt idx="31">
                  <c:v>0.74813333333333365</c:v>
                </c:pt>
                <c:pt idx="32">
                  <c:v>2.0673333333333352</c:v>
                </c:pt>
                <c:pt idx="33">
                  <c:v>1.1886666666666665</c:v>
                </c:pt>
              </c:numCache>
            </c:numRef>
          </c:val>
        </c:ser>
        <c:ser>
          <c:idx val="1"/>
          <c:order val="1"/>
          <c:tx>
            <c:v>Procedimiento de Medición 2</c:v>
          </c:tx>
          <c:val>
            <c:numRef>
              <c:f>'Comp % por porcedi'!$R$6:$R$39</c:f>
              <c:numCache>
                <c:formatCode>0.000</c:formatCode>
                <c:ptCount val="34"/>
                <c:pt idx="0">
                  <c:v>1.5416666666666659</c:v>
                </c:pt>
                <c:pt idx="1">
                  <c:v>1.3353333333333335</c:v>
                </c:pt>
                <c:pt idx="2">
                  <c:v>0.5551333333333337</c:v>
                </c:pt>
                <c:pt idx="3">
                  <c:v>0.63023333333333365</c:v>
                </c:pt>
                <c:pt idx="4">
                  <c:v>0.66536666666666666</c:v>
                </c:pt>
                <c:pt idx="5">
                  <c:v>0.89446666666666275</c:v>
                </c:pt>
                <c:pt idx="6">
                  <c:v>0.60503333333333364</c:v>
                </c:pt>
                <c:pt idx="7">
                  <c:v>1.8006666666666664</c:v>
                </c:pt>
                <c:pt idx="8">
                  <c:v>0.46050000000000002</c:v>
                </c:pt>
                <c:pt idx="9">
                  <c:v>0.76553333333333362</c:v>
                </c:pt>
                <c:pt idx="10">
                  <c:v>0.44250000000000161</c:v>
                </c:pt>
                <c:pt idx="11">
                  <c:v>0.38500000000000345</c:v>
                </c:pt>
                <c:pt idx="12">
                  <c:v>0.29896666666667215</c:v>
                </c:pt>
                <c:pt idx="13">
                  <c:v>0.62326666666666652</c:v>
                </c:pt>
                <c:pt idx="14">
                  <c:v>0.62456666666666649</c:v>
                </c:pt>
                <c:pt idx="15">
                  <c:v>4.3833333333333524</c:v>
                </c:pt>
                <c:pt idx="16">
                  <c:v>1.5499999999999816</c:v>
                </c:pt>
                <c:pt idx="17">
                  <c:v>1.9203333333333341</c:v>
                </c:pt>
                <c:pt idx="18">
                  <c:v>0.87453333333333361</c:v>
                </c:pt>
                <c:pt idx="19">
                  <c:v>1.1566666666666667</c:v>
                </c:pt>
                <c:pt idx="20">
                  <c:v>0.86016666666666652</c:v>
                </c:pt>
                <c:pt idx="21">
                  <c:v>0.91896666666666649</c:v>
                </c:pt>
                <c:pt idx="22">
                  <c:v>1.0956999999999866</c:v>
                </c:pt>
                <c:pt idx="23">
                  <c:v>0.88280000000000369</c:v>
                </c:pt>
                <c:pt idx="24">
                  <c:v>1.9569999999999916</c:v>
                </c:pt>
                <c:pt idx="25">
                  <c:v>1.6039999999999845</c:v>
                </c:pt>
                <c:pt idx="26">
                  <c:v>1.819</c:v>
                </c:pt>
                <c:pt idx="27">
                  <c:v>2.7733333333333352</c:v>
                </c:pt>
                <c:pt idx="28">
                  <c:v>1.3986666666666665</c:v>
                </c:pt>
                <c:pt idx="29">
                  <c:v>2.0080000000000005</c:v>
                </c:pt>
                <c:pt idx="30">
                  <c:v>1.1076666666666666</c:v>
                </c:pt>
                <c:pt idx="31">
                  <c:v>0.87630000000000063</c:v>
                </c:pt>
                <c:pt idx="32">
                  <c:v>1.5366666666666668</c:v>
                </c:pt>
                <c:pt idx="33">
                  <c:v>1.1459666666666666</c:v>
                </c:pt>
              </c:numCache>
            </c:numRef>
          </c:val>
        </c:ser>
        <c:shape val="box"/>
        <c:axId val="84407040"/>
        <c:axId val="84408576"/>
        <c:axId val="0"/>
      </c:bar3DChart>
      <c:catAx>
        <c:axId val="84407040"/>
        <c:scaling>
          <c:orientation val="minMax"/>
        </c:scaling>
        <c:delete val="1"/>
        <c:axPos val="b"/>
        <c:majorTickMark val="none"/>
        <c:tickLblPos val="none"/>
        <c:crossAx val="84408576"/>
        <c:crosses val="autoZero"/>
        <c:auto val="1"/>
        <c:lblAlgn val="ctr"/>
        <c:lblOffset val="100"/>
      </c:catAx>
      <c:valAx>
        <c:axId val="84408576"/>
        <c:scaling>
          <c:orientation val="minMax"/>
        </c:scaling>
        <c:axPos val="l"/>
        <c:majorGridlines/>
        <c:minorGridlines/>
        <c:numFmt formatCode="0.000" sourceLinked="1"/>
        <c:majorTickMark val="none"/>
        <c:tickLblPos val="nextTo"/>
        <c:crossAx val="84407040"/>
        <c:crosses val="autoZero"/>
        <c:crossBetween val="between"/>
      </c:valAx>
    </c:plotArea>
    <c:legend>
      <c:legendPos val="b"/>
      <c:layout>
        <c:manualLayout>
          <c:xMode val="edge"/>
          <c:yMode val="edge"/>
          <c:x val="0.72322677407259572"/>
          <c:y val="0.17801449114635626"/>
          <c:w val="0.24599852437800121"/>
          <c:h val="0.23982588444050126"/>
        </c:manualLayout>
      </c:layout>
      <c:spPr>
        <a:solidFill>
          <a:srgbClr val="FFFF99">
            <a:alpha val="60000"/>
          </a:srgbClr>
        </a:solidFill>
        <a:ln>
          <a:solidFill>
            <a:schemeClr val="bg2">
              <a:lumMod val="75000"/>
            </a:schemeClr>
          </a:solidFill>
        </a:ln>
      </c:spPr>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style val="5"/>
  <c:chart>
    <c:title>
      <c:tx>
        <c:rich>
          <a:bodyPr/>
          <a:lstStyle/>
          <a:p>
            <a:pPr>
              <a:defRPr/>
            </a:pPr>
            <a:r>
              <a:rPr lang="en-US" sz="1200"/>
              <a:t>% Desviación Máxima de Mediciones Banda Celular Movistar ( Procedimiento 1)</a:t>
            </a:r>
            <a:endParaRPr lang="es-ES" sz="1200"/>
          </a:p>
        </c:rich>
      </c:tx>
      <c:layout>
        <c:manualLayout>
          <c:xMode val="edge"/>
          <c:yMode val="edge"/>
          <c:x val="0.13637138498814286"/>
          <c:y val="3.2394913306256191E-2"/>
        </c:manualLayout>
      </c:layout>
    </c:title>
    <c:plotArea>
      <c:layout/>
      <c:barChart>
        <c:barDir val="col"/>
        <c:grouping val="clustered"/>
        <c:ser>
          <c:idx val="0"/>
          <c:order val="0"/>
          <c:tx>
            <c:strRef>
              <c:f>'% Max Desviacion narda'!$N$132</c:f>
              <c:strCache>
                <c:ptCount val="1"/>
                <c:pt idx="0">
                  <c:v>Número de Mediciones Edificios Cercanos</c:v>
                </c:pt>
              </c:strCache>
            </c:strRef>
          </c:tx>
          <c:cat>
            <c:strRef>
              <c:f>'% Max Desviacion narda'!$O$131:$R$131</c:f>
              <c:strCache>
                <c:ptCount val="4"/>
                <c:pt idx="0">
                  <c:v>&lt; 10%</c:v>
                </c:pt>
                <c:pt idx="1">
                  <c:v> 10 a 20%</c:v>
                </c:pt>
                <c:pt idx="2">
                  <c:v> 20 a 30%</c:v>
                </c:pt>
                <c:pt idx="3">
                  <c:v>&gt; 30%</c:v>
                </c:pt>
              </c:strCache>
            </c:strRef>
          </c:cat>
          <c:val>
            <c:numRef>
              <c:f>'% Max Desviacion narda'!$O$132:$R$132</c:f>
              <c:numCache>
                <c:formatCode>General</c:formatCode>
                <c:ptCount val="4"/>
                <c:pt idx="0">
                  <c:v>6</c:v>
                </c:pt>
                <c:pt idx="1">
                  <c:v>10</c:v>
                </c:pt>
                <c:pt idx="2">
                  <c:v>4</c:v>
                </c:pt>
                <c:pt idx="3">
                  <c:v>0</c:v>
                </c:pt>
              </c:numCache>
            </c:numRef>
          </c:val>
        </c:ser>
        <c:axId val="90486272"/>
        <c:axId val="90487808"/>
      </c:barChart>
      <c:catAx>
        <c:axId val="90486272"/>
        <c:scaling>
          <c:orientation val="minMax"/>
        </c:scaling>
        <c:axPos val="b"/>
        <c:tickLblPos val="nextTo"/>
        <c:crossAx val="90487808"/>
        <c:crosses val="autoZero"/>
        <c:auto val="1"/>
        <c:lblAlgn val="ctr"/>
        <c:lblOffset val="100"/>
      </c:catAx>
      <c:valAx>
        <c:axId val="90487808"/>
        <c:scaling>
          <c:orientation val="minMax"/>
        </c:scaling>
        <c:axPos val="l"/>
        <c:majorGridlines/>
        <c:numFmt formatCode="General" sourceLinked="1"/>
        <c:tickLblPos val="nextTo"/>
        <c:crossAx val="90486272"/>
        <c:crosses val="autoZero"/>
        <c:crossBetween val="between"/>
      </c:valAx>
    </c:plotArea>
    <c:legend>
      <c:legendPos val="b"/>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a:pPr>
            <a:r>
              <a:rPr lang="en-US" sz="1400"/>
              <a:t>% Desviación Máxima de Mediciones WLAN (Procedimiento 2)</a:t>
            </a:r>
          </a:p>
        </c:rich>
      </c:tx>
      <c:layout>
        <c:manualLayout>
          <c:xMode val="edge"/>
          <c:yMode val="edge"/>
          <c:x val="0.11632710402061362"/>
          <c:y val="1.8518518518518583E-2"/>
        </c:manualLayout>
      </c:layout>
    </c:title>
    <c:plotArea>
      <c:layout/>
      <c:barChart>
        <c:barDir val="col"/>
        <c:grouping val="clustered"/>
        <c:ser>
          <c:idx val="0"/>
          <c:order val="0"/>
          <c:tx>
            <c:strRef>
              <c:f>'% Max Desviacion F.Nose'!$M$8</c:f>
              <c:strCache>
                <c:ptCount val="1"/>
                <c:pt idx="0">
                  <c:v>Número de Mediciones</c:v>
                </c:pt>
              </c:strCache>
            </c:strRef>
          </c:tx>
          <c:cat>
            <c:strRef>
              <c:f>'% Max Desviacion F.Nose'!$N$7:$R$7</c:f>
              <c:strCache>
                <c:ptCount val="5"/>
                <c:pt idx="0">
                  <c:v>&lt; 10%</c:v>
                </c:pt>
                <c:pt idx="1">
                  <c:v> 10 a 20%</c:v>
                </c:pt>
                <c:pt idx="2">
                  <c:v> 20 a 30%</c:v>
                </c:pt>
                <c:pt idx="3">
                  <c:v> 30 a 40%</c:v>
                </c:pt>
                <c:pt idx="4">
                  <c:v>&gt; 40%</c:v>
                </c:pt>
              </c:strCache>
            </c:strRef>
          </c:cat>
          <c:val>
            <c:numRef>
              <c:f>'% Max Desviacion F.Nose'!$N$8:$R$8</c:f>
              <c:numCache>
                <c:formatCode>General</c:formatCode>
                <c:ptCount val="5"/>
                <c:pt idx="0">
                  <c:v>14</c:v>
                </c:pt>
                <c:pt idx="1">
                  <c:v>8</c:v>
                </c:pt>
                <c:pt idx="2">
                  <c:v>9</c:v>
                </c:pt>
                <c:pt idx="3">
                  <c:v>3</c:v>
                </c:pt>
                <c:pt idx="4">
                  <c:v>0</c:v>
                </c:pt>
              </c:numCache>
            </c:numRef>
          </c:val>
        </c:ser>
        <c:axId val="90548864"/>
        <c:axId val="90554752"/>
      </c:barChart>
      <c:catAx>
        <c:axId val="90548864"/>
        <c:scaling>
          <c:orientation val="minMax"/>
        </c:scaling>
        <c:axPos val="b"/>
        <c:tickLblPos val="nextTo"/>
        <c:crossAx val="90554752"/>
        <c:crosses val="autoZero"/>
        <c:auto val="1"/>
        <c:lblAlgn val="ctr"/>
        <c:lblOffset val="100"/>
      </c:catAx>
      <c:valAx>
        <c:axId val="90554752"/>
        <c:scaling>
          <c:orientation val="minMax"/>
        </c:scaling>
        <c:axPos val="l"/>
        <c:majorGridlines/>
        <c:numFmt formatCode="General" sourceLinked="1"/>
        <c:tickLblPos val="nextTo"/>
        <c:crossAx val="90548864"/>
        <c:crosses val="autoZero"/>
        <c:crossBetween val="between"/>
      </c:valAx>
    </c:plotArea>
    <c:legend>
      <c:legendPos val="b"/>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n-US" sz="1300"/>
              <a:t>% Desviación Máxima de Mediciones Banda Celular Porta ( Procedimiento 2)</a:t>
            </a:r>
            <a:endParaRPr lang="es-ES" sz="1300"/>
          </a:p>
        </c:rich>
      </c:tx>
      <c:layout>
        <c:manualLayout>
          <c:xMode val="edge"/>
          <c:yMode val="edge"/>
          <c:x val="0.13503203744440687"/>
          <c:y val="0"/>
        </c:manualLayout>
      </c:layout>
    </c:title>
    <c:plotArea>
      <c:layout/>
      <c:barChart>
        <c:barDir val="col"/>
        <c:grouping val="clustered"/>
        <c:ser>
          <c:idx val="0"/>
          <c:order val="0"/>
          <c:tx>
            <c:v>Número de Mediciones Edificios Cercanos</c:v>
          </c:tx>
          <c:cat>
            <c:strRef>
              <c:f>'% Max Desviacion F.Nose'!$N$74:$S$74</c:f>
              <c:strCache>
                <c:ptCount val="6"/>
                <c:pt idx="0">
                  <c:v>&lt; 10%</c:v>
                </c:pt>
                <c:pt idx="1">
                  <c:v> 10 a 20%</c:v>
                </c:pt>
                <c:pt idx="2">
                  <c:v> 20 a 30%</c:v>
                </c:pt>
                <c:pt idx="3">
                  <c:v> 30 a 40%</c:v>
                </c:pt>
                <c:pt idx="4">
                  <c:v> 40 a 50%</c:v>
                </c:pt>
                <c:pt idx="5">
                  <c:v>&gt; 50%</c:v>
                </c:pt>
              </c:strCache>
            </c:strRef>
          </c:cat>
          <c:val>
            <c:numRef>
              <c:f>'% Max Desviacion F.Nose'!$N$75:$S$75</c:f>
              <c:numCache>
                <c:formatCode>General</c:formatCode>
                <c:ptCount val="6"/>
                <c:pt idx="0">
                  <c:v>4</c:v>
                </c:pt>
                <c:pt idx="1">
                  <c:v>8</c:v>
                </c:pt>
                <c:pt idx="2">
                  <c:v>9</c:v>
                </c:pt>
                <c:pt idx="3">
                  <c:v>2</c:v>
                </c:pt>
                <c:pt idx="4" formatCode="0">
                  <c:v>1</c:v>
                </c:pt>
                <c:pt idx="5">
                  <c:v>0</c:v>
                </c:pt>
              </c:numCache>
            </c:numRef>
          </c:val>
        </c:ser>
        <c:axId val="90567040"/>
        <c:axId val="90576384"/>
      </c:barChart>
      <c:catAx>
        <c:axId val="90567040"/>
        <c:scaling>
          <c:orientation val="minMax"/>
        </c:scaling>
        <c:axPos val="b"/>
        <c:tickLblPos val="nextTo"/>
        <c:crossAx val="90576384"/>
        <c:crosses val="autoZero"/>
        <c:auto val="1"/>
        <c:lblAlgn val="ctr"/>
        <c:lblOffset val="100"/>
      </c:catAx>
      <c:valAx>
        <c:axId val="90576384"/>
        <c:scaling>
          <c:orientation val="minMax"/>
        </c:scaling>
        <c:axPos val="l"/>
        <c:majorGridlines/>
        <c:numFmt formatCode="General" sourceLinked="1"/>
        <c:tickLblPos val="nextTo"/>
        <c:crossAx val="90567040"/>
        <c:crosses val="autoZero"/>
        <c:crossBetween val="between"/>
      </c:valAx>
    </c:plotArea>
    <c:legend>
      <c:legendPos val="b"/>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style val="5"/>
  <c:chart>
    <c:title>
      <c:tx>
        <c:rich>
          <a:bodyPr/>
          <a:lstStyle/>
          <a:p>
            <a:pPr>
              <a:defRPr/>
            </a:pPr>
            <a:r>
              <a:rPr lang="en-US" sz="1200"/>
              <a:t>% Desviacion Maxima de Mediciones Banda Celular Movistar ( Procedimiento 2)</a:t>
            </a:r>
            <a:endParaRPr lang="es-ES" sz="1200"/>
          </a:p>
        </c:rich>
      </c:tx>
      <c:layout>
        <c:manualLayout>
          <c:xMode val="edge"/>
          <c:yMode val="edge"/>
          <c:x val="0.11301068755983665"/>
          <c:y val="4.1666666666666664E-2"/>
        </c:manualLayout>
      </c:layout>
    </c:title>
    <c:plotArea>
      <c:layout/>
      <c:barChart>
        <c:barDir val="col"/>
        <c:grouping val="clustered"/>
        <c:ser>
          <c:idx val="0"/>
          <c:order val="0"/>
          <c:tx>
            <c:v>Número de Mediciones Edificios Cercanos</c:v>
          </c:tx>
          <c:cat>
            <c:strRef>
              <c:f>'% Max Desviacion F.Nose'!$N$131:$Q$131</c:f>
              <c:strCache>
                <c:ptCount val="4"/>
                <c:pt idx="0">
                  <c:v>&lt; 10%</c:v>
                </c:pt>
                <c:pt idx="1">
                  <c:v> 10 a 20%</c:v>
                </c:pt>
                <c:pt idx="2">
                  <c:v> 20 a 30%</c:v>
                </c:pt>
                <c:pt idx="3">
                  <c:v>&gt; 30%</c:v>
                </c:pt>
              </c:strCache>
            </c:strRef>
          </c:cat>
          <c:val>
            <c:numRef>
              <c:f>'% Max Desviacion F.Nose'!$N$132:$Q$132</c:f>
              <c:numCache>
                <c:formatCode>General</c:formatCode>
                <c:ptCount val="4"/>
                <c:pt idx="0">
                  <c:v>7</c:v>
                </c:pt>
                <c:pt idx="1">
                  <c:v>8</c:v>
                </c:pt>
                <c:pt idx="2">
                  <c:v>5</c:v>
                </c:pt>
                <c:pt idx="3">
                  <c:v>0</c:v>
                </c:pt>
              </c:numCache>
            </c:numRef>
          </c:val>
        </c:ser>
        <c:axId val="90625152"/>
        <c:axId val="90626688"/>
      </c:barChart>
      <c:catAx>
        <c:axId val="90625152"/>
        <c:scaling>
          <c:orientation val="minMax"/>
        </c:scaling>
        <c:axPos val="b"/>
        <c:tickLblPos val="nextTo"/>
        <c:crossAx val="90626688"/>
        <c:crosses val="autoZero"/>
        <c:auto val="1"/>
        <c:lblAlgn val="ctr"/>
        <c:lblOffset val="100"/>
      </c:catAx>
      <c:valAx>
        <c:axId val="90626688"/>
        <c:scaling>
          <c:orientation val="minMax"/>
        </c:scaling>
        <c:axPos val="l"/>
        <c:majorGridlines/>
        <c:numFmt formatCode="General" sourceLinked="1"/>
        <c:tickLblPos val="nextTo"/>
        <c:crossAx val="90625152"/>
        <c:crosses val="autoZero"/>
        <c:crossBetween val="between"/>
      </c:valAx>
    </c:plotArea>
    <c:legend>
      <c:legendPos val="b"/>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lgn="ctr">
              <a:defRPr/>
            </a:pPr>
            <a:r>
              <a:rPr lang="en-US" sz="1300"/>
              <a:t>% Desviación Máxima de Mediciones Banda Celular Porta (Procedimiento</a:t>
            </a:r>
            <a:r>
              <a:rPr lang="en-US" sz="1300" baseline="0"/>
              <a:t> 1)</a:t>
            </a:r>
            <a:endParaRPr lang="en-US" sz="1300"/>
          </a:p>
        </c:rich>
      </c:tx>
      <c:layout>
        <c:manualLayout>
          <c:xMode val="edge"/>
          <c:yMode val="edge"/>
          <c:x val="0.12258136140293169"/>
          <c:y val="4.1122047244094476E-2"/>
        </c:manualLayout>
      </c:layout>
    </c:title>
    <c:plotArea>
      <c:layout>
        <c:manualLayout>
          <c:layoutTarget val="inner"/>
          <c:xMode val="edge"/>
          <c:yMode val="edge"/>
          <c:x val="9.8923678926557207E-2"/>
          <c:y val="0.26768411301528588"/>
          <c:w val="0.85581957607780168"/>
          <c:h val="0.42072873243786107"/>
        </c:manualLayout>
      </c:layout>
      <c:barChart>
        <c:barDir val="col"/>
        <c:grouping val="clustered"/>
        <c:ser>
          <c:idx val="0"/>
          <c:order val="0"/>
          <c:tx>
            <c:v>Numero de Mediciones Exteriores</c:v>
          </c:tx>
          <c:spPr>
            <a:solidFill>
              <a:srgbClr val="FF5A33"/>
            </a:solidFill>
          </c:spPr>
          <c:cat>
            <c:strRef>
              <c:f>'% Max Desviacion narda'!$V$45:$Z$45</c:f>
              <c:strCache>
                <c:ptCount val="5"/>
                <c:pt idx="0">
                  <c:v>&lt; 10%</c:v>
                </c:pt>
                <c:pt idx="1">
                  <c:v> 10 a 20%</c:v>
                </c:pt>
                <c:pt idx="2">
                  <c:v> 20 a 30%</c:v>
                </c:pt>
                <c:pt idx="3">
                  <c:v> 30 a 40%</c:v>
                </c:pt>
                <c:pt idx="4">
                  <c:v>&gt; 40%</c:v>
                </c:pt>
              </c:strCache>
            </c:strRef>
          </c:cat>
          <c:val>
            <c:numRef>
              <c:f>'% Max Desviacion narda'!$V$46:$Z$46</c:f>
              <c:numCache>
                <c:formatCode>General</c:formatCode>
                <c:ptCount val="5"/>
                <c:pt idx="0">
                  <c:v>12</c:v>
                </c:pt>
                <c:pt idx="1">
                  <c:v>26</c:v>
                </c:pt>
                <c:pt idx="2">
                  <c:v>14</c:v>
                </c:pt>
                <c:pt idx="3">
                  <c:v>2</c:v>
                </c:pt>
                <c:pt idx="4">
                  <c:v>0</c:v>
                </c:pt>
              </c:numCache>
            </c:numRef>
          </c:val>
        </c:ser>
        <c:axId val="91760896"/>
        <c:axId val="91770880"/>
      </c:barChart>
      <c:catAx>
        <c:axId val="91760896"/>
        <c:scaling>
          <c:orientation val="minMax"/>
        </c:scaling>
        <c:axPos val="b"/>
        <c:tickLblPos val="nextTo"/>
        <c:crossAx val="91770880"/>
        <c:crosses val="autoZero"/>
        <c:auto val="1"/>
        <c:lblAlgn val="ctr"/>
        <c:lblOffset val="100"/>
      </c:catAx>
      <c:valAx>
        <c:axId val="91770880"/>
        <c:scaling>
          <c:orientation val="minMax"/>
        </c:scaling>
        <c:axPos val="l"/>
        <c:majorGridlines/>
        <c:numFmt formatCode="General" sourceLinked="1"/>
        <c:tickLblPos val="nextTo"/>
        <c:crossAx val="91760896"/>
        <c:crosses val="autoZero"/>
        <c:crossBetween val="between"/>
      </c:valAx>
    </c:plotArea>
    <c:legend>
      <c:legendPos val="b"/>
      <c:layout>
        <c:manualLayout>
          <c:xMode val="edge"/>
          <c:yMode val="edge"/>
          <c:x val="0.14243457165765511"/>
          <c:y val="0.83782885595182965"/>
          <c:w val="0.57936062169774449"/>
          <c:h val="8.8641732283464725E-2"/>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a:pPr>
            <a:r>
              <a:rPr lang="en-US" sz="1250"/>
              <a:t>% Desviacion Maxima de Mediciones Banda Celular Movistar (Procedimiento</a:t>
            </a:r>
            <a:r>
              <a:rPr lang="en-US" sz="1250" baseline="0"/>
              <a:t> 2)</a:t>
            </a:r>
            <a:endParaRPr lang="en-US" sz="1250"/>
          </a:p>
        </c:rich>
      </c:tx>
      <c:layout>
        <c:manualLayout>
          <c:xMode val="edge"/>
          <c:yMode val="edge"/>
          <c:x val="0.13912479792082288"/>
          <c:y val="3.35353310518164E-2"/>
        </c:manualLayout>
      </c:layout>
    </c:title>
    <c:plotArea>
      <c:layout/>
      <c:barChart>
        <c:barDir val="col"/>
        <c:grouping val="clustered"/>
        <c:ser>
          <c:idx val="0"/>
          <c:order val="0"/>
          <c:tx>
            <c:v>Número de Mediciones Exteriores</c:v>
          </c:tx>
          <c:cat>
            <c:strRef>
              <c:f>'% Max Desviacion narda'!$W$102:$Z$102</c:f>
              <c:strCache>
                <c:ptCount val="4"/>
                <c:pt idx="0">
                  <c:v>&lt; 10%</c:v>
                </c:pt>
                <c:pt idx="1">
                  <c:v> 10 a 20%</c:v>
                </c:pt>
                <c:pt idx="2">
                  <c:v> 20 a 30%</c:v>
                </c:pt>
                <c:pt idx="3">
                  <c:v>&gt; 30%</c:v>
                </c:pt>
              </c:strCache>
            </c:strRef>
          </c:cat>
          <c:val>
            <c:numRef>
              <c:f>'% Max Desviacion narda'!$W$103:$Z$103</c:f>
              <c:numCache>
                <c:formatCode>General</c:formatCode>
                <c:ptCount val="4"/>
                <c:pt idx="0">
                  <c:v>19</c:v>
                </c:pt>
                <c:pt idx="1">
                  <c:v>20</c:v>
                </c:pt>
                <c:pt idx="2">
                  <c:v>5</c:v>
                </c:pt>
                <c:pt idx="3">
                  <c:v>0</c:v>
                </c:pt>
              </c:numCache>
            </c:numRef>
          </c:val>
        </c:ser>
        <c:axId val="91778432"/>
        <c:axId val="91796608"/>
      </c:barChart>
      <c:catAx>
        <c:axId val="91778432"/>
        <c:scaling>
          <c:orientation val="minMax"/>
        </c:scaling>
        <c:axPos val="b"/>
        <c:tickLblPos val="nextTo"/>
        <c:crossAx val="91796608"/>
        <c:crosses val="autoZero"/>
        <c:auto val="1"/>
        <c:lblAlgn val="ctr"/>
        <c:lblOffset val="100"/>
      </c:catAx>
      <c:valAx>
        <c:axId val="91796608"/>
        <c:scaling>
          <c:orientation val="minMax"/>
        </c:scaling>
        <c:axPos val="l"/>
        <c:majorGridlines/>
        <c:numFmt formatCode="General" sourceLinked="1"/>
        <c:tickLblPos val="nextTo"/>
        <c:crossAx val="91778432"/>
        <c:crosses val="autoZero"/>
        <c:crossBetween val="between"/>
      </c:valAx>
    </c:plotArea>
    <c:legend>
      <c:legendPos val="b"/>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s-ES" sz="1300"/>
              <a:t>% Desviación Máxima de Mediciones Banda Celular Porta (Procedimiento 2)</a:t>
            </a:r>
          </a:p>
        </c:rich>
      </c:tx>
    </c:title>
    <c:plotArea>
      <c:layout/>
      <c:barChart>
        <c:barDir val="col"/>
        <c:grouping val="clustered"/>
        <c:ser>
          <c:idx val="0"/>
          <c:order val="0"/>
          <c:tx>
            <c:v>Numero de Mediciones Exteriores</c:v>
          </c:tx>
          <c:cat>
            <c:strRef>
              <c:f>'% Max Desviacion F.Nose'!$U$45:$Y$45</c:f>
              <c:strCache>
                <c:ptCount val="5"/>
                <c:pt idx="0">
                  <c:v>&lt; 10%</c:v>
                </c:pt>
                <c:pt idx="1">
                  <c:v> 10 a 20%</c:v>
                </c:pt>
                <c:pt idx="2">
                  <c:v> 20 a 30%</c:v>
                </c:pt>
                <c:pt idx="3">
                  <c:v> 30 a 40%</c:v>
                </c:pt>
                <c:pt idx="4">
                  <c:v>&gt; 40%</c:v>
                </c:pt>
              </c:strCache>
            </c:strRef>
          </c:cat>
          <c:val>
            <c:numRef>
              <c:f>'% Max Desviacion F.Nose'!$N$46:$R$46</c:f>
              <c:numCache>
                <c:formatCode>General</c:formatCode>
                <c:ptCount val="5"/>
                <c:pt idx="0">
                  <c:v>7</c:v>
                </c:pt>
                <c:pt idx="1">
                  <c:v>9</c:v>
                </c:pt>
                <c:pt idx="2">
                  <c:v>4</c:v>
                </c:pt>
                <c:pt idx="3">
                  <c:v>4</c:v>
                </c:pt>
                <c:pt idx="4" formatCode="#,##0">
                  <c:v>0</c:v>
                </c:pt>
              </c:numCache>
            </c:numRef>
          </c:val>
        </c:ser>
        <c:axId val="91812608"/>
        <c:axId val="91814144"/>
      </c:barChart>
      <c:catAx>
        <c:axId val="91812608"/>
        <c:scaling>
          <c:orientation val="minMax"/>
        </c:scaling>
        <c:axPos val="b"/>
        <c:tickLblPos val="nextTo"/>
        <c:crossAx val="91814144"/>
        <c:crosses val="autoZero"/>
        <c:auto val="1"/>
        <c:lblAlgn val="ctr"/>
        <c:lblOffset val="100"/>
      </c:catAx>
      <c:valAx>
        <c:axId val="91814144"/>
        <c:scaling>
          <c:orientation val="minMax"/>
        </c:scaling>
        <c:axPos val="l"/>
        <c:majorGridlines/>
        <c:numFmt formatCode="General" sourceLinked="1"/>
        <c:tickLblPos val="nextTo"/>
        <c:crossAx val="91812608"/>
        <c:crosses val="autoZero"/>
        <c:crossBetween val="between"/>
      </c:valAx>
    </c:plotArea>
    <c:legend>
      <c:legendPos val="b"/>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style val="5"/>
  <c:chart>
    <c:title>
      <c:tx>
        <c:rich>
          <a:bodyPr/>
          <a:lstStyle/>
          <a:p>
            <a:pPr>
              <a:defRPr/>
            </a:pPr>
            <a:r>
              <a:rPr lang="es-ES" sz="1300"/>
              <a:t>% Desviación Máxima de Mediciones Banda Celular Movistar (Procedimiento 2)</a:t>
            </a:r>
          </a:p>
        </c:rich>
      </c:tx>
    </c:title>
    <c:plotArea>
      <c:layout/>
      <c:barChart>
        <c:barDir val="col"/>
        <c:grouping val="clustered"/>
        <c:ser>
          <c:idx val="0"/>
          <c:order val="0"/>
          <c:tx>
            <c:v>Numero de Mediciones Exteriores</c:v>
          </c:tx>
          <c:cat>
            <c:strRef>
              <c:f>'% Max Desviacion F.Nose'!$U$103:$Y$103</c:f>
              <c:strCache>
                <c:ptCount val="5"/>
                <c:pt idx="0">
                  <c:v>&lt; 10%</c:v>
                </c:pt>
                <c:pt idx="1">
                  <c:v> 10 a 20%</c:v>
                </c:pt>
                <c:pt idx="2">
                  <c:v> 20 a 30%</c:v>
                </c:pt>
                <c:pt idx="3">
                  <c:v> 30 a 40%</c:v>
                </c:pt>
                <c:pt idx="4">
                  <c:v>&gt; 40%</c:v>
                </c:pt>
              </c:strCache>
            </c:strRef>
          </c:cat>
          <c:val>
            <c:numRef>
              <c:f>'% Max Desviacion F.Nose'!$N$103:$R$103</c:f>
              <c:numCache>
                <c:formatCode>General</c:formatCode>
                <c:ptCount val="5"/>
                <c:pt idx="0">
                  <c:v>11</c:v>
                </c:pt>
                <c:pt idx="1">
                  <c:v>8</c:v>
                </c:pt>
                <c:pt idx="2">
                  <c:v>2</c:v>
                </c:pt>
                <c:pt idx="3">
                  <c:v>3</c:v>
                </c:pt>
                <c:pt idx="4" formatCode="0.000">
                  <c:v>0</c:v>
                </c:pt>
              </c:numCache>
            </c:numRef>
          </c:val>
        </c:ser>
        <c:axId val="94312320"/>
        <c:axId val="94313856"/>
      </c:barChart>
      <c:catAx>
        <c:axId val="94312320"/>
        <c:scaling>
          <c:orientation val="minMax"/>
        </c:scaling>
        <c:axPos val="b"/>
        <c:tickLblPos val="nextTo"/>
        <c:crossAx val="94313856"/>
        <c:crosses val="autoZero"/>
        <c:auto val="1"/>
        <c:lblAlgn val="ctr"/>
        <c:lblOffset val="100"/>
      </c:catAx>
      <c:valAx>
        <c:axId val="94313856"/>
        <c:scaling>
          <c:orientation val="minMax"/>
        </c:scaling>
        <c:axPos val="l"/>
        <c:majorGridlines/>
        <c:numFmt formatCode="General" sourceLinked="1"/>
        <c:tickLblPos val="nextTo"/>
        <c:crossAx val="94312320"/>
        <c:crosses val="autoZero"/>
        <c:crossBetween val="between"/>
      </c:valAx>
    </c:plotArea>
    <c:legend>
      <c:legendPos val="b"/>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869-880 MHz con Procedimiento de medición 1</a:t>
            </a:r>
          </a:p>
        </c:rich>
      </c:tx>
    </c:title>
    <c:plotArea>
      <c:layout/>
      <c:lineChart>
        <c:grouping val="standard"/>
        <c:ser>
          <c:idx val="0"/>
          <c:order val="0"/>
          <c:tx>
            <c:v>Valores obtenidos</c:v>
          </c:tx>
          <c:marker>
            <c:symbol val="none"/>
          </c:marker>
          <c:val>
            <c:numRef>
              <c:f>'p1'!$F$6:$F$77</c:f>
              <c:numCache>
                <c:formatCode>#,##0.000</c:formatCode>
                <c:ptCount val="72"/>
                <c:pt idx="0">
                  <c:v>1.296</c:v>
                </c:pt>
                <c:pt idx="1">
                  <c:v>1.2589999999999908</c:v>
                </c:pt>
                <c:pt idx="2">
                  <c:v>0.92430000000000001</c:v>
                </c:pt>
                <c:pt idx="3">
                  <c:v>1.782</c:v>
                </c:pt>
                <c:pt idx="4">
                  <c:v>1.538</c:v>
                </c:pt>
                <c:pt idx="5">
                  <c:v>1.1319999999999908</c:v>
                </c:pt>
                <c:pt idx="6">
                  <c:v>1.0840000000000001</c:v>
                </c:pt>
                <c:pt idx="7">
                  <c:v>0.84030000000000005</c:v>
                </c:pt>
                <c:pt idx="8">
                  <c:v>1.161999999999991</c:v>
                </c:pt>
                <c:pt idx="9">
                  <c:v>0.53970000000000062</c:v>
                </c:pt>
                <c:pt idx="10">
                  <c:v>0.35300000000000031</c:v>
                </c:pt>
                <c:pt idx="11">
                  <c:v>0.85780000000000456</c:v>
                </c:pt>
                <c:pt idx="12">
                  <c:v>0.48690000000000205</c:v>
                </c:pt>
                <c:pt idx="13">
                  <c:v>0.54930000000000001</c:v>
                </c:pt>
                <c:pt idx="14">
                  <c:v>0.53049999999999997</c:v>
                </c:pt>
                <c:pt idx="15">
                  <c:v>0.29430000000000234</c:v>
                </c:pt>
                <c:pt idx="16">
                  <c:v>0.27660000000000001</c:v>
                </c:pt>
                <c:pt idx="17">
                  <c:v>0.32610000000000205</c:v>
                </c:pt>
                <c:pt idx="18">
                  <c:v>0.34670000000000001</c:v>
                </c:pt>
                <c:pt idx="19">
                  <c:v>0.22720000000000001</c:v>
                </c:pt>
                <c:pt idx="20">
                  <c:v>0.28570000000000001</c:v>
                </c:pt>
                <c:pt idx="21">
                  <c:v>0.18830000000000024</c:v>
                </c:pt>
                <c:pt idx="22">
                  <c:v>0.33300000000000263</c:v>
                </c:pt>
                <c:pt idx="23">
                  <c:v>0.40610000000000002</c:v>
                </c:pt>
                <c:pt idx="24">
                  <c:v>0.33230000000000365</c:v>
                </c:pt>
                <c:pt idx="25">
                  <c:v>0.28910000000000002</c:v>
                </c:pt>
                <c:pt idx="26">
                  <c:v>0.39150000000000246</c:v>
                </c:pt>
                <c:pt idx="27">
                  <c:v>0.49200000000000038</c:v>
                </c:pt>
                <c:pt idx="28">
                  <c:v>0.34150000000000008</c:v>
                </c:pt>
                <c:pt idx="29">
                  <c:v>0.40240000000000031</c:v>
                </c:pt>
                <c:pt idx="30">
                  <c:v>0.47500000000000031</c:v>
                </c:pt>
                <c:pt idx="31">
                  <c:v>0.38000000000000228</c:v>
                </c:pt>
                <c:pt idx="32">
                  <c:v>0.45740000000000008</c:v>
                </c:pt>
                <c:pt idx="33">
                  <c:v>0.76000000000000456</c:v>
                </c:pt>
                <c:pt idx="34">
                  <c:v>0.48200000000000032</c:v>
                </c:pt>
                <c:pt idx="35">
                  <c:v>0.53290000000000004</c:v>
                </c:pt>
                <c:pt idx="36" formatCode="General">
                  <c:v>4.0110000000000014E-2</c:v>
                </c:pt>
                <c:pt idx="37" formatCode="General">
                  <c:v>4.5320000000000013E-2</c:v>
                </c:pt>
                <c:pt idx="38" formatCode="General">
                  <c:v>5.3870000000000001E-2</c:v>
                </c:pt>
                <c:pt idx="39" formatCode="General">
                  <c:v>4.2079999999999999E-2</c:v>
                </c:pt>
                <c:pt idx="40" formatCode="General">
                  <c:v>5.6360000000000014E-2</c:v>
                </c:pt>
                <c:pt idx="41" formatCode="General">
                  <c:v>8.4870000000000043E-2</c:v>
                </c:pt>
                <c:pt idx="42" formatCode="General">
                  <c:v>2.8170000000000001E-2</c:v>
                </c:pt>
                <c:pt idx="43" formatCode="General">
                  <c:v>2.036E-2</c:v>
                </c:pt>
                <c:pt idx="44" formatCode="General">
                  <c:v>2.5640000000000052E-2</c:v>
                </c:pt>
                <c:pt idx="45" formatCode="General">
                  <c:v>5.7840000000000003E-2</c:v>
                </c:pt>
                <c:pt idx="46" formatCode="General">
                  <c:v>5.2350000000000133E-2</c:v>
                </c:pt>
                <c:pt idx="47" formatCode="General">
                  <c:v>6.9440000000000002E-2</c:v>
                </c:pt>
                <c:pt idx="48" formatCode="General">
                  <c:v>5.7450000000000022E-2</c:v>
                </c:pt>
                <c:pt idx="49" formatCode="General">
                  <c:v>5.1130000000000002E-2</c:v>
                </c:pt>
                <c:pt idx="50" formatCode="General">
                  <c:v>5.0520000000000002E-2</c:v>
                </c:pt>
                <c:pt idx="51" formatCode="General">
                  <c:v>6.6199999999999995E-2</c:v>
                </c:pt>
                <c:pt idx="52" formatCode="General">
                  <c:v>5.441000000000052E-2</c:v>
                </c:pt>
                <c:pt idx="53" formatCode="General">
                  <c:v>5.8459999999999998E-2</c:v>
                </c:pt>
                <c:pt idx="54" formatCode="General">
                  <c:v>5.2299999999999999E-2</c:v>
                </c:pt>
                <c:pt idx="55" formatCode="General">
                  <c:v>5.7520000000000002E-2</c:v>
                </c:pt>
                <c:pt idx="56" formatCode="General">
                  <c:v>6.9459999999999994E-2</c:v>
                </c:pt>
                <c:pt idx="57" formatCode="General">
                  <c:v>4.4580000000000022E-2</c:v>
                </c:pt>
                <c:pt idx="58" formatCode="General">
                  <c:v>4.7370000000000023E-2</c:v>
                </c:pt>
                <c:pt idx="59" formatCode="General">
                  <c:v>6.0490000000000134E-2</c:v>
                </c:pt>
                <c:pt idx="60" formatCode="General">
                  <c:v>0.23200000000000001</c:v>
                </c:pt>
                <c:pt idx="61" formatCode="General">
                  <c:v>0.30720000000000008</c:v>
                </c:pt>
                <c:pt idx="62" formatCode="General">
                  <c:v>0.2742</c:v>
                </c:pt>
                <c:pt idx="63" formatCode="General">
                  <c:v>0.13300000000000001</c:v>
                </c:pt>
                <c:pt idx="64" formatCode="General">
                  <c:v>0.12270000000000029</c:v>
                </c:pt>
                <c:pt idx="65" formatCode="General">
                  <c:v>0.17830000000000001</c:v>
                </c:pt>
                <c:pt idx="66" formatCode="General">
                  <c:v>0.67330000000000456</c:v>
                </c:pt>
                <c:pt idx="67" formatCode="General">
                  <c:v>0.56130000000000002</c:v>
                </c:pt>
                <c:pt idx="68" formatCode="General">
                  <c:v>0.79810000000000003</c:v>
                </c:pt>
                <c:pt idx="69" formatCode="General">
                  <c:v>0.49130000000000246</c:v>
                </c:pt>
                <c:pt idx="70" formatCode="General">
                  <c:v>0.40730000000000038</c:v>
                </c:pt>
                <c:pt idx="71" formatCode="General">
                  <c:v>0.38610000000000205</c:v>
                </c:pt>
              </c:numCache>
            </c:numRef>
          </c:val>
        </c:ser>
        <c:ser>
          <c:idx val="2"/>
          <c:order val="1"/>
          <c:tx>
            <c:v>Límite</c:v>
          </c:tx>
          <c:marker>
            <c:symbol val="none"/>
          </c:marker>
          <c:val>
            <c:numRef>
              <c:f>'p1'!$J$6:$J$77</c:f>
              <c:numCache>
                <c:formatCode>General</c:formatCode>
                <c:ptCount val="72"/>
                <c:pt idx="0">
                  <c:v>40.790000000000013</c:v>
                </c:pt>
                <c:pt idx="1">
                  <c:v>40.790000000000013</c:v>
                </c:pt>
                <c:pt idx="2">
                  <c:v>40.790000000000013</c:v>
                </c:pt>
                <c:pt idx="3">
                  <c:v>40.790000000000013</c:v>
                </c:pt>
                <c:pt idx="4">
                  <c:v>40.790000000000013</c:v>
                </c:pt>
                <c:pt idx="5">
                  <c:v>40.790000000000013</c:v>
                </c:pt>
                <c:pt idx="6">
                  <c:v>40.790000000000013</c:v>
                </c:pt>
                <c:pt idx="7">
                  <c:v>40.790000000000013</c:v>
                </c:pt>
                <c:pt idx="8">
                  <c:v>40.790000000000013</c:v>
                </c:pt>
                <c:pt idx="9">
                  <c:v>40.790000000000013</c:v>
                </c:pt>
                <c:pt idx="10">
                  <c:v>40.790000000000013</c:v>
                </c:pt>
                <c:pt idx="11">
                  <c:v>40.790000000000013</c:v>
                </c:pt>
                <c:pt idx="12">
                  <c:v>40.790000000000013</c:v>
                </c:pt>
                <c:pt idx="13">
                  <c:v>40.790000000000013</c:v>
                </c:pt>
                <c:pt idx="14">
                  <c:v>40.790000000000013</c:v>
                </c:pt>
                <c:pt idx="15">
                  <c:v>40.790000000000013</c:v>
                </c:pt>
                <c:pt idx="16">
                  <c:v>40.790000000000013</c:v>
                </c:pt>
                <c:pt idx="17">
                  <c:v>40.790000000000013</c:v>
                </c:pt>
                <c:pt idx="18">
                  <c:v>40.790000000000013</c:v>
                </c:pt>
                <c:pt idx="19">
                  <c:v>40.790000000000013</c:v>
                </c:pt>
                <c:pt idx="20">
                  <c:v>40.790000000000013</c:v>
                </c:pt>
                <c:pt idx="21">
                  <c:v>40.790000000000013</c:v>
                </c:pt>
                <c:pt idx="22">
                  <c:v>40.790000000000013</c:v>
                </c:pt>
                <c:pt idx="23">
                  <c:v>40.790000000000013</c:v>
                </c:pt>
                <c:pt idx="24">
                  <c:v>40.790000000000013</c:v>
                </c:pt>
                <c:pt idx="25">
                  <c:v>40.790000000000013</c:v>
                </c:pt>
                <c:pt idx="26">
                  <c:v>40.790000000000013</c:v>
                </c:pt>
                <c:pt idx="27">
                  <c:v>40.790000000000013</c:v>
                </c:pt>
                <c:pt idx="28">
                  <c:v>40.790000000000013</c:v>
                </c:pt>
                <c:pt idx="29">
                  <c:v>40.790000000000013</c:v>
                </c:pt>
                <c:pt idx="30">
                  <c:v>40.790000000000013</c:v>
                </c:pt>
                <c:pt idx="31">
                  <c:v>40.790000000000013</c:v>
                </c:pt>
                <c:pt idx="32">
                  <c:v>40.790000000000013</c:v>
                </c:pt>
                <c:pt idx="33">
                  <c:v>40.790000000000013</c:v>
                </c:pt>
                <c:pt idx="34">
                  <c:v>40.790000000000013</c:v>
                </c:pt>
                <c:pt idx="35">
                  <c:v>40.790000000000013</c:v>
                </c:pt>
                <c:pt idx="36">
                  <c:v>40.790000000000013</c:v>
                </c:pt>
                <c:pt idx="37">
                  <c:v>40.790000000000013</c:v>
                </c:pt>
                <c:pt idx="38">
                  <c:v>40.790000000000013</c:v>
                </c:pt>
                <c:pt idx="39">
                  <c:v>40.790000000000013</c:v>
                </c:pt>
                <c:pt idx="40">
                  <c:v>40.790000000000013</c:v>
                </c:pt>
                <c:pt idx="41">
                  <c:v>40.790000000000013</c:v>
                </c:pt>
                <c:pt idx="42">
                  <c:v>40.790000000000013</c:v>
                </c:pt>
                <c:pt idx="43">
                  <c:v>40.790000000000013</c:v>
                </c:pt>
                <c:pt idx="44">
                  <c:v>40.790000000000013</c:v>
                </c:pt>
                <c:pt idx="45">
                  <c:v>40.790000000000013</c:v>
                </c:pt>
                <c:pt idx="46">
                  <c:v>40.790000000000013</c:v>
                </c:pt>
                <c:pt idx="47">
                  <c:v>40.790000000000013</c:v>
                </c:pt>
                <c:pt idx="48">
                  <c:v>40.790000000000013</c:v>
                </c:pt>
                <c:pt idx="49">
                  <c:v>40.790000000000013</c:v>
                </c:pt>
                <c:pt idx="50">
                  <c:v>40.790000000000013</c:v>
                </c:pt>
                <c:pt idx="51">
                  <c:v>40.790000000000013</c:v>
                </c:pt>
                <c:pt idx="52">
                  <c:v>40.790000000000013</c:v>
                </c:pt>
                <c:pt idx="53">
                  <c:v>40.790000000000013</c:v>
                </c:pt>
                <c:pt idx="54">
                  <c:v>40.790000000000013</c:v>
                </c:pt>
                <c:pt idx="55">
                  <c:v>40.790000000000013</c:v>
                </c:pt>
                <c:pt idx="56">
                  <c:v>40.790000000000013</c:v>
                </c:pt>
                <c:pt idx="57">
                  <c:v>40.790000000000013</c:v>
                </c:pt>
                <c:pt idx="58">
                  <c:v>40.790000000000013</c:v>
                </c:pt>
                <c:pt idx="59">
                  <c:v>40.790000000000013</c:v>
                </c:pt>
                <c:pt idx="60">
                  <c:v>40.790000000000013</c:v>
                </c:pt>
                <c:pt idx="61">
                  <c:v>40.790000000000013</c:v>
                </c:pt>
                <c:pt idx="62">
                  <c:v>40.790000000000013</c:v>
                </c:pt>
                <c:pt idx="63">
                  <c:v>40.790000000000013</c:v>
                </c:pt>
                <c:pt idx="64">
                  <c:v>40.790000000000013</c:v>
                </c:pt>
                <c:pt idx="65">
                  <c:v>40.790000000000013</c:v>
                </c:pt>
                <c:pt idx="66">
                  <c:v>40.790000000000013</c:v>
                </c:pt>
                <c:pt idx="67">
                  <c:v>40.790000000000013</c:v>
                </c:pt>
                <c:pt idx="68">
                  <c:v>40.790000000000013</c:v>
                </c:pt>
                <c:pt idx="69">
                  <c:v>40.790000000000013</c:v>
                </c:pt>
                <c:pt idx="70">
                  <c:v>40.790000000000013</c:v>
                </c:pt>
                <c:pt idx="71">
                  <c:v>40.790000000000013</c:v>
                </c:pt>
              </c:numCache>
            </c:numRef>
          </c:val>
        </c:ser>
        <c:marker val="1"/>
        <c:axId val="94334336"/>
        <c:axId val="94344704"/>
      </c:lineChart>
      <c:catAx>
        <c:axId val="94334336"/>
        <c:scaling>
          <c:orientation val="minMax"/>
        </c:scaling>
        <c:delete val="1"/>
        <c:axPos val="b"/>
        <c:title>
          <c:tx>
            <c:rich>
              <a:bodyPr/>
              <a:lstStyle/>
              <a:p>
                <a:pPr>
                  <a:defRPr/>
                </a:pPr>
                <a:r>
                  <a:rPr lang="es-ES" sz="800" b="1" i="1" baseline="0"/>
                  <a:t>Puntos de medición en Banda 869-880 MHz  con Procedimiento 1</a:t>
                </a:r>
              </a:p>
            </c:rich>
          </c:tx>
        </c:title>
        <c:tickLblPos val="none"/>
        <c:crossAx val="94344704"/>
        <c:crosses val="autoZero"/>
        <c:auto val="1"/>
        <c:lblAlgn val="ctr"/>
        <c:lblOffset val="100"/>
      </c:catAx>
      <c:valAx>
        <c:axId val="94344704"/>
        <c:scaling>
          <c:orientation val="minMax"/>
        </c:scaling>
        <c:axPos val="l"/>
        <c:majorGridlines/>
        <c:title>
          <c:tx>
            <c:rich>
              <a:bodyPr rot="-5400000" vert="horz"/>
              <a:lstStyle/>
              <a:p>
                <a:pPr>
                  <a:defRPr/>
                </a:pPr>
                <a:r>
                  <a:rPr lang="es-ES"/>
                  <a:t>V/m</a:t>
                </a:r>
              </a:p>
            </c:rich>
          </c:tx>
        </c:title>
        <c:numFmt formatCode="#,##0.000" sourceLinked="1"/>
        <c:tickLblPos val="nextTo"/>
        <c:crossAx val="94334336"/>
        <c:crosses val="autoZero"/>
        <c:crossBetween val="between"/>
      </c:valAx>
    </c:plotArea>
    <c:legend>
      <c:legendPos val="b"/>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890 -</a:t>
            </a:r>
            <a:r>
              <a:rPr lang="es-ES" sz="1100" b="1" i="0" u="none" strike="noStrike" baseline="0"/>
              <a:t>891,5</a:t>
            </a:r>
            <a:r>
              <a:rPr lang="es-ES" sz="1100" b="1" i="0" baseline="0"/>
              <a:t> MHz con Procedimiento de medición 1</a:t>
            </a:r>
            <a:endParaRPr lang="es-ES" sz="1100"/>
          </a:p>
        </c:rich>
      </c:tx>
    </c:title>
    <c:plotArea>
      <c:layout/>
      <c:lineChart>
        <c:grouping val="standard"/>
        <c:ser>
          <c:idx val="0"/>
          <c:order val="0"/>
          <c:tx>
            <c:v>Valores obtenidos</c:v>
          </c:tx>
          <c:marker>
            <c:symbol val="none"/>
          </c:marker>
          <c:val>
            <c:numRef>
              <c:f>'p1'!$H$6:$H$77</c:f>
              <c:numCache>
                <c:formatCode>General</c:formatCode>
                <c:ptCount val="72"/>
                <c:pt idx="0">
                  <c:v>5.765E-2</c:v>
                </c:pt>
                <c:pt idx="1">
                  <c:v>4.7310000000000491E-2</c:v>
                </c:pt>
                <c:pt idx="2">
                  <c:v>4.6949999999999985E-2</c:v>
                </c:pt>
                <c:pt idx="3">
                  <c:v>8.8200000000000028E-2</c:v>
                </c:pt>
                <c:pt idx="4">
                  <c:v>7.7500000000000013E-2</c:v>
                </c:pt>
                <c:pt idx="5">
                  <c:v>7.1840000000000001E-2</c:v>
                </c:pt>
                <c:pt idx="6">
                  <c:v>5.5860000000000104E-2</c:v>
                </c:pt>
                <c:pt idx="7">
                  <c:v>5.2880000000000024E-2</c:v>
                </c:pt>
                <c:pt idx="8">
                  <c:v>4.9360000000000535E-2</c:v>
                </c:pt>
                <c:pt idx="9">
                  <c:v>3.4779999999999998E-2</c:v>
                </c:pt>
                <c:pt idx="10">
                  <c:v>3.3009999999999998E-2</c:v>
                </c:pt>
                <c:pt idx="11">
                  <c:v>3.4320000000000003E-2</c:v>
                </c:pt>
                <c:pt idx="12">
                  <c:v>2.2220000000000011E-2</c:v>
                </c:pt>
                <c:pt idx="13">
                  <c:v>1.6770000000000021E-2</c:v>
                </c:pt>
                <c:pt idx="14">
                  <c:v>1.6209999999999999E-2</c:v>
                </c:pt>
                <c:pt idx="15">
                  <c:v>2.3019999999999999E-2</c:v>
                </c:pt>
                <c:pt idx="16">
                  <c:v>1.4700000000000001E-2</c:v>
                </c:pt>
                <c:pt idx="17">
                  <c:v>1.8950000000000005E-2</c:v>
                </c:pt>
                <c:pt idx="18">
                  <c:v>1.7880000000000021E-2</c:v>
                </c:pt>
                <c:pt idx="19">
                  <c:v>1.4980000000000005E-2</c:v>
                </c:pt>
                <c:pt idx="20">
                  <c:v>1.3830000000000005E-2</c:v>
                </c:pt>
                <c:pt idx="21">
                  <c:v>2.2420000000000002E-2</c:v>
                </c:pt>
                <c:pt idx="22">
                  <c:v>2.2730000000000052E-2</c:v>
                </c:pt>
                <c:pt idx="23">
                  <c:v>1.7080000000000001E-2</c:v>
                </c:pt>
                <c:pt idx="24">
                  <c:v>2.0789999999999999E-2</c:v>
                </c:pt>
                <c:pt idx="25">
                  <c:v>1.6719999999999999E-2</c:v>
                </c:pt>
                <c:pt idx="26">
                  <c:v>1.6459999999999999E-2</c:v>
                </c:pt>
                <c:pt idx="27">
                  <c:v>5.3519999999999998E-2</c:v>
                </c:pt>
                <c:pt idx="28">
                  <c:v>4.2800000000000032E-2</c:v>
                </c:pt>
                <c:pt idx="29">
                  <c:v>2.63E-2</c:v>
                </c:pt>
                <c:pt idx="30">
                  <c:v>5.9229999999999998E-2</c:v>
                </c:pt>
                <c:pt idx="31">
                  <c:v>3.4799999999999998E-2</c:v>
                </c:pt>
                <c:pt idx="32">
                  <c:v>3.3169999999999998E-2</c:v>
                </c:pt>
                <c:pt idx="33">
                  <c:v>5.2960000000000014E-2</c:v>
                </c:pt>
                <c:pt idx="34">
                  <c:v>4.6649999999999955E-2</c:v>
                </c:pt>
                <c:pt idx="35">
                  <c:v>3.0610000000000002E-2</c:v>
                </c:pt>
                <c:pt idx="36">
                  <c:v>1.1050000000000001E-2</c:v>
                </c:pt>
                <c:pt idx="37">
                  <c:v>1.1710000000000003E-2</c:v>
                </c:pt>
                <c:pt idx="38">
                  <c:v>1.4460000000000001E-2</c:v>
                </c:pt>
                <c:pt idx="39">
                  <c:v>1.0749999999999999E-2</c:v>
                </c:pt>
                <c:pt idx="40">
                  <c:v>1.5380000000000001E-2</c:v>
                </c:pt>
                <c:pt idx="41">
                  <c:v>1.5580000000000094E-2</c:v>
                </c:pt>
                <c:pt idx="42">
                  <c:v>1.5650000000000001E-2</c:v>
                </c:pt>
                <c:pt idx="43">
                  <c:v>1.1990000000000021E-2</c:v>
                </c:pt>
                <c:pt idx="44">
                  <c:v>9.0200000000000002E-3</c:v>
                </c:pt>
                <c:pt idx="45">
                  <c:v>1.1690000000000023E-2</c:v>
                </c:pt>
                <c:pt idx="46">
                  <c:v>1.8230000000000003E-2</c:v>
                </c:pt>
                <c:pt idx="47">
                  <c:v>3.1300000000000001E-2</c:v>
                </c:pt>
                <c:pt idx="48">
                  <c:v>1.3299999999999998E-2</c:v>
                </c:pt>
                <c:pt idx="49">
                  <c:v>1.051E-2</c:v>
                </c:pt>
                <c:pt idx="50">
                  <c:v>1.9820000000000171E-2</c:v>
                </c:pt>
                <c:pt idx="51">
                  <c:v>1.753E-2</c:v>
                </c:pt>
                <c:pt idx="52">
                  <c:v>1.4109999999999998E-2</c:v>
                </c:pt>
                <c:pt idx="53">
                  <c:v>1.847E-2</c:v>
                </c:pt>
                <c:pt idx="54">
                  <c:v>3.2410000000000001E-2</c:v>
                </c:pt>
                <c:pt idx="55">
                  <c:v>2.63E-2</c:v>
                </c:pt>
                <c:pt idx="56">
                  <c:v>2.9229999999999999E-2</c:v>
                </c:pt>
                <c:pt idx="57">
                  <c:v>2.41E-2</c:v>
                </c:pt>
                <c:pt idx="58">
                  <c:v>1.465E-2</c:v>
                </c:pt>
                <c:pt idx="59">
                  <c:v>1.7950000000000001E-2</c:v>
                </c:pt>
                <c:pt idx="60">
                  <c:v>0.1154</c:v>
                </c:pt>
                <c:pt idx="61">
                  <c:v>0.13020000000000001</c:v>
                </c:pt>
                <c:pt idx="62">
                  <c:v>0.14030000000000001</c:v>
                </c:pt>
                <c:pt idx="63">
                  <c:v>8.6040000000000005E-2</c:v>
                </c:pt>
                <c:pt idx="64">
                  <c:v>6.2380000000000428E-2</c:v>
                </c:pt>
                <c:pt idx="65">
                  <c:v>7.7590000000000034E-2</c:v>
                </c:pt>
                <c:pt idx="66">
                  <c:v>0.1143</c:v>
                </c:pt>
                <c:pt idx="67">
                  <c:v>0.23750000000000004</c:v>
                </c:pt>
                <c:pt idx="68">
                  <c:v>0.23369999999999999</c:v>
                </c:pt>
                <c:pt idx="69">
                  <c:v>0.20540000000000044</c:v>
                </c:pt>
                <c:pt idx="70">
                  <c:v>0.1701</c:v>
                </c:pt>
                <c:pt idx="71">
                  <c:v>0.19309999999999999</c:v>
                </c:pt>
              </c:numCache>
            </c:numRef>
          </c:val>
        </c:ser>
        <c:ser>
          <c:idx val="2"/>
          <c:order val="1"/>
          <c:tx>
            <c:v>Límite</c:v>
          </c:tx>
          <c:marker>
            <c:symbol val="none"/>
          </c:marker>
          <c:val>
            <c:numRef>
              <c:f>'p1'!$L$6:$L$77</c:f>
              <c:numCache>
                <c:formatCode>General</c:formatCode>
                <c:ptCount val="72"/>
                <c:pt idx="0">
                  <c:v>41.05</c:v>
                </c:pt>
                <c:pt idx="1">
                  <c:v>41.05</c:v>
                </c:pt>
                <c:pt idx="2">
                  <c:v>41.05</c:v>
                </c:pt>
                <c:pt idx="3">
                  <c:v>41.05</c:v>
                </c:pt>
                <c:pt idx="4">
                  <c:v>41.05</c:v>
                </c:pt>
                <c:pt idx="5">
                  <c:v>41.05</c:v>
                </c:pt>
                <c:pt idx="6">
                  <c:v>41.05</c:v>
                </c:pt>
                <c:pt idx="7">
                  <c:v>41.05</c:v>
                </c:pt>
                <c:pt idx="8">
                  <c:v>41.05</c:v>
                </c:pt>
                <c:pt idx="9">
                  <c:v>41.05</c:v>
                </c:pt>
                <c:pt idx="10">
                  <c:v>41.05</c:v>
                </c:pt>
                <c:pt idx="11">
                  <c:v>41.05</c:v>
                </c:pt>
                <c:pt idx="12">
                  <c:v>41.05</c:v>
                </c:pt>
                <c:pt idx="13">
                  <c:v>41.05</c:v>
                </c:pt>
                <c:pt idx="14">
                  <c:v>41.05</c:v>
                </c:pt>
                <c:pt idx="15">
                  <c:v>41.05</c:v>
                </c:pt>
                <c:pt idx="16">
                  <c:v>41.05</c:v>
                </c:pt>
                <c:pt idx="17">
                  <c:v>41.05</c:v>
                </c:pt>
                <c:pt idx="18">
                  <c:v>41.05</c:v>
                </c:pt>
                <c:pt idx="19">
                  <c:v>41.05</c:v>
                </c:pt>
                <c:pt idx="20">
                  <c:v>41.05</c:v>
                </c:pt>
                <c:pt idx="21">
                  <c:v>41.05</c:v>
                </c:pt>
                <c:pt idx="22">
                  <c:v>41.05</c:v>
                </c:pt>
                <c:pt idx="23">
                  <c:v>41.05</c:v>
                </c:pt>
                <c:pt idx="24">
                  <c:v>41.05</c:v>
                </c:pt>
                <c:pt idx="25">
                  <c:v>41.05</c:v>
                </c:pt>
                <c:pt idx="26">
                  <c:v>41.05</c:v>
                </c:pt>
                <c:pt idx="27">
                  <c:v>41.05</c:v>
                </c:pt>
                <c:pt idx="28">
                  <c:v>41.05</c:v>
                </c:pt>
                <c:pt idx="29">
                  <c:v>41.05</c:v>
                </c:pt>
                <c:pt idx="30">
                  <c:v>41.05</c:v>
                </c:pt>
                <c:pt idx="31">
                  <c:v>41.05</c:v>
                </c:pt>
                <c:pt idx="32">
                  <c:v>41.05</c:v>
                </c:pt>
                <c:pt idx="33">
                  <c:v>41.05</c:v>
                </c:pt>
                <c:pt idx="34">
                  <c:v>41.05</c:v>
                </c:pt>
                <c:pt idx="35">
                  <c:v>41.05</c:v>
                </c:pt>
                <c:pt idx="36">
                  <c:v>41.05</c:v>
                </c:pt>
                <c:pt idx="37">
                  <c:v>41.05</c:v>
                </c:pt>
                <c:pt idx="38">
                  <c:v>41.05</c:v>
                </c:pt>
                <c:pt idx="39">
                  <c:v>41.05</c:v>
                </c:pt>
                <c:pt idx="40">
                  <c:v>41.05</c:v>
                </c:pt>
                <c:pt idx="41">
                  <c:v>41.05</c:v>
                </c:pt>
                <c:pt idx="42">
                  <c:v>41.05</c:v>
                </c:pt>
                <c:pt idx="43">
                  <c:v>41.05</c:v>
                </c:pt>
                <c:pt idx="44">
                  <c:v>41.05</c:v>
                </c:pt>
                <c:pt idx="45">
                  <c:v>41.05</c:v>
                </c:pt>
                <c:pt idx="46">
                  <c:v>41.05</c:v>
                </c:pt>
                <c:pt idx="47">
                  <c:v>41.05</c:v>
                </c:pt>
                <c:pt idx="48">
                  <c:v>41.05</c:v>
                </c:pt>
                <c:pt idx="49">
                  <c:v>41.05</c:v>
                </c:pt>
                <c:pt idx="50">
                  <c:v>41.05</c:v>
                </c:pt>
                <c:pt idx="51">
                  <c:v>41.05</c:v>
                </c:pt>
                <c:pt idx="52">
                  <c:v>41.05</c:v>
                </c:pt>
                <c:pt idx="53">
                  <c:v>41.05</c:v>
                </c:pt>
                <c:pt idx="54">
                  <c:v>41.05</c:v>
                </c:pt>
                <c:pt idx="55">
                  <c:v>41.05</c:v>
                </c:pt>
                <c:pt idx="56">
                  <c:v>41.05</c:v>
                </c:pt>
                <c:pt idx="57">
                  <c:v>41.05</c:v>
                </c:pt>
                <c:pt idx="58">
                  <c:v>41.05</c:v>
                </c:pt>
                <c:pt idx="59">
                  <c:v>41.05</c:v>
                </c:pt>
                <c:pt idx="60">
                  <c:v>41.05</c:v>
                </c:pt>
                <c:pt idx="61">
                  <c:v>41.05</c:v>
                </c:pt>
                <c:pt idx="62">
                  <c:v>41.05</c:v>
                </c:pt>
                <c:pt idx="63">
                  <c:v>41.05</c:v>
                </c:pt>
                <c:pt idx="64">
                  <c:v>41.05</c:v>
                </c:pt>
                <c:pt idx="65">
                  <c:v>41.05</c:v>
                </c:pt>
                <c:pt idx="66">
                  <c:v>41.05</c:v>
                </c:pt>
                <c:pt idx="67">
                  <c:v>41.05</c:v>
                </c:pt>
                <c:pt idx="68">
                  <c:v>41.05</c:v>
                </c:pt>
                <c:pt idx="69">
                  <c:v>41.05</c:v>
                </c:pt>
                <c:pt idx="70">
                  <c:v>41.05</c:v>
                </c:pt>
                <c:pt idx="71">
                  <c:v>41.05</c:v>
                </c:pt>
              </c:numCache>
            </c:numRef>
          </c:val>
        </c:ser>
        <c:marker val="1"/>
        <c:axId val="94353664"/>
        <c:axId val="94368128"/>
      </c:lineChart>
      <c:catAx>
        <c:axId val="94353664"/>
        <c:scaling>
          <c:orientation val="minMax"/>
        </c:scaling>
        <c:delete val="1"/>
        <c:axPos val="b"/>
        <c:title>
          <c:tx>
            <c:rich>
              <a:bodyPr/>
              <a:lstStyle/>
              <a:p>
                <a:pPr>
                  <a:defRPr/>
                </a:pPr>
                <a:r>
                  <a:rPr lang="es-ES" sz="800" b="1" i="1" baseline="0"/>
                  <a:t>Puntos de medición en Banda 890-891,5 MHz  con Procedimiento 1</a:t>
                </a:r>
                <a:endParaRPr lang="es-ES" sz="800" i="1"/>
              </a:p>
            </c:rich>
          </c:tx>
        </c:title>
        <c:tickLblPos val="none"/>
        <c:crossAx val="94368128"/>
        <c:crosses val="autoZero"/>
        <c:auto val="1"/>
        <c:lblAlgn val="ctr"/>
        <c:lblOffset val="100"/>
      </c:catAx>
      <c:valAx>
        <c:axId val="94368128"/>
        <c:scaling>
          <c:orientation val="minMax"/>
        </c:scaling>
        <c:axPos val="l"/>
        <c:majorGridlines/>
        <c:title>
          <c:tx>
            <c:rich>
              <a:bodyPr rot="-5400000" vert="horz"/>
              <a:lstStyle/>
              <a:p>
                <a:pPr>
                  <a:defRPr/>
                </a:pPr>
                <a:r>
                  <a:rPr lang="es-ES"/>
                  <a:t>V/m</a:t>
                </a:r>
              </a:p>
            </c:rich>
          </c:tx>
        </c:title>
        <c:numFmt formatCode="General" sourceLinked="1"/>
        <c:tickLblPos val="nextTo"/>
        <c:crossAx val="94353664"/>
        <c:crosses val="autoZero"/>
        <c:crossBetween val="between"/>
      </c:valAx>
    </c:plotArea>
    <c:legend>
      <c:legendPos val="b"/>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s-ES" sz="1400" b="1" i="0" u="none" strike="noStrike" baseline="0"/>
              <a:t>Valor Prom. E [V/m] Mediciones </a:t>
            </a:r>
            <a:r>
              <a:rPr lang="es-ES" sz="1400" b="1" i="0" baseline="0"/>
              <a:t>Telefonía Móvil (Porta)  Edificios Cercanos  </a:t>
            </a:r>
          </a:p>
        </c:rich>
      </c:tx>
      <c:layout>
        <c:manualLayout>
          <c:xMode val="edge"/>
          <c:yMode val="edge"/>
          <c:x val="0.16325643746562579"/>
          <c:y val="3.4615384615384617E-2"/>
        </c:manualLayout>
      </c:layout>
    </c:title>
    <c:view3D>
      <c:rotX val="90"/>
      <c:rotY val="70"/>
      <c:rAngAx val="1"/>
    </c:view3D>
    <c:plotArea>
      <c:layout>
        <c:manualLayout>
          <c:layoutTarget val="inner"/>
          <c:xMode val="edge"/>
          <c:yMode val="edge"/>
          <c:x val="0.12791907261592472"/>
          <c:y val="0.19495389415282682"/>
          <c:w val="0.8498587051618548"/>
          <c:h val="0.64202483397080834"/>
        </c:manualLayout>
      </c:layout>
      <c:bar3DChart>
        <c:barDir val="col"/>
        <c:grouping val="clustered"/>
        <c:ser>
          <c:idx val="0"/>
          <c:order val="0"/>
          <c:tx>
            <c:v>Procedimiento de Medición 1</c:v>
          </c:tx>
          <c:val>
            <c:numRef>
              <c:f>'Comp % por porcedi'!$Q$40:$Q$63</c:f>
              <c:numCache>
                <c:formatCode>0.000</c:formatCode>
                <c:ptCount val="24"/>
                <c:pt idx="0">
                  <c:v>1.2406666666666673E-2</c:v>
                </c:pt>
                <c:pt idx="1">
                  <c:v>1.3903333333333486E-2</c:v>
                </c:pt>
                <c:pt idx="2">
                  <c:v>1.2220000000000003E-2</c:v>
                </c:pt>
                <c:pt idx="3">
                  <c:v>2.0406666666666681E-2</c:v>
                </c:pt>
                <c:pt idx="4">
                  <c:v>1.4543333333333333E-2</c:v>
                </c:pt>
                <c:pt idx="5">
                  <c:v>1.6703333333333441E-2</c:v>
                </c:pt>
                <c:pt idx="6">
                  <c:v>2.9313333333333341E-2</c:v>
                </c:pt>
                <c:pt idx="7">
                  <c:v>1.8900000000000194E-2</c:v>
                </c:pt>
                <c:pt idx="8">
                  <c:v>0.12863333333333341</c:v>
                </c:pt>
                <c:pt idx="9">
                  <c:v>0.26247666666667058</c:v>
                </c:pt>
                <c:pt idx="10">
                  <c:v>0.19516666666666668</c:v>
                </c:pt>
                <c:pt idx="11">
                  <c:v>0.18953333333333608</c:v>
                </c:pt>
                <c:pt idx="12">
                  <c:v>4.6433333333334E-2</c:v>
                </c:pt>
                <c:pt idx="13">
                  <c:v>6.1103333333333433E-2</c:v>
                </c:pt>
                <c:pt idx="14">
                  <c:v>2.472333333333334E-2</c:v>
                </c:pt>
                <c:pt idx="15">
                  <c:v>5.9876666666666724E-2</c:v>
                </c:pt>
                <c:pt idx="16">
                  <c:v>5.3033333333334064E-2</c:v>
                </c:pt>
                <c:pt idx="17">
                  <c:v>5.9690000000000104E-2</c:v>
                </c:pt>
                <c:pt idx="18">
                  <c:v>5.9760000000000875E-2</c:v>
                </c:pt>
                <c:pt idx="19">
                  <c:v>5.0813333333334251E-2</c:v>
                </c:pt>
                <c:pt idx="20">
                  <c:v>0.27113333333333323</c:v>
                </c:pt>
                <c:pt idx="21">
                  <c:v>0.14466666666666669</c:v>
                </c:pt>
                <c:pt idx="22">
                  <c:v>0.67756666666666676</c:v>
                </c:pt>
                <c:pt idx="23">
                  <c:v>0.42823333333333324</c:v>
                </c:pt>
              </c:numCache>
            </c:numRef>
          </c:val>
        </c:ser>
        <c:ser>
          <c:idx val="1"/>
          <c:order val="1"/>
          <c:tx>
            <c:v>Procedimiento de Medición 2</c:v>
          </c:tx>
          <c:val>
            <c:numRef>
              <c:f>'Comp % por porcedi'!$R$40:$R$63</c:f>
              <c:numCache>
                <c:formatCode>0.000</c:formatCode>
                <c:ptCount val="24"/>
                <c:pt idx="0">
                  <c:v>2.6833333333333678E-2</c:v>
                </c:pt>
                <c:pt idx="1">
                  <c:v>2.807666666666668E-2</c:v>
                </c:pt>
                <c:pt idx="2">
                  <c:v>1.0619999999999996E-2</c:v>
                </c:pt>
                <c:pt idx="3">
                  <c:v>2.0293333333333351E-2</c:v>
                </c:pt>
                <c:pt idx="4">
                  <c:v>1.6803333333333528E-2</c:v>
                </c:pt>
                <c:pt idx="5">
                  <c:v>2.6456666666666691E-2</c:v>
                </c:pt>
                <c:pt idx="6">
                  <c:v>0.11333333333333333</c:v>
                </c:pt>
                <c:pt idx="7">
                  <c:v>0.11320333333333336</c:v>
                </c:pt>
                <c:pt idx="8">
                  <c:v>0.32193333333333335</c:v>
                </c:pt>
                <c:pt idx="9">
                  <c:v>0.19473333333333517</c:v>
                </c:pt>
                <c:pt idx="10">
                  <c:v>5.3100000000000001E-2</c:v>
                </c:pt>
                <c:pt idx="11">
                  <c:v>1.217E-2</c:v>
                </c:pt>
                <c:pt idx="12">
                  <c:v>0.25636666666667057</c:v>
                </c:pt>
                <c:pt idx="13">
                  <c:v>0.28733333333333333</c:v>
                </c:pt>
                <c:pt idx="14">
                  <c:v>0.3013000000000034</c:v>
                </c:pt>
                <c:pt idx="15">
                  <c:v>0.40250000000000002</c:v>
                </c:pt>
                <c:pt idx="16">
                  <c:v>0.30710000000000032</c:v>
                </c:pt>
                <c:pt idx="17">
                  <c:v>0.40656666666667057</c:v>
                </c:pt>
                <c:pt idx="18">
                  <c:v>0.80046666666666044</c:v>
                </c:pt>
                <c:pt idx="19">
                  <c:v>0.58826666666665772</c:v>
                </c:pt>
                <c:pt idx="20">
                  <c:v>1.9619999999999918</c:v>
                </c:pt>
                <c:pt idx="21">
                  <c:v>0.99233333333333329</c:v>
                </c:pt>
                <c:pt idx="22">
                  <c:v>0.7316666666666668</c:v>
                </c:pt>
                <c:pt idx="23">
                  <c:v>0.16780000000000003</c:v>
                </c:pt>
              </c:numCache>
            </c:numRef>
          </c:val>
        </c:ser>
        <c:shape val="cylinder"/>
        <c:axId val="89662976"/>
        <c:axId val="89664512"/>
        <c:axId val="0"/>
      </c:bar3DChart>
      <c:catAx>
        <c:axId val="89662976"/>
        <c:scaling>
          <c:orientation val="minMax"/>
        </c:scaling>
        <c:delete val="1"/>
        <c:axPos val="b"/>
        <c:majorTickMark val="none"/>
        <c:tickLblPos val="none"/>
        <c:crossAx val="89664512"/>
        <c:crosses val="autoZero"/>
        <c:auto val="1"/>
        <c:lblAlgn val="ctr"/>
        <c:lblOffset val="100"/>
      </c:catAx>
      <c:valAx>
        <c:axId val="89664512"/>
        <c:scaling>
          <c:orientation val="minMax"/>
        </c:scaling>
        <c:axPos val="l"/>
        <c:majorGridlines/>
        <c:minorGridlines/>
        <c:numFmt formatCode="0.000" sourceLinked="1"/>
        <c:majorTickMark val="none"/>
        <c:tickLblPos val="nextTo"/>
        <c:crossAx val="89662976"/>
        <c:crosses val="autoZero"/>
        <c:crossBetween val="between"/>
      </c:valAx>
    </c:plotArea>
    <c:legend>
      <c:legendPos val="b"/>
      <c:layout>
        <c:manualLayout>
          <c:xMode val="edge"/>
          <c:yMode val="edge"/>
          <c:x val="0.25058188481156835"/>
          <c:y val="0.31697581426483379"/>
          <c:w val="0.25559228445500914"/>
          <c:h val="0.23221969737004391"/>
        </c:manualLayout>
      </c:layout>
      <c:overlay val="1"/>
      <c:spPr>
        <a:solidFill>
          <a:srgbClr val="FFFF99">
            <a:alpha val="60000"/>
          </a:srgbClr>
        </a:solidFill>
        <a:ln>
          <a:solidFill>
            <a:srgbClr val="EEECE1">
              <a:lumMod val="75000"/>
            </a:srgbClr>
          </a:solidFill>
        </a:ln>
      </c:spPr>
    </c:legend>
    <c:plotVisOnly val="1"/>
  </c:chart>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n-US" sz="1200" i="1"/>
              <a:t>Nº de Mediciones por Rango de Relación Porcentual al Nivel de Referencia. Telefonía Movil PORTA Procedimiento de Medición 1</a:t>
            </a:r>
          </a:p>
        </c:rich>
      </c:tx>
      <c:layout>
        <c:manualLayout>
          <c:xMode val="edge"/>
          <c:yMode val="edge"/>
          <c:x val="0.11928816706272348"/>
          <c:y val="3.7231708164386396E-2"/>
        </c:manualLayout>
      </c:layout>
    </c:title>
    <c:view3D>
      <c:rotX val="30"/>
      <c:rotY val="50"/>
      <c:depthPercent val="100"/>
      <c:rAngAx val="1"/>
    </c:view3D>
    <c:plotArea>
      <c:layout/>
      <c:bar3DChart>
        <c:barDir val="bar"/>
        <c:grouping val="clustered"/>
        <c:ser>
          <c:idx val="0"/>
          <c:order val="0"/>
          <c:tx>
            <c:v>% Respecto al Total</c:v>
          </c:tx>
          <c:dLbls>
            <c:dLbl>
              <c:idx val="0"/>
              <c:layout>
                <c:manualLayout>
                  <c:x val="-2.3113752682846295E-2"/>
                  <c:y val="-5.5865921787709494E-2"/>
                </c:manualLayout>
              </c:layout>
              <c:tx>
                <c:rich>
                  <a:bodyPr/>
                  <a:lstStyle/>
                  <a:p>
                    <a:r>
                      <a:rPr lang="en-US" b="1"/>
                      <a:t>40,28%</a:t>
                    </a:r>
                  </a:p>
                </c:rich>
              </c:tx>
              <c:showVal val="1"/>
            </c:dLbl>
            <c:dLbl>
              <c:idx val="1"/>
              <c:tx>
                <c:rich>
                  <a:bodyPr/>
                  <a:lstStyle/>
                  <a:p>
                    <a:r>
                      <a:rPr lang="en-US" b="1"/>
                      <a:t>23,61%</a:t>
                    </a:r>
                  </a:p>
                </c:rich>
              </c:tx>
              <c:showVal val="1"/>
            </c:dLbl>
            <c:dLbl>
              <c:idx val="2"/>
              <c:tx>
                <c:rich>
                  <a:bodyPr/>
                  <a:lstStyle/>
                  <a:p>
                    <a:r>
                      <a:rPr lang="en-US" b="1"/>
                      <a:t>15,28%</a:t>
                    </a:r>
                  </a:p>
                </c:rich>
              </c:tx>
              <c:showVal val="1"/>
            </c:dLbl>
            <c:dLbl>
              <c:idx val="3"/>
              <c:tx>
                <c:rich>
                  <a:bodyPr/>
                  <a:lstStyle/>
                  <a:p>
                    <a:r>
                      <a:rPr lang="en-US" b="1"/>
                      <a:t>5.56%</a:t>
                    </a:r>
                  </a:p>
                </c:rich>
              </c:tx>
              <c:showVal val="1"/>
            </c:dLbl>
            <c:dLbl>
              <c:idx val="4"/>
              <c:tx>
                <c:rich>
                  <a:bodyPr/>
                  <a:lstStyle/>
                  <a:p>
                    <a:r>
                      <a:rPr lang="en-US" b="1"/>
                      <a:t>11,11%</a:t>
                    </a:r>
                  </a:p>
                </c:rich>
              </c:tx>
              <c:showVal val="1"/>
            </c:dLbl>
            <c:dLbl>
              <c:idx val="5"/>
              <c:tx>
                <c:rich>
                  <a:bodyPr/>
                  <a:lstStyle/>
                  <a:p>
                    <a:r>
                      <a:rPr lang="en-US" b="1"/>
                      <a:t>4,17%</a:t>
                    </a:r>
                  </a:p>
                </c:rich>
              </c:tx>
              <c:showVal val="1"/>
            </c:dLbl>
            <c:dLbl>
              <c:idx val="6"/>
              <c:layout>
                <c:manualLayout>
                  <c:x val="7.445069116339585E-3"/>
                  <c:y val="-7.3408029325687024E-3"/>
                </c:manualLayout>
              </c:layout>
              <c:tx>
                <c:rich>
                  <a:bodyPr/>
                  <a:lstStyle/>
                  <a:p>
                    <a:r>
                      <a:rPr lang="en-US" b="1"/>
                      <a:t>0,0%</a:t>
                    </a:r>
                  </a:p>
                </c:rich>
              </c:tx>
              <c:showVal val="1"/>
            </c:dLbl>
            <c:dLbl>
              <c:idx val="7"/>
              <c:tx>
                <c:rich>
                  <a:bodyPr/>
                  <a:lstStyle/>
                  <a:p>
                    <a:r>
                      <a:rPr lang="en-US" b="1"/>
                      <a:t>0%</a:t>
                    </a:r>
                  </a:p>
                </c:rich>
              </c:tx>
              <c:showVal val="1"/>
            </c:dLbl>
            <c:dLbl>
              <c:idx val="8"/>
              <c:tx>
                <c:rich>
                  <a:bodyPr/>
                  <a:lstStyle/>
                  <a:p>
                    <a:r>
                      <a:rPr lang="en-US" b="1"/>
                      <a:t>0%</a:t>
                    </a:r>
                  </a:p>
                </c:rich>
              </c:tx>
              <c:showVal val="1"/>
            </c:dLbl>
            <c:showVal val="1"/>
          </c:dLbls>
          <c:cat>
            <c:strRef>
              <c:f>'Resultados VS Limites Narda'!$S$11:$Y$11</c:f>
              <c:strCache>
                <c:ptCount val="7"/>
                <c:pt idx="0">
                  <c:v>&lt; 0,05%    </c:v>
                </c:pt>
                <c:pt idx="1">
                  <c:v> 0,05 a 0,1%</c:v>
                </c:pt>
                <c:pt idx="2">
                  <c:v>0,1 a 0,15%</c:v>
                </c:pt>
                <c:pt idx="3">
                  <c:v> 0,15 a 0,2%</c:v>
                </c:pt>
                <c:pt idx="4">
                  <c:v> 0,2 a 0,5%  </c:v>
                </c:pt>
                <c:pt idx="5">
                  <c:v>0,5 a 1%    </c:v>
                </c:pt>
                <c:pt idx="6">
                  <c:v>&gt; 1 %      </c:v>
                </c:pt>
              </c:strCache>
            </c:strRef>
          </c:cat>
          <c:val>
            <c:numRef>
              <c:f>'Resultados VS Limites Narda'!$S$12:$Y$12</c:f>
              <c:numCache>
                <c:formatCode>General</c:formatCode>
                <c:ptCount val="7"/>
                <c:pt idx="0">
                  <c:v>29</c:v>
                </c:pt>
                <c:pt idx="1">
                  <c:v>17</c:v>
                </c:pt>
                <c:pt idx="2">
                  <c:v>11</c:v>
                </c:pt>
                <c:pt idx="3">
                  <c:v>4</c:v>
                </c:pt>
                <c:pt idx="4">
                  <c:v>8</c:v>
                </c:pt>
                <c:pt idx="5">
                  <c:v>3</c:v>
                </c:pt>
                <c:pt idx="6">
                  <c:v>0</c:v>
                </c:pt>
              </c:numCache>
            </c:numRef>
          </c:val>
        </c:ser>
        <c:dLbls>
          <c:showVal val="1"/>
        </c:dLbls>
        <c:gapWidth val="300"/>
        <c:shape val="box"/>
        <c:axId val="95786112"/>
        <c:axId val="95788032"/>
        <c:axId val="0"/>
      </c:bar3DChart>
      <c:catAx>
        <c:axId val="95786112"/>
        <c:scaling>
          <c:orientation val="minMax"/>
        </c:scaling>
        <c:axPos val="l"/>
        <c:majorGridlines/>
        <c:title>
          <c:tx>
            <c:rich>
              <a:bodyPr/>
              <a:lstStyle/>
              <a:p>
                <a:pPr>
                  <a:defRPr sz="1000">
                    <a:latin typeface="+mn-lt"/>
                    <a:cs typeface="Arial" pitchFamily="34" charset="0"/>
                  </a:defRPr>
                </a:pPr>
                <a:r>
                  <a:rPr lang="en-US" sz="1000">
                    <a:latin typeface="+mn-lt"/>
                    <a:cs typeface="Arial" pitchFamily="34" charset="0"/>
                  </a:rPr>
                  <a:t>Relación Porcentual</a:t>
                </a:r>
              </a:p>
            </c:rich>
          </c:tx>
        </c:title>
        <c:majorTickMark val="none"/>
        <c:tickLblPos val="nextTo"/>
        <c:crossAx val="95788032"/>
        <c:crosses val="autoZero"/>
        <c:auto val="1"/>
        <c:lblAlgn val="ctr"/>
        <c:lblOffset val="100"/>
      </c:catAx>
      <c:valAx>
        <c:axId val="95788032"/>
        <c:scaling>
          <c:orientation val="minMax"/>
        </c:scaling>
        <c:axPos val="b"/>
        <c:majorGridlines/>
        <c:minorGridlines/>
        <c:title>
          <c:tx>
            <c:rich>
              <a:bodyPr/>
              <a:lstStyle/>
              <a:p>
                <a:pPr>
                  <a:defRPr>
                    <a:latin typeface="+mn-lt"/>
                    <a:cs typeface="Arial" pitchFamily="34" charset="0"/>
                  </a:defRPr>
                </a:pPr>
                <a:r>
                  <a:rPr lang="es-ES">
                    <a:latin typeface="+mn-lt"/>
                    <a:cs typeface="Arial" pitchFamily="34" charset="0"/>
                  </a:rPr>
                  <a:t>Número de Mediciones</a:t>
                </a:r>
              </a:p>
            </c:rich>
          </c:tx>
        </c:title>
        <c:numFmt formatCode="General" sourceLinked="1"/>
        <c:tickLblPos val="nextTo"/>
        <c:crossAx val="95786112"/>
        <c:crosses val="autoZero"/>
        <c:crossBetween val="between"/>
      </c:valAx>
    </c:plotArea>
    <c:legend>
      <c:legendPos val="b"/>
      <c:layout>
        <c:manualLayout>
          <c:xMode val="edge"/>
          <c:yMode val="edge"/>
          <c:x val="0.67457842769654575"/>
          <c:y val="0.28856567336183125"/>
          <c:w val="0.29903087114110738"/>
          <c:h val="6.7325775394296988E-2"/>
        </c:manualLayout>
      </c:layout>
      <c:overlay val="1"/>
      <c:spPr>
        <a:solidFill>
          <a:srgbClr val="EEECE1">
            <a:lumMod val="90000"/>
          </a:srgbClr>
        </a:solidFill>
        <a:ln>
          <a:solidFill>
            <a:srgbClr val="1F497D">
              <a:lumMod val="60000"/>
              <a:lumOff val="40000"/>
            </a:srgbClr>
          </a:solidFill>
        </a:ln>
      </c:spP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a:t>Límite</a:t>
            </a:r>
            <a:r>
              <a:rPr lang="es-ES" sz="1100" baseline="0"/>
              <a:t> Vs. Valores de las mediciones realizadas Banda  869-880 MHz con Procedimiento de medición 2</a:t>
            </a:r>
            <a:endParaRPr lang="es-ES" sz="1100"/>
          </a:p>
        </c:rich>
      </c:tx>
    </c:title>
    <c:plotArea>
      <c:layout/>
      <c:lineChart>
        <c:grouping val="standard"/>
        <c:ser>
          <c:idx val="0"/>
          <c:order val="0"/>
          <c:tx>
            <c:v>Valores obtenidos</c:v>
          </c:tx>
          <c:marker>
            <c:symbol val="none"/>
          </c:marker>
          <c:val>
            <c:numRef>
              <c:f>'p2'!$F$6:$F$77</c:f>
              <c:numCache>
                <c:formatCode>General</c:formatCode>
                <c:ptCount val="72"/>
                <c:pt idx="0">
                  <c:v>1.296</c:v>
                </c:pt>
                <c:pt idx="1">
                  <c:v>1.2589999999999908</c:v>
                </c:pt>
                <c:pt idx="2">
                  <c:v>0.92430000000000001</c:v>
                </c:pt>
                <c:pt idx="3">
                  <c:v>1.782</c:v>
                </c:pt>
                <c:pt idx="4">
                  <c:v>1.538</c:v>
                </c:pt>
                <c:pt idx="5">
                  <c:v>1.1319999999999908</c:v>
                </c:pt>
                <c:pt idx="6">
                  <c:v>1.0840000000000001</c:v>
                </c:pt>
                <c:pt idx="7">
                  <c:v>0.84030000000000005</c:v>
                </c:pt>
                <c:pt idx="8">
                  <c:v>1.161999999999991</c:v>
                </c:pt>
                <c:pt idx="9">
                  <c:v>0.53970000000000062</c:v>
                </c:pt>
                <c:pt idx="10">
                  <c:v>0.35300000000000031</c:v>
                </c:pt>
                <c:pt idx="11">
                  <c:v>0.85780000000000456</c:v>
                </c:pt>
                <c:pt idx="12">
                  <c:v>0.48690000000000205</c:v>
                </c:pt>
                <c:pt idx="13">
                  <c:v>0.54930000000000001</c:v>
                </c:pt>
                <c:pt idx="14">
                  <c:v>0.53049999999999997</c:v>
                </c:pt>
                <c:pt idx="15">
                  <c:v>0.29430000000000234</c:v>
                </c:pt>
                <c:pt idx="16">
                  <c:v>0.27660000000000001</c:v>
                </c:pt>
                <c:pt idx="17">
                  <c:v>0.32610000000000205</c:v>
                </c:pt>
                <c:pt idx="18">
                  <c:v>0.34670000000000001</c:v>
                </c:pt>
                <c:pt idx="19">
                  <c:v>0.22720000000000001</c:v>
                </c:pt>
                <c:pt idx="20">
                  <c:v>0.28570000000000001</c:v>
                </c:pt>
                <c:pt idx="21">
                  <c:v>0.18830000000000024</c:v>
                </c:pt>
                <c:pt idx="22">
                  <c:v>0.33300000000000263</c:v>
                </c:pt>
                <c:pt idx="23">
                  <c:v>0.40610000000000002</c:v>
                </c:pt>
                <c:pt idx="24">
                  <c:v>0.33230000000000365</c:v>
                </c:pt>
                <c:pt idx="25">
                  <c:v>0.28910000000000002</c:v>
                </c:pt>
                <c:pt idx="26">
                  <c:v>0.39150000000000246</c:v>
                </c:pt>
                <c:pt idx="27">
                  <c:v>0.49200000000000038</c:v>
                </c:pt>
                <c:pt idx="28">
                  <c:v>0.34150000000000008</c:v>
                </c:pt>
                <c:pt idx="29">
                  <c:v>0.40240000000000031</c:v>
                </c:pt>
                <c:pt idx="30">
                  <c:v>0.47500000000000031</c:v>
                </c:pt>
                <c:pt idx="31">
                  <c:v>0.38000000000000228</c:v>
                </c:pt>
                <c:pt idx="32">
                  <c:v>0.45740000000000008</c:v>
                </c:pt>
                <c:pt idx="33">
                  <c:v>0.76000000000000456</c:v>
                </c:pt>
                <c:pt idx="34">
                  <c:v>0.48200000000000032</c:v>
                </c:pt>
                <c:pt idx="35">
                  <c:v>0.53290000000000004</c:v>
                </c:pt>
                <c:pt idx="36">
                  <c:v>0.2248</c:v>
                </c:pt>
                <c:pt idx="37">
                  <c:v>0.25800000000000001</c:v>
                </c:pt>
                <c:pt idx="38">
                  <c:v>0.28630000000000205</c:v>
                </c:pt>
                <c:pt idx="39">
                  <c:v>0.29320000000000002</c:v>
                </c:pt>
                <c:pt idx="40">
                  <c:v>0.28750000000000031</c:v>
                </c:pt>
                <c:pt idx="41">
                  <c:v>0.28130000000000038</c:v>
                </c:pt>
                <c:pt idx="42">
                  <c:v>0.23880000000000001</c:v>
                </c:pt>
                <c:pt idx="43">
                  <c:v>0.24820000000000109</c:v>
                </c:pt>
                <c:pt idx="44">
                  <c:v>0.41690000000000038</c:v>
                </c:pt>
                <c:pt idx="45">
                  <c:v>0.40360000000000001</c:v>
                </c:pt>
                <c:pt idx="46">
                  <c:v>0.34890000000000032</c:v>
                </c:pt>
                <c:pt idx="47">
                  <c:v>0.45500000000000002</c:v>
                </c:pt>
                <c:pt idx="48">
                  <c:v>0.3422</c:v>
                </c:pt>
                <c:pt idx="49">
                  <c:v>0.28310000000000002</c:v>
                </c:pt>
                <c:pt idx="50">
                  <c:v>0.29600000000000032</c:v>
                </c:pt>
                <c:pt idx="51">
                  <c:v>0.39610000000000234</c:v>
                </c:pt>
                <c:pt idx="52">
                  <c:v>0.46700000000000008</c:v>
                </c:pt>
                <c:pt idx="53">
                  <c:v>0.35660000000000008</c:v>
                </c:pt>
                <c:pt idx="54">
                  <c:v>0.62900000000000456</c:v>
                </c:pt>
                <c:pt idx="55">
                  <c:v>0.98</c:v>
                </c:pt>
                <c:pt idx="56">
                  <c:v>0.79239999999999999</c:v>
                </c:pt>
                <c:pt idx="57">
                  <c:v>0.51300000000000001</c:v>
                </c:pt>
                <c:pt idx="58">
                  <c:v>0.63220000000000065</c:v>
                </c:pt>
                <c:pt idx="59">
                  <c:v>0.61960000000000526</c:v>
                </c:pt>
                <c:pt idx="60">
                  <c:v>1.9960000000000091</c:v>
                </c:pt>
                <c:pt idx="61">
                  <c:v>2.0049999999999999</c:v>
                </c:pt>
                <c:pt idx="62">
                  <c:v>1.885</c:v>
                </c:pt>
                <c:pt idx="63">
                  <c:v>0.90900000000000003</c:v>
                </c:pt>
                <c:pt idx="64">
                  <c:v>1.2789999999999908</c:v>
                </c:pt>
                <c:pt idx="65">
                  <c:v>0.78900000000000003</c:v>
                </c:pt>
                <c:pt idx="66">
                  <c:v>0.45500000000000002</c:v>
                </c:pt>
                <c:pt idx="67">
                  <c:v>0.39400000000000263</c:v>
                </c:pt>
                <c:pt idx="68">
                  <c:v>1.3460000000000001</c:v>
                </c:pt>
                <c:pt idx="69">
                  <c:v>0.15230000000000021</c:v>
                </c:pt>
                <c:pt idx="70">
                  <c:v>0.20039999999999999</c:v>
                </c:pt>
                <c:pt idx="71">
                  <c:v>0.15070000000000044</c:v>
                </c:pt>
              </c:numCache>
            </c:numRef>
          </c:val>
        </c:ser>
        <c:ser>
          <c:idx val="1"/>
          <c:order val="1"/>
          <c:tx>
            <c:v>Límite</c:v>
          </c:tx>
          <c:marker>
            <c:symbol val="none"/>
          </c:marker>
          <c:val>
            <c:numRef>
              <c:f>'p2'!$H$6:$H$77</c:f>
              <c:numCache>
                <c:formatCode>General</c:formatCode>
                <c:ptCount val="72"/>
                <c:pt idx="0">
                  <c:v>40.790000000000013</c:v>
                </c:pt>
                <c:pt idx="1">
                  <c:v>40.790000000000013</c:v>
                </c:pt>
                <c:pt idx="2">
                  <c:v>40.790000000000013</c:v>
                </c:pt>
                <c:pt idx="3">
                  <c:v>40.790000000000013</c:v>
                </c:pt>
                <c:pt idx="4">
                  <c:v>40.790000000000013</c:v>
                </c:pt>
                <c:pt idx="5">
                  <c:v>40.790000000000013</c:v>
                </c:pt>
                <c:pt idx="6">
                  <c:v>40.790000000000013</c:v>
                </c:pt>
                <c:pt idx="7">
                  <c:v>40.790000000000013</c:v>
                </c:pt>
                <c:pt idx="8">
                  <c:v>40.790000000000013</c:v>
                </c:pt>
                <c:pt idx="9">
                  <c:v>40.790000000000013</c:v>
                </c:pt>
                <c:pt idx="10">
                  <c:v>40.790000000000013</c:v>
                </c:pt>
                <c:pt idx="11">
                  <c:v>40.790000000000013</c:v>
                </c:pt>
                <c:pt idx="12">
                  <c:v>40.790000000000013</c:v>
                </c:pt>
                <c:pt idx="13">
                  <c:v>40.790000000000013</c:v>
                </c:pt>
                <c:pt idx="14">
                  <c:v>40.790000000000013</c:v>
                </c:pt>
                <c:pt idx="15">
                  <c:v>40.790000000000013</c:v>
                </c:pt>
                <c:pt idx="16">
                  <c:v>40.790000000000013</c:v>
                </c:pt>
                <c:pt idx="17">
                  <c:v>40.790000000000013</c:v>
                </c:pt>
                <c:pt idx="18">
                  <c:v>40.790000000000013</c:v>
                </c:pt>
                <c:pt idx="19">
                  <c:v>40.790000000000013</c:v>
                </c:pt>
                <c:pt idx="20">
                  <c:v>40.790000000000013</c:v>
                </c:pt>
                <c:pt idx="21">
                  <c:v>40.790000000000013</c:v>
                </c:pt>
                <c:pt idx="22">
                  <c:v>40.790000000000013</c:v>
                </c:pt>
                <c:pt idx="23">
                  <c:v>40.790000000000013</c:v>
                </c:pt>
                <c:pt idx="24">
                  <c:v>40.790000000000013</c:v>
                </c:pt>
                <c:pt idx="25">
                  <c:v>40.790000000000013</c:v>
                </c:pt>
                <c:pt idx="26">
                  <c:v>40.790000000000013</c:v>
                </c:pt>
                <c:pt idx="27">
                  <c:v>40.790000000000013</c:v>
                </c:pt>
                <c:pt idx="28">
                  <c:v>40.790000000000013</c:v>
                </c:pt>
                <c:pt idx="29">
                  <c:v>40.790000000000013</c:v>
                </c:pt>
                <c:pt idx="30">
                  <c:v>40.790000000000013</c:v>
                </c:pt>
                <c:pt idx="31">
                  <c:v>40.790000000000013</c:v>
                </c:pt>
                <c:pt idx="32">
                  <c:v>40.790000000000013</c:v>
                </c:pt>
                <c:pt idx="33">
                  <c:v>40.790000000000013</c:v>
                </c:pt>
                <c:pt idx="34">
                  <c:v>40.790000000000013</c:v>
                </c:pt>
                <c:pt idx="35">
                  <c:v>40.790000000000013</c:v>
                </c:pt>
                <c:pt idx="36">
                  <c:v>40.790000000000013</c:v>
                </c:pt>
                <c:pt idx="37">
                  <c:v>40.790000000000013</c:v>
                </c:pt>
                <c:pt idx="38">
                  <c:v>40.790000000000013</c:v>
                </c:pt>
                <c:pt idx="39">
                  <c:v>40.790000000000013</c:v>
                </c:pt>
                <c:pt idx="40">
                  <c:v>40.790000000000013</c:v>
                </c:pt>
                <c:pt idx="41">
                  <c:v>40.790000000000013</c:v>
                </c:pt>
                <c:pt idx="42">
                  <c:v>40.790000000000013</c:v>
                </c:pt>
                <c:pt idx="43">
                  <c:v>40.790000000000013</c:v>
                </c:pt>
                <c:pt idx="44">
                  <c:v>40.790000000000013</c:v>
                </c:pt>
                <c:pt idx="45">
                  <c:v>40.790000000000013</c:v>
                </c:pt>
                <c:pt idx="46">
                  <c:v>40.790000000000013</c:v>
                </c:pt>
                <c:pt idx="47">
                  <c:v>40.790000000000013</c:v>
                </c:pt>
                <c:pt idx="48">
                  <c:v>40.790000000000013</c:v>
                </c:pt>
                <c:pt idx="49">
                  <c:v>40.790000000000013</c:v>
                </c:pt>
                <c:pt idx="50">
                  <c:v>40.790000000000013</c:v>
                </c:pt>
                <c:pt idx="51">
                  <c:v>40.790000000000013</c:v>
                </c:pt>
                <c:pt idx="52">
                  <c:v>40.790000000000013</c:v>
                </c:pt>
                <c:pt idx="53">
                  <c:v>40.790000000000013</c:v>
                </c:pt>
                <c:pt idx="54">
                  <c:v>40.790000000000013</c:v>
                </c:pt>
                <c:pt idx="55">
                  <c:v>40.790000000000013</c:v>
                </c:pt>
                <c:pt idx="56">
                  <c:v>40.790000000000013</c:v>
                </c:pt>
                <c:pt idx="57">
                  <c:v>40.790000000000013</c:v>
                </c:pt>
                <c:pt idx="58">
                  <c:v>40.790000000000013</c:v>
                </c:pt>
                <c:pt idx="59">
                  <c:v>40.790000000000013</c:v>
                </c:pt>
                <c:pt idx="60">
                  <c:v>40.790000000000013</c:v>
                </c:pt>
                <c:pt idx="61">
                  <c:v>40.790000000000013</c:v>
                </c:pt>
                <c:pt idx="62">
                  <c:v>40.790000000000013</c:v>
                </c:pt>
                <c:pt idx="63">
                  <c:v>40.790000000000013</c:v>
                </c:pt>
                <c:pt idx="64">
                  <c:v>40.790000000000013</c:v>
                </c:pt>
                <c:pt idx="65">
                  <c:v>40.790000000000013</c:v>
                </c:pt>
                <c:pt idx="66">
                  <c:v>40.790000000000013</c:v>
                </c:pt>
                <c:pt idx="67">
                  <c:v>40.790000000000013</c:v>
                </c:pt>
                <c:pt idx="68">
                  <c:v>40.790000000000013</c:v>
                </c:pt>
                <c:pt idx="69">
                  <c:v>40.790000000000013</c:v>
                </c:pt>
                <c:pt idx="70">
                  <c:v>40.790000000000013</c:v>
                </c:pt>
                <c:pt idx="71">
                  <c:v>40.790000000000013</c:v>
                </c:pt>
              </c:numCache>
            </c:numRef>
          </c:val>
        </c:ser>
        <c:marker val="1"/>
        <c:axId val="102334464"/>
        <c:axId val="102336384"/>
      </c:lineChart>
      <c:catAx>
        <c:axId val="102334464"/>
        <c:scaling>
          <c:orientation val="minMax"/>
        </c:scaling>
        <c:delete val="1"/>
        <c:axPos val="b"/>
        <c:title>
          <c:tx>
            <c:rich>
              <a:bodyPr/>
              <a:lstStyle/>
              <a:p>
                <a:pPr>
                  <a:defRPr/>
                </a:pPr>
                <a:r>
                  <a:rPr lang="es-ES" sz="800" i="1"/>
                  <a:t>Puntos de medición en Banda 869-880 MHz  con Procedimiento</a:t>
                </a:r>
                <a:r>
                  <a:rPr lang="es-ES" sz="800" i="1" baseline="0"/>
                  <a:t> 2</a:t>
                </a:r>
                <a:endParaRPr lang="es-ES" sz="800" i="1"/>
              </a:p>
            </c:rich>
          </c:tx>
          <c:layout>
            <c:manualLayout>
              <c:xMode val="edge"/>
              <c:yMode val="edge"/>
              <c:x val="0.2037055417700579"/>
              <c:y val="0.80808599561997463"/>
            </c:manualLayout>
          </c:layout>
        </c:title>
        <c:tickLblPos val="none"/>
        <c:crossAx val="102336384"/>
        <c:crosses val="autoZero"/>
        <c:auto val="1"/>
        <c:lblAlgn val="ctr"/>
        <c:lblOffset val="100"/>
      </c:catAx>
      <c:valAx>
        <c:axId val="102336384"/>
        <c:scaling>
          <c:orientation val="minMax"/>
        </c:scaling>
        <c:axPos val="l"/>
        <c:majorGridlines/>
        <c:title>
          <c:tx>
            <c:rich>
              <a:bodyPr rot="-5400000" vert="horz"/>
              <a:lstStyle/>
              <a:p>
                <a:pPr>
                  <a:defRPr/>
                </a:pPr>
                <a:r>
                  <a:rPr lang="en-US"/>
                  <a:t>V/m</a:t>
                </a:r>
              </a:p>
            </c:rich>
          </c:tx>
        </c:title>
        <c:numFmt formatCode="General" sourceLinked="1"/>
        <c:tickLblPos val="nextTo"/>
        <c:crossAx val="102334464"/>
        <c:crosses val="autoZero"/>
        <c:crossBetween val="between"/>
      </c:valAx>
    </c:plotArea>
    <c:legend>
      <c:legendPos val="b"/>
      <c:layout>
        <c:manualLayout>
          <c:xMode val="edge"/>
          <c:yMode val="edge"/>
          <c:x val="0.26849625186429882"/>
          <c:y val="0.8849982446461766"/>
          <c:w val="0.58211393550991708"/>
          <c:h val="7.4186311326469023E-2"/>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b="1" i="0" baseline="0"/>
              <a:t>Límite Vs. Valores de las mediciones realizadas Banda  890-891.5 MHz con Procedimiento de medición 2</a:t>
            </a:r>
          </a:p>
        </c:rich>
      </c:tx>
    </c:title>
    <c:plotArea>
      <c:layout/>
      <c:lineChart>
        <c:grouping val="standard"/>
        <c:ser>
          <c:idx val="0"/>
          <c:order val="0"/>
          <c:tx>
            <c:v>Valores obtenidos</c:v>
          </c:tx>
          <c:marker>
            <c:symbol val="none"/>
          </c:marker>
          <c:val>
            <c:numRef>
              <c:f>'p2'!$G$6:$G$77</c:f>
              <c:numCache>
                <c:formatCode>General</c:formatCode>
                <c:ptCount val="72"/>
                <c:pt idx="0">
                  <c:v>0.27930000000000038</c:v>
                </c:pt>
                <c:pt idx="1">
                  <c:v>0.21930000000000024</c:v>
                </c:pt>
                <c:pt idx="2">
                  <c:v>0.20019999999999999</c:v>
                </c:pt>
                <c:pt idx="3">
                  <c:v>0.2586</c:v>
                </c:pt>
                <c:pt idx="4">
                  <c:v>0.23830000000000001</c:v>
                </c:pt>
                <c:pt idx="5">
                  <c:v>0.13389999999999999</c:v>
                </c:pt>
                <c:pt idx="6">
                  <c:v>0.10110000000000002</c:v>
                </c:pt>
                <c:pt idx="7">
                  <c:v>0.1278</c:v>
                </c:pt>
                <c:pt idx="8">
                  <c:v>0.11650000000000002</c:v>
                </c:pt>
                <c:pt idx="9">
                  <c:v>6.5500000000000003E-2</c:v>
                </c:pt>
                <c:pt idx="10">
                  <c:v>6.9430000000000033E-2</c:v>
                </c:pt>
                <c:pt idx="11">
                  <c:v>7.9050000000000023E-2</c:v>
                </c:pt>
                <c:pt idx="12">
                  <c:v>2.5640000000000052E-2</c:v>
                </c:pt>
                <c:pt idx="13">
                  <c:v>3.1840000000000042E-2</c:v>
                </c:pt>
                <c:pt idx="14">
                  <c:v>3.2300000000000002E-2</c:v>
                </c:pt>
                <c:pt idx="15">
                  <c:v>1.2760000000000007E-2</c:v>
                </c:pt>
                <c:pt idx="16">
                  <c:v>1.6660000000000137E-2</c:v>
                </c:pt>
                <c:pt idx="17">
                  <c:v>2.8930000000000001E-2</c:v>
                </c:pt>
                <c:pt idx="18">
                  <c:v>3.3050000000000003E-2</c:v>
                </c:pt>
                <c:pt idx="19">
                  <c:v>3.9430000000000055E-2</c:v>
                </c:pt>
                <c:pt idx="20">
                  <c:v>7.3800000000000124E-3</c:v>
                </c:pt>
                <c:pt idx="21">
                  <c:v>1.6600000000000135E-2</c:v>
                </c:pt>
                <c:pt idx="22">
                  <c:v>3.2990000000000005E-2</c:v>
                </c:pt>
                <c:pt idx="23">
                  <c:v>4.7980000000000023E-2</c:v>
                </c:pt>
                <c:pt idx="24">
                  <c:v>2.5350000000000001E-2</c:v>
                </c:pt>
                <c:pt idx="25">
                  <c:v>2.7950000000000006E-2</c:v>
                </c:pt>
                <c:pt idx="26">
                  <c:v>2.2650000000000052E-2</c:v>
                </c:pt>
                <c:pt idx="27">
                  <c:v>4.9520000000000022E-2</c:v>
                </c:pt>
                <c:pt idx="28">
                  <c:v>3.0000000000000002E-2</c:v>
                </c:pt>
                <c:pt idx="29">
                  <c:v>2.9000000000000001E-2</c:v>
                </c:pt>
                <c:pt idx="30">
                  <c:v>2.8149999999999998E-2</c:v>
                </c:pt>
                <c:pt idx="31">
                  <c:v>6.5340000000000009E-2</c:v>
                </c:pt>
                <c:pt idx="32">
                  <c:v>5.1400000000000001E-2</c:v>
                </c:pt>
                <c:pt idx="33">
                  <c:v>0.1159</c:v>
                </c:pt>
                <c:pt idx="34">
                  <c:v>0.12529999999999999</c:v>
                </c:pt>
                <c:pt idx="35">
                  <c:v>7.4990000000000556E-2</c:v>
                </c:pt>
                <c:pt idx="36">
                  <c:v>2.4680000000000011E-2</c:v>
                </c:pt>
                <c:pt idx="37">
                  <c:v>2.861E-2</c:v>
                </c:pt>
                <c:pt idx="38">
                  <c:v>2.7210000000000012E-2</c:v>
                </c:pt>
                <c:pt idx="39">
                  <c:v>2.3800000000000002E-2</c:v>
                </c:pt>
                <c:pt idx="40">
                  <c:v>3.178000000000001E-2</c:v>
                </c:pt>
                <c:pt idx="41">
                  <c:v>2.8650000000000002E-2</c:v>
                </c:pt>
                <c:pt idx="42">
                  <c:v>7.700000000000054E-3</c:v>
                </c:pt>
                <c:pt idx="43">
                  <c:v>1.481E-2</c:v>
                </c:pt>
                <c:pt idx="44">
                  <c:v>9.3500000000001082E-3</c:v>
                </c:pt>
                <c:pt idx="45">
                  <c:v>2.4109999999999999E-2</c:v>
                </c:pt>
                <c:pt idx="46">
                  <c:v>2.4369999999999989E-2</c:v>
                </c:pt>
                <c:pt idx="47">
                  <c:v>1.2400000000000001E-2</c:v>
                </c:pt>
                <c:pt idx="48">
                  <c:v>2.4E-2</c:v>
                </c:pt>
                <c:pt idx="49">
                  <c:v>1.2619999999999998E-2</c:v>
                </c:pt>
                <c:pt idx="50">
                  <c:v>1.3790000000000005E-2</c:v>
                </c:pt>
                <c:pt idx="51">
                  <c:v>1.451E-2</c:v>
                </c:pt>
                <c:pt idx="52">
                  <c:v>3.6370000000000006E-2</c:v>
                </c:pt>
                <c:pt idx="53">
                  <c:v>2.8490000000000001E-2</c:v>
                </c:pt>
                <c:pt idx="54">
                  <c:v>0.10700000000000012</c:v>
                </c:pt>
                <c:pt idx="55">
                  <c:v>0.17800000000000021</c:v>
                </c:pt>
                <c:pt idx="56">
                  <c:v>5.5000000000000014E-2</c:v>
                </c:pt>
                <c:pt idx="57">
                  <c:v>0.12440000000000002</c:v>
                </c:pt>
                <c:pt idx="58">
                  <c:v>6.7610000000000003E-2</c:v>
                </c:pt>
                <c:pt idx="59">
                  <c:v>0.14760000000000001</c:v>
                </c:pt>
                <c:pt idx="60">
                  <c:v>0.25870000000000004</c:v>
                </c:pt>
                <c:pt idx="61">
                  <c:v>0.27430000000000032</c:v>
                </c:pt>
                <c:pt idx="62">
                  <c:v>0.43280000000000263</c:v>
                </c:pt>
                <c:pt idx="63">
                  <c:v>0.26590000000000008</c:v>
                </c:pt>
                <c:pt idx="64">
                  <c:v>0.1673</c:v>
                </c:pt>
                <c:pt idx="65">
                  <c:v>0.15100000000000041</c:v>
                </c:pt>
                <c:pt idx="66">
                  <c:v>5.7540000000000001E-2</c:v>
                </c:pt>
                <c:pt idx="67">
                  <c:v>3.1000000000000052E-2</c:v>
                </c:pt>
                <c:pt idx="68">
                  <c:v>7.0760000000000114E-2</c:v>
                </c:pt>
                <c:pt idx="69">
                  <c:v>1.1700000000000113E-2</c:v>
                </c:pt>
                <c:pt idx="70">
                  <c:v>1.7809999999999999E-2</c:v>
                </c:pt>
                <c:pt idx="71">
                  <c:v>7.0000000000000114E-3</c:v>
                </c:pt>
              </c:numCache>
            </c:numRef>
          </c:val>
        </c:ser>
        <c:ser>
          <c:idx val="1"/>
          <c:order val="1"/>
          <c:tx>
            <c:v>Límite</c:v>
          </c:tx>
          <c:marker>
            <c:symbol val="none"/>
          </c:marker>
          <c:val>
            <c:numRef>
              <c:f>'p2'!$I$6:$I$77</c:f>
              <c:numCache>
                <c:formatCode>General</c:formatCode>
                <c:ptCount val="72"/>
                <c:pt idx="0">
                  <c:v>41.05</c:v>
                </c:pt>
                <c:pt idx="1">
                  <c:v>41.05</c:v>
                </c:pt>
                <c:pt idx="2">
                  <c:v>41.05</c:v>
                </c:pt>
                <c:pt idx="3">
                  <c:v>41.05</c:v>
                </c:pt>
                <c:pt idx="4">
                  <c:v>41.05</c:v>
                </c:pt>
                <c:pt idx="5">
                  <c:v>41.05</c:v>
                </c:pt>
                <c:pt idx="6">
                  <c:v>41.05</c:v>
                </c:pt>
                <c:pt idx="7">
                  <c:v>41.05</c:v>
                </c:pt>
                <c:pt idx="8">
                  <c:v>41.05</c:v>
                </c:pt>
                <c:pt idx="9">
                  <c:v>41.05</c:v>
                </c:pt>
                <c:pt idx="10">
                  <c:v>41.05</c:v>
                </c:pt>
                <c:pt idx="11">
                  <c:v>41.05</c:v>
                </c:pt>
                <c:pt idx="12">
                  <c:v>41.05</c:v>
                </c:pt>
                <c:pt idx="13">
                  <c:v>41.05</c:v>
                </c:pt>
                <c:pt idx="14">
                  <c:v>41.05</c:v>
                </c:pt>
                <c:pt idx="15">
                  <c:v>41.05</c:v>
                </c:pt>
                <c:pt idx="16">
                  <c:v>41.05</c:v>
                </c:pt>
                <c:pt idx="17">
                  <c:v>41.05</c:v>
                </c:pt>
                <c:pt idx="18">
                  <c:v>41.05</c:v>
                </c:pt>
                <c:pt idx="19">
                  <c:v>41.05</c:v>
                </c:pt>
                <c:pt idx="20">
                  <c:v>41.05</c:v>
                </c:pt>
                <c:pt idx="21">
                  <c:v>41.05</c:v>
                </c:pt>
                <c:pt idx="22">
                  <c:v>41.05</c:v>
                </c:pt>
                <c:pt idx="23">
                  <c:v>41.05</c:v>
                </c:pt>
                <c:pt idx="24">
                  <c:v>41.05</c:v>
                </c:pt>
                <c:pt idx="25">
                  <c:v>41.05</c:v>
                </c:pt>
                <c:pt idx="26">
                  <c:v>41.05</c:v>
                </c:pt>
                <c:pt idx="27">
                  <c:v>41.05</c:v>
                </c:pt>
                <c:pt idx="28">
                  <c:v>41.05</c:v>
                </c:pt>
                <c:pt idx="29">
                  <c:v>41.05</c:v>
                </c:pt>
                <c:pt idx="30">
                  <c:v>41.05</c:v>
                </c:pt>
                <c:pt idx="31">
                  <c:v>41.05</c:v>
                </c:pt>
                <c:pt idx="32">
                  <c:v>41.05</c:v>
                </c:pt>
                <c:pt idx="33">
                  <c:v>41.05</c:v>
                </c:pt>
                <c:pt idx="34">
                  <c:v>41.05</c:v>
                </c:pt>
                <c:pt idx="35">
                  <c:v>41.05</c:v>
                </c:pt>
                <c:pt idx="36">
                  <c:v>41.05</c:v>
                </c:pt>
                <c:pt idx="37">
                  <c:v>41.05</c:v>
                </c:pt>
                <c:pt idx="38">
                  <c:v>41.05</c:v>
                </c:pt>
                <c:pt idx="39">
                  <c:v>41.05</c:v>
                </c:pt>
                <c:pt idx="40">
                  <c:v>41.05</c:v>
                </c:pt>
                <c:pt idx="41">
                  <c:v>41.05</c:v>
                </c:pt>
                <c:pt idx="42">
                  <c:v>41.05</c:v>
                </c:pt>
                <c:pt idx="43">
                  <c:v>41.05</c:v>
                </c:pt>
                <c:pt idx="44">
                  <c:v>41.05</c:v>
                </c:pt>
                <c:pt idx="45">
                  <c:v>41.05</c:v>
                </c:pt>
                <c:pt idx="46">
                  <c:v>41.05</c:v>
                </c:pt>
                <c:pt idx="47">
                  <c:v>41.05</c:v>
                </c:pt>
                <c:pt idx="48">
                  <c:v>41.05</c:v>
                </c:pt>
                <c:pt idx="49">
                  <c:v>41.05</c:v>
                </c:pt>
                <c:pt idx="50">
                  <c:v>41.05</c:v>
                </c:pt>
                <c:pt idx="51">
                  <c:v>41.05</c:v>
                </c:pt>
                <c:pt idx="52">
                  <c:v>41.05</c:v>
                </c:pt>
                <c:pt idx="53">
                  <c:v>41.05</c:v>
                </c:pt>
                <c:pt idx="54">
                  <c:v>41.05</c:v>
                </c:pt>
                <c:pt idx="55">
                  <c:v>41.05</c:v>
                </c:pt>
                <c:pt idx="56">
                  <c:v>41.05</c:v>
                </c:pt>
                <c:pt idx="57">
                  <c:v>41.05</c:v>
                </c:pt>
                <c:pt idx="58">
                  <c:v>41.05</c:v>
                </c:pt>
                <c:pt idx="59">
                  <c:v>41.05</c:v>
                </c:pt>
                <c:pt idx="60">
                  <c:v>41.05</c:v>
                </c:pt>
                <c:pt idx="61">
                  <c:v>41.05</c:v>
                </c:pt>
                <c:pt idx="62">
                  <c:v>41.05</c:v>
                </c:pt>
                <c:pt idx="63">
                  <c:v>41.05</c:v>
                </c:pt>
                <c:pt idx="64">
                  <c:v>41.05</c:v>
                </c:pt>
                <c:pt idx="65">
                  <c:v>41.05</c:v>
                </c:pt>
                <c:pt idx="66">
                  <c:v>41.05</c:v>
                </c:pt>
                <c:pt idx="67">
                  <c:v>41.05</c:v>
                </c:pt>
                <c:pt idx="68">
                  <c:v>41.05</c:v>
                </c:pt>
                <c:pt idx="69">
                  <c:v>41.05</c:v>
                </c:pt>
                <c:pt idx="70">
                  <c:v>41.05</c:v>
                </c:pt>
                <c:pt idx="71">
                  <c:v>41.05</c:v>
                </c:pt>
              </c:numCache>
            </c:numRef>
          </c:val>
        </c:ser>
        <c:marker val="1"/>
        <c:axId val="102468224"/>
        <c:axId val="102482688"/>
      </c:lineChart>
      <c:catAx>
        <c:axId val="102468224"/>
        <c:scaling>
          <c:orientation val="minMax"/>
        </c:scaling>
        <c:delete val="1"/>
        <c:axPos val="b"/>
        <c:title>
          <c:tx>
            <c:rich>
              <a:bodyPr/>
              <a:lstStyle/>
              <a:p>
                <a:pPr>
                  <a:defRPr/>
                </a:pPr>
                <a:r>
                  <a:rPr lang="es-ES" sz="800" b="1" i="1" baseline="0"/>
                  <a:t>Puntos de medición en Banda 890-891.5 MHz  con Procedimiento</a:t>
                </a:r>
                <a:r>
                  <a:rPr lang="es-ES" sz="900" b="1" i="0" baseline="0"/>
                  <a:t> </a:t>
                </a:r>
                <a:r>
                  <a:rPr lang="es-ES" sz="800" b="1" i="1" baseline="0"/>
                  <a:t>2</a:t>
                </a:r>
              </a:p>
            </c:rich>
          </c:tx>
        </c:title>
        <c:tickLblPos val="none"/>
        <c:crossAx val="102482688"/>
        <c:crosses val="autoZero"/>
        <c:auto val="1"/>
        <c:lblAlgn val="ctr"/>
        <c:lblOffset val="100"/>
      </c:catAx>
      <c:valAx>
        <c:axId val="102482688"/>
        <c:scaling>
          <c:orientation val="minMax"/>
        </c:scaling>
        <c:axPos val="l"/>
        <c:majorGridlines/>
        <c:title>
          <c:tx>
            <c:rich>
              <a:bodyPr rot="-5400000" vert="horz"/>
              <a:lstStyle/>
              <a:p>
                <a:pPr>
                  <a:defRPr/>
                </a:pPr>
                <a:r>
                  <a:rPr lang="en-US" sz="1000" b="1" i="0" baseline="0"/>
                  <a:t>V/m</a:t>
                </a:r>
                <a:endParaRPr lang="es-ES" sz="400"/>
              </a:p>
            </c:rich>
          </c:tx>
        </c:title>
        <c:numFmt formatCode="General" sourceLinked="1"/>
        <c:tickLblPos val="nextTo"/>
        <c:crossAx val="102468224"/>
        <c:crosses val="autoZero"/>
        <c:crossBetween val="between"/>
      </c:valAx>
    </c:plotArea>
    <c:legend>
      <c:legendPos val="b"/>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s-ES"/>
  <c:style val="8"/>
  <c:chart>
    <c:title>
      <c:tx>
        <c:rich>
          <a:bodyPr/>
          <a:lstStyle/>
          <a:p>
            <a:pPr>
              <a:defRPr/>
            </a:pPr>
            <a:r>
              <a:rPr lang="en-US" sz="1200" i="1"/>
              <a:t>Nº de Mediciones por Rango de Relación Porcentual al Nivel de Referencia. Telefonía Móvil Porta Procedimiento de Medición 2</a:t>
            </a:r>
          </a:p>
        </c:rich>
      </c:tx>
    </c:title>
    <c:view3D>
      <c:rotX val="30"/>
      <c:rotY val="50"/>
      <c:depthPercent val="100"/>
      <c:rAngAx val="1"/>
    </c:view3D>
    <c:plotArea>
      <c:layout/>
      <c:bar3DChart>
        <c:barDir val="bar"/>
        <c:grouping val="clustered"/>
        <c:ser>
          <c:idx val="0"/>
          <c:order val="0"/>
          <c:tx>
            <c:v>% Respecto al Total</c:v>
          </c:tx>
          <c:dLbls>
            <c:dLbl>
              <c:idx val="0"/>
              <c:tx>
                <c:rich>
                  <a:bodyPr/>
                  <a:lstStyle/>
                  <a:p>
                    <a:r>
                      <a:rPr lang="en-US" b="1"/>
                      <a:t>19.44%</a:t>
                    </a:r>
                  </a:p>
                </c:rich>
              </c:tx>
              <c:showVal val="1"/>
            </c:dLbl>
            <c:dLbl>
              <c:idx val="1"/>
              <c:layout>
                <c:manualLayout>
                  <c:x val="-1.9753086419753221E-2"/>
                  <c:y val="-4.2117119357866113E-2"/>
                </c:manualLayout>
              </c:layout>
              <c:tx>
                <c:rich>
                  <a:bodyPr/>
                  <a:lstStyle/>
                  <a:p>
                    <a:r>
                      <a:rPr lang="en-US" b="1"/>
                      <a:t>34,72%</a:t>
                    </a:r>
                  </a:p>
                </c:rich>
              </c:tx>
              <c:showVal val="1"/>
            </c:dLbl>
            <c:dLbl>
              <c:idx val="2"/>
              <c:tx>
                <c:rich>
                  <a:bodyPr/>
                  <a:lstStyle/>
                  <a:p>
                    <a:r>
                      <a:rPr lang="en-US" b="1"/>
                      <a:t>6,94%</a:t>
                    </a:r>
                  </a:p>
                </c:rich>
              </c:tx>
              <c:showVal val="1"/>
            </c:dLbl>
            <c:dLbl>
              <c:idx val="3"/>
              <c:tx>
                <c:rich>
                  <a:bodyPr/>
                  <a:lstStyle/>
                  <a:p>
                    <a:r>
                      <a:rPr lang="en-US" b="1"/>
                      <a:t>9,72%</a:t>
                    </a:r>
                  </a:p>
                </c:rich>
              </c:tx>
              <c:showVal val="1"/>
            </c:dLbl>
            <c:dLbl>
              <c:idx val="4"/>
              <c:tx>
                <c:rich>
                  <a:bodyPr/>
                  <a:lstStyle/>
                  <a:p>
                    <a:r>
                      <a:rPr lang="en-US" b="1"/>
                      <a:t>18,06%</a:t>
                    </a:r>
                  </a:p>
                </c:rich>
              </c:tx>
              <c:showVal val="1"/>
            </c:dLbl>
            <c:dLbl>
              <c:idx val="5"/>
              <c:tx>
                <c:rich>
                  <a:bodyPr/>
                  <a:lstStyle/>
                  <a:p>
                    <a:r>
                      <a:rPr lang="en-US" b="1"/>
                      <a:t>9,72%</a:t>
                    </a:r>
                  </a:p>
                </c:rich>
              </c:tx>
              <c:showVal val="1"/>
            </c:dLbl>
            <c:dLbl>
              <c:idx val="6"/>
              <c:layout>
                <c:manualLayout>
                  <c:x val="-7.0539422928274824E-3"/>
                  <c:y val="3.8288290325332892E-3"/>
                </c:manualLayout>
              </c:layout>
              <c:tx>
                <c:rich>
                  <a:bodyPr/>
                  <a:lstStyle/>
                  <a:p>
                    <a:r>
                      <a:rPr lang="en-US" b="1"/>
                      <a:t>1,39%</a:t>
                    </a:r>
                  </a:p>
                </c:rich>
              </c:tx>
              <c:showVal val="1"/>
            </c:dLbl>
            <c:dLbl>
              <c:idx val="7"/>
              <c:tx>
                <c:rich>
                  <a:bodyPr/>
                  <a:lstStyle/>
                  <a:p>
                    <a:r>
                      <a:rPr lang="en-US" b="1"/>
                      <a:t>0,0%</a:t>
                    </a:r>
                  </a:p>
                </c:rich>
              </c:tx>
              <c:showVal val="1"/>
            </c:dLbl>
            <c:dLbl>
              <c:idx val="8"/>
              <c:tx>
                <c:rich>
                  <a:bodyPr/>
                  <a:lstStyle/>
                  <a:p>
                    <a:r>
                      <a:rPr lang="en-US" b="1"/>
                      <a:t>0%</a:t>
                    </a:r>
                  </a:p>
                </c:rich>
              </c:tx>
              <c:showVal val="1"/>
            </c:dLbl>
            <c:showVal val="1"/>
          </c:dLbls>
          <c:cat>
            <c:strRef>
              <c:f>'Resultados VS Limites F.Nose'!$M$11:$T$11</c:f>
              <c:strCache>
                <c:ptCount val="8"/>
                <c:pt idx="0">
                  <c:v>&lt; 0,05%   </c:v>
                </c:pt>
                <c:pt idx="1">
                  <c:v> 0,05 a 0,1%</c:v>
                </c:pt>
                <c:pt idx="2">
                  <c:v>0,1 a 0,15%</c:v>
                </c:pt>
                <c:pt idx="3">
                  <c:v> 0,15 a 0,2%</c:v>
                </c:pt>
                <c:pt idx="4">
                  <c:v> 0,2 a 0,5% </c:v>
                </c:pt>
                <c:pt idx="5">
                  <c:v>0,5 a 1%  </c:v>
                </c:pt>
                <c:pt idx="6">
                  <c:v>1 a 2%     </c:v>
                </c:pt>
                <c:pt idx="7">
                  <c:v>&gt; 2%       </c:v>
                </c:pt>
              </c:strCache>
            </c:strRef>
          </c:cat>
          <c:val>
            <c:numRef>
              <c:f>'Resultados VS Limites F.Nose'!$M$12:$T$12</c:f>
              <c:numCache>
                <c:formatCode>General</c:formatCode>
                <c:ptCount val="8"/>
                <c:pt idx="0">
                  <c:v>14</c:v>
                </c:pt>
                <c:pt idx="1">
                  <c:v>25</c:v>
                </c:pt>
                <c:pt idx="2">
                  <c:v>5</c:v>
                </c:pt>
                <c:pt idx="3">
                  <c:v>7</c:v>
                </c:pt>
                <c:pt idx="4">
                  <c:v>13</c:v>
                </c:pt>
                <c:pt idx="5">
                  <c:v>7</c:v>
                </c:pt>
                <c:pt idx="6">
                  <c:v>1</c:v>
                </c:pt>
                <c:pt idx="7">
                  <c:v>0</c:v>
                </c:pt>
              </c:numCache>
            </c:numRef>
          </c:val>
        </c:ser>
        <c:dLbls>
          <c:showVal val="1"/>
        </c:dLbls>
        <c:gapWidth val="300"/>
        <c:shape val="box"/>
        <c:axId val="102495744"/>
        <c:axId val="102497664"/>
        <c:axId val="0"/>
      </c:bar3DChart>
      <c:catAx>
        <c:axId val="102495744"/>
        <c:scaling>
          <c:orientation val="minMax"/>
        </c:scaling>
        <c:axPos val="l"/>
        <c:majorGridlines/>
        <c:title>
          <c:tx>
            <c:rich>
              <a:bodyPr/>
              <a:lstStyle/>
              <a:p>
                <a:pPr>
                  <a:defRPr/>
                </a:pPr>
                <a:r>
                  <a:rPr lang="en-US"/>
                  <a:t>Relación Porcentual</a:t>
                </a:r>
              </a:p>
            </c:rich>
          </c:tx>
        </c:title>
        <c:majorTickMark val="none"/>
        <c:tickLblPos val="nextTo"/>
        <c:crossAx val="102497664"/>
        <c:crosses val="autoZero"/>
        <c:auto val="1"/>
        <c:lblAlgn val="ctr"/>
        <c:lblOffset val="100"/>
      </c:catAx>
      <c:valAx>
        <c:axId val="102497664"/>
        <c:scaling>
          <c:orientation val="minMax"/>
        </c:scaling>
        <c:axPos val="b"/>
        <c:majorGridlines/>
        <c:minorGridlines/>
        <c:title>
          <c:tx>
            <c:rich>
              <a:bodyPr/>
              <a:lstStyle/>
              <a:p>
                <a:pPr>
                  <a:defRPr/>
                </a:pPr>
                <a:r>
                  <a:rPr lang="es-ES"/>
                  <a:t>Número de Medicones</a:t>
                </a:r>
              </a:p>
            </c:rich>
          </c:tx>
        </c:title>
        <c:numFmt formatCode="General" sourceLinked="1"/>
        <c:tickLblPos val="nextTo"/>
        <c:crossAx val="102495744"/>
        <c:crosses val="autoZero"/>
        <c:crossBetween val="between"/>
      </c:valAx>
    </c:plotArea>
    <c:legend>
      <c:legendPos val="b"/>
      <c:layout>
        <c:manualLayout>
          <c:xMode val="edge"/>
          <c:yMode val="edge"/>
          <c:x val="0.64362142675429246"/>
          <c:y val="0.3521727456481733"/>
          <c:w val="0.34036670948046893"/>
          <c:h val="6.9283193049144834E-2"/>
        </c:manualLayout>
      </c:layout>
      <c:overlay val="1"/>
      <c:spPr>
        <a:solidFill>
          <a:srgbClr val="EEECE1">
            <a:lumMod val="90000"/>
          </a:srgbClr>
        </a:solidFill>
        <a:ln>
          <a:solidFill>
            <a:srgbClr val="1F497D">
              <a:lumMod val="75000"/>
            </a:srgbClr>
          </a:solidFill>
        </a:ln>
      </c:spP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a:t>
            </a:r>
            <a:r>
              <a:rPr lang="es-ES" sz="1100" b="1" i="0" u="none" strike="noStrike" baseline="0"/>
              <a:t>880</a:t>
            </a:r>
            <a:r>
              <a:rPr lang="es-ES" sz="1100" b="1" i="0" baseline="0"/>
              <a:t>-</a:t>
            </a:r>
            <a:r>
              <a:rPr lang="es-ES" sz="1100" b="1" i="0" u="none" strike="noStrike" baseline="0"/>
              <a:t>890</a:t>
            </a:r>
            <a:r>
              <a:rPr lang="es-ES" sz="1100" b="1" i="0" baseline="0"/>
              <a:t> MHz con Procedimiento de medición 1</a:t>
            </a:r>
            <a:r>
              <a:rPr lang="es-ES" sz="1100" baseline="0"/>
              <a:t> </a:t>
            </a:r>
            <a:endParaRPr lang="es-ES" sz="1100"/>
          </a:p>
        </c:rich>
      </c:tx>
    </c:title>
    <c:plotArea>
      <c:layout/>
      <c:lineChart>
        <c:grouping val="standard"/>
        <c:ser>
          <c:idx val="0"/>
          <c:order val="0"/>
          <c:tx>
            <c:v>Valores obtenidos</c:v>
          </c:tx>
          <c:marker>
            <c:symbol val="none"/>
          </c:marker>
          <c:val>
            <c:numRef>
              <c:f>'p1'!$AD$6:$AD$71</c:f>
              <c:numCache>
                <c:formatCode>General</c:formatCode>
                <c:ptCount val="66"/>
                <c:pt idx="0">
                  <c:v>0.78859999999999997</c:v>
                </c:pt>
                <c:pt idx="1">
                  <c:v>0.75160000000000526</c:v>
                </c:pt>
                <c:pt idx="2">
                  <c:v>0.61990000000000456</c:v>
                </c:pt>
                <c:pt idx="3">
                  <c:v>0.61070000000000468</c:v>
                </c:pt>
                <c:pt idx="4">
                  <c:v>0.55689999999999995</c:v>
                </c:pt>
                <c:pt idx="5">
                  <c:v>0.56040000000000001</c:v>
                </c:pt>
                <c:pt idx="6">
                  <c:v>0.64159999999999995</c:v>
                </c:pt>
                <c:pt idx="7">
                  <c:v>0.7692000000000041</c:v>
                </c:pt>
                <c:pt idx="8">
                  <c:v>0.77580000000000526</c:v>
                </c:pt>
                <c:pt idx="9">
                  <c:v>0.63940000000000063</c:v>
                </c:pt>
                <c:pt idx="10">
                  <c:v>0.63740000000000063</c:v>
                </c:pt>
                <c:pt idx="11">
                  <c:v>0.65400000000000524</c:v>
                </c:pt>
                <c:pt idx="12">
                  <c:v>1.41</c:v>
                </c:pt>
                <c:pt idx="13">
                  <c:v>0.99819999999999998</c:v>
                </c:pt>
                <c:pt idx="14">
                  <c:v>0.98740000000000006</c:v>
                </c:pt>
                <c:pt idx="15">
                  <c:v>0.82609999999999995</c:v>
                </c:pt>
                <c:pt idx="16">
                  <c:v>0.79579999999999995</c:v>
                </c:pt>
                <c:pt idx="17">
                  <c:v>0.78</c:v>
                </c:pt>
                <c:pt idx="18" formatCode="#,##0.000">
                  <c:v>1.1980000000000082</c:v>
                </c:pt>
                <c:pt idx="19" formatCode="#,##0.000">
                  <c:v>1.054</c:v>
                </c:pt>
                <c:pt idx="20" formatCode="#,##0.000">
                  <c:v>0.67560000000000731</c:v>
                </c:pt>
                <c:pt idx="21" formatCode="#,##0.000">
                  <c:v>1.2989999999999917</c:v>
                </c:pt>
                <c:pt idx="22" formatCode="#,##0.000">
                  <c:v>1.218</c:v>
                </c:pt>
                <c:pt idx="23" formatCode="#,##0.000">
                  <c:v>1.361</c:v>
                </c:pt>
                <c:pt idx="24" formatCode="#,##0.000">
                  <c:v>1.0649999999999917</c:v>
                </c:pt>
                <c:pt idx="25" formatCode="#,##0.000">
                  <c:v>0.66930000000000456</c:v>
                </c:pt>
                <c:pt idx="26" formatCode="#,##0.000">
                  <c:v>1.048</c:v>
                </c:pt>
                <c:pt idx="27">
                  <c:v>0.68320000000000003</c:v>
                </c:pt>
                <c:pt idx="28">
                  <c:v>0.54970000000000063</c:v>
                </c:pt>
                <c:pt idx="29">
                  <c:v>0.56240000000000001</c:v>
                </c:pt>
                <c:pt idx="30">
                  <c:v>0.55000000000000004</c:v>
                </c:pt>
                <c:pt idx="31">
                  <c:v>0.56830000000000003</c:v>
                </c:pt>
                <c:pt idx="32">
                  <c:v>0.64740000000000064</c:v>
                </c:pt>
                <c:pt idx="33" formatCode="#,##0.000">
                  <c:v>1.083</c:v>
                </c:pt>
                <c:pt idx="34" formatCode="#,##0.000">
                  <c:v>1.2289999999999897</c:v>
                </c:pt>
                <c:pt idx="35" formatCode="#,##0.000">
                  <c:v>1.4909999999999908</c:v>
                </c:pt>
                <c:pt idx="36">
                  <c:v>0.5004999999999995</c:v>
                </c:pt>
                <c:pt idx="37">
                  <c:v>0.56880000000000064</c:v>
                </c:pt>
                <c:pt idx="38">
                  <c:v>0.35240000000000032</c:v>
                </c:pt>
                <c:pt idx="39">
                  <c:v>0.56120000000000003</c:v>
                </c:pt>
                <c:pt idx="40">
                  <c:v>0.53339999999999999</c:v>
                </c:pt>
                <c:pt idx="41">
                  <c:v>0.40890000000000032</c:v>
                </c:pt>
                <c:pt idx="42">
                  <c:v>0.39230000000000337</c:v>
                </c:pt>
                <c:pt idx="43">
                  <c:v>0.42540000000000205</c:v>
                </c:pt>
                <c:pt idx="44">
                  <c:v>0.40930000000000138</c:v>
                </c:pt>
                <c:pt idx="45" formatCode="#,##0.000">
                  <c:v>1.532</c:v>
                </c:pt>
                <c:pt idx="46" formatCode="#,##0.000">
                  <c:v>1.1379999999999908</c:v>
                </c:pt>
                <c:pt idx="47" formatCode="#,##0.000">
                  <c:v>1.181</c:v>
                </c:pt>
                <c:pt idx="48">
                  <c:v>0.14340000000000044</c:v>
                </c:pt>
                <c:pt idx="49">
                  <c:v>0.15780000000000041</c:v>
                </c:pt>
                <c:pt idx="50">
                  <c:v>0.1671</c:v>
                </c:pt>
                <c:pt idx="51">
                  <c:v>2.3109999999999999E-2</c:v>
                </c:pt>
                <c:pt idx="52">
                  <c:v>1.4420000000000001E-2</c:v>
                </c:pt>
                <c:pt idx="53">
                  <c:v>1.5210000000000001E-2</c:v>
                </c:pt>
                <c:pt idx="54">
                  <c:v>0.15200000000000041</c:v>
                </c:pt>
                <c:pt idx="55">
                  <c:v>0.17230000000000001</c:v>
                </c:pt>
                <c:pt idx="56">
                  <c:v>0.1386</c:v>
                </c:pt>
                <c:pt idx="57">
                  <c:v>0.45579999999999998</c:v>
                </c:pt>
                <c:pt idx="58">
                  <c:v>0.37810000000000032</c:v>
                </c:pt>
                <c:pt idx="59">
                  <c:v>0.36570000000000008</c:v>
                </c:pt>
                <c:pt idx="60">
                  <c:v>0.67410000000000525</c:v>
                </c:pt>
                <c:pt idx="61">
                  <c:v>0.60729999999999995</c:v>
                </c:pt>
                <c:pt idx="62">
                  <c:v>0.39050000000000235</c:v>
                </c:pt>
                <c:pt idx="63">
                  <c:v>0.73990000000000444</c:v>
                </c:pt>
                <c:pt idx="64">
                  <c:v>0.6726000000000073</c:v>
                </c:pt>
                <c:pt idx="65">
                  <c:v>0.4476</c:v>
                </c:pt>
              </c:numCache>
            </c:numRef>
          </c:val>
        </c:ser>
        <c:ser>
          <c:idx val="1"/>
          <c:order val="1"/>
          <c:tx>
            <c:v>Límite</c:v>
          </c:tx>
          <c:marker>
            <c:symbol val="none"/>
          </c:marker>
          <c:val>
            <c:numRef>
              <c:f>'p1'!$AF$6:$AF$71</c:f>
              <c:numCache>
                <c:formatCode>General</c:formatCode>
                <c:ptCount val="66"/>
                <c:pt idx="0">
                  <c:v>41.02</c:v>
                </c:pt>
                <c:pt idx="1">
                  <c:v>41.02</c:v>
                </c:pt>
                <c:pt idx="2">
                  <c:v>41.02</c:v>
                </c:pt>
                <c:pt idx="3">
                  <c:v>41.02</c:v>
                </c:pt>
                <c:pt idx="4">
                  <c:v>41.02</c:v>
                </c:pt>
                <c:pt idx="5">
                  <c:v>41.02</c:v>
                </c:pt>
                <c:pt idx="6">
                  <c:v>41.02</c:v>
                </c:pt>
                <c:pt idx="7">
                  <c:v>41.02</c:v>
                </c:pt>
                <c:pt idx="8">
                  <c:v>41.02</c:v>
                </c:pt>
                <c:pt idx="9">
                  <c:v>41.02</c:v>
                </c:pt>
                <c:pt idx="10">
                  <c:v>41.02</c:v>
                </c:pt>
                <c:pt idx="11">
                  <c:v>41.02</c:v>
                </c:pt>
                <c:pt idx="12">
                  <c:v>41.02</c:v>
                </c:pt>
                <c:pt idx="13">
                  <c:v>41.02</c:v>
                </c:pt>
                <c:pt idx="14">
                  <c:v>41.02</c:v>
                </c:pt>
                <c:pt idx="15">
                  <c:v>41.02</c:v>
                </c:pt>
                <c:pt idx="16">
                  <c:v>41.02</c:v>
                </c:pt>
                <c:pt idx="17">
                  <c:v>41.02</c:v>
                </c:pt>
                <c:pt idx="18">
                  <c:v>41.02</c:v>
                </c:pt>
                <c:pt idx="19">
                  <c:v>41.02</c:v>
                </c:pt>
                <c:pt idx="20">
                  <c:v>41.02</c:v>
                </c:pt>
                <c:pt idx="21">
                  <c:v>41.02</c:v>
                </c:pt>
                <c:pt idx="22">
                  <c:v>41.02</c:v>
                </c:pt>
                <c:pt idx="23">
                  <c:v>41.02</c:v>
                </c:pt>
                <c:pt idx="24">
                  <c:v>41.02</c:v>
                </c:pt>
                <c:pt idx="25">
                  <c:v>41.02</c:v>
                </c:pt>
                <c:pt idx="26">
                  <c:v>41.02</c:v>
                </c:pt>
                <c:pt idx="27">
                  <c:v>41.02</c:v>
                </c:pt>
                <c:pt idx="28">
                  <c:v>41.02</c:v>
                </c:pt>
                <c:pt idx="29">
                  <c:v>41.02</c:v>
                </c:pt>
                <c:pt idx="30">
                  <c:v>41.02</c:v>
                </c:pt>
                <c:pt idx="31">
                  <c:v>41.02</c:v>
                </c:pt>
                <c:pt idx="32">
                  <c:v>41.02</c:v>
                </c:pt>
                <c:pt idx="33">
                  <c:v>41.02</c:v>
                </c:pt>
                <c:pt idx="34">
                  <c:v>41.02</c:v>
                </c:pt>
                <c:pt idx="35">
                  <c:v>41.02</c:v>
                </c:pt>
                <c:pt idx="36">
                  <c:v>41.02</c:v>
                </c:pt>
                <c:pt idx="37">
                  <c:v>41.02</c:v>
                </c:pt>
                <c:pt idx="38">
                  <c:v>41.02</c:v>
                </c:pt>
                <c:pt idx="39">
                  <c:v>41.02</c:v>
                </c:pt>
                <c:pt idx="40">
                  <c:v>41.02</c:v>
                </c:pt>
                <c:pt idx="41">
                  <c:v>41.02</c:v>
                </c:pt>
                <c:pt idx="42">
                  <c:v>41.02</c:v>
                </c:pt>
                <c:pt idx="43">
                  <c:v>41.02</c:v>
                </c:pt>
                <c:pt idx="44">
                  <c:v>41.02</c:v>
                </c:pt>
                <c:pt idx="45">
                  <c:v>41.02</c:v>
                </c:pt>
                <c:pt idx="46">
                  <c:v>41.02</c:v>
                </c:pt>
                <c:pt idx="47">
                  <c:v>41.02</c:v>
                </c:pt>
                <c:pt idx="48">
                  <c:v>41.02</c:v>
                </c:pt>
                <c:pt idx="49">
                  <c:v>41.02</c:v>
                </c:pt>
                <c:pt idx="50">
                  <c:v>41.02</c:v>
                </c:pt>
                <c:pt idx="51">
                  <c:v>41.02</c:v>
                </c:pt>
                <c:pt idx="52">
                  <c:v>41.02</c:v>
                </c:pt>
                <c:pt idx="53">
                  <c:v>41.02</c:v>
                </c:pt>
                <c:pt idx="54">
                  <c:v>41.02</c:v>
                </c:pt>
                <c:pt idx="55">
                  <c:v>41.02</c:v>
                </c:pt>
                <c:pt idx="56">
                  <c:v>41.02</c:v>
                </c:pt>
                <c:pt idx="57">
                  <c:v>41.02</c:v>
                </c:pt>
                <c:pt idx="58">
                  <c:v>41.02</c:v>
                </c:pt>
                <c:pt idx="59">
                  <c:v>41.02</c:v>
                </c:pt>
                <c:pt idx="60">
                  <c:v>41.02</c:v>
                </c:pt>
                <c:pt idx="61">
                  <c:v>41.02</c:v>
                </c:pt>
                <c:pt idx="62">
                  <c:v>41.02</c:v>
                </c:pt>
                <c:pt idx="63">
                  <c:v>41.02</c:v>
                </c:pt>
                <c:pt idx="64">
                  <c:v>41.02</c:v>
                </c:pt>
                <c:pt idx="65">
                  <c:v>41.02</c:v>
                </c:pt>
              </c:numCache>
            </c:numRef>
          </c:val>
        </c:ser>
        <c:marker val="1"/>
        <c:axId val="102605184"/>
        <c:axId val="102607104"/>
      </c:lineChart>
      <c:catAx>
        <c:axId val="102605184"/>
        <c:scaling>
          <c:orientation val="minMax"/>
        </c:scaling>
        <c:delete val="1"/>
        <c:axPos val="b"/>
        <c:title>
          <c:tx>
            <c:rich>
              <a:bodyPr/>
              <a:lstStyle/>
              <a:p>
                <a:pPr>
                  <a:defRPr/>
                </a:pPr>
                <a:r>
                  <a:rPr lang="es-ES" sz="800" b="1" i="1" baseline="0"/>
                  <a:t>Puntos de medición en Banda 880-890 MHz  con Procedimiento 1</a:t>
                </a:r>
                <a:endParaRPr lang="es-ES" sz="800" b="1" i="1"/>
              </a:p>
            </c:rich>
          </c:tx>
        </c:title>
        <c:tickLblPos val="none"/>
        <c:crossAx val="102607104"/>
        <c:crosses val="autoZero"/>
        <c:auto val="1"/>
        <c:lblAlgn val="ctr"/>
        <c:lblOffset val="100"/>
      </c:catAx>
      <c:valAx>
        <c:axId val="102607104"/>
        <c:scaling>
          <c:orientation val="minMax"/>
        </c:scaling>
        <c:axPos val="l"/>
        <c:majorGridlines/>
        <c:title>
          <c:tx>
            <c:rich>
              <a:bodyPr rot="-5400000" vert="horz"/>
              <a:lstStyle/>
              <a:p>
                <a:pPr>
                  <a:defRPr/>
                </a:pPr>
                <a:r>
                  <a:rPr lang="es-ES"/>
                  <a:t>V/m</a:t>
                </a:r>
              </a:p>
            </c:rich>
          </c:tx>
        </c:title>
        <c:numFmt formatCode="General" sourceLinked="1"/>
        <c:tickLblPos val="nextTo"/>
        <c:crossAx val="102605184"/>
        <c:crosses val="autoZero"/>
        <c:crossBetween val="between"/>
      </c:valAx>
    </c:plotArea>
    <c:legend>
      <c:legendPos val="b"/>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a:t>
            </a:r>
            <a:r>
              <a:rPr lang="es-ES" sz="1100" b="1" i="0" u="none" strike="noStrike" baseline="0"/>
              <a:t>891,5</a:t>
            </a:r>
            <a:r>
              <a:rPr lang="es-ES" sz="1100" b="1" i="0" baseline="0"/>
              <a:t>-</a:t>
            </a:r>
            <a:r>
              <a:rPr lang="es-ES" sz="1100" b="1" i="0" u="none" strike="noStrike" baseline="0"/>
              <a:t>894</a:t>
            </a:r>
            <a:r>
              <a:rPr lang="es-ES" sz="1100" b="1" i="0" baseline="0"/>
              <a:t> MHz con Procedimiento de medición 1</a:t>
            </a:r>
            <a:r>
              <a:rPr lang="es-ES" sz="1100"/>
              <a:t> </a:t>
            </a:r>
          </a:p>
        </c:rich>
      </c:tx>
    </c:title>
    <c:plotArea>
      <c:layout/>
      <c:lineChart>
        <c:grouping val="standard"/>
        <c:ser>
          <c:idx val="0"/>
          <c:order val="0"/>
          <c:tx>
            <c:v>Valores obtenidos</c:v>
          </c:tx>
          <c:marker>
            <c:symbol val="none"/>
          </c:marker>
          <c:val>
            <c:numRef>
              <c:f>'p1'!$AE$6:$AE$71</c:f>
              <c:numCache>
                <c:formatCode>General</c:formatCode>
                <c:ptCount val="66"/>
                <c:pt idx="0">
                  <c:v>0.79159999999999997</c:v>
                </c:pt>
                <c:pt idx="1">
                  <c:v>0.53139999999999998</c:v>
                </c:pt>
                <c:pt idx="2">
                  <c:v>0.67430000000000456</c:v>
                </c:pt>
                <c:pt idx="3">
                  <c:v>0.65230000000000365</c:v>
                </c:pt>
                <c:pt idx="4">
                  <c:v>0.57570000000000165</c:v>
                </c:pt>
                <c:pt idx="5">
                  <c:v>0.61980000000000468</c:v>
                </c:pt>
                <c:pt idx="6">
                  <c:v>0.63850000000000062</c:v>
                </c:pt>
                <c:pt idx="7">
                  <c:v>0.65310000000000457</c:v>
                </c:pt>
                <c:pt idx="8">
                  <c:v>0.68080000000000063</c:v>
                </c:pt>
                <c:pt idx="9">
                  <c:v>0.56799999999999995</c:v>
                </c:pt>
                <c:pt idx="10">
                  <c:v>0.51100000000000001</c:v>
                </c:pt>
                <c:pt idx="11">
                  <c:v>0.71400000000000063</c:v>
                </c:pt>
                <c:pt idx="12">
                  <c:v>0.77110000000000456</c:v>
                </c:pt>
                <c:pt idx="13" formatCode="#,##0.000">
                  <c:v>1.052</c:v>
                </c:pt>
                <c:pt idx="14" formatCode="#,##0.000">
                  <c:v>1.0029999999999908</c:v>
                </c:pt>
                <c:pt idx="15">
                  <c:v>0.94699999999999995</c:v>
                </c:pt>
                <c:pt idx="16">
                  <c:v>0.86010000000000064</c:v>
                </c:pt>
                <c:pt idx="17">
                  <c:v>0.80010000000000003</c:v>
                </c:pt>
                <c:pt idx="18" formatCode="#,##0.000">
                  <c:v>1.147</c:v>
                </c:pt>
                <c:pt idx="19">
                  <c:v>0.88460000000000005</c:v>
                </c:pt>
                <c:pt idx="20">
                  <c:v>0.75840000000000063</c:v>
                </c:pt>
                <c:pt idx="21" formatCode="#,##0.000">
                  <c:v>1.1639999999999913</c:v>
                </c:pt>
                <c:pt idx="22" formatCode="#,##0.000">
                  <c:v>1.0840000000000001</c:v>
                </c:pt>
                <c:pt idx="23" formatCode="#,##0.000">
                  <c:v>1.181</c:v>
                </c:pt>
                <c:pt idx="24" formatCode="#,##0.000">
                  <c:v>1.1539999999999908</c:v>
                </c:pt>
                <c:pt idx="25" formatCode="#,##0.000">
                  <c:v>1.115</c:v>
                </c:pt>
                <c:pt idx="26">
                  <c:v>0.95560000000000456</c:v>
                </c:pt>
                <c:pt idx="27">
                  <c:v>0.32260000000000205</c:v>
                </c:pt>
                <c:pt idx="28">
                  <c:v>0.25340000000000001</c:v>
                </c:pt>
                <c:pt idx="29">
                  <c:v>0.16589999999999999</c:v>
                </c:pt>
                <c:pt idx="30">
                  <c:v>0.24010000000000001</c:v>
                </c:pt>
                <c:pt idx="31">
                  <c:v>0.24310000000000001</c:v>
                </c:pt>
                <c:pt idx="32">
                  <c:v>0.30070000000000002</c:v>
                </c:pt>
                <c:pt idx="33">
                  <c:v>0.63030000000000064</c:v>
                </c:pt>
                <c:pt idx="34">
                  <c:v>0.58279999999999998</c:v>
                </c:pt>
                <c:pt idx="35">
                  <c:v>0.60880000000000456</c:v>
                </c:pt>
                <c:pt idx="36">
                  <c:v>0.12920000000000001</c:v>
                </c:pt>
                <c:pt idx="37">
                  <c:v>0.12060000000000012</c:v>
                </c:pt>
                <c:pt idx="38">
                  <c:v>0.17400000000000004</c:v>
                </c:pt>
                <c:pt idx="39">
                  <c:v>8.5100000000000023E-2</c:v>
                </c:pt>
                <c:pt idx="40">
                  <c:v>0.10770000000000063</c:v>
                </c:pt>
                <c:pt idx="41">
                  <c:v>0.14430000000000001</c:v>
                </c:pt>
                <c:pt idx="42">
                  <c:v>0.42440000000000205</c:v>
                </c:pt>
                <c:pt idx="43">
                  <c:v>0.50919999999999999</c:v>
                </c:pt>
                <c:pt idx="44">
                  <c:v>0.42700000000000032</c:v>
                </c:pt>
                <c:pt idx="45">
                  <c:v>0.65780000000000538</c:v>
                </c:pt>
                <c:pt idx="46">
                  <c:v>0.60970000000000468</c:v>
                </c:pt>
                <c:pt idx="47">
                  <c:v>0.66040000000000065</c:v>
                </c:pt>
                <c:pt idx="48">
                  <c:v>8.0540000000000028E-2</c:v>
                </c:pt>
                <c:pt idx="49">
                  <c:v>9.74E-2</c:v>
                </c:pt>
                <c:pt idx="50">
                  <c:v>0.14240000000000044</c:v>
                </c:pt>
                <c:pt idx="51">
                  <c:v>1.0800000000000021E-2</c:v>
                </c:pt>
                <c:pt idx="52">
                  <c:v>1.3639999999999998E-2</c:v>
                </c:pt>
                <c:pt idx="53">
                  <c:v>1.43E-2</c:v>
                </c:pt>
                <c:pt idx="54">
                  <c:v>0.1028</c:v>
                </c:pt>
                <c:pt idx="55">
                  <c:v>0.10760000000000022</c:v>
                </c:pt>
                <c:pt idx="56">
                  <c:v>8.7109999999999993E-2</c:v>
                </c:pt>
                <c:pt idx="57">
                  <c:v>0.1663</c:v>
                </c:pt>
                <c:pt idx="58">
                  <c:v>0.18840000000000146</c:v>
                </c:pt>
                <c:pt idx="59">
                  <c:v>0.20080000000000001</c:v>
                </c:pt>
                <c:pt idx="60">
                  <c:v>0.40620000000000001</c:v>
                </c:pt>
                <c:pt idx="61">
                  <c:v>0.30570000000000008</c:v>
                </c:pt>
                <c:pt idx="62">
                  <c:v>0.26440000000000002</c:v>
                </c:pt>
                <c:pt idx="63">
                  <c:v>0.23100000000000001</c:v>
                </c:pt>
                <c:pt idx="64">
                  <c:v>0.49200000000000038</c:v>
                </c:pt>
                <c:pt idx="65">
                  <c:v>0.34960000000000002</c:v>
                </c:pt>
              </c:numCache>
            </c:numRef>
          </c:val>
        </c:ser>
        <c:ser>
          <c:idx val="1"/>
          <c:order val="1"/>
          <c:tx>
            <c:v>Límite</c:v>
          </c:tx>
          <c:marker>
            <c:symbol val="none"/>
          </c:marker>
          <c:val>
            <c:numRef>
              <c:f>'p1'!$AG$6:$AG$71</c:f>
              <c:numCache>
                <c:formatCode>General</c:formatCode>
                <c:ptCount val="66"/>
                <c:pt idx="0">
                  <c:v>41.11</c:v>
                </c:pt>
                <c:pt idx="1">
                  <c:v>41.11</c:v>
                </c:pt>
                <c:pt idx="2">
                  <c:v>41.11</c:v>
                </c:pt>
                <c:pt idx="3">
                  <c:v>41.11</c:v>
                </c:pt>
                <c:pt idx="4">
                  <c:v>41.11</c:v>
                </c:pt>
                <c:pt idx="5">
                  <c:v>41.11</c:v>
                </c:pt>
                <c:pt idx="6">
                  <c:v>41.11</c:v>
                </c:pt>
                <c:pt idx="7">
                  <c:v>41.11</c:v>
                </c:pt>
                <c:pt idx="8">
                  <c:v>41.11</c:v>
                </c:pt>
                <c:pt idx="9">
                  <c:v>41.11</c:v>
                </c:pt>
                <c:pt idx="10">
                  <c:v>41.11</c:v>
                </c:pt>
                <c:pt idx="11">
                  <c:v>41.11</c:v>
                </c:pt>
                <c:pt idx="12">
                  <c:v>41.11</c:v>
                </c:pt>
                <c:pt idx="13">
                  <c:v>41.11</c:v>
                </c:pt>
                <c:pt idx="14">
                  <c:v>41.11</c:v>
                </c:pt>
                <c:pt idx="15">
                  <c:v>41.11</c:v>
                </c:pt>
                <c:pt idx="16">
                  <c:v>41.11</c:v>
                </c:pt>
                <c:pt idx="17">
                  <c:v>41.11</c:v>
                </c:pt>
                <c:pt idx="18">
                  <c:v>41.11</c:v>
                </c:pt>
                <c:pt idx="19">
                  <c:v>41.11</c:v>
                </c:pt>
                <c:pt idx="20">
                  <c:v>41.11</c:v>
                </c:pt>
                <c:pt idx="21">
                  <c:v>41.11</c:v>
                </c:pt>
                <c:pt idx="22">
                  <c:v>41.11</c:v>
                </c:pt>
                <c:pt idx="23">
                  <c:v>41.11</c:v>
                </c:pt>
                <c:pt idx="24">
                  <c:v>41.11</c:v>
                </c:pt>
                <c:pt idx="25">
                  <c:v>41.11</c:v>
                </c:pt>
                <c:pt idx="26">
                  <c:v>41.11</c:v>
                </c:pt>
                <c:pt idx="27">
                  <c:v>41.11</c:v>
                </c:pt>
                <c:pt idx="28">
                  <c:v>41.11</c:v>
                </c:pt>
                <c:pt idx="29">
                  <c:v>41.11</c:v>
                </c:pt>
                <c:pt idx="30">
                  <c:v>41.11</c:v>
                </c:pt>
                <c:pt idx="31">
                  <c:v>41.11</c:v>
                </c:pt>
                <c:pt idx="32">
                  <c:v>41.11</c:v>
                </c:pt>
                <c:pt idx="33">
                  <c:v>41.11</c:v>
                </c:pt>
                <c:pt idx="34">
                  <c:v>41.11</c:v>
                </c:pt>
                <c:pt idx="35">
                  <c:v>41.11</c:v>
                </c:pt>
                <c:pt idx="36">
                  <c:v>41.11</c:v>
                </c:pt>
                <c:pt idx="37">
                  <c:v>41.11</c:v>
                </c:pt>
                <c:pt idx="38">
                  <c:v>41.11</c:v>
                </c:pt>
                <c:pt idx="39">
                  <c:v>41.11</c:v>
                </c:pt>
                <c:pt idx="40">
                  <c:v>41.11</c:v>
                </c:pt>
                <c:pt idx="41">
                  <c:v>41.11</c:v>
                </c:pt>
                <c:pt idx="42">
                  <c:v>41.11</c:v>
                </c:pt>
                <c:pt idx="43">
                  <c:v>41.11</c:v>
                </c:pt>
                <c:pt idx="44">
                  <c:v>41.11</c:v>
                </c:pt>
                <c:pt idx="45">
                  <c:v>41.11</c:v>
                </c:pt>
                <c:pt idx="46">
                  <c:v>41.11</c:v>
                </c:pt>
                <c:pt idx="47">
                  <c:v>41.11</c:v>
                </c:pt>
                <c:pt idx="48">
                  <c:v>41.11</c:v>
                </c:pt>
                <c:pt idx="49">
                  <c:v>41.11</c:v>
                </c:pt>
                <c:pt idx="50">
                  <c:v>41.11</c:v>
                </c:pt>
                <c:pt idx="51">
                  <c:v>41.11</c:v>
                </c:pt>
                <c:pt idx="52">
                  <c:v>41.11</c:v>
                </c:pt>
                <c:pt idx="53">
                  <c:v>41.11</c:v>
                </c:pt>
                <c:pt idx="54">
                  <c:v>41.11</c:v>
                </c:pt>
                <c:pt idx="55">
                  <c:v>41.11</c:v>
                </c:pt>
                <c:pt idx="56">
                  <c:v>41.11</c:v>
                </c:pt>
                <c:pt idx="57">
                  <c:v>41.11</c:v>
                </c:pt>
                <c:pt idx="58">
                  <c:v>41.11</c:v>
                </c:pt>
                <c:pt idx="59">
                  <c:v>41.11</c:v>
                </c:pt>
                <c:pt idx="60">
                  <c:v>41.11</c:v>
                </c:pt>
                <c:pt idx="61">
                  <c:v>41.11</c:v>
                </c:pt>
                <c:pt idx="62">
                  <c:v>41.11</c:v>
                </c:pt>
                <c:pt idx="63">
                  <c:v>41.11</c:v>
                </c:pt>
                <c:pt idx="64">
                  <c:v>41.11</c:v>
                </c:pt>
                <c:pt idx="65">
                  <c:v>41.11</c:v>
                </c:pt>
              </c:numCache>
            </c:numRef>
          </c:val>
        </c:ser>
        <c:marker val="1"/>
        <c:axId val="102624256"/>
        <c:axId val="102646912"/>
      </c:lineChart>
      <c:catAx>
        <c:axId val="102624256"/>
        <c:scaling>
          <c:orientation val="minMax"/>
        </c:scaling>
        <c:delete val="1"/>
        <c:axPos val="b"/>
        <c:title>
          <c:tx>
            <c:rich>
              <a:bodyPr/>
              <a:lstStyle/>
              <a:p>
                <a:pPr>
                  <a:defRPr/>
                </a:pPr>
                <a:r>
                  <a:rPr lang="es-ES" sz="900" b="1" i="1" baseline="0"/>
                  <a:t>Puntos de medición en Banda 891,5-894 MHz  con procedimiento 1</a:t>
                </a:r>
              </a:p>
            </c:rich>
          </c:tx>
        </c:title>
        <c:tickLblPos val="none"/>
        <c:crossAx val="102646912"/>
        <c:crosses val="autoZero"/>
        <c:auto val="1"/>
        <c:lblAlgn val="ctr"/>
        <c:lblOffset val="100"/>
      </c:catAx>
      <c:valAx>
        <c:axId val="102646912"/>
        <c:scaling>
          <c:orientation val="minMax"/>
        </c:scaling>
        <c:axPos val="l"/>
        <c:majorGridlines/>
        <c:title>
          <c:tx>
            <c:rich>
              <a:bodyPr rot="-5400000" vert="horz"/>
              <a:lstStyle/>
              <a:p>
                <a:pPr>
                  <a:defRPr/>
                </a:pPr>
                <a:r>
                  <a:rPr lang="es-ES"/>
                  <a:t>V/m</a:t>
                </a:r>
              </a:p>
            </c:rich>
          </c:tx>
        </c:title>
        <c:numFmt formatCode="General" sourceLinked="1"/>
        <c:tickLblPos val="nextTo"/>
        <c:crossAx val="102624256"/>
        <c:crosses val="autoZero"/>
        <c:crossBetween val="between"/>
      </c:valAx>
    </c:plotArea>
    <c:legend>
      <c:legendPos val="b"/>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s-ES"/>
  <c:style val="1"/>
  <c:chart>
    <c:title>
      <c:tx>
        <c:rich>
          <a:bodyPr/>
          <a:lstStyle/>
          <a:p>
            <a:pPr>
              <a:defRPr/>
            </a:pPr>
            <a:r>
              <a:rPr lang="en-US" sz="1200" i="1"/>
              <a:t>Nº de Mediciones por Rango de Relación Porcentual al Nivel de Referencia. Telefonía Móvil MOVISTAR Procedimiento de Medición 1</a:t>
            </a:r>
          </a:p>
        </c:rich>
      </c:tx>
      <c:layout>
        <c:manualLayout>
          <c:xMode val="edge"/>
          <c:yMode val="edge"/>
          <c:x val="0.11803359182588102"/>
          <c:y val="4.0954878980824477E-2"/>
        </c:manualLayout>
      </c:layout>
    </c:title>
    <c:view3D>
      <c:rotX val="30"/>
      <c:rotY val="50"/>
      <c:depthPercent val="100"/>
      <c:rAngAx val="1"/>
    </c:view3D>
    <c:plotArea>
      <c:layout/>
      <c:bar3DChart>
        <c:barDir val="bar"/>
        <c:grouping val="clustered"/>
        <c:ser>
          <c:idx val="0"/>
          <c:order val="0"/>
          <c:tx>
            <c:v>% Respecto al Total</c:v>
          </c:tx>
          <c:spPr>
            <a:solidFill>
              <a:srgbClr val="96F2AC"/>
            </a:solidFill>
            <a:ln>
              <a:solidFill>
                <a:schemeClr val="tx2">
                  <a:lumMod val="40000"/>
                  <a:lumOff val="60000"/>
                </a:schemeClr>
              </a:solidFill>
            </a:ln>
          </c:spPr>
          <c:dLbls>
            <c:dLbl>
              <c:idx val="0"/>
              <c:tx>
                <c:rich>
                  <a:bodyPr/>
                  <a:lstStyle/>
                  <a:p>
                    <a:r>
                      <a:rPr lang="en-US" b="1"/>
                      <a:t>10,61%</a:t>
                    </a:r>
                  </a:p>
                </c:rich>
              </c:tx>
              <c:showVal val="1"/>
            </c:dLbl>
            <c:dLbl>
              <c:idx val="1"/>
              <c:tx>
                <c:rich>
                  <a:bodyPr/>
                  <a:lstStyle/>
                  <a:p>
                    <a:r>
                      <a:rPr lang="en-US" b="1"/>
                      <a:t>18,18%</a:t>
                    </a:r>
                  </a:p>
                </c:rich>
              </c:tx>
              <c:showVal val="1"/>
            </c:dLbl>
            <c:dLbl>
              <c:idx val="2"/>
              <c:tx>
                <c:rich>
                  <a:bodyPr/>
                  <a:lstStyle/>
                  <a:p>
                    <a:r>
                      <a:rPr lang="en-US" b="1"/>
                      <a:t>15,15%</a:t>
                    </a:r>
                  </a:p>
                </c:rich>
              </c:tx>
              <c:showVal val="1"/>
            </c:dLbl>
            <c:dLbl>
              <c:idx val="3"/>
              <c:tx>
                <c:rich>
                  <a:bodyPr/>
                  <a:lstStyle/>
                  <a:p>
                    <a:r>
                      <a:rPr lang="en-US" b="1"/>
                      <a:t>16,67%</a:t>
                    </a:r>
                  </a:p>
                </c:rich>
              </c:tx>
              <c:showVal val="1"/>
            </c:dLbl>
            <c:dLbl>
              <c:idx val="4"/>
              <c:layout>
                <c:manualLayout>
                  <c:x val="0"/>
                  <c:y val="3.7231708164386312E-2"/>
                </c:manualLayout>
              </c:layout>
              <c:tx>
                <c:rich>
                  <a:bodyPr/>
                  <a:lstStyle/>
                  <a:p>
                    <a:r>
                      <a:rPr lang="en-US" b="1"/>
                      <a:t>21,21%</a:t>
                    </a:r>
                  </a:p>
                </c:rich>
              </c:tx>
              <c:showVal val="1"/>
            </c:dLbl>
            <c:dLbl>
              <c:idx val="5"/>
              <c:tx>
                <c:rich>
                  <a:bodyPr/>
                  <a:lstStyle/>
                  <a:p>
                    <a:r>
                      <a:rPr lang="en-US" b="1"/>
                      <a:t>18,18%</a:t>
                    </a:r>
                  </a:p>
                </c:rich>
              </c:tx>
              <c:showVal val="1"/>
            </c:dLbl>
            <c:dLbl>
              <c:idx val="6"/>
              <c:layout>
                <c:manualLayout>
                  <c:x val="-7.0539422928274824E-3"/>
                  <c:y val="3.8288290325332892E-3"/>
                </c:manualLayout>
              </c:layout>
              <c:tx>
                <c:rich>
                  <a:bodyPr/>
                  <a:lstStyle/>
                  <a:p>
                    <a:r>
                      <a:rPr lang="en-US" b="1"/>
                      <a:t>0,0%</a:t>
                    </a:r>
                  </a:p>
                </c:rich>
              </c:tx>
              <c:showVal val="1"/>
            </c:dLbl>
            <c:dLbl>
              <c:idx val="7"/>
              <c:tx>
                <c:rich>
                  <a:bodyPr/>
                  <a:lstStyle/>
                  <a:p>
                    <a:r>
                      <a:rPr lang="en-US" b="1"/>
                      <a:t>0%</a:t>
                    </a:r>
                  </a:p>
                </c:rich>
              </c:tx>
              <c:showVal val="1"/>
            </c:dLbl>
            <c:dLbl>
              <c:idx val="8"/>
              <c:tx>
                <c:rich>
                  <a:bodyPr/>
                  <a:lstStyle/>
                  <a:p>
                    <a:r>
                      <a:rPr lang="en-US" b="1"/>
                      <a:t>0%</a:t>
                    </a:r>
                  </a:p>
                </c:rich>
              </c:tx>
              <c:showVal val="1"/>
            </c:dLbl>
            <c:showVal val="1"/>
          </c:dLbls>
          <c:cat>
            <c:strRef>
              <c:f>'Resultados VS Limites Narda'!$AL$12:$AR$12</c:f>
              <c:strCache>
                <c:ptCount val="7"/>
                <c:pt idx="0">
                  <c:v>&lt; 0,25%    </c:v>
                </c:pt>
                <c:pt idx="1">
                  <c:v>0,25 a 0,5%</c:v>
                </c:pt>
                <c:pt idx="2">
                  <c:v> 0,5 a 1%   </c:v>
                </c:pt>
                <c:pt idx="3">
                  <c:v>1 a 1,5%   </c:v>
                </c:pt>
                <c:pt idx="4">
                  <c:v> 1,5 a 2%   </c:v>
                </c:pt>
                <c:pt idx="5">
                  <c:v> 2 a 3%     </c:v>
                </c:pt>
                <c:pt idx="6">
                  <c:v>&gt; 3%        </c:v>
                </c:pt>
              </c:strCache>
            </c:strRef>
          </c:cat>
          <c:val>
            <c:numRef>
              <c:f>'Resultados VS Limites Narda'!$AL$13:$AR$13</c:f>
              <c:numCache>
                <c:formatCode>General</c:formatCode>
                <c:ptCount val="7"/>
                <c:pt idx="0">
                  <c:v>7</c:v>
                </c:pt>
                <c:pt idx="1">
                  <c:v>12</c:v>
                </c:pt>
                <c:pt idx="2">
                  <c:v>10</c:v>
                </c:pt>
                <c:pt idx="3">
                  <c:v>11</c:v>
                </c:pt>
                <c:pt idx="4">
                  <c:v>14</c:v>
                </c:pt>
                <c:pt idx="5">
                  <c:v>12</c:v>
                </c:pt>
                <c:pt idx="6">
                  <c:v>0</c:v>
                </c:pt>
              </c:numCache>
            </c:numRef>
          </c:val>
        </c:ser>
        <c:dLbls>
          <c:showVal val="1"/>
        </c:dLbls>
        <c:gapWidth val="300"/>
        <c:shape val="box"/>
        <c:axId val="102668160"/>
        <c:axId val="102682624"/>
        <c:axId val="0"/>
      </c:bar3DChart>
      <c:catAx>
        <c:axId val="102668160"/>
        <c:scaling>
          <c:orientation val="minMax"/>
        </c:scaling>
        <c:axPos val="l"/>
        <c:majorGridlines/>
        <c:title>
          <c:tx>
            <c:rich>
              <a:bodyPr/>
              <a:lstStyle/>
              <a:p>
                <a:pPr>
                  <a:defRPr/>
                </a:pPr>
                <a:r>
                  <a:rPr lang="en-US"/>
                  <a:t>Relación Porcentual</a:t>
                </a:r>
              </a:p>
            </c:rich>
          </c:tx>
        </c:title>
        <c:majorTickMark val="none"/>
        <c:tickLblPos val="nextTo"/>
        <c:crossAx val="102682624"/>
        <c:crosses val="autoZero"/>
        <c:auto val="1"/>
        <c:lblAlgn val="ctr"/>
        <c:lblOffset val="100"/>
      </c:catAx>
      <c:valAx>
        <c:axId val="102682624"/>
        <c:scaling>
          <c:orientation val="minMax"/>
        </c:scaling>
        <c:axPos val="b"/>
        <c:majorGridlines/>
        <c:minorGridlines/>
        <c:title>
          <c:tx>
            <c:rich>
              <a:bodyPr/>
              <a:lstStyle/>
              <a:p>
                <a:pPr>
                  <a:defRPr/>
                </a:pPr>
                <a:r>
                  <a:rPr lang="es-ES"/>
                  <a:t>Número de Medicones</a:t>
                </a:r>
              </a:p>
            </c:rich>
          </c:tx>
        </c:title>
        <c:numFmt formatCode="General" sourceLinked="1"/>
        <c:tickLblPos val="nextTo"/>
        <c:crossAx val="102668160"/>
        <c:crosses val="autoZero"/>
        <c:crossBetween val="between"/>
      </c:valAx>
    </c:plotArea>
    <c:legend>
      <c:legendPos val="r"/>
      <c:layout>
        <c:manualLayout>
          <c:xMode val="edge"/>
          <c:yMode val="edge"/>
          <c:x val="0.69046555955447564"/>
          <c:y val="0.26578836969386405"/>
          <c:w val="0.28412323169580816"/>
          <c:h val="6.7325775394296988E-2"/>
        </c:manualLayout>
      </c:layout>
      <c:overlay val="1"/>
      <c:spPr>
        <a:solidFill>
          <a:srgbClr val="EEECE1">
            <a:lumMod val="90000"/>
          </a:srgbClr>
        </a:solidFill>
        <a:ln>
          <a:solidFill>
            <a:srgbClr val="1F497D">
              <a:lumMod val="60000"/>
              <a:lumOff val="40000"/>
            </a:srgbClr>
          </a:solidFill>
        </a:ln>
      </c:spP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880-890 MHz con Procedimiento de medición 2</a:t>
            </a:r>
          </a:p>
        </c:rich>
      </c:tx>
    </c:title>
    <c:plotArea>
      <c:layout/>
      <c:lineChart>
        <c:grouping val="standard"/>
        <c:ser>
          <c:idx val="0"/>
          <c:order val="0"/>
          <c:tx>
            <c:v>Valores obtenidos</c:v>
          </c:tx>
          <c:marker>
            <c:symbol val="none"/>
          </c:marker>
          <c:val>
            <c:numRef>
              <c:f>'p2'!$X$6:$X$71</c:f>
              <c:numCache>
                <c:formatCode>General</c:formatCode>
                <c:ptCount val="66"/>
                <c:pt idx="0">
                  <c:v>0.23820000000000024</c:v>
                </c:pt>
                <c:pt idx="1">
                  <c:v>0.25430000000000008</c:v>
                </c:pt>
                <c:pt idx="2">
                  <c:v>0.2732</c:v>
                </c:pt>
                <c:pt idx="3">
                  <c:v>0.26850000000000002</c:v>
                </c:pt>
                <c:pt idx="4">
                  <c:v>0.26950000000000002</c:v>
                </c:pt>
                <c:pt idx="5">
                  <c:v>0.30410000000000031</c:v>
                </c:pt>
                <c:pt idx="6">
                  <c:v>0.34730000000000188</c:v>
                </c:pt>
                <c:pt idx="7">
                  <c:v>0.30650000000000038</c:v>
                </c:pt>
                <c:pt idx="8">
                  <c:v>0.30040000000000205</c:v>
                </c:pt>
                <c:pt idx="9">
                  <c:v>3.3099999999999997E-2</c:v>
                </c:pt>
                <c:pt idx="10">
                  <c:v>0.35300000000000031</c:v>
                </c:pt>
                <c:pt idx="11">
                  <c:v>0.34910000000000002</c:v>
                </c:pt>
                <c:pt idx="12">
                  <c:v>0.34600000000000031</c:v>
                </c:pt>
                <c:pt idx="13">
                  <c:v>0.43210000000000032</c:v>
                </c:pt>
                <c:pt idx="14">
                  <c:v>0.39900000000000263</c:v>
                </c:pt>
                <c:pt idx="15">
                  <c:v>0.29430000000000234</c:v>
                </c:pt>
                <c:pt idx="16">
                  <c:v>0.23430000000000001</c:v>
                </c:pt>
                <c:pt idx="17">
                  <c:v>0.22839999999999999</c:v>
                </c:pt>
                <c:pt idx="18">
                  <c:v>0.18860000000000021</c:v>
                </c:pt>
                <c:pt idx="19">
                  <c:v>0.2787</c:v>
                </c:pt>
                <c:pt idx="20">
                  <c:v>0.52</c:v>
                </c:pt>
                <c:pt idx="21">
                  <c:v>0.18830000000000024</c:v>
                </c:pt>
                <c:pt idx="22">
                  <c:v>0.28160000000000002</c:v>
                </c:pt>
                <c:pt idx="23">
                  <c:v>0.41440000000000032</c:v>
                </c:pt>
                <c:pt idx="24">
                  <c:v>0.47110000000000002</c:v>
                </c:pt>
                <c:pt idx="25">
                  <c:v>0.39130000000000315</c:v>
                </c:pt>
                <c:pt idx="26">
                  <c:v>0.42630000000000234</c:v>
                </c:pt>
                <c:pt idx="27">
                  <c:v>0.2712</c:v>
                </c:pt>
                <c:pt idx="28">
                  <c:v>0.29890000000000205</c:v>
                </c:pt>
                <c:pt idx="29">
                  <c:v>0.22869999999999999</c:v>
                </c:pt>
                <c:pt idx="30">
                  <c:v>0.23830000000000001</c:v>
                </c:pt>
                <c:pt idx="31">
                  <c:v>0.23480000000000001</c:v>
                </c:pt>
                <c:pt idx="32">
                  <c:v>0.21670000000000109</c:v>
                </c:pt>
                <c:pt idx="33">
                  <c:v>0.32710000000000206</c:v>
                </c:pt>
                <c:pt idx="34">
                  <c:v>0.35130000000000206</c:v>
                </c:pt>
                <c:pt idx="35">
                  <c:v>0.35340000000000032</c:v>
                </c:pt>
                <c:pt idx="36">
                  <c:v>0.30700000000000038</c:v>
                </c:pt>
                <c:pt idx="37">
                  <c:v>0.50939999999999996</c:v>
                </c:pt>
                <c:pt idx="38">
                  <c:v>0.59449999999999958</c:v>
                </c:pt>
                <c:pt idx="39">
                  <c:v>0.24450000000000024</c:v>
                </c:pt>
                <c:pt idx="40">
                  <c:v>0.45129999999999998</c:v>
                </c:pt>
                <c:pt idx="41">
                  <c:v>0.39680000000000365</c:v>
                </c:pt>
                <c:pt idx="42">
                  <c:v>0.32240000000000263</c:v>
                </c:pt>
                <c:pt idx="43">
                  <c:v>0.46710000000000002</c:v>
                </c:pt>
                <c:pt idx="44">
                  <c:v>0.32640000000000263</c:v>
                </c:pt>
                <c:pt idx="45">
                  <c:v>0.42930000000000251</c:v>
                </c:pt>
                <c:pt idx="46">
                  <c:v>0.47720000000000001</c:v>
                </c:pt>
                <c:pt idx="47">
                  <c:v>0.57080000000000064</c:v>
                </c:pt>
                <c:pt idx="48">
                  <c:v>0.22070000000000001</c:v>
                </c:pt>
                <c:pt idx="49">
                  <c:v>0.21120000000000044</c:v>
                </c:pt>
                <c:pt idx="50">
                  <c:v>0.20269999999999999</c:v>
                </c:pt>
                <c:pt idx="51">
                  <c:v>0.12559999999999999</c:v>
                </c:pt>
                <c:pt idx="52">
                  <c:v>0.129</c:v>
                </c:pt>
                <c:pt idx="53">
                  <c:v>0.1303</c:v>
                </c:pt>
                <c:pt idx="54">
                  <c:v>9.5600000000000046E-2</c:v>
                </c:pt>
                <c:pt idx="55">
                  <c:v>7.6700000000000004E-2</c:v>
                </c:pt>
                <c:pt idx="56">
                  <c:v>0.12859999999999999</c:v>
                </c:pt>
                <c:pt idx="57">
                  <c:v>0.38250000000000234</c:v>
                </c:pt>
                <c:pt idx="58">
                  <c:v>0.42890000000000217</c:v>
                </c:pt>
                <c:pt idx="59">
                  <c:v>0.37240000000000234</c:v>
                </c:pt>
                <c:pt idx="60">
                  <c:v>0.49830000000000263</c:v>
                </c:pt>
                <c:pt idx="61">
                  <c:v>0.31400000000000206</c:v>
                </c:pt>
                <c:pt idx="62">
                  <c:v>0.31550000000000206</c:v>
                </c:pt>
                <c:pt idx="63">
                  <c:v>0.51900000000000002</c:v>
                </c:pt>
                <c:pt idx="64">
                  <c:v>0.38930000000000303</c:v>
                </c:pt>
                <c:pt idx="65">
                  <c:v>0.43260000000000032</c:v>
                </c:pt>
              </c:numCache>
            </c:numRef>
          </c:val>
        </c:ser>
        <c:ser>
          <c:idx val="1"/>
          <c:order val="1"/>
          <c:tx>
            <c:v>Límite</c:v>
          </c:tx>
          <c:marker>
            <c:symbol val="none"/>
          </c:marker>
          <c:val>
            <c:numRef>
              <c:f>'p2'!$Z$6:$Z$71</c:f>
              <c:numCache>
                <c:formatCode>General</c:formatCode>
                <c:ptCount val="66"/>
                <c:pt idx="0">
                  <c:v>41.02</c:v>
                </c:pt>
                <c:pt idx="1">
                  <c:v>41.02</c:v>
                </c:pt>
                <c:pt idx="2">
                  <c:v>41.02</c:v>
                </c:pt>
                <c:pt idx="3">
                  <c:v>41.02</c:v>
                </c:pt>
                <c:pt idx="4">
                  <c:v>41.02</c:v>
                </c:pt>
                <c:pt idx="5">
                  <c:v>41.02</c:v>
                </c:pt>
                <c:pt idx="6">
                  <c:v>41.02</c:v>
                </c:pt>
                <c:pt idx="7">
                  <c:v>41.02</c:v>
                </c:pt>
                <c:pt idx="8">
                  <c:v>41.02</c:v>
                </c:pt>
                <c:pt idx="9">
                  <c:v>41.02</c:v>
                </c:pt>
                <c:pt idx="10">
                  <c:v>41.02</c:v>
                </c:pt>
                <c:pt idx="11">
                  <c:v>41.02</c:v>
                </c:pt>
                <c:pt idx="12">
                  <c:v>41.02</c:v>
                </c:pt>
                <c:pt idx="13">
                  <c:v>41.02</c:v>
                </c:pt>
                <c:pt idx="14">
                  <c:v>41.02</c:v>
                </c:pt>
                <c:pt idx="15">
                  <c:v>41.02</c:v>
                </c:pt>
                <c:pt idx="16">
                  <c:v>41.02</c:v>
                </c:pt>
                <c:pt idx="17">
                  <c:v>41.02</c:v>
                </c:pt>
                <c:pt idx="18">
                  <c:v>41.02</c:v>
                </c:pt>
                <c:pt idx="19">
                  <c:v>41.02</c:v>
                </c:pt>
                <c:pt idx="20">
                  <c:v>41.02</c:v>
                </c:pt>
                <c:pt idx="21">
                  <c:v>41.02</c:v>
                </c:pt>
                <c:pt idx="22">
                  <c:v>41.02</c:v>
                </c:pt>
                <c:pt idx="23">
                  <c:v>41.02</c:v>
                </c:pt>
                <c:pt idx="24">
                  <c:v>41.02</c:v>
                </c:pt>
                <c:pt idx="25">
                  <c:v>41.02</c:v>
                </c:pt>
                <c:pt idx="26">
                  <c:v>41.02</c:v>
                </c:pt>
                <c:pt idx="27">
                  <c:v>41.02</c:v>
                </c:pt>
                <c:pt idx="28">
                  <c:v>41.02</c:v>
                </c:pt>
                <c:pt idx="29">
                  <c:v>41.02</c:v>
                </c:pt>
                <c:pt idx="30">
                  <c:v>41.02</c:v>
                </c:pt>
                <c:pt idx="31">
                  <c:v>41.02</c:v>
                </c:pt>
                <c:pt idx="32">
                  <c:v>41.02</c:v>
                </c:pt>
                <c:pt idx="33">
                  <c:v>41.02</c:v>
                </c:pt>
                <c:pt idx="34">
                  <c:v>41.02</c:v>
                </c:pt>
                <c:pt idx="35">
                  <c:v>41.02</c:v>
                </c:pt>
                <c:pt idx="36">
                  <c:v>41.02</c:v>
                </c:pt>
                <c:pt idx="37">
                  <c:v>41.02</c:v>
                </c:pt>
                <c:pt idx="38">
                  <c:v>41.02</c:v>
                </c:pt>
                <c:pt idx="39">
                  <c:v>41.02</c:v>
                </c:pt>
                <c:pt idx="40">
                  <c:v>41.02</c:v>
                </c:pt>
                <c:pt idx="41">
                  <c:v>41.02</c:v>
                </c:pt>
                <c:pt idx="42">
                  <c:v>41.02</c:v>
                </c:pt>
                <c:pt idx="43">
                  <c:v>41.02</c:v>
                </c:pt>
                <c:pt idx="44">
                  <c:v>41.02</c:v>
                </c:pt>
                <c:pt idx="45">
                  <c:v>41.02</c:v>
                </c:pt>
                <c:pt idx="46">
                  <c:v>41.02</c:v>
                </c:pt>
                <c:pt idx="47">
                  <c:v>41.02</c:v>
                </c:pt>
                <c:pt idx="48">
                  <c:v>41.02</c:v>
                </c:pt>
                <c:pt idx="49">
                  <c:v>41.02</c:v>
                </c:pt>
                <c:pt idx="50">
                  <c:v>41.02</c:v>
                </c:pt>
                <c:pt idx="51">
                  <c:v>41.02</c:v>
                </c:pt>
                <c:pt idx="52">
                  <c:v>41.02</c:v>
                </c:pt>
                <c:pt idx="53">
                  <c:v>41.02</c:v>
                </c:pt>
                <c:pt idx="54">
                  <c:v>41.02</c:v>
                </c:pt>
                <c:pt idx="55">
                  <c:v>41.02</c:v>
                </c:pt>
                <c:pt idx="56">
                  <c:v>41.02</c:v>
                </c:pt>
                <c:pt idx="57">
                  <c:v>41.02</c:v>
                </c:pt>
                <c:pt idx="58">
                  <c:v>41.02</c:v>
                </c:pt>
                <c:pt idx="59">
                  <c:v>41.02</c:v>
                </c:pt>
                <c:pt idx="60">
                  <c:v>41.02</c:v>
                </c:pt>
                <c:pt idx="61">
                  <c:v>41.02</c:v>
                </c:pt>
                <c:pt idx="62">
                  <c:v>41.02</c:v>
                </c:pt>
                <c:pt idx="63">
                  <c:v>41.02</c:v>
                </c:pt>
                <c:pt idx="64">
                  <c:v>41.02</c:v>
                </c:pt>
                <c:pt idx="65">
                  <c:v>41.02</c:v>
                </c:pt>
              </c:numCache>
            </c:numRef>
          </c:val>
        </c:ser>
        <c:marker val="1"/>
        <c:axId val="102716160"/>
        <c:axId val="102718080"/>
      </c:lineChart>
      <c:catAx>
        <c:axId val="102716160"/>
        <c:scaling>
          <c:orientation val="minMax"/>
        </c:scaling>
        <c:delete val="1"/>
        <c:axPos val="b"/>
        <c:title>
          <c:tx>
            <c:rich>
              <a:bodyPr/>
              <a:lstStyle/>
              <a:p>
                <a:pPr>
                  <a:defRPr sz="900"/>
                </a:pPr>
                <a:r>
                  <a:rPr lang="es-ES" sz="900" b="1" i="1" baseline="0"/>
                  <a:t>Puntos de medición en Banda 880-890 MHz  con Procedimiento 2</a:t>
                </a:r>
              </a:p>
            </c:rich>
          </c:tx>
        </c:title>
        <c:tickLblPos val="none"/>
        <c:crossAx val="102718080"/>
        <c:crosses val="autoZero"/>
        <c:auto val="1"/>
        <c:lblAlgn val="ctr"/>
        <c:lblOffset val="100"/>
      </c:catAx>
      <c:valAx>
        <c:axId val="102718080"/>
        <c:scaling>
          <c:orientation val="minMax"/>
        </c:scaling>
        <c:axPos val="l"/>
        <c:majorGridlines/>
        <c:title>
          <c:tx>
            <c:rich>
              <a:bodyPr rot="-5400000" vert="horz"/>
              <a:lstStyle/>
              <a:p>
                <a:pPr>
                  <a:defRPr/>
                </a:pPr>
                <a:r>
                  <a:rPr lang="en-US" sz="1000" b="1" i="0" u="none" strike="noStrike" baseline="0"/>
                  <a:t>V/m</a:t>
                </a:r>
                <a:endParaRPr lang="es-ES"/>
              </a:p>
            </c:rich>
          </c:tx>
        </c:title>
        <c:numFmt formatCode="General" sourceLinked="1"/>
        <c:tickLblPos val="nextTo"/>
        <c:crossAx val="102716160"/>
        <c:crosses val="autoZero"/>
        <c:crossBetween val="between"/>
      </c:valAx>
    </c:plotArea>
    <c:legend>
      <c:legendPos val="b"/>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s-ES" sz="1100" b="1" i="0" baseline="0"/>
              <a:t>Límite Vs. Valores de las mediciones realizadas Banda  891,5-894 MHz con Procedimiento de medición 2</a:t>
            </a:r>
            <a:endParaRPr lang="es-ES" sz="1100"/>
          </a:p>
        </c:rich>
      </c:tx>
    </c:title>
    <c:plotArea>
      <c:layout/>
      <c:lineChart>
        <c:grouping val="standard"/>
        <c:ser>
          <c:idx val="0"/>
          <c:order val="0"/>
          <c:tx>
            <c:v>Valores obtenidos</c:v>
          </c:tx>
          <c:marker>
            <c:symbol val="none"/>
          </c:marker>
          <c:val>
            <c:numRef>
              <c:f>'p2'!$Y$6:$Y$71</c:f>
              <c:numCache>
                <c:formatCode>General</c:formatCode>
                <c:ptCount val="66"/>
                <c:pt idx="0">
                  <c:v>1.553E-2</c:v>
                </c:pt>
                <c:pt idx="1">
                  <c:v>4.4179999999999997E-2</c:v>
                </c:pt>
                <c:pt idx="2">
                  <c:v>2.7230000000000261E-2</c:v>
                </c:pt>
                <c:pt idx="3">
                  <c:v>6.2900000000000011E-2</c:v>
                </c:pt>
                <c:pt idx="4">
                  <c:v>4.7120000000000002E-2</c:v>
                </c:pt>
                <c:pt idx="5">
                  <c:v>4.8169999999999998E-2</c:v>
                </c:pt>
                <c:pt idx="6">
                  <c:v>4.4190000000000104E-2</c:v>
                </c:pt>
                <c:pt idx="7">
                  <c:v>5.4860000000000492E-2</c:v>
                </c:pt>
                <c:pt idx="8">
                  <c:v>5.0700000000000023E-2</c:v>
                </c:pt>
                <c:pt idx="9">
                  <c:v>8.134000000000001E-2</c:v>
                </c:pt>
                <c:pt idx="10">
                  <c:v>6.9430000000000033E-2</c:v>
                </c:pt>
                <c:pt idx="11">
                  <c:v>8.5000000000000006E-2</c:v>
                </c:pt>
                <c:pt idx="12">
                  <c:v>6.651E-2</c:v>
                </c:pt>
                <c:pt idx="13">
                  <c:v>8.1630000000000064E-2</c:v>
                </c:pt>
                <c:pt idx="14">
                  <c:v>6.3829999999999998E-2</c:v>
                </c:pt>
                <c:pt idx="15">
                  <c:v>1.2760000000000007E-2</c:v>
                </c:pt>
                <c:pt idx="16">
                  <c:v>1.6740000000000133E-2</c:v>
                </c:pt>
                <c:pt idx="17">
                  <c:v>1.7149999999999999E-2</c:v>
                </c:pt>
                <c:pt idx="18">
                  <c:v>7.6000000000000104E-3</c:v>
                </c:pt>
                <c:pt idx="19">
                  <c:v>1.0900000000000003E-2</c:v>
                </c:pt>
                <c:pt idx="20">
                  <c:v>1.2E-2</c:v>
                </c:pt>
                <c:pt idx="21">
                  <c:v>1.6600000000000135E-2</c:v>
                </c:pt>
                <c:pt idx="22">
                  <c:v>1.553E-2</c:v>
                </c:pt>
                <c:pt idx="23">
                  <c:v>1.3960000000000111E-2</c:v>
                </c:pt>
                <c:pt idx="24">
                  <c:v>1.0400000000000001E-2</c:v>
                </c:pt>
                <c:pt idx="25">
                  <c:v>8.6500000000000066E-3</c:v>
                </c:pt>
                <c:pt idx="26">
                  <c:v>7.630000000000043E-3</c:v>
                </c:pt>
                <c:pt idx="27">
                  <c:v>1.2500000000000001E-2</c:v>
                </c:pt>
                <c:pt idx="28">
                  <c:v>9.0000000000000028E-3</c:v>
                </c:pt>
                <c:pt idx="29">
                  <c:v>1.1849999999999999E-2</c:v>
                </c:pt>
                <c:pt idx="30">
                  <c:v>1.553E-2</c:v>
                </c:pt>
                <c:pt idx="31">
                  <c:v>1.417E-2</c:v>
                </c:pt>
                <c:pt idx="32">
                  <c:v>1.8900000000000132E-2</c:v>
                </c:pt>
                <c:pt idx="33">
                  <c:v>3.3700000000000001E-2</c:v>
                </c:pt>
                <c:pt idx="34">
                  <c:v>5.6230000000000002E-2</c:v>
                </c:pt>
                <c:pt idx="35">
                  <c:v>3.3300000000000003E-2</c:v>
                </c:pt>
                <c:pt idx="36">
                  <c:v>1.2980000000000021E-2</c:v>
                </c:pt>
                <c:pt idx="37">
                  <c:v>1.9930000000000135E-2</c:v>
                </c:pt>
                <c:pt idx="38">
                  <c:v>1.9550000000000001E-2</c:v>
                </c:pt>
                <c:pt idx="39">
                  <c:v>1.1129999999999999E-2</c:v>
                </c:pt>
                <c:pt idx="40">
                  <c:v>1.7800000000000003E-2</c:v>
                </c:pt>
                <c:pt idx="41">
                  <c:v>1.196000000000013E-2</c:v>
                </c:pt>
                <c:pt idx="42">
                  <c:v>5.9400000000000133E-2</c:v>
                </c:pt>
                <c:pt idx="43">
                  <c:v>5.2800000000000034E-2</c:v>
                </c:pt>
                <c:pt idx="44">
                  <c:v>5.8700000000000023E-2</c:v>
                </c:pt>
                <c:pt idx="45">
                  <c:v>5.8400000000000014E-2</c:v>
                </c:pt>
                <c:pt idx="46">
                  <c:v>4.8189999999999997E-2</c:v>
                </c:pt>
                <c:pt idx="47">
                  <c:v>6.1800000000000001E-2</c:v>
                </c:pt>
                <c:pt idx="48">
                  <c:v>1.7229999999999999E-2</c:v>
                </c:pt>
                <c:pt idx="49">
                  <c:v>1.651E-2</c:v>
                </c:pt>
                <c:pt idx="50">
                  <c:v>1.1830000000000005E-2</c:v>
                </c:pt>
                <c:pt idx="51">
                  <c:v>8.7000000000000046E-3</c:v>
                </c:pt>
                <c:pt idx="52">
                  <c:v>1.0699999999999998E-2</c:v>
                </c:pt>
                <c:pt idx="53">
                  <c:v>1.2699999999999998E-2</c:v>
                </c:pt>
                <c:pt idx="54">
                  <c:v>4.4000000000000124E-3</c:v>
                </c:pt>
                <c:pt idx="55">
                  <c:v>4.3000000000000104E-3</c:v>
                </c:pt>
                <c:pt idx="56">
                  <c:v>3.8000000000000052E-3</c:v>
                </c:pt>
                <c:pt idx="57">
                  <c:v>9.2000000000000068E-3</c:v>
                </c:pt>
                <c:pt idx="58">
                  <c:v>9.6000000000000026E-3</c:v>
                </c:pt>
                <c:pt idx="59">
                  <c:v>7.9000000000000667E-3</c:v>
                </c:pt>
                <c:pt idx="60">
                  <c:v>7.4000000000000602E-3</c:v>
                </c:pt>
                <c:pt idx="61">
                  <c:v>6.1000000000000004E-3</c:v>
                </c:pt>
                <c:pt idx="62">
                  <c:v>5.9000000000000493E-3</c:v>
                </c:pt>
                <c:pt idx="63">
                  <c:v>1.1860000000000122E-2</c:v>
                </c:pt>
                <c:pt idx="64">
                  <c:v>1.1259999999999996E-2</c:v>
                </c:pt>
                <c:pt idx="65">
                  <c:v>8.3000000000000226E-3</c:v>
                </c:pt>
              </c:numCache>
            </c:numRef>
          </c:val>
        </c:ser>
        <c:ser>
          <c:idx val="1"/>
          <c:order val="1"/>
          <c:tx>
            <c:v>Límite</c:v>
          </c:tx>
          <c:marker>
            <c:symbol val="none"/>
          </c:marker>
          <c:val>
            <c:numRef>
              <c:f>'p2'!$AA$6:$AA$71</c:f>
              <c:numCache>
                <c:formatCode>General</c:formatCode>
                <c:ptCount val="66"/>
                <c:pt idx="0">
                  <c:v>41.11</c:v>
                </c:pt>
                <c:pt idx="1">
                  <c:v>41.11</c:v>
                </c:pt>
                <c:pt idx="2">
                  <c:v>41.11</c:v>
                </c:pt>
                <c:pt idx="3">
                  <c:v>41.11</c:v>
                </c:pt>
                <c:pt idx="4">
                  <c:v>41.11</c:v>
                </c:pt>
                <c:pt idx="5">
                  <c:v>41.11</c:v>
                </c:pt>
                <c:pt idx="6">
                  <c:v>41.11</c:v>
                </c:pt>
                <c:pt idx="7">
                  <c:v>41.11</c:v>
                </c:pt>
                <c:pt idx="8">
                  <c:v>41.11</c:v>
                </c:pt>
                <c:pt idx="9">
                  <c:v>41.11</c:v>
                </c:pt>
                <c:pt idx="10">
                  <c:v>41.11</c:v>
                </c:pt>
                <c:pt idx="11">
                  <c:v>41.11</c:v>
                </c:pt>
                <c:pt idx="12">
                  <c:v>41.11</c:v>
                </c:pt>
                <c:pt idx="13">
                  <c:v>41.11</c:v>
                </c:pt>
                <c:pt idx="14">
                  <c:v>41.11</c:v>
                </c:pt>
                <c:pt idx="15">
                  <c:v>41.11</c:v>
                </c:pt>
                <c:pt idx="16">
                  <c:v>41.11</c:v>
                </c:pt>
                <c:pt idx="17">
                  <c:v>41.11</c:v>
                </c:pt>
                <c:pt idx="18">
                  <c:v>41.11</c:v>
                </c:pt>
                <c:pt idx="19">
                  <c:v>41.11</c:v>
                </c:pt>
                <c:pt idx="20">
                  <c:v>41.11</c:v>
                </c:pt>
                <c:pt idx="21">
                  <c:v>41.11</c:v>
                </c:pt>
                <c:pt idx="22">
                  <c:v>41.11</c:v>
                </c:pt>
                <c:pt idx="23">
                  <c:v>41.11</c:v>
                </c:pt>
                <c:pt idx="24">
                  <c:v>41.11</c:v>
                </c:pt>
                <c:pt idx="25">
                  <c:v>41.11</c:v>
                </c:pt>
                <c:pt idx="26">
                  <c:v>41.11</c:v>
                </c:pt>
                <c:pt idx="27">
                  <c:v>41.11</c:v>
                </c:pt>
                <c:pt idx="28">
                  <c:v>41.11</c:v>
                </c:pt>
                <c:pt idx="29">
                  <c:v>41.11</c:v>
                </c:pt>
                <c:pt idx="30">
                  <c:v>41.11</c:v>
                </c:pt>
                <c:pt idx="31">
                  <c:v>41.11</c:v>
                </c:pt>
                <c:pt idx="32">
                  <c:v>41.11</c:v>
                </c:pt>
                <c:pt idx="33">
                  <c:v>41.11</c:v>
                </c:pt>
                <c:pt idx="34">
                  <c:v>41.11</c:v>
                </c:pt>
                <c:pt idx="35">
                  <c:v>41.11</c:v>
                </c:pt>
                <c:pt idx="36">
                  <c:v>41.11</c:v>
                </c:pt>
                <c:pt idx="37">
                  <c:v>41.11</c:v>
                </c:pt>
                <c:pt idx="38">
                  <c:v>41.11</c:v>
                </c:pt>
                <c:pt idx="39">
                  <c:v>41.11</c:v>
                </c:pt>
                <c:pt idx="40">
                  <c:v>41.11</c:v>
                </c:pt>
                <c:pt idx="41">
                  <c:v>41.11</c:v>
                </c:pt>
                <c:pt idx="42">
                  <c:v>41.11</c:v>
                </c:pt>
                <c:pt idx="43">
                  <c:v>41.11</c:v>
                </c:pt>
                <c:pt idx="44">
                  <c:v>41.11</c:v>
                </c:pt>
                <c:pt idx="45">
                  <c:v>41.11</c:v>
                </c:pt>
                <c:pt idx="46">
                  <c:v>41.11</c:v>
                </c:pt>
                <c:pt idx="47">
                  <c:v>41.11</c:v>
                </c:pt>
                <c:pt idx="48">
                  <c:v>41.11</c:v>
                </c:pt>
                <c:pt idx="49">
                  <c:v>41.11</c:v>
                </c:pt>
                <c:pt idx="50">
                  <c:v>41.11</c:v>
                </c:pt>
                <c:pt idx="51">
                  <c:v>41.11</c:v>
                </c:pt>
                <c:pt idx="52">
                  <c:v>41.11</c:v>
                </c:pt>
                <c:pt idx="53">
                  <c:v>41.11</c:v>
                </c:pt>
                <c:pt idx="54">
                  <c:v>41.11</c:v>
                </c:pt>
                <c:pt idx="55">
                  <c:v>41.11</c:v>
                </c:pt>
                <c:pt idx="56">
                  <c:v>41.11</c:v>
                </c:pt>
                <c:pt idx="57">
                  <c:v>41.11</c:v>
                </c:pt>
                <c:pt idx="58">
                  <c:v>41.11</c:v>
                </c:pt>
                <c:pt idx="59">
                  <c:v>41.11</c:v>
                </c:pt>
                <c:pt idx="60">
                  <c:v>41.11</c:v>
                </c:pt>
                <c:pt idx="61">
                  <c:v>41.11</c:v>
                </c:pt>
                <c:pt idx="62">
                  <c:v>41.11</c:v>
                </c:pt>
                <c:pt idx="63">
                  <c:v>41.11</c:v>
                </c:pt>
                <c:pt idx="64">
                  <c:v>41.11</c:v>
                </c:pt>
                <c:pt idx="65">
                  <c:v>41.11</c:v>
                </c:pt>
              </c:numCache>
            </c:numRef>
          </c:val>
        </c:ser>
        <c:marker val="1"/>
        <c:axId val="102743424"/>
        <c:axId val="102831616"/>
      </c:lineChart>
      <c:catAx>
        <c:axId val="102743424"/>
        <c:scaling>
          <c:orientation val="minMax"/>
        </c:scaling>
        <c:delete val="1"/>
        <c:axPos val="b"/>
        <c:title>
          <c:tx>
            <c:rich>
              <a:bodyPr/>
              <a:lstStyle/>
              <a:p>
                <a:pPr>
                  <a:defRPr/>
                </a:pPr>
                <a:r>
                  <a:rPr lang="es-ES" sz="800" b="1" i="1" baseline="0"/>
                  <a:t>Puntos de medición en Banda 891,5-894 MHz  con Procedimiento 2</a:t>
                </a:r>
                <a:endParaRPr lang="es-ES" sz="800" i="1"/>
              </a:p>
            </c:rich>
          </c:tx>
        </c:title>
        <c:tickLblPos val="none"/>
        <c:crossAx val="102831616"/>
        <c:crosses val="autoZero"/>
        <c:auto val="1"/>
        <c:lblAlgn val="ctr"/>
        <c:lblOffset val="100"/>
      </c:catAx>
      <c:valAx>
        <c:axId val="102831616"/>
        <c:scaling>
          <c:orientation val="minMax"/>
        </c:scaling>
        <c:axPos val="l"/>
        <c:majorGridlines/>
        <c:title>
          <c:tx>
            <c:rich>
              <a:bodyPr rot="-5400000" vert="horz"/>
              <a:lstStyle/>
              <a:p>
                <a:pPr>
                  <a:defRPr/>
                </a:pPr>
                <a:r>
                  <a:rPr lang="en-US" sz="1000" b="1" i="0" baseline="0"/>
                  <a:t>V/m</a:t>
                </a:r>
                <a:endParaRPr lang="es-ES" sz="1000" b="1" i="0" baseline="0"/>
              </a:p>
            </c:rich>
          </c:tx>
        </c:title>
        <c:numFmt formatCode="General" sourceLinked="1"/>
        <c:tickLblPos val="nextTo"/>
        <c:crossAx val="102743424"/>
        <c:crosses val="autoZero"/>
        <c:crossBetween val="between"/>
      </c:valAx>
    </c:plotArea>
    <c:legend>
      <c:legendPos val="b"/>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s-ES"/>
  <c:style val="7"/>
  <c:chart>
    <c:title>
      <c:tx>
        <c:rich>
          <a:bodyPr/>
          <a:lstStyle/>
          <a:p>
            <a:pPr>
              <a:defRPr/>
            </a:pPr>
            <a:r>
              <a:rPr lang="en-US" sz="1200" i="1"/>
              <a:t>Nº de Mediciones por Rango de Relación Porcentual al Nivel de Referencia. Telefonía Móvil MOVISTAR Procedimiento de Medición 2</a:t>
            </a:r>
          </a:p>
        </c:rich>
      </c:tx>
    </c:title>
    <c:view3D>
      <c:rotX val="30"/>
      <c:rotY val="50"/>
      <c:depthPercent val="100"/>
      <c:rAngAx val="1"/>
    </c:view3D>
    <c:plotArea>
      <c:layout/>
      <c:bar3DChart>
        <c:barDir val="bar"/>
        <c:grouping val="clustered"/>
        <c:ser>
          <c:idx val="0"/>
          <c:order val="0"/>
          <c:tx>
            <c:v>% Respecto al Total</c:v>
          </c:tx>
          <c:dLbls>
            <c:dLbl>
              <c:idx val="0"/>
              <c:tx>
                <c:rich>
                  <a:bodyPr/>
                  <a:lstStyle/>
                  <a:p>
                    <a:r>
                      <a:rPr lang="en-US" b="1"/>
                      <a:t>22,73%</a:t>
                    </a:r>
                  </a:p>
                </c:rich>
              </c:tx>
              <c:showVal val="1"/>
            </c:dLbl>
            <c:dLbl>
              <c:idx val="1"/>
              <c:tx>
                <c:rich>
                  <a:bodyPr/>
                  <a:lstStyle/>
                  <a:p>
                    <a:r>
                      <a:rPr lang="en-US" b="1"/>
                      <a:t>42,42%</a:t>
                    </a:r>
                  </a:p>
                </c:rich>
              </c:tx>
              <c:showVal val="1"/>
            </c:dLbl>
            <c:dLbl>
              <c:idx val="2"/>
              <c:tx>
                <c:rich>
                  <a:bodyPr/>
                  <a:lstStyle/>
                  <a:p>
                    <a:r>
                      <a:rPr lang="en-US" b="1"/>
                      <a:t>4,55%</a:t>
                    </a:r>
                  </a:p>
                </c:rich>
              </c:tx>
              <c:showVal val="1"/>
            </c:dLbl>
            <c:dLbl>
              <c:idx val="3"/>
              <c:tx>
                <c:rich>
                  <a:bodyPr/>
                  <a:lstStyle/>
                  <a:p>
                    <a:r>
                      <a:rPr lang="en-US" b="1"/>
                      <a:t>18,18%</a:t>
                    </a:r>
                  </a:p>
                </c:rich>
              </c:tx>
              <c:showVal val="1"/>
            </c:dLbl>
            <c:dLbl>
              <c:idx val="4"/>
              <c:tx>
                <c:rich>
                  <a:bodyPr/>
                  <a:lstStyle/>
                  <a:p>
                    <a:r>
                      <a:rPr lang="en-US" b="1"/>
                      <a:t>10,61%</a:t>
                    </a:r>
                  </a:p>
                </c:rich>
              </c:tx>
              <c:showVal val="1"/>
            </c:dLbl>
            <c:dLbl>
              <c:idx val="5"/>
              <c:tx>
                <c:rich>
                  <a:bodyPr/>
                  <a:lstStyle/>
                  <a:p>
                    <a:r>
                      <a:rPr lang="en-US" b="1"/>
                      <a:t>1,52%</a:t>
                    </a:r>
                  </a:p>
                </c:rich>
              </c:tx>
              <c:showVal val="1"/>
            </c:dLbl>
            <c:dLbl>
              <c:idx val="6"/>
              <c:layout>
                <c:manualLayout>
                  <c:x val="-7.0539422928274824E-3"/>
                  <c:y val="3.8288290325332892E-3"/>
                </c:manualLayout>
              </c:layout>
              <c:tx>
                <c:rich>
                  <a:bodyPr/>
                  <a:lstStyle/>
                  <a:p>
                    <a:r>
                      <a:rPr lang="en-US" b="1"/>
                      <a:t>0,0%</a:t>
                    </a:r>
                  </a:p>
                </c:rich>
              </c:tx>
              <c:showVal val="1"/>
            </c:dLbl>
            <c:dLbl>
              <c:idx val="7"/>
              <c:tx>
                <c:rich>
                  <a:bodyPr/>
                  <a:lstStyle/>
                  <a:p>
                    <a:r>
                      <a:rPr lang="en-US" b="1"/>
                      <a:t>1,96%</a:t>
                    </a:r>
                  </a:p>
                </c:rich>
              </c:tx>
              <c:showVal val="1"/>
            </c:dLbl>
            <c:dLbl>
              <c:idx val="8"/>
              <c:tx>
                <c:rich>
                  <a:bodyPr/>
                  <a:lstStyle/>
                  <a:p>
                    <a:r>
                      <a:rPr lang="en-US" b="1"/>
                      <a:t>0%</a:t>
                    </a:r>
                  </a:p>
                </c:rich>
              </c:tx>
              <c:showVal val="1"/>
            </c:dLbl>
            <c:showVal val="1"/>
          </c:dLbls>
          <c:cat>
            <c:strRef>
              <c:f>'Resultados VS Limites F.Nose'!$AE$13:$AK$13</c:f>
              <c:strCache>
                <c:ptCount val="7"/>
                <c:pt idx="0">
                  <c:v>&lt; 0,025%      </c:v>
                </c:pt>
                <c:pt idx="1">
                  <c:v>0,025 a 0,05%</c:v>
                </c:pt>
                <c:pt idx="2">
                  <c:v> 0,05 a 0,1%   </c:v>
                </c:pt>
                <c:pt idx="3">
                  <c:v>0,1 a 0,15%  </c:v>
                </c:pt>
                <c:pt idx="4">
                  <c:v> 0,15 a 0,2%  </c:v>
                </c:pt>
                <c:pt idx="5">
                  <c:v> 0,2 a 0,5%   </c:v>
                </c:pt>
                <c:pt idx="6">
                  <c:v>&gt; 0,05%       </c:v>
                </c:pt>
              </c:strCache>
            </c:strRef>
          </c:cat>
          <c:val>
            <c:numRef>
              <c:f>'Resultados VS Limites F.Nose'!$AE$14:$AK$14</c:f>
              <c:numCache>
                <c:formatCode>General</c:formatCode>
                <c:ptCount val="7"/>
                <c:pt idx="0">
                  <c:v>15</c:v>
                </c:pt>
                <c:pt idx="1">
                  <c:v>28</c:v>
                </c:pt>
                <c:pt idx="2">
                  <c:v>3</c:v>
                </c:pt>
                <c:pt idx="3">
                  <c:v>12</c:v>
                </c:pt>
                <c:pt idx="4">
                  <c:v>7</c:v>
                </c:pt>
                <c:pt idx="5">
                  <c:v>1</c:v>
                </c:pt>
                <c:pt idx="6">
                  <c:v>0</c:v>
                </c:pt>
              </c:numCache>
            </c:numRef>
          </c:val>
        </c:ser>
        <c:dLbls>
          <c:showVal val="1"/>
        </c:dLbls>
        <c:gapWidth val="300"/>
        <c:shape val="box"/>
        <c:axId val="102844672"/>
        <c:axId val="102859136"/>
        <c:axId val="0"/>
      </c:bar3DChart>
      <c:catAx>
        <c:axId val="102844672"/>
        <c:scaling>
          <c:orientation val="minMax"/>
        </c:scaling>
        <c:axPos val="l"/>
        <c:majorGridlines/>
        <c:title>
          <c:tx>
            <c:rich>
              <a:bodyPr/>
              <a:lstStyle/>
              <a:p>
                <a:pPr>
                  <a:defRPr/>
                </a:pPr>
                <a:r>
                  <a:rPr lang="en-US"/>
                  <a:t>Relación Porcentual</a:t>
                </a:r>
              </a:p>
            </c:rich>
          </c:tx>
        </c:title>
        <c:majorTickMark val="none"/>
        <c:tickLblPos val="nextTo"/>
        <c:crossAx val="102859136"/>
        <c:crosses val="autoZero"/>
        <c:auto val="1"/>
        <c:lblAlgn val="ctr"/>
        <c:lblOffset val="100"/>
      </c:catAx>
      <c:valAx>
        <c:axId val="102859136"/>
        <c:scaling>
          <c:orientation val="minMax"/>
        </c:scaling>
        <c:axPos val="b"/>
        <c:majorGridlines/>
        <c:minorGridlines/>
        <c:title>
          <c:tx>
            <c:rich>
              <a:bodyPr/>
              <a:lstStyle/>
              <a:p>
                <a:pPr>
                  <a:defRPr/>
                </a:pPr>
                <a:r>
                  <a:rPr lang="es-ES"/>
                  <a:t>Número de Mediciones</a:t>
                </a:r>
              </a:p>
            </c:rich>
          </c:tx>
        </c:title>
        <c:numFmt formatCode="General" sourceLinked="1"/>
        <c:tickLblPos val="nextTo"/>
        <c:crossAx val="102844672"/>
        <c:crosses val="autoZero"/>
        <c:crossBetween val="between"/>
      </c:valAx>
    </c:plotArea>
    <c:legend>
      <c:legendPos val="r"/>
      <c:layout>
        <c:manualLayout>
          <c:xMode val="edge"/>
          <c:yMode val="edge"/>
          <c:x val="0.68015484376128232"/>
          <c:y val="0.31404718986560737"/>
          <c:w val="0.29242580642995014"/>
          <c:h val="6.9236383764438414E-2"/>
        </c:manualLayout>
      </c:layout>
      <c:overlay val="1"/>
      <c:spPr>
        <a:solidFill>
          <a:srgbClr val="EEECE1">
            <a:lumMod val="90000"/>
          </a:srgbClr>
        </a:solidFill>
        <a:ln>
          <a:solidFill>
            <a:srgbClr val="1F497D">
              <a:lumMod val="60000"/>
              <a:lumOff val="40000"/>
            </a:srgbClr>
          </a:solidFill>
        </a:ln>
      </c:sp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00" b="1" i="0" u="none" strike="noStrike" baseline="0"/>
              <a:t>Valor Prom. E [V/m] Mediciones Telefonía Móvil (Movistar)  Edificios Cercanos </a:t>
            </a:r>
            <a:endParaRPr lang="es-ES" sz="1400"/>
          </a:p>
        </c:rich>
      </c:tx>
      <c:layout>
        <c:manualLayout>
          <c:xMode val="edge"/>
          <c:yMode val="edge"/>
          <c:x val="0.18396619684801963"/>
          <c:y val="6.0010088006042114E-2"/>
        </c:manualLayout>
      </c:layout>
    </c:title>
    <c:view3D>
      <c:rotX val="90"/>
      <c:rotY val="70"/>
      <c:depthPercent val="100"/>
      <c:rAngAx val="1"/>
    </c:view3D>
    <c:plotArea>
      <c:layout/>
      <c:bar3DChart>
        <c:barDir val="col"/>
        <c:grouping val="clustered"/>
        <c:ser>
          <c:idx val="0"/>
          <c:order val="0"/>
          <c:tx>
            <c:v>Procedimiento de Medición 1</c:v>
          </c:tx>
          <c:val>
            <c:numRef>
              <c:f>'Comp % por porcedi'!$Q$64:$Q$83</c:f>
              <c:numCache>
                <c:formatCode>0.000</c:formatCode>
                <c:ptCount val="20"/>
                <c:pt idx="0">
                  <c:v>0.47390000000000032</c:v>
                </c:pt>
                <c:pt idx="1">
                  <c:v>0.50116666666665977</c:v>
                </c:pt>
                <c:pt idx="2">
                  <c:v>0.40900000000000031</c:v>
                </c:pt>
                <c:pt idx="3">
                  <c:v>1.2836666666666658</c:v>
                </c:pt>
                <c:pt idx="4">
                  <c:v>0.15610000000000004</c:v>
                </c:pt>
                <c:pt idx="5">
                  <c:v>1.7580000000000005E-2</c:v>
                </c:pt>
                <c:pt idx="6">
                  <c:v>0.15430000000000021</c:v>
                </c:pt>
                <c:pt idx="7">
                  <c:v>0.39986666666667459</c:v>
                </c:pt>
                <c:pt idx="8">
                  <c:v>0.55730000000000002</c:v>
                </c:pt>
                <c:pt idx="9">
                  <c:v>0.62003333333333865</c:v>
                </c:pt>
                <c:pt idx="10">
                  <c:v>0.14126666666666671</c:v>
                </c:pt>
                <c:pt idx="11">
                  <c:v>0.11236666666666667</c:v>
                </c:pt>
                <c:pt idx="12">
                  <c:v>0.45353333333333329</c:v>
                </c:pt>
                <c:pt idx="13">
                  <c:v>0.64263333333334161</c:v>
                </c:pt>
                <c:pt idx="14">
                  <c:v>0.10677999999999999</c:v>
                </c:pt>
                <c:pt idx="15">
                  <c:v>1.2913333333333337E-2</c:v>
                </c:pt>
                <c:pt idx="16">
                  <c:v>9.9170000000000022E-2</c:v>
                </c:pt>
                <c:pt idx="17">
                  <c:v>0.1851666666666667</c:v>
                </c:pt>
                <c:pt idx="18">
                  <c:v>0.3254333333333333</c:v>
                </c:pt>
                <c:pt idx="19">
                  <c:v>0.35753333333333326</c:v>
                </c:pt>
              </c:numCache>
            </c:numRef>
          </c:val>
        </c:ser>
        <c:ser>
          <c:idx val="1"/>
          <c:order val="1"/>
          <c:tx>
            <c:v>Procedimiento de Medición 2</c:v>
          </c:tx>
          <c:val>
            <c:numRef>
              <c:f>'Comp % por porcedi'!$R$64:$R$83</c:f>
              <c:numCache>
                <c:formatCode>0.000</c:formatCode>
                <c:ptCount val="20"/>
                <c:pt idx="0">
                  <c:v>0.47030000000000038</c:v>
                </c:pt>
                <c:pt idx="1">
                  <c:v>0.36420000000000002</c:v>
                </c:pt>
                <c:pt idx="2">
                  <c:v>0.37196666666667283</c:v>
                </c:pt>
                <c:pt idx="3">
                  <c:v>0.49243333333333333</c:v>
                </c:pt>
                <c:pt idx="4">
                  <c:v>0.21153333333333582</c:v>
                </c:pt>
                <c:pt idx="5">
                  <c:v>0.1283</c:v>
                </c:pt>
                <c:pt idx="6">
                  <c:v>0.1003</c:v>
                </c:pt>
                <c:pt idx="7">
                  <c:v>0.39460000000000345</c:v>
                </c:pt>
                <c:pt idx="8">
                  <c:v>0.3759333333333334</c:v>
                </c:pt>
                <c:pt idx="9">
                  <c:v>0.44696666666667012</c:v>
                </c:pt>
                <c:pt idx="10">
                  <c:v>1.7486666666666671E-2</c:v>
                </c:pt>
                <c:pt idx="11">
                  <c:v>1.3630000000000001E-2</c:v>
                </c:pt>
                <c:pt idx="12">
                  <c:v>5.6966666666666693E-2</c:v>
                </c:pt>
                <c:pt idx="13">
                  <c:v>5.6129999999999985E-2</c:v>
                </c:pt>
                <c:pt idx="14">
                  <c:v>1.519E-2</c:v>
                </c:pt>
                <c:pt idx="15">
                  <c:v>1.0700000000000001E-2</c:v>
                </c:pt>
                <c:pt idx="16">
                  <c:v>4.1666666666666683E-3</c:v>
                </c:pt>
                <c:pt idx="17">
                  <c:v>8.9000000000000207E-3</c:v>
                </c:pt>
                <c:pt idx="18">
                  <c:v>6.4666666666667004E-3</c:v>
                </c:pt>
                <c:pt idx="19">
                  <c:v>1.047333333333334E-2</c:v>
                </c:pt>
              </c:numCache>
            </c:numRef>
          </c:val>
        </c:ser>
        <c:shape val="cylinder"/>
        <c:axId val="90253184"/>
        <c:axId val="102311424"/>
        <c:axId val="0"/>
      </c:bar3DChart>
      <c:catAx>
        <c:axId val="90253184"/>
        <c:scaling>
          <c:orientation val="minMax"/>
        </c:scaling>
        <c:axPos val="b"/>
        <c:majorTickMark val="none"/>
        <c:tickLblPos val="none"/>
        <c:crossAx val="102311424"/>
        <c:crosses val="autoZero"/>
        <c:auto val="1"/>
        <c:lblAlgn val="ctr"/>
        <c:lblOffset val="100"/>
      </c:catAx>
      <c:valAx>
        <c:axId val="102311424"/>
        <c:scaling>
          <c:orientation val="minMax"/>
        </c:scaling>
        <c:axPos val="l"/>
        <c:majorGridlines>
          <c:spPr>
            <a:ln w="9525"/>
          </c:spPr>
        </c:majorGridlines>
        <c:minorGridlines/>
        <c:numFmt formatCode="0.000" sourceLinked="1"/>
        <c:majorTickMark val="none"/>
        <c:tickLblPos val="nextTo"/>
        <c:crossAx val="90253184"/>
        <c:crosses val="autoZero"/>
        <c:crossBetween val="between"/>
      </c:valAx>
    </c:plotArea>
    <c:legend>
      <c:legendPos val="b"/>
      <c:layout>
        <c:manualLayout>
          <c:xMode val="edge"/>
          <c:yMode val="edge"/>
          <c:x val="2.6380202474691045E-2"/>
          <c:y val="0.89327348153623209"/>
          <c:w val="0.89777177852768464"/>
          <c:h val="7.9195222898965939E-2"/>
        </c:manualLayout>
      </c:layout>
    </c:legend>
    <c:plotVisOnly val="1"/>
  </c:chart>
  <c:spPr>
    <a:ln>
      <a:solidFill>
        <a:schemeClr val="accent1"/>
      </a:solidFill>
    </a:ln>
    <a:scene3d>
      <a:camera prst="orthographicFront"/>
      <a:lightRig rig="threePt" dir="t"/>
    </a:scene3d>
    <a:sp3d>
      <a:bevelT w="0" h="0"/>
    </a:sp3d>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200" b="1" i="0" baseline="0"/>
              <a:t>Límite Vs. Valores de las mediciones realizadas Banda  2,4-2,5 GHz con Procedimiento de medición 1</a:t>
            </a:r>
          </a:p>
        </c:rich>
      </c:tx>
      <c:layout>
        <c:manualLayout>
          <c:xMode val="edge"/>
          <c:yMode val="edge"/>
          <c:x val="0.12165534683160401"/>
          <c:y val="2.7724303990808039E-2"/>
        </c:manualLayout>
      </c:layout>
    </c:title>
    <c:plotArea>
      <c:layout/>
      <c:lineChart>
        <c:grouping val="standard"/>
        <c:ser>
          <c:idx val="0"/>
          <c:order val="0"/>
          <c:tx>
            <c:v>Límite</c:v>
          </c:tx>
          <c:marker>
            <c:symbol val="none"/>
          </c:marker>
          <c:val>
            <c:numRef>
              <c:f>'p1'!$E$83:$E$184</c:f>
              <c:numCache>
                <c:formatCode>_-* #,##0.000\ _€_-;\-* #,##0.000\ _€_-;_-* "-"???\ _€_-;_-@_-</c:formatCode>
                <c:ptCount val="102"/>
                <c:pt idx="0">
                  <c:v>1.3280000000000001</c:v>
                </c:pt>
                <c:pt idx="1">
                  <c:v>0.97280000000000411</c:v>
                </c:pt>
                <c:pt idx="2">
                  <c:v>1.3640000000000001</c:v>
                </c:pt>
                <c:pt idx="3">
                  <c:v>0.14750000000000021</c:v>
                </c:pt>
                <c:pt idx="4">
                  <c:v>0.26729999999999998</c:v>
                </c:pt>
                <c:pt idx="5">
                  <c:v>0.39870000000000205</c:v>
                </c:pt>
                <c:pt idx="6">
                  <c:v>0.17030000000000001</c:v>
                </c:pt>
                <c:pt idx="7">
                  <c:v>0.39360000000000234</c:v>
                </c:pt>
                <c:pt idx="8">
                  <c:v>0.18130000000000004</c:v>
                </c:pt>
                <c:pt idx="9">
                  <c:v>0.33390000000000303</c:v>
                </c:pt>
                <c:pt idx="10">
                  <c:v>0.29530000000000234</c:v>
                </c:pt>
                <c:pt idx="11">
                  <c:v>0.17910000000000001</c:v>
                </c:pt>
                <c:pt idx="12">
                  <c:v>1.151</c:v>
                </c:pt>
                <c:pt idx="13">
                  <c:v>0.96990000000000065</c:v>
                </c:pt>
                <c:pt idx="14">
                  <c:v>0.8327000000000041</c:v>
                </c:pt>
                <c:pt idx="15">
                  <c:v>0.19420000000000001</c:v>
                </c:pt>
                <c:pt idx="16">
                  <c:v>0.28250000000000008</c:v>
                </c:pt>
                <c:pt idx="17">
                  <c:v>1.1890000000000001</c:v>
                </c:pt>
                <c:pt idx="18">
                  <c:v>0.41100000000000031</c:v>
                </c:pt>
                <c:pt idx="19">
                  <c:v>0.51160000000000005</c:v>
                </c:pt>
                <c:pt idx="20">
                  <c:v>0.44670000000000004</c:v>
                </c:pt>
                <c:pt idx="21">
                  <c:v>1.395</c:v>
                </c:pt>
                <c:pt idx="22">
                  <c:v>1.536</c:v>
                </c:pt>
                <c:pt idx="23">
                  <c:v>1.7769999999999908</c:v>
                </c:pt>
                <c:pt idx="24">
                  <c:v>0.77950000000000064</c:v>
                </c:pt>
                <c:pt idx="25">
                  <c:v>0.55030000000000001</c:v>
                </c:pt>
                <c:pt idx="26">
                  <c:v>0.58809999999999996</c:v>
                </c:pt>
                <c:pt idx="27">
                  <c:v>0.59309999999999996</c:v>
                </c:pt>
                <c:pt idx="28">
                  <c:v>0.62200000000000411</c:v>
                </c:pt>
                <c:pt idx="29">
                  <c:v>0.65910000000000468</c:v>
                </c:pt>
                <c:pt idx="30">
                  <c:v>1.3340000000000001</c:v>
                </c:pt>
                <c:pt idx="31">
                  <c:v>1.546</c:v>
                </c:pt>
                <c:pt idx="32">
                  <c:v>1.2769999999999908</c:v>
                </c:pt>
                <c:pt idx="33">
                  <c:v>0.74220000000000064</c:v>
                </c:pt>
                <c:pt idx="34">
                  <c:v>0.53249999999999997</c:v>
                </c:pt>
                <c:pt idx="35">
                  <c:v>0.6795000000000041</c:v>
                </c:pt>
                <c:pt idx="36">
                  <c:v>2.4929999999999977</c:v>
                </c:pt>
                <c:pt idx="37">
                  <c:v>2.7970000000000002</c:v>
                </c:pt>
                <c:pt idx="38">
                  <c:v>3.2840000000000011</c:v>
                </c:pt>
                <c:pt idx="39">
                  <c:v>1.4279999999999835</c:v>
                </c:pt>
                <c:pt idx="40">
                  <c:v>1.3</c:v>
                </c:pt>
                <c:pt idx="41">
                  <c:v>0.94199999999999995</c:v>
                </c:pt>
                <c:pt idx="42">
                  <c:v>0.31800000000000234</c:v>
                </c:pt>
                <c:pt idx="43">
                  <c:v>0.28500000000000031</c:v>
                </c:pt>
                <c:pt idx="44">
                  <c:v>0.28090000000000032</c:v>
                </c:pt>
                <c:pt idx="45">
                  <c:v>1.4409999999999892</c:v>
                </c:pt>
                <c:pt idx="46">
                  <c:v>0.84610000000000063</c:v>
                </c:pt>
                <c:pt idx="47">
                  <c:v>0.8982</c:v>
                </c:pt>
                <c:pt idx="48">
                  <c:v>1.4239999999999835</c:v>
                </c:pt>
                <c:pt idx="49">
                  <c:v>0.87600000000000422</c:v>
                </c:pt>
                <c:pt idx="50">
                  <c:v>1.1200000000000001</c:v>
                </c:pt>
                <c:pt idx="51">
                  <c:v>1.6739999999999917</c:v>
                </c:pt>
                <c:pt idx="52">
                  <c:v>1.1259999999999908</c:v>
                </c:pt>
                <c:pt idx="53">
                  <c:v>1.371</c:v>
                </c:pt>
                <c:pt idx="54">
                  <c:v>0.37110000000000032</c:v>
                </c:pt>
                <c:pt idx="55">
                  <c:v>0.25410000000000005</c:v>
                </c:pt>
                <c:pt idx="56">
                  <c:v>0.27050000000000002</c:v>
                </c:pt>
                <c:pt idx="57">
                  <c:v>0.87070000000000525</c:v>
                </c:pt>
                <c:pt idx="58">
                  <c:v>1.1259999999999908</c:v>
                </c:pt>
                <c:pt idx="59">
                  <c:v>1.371</c:v>
                </c:pt>
                <c:pt idx="60">
                  <c:v>0.94299999999999995</c:v>
                </c:pt>
                <c:pt idx="61">
                  <c:v>0.61160000000000525</c:v>
                </c:pt>
                <c:pt idx="62">
                  <c:v>0.51980000000000004</c:v>
                </c:pt>
                <c:pt idx="63">
                  <c:v>0.53259999999999996</c:v>
                </c:pt>
                <c:pt idx="64">
                  <c:v>0.66810000000000525</c:v>
                </c:pt>
                <c:pt idx="65">
                  <c:v>0.42210000000000031</c:v>
                </c:pt>
                <c:pt idx="66">
                  <c:v>0.4582</c:v>
                </c:pt>
                <c:pt idx="67">
                  <c:v>0.42810000000000031</c:v>
                </c:pt>
                <c:pt idx="68">
                  <c:v>0.44060000000000005</c:v>
                </c:pt>
                <c:pt idx="69">
                  <c:v>0.95760000000000456</c:v>
                </c:pt>
                <c:pt idx="70">
                  <c:v>0.63740000000000063</c:v>
                </c:pt>
                <c:pt idx="71">
                  <c:v>0.62360000000000526</c:v>
                </c:pt>
                <c:pt idx="72">
                  <c:v>2.206</c:v>
                </c:pt>
                <c:pt idx="73">
                  <c:v>1.137</c:v>
                </c:pt>
                <c:pt idx="74">
                  <c:v>1.222</c:v>
                </c:pt>
                <c:pt idx="75">
                  <c:v>1.179</c:v>
                </c:pt>
                <c:pt idx="76">
                  <c:v>1.1060000000000001</c:v>
                </c:pt>
                <c:pt idx="77">
                  <c:v>1.095</c:v>
                </c:pt>
                <c:pt idx="78">
                  <c:v>1.0669999999999917</c:v>
                </c:pt>
                <c:pt idx="79">
                  <c:v>1.153</c:v>
                </c:pt>
                <c:pt idx="80">
                  <c:v>0.92900000000000005</c:v>
                </c:pt>
                <c:pt idx="81">
                  <c:v>0.98719999999999997</c:v>
                </c:pt>
                <c:pt idx="82">
                  <c:v>1.1200000000000001</c:v>
                </c:pt>
                <c:pt idx="83">
                  <c:v>0.86420000000000063</c:v>
                </c:pt>
                <c:pt idx="84" formatCode="General">
                  <c:v>0.72270000000000456</c:v>
                </c:pt>
                <c:pt idx="85" formatCode="General">
                  <c:v>0.58289999999999997</c:v>
                </c:pt>
                <c:pt idx="86" formatCode="General">
                  <c:v>0.35470000000000002</c:v>
                </c:pt>
                <c:pt idx="87" formatCode="General">
                  <c:v>1.171</c:v>
                </c:pt>
                <c:pt idx="88" formatCode="General">
                  <c:v>1.097</c:v>
                </c:pt>
                <c:pt idx="89" formatCode="General">
                  <c:v>1.524</c:v>
                </c:pt>
                <c:pt idx="90" formatCode="General">
                  <c:v>0.93270000000000064</c:v>
                </c:pt>
                <c:pt idx="91" formatCode="General">
                  <c:v>0.79970000000000063</c:v>
                </c:pt>
                <c:pt idx="92" formatCode="General">
                  <c:v>1.248</c:v>
                </c:pt>
                <c:pt idx="93" formatCode="General">
                  <c:v>0.71500000000000064</c:v>
                </c:pt>
                <c:pt idx="94" formatCode="General">
                  <c:v>0.75860000000000538</c:v>
                </c:pt>
                <c:pt idx="95" formatCode="General">
                  <c:v>0.77080000000000526</c:v>
                </c:pt>
                <c:pt idx="96" formatCode="General">
                  <c:v>2</c:v>
                </c:pt>
                <c:pt idx="97" formatCode="General">
                  <c:v>2.1859999999999999</c:v>
                </c:pt>
                <c:pt idx="98" formatCode="General">
                  <c:v>2.0159999999999987</c:v>
                </c:pt>
                <c:pt idx="99" formatCode="General">
                  <c:v>1.181</c:v>
                </c:pt>
                <c:pt idx="100" formatCode="General">
                  <c:v>1.018</c:v>
                </c:pt>
                <c:pt idx="101" formatCode="General">
                  <c:v>1.367</c:v>
                </c:pt>
              </c:numCache>
            </c:numRef>
          </c:val>
        </c:ser>
        <c:ser>
          <c:idx val="1"/>
          <c:order val="1"/>
          <c:tx>
            <c:v>Valores obtenidos</c:v>
          </c:tx>
          <c:marker>
            <c:symbol val="none"/>
          </c:marker>
          <c:val>
            <c:numRef>
              <c:f>'p1'!$F$83:$F$184</c:f>
              <c:numCache>
                <c:formatCode>0</c:formatCode>
                <c:ptCount val="102"/>
                <c:pt idx="0">
                  <c:v>61</c:v>
                </c:pt>
                <c:pt idx="1">
                  <c:v>61</c:v>
                </c:pt>
                <c:pt idx="2">
                  <c:v>61</c:v>
                </c:pt>
                <c:pt idx="3">
                  <c:v>61</c:v>
                </c:pt>
                <c:pt idx="4">
                  <c:v>61</c:v>
                </c:pt>
                <c:pt idx="5">
                  <c:v>61</c:v>
                </c:pt>
                <c:pt idx="6">
                  <c:v>61</c:v>
                </c:pt>
                <c:pt idx="7">
                  <c:v>61</c:v>
                </c:pt>
                <c:pt idx="8">
                  <c:v>61</c:v>
                </c:pt>
                <c:pt idx="9">
                  <c:v>61</c:v>
                </c:pt>
                <c:pt idx="10">
                  <c:v>61</c:v>
                </c:pt>
                <c:pt idx="11">
                  <c:v>61</c:v>
                </c:pt>
                <c:pt idx="12">
                  <c:v>61</c:v>
                </c:pt>
                <c:pt idx="13">
                  <c:v>61</c:v>
                </c:pt>
                <c:pt idx="14">
                  <c:v>61</c:v>
                </c:pt>
                <c:pt idx="15">
                  <c:v>61</c:v>
                </c:pt>
                <c:pt idx="16">
                  <c:v>61</c:v>
                </c:pt>
                <c:pt idx="17">
                  <c:v>61</c:v>
                </c:pt>
                <c:pt idx="18">
                  <c:v>61</c:v>
                </c:pt>
                <c:pt idx="19">
                  <c:v>61</c:v>
                </c:pt>
                <c:pt idx="20">
                  <c:v>61</c:v>
                </c:pt>
                <c:pt idx="21">
                  <c:v>61</c:v>
                </c:pt>
                <c:pt idx="22">
                  <c:v>61</c:v>
                </c:pt>
                <c:pt idx="23">
                  <c:v>61</c:v>
                </c:pt>
                <c:pt idx="24">
                  <c:v>61</c:v>
                </c:pt>
                <c:pt idx="25">
                  <c:v>61</c:v>
                </c:pt>
                <c:pt idx="26">
                  <c:v>61</c:v>
                </c:pt>
                <c:pt idx="27">
                  <c:v>61</c:v>
                </c:pt>
                <c:pt idx="28">
                  <c:v>61</c:v>
                </c:pt>
                <c:pt idx="29">
                  <c:v>61</c:v>
                </c:pt>
                <c:pt idx="30">
                  <c:v>61</c:v>
                </c:pt>
                <c:pt idx="31">
                  <c:v>61</c:v>
                </c:pt>
                <c:pt idx="32">
                  <c:v>61</c:v>
                </c:pt>
                <c:pt idx="33">
                  <c:v>61</c:v>
                </c:pt>
                <c:pt idx="34">
                  <c:v>61</c:v>
                </c:pt>
                <c:pt idx="35">
                  <c:v>61</c:v>
                </c:pt>
                <c:pt idx="36">
                  <c:v>61</c:v>
                </c:pt>
                <c:pt idx="37">
                  <c:v>61</c:v>
                </c:pt>
                <c:pt idx="38">
                  <c:v>61</c:v>
                </c:pt>
                <c:pt idx="39">
                  <c:v>61</c:v>
                </c:pt>
                <c:pt idx="40">
                  <c:v>61</c:v>
                </c:pt>
                <c:pt idx="41">
                  <c:v>61</c:v>
                </c:pt>
                <c:pt idx="42">
                  <c:v>61</c:v>
                </c:pt>
                <c:pt idx="43">
                  <c:v>61</c:v>
                </c:pt>
                <c:pt idx="44">
                  <c:v>61</c:v>
                </c:pt>
                <c:pt idx="45">
                  <c:v>61</c:v>
                </c:pt>
                <c:pt idx="46">
                  <c:v>61</c:v>
                </c:pt>
                <c:pt idx="47">
                  <c:v>61</c:v>
                </c:pt>
                <c:pt idx="48">
                  <c:v>61</c:v>
                </c:pt>
                <c:pt idx="49">
                  <c:v>61</c:v>
                </c:pt>
                <c:pt idx="50">
                  <c:v>61</c:v>
                </c:pt>
                <c:pt idx="51">
                  <c:v>61</c:v>
                </c:pt>
                <c:pt idx="52">
                  <c:v>61</c:v>
                </c:pt>
                <c:pt idx="53">
                  <c:v>61</c:v>
                </c:pt>
                <c:pt idx="54">
                  <c:v>61</c:v>
                </c:pt>
                <c:pt idx="55">
                  <c:v>61</c:v>
                </c:pt>
                <c:pt idx="56">
                  <c:v>61</c:v>
                </c:pt>
                <c:pt idx="57">
                  <c:v>61</c:v>
                </c:pt>
                <c:pt idx="58">
                  <c:v>61</c:v>
                </c:pt>
                <c:pt idx="59">
                  <c:v>61</c:v>
                </c:pt>
                <c:pt idx="60">
                  <c:v>61</c:v>
                </c:pt>
                <c:pt idx="61">
                  <c:v>61</c:v>
                </c:pt>
                <c:pt idx="62">
                  <c:v>61</c:v>
                </c:pt>
                <c:pt idx="63">
                  <c:v>61</c:v>
                </c:pt>
                <c:pt idx="64">
                  <c:v>61</c:v>
                </c:pt>
                <c:pt idx="65">
                  <c:v>61</c:v>
                </c:pt>
                <c:pt idx="66">
                  <c:v>61</c:v>
                </c:pt>
                <c:pt idx="67">
                  <c:v>61</c:v>
                </c:pt>
                <c:pt idx="68">
                  <c:v>61</c:v>
                </c:pt>
                <c:pt idx="69">
                  <c:v>61</c:v>
                </c:pt>
                <c:pt idx="70">
                  <c:v>61</c:v>
                </c:pt>
                <c:pt idx="71">
                  <c:v>61</c:v>
                </c:pt>
                <c:pt idx="72">
                  <c:v>61</c:v>
                </c:pt>
                <c:pt idx="73">
                  <c:v>61</c:v>
                </c:pt>
                <c:pt idx="74">
                  <c:v>61</c:v>
                </c:pt>
                <c:pt idx="75">
                  <c:v>61</c:v>
                </c:pt>
                <c:pt idx="76">
                  <c:v>61</c:v>
                </c:pt>
                <c:pt idx="77">
                  <c:v>61</c:v>
                </c:pt>
                <c:pt idx="78">
                  <c:v>61</c:v>
                </c:pt>
                <c:pt idx="79">
                  <c:v>61</c:v>
                </c:pt>
                <c:pt idx="80">
                  <c:v>61</c:v>
                </c:pt>
                <c:pt idx="81">
                  <c:v>61</c:v>
                </c:pt>
                <c:pt idx="82">
                  <c:v>61</c:v>
                </c:pt>
                <c:pt idx="83">
                  <c:v>61</c:v>
                </c:pt>
                <c:pt idx="84">
                  <c:v>61</c:v>
                </c:pt>
                <c:pt idx="85">
                  <c:v>61</c:v>
                </c:pt>
                <c:pt idx="86">
                  <c:v>61</c:v>
                </c:pt>
                <c:pt idx="87">
                  <c:v>61</c:v>
                </c:pt>
                <c:pt idx="88">
                  <c:v>61</c:v>
                </c:pt>
                <c:pt idx="89">
                  <c:v>61</c:v>
                </c:pt>
                <c:pt idx="90">
                  <c:v>61</c:v>
                </c:pt>
                <c:pt idx="91">
                  <c:v>61</c:v>
                </c:pt>
                <c:pt idx="92">
                  <c:v>61</c:v>
                </c:pt>
                <c:pt idx="93">
                  <c:v>61</c:v>
                </c:pt>
                <c:pt idx="94">
                  <c:v>61</c:v>
                </c:pt>
                <c:pt idx="95">
                  <c:v>61</c:v>
                </c:pt>
                <c:pt idx="96">
                  <c:v>61</c:v>
                </c:pt>
                <c:pt idx="97">
                  <c:v>61</c:v>
                </c:pt>
                <c:pt idx="98">
                  <c:v>61</c:v>
                </c:pt>
                <c:pt idx="99">
                  <c:v>61</c:v>
                </c:pt>
                <c:pt idx="100">
                  <c:v>61</c:v>
                </c:pt>
                <c:pt idx="101">
                  <c:v>61</c:v>
                </c:pt>
              </c:numCache>
            </c:numRef>
          </c:val>
        </c:ser>
        <c:marker val="1"/>
        <c:axId val="102900864"/>
        <c:axId val="102902784"/>
      </c:lineChart>
      <c:catAx>
        <c:axId val="102900864"/>
        <c:scaling>
          <c:orientation val="minMax"/>
        </c:scaling>
        <c:delete val="1"/>
        <c:axPos val="b"/>
        <c:title>
          <c:tx>
            <c:rich>
              <a:bodyPr/>
              <a:lstStyle/>
              <a:p>
                <a:pPr>
                  <a:defRPr i="1"/>
                </a:pPr>
                <a:r>
                  <a:rPr lang="es-ES" sz="900" b="1" i="1" baseline="0"/>
                  <a:t>Puntos de Medición en Banda 2,4-2,5 GHz  con Procedimiento 1</a:t>
                </a:r>
                <a:endParaRPr lang="es-ES" sz="900" i="1"/>
              </a:p>
            </c:rich>
          </c:tx>
          <c:layout>
            <c:manualLayout>
              <c:xMode val="edge"/>
              <c:yMode val="edge"/>
              <c:x val="0.21934239391570101"/>
              <c:y val="0.81366183382779345"/>
            </c:manualLayout>
          </c:layout>
        </c:title>
        <c:tickLblPos val="none"/>
        <c:crossAx val="102902784"/>
        <c:crosses val="autoZero"/>
        <c:auto val="1"/>
        <c:lblAlgn val="ctr"/>
        <c:lblOffset val="100"/>
      </c:catAx>
      <c:valAx>
        <c:axId val="102902784"/>
        <c:scaling>
          <c:orientation val="minMax"/>
        </c:scaling>
        <c:axPos val="l"/>
        <c:majorGridlines/>
        <c:title>
          <c:tx>
            <c:rich>
              <a:bodyPr rot="-5400000" vert="horz"/>
              <a:lstStyle/>
              <a:p>
                <a:pPr>
                  <a:defRPr/>
                </a:pPr>
                <a:r>
                  <a:rPr lang="es-ES"/>
                  <a:t>V/m</a:t>
                </a:r>
              </a:p>
            </c:rich>
          </c:tx>
        </c:title>
        <c:numFmt formatCode="_-* #,##0.000\ _€_-;\-* #,##0.000\ _€_-;_-* &quot;-&quot;???\ _€_-;_-@_-" sourceLinked="1"/>
        <c:tickLblPos val="nextTo"/>
        <c:crossAx val="102900864"/>
        <c:crosses val="autoZero"/>
        <c:crossBetween val="between"/>
      </c:valAx>
    </c:plotArea>
    <c:legend>
      <c:legendPos val="b"/>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i="1"/>
              <a:t>Nº de Mediciones por Rango de Relación Porcentual al Nivel de Referencia. WLAN Procedimiento de Medición 1</a:t>
            </a:r>
          </a:p>
        </c:rich>
      </c:tx>
      <c:layout>
        <c:manualLayout>
          <c:xMode val="edge"/>
          <c:yMode val="edge"/>
          <c:x val="0.16378731332833291"/>
          <c:y val="1.4915907169031288E-2"/>
        </c:manualLayout>
      </c:layout>
    </c:title>
    <c:view3D>
      <c:rotX val="30"/>
      <c:rotY val="50"/>
      <c:depthPercent val="100"/>
      <c:rAngAx val="1"/>
    </c:view3D>
    <c:plotArea>
      <c:layout/>
      <c:bar3DChart>
        <c:barDir val="bar"/>
        <c:grouping val="clustered"/>
        <c:ser>
          <c:idx val="0"/>
          <c:order val="0"/>
          <c:tx>
            <c:v>% Respecto al Total</c:v>
          </c:tx>
          <c:dLbls>
            <c:dLbl>
              <c:idx val="0"/>
              <c:tx>
                <c:rich>
                  <a:bodyPr/>
                  <a:lstStyle/>
                  <a:p>
                    <a:r>
                      <a:rPr lang="en-US" b="1"/>
                      <a:t>14,71%</a:t>
                    </a:r>
                  </a:p>
                </c:rich>
              </c:tx>
              <c:showVal val="1"/>
            </c:dLbl>
            <c:dLbl>
              <c:idx val="1"/>
              <c:tx>
                <c:rich>
                  <a:bodyPr/>
                  <a:lstStyle/>
                  <a:p>
                    <a:r>
                      <a:rPr lang="en-US" b="1"/>
                      <a:t>19,61%</a:t>
                    </a:r>
                  </a:p>
                </c:rich>
              </c:tx>
              <c:showVal val="1"/>
            </c:dLbl>
            <c:dLbl>
              <c:idx val="2"/>
              <c:tx>
                <c:rich>
                  <a:bodyPr/>
                  <a:lstStyle/>
                  <a:p>
                    <a:r>
                      <a:rPr lang="en-US" b="1"/>
                      <a:t>41,18%</a:t>
                    </a:r>
                  </a:p>
                </c:rich>
              </c:tx>
              <c:showVal val="1"/>
            </c:dLbl>
            <c:dLbl>
              <c:idx val="3"/>
              <c:tx>
                <c:rich>
                  <a:bodyPr/>
                  <a:lstStyle/>
                  <a:p>
                    <a:r>
                      <a:rPr lang="en-US" b="1"/>
                      <a:t>17,65%</a:t>
                    </a:r>
                  </a:p>
                </c:rich>
              </c:tx>
              <c:showVal val="1"/>
            </c:dLbl>
            <c:dLbl>
              <c:idx val="4"/>
              <c:tx>
                <c:rich>
                  <a:bodyPr/>
                  <a:lstStyle/>
                  <a:p>
                    <a:r>
                      <a:rPr lang="en-US" b="1"/>
                      <a:t>3,92%</a:t>
                    </a:r>
                  </a:p>
                </c:rich>
              </c:tx>
              <c:showVal val="1"/>
            </c:dLbl>
            <c:dLbl>
              <c:idx val="5"/>
              <c:tx>
                <c:rich>
                  <a:bodyPr/>
                  <a:lstStyle/>
                  <a:p>
                    <a:r>
                      <a:rPr lang="en-US" b="1"/>
                      <a:t>1,96%</a:t>
                    </a:r>
                  </a:p>
                </c:rich>
              </c:tx>
              <c:showVal val="1"/>
            </c:dLbl>
            <c:dLbl>
              <c:idx val="6"/>
              <c:layout>
                <c:manualLayout>
                  <c:x val="-7.0539422928274824E-3"/>
                  <c:y val="3.8288290325332892E-3"/>
                </c:manualLayout>
              </c:layout>
              <c:tx>
                <c:rich>
                  <a:bodyPr/>
                  <a:lstStyle/>
                  <a:p>
                    <a:r>
                      <a:rPr lang="en-US" b="1"/>
                      <a:t>0,98%</a:t>
                    </a:r>
                  </a:p>
                </c:rich>
              </c:tx>
              <c:showVal val="1"/>
            </c:dLbl>
            <c:dLbl>
              <c:idx val="7"/>
              <c:tx>
                <c:rich>
                  <a:bodyPr/>
                  <a:lstStyle/>
                  <a:p>
                    <a:r>
                      <a:rPr lang="en-US" b="1"/>
                      <a:t>0%</a:t>
                    </a:r>
                  </a:p>
                </c:rich>
              </c:tx>
              <c:showVal val="1"/>
            </c:dLbl>
            <c:dLbl>
              <c:idx val="8"/>
              <c:tx>
                <c:rich>
                  <a:bodyPr/>
                  <a:lstStyle/>
                  <a:p>
                    <a:r>
                      <a:rPr lang="en-US" b="1"/>
                      <a:t>0%</a:t>
                    </a:r>
                  </a:p>
                </c:rich>
              </c:tx>
              <c:showVal val="1"/>
            </c:dLbl>
            <c:showVal val="1"/>
          </c:dLbls>
          <c:cat>
            <c:strRef>
              <c:f>'Resultados VS Limites Narda'!$AM$99:$AT$99</c:f>
              <c:strCache>
                <c:ptCount val="8"/>
                <c:pt idx="0">
                  <c:v>&lt; 0,5%</c:v>
                </c:pt>
                <c:pt idx="1">
                  <c:v> 0,5 a 1%</c:v>
                </c:pt>
                <c:pt idx="2">
                  <c:v>1 a 2%</c:v>
                </c:pt>
                <c:pt idx="3">
                  <c:v> 2 a 3%</c:v>
                </c:pt>
                <c:pt idx="4">
                  <c:v>3 a 4%</c:v>
                </c:pt>
                <c:pt idx="5">
                  <c:v>4 a 5%</c:v>
                </c:pt>
                <c:pt idx="6">
                  <c:v>5 a 6%</c:v>
                </c:pt>
                <c:pt idx="7">
                  <c:v>&gt; 6 %</c:v>
                </c:pt>
              </c:strCache>
            </c:strRef>
          </c:cat>
          <c:val>
            <c:numRef>
              <c:f>'Resultados VS Limites Narda'!$AM$100:$AT$100</c:f>
              <c:numCache>
                <c:formatCode>General</c:formatCode>
                <c:ptCount val="8"/>
                <c:pt idx="0">
                  <c:v>15</c:v>
                </c:pt>
                <c:pt idx="1">
                  <c:v>20</c:v>
                </c:pt>
                <c:pt idx="2">
                  <c:v>42</c:v>
                </c:pt>
                <c:pt idx="3">
                  <c:v>18</c:v>
                </c:pt>
                <c:pt idx="4">
                  <c:v>4</c:v>
                </c:pt>
                <c:pt idx="5">
                  <c:v>2</c:v>
                </c:pt>
                <c:pt idx="6">
                  <c:v>1</c:v>
                </c:pt>
                <c:pt idx="7">
                  <c:v>0</c:v>
                </c:pt>
              </c:numCache>
            </c:numRef>
          </c:val>
        </c:ser>
        <c:dLbls>
          <c:showVal val="1"/>
        </c:dLbls>
        <c:gapWidth val="300"/>
        <c:shape val="box"/>
        <c:axId val="102948864"/>
        <c:axId val="102950784"/>
        <c:axId val="0"/>
      </c:bar3DChart>
      <c:catAx>
        <c:axId val="102948864"/>
        <c:scaling>
          <c:orientation val="minMax"/>
        </c:scaling>
        <c:axPos val="l"/>
        <c:majorGridlines/>
        <c:title>
          <c:tx>
            <c:rich>
              <a:bodyPr/>
              <a:lstStyle/>
              <a:p>
                <a:pPr>
                  <a:defRPr/>
                </a:pPr>
                <a:r>
                  <a:rPr lang="en-US"/>
                  <a:t>Relación Porcentual</a:t>
                </a:r>
              </a:p>
            </c:rich>
          </c:tx>
          <c:layout>
            <c:manualLayout>
              <c:xMode val="edge"/>
              <c:yMode val="edge"/>
              <c:x val="6.9146048687042078E-2"/>
              <c:y val="0.32238625199783827"/>
            </c:manualLayout>
          </c:layout>
        </c:title>
        <c:majorTickMark val="none"/>
        <c:tickLblPos val="nextTo"/>
        <c:crossAx val="102950784"/>
        <c:crosses val="autoZero"/>
        <c:auto val="1"/>
        <c:lblAlgn val="ctr"/>
        <c:lblOffset val="100"/>
      </c:catAx>
      <c:valAx>
        <c:axId val="102950784"/>
        <c:scaling>
          <c:orientation val="minMax"/>
        </c:scaling>
        <c:axPos val="b"/>
        <c:majorGridlines/>
        <c:minorGridlines/>
        <c:title>
          <c:tx>
            <c:rich>
              <a:bodyPr/>
              <a:lstStyle/>
              <a:p>
                <a:pPr>
                  <a:defRPr/>
                </a:pPr>
                <a:r>
                  <a:rPr lang="es-ES"/>
                  <a:t>Número de Mediciones</a:t>
                </a:r>
              </a:p>
            </c:rich>
          </c:tx>
          <c:layout>
            <c:manualLayout>
              <c:xMode val="edge"/>
              <c:yMode val="edge"/>
              <c:x val="0.41603985942435162"/>
              <c:y val="0.88973621314095519"/>
            </c:manualLayout>
          </c:layout>
        </c:title>
        <c:numFmt formatCode="General" sourceLinked="1"/>
        <c:tickLblPos val="nextTo"/>
        <c:crossAx val="102948864"/>
        <c:crosses val="autoZero"/>
        <c:crossBetween val="between"/>
      </c:valAx>
    </c:plotArea>
    <c:legend>
      <c:legendPos val="b"/>
      <c:layout>
        <c:manualLayout>
          <c:xMode val="edge"/>
          <c:yMode val="edge"/>
          <c:x val="0.63644900319664011"/>
          <c:y val="0.32557574157979224"/>
          <c:w val="0.34860803416522085"/>
          <c:h val="6.7347908327101594E-2"/>
        </c:manualLayout>
      </c:layout>
      <c:overlay val="1"/>
      <c:spPr>
        <a:solidFill>
          <a:schemeClr val="bg2">
            <a:lumMod val="90000"/>
          </a:schemeClr>
        </a:solidFill>
        <a:ln>
          <a:solidFill>
            <a:schemeClr val="tx2">
              <a:lumMod val="75000"/>
            </a:schemeClr>
          </a:solidFill>
        </a:ln>
      </c:spP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s-ES" sz="1100" b="1" i="0" baseline="0"/>
              <a:t>Límite Vs. Valores de las mediciones realizadas Banda  2,4 -2,5 GHz con Procedimiento de medición 2</a:t>
            </a:r>
            <a:endParaRPr lang="es-ES" sz="1100"/>
          </a:p>
        </c:rich>
      </c:tx>
      <c:layout>
        <c:manualLayout>
          <c:xMode val="edge"/>
          <c:yMode val="edge"/>
          <c:x val="0.11226812159002339"/>
          <c:y val="0"/>
        </c:manualLayout>
      </c:layout>
    </c:title>
    <c:plotArea>
      <c:layout/>
      <c:lineChart>
        <c:grouping val="standard"/>
        <c:ser>
          <c:idx val="0"/>
          <c:order val="0"/>
          <c:tx>
            <c:v>Valores obtenidos</c:v>
          </c:tx>
          <c:marker>
            <c:symbol val="none"/>
          </c:marker>
          <c:val>
            <c:numRef>
              <c:f>'p2'!$W$83:$W$184</c:f>
              <c:numCache>
                <c:formatCode>#,##0.000</c:formatCode>
                <c:ptCount val="102"/>
                <c:pt idx="0">
                  <c:v>1.5409999999999915</c:v>
                </c:pt>
                <c:pt idx="1">
                  <c:v>1.8879999999999908</c:v>
                </c:pt>
                <c:pt idx="2">
                  <c:v>1.1960000000000082</c:v>
                </c:pt>
                <c:pt idx="3">
                  <c:v>1.2369999999999899</c:v>
                </c:pt>
                <c:pt idx="4">
                  <c:v>1.621</c:v>
                </c:pt>
                <c:pt idx="5">
                  <c:v>1.1479999999999908</c:v>
                </c:pt>
                <c:pt idx="6" formatCode="#,##0.0000">
                  <c:v>0.54810000000000003</c:v>
                </c:pt>
                <c:pt idx="7" formatCode="General">
                  <c:v>0.54649999999999999</c:v>
                </c:pt>
                <c:pt idx="8" formatCode="General">
                  <c:v>0.57080000000000064</c:v>
                </c:pt>
                <c:pt idx="9" formatCode="#,##0.0000">
                  <c:v>0.60620000000000063</c:v>
                </c:pt>
                <c:pt idx="10" formatCode="General">
                  <c:v>0.65640000000000065</c:v>
                </c:pt>
                <c:pt idx="11" formatCode="#,##0.0000">
                  <c:v>0.6281000000000041</c:v>
                </c:pt>
                <c:pt idx="12" formatCode="#,##0.0000">
                  <c:v>0.73650000000000004</c:v>
                </c:pt>
                <c:pt idx="13" formatCode="General">
                  <c:v>0.61280000000000456</c:v>
                </c:pt>
                <c:pt idx="14" formatCode="General">
                  <c:v>0.64680000000000526</c:v>
                </c:pt>
                <c:pt idx="15" formatCode="General">
                  <c:v>0.83109999999999995</c:v>
                </c:pt>
                <c:pt idx="16">
                  <c:v>1.2269999999999897</c:v>
                </c:pt>
                <c:pt idx="17" formatCode="#,##0.0000">
                  <c:v>0.62530000000000063</c:v>
                </c:pt>
                <c:pt idx="18" formatCode="General">
                  <c:v>0.59399999999999997</c:v>
                </c:pt>
                <c:pt idx="19" formatCode="General">
                  <c:v>0.85060000000000491</c:v>
                </c:pt>
                <c:pt idx="20" formatCode="General">
                  <c:v>0.37050000000000038</c:v>
                </c:pt>
                <c:pt idx="21">
                  <c:v>1.4049999999999878</c:v>
                </c:pt>
                <c:pt idx="22">
                  <c:v>2.4239999999999999</c:v>
                </c:pt>
                <c:pt idx="23">
                  <c:v>1.573</c:v>
                </c:pt>
                <c:pt idx="24" formatCode="General">
                  <c:v>0.47660000000000002</c:v>
                </c:pt>
                <c:pt idx="25" formatCode="General">
                  <c:v>0.51980000000000004</c:v>
                </c:pt>
                <c:pt idx="26" formatCode="General">
                  <c:v>0.38510000000000205</c:v>
                </c:pt>
                <c:pt idx="27" formatCode="General">
                  <c:v>0.93359999999999999</c:v>
                </c:pt>
                <c:pt idx="28" formatCode="General">
                  <c:v>0.83870000000000433</c:v>
                </c:pt>
                <c:pt idx="29" formatCode="General">
                  <c:v>0.52429999999999999</c:v>
                </c:pt>
                <c:pt idx="30">
                  <c:v>0.37900000000000217</c:v>
                </c:pt>
                <c:pt idx="31" formatCode="#,##0.0000">
                  <c:v>0.30550000000000038</c:v>
                </c:pt>
                <c:pt idx="32">
                  <c:v>0.64300000000000468</c:v>
                </c:pt>
                <c:pt idx="33" formatCode="General">
                  <c:v>0.38500000000000234</c:v>
                </c:pt>
                <c:pt idx="34" formatCode="General">
                  <c:v>0.31660000000000038</c:v>
                </c:pt>
                <c:pt idx="35" formatCode="General">
                  <c:v>0.45340000000000008</c:v>
                </c:pt>
                <c:pt idx="36" formatCode="#,##0.0000">
                  <c:v>0.28570000000000001</c:v>
                </c:pt>
                <c:pt idx="37" formatCode="#,##0.0000">
                  <c:v>0.30090000000000205</c:v>
                </c:pt>
                <c:pt idx="38">
                  <c:v>0.31030000000000263</c:v>
                </c:pt>
                <c:pt idx="39">
                  <c:v>0.60670000000000468</c:v>
                </c:pt>
                <c:pt idx="40">
                  <c:v>0.4501</c:v>
                </c:pt>
                <c:pt idx="41">
                  <c:v>0.81299999999999994</c:v>
                </c:pt>
                <c:pt idx="42">
                  <c:v>0.84230000000000005</c:v>
                </c:pt>
                <c:pt idx="43">
                  <c:v>0.70140000000000002</c:v>
                </c:pt>
                <c:pt idx="44">
                  <c:v>0.33000000000000257</c:v>
                </c:pt>
                <c:pt idx="45">
                  <c:v>4.0190000000000001</c:v>
                </c:pt>
                <c:pt idx="46">
                  <c:v>3.5249999999999999</c:v>
                </c:pt>
                <c:pt idx="47">
                  <c:v>5.6059999999999945</c:v>
                </c:pt>
                <c:pt idx="48">
                  <c:v>1.734</c:v>
                </c:pt>
                <c:pt idx="49">
                  <c:v>1.2859999999999876</c:v>
                </c:pt>
                <c:pt idx="50">
                  <c:v>1.6300000000000001</c:v>
                </c:pt>
                <c:pt idx="51">
                  <c:v>2.004</c:v>
                </c:pt>
                <c:pt idx="52">
                  <c:v>1.6559999999999906</c:v>
                </c:pt>
                <c:pt idx="53">
                  <c:v>2.101</c:v>
                </c:pt>
                <c:pt idx="54" formatCode="General">
                  <c:v>0.88270000000000004</c:v>
                </c:pt>
                <c:pt idx="55" formatCode="General">
                  <c:v>0.82590000000000063</c:v>
                </c:pt>
                <c:pt idx="56" formatCode="General">
                  <c:v>0.91500000000000004</c:v>
                </c:pt>
                <c:pt idx="57" formatCode="General">
                  <c:v>1.272</c:v>
                </c:pt>
                <c:pt idx="58">
                  <c:v>1.165</c:v>
                </c:pt>
                <c:pt idx="59">
                  <c:v>1.0329999999999908</c:v>
                </c:pt>
                <c:pt idx="60" formatCode="General">
                  <c:v>0.88639999999999997</c:v>
                </c:pt>
                <c:pt idx="61" formatCode="General">
                  <c:v>0.7883</c:v>
                </c:pt>
                <c:pt idx="62" formatCode="General">
                  <c:v>0.90580000000000005</c:v>
                </c:pt>
                <c:pt idx="63" formatCode="General">
                  <c:v>0.90200000000000002</c:v>
                </c:pt>
                <c:pt idx="64" formatCode="General">
                  <c:v>0.88470000000000004</c:v>
                </c:pt>
                <c:pt idx="65" formatCode="General">
                  <c:v>0.97019999999999995</c:v>
                </c:pt>
                <c:pt idx="66" formatCode="General">
                  <c:v>0.98009999999999997</c:v>
                </c:pt>
                <c:pt idx="67" formatCode="General">
                  <c:v>1.381</c:v>
                </c:pt>
                <c:pt idx="68" formatCode="General">
                  <c:v>0.92600000000000005</c:v>
                </c:pt>
                <c:pt idx="69" formatCode="General">
                  <c:v>0.85529999999999995</c:v>
                </c:pt>
                <c:pt idx="70" formatCode="General">
                  <c:v>0.89429999999999998</c:v>
                </c:pt>
                <c:pt idx="71" formatCode="General">
                  <c:v>0.89880000000000004</c:v>
                </c:pt>
                <c:pt idx="72" formatCode="#,##0.00">
                  <c:v>2.12</c:v>
                </c:pt>
                <c:pt idx="73">
                  <c:v>1.855</c:v>
                </c:pt>
                <c:pt idx="74">
                  <c:v>1.8959999999999908</c:v>
                </c:pt>
                <c:pt idx="75">
                  <c:v>1.514</c:v>
                </c:pt>
                <c:pt idx="76">
                  <c:v>1.6279999999999908</c:v>
                </c:pt>
                <c:pt idx="77" formatCode="#,##0.00">
                  <c:v>1.6700000000000021</c:v>
                </c:pt>
                <c:pt idx="78">
                  <c:v>1.927</c:v>
                </c:pt>
                <c:pt idx="79" formatCode="#,##0.0">
                  <c:v>1.7</c:v>
                </c:pt>
                <c:pt idx="80" formatCode="#,##0.00">
                  <c:v>1.83</c:v>
                </c:pt>
                <c:pt idx="81" formatCode="General">
                  <c:v>2.4579999999999997</c:v>
                </c:pt>
                <c:pt idx="82">
                  <c:v>3.0709999999999997</c:v>
                </c:pt>
                <c:pt idx="83" formatCode="General">
                  <c:v>2.7909999999999999</c:v>
                </c:pt>
                <c:pt idx="84" formatCode="General">
                  <c:v>1.3819999999999908</c:v>
                </c:pt>
                <c:pt idx="85" formatCode="General">
                  <c:v>1.2</c:v>
                </c:pt>
                <c:pt idx="86" formatCode="General">
                  <c:v>1.6140000000000001</c:v>
                </c:pt>
                <c:pt idx="87" formatCode="General">
                  <c:v>1.659</c:v>
                </c:pt>
                <c:pt idx="88" formatCode="General">
                  <c:v>2.1189999999999998</c:v>
                </c:pt>
                <c:pt idx="89" formatCode="General">
                  <c:v>2.246</c:v>
                </c:pt>
                <c:pt idx="90" formatCode="General">
                  <c:v>1.2589999999999908</c:v>
                </c:pt>
                <c:pt idx="91" formatCode="General">
                  <c:v>1.5429999999999917</c:v>
                </c:pt>
                <c:pt idx="92" formatCode="General">
                  <c:v>0.52100000000000002</c:v>
                </c:pt>
                <c:pt idx="93" formatCode="General">
                  <c:v>0.85680000000000456</c:v>
                </c:pt>
                <c:pt idx="94" formatCode="General">
                  <c:v>0.47510000000000002</c:v>
                </c:pt>
                <c:pt idx="95" formatCode="General">
                  <c:v>1.2969999999999917</c:v>
                </c:pt>
                <c:pt idx="96" formatCode="General">
                  <c:v>1.264</c:v>
                </c:pt>
                <c:pt idx="97" formatCode="General">
                  <c:v>1.141</c:v>
                </c:pt>
                <c:pt idx="98" formatCode="General">
                  <c:v>2.2050000000000001</c:v>
                </c:pt>
                <c:pt idx="99" formatCode="General">
                  <c:v>1.55</c:v>
                </c:pt>
                <c:pt idx="100" formatCode="General">
                  <c:v>0.95900000000000063</c:v>
                </c:pt>
                <c:pt idx="101" formatCode="General">
                  <c:v>0.92889999999999995</c:v>
                </c:pt>
              </c:numCache>
            </c:numRef>
          </c:val>
        </c:ser>
        <c:ser>
          <c:idx val="1"/>
          <c:order val="1"/>
          <c:tx>
            <c:v>Límite</c:v>
          </c:tx>
          <c:marker>
            <c:symbol val="none"/>
          </c:marker>
          <c:val>
            <c:numRef>
              <c:f>'p2'!$X$83:$X$184</c:f>
              <c:numCache>
                <c:formatCode>0</c:formatCode>
                <c:ptCount val="102"/>
                <c:pt idx="0">
                  <c:v>61</c:v>
                </c:pt>
                <c:pt idx="1">
                  <c:v>61</c:v>
                </c:pt>
                <c:pt idx="2">
                  <c:v>61</c:v>
                </c:pt>
                <c:pt idx="3">
                  <c:v>61</c:v>
                </c:pt>
                <c:pt idx="4">
                  <c:v>61</c:v>
                </c:pt>
                <c:pt idx="5">
                  <c:v>61</c:v>
                </c:pt>
                <c:pt idx="6">
                  <c:v>61</c:v>
                </c:pt>
                <c:pt idx="7">
                  <c:v>61</c:v>
                </c:pt>
                <c:pt idx="8">
                  <c:v>61</c:v>
                </c:pt>
                <c:pt idx="9">
                  <c:v>61</c:v>
                </c:pt>
                <c:pt idx="10">
                  <c:v>61</c:v>
                </c:pt>
                <c:pt idx="11">
                  <c:v>61</c:v>
                </c:pt>
                <c:pt idx="12">
                  <c:v>61</c:v>
                </c:pt>
                <c:pt idx="13">
                  <c:v>61</c:v>
                </c:pt>
                <c:pt idx="14">
                  <c:v>61</c:v>
                </c:pt>
                <c:pt idx="15">
                  <c:v>61</c:v>
                </c:pt>
                <c:pt idx="16">
                  <c:v>61</c:v>
                </c:pt>
                <c:pt idx="17">
                  <c:v>61</c:v>
                </c:pt>
                <c:pt idx="18">
                  <c:v>61</c:v>
                </c:pt>
                <c:pt idx="19">
                  <c:v>61</c:v>
                </c:pt>
                <c:pt idx="20">
                  <c:v>61</c:v>
                </c:pt>
                <c:pt idx="21">
                  <c:v>61</c:v>
                </c:pt>
                <c:pt idx="22">
                  <c:v>61</c:v>
                </c:pt>
                <c:pt idx="23">
                  <c:v>61</c:v>
                </c:pt>
                <c:pt idx="24">
                  <c:v>61</c:v>
                </c:pt>
                <c:pt idx="25">
                  <c:v>61</c:v>
                </c:pt>
                <c:pt idx="26">
                  <c:v>61</c:v>
                </c:pt>
                <c:pt idx="27">
                  <c:v>61</c:v>
                </c:pt>
                <c:pt idx="28">
                  <c:v>61</c:v>
                </c:pt>
                <c:pt idx="29">
                  <c:v>61</c:v>
                </c:pt>
                <c:pt idx="30">
                  <c:v>61</c:v>
                </c:pt>
                <c:pt idx="31">
                  <c:v>61</c:v>
                </c:pt>
                <c:pt idx="32">
                  <c:v>61</c:v>
                </c:pt>
                <c:pt idx="33">
                  <c:v>61</c:v>
                </c:pt>
                <c:pt idx="34">
                  <c:v>61</c:v>
                </c:pt>
                <c:pt idx="35">
                  <c:v>61</c:v>
                </c:pt>
                <c:pt idx="36">
                  <c:v>61</c:v>
                </c:pt>
                <c:pt idx="37">
                  <c:v>61</c:v>
                </c:pt>
                <c:pt idx="38">
                  <c:v>61</c:v>
                </c:pt>
                <c:pt idx="39">
                  <c:v>61</c:v>
                </c:pt>
                <c:pt idx="40">
                  <c:v>61</c:v>
                </c:pt>
                <c:pt idx="41">
                  <c:v>61</c:v>
                </c:pt>
                <c:pt idx="42">
                  <c:v>61</c:v>
                </c:pt>
                <c:pt idx="43">
                  <c:v>61</c:v>
                </c:pt>
                <c:pt idx="44">
                  <c:v>61</c:v>
                </c:pt>
                <c:pt idx="45">
                  <c:v>61</c:v>
                </c:pt>
                <c:pt idx="46">
                  <c:v>61</c:v>
                </c:pt>
                <c:pt idx="47">
                  <c:v>61</c:v>
                </c:pt>
                <c:pt idx="48">
                  <c:v>61</c:v>
                </c:pt>
                <c:pt idx="49">
                  <c:v>61</c:v>
                </c:pt>
                <c:pt idx="50">
                  <c:v>61</c:v>
                </c:pt>
                <c:pt idx="51">
                  <c:v>61</c:v>
                </c:pt>
                <c:pt idx="52">
                  <c:v>61</c:v>
                </c:pt>
                <c:pt idx="53">
                  <c:v>61</c:v>
                </c:pt>
                <c:pt idx="54">
                  <c:v>61</c:v>
                </c:pt>
                <c:pt idx="55">
                  <c:v>61</c:v>
                </c:pt>
                <c:pt idx="56">
                  <c:v>61</c:v>
                </c:pt>
                <c:pt idx="57">
                  <c:v>61</c:v>
                </c:pt>
                <c:pt idx="58">
                  <c:v>61</c:v>
                </c:pt>
                <c:pt idx="59">
                  <c:v>61</c:v>
                </c:pt>
                <c:pt idx="60">
                  <c:v>61</c:v>
                </c:pt>
                <c:pt idx="61">
                  <c:v>61</c:v>
                </c:pt>
                <c:pt idx="62">
                  <c:v>61</c:v>
                </c:pt>
                <c:pt idx="63">
                  <c:v>61</c:v>
                </c:pt>
                <c:pt idx="64">
                  <c:v>61</c:v>
                </c:pt>
                <c:pt idx="65">
                  <c:v>61</c:v>
                </c:pt>
                <c:pt idx="66">
                  <c:v>61</c:v>
                </c:pt>
                <c:pt idx="67">
                  <c:v>61</c:v>
                </c:pt>
                <c:pt idx="68">
                  <c:v>61</c:v>
                </c:pt>
                <c:pt idx="69">
                  <c:v>61</c:v>
                </c:pt>
                <c:pt idx="70">
                  <c:v>61</c:v>
                </c:pt>
                <c:pt idx="71">
                  <c:v>61</c:v>
                </c:pt>
                <c:pt idx="72">
                  <c:v>61</c:v>
                </c:pt>
                <c:pt idx="73">
                  <c:v>61</c:v>
                </c:pt>
                <c:pt idx="74">
                  <c:v>61</c:v>
                </c:pt>
                <c:pt idx="75">
                  <c:v>61</c:v>
                </c:pt>
                <c:pt idx="76">
                  <c:v>61</c:v>
                </c:pt>
                <c:pt idx="77">
                  <c:v>61</c:v>
                </c:pt>
                <c:pt idx="78">
                  <c:v>61</c:v>
                </c:pt>
                <c:pt idx="79">
                  <c:v>61</c:v>
                </c:pt>
                <c:pt idx="80">
                  <c:v>61</c:v>
                </c:pt>
                <c:pt idx="81">
                  <c:v>61</c:v>
                </c:pt>
                <c:pt idx="82">
                  <c:v>61</c:v>
                </c:pt>
                <c:pt idx="83">
                  <c:v>61</c:v>
                </c:pt>
                <c:pt idx="84">
                  <c:v>61</c:v>
                </c:pt>
                <c:pt idx="85">
                  <c:v>61</c:v>
                </c:pt>
                <c:pt idx="86">
                  <c:v>61</c:v>
                </c:pt>
                <c:pt idx="87">
                  <c:v>61</c:v>
                </c:pt>
                <c:pt idx="88">
                  <c:v>61</c:v>
                </c:pt>
                <c:pt idx="89">
                  <c:v>61</c:v>
                </c:pt>
                <c:pt idx="90">
                  <c:v>61</c:v>
                </c:pt>
                <c:pt idx="91">
                  <c:v>61</c:v>
                </c:pt>
                <c:pt idx="92">
                  <c:v>61</c:v>
                </c:pt>
                <c:pt idx="93">
                  <c:v>61</c:v>
                </c:pt>
                <c:pt idx="94">
                  <c:v>61</c:v>
                </c:pt>
                <c:pt idx="95">
                  <c:v>61</c:v>
                </c:pt>
                <c:pt idx="96">
                  <c:v>61</c:v>
                </c:pt>
                <c:pt idx="97">
                  <c:v>61</c:v>
                </c:pt>
                <c:pt idx="98">
                  <c:v>61</c:v>
                </c:pt>
                <c:pt idx="99">
                  <c:v>61</c:v>
                </c:pt>
                <c:pt idx="100">
                  <c:v>61</c:v>
                </c:pt>
                <c:pt idx="101">
                  <c:v>61</c:v>
                </c:pt>
              </c:numCache>
            </c:numRef>
          </c:val>
        </c:ser>
        <c:marker val="1"/>
        <c:axId val="108624512"/>
        <c:axId val="108638976"/>
      </c:lineChart>
      <c:catAx>
        <c:axId val="108624512"/>
        <c:scaling>
          <c:orientation val="minMax"/>
        </c:scaling>
        <c:delete val="1"/>
        <c:axPos val="b"/>
        <c:title>
          <c:tx>
            <c:rich>
              <a:bodyPr/>
              <a:lstStyle/>
              <a:p>
                <a:pPr>
                  <a:defRPr/>
                </a:pPr>
                <a:r>
                  <a:rPr lang="es-ES" sz="900" b="1" i="1" baseline="0"/>
                  <a:t>Puntos de Medición en Banda 2,4-2,5 GHz  con Procedimiento 2</a:t>
                </a:r>
              </a:p>
            </c:rich>
          </c:tx>
          <c:layout>
            <c:manualLayout>
              <c:xMode val="edge"/>
              <c:yMode val="edge"/>
              <c:x val="0.21613688390276342"/>
              <c:y val="0.77746318168562256"/>
            </c:manualLayout>
          </c:layout>
        </c:title>
        <c:tickLblPos val="none"/>
        <c:crossAx val="108638976"/>
        <c:crosses val="autoZero"/>
        <c:auto val="1"/>
        <c:lblAlgn val="ctr"/>
        <c:lblOffset val="100"/>
      </c:catAx>
      <c:valAx>
        <c:axId val="108638976"/>
        <c:scaling>
          <c:orientation val="minMax"/>
        </c:scaling>
        <c:axPos val="l"/>
        <c:majorGridlines/>
        <c:title>
          <c:tx>
            <c:rich>
              <a:bodyPr rot="-5400000" vert="horz"/>
              <a:lstStyle/>
              <a:p>
                <a:pPr>
                  <a:defRPr/>
                </a:pPr>
                <a:r>
                  <a:rPr lang="es-ES"/>
                  <a:t>V/m</a:t>
                </a:r>
              </a:p>
            </c:rich>
          </c:tx>
          <c:layout>
            <c:manualLayout>
              <c:xMode val="edge"/>
              <c:yMode val="edge"/>
              <c:x val="2.4941543257989088E-2"/>
              <c:y val="0.45266112569262185"/>
            </c:manualLayout>
          </c:layout>
        </c:title>
        <c:numFmt formatCode="#,##0.000" sourceLinked="1"/>
        <c:tickLblPos val="nextTo"/>
        <c:crossAx val="108624512"/>
        <c:crosses val="autoZero"/>
        <c:crossBetween val="between"/>
      </c:valAx>
    </c:plotArea>
    <c:legend>
      <c:legendPos val="b"/>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lgn="ctr">
              <a:defRPr sz="1000" i="1"/>
            </a:pPr>
            <a:r>
              <a:rPr lang="en-US" sz="1000" i="1"/>
              <a:t>Nº de Mediciones por Rango de</a:t>
            </a:r>
            <a:r>
              <a:rPr lang="en-US" sz="1000" i="1" baseline="0"/>
              <a:t> </a:t>
            </a:r>
            <a:r>
              <a:rPr lang="en-US" sz="1000" i="1"/>
              <a:t>Relación</a:t>
            </a:r>
            <a:r>
              <a:rPr lang="en-US" sz="1000" i="1" baseline="0"/>
              <a:t> Porcentual al Nivel de Referencia. WLAN Procedimiento de Medición 2.</a:t>
            </a:r>
            <a:endParaRPr lang="en-US" sz="1000" i="1"/>
          </a:p>
        </c:rich>
      </c:tx>
    </c:title>
    <c:view3D>
      <c:rotX val="30"/>
      <c:rotY val="50"/>
      <c:depthPercent val="100"/>
      <c:rAngAx val="1"/>
    </c:view3D>
    <c:plotArea>
      <c:layout/>
      <c:bar3DChart>
        <c:barDir val="bar"/>
        <c:grouping val="clustered"/>
        <c:ser>
          <c:idx val="0"/>
          <c:order val="0"/>
          <c:tx>
            <c:v>% Respecto al Total</c:v>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c:spPr>
          <c:dLbls>
            <c:dLbl>
              <c:idx val="0"/>
              <c:tx>
                <c:rich>
                  <a:bodyPr/>
                  <a:lstStyle/>
                  <a:p>
                    <a:r>
                      <a:rPr lang="en-US" b="1"/>
                      <a:t>1,96%</a:t>
                    </a:r>
                  </a:p>
                </c:rich>
              </c:tx>
              <c:showVal val="1"/>
            </c:dLbl>
            <c:dLbl>
              <c:idx val="1"/>
              <c:tx>
                <c:rich>
                  <a:bodyPr/>
                  <a:lstStyle/>
                  <a:p>
                    <a:r>
                      <a:rPr lang="en-US" b="1"/>
                      <a:t>20,59%</a:t>
                    </a:r>
                  </a:p>
                </c:rich>
              </c:tx>
              <c:showVal val="1"/>
            </c:dLbl>
            <c:dLbl>
              <c:idx val="2"/>
              <c:tx>
                <c:rich>
                  <a:bodyPr/>
                  <a:lstStyle/>
                  <a:p>
                    <a:r>
                      <a:rPr lang="en-US" b="1"/>
                      <a:t>36,33%</a:t>
                    </a:r>
                  </a:p>
                </c:rich>
              </c:tx>
              <c:showVal val="1"/>
            </c:dLbl>
            <c:dLbl>
              <c:idx val="3"/>
              <c:tx>
                <c:rich>
                  <a:bodyPr/>
                  <a:lstStyle/>
                  <a:p>
                    <a:r>
                      <a:rPr lang="en-US" b="1"/>
                      <a:t>23,53%</a:t>
                    </a:r>
                  </a:p>
                </c:rich>
              </c:tx>
              <c:showVal val="1"/>
            </c:dLbl>
            <c:dLbl>
              <c:idx val="4"/>
              <c:tx>
                <c:rich>
                  <a:bodyPr/>
                  <a:lstStyle/>
                  <a:p>
                    <a:r>
                      <a:rPr lang="en-US" b="1"/>
                      <a:t>11,76%</a:t>
                    </a:r>
                  </a:p>
                </c:rich>
              </c:tx>
              <c:showVal val="1"/>
            </c:dLbl>
            <c:dLbl>
              <c:idx val="5"/>
              <c:tx>
                <c:rich>
                  <a:bodyPr/>
                  <a:lstStyle/>
                  <a:p>
                    <a:r>
                      <a:rPr lang="en-US" b="1"/>
                      <a:t>2,94%</a:t>
                    </a:r>
                  </a:p>
                </c:rich>
              </c:tx>
              <c:showVal val="1"/>
            </c:dLbl>
            <c:dLbl>
              <c:idx val="6"/>
              <c:layout>
                <c:manualLayout>
                  <c:x val="-7.0539422928274824E-3"/>
                  <c:y val="3.8288290325332892E-3"/>
                </c:manualLayout>
              </c:layout>
              <c:tx>
                <c:rich>
                  <a:bodyPr/>
                  <a:lstStyle/>
                  <a:p>
                    <a:r>
                      <a:rPr lang="en-US" b="1"/>
                      <a:t>0,98%</a:t>
                    </a:r>
                  </a:p>
                </c:rich>
              </c:tx>
              <c:showVal val="1"/>
            </c:dLbl>
            <c:dLbl>
              <c:idx val="7"/>
              <c:tx>
                <c:rich>
                  <a:bodyPr/>
                  <a:lstStyle/>
                  <a:p>
                    <a:r>
                      <a:rPr lang="en-US" b="1"/>
                      <a:t>1,96%</a:t>
                    </a:r>
                  </a:p>
                </c:rich>
              </c:tx>
              <c:showVal val="1"/>
            </c:dLbl>
            <c:dLbl>
              <c:idx val="8"/>
              <c:tx>
                <c:rich>
                  <a:bodyPr/>
                  <a:lstStyle/>
                  <a:p>
                    <a:r>
                      <a:rPr lang="en-US" b="1"/>
                      <a:t>0%</a:t>
                    </a:r>
                  </a:p>
                </c:rich>
              </c:tx>
              <c:showVal val="1"/>
            </c:dLbl>
            <c:showVal val="1"/>
          </c:dLbls>
          <c:cat>
            <c:strRef>
              <c:f>'Resultados VS Limites F.Nose'!$AG$97:$AO$97</c:f>
              <c:strCache>
                <c:ptCount val="9"/>
                <c:pt idx="0">
                  <c:v>&lt; 0,5%  </c:v>
                </c:pt>
                <c:pt idx="1">
                  <c:v> 0,5 a 1%</c:v>
                </c:pt>
                <c:pt idx="2">
                  <c:v>1 a 2%  </c:v>
                </c:pt>
                <c:pt idx="3">
                  <c:v> 2 a 3%  </c:v>
                </c:pt>
                <c:pt idx="4">
                  <c:v>3 a 4%</c:v>
                </c:pt>
                <c:pt idx="5">
                  <c:v>4 a 5%</c:v>
                </c:pt>
                <c:pt idx="6">
                  <c:v>5 a 6%</c:v>
                </c:pt>
                <c:pt idx="7">
                  <c:v>6 a 10%</c:v>
                </c:pt>
                <c:pt idx="8">
                  <c:v>&gt; 10 %</c:v>
                </c:pt>
              </c:strCache>
            </c:strRef>
          </c:cat>
          <c:val>
            <c:numRef>
              <c:f>'Resultados VS Limites F.Nose'!$AG$98:$AO$98</c:f>
              <c:numCache>
                <c:formatCode>General</c:formatCode>
                <c:ptCount val="9"/>
                <c:pt idx="0">
                  <c:v>2</c:v>
                </c:pt>
                <c:pt idx="1">
                  <c:v>21</c:v>
                </c:pt>
                <c:pt idx="2">
                  <c:v>37</c:v>
                </c:pt>
                <c:pt idx="3">
                  <c:v>24</c:v>
                </c:pt>
                <c:pt idx="4">
                  <c:v>12</c:v>
                </c:pt>
                <c:pt idx="5">
                  <c:v>3</c:v>
                </c:pt>
                <c:pt idx="6">
                  <c:v>1</c:v>
                </c:pt>
                <c:pt idx="7">
                  <c:v>2</c:v>
                </c:pt>
                <c:pt idx="8">
                  <c:v>0</c:v>
                </c:pt>
              </c:numCache>
            </c:numRef>
          </c:val>
        </c:ser>
        <c:dLbls>
          <c:showVal val="1"/>
        </c:dLbls>
        <c:gapWidth val="300"/>
        <c:shape val="box"/>
        <c:axId val="108688896"/>
        <c:axId val="108690816"/>
        <c:axId val="0"/>
      </c:bar3DChart>
      <c:catAx>
        <c:axId val="108688896"/>
        <c:scaling>
          <c:orientation val="minMax"/>
        </c:scaling>
        <c:axPos val="l"/>
        <c:majorGridlines/>
        <c:title>
          <c:tx>
            <c:rich>
              <a:bodyPr/>
              <a:lstStyle/>
              <a:p>
                <a:pPr>
                  <a:defRPr b="1"/>
                </a:pPr>
                <a:r>
                  <a:rPr lang="en-US" sz="1000" b="1">
                    <a:latin typeface="Arial" pitchFamily="34" charset="0"/>
                    <a:cs typeface="Arial" pitchFamily="34" charset="0"/>
                  </a:rPr>
                  <a:t>Relación </a:t>
                </a:r>
                <a:r>
                  <a:rPr lang="en-US" sz="1000" b="1">
                    <a:latin typeface="+mn-lt"/>
                    <a:cs typeface="Arial" pitchFamily="34" charset="0"/>
                  </a:rPr>
                  <a:t>Porcentual</a:t>
                </a:r>
              </a:p>
            </c:rich>
          </c:tx>
        </c:title>
        <c:majorTickMark val="none"/>
        <c:tickLblPos val="nextTo"/>
        <c:crossAx val="108690816"/>
        <c:crosses val="autoZero"/>
        <c:auto val="1"/>
        <c:lblAlgn val="ctr"/>
        <c:lblOffset val="100"/>
      </c:catAx>
      <c:valAx>
        <c:axId val="108690816"/>
        <c:scaling>
          <c:orientation val="minMax"/>
        </c:scaling>
        <c:axPos val="b"/>
        <c:majorGridlines/>
        <c:minorGridlines/>
        <c:title>
          <c:tx>
            <c:rich>
              <a:bodyPr/>
              <a:lstStyle/>
              <a:p>
                <a:pPr>
                  <a:defRPr/>
                </a:pPr>
                <a:r>
                  <a:rPr lang="es-ES" b="1">
                    <a:latin typeface="+mn-lt"/>
                    <a:cs typeface="Arial" pitchFamily="34" charset="0"/>
                  </a:rPr>
                  <a:t>Número</a:t>
                </a:r>
                <a:r>
                  <a:rPr lang="es-ES" b="1" baseline="0">
                    <a:latin typeface="+mn-lt"/>
                    <a:cs typeface="Arial" pitchFamily="34" charset="0"/>
                  </a:rPr>
                  <a:t> de Mediciones</a:t>
                </a:r>
                <a:endParaRPr lang="es-ES" b="1">
                  <a:latin typeface="+mn-lt"/>
                  <a:cs typeface="Arial" pitchFamily="34" charset="0"/>
                </a:endParaRPr>
              </a:p>
            </c:rich>
          </c:tx>
        </c:title>
        <c:numFmt formatCode="General" sourceLinked="1"/>
        <c:tickLblPos val="nextTo"/>
        <c:crossAx val="108688896"/>
        <c:crosses val="autoZero"/>
        <c:crossBetween val="between"/>
      </c:valAx>
    </c:plotArea>
    <c:legend>
      <c:legendPos val="b"/>
      <c:layout>
        <c:manualLayout>
          <c:xMode val="edge"/>
          <c:yMode val="edge"/>
          <c:x val="0.62405852575289589"/>
          <c:y val="0.31768998702749002"/>
          <c:w val="0.36303165540392179"/>
          <c:h val="6.6603732544481722E-2"/>
        </c:manualLayout>
      </c:layout>
      <c:overlay val="1"/>
      <c:spPr>
        <a:solidFill>
          <a:schemeClr val="bg2">
            <a:lumMod val="90000"/>
          </a:schemeClr>
        </a:solidFill>
        <a:ln>
          <a:solidFill>
            <a:schemeClr val="tx2">
              <a:lumMod val="60000"/>
              <a:lumOff val="40000"/>
            </a:schemeClr>
          </a:solidFill>
        </a:ln>
      </c:spP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100" b="1" i="0" baseline="0">
                <a:latin typeface="Arial" pitchFamily="34" charset="0"/>
                <a:cs typeface="Arial" pitchFamily="34" charset="0"/>
              </a:rPr>
              <a:t>Límite Vs. Valores de las mediciones Broadcasting Procedimiento de medición 1</a:t>
            </a:r>
          </a:p>
        </c:rich>
      </c:tx>
      <c:layout>
        <c:manualLayout>
          <c:xMode val="edge"/>
          <c:yMode val="edge"/>
          <c:x val="0.1373728813559322"/>
          <c:y val="1.5290519877675841E-2"/>
        </c:manualLayout>
      </c:layout>
    </c:title>
    <c:view3D>
      <c:perspective val="30"/>
    </c:view3D>
    <c:plotArea>
      <c:layout/>
      <c:bar3DChart>
        <c:barDir val="col"/>
        <c:grouping val="standard"/>
        <c:ser>
          <c:idx val="0"/>
          <c:order val="0"/>
          <c:tx>
            <c:v>Valores a 1,1m</c:v>
          </c:tx>
          <c:cat>
            <c:strRef>
              <c:f>radiodi!$B$18:$B$22</c:f>
              <c:strCache>
                <c:ptCount val="5"/>
                <c:pt idx="0">
                  <c:v>Radio(88-108 MHz)</c:v>
                </c:pt>
                <c:pt idx="1">
                  <c:v>Televisión(76-88 MHz)</c:v>
                </c:pt>
                <c:pt idx="2">
                  <c:v>Televisión(174-216 MHz)</c:v>
                </c:pt>
                <c:pt idx="3">
                  <c:v>Televisión(512-608 MHz)</c:v>
                </c:pt>
                <c:pt idx="4">
                  <c:v>Televisión(614-686 MHz)</c:v>
                </c:pt>
              </c:strCache>
            </c:strRef>
          </c:cat>
          <c:val>
            <c:numRef>
              <c:f>radiodi!$C$18:$C$22</c:f>
              <c:numCache>
                <c:formatCode>0.000</c:formatCode>
                <c:ptCount val="5"/>
                <c:pt idx="0">
                  <c:v>0.69799999999999995</c:v>
                </c:pt>
                <c:pt idx="1">
                  <c:v>9.9290000000000045E-2</c:v>
                </c:pt>
                <c:pt idx="2">
                  <c:v>6.6750000000000004E-2</c:v>
                </c:pt>
                <c:pt idx="3">
                  <c:v>8.2660000000000025E-2</c:v>
                </c:pt>
                <c:pt idx="4">
                  <c:v>8.0920000000000047E-2</c:v>
                </c:pt>
              </c:numCache>
            </c:numRef>
          </c:val>
        </c:ser>
        <c:ser>
          <c:idx val="1"/>
          <c:order val="1"/>
          <c:tx>
            <c:v>Valores a 1,5m</c:v>
          </c:tx>
          <c:cat>
            <c:strRef>
              <c:f>radiodi!$B$18:$B$22</c:f>
              <c:strCache>
                <c:ptCount val="5"/>
                <c:pt idx="0">
                  <c:v>Radio(88-108 MHz)</c:v>
                </c:pt>
                <c:pt idx="1">
                  <c:v>Televisión(76-88 MHz)</c:v>
                </c:pt>
                <c:pt idx="2">
                  <c:v>Televisión(174-216 MHz)</c:v>
                </c:pt>
                <c:pt idx="3">
                  <c:v>Televisión(512-608 MHz)</c:v>
                </c:pt>
                <c:pt idx="4">
                  <c:v>Televisión(614-686 MHz)</c:v>
                </c:pt>
              </c:strCache>
            </c:strRef>
          </c:cat>
          <c:val>
            <c:numRef>
              <c:f>radiodi!$D$18:$D$22</c:f>
              <c:numCache>
                <c:formatCode>0.000</c:formatCode>
                <c:ptCount val="5"/>
                <c:pt idx="0">
                  <c:v>0.68170000000000064</c:v>
                </c:pt>
                <c:pt idx="1">
                  <c:v>8.9420000000000027E-2</c:v>
                </c:pt>
                <c:pt idx="2">
                  <c:v>6.7150000000000001E-2</c:v>
                </c:pt>
                <c:pt idx="3">
                  <c:v>8.5900000000000004E-2</c:v>
                </c:pt>
                <c:pt idx="4">
                  <c:v>7.6539999999999997E-2</c:v>
                </c:pt>
              </c:numCache>
            </c:numRef>
          </c:val>
        </c:ser>
        <c:ser>
          <c:idx val="2"/>
          <c:order val="2"/>
          <c:tx>
            <c:v>Valores a 1,7m</c:v>
          </c:tx>
          <c:cat>
            <c:strRef>
              <c:f>radiodi!$B$18:$B$22</c:f>
              <c:strCache>
                <c:ptCount val="5"/>
                <c:pt idx="0">
                  <c:v>Radio(88-108 MHz)</c:v>
                </c:pt>
                <c:pt idx="1">
                  <c:v>Televisión(76-88 MHz)</c:v>
                </c:pt>
                <c:pt idx="2">
                  <c:v>Televisión(174-216 MHz)</c:v>
                </c:pt>
                <c:pt idx="3">
                  <c:v>Televisión(512-608 MHz)</c:v>
                </c:pt>
                <c:pt idx="4">
                  <c:v>Televisión(614-686 MHz)</c:v>
                </c:pt>
              </c:strCache>
            </c:strRef>
          </c:cat>
          <c:val>
            <c:numRef>
              <c:f>radiodi!$E$18:$E$22</c:f>
              <c:numCache>
                <c:formatCode>0.000</c:formatCode>
                <c:ptCount val="5"/>
                <c:pt idx="0">
                  <c:v>0.65920000000000434</c:v>
                </c:pt>
                <c:pt idx="1">
                  <c:v>8.8940000000000005E-2</c:v>
                </c:pt>
                <c:pt idx="2">
                  <c:v>6.7220000000000002E-2</c:v>
                </c:pt>
                <c:pt idx="3">
                  <c:v>8.5010000000000002E-2</c:v>
                </c:pt>
                <c:pt idx="4">
                  <c:v>8.1860000000000002E-2</c:v>
                </c:pt>
              </c:numCache>
            </c:numRef>
          </c:val>
        </c:ser>
        <c:ser>
          <c:idx val="3"/>
          <c:order val="3"/>
          <c:tx>
            <c:strRef>
              <c:f>radiodi!$F$17</c:f>
              <c:strCache>
                <c:ptCount val="1"/>
                <c:pt idx="0">
                  <c:v>Límite</c:v>
                </c:pt>
              </c:strCache>
            </c:strRef>
          </c:tx>
          <c:spPr>
            <a:solidFill>
              <a:schemeClr val="bg2">
                <a:lumMod val="75000"/>
              </a:schemeClr>
            </a:solidFill>
          </c:spPr>
          <c:cat>
            <c:strRef>
              <c:f>radiodi!$B$18:$B$22</c:f>
              <c:strCache>
                <c:ptCount val="5"/>
                <c:pt idx="0">
                  <c:v>Radio(88-108 MHz)</c:v>
                </c:pt>
                <c:pt idx="1">
                  <c:v>Televisión(76-88 MHz)</c:v>
                </c:pt>
                <c:pt idx="2">
                  <c:v>Televisión(174-216 MHz)</c:v>
                </c:pt>
                <c:pt idx="3">
                  <c:v>Televisión(512-608 MHz)</c:v>
                </c:pt>
                <c:pt idx="4">
                  <c:v>Televisión(614-686 MHz)</c:v>
                </c:pt>
              </c:strCache>
            </c:strRef>
          </c:cat>
          <c:val>
            <c:numRef>
              <c:f>radiodi!$F$18:$F$22</c:f>
              <c:numCache>
                <c:formatCode>General</c:formatCode>
                <c:ptCount val="5"/>
                <c:pt idx="0">
                  <c:v>28</c:v>
                </c:pt>
                <c:pt idx="1">
                  <c:v>28</c:v>
                </c:pt>
                <c:pt idx="2">
                  <c:v>28</c:v>
                </c:pt>
                <c:pt idx="3">
                  <c:v>33.9</c:v>
                </c:pt>
                <c:pt idx="4">
                  <c:v>36.01</c:v>
                </c:pt>
              </c:numCache>
            </c:numRef>
          </c:val>
        </c:ser>
        <c:shape val="box"/>
        <c:axId val="117336320"/>
        <c:axId val="117358592"/>
        <c:axId val="108649536"/>
      </c:bar3DChart>
      <c:catAx>
        <c:axId val="117336320"/>
        <c:scaling>
          <c:orientation val="minMax"/>
        </c:scaling>
        <c:axPos val="b"/>
        <c:tickLblPos val="nextTo"/>
        <c:crossAx val="117358592"/>
        <c:crosses val="autoZero"/>
        <c:auto val="1"/>
        <c:lblAlgn val="ctr"/>
        <c:lblOffset val="100"/>
      </c:catAx>
      <c:valAx>
        <c:axId val="117358592"/>
        <c:scaling>
          <c:orientation val="minMax"/>
        </c:scaling>
        <c:axPos val="l"/>
        <c:majorGridlines/>
        <c:title>
          <c:tx>
            <c:rich>
              <a:bodyPr rot="-5400000" vert="horz"/>
              <a:lstStyle/>
              <a:p>
                <a:pPr>
                  <a:defRPr/>
                </a:pPr>
                <a:r>
                  <a:rPr lang="es-ES"/>
                  <a:t>V/m</a:t>
                </a:r>
              </a:p>
            </c:rich>
          </c:tx>
        </c:title>
        <c:numFmt formatCode="0.000" sourceLinked="1"/>
        <c:tickLblPos val="nextTo"/>
        <c:crossAx val="117336320"/>
        <c:crosses val="autoZero"/>
        <c:crossBetween val="between"/>
      </c:valAx>
      <c:serAx>
        <c:axId val="108649536"/>
        <c:scaling>
          <c:orientation val="minMax"/>
        </c:scaling>
        <c:delete val="1"/>
        <c:axPos val="b"/>
        <c:title>
          <c:tx>
            <c:rich>
              <a:bodyPr rot="0" vert="horz"/>
              <a:lstStyle/>
              <a:p>
                <a:pPr>
                  <a:defRPr sz="900" i="1"/>
                </a:pPr>
                <a:r>
                  <a:rPr lang="es-ES" sz="900" i="1"/>
                  <a:t>Mediciones</a:t>
                </a:r>
                <a:r>
                  <a:rPr lang="es-ES" sz="900" i="1" baseline="0"/>
                  <a:t> realizadas y Límites</a:t>
                </a:r>
                <a:endParaRPr lang="es-ES" sz="900" i="1"/>
              </a:p>
            </c:rich>
          </c:tx>
        </c:title>
        <c:tickLblPos val="none"/>
        <c:crossAx val="117358592"/>
        <c:crosses val="autoZero"/>
        <c:tickLblSkip val="1"/>
      </c:serAx>
    </c:plotArea>
    <c:legend>
      <c:legendPos val="b"/>
      <c:layout>
        <c:manualLayout>
          <c:xMode val="edge"/>
          <c:yMode val="edge"/>
          <c:x val="4.6847769028871389E-2"/>
          <c:y val="0.92635194683233357"/>
          <c:w val="0.88963757655293052"/>
          <c:h val="5.5299429314454959E-2"/>
        </c:manualLayout>
      </c:layout>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b="1" i="1" baseline="0"/>
              <a:t> Relación Porcentual al Nivel de Referencia. Mediciones Broadcasting. Procedimiento Medición 1</a:t>
            </a:r>
            <a:endParaRPr lang="es-ES" sz="1200"/>
          </a:p>
        </c:rich>
      </c:tx>
      <c:layout>
        <c:manualLayout>
          <c:xMode val="edge"/>
          <c:yMode val="edge"/>
          <c:x val="8.6114213281688085E-2"/>
          <c:y val="3.4397257719834241E-2"/>
        </c:manualLayout>
      </c:layout>
    </c:title>
    <c:view3D>
      <c:rotY val="30"/>
      <c:depthPercent val="150"/>
      <c:perspective val="30"/>
    </c:view3D>
    <c:plotArea>
      <c:layout>
        <c:manualLayout>
          <c:layoutTarget val="inner"/>
          <c:xMode val="edge"/>
          <c:yMode val="edge"/>
          <c:x val="0.12980793244650524"/>
          <c:y val="0.20862556114911865"/>
          <c:w val="0.6563376166848216"/>
          <c:h val="0.42255975659385331"/>
        </c:manualLayout>
      </c:layout>
      <c:bar3DChart>
        <c:barDir val="col"/>
        <c:grouping val="standard"/>
        <c:ser>
          <c:idx val="0"/>
          <c:order val="0"/>
          <c:tx>
            <c:v>1,1</c:v>
          </c:tx>
          <c:cat>
            <c:strRef>
              <c:f>'multiples fuentes'!$AR$19:$AR$23</c:f>
              <c:strCache>
                <c:ptCount val="5"/>
                <c:pt idx="0">
                  <c:v>Radio(88-108 MHz)</c:v>
                </c:pt>
                <c:pt idx="1">
                  <c:v>Televisión(76-88 MHz)</c:v>
                </c:pt>
                <c:pt idx="2">
                  <c:v>Televisión(174-216 MHz)</c:v>
                </c:pt>
                <c:pt idx="3">
                  <c:v>Televisión(512-608 MHz)</c:v>
                </c:pt>
                <c:pt idx="4">
                  <c:v>Televisión(614-686 MHz)</c:v>
                </c:pt>
              </c:strCache>
            </c:strRef>
          </c:cat>
          <c:val>
            <c:numRef>
              <c:f>'multiples fuentes'!$AS$19:$AS$23</c:f>
              <c:numCache>
                <c:formatCode>General</c:formatCode>
                <c:ptCount val="5"/>
                <c:pt idx="0">
                  <c:v>2.4928571428571429</c:v>
                </c:pt>
                <c:pt idx="1">
                  <c:v>0.35460714285714284</c:v>
                </c:pt>
                <c:pt idx="2">
                  <c:v>0.23839285714285721</c:v>
                </c:pt>
                <c:pt idx="3">
                  <c:v>0.24383480825958687</c:v>
                </c:pt>
                <c:pt idx="4">
                  <c:v>0.22471535684532401</c:v>
                </c:pt>
              </c:numCache>
            </c:numRef>
          </c:val>
        </c:ser>
        <c:ser>
          <c:idx val="1"/>
          <c:order val="1"/>
          <c:tx>
            <c:v>1,5</c:v>
          </c:tx>
          <c:cat>
            <c:strRef>
              <c:f>'multiples fuentes'!$AR$19:$AR$23</c:f>
              <c:strCache>
                <c:ptCount val="5"/>
                <c:pt idx="0">
                  <c:v>Radio(88-108 MHz)</c:v>
                </c:pt>
                <c:pt idx="1">
                  <c:v>Televisión(76-88 MHz)</c:v>
                </c:pt>
                <c:pt idx="2">
                  <c:v>Televisión(174-216 MHz)</c:v>
                </c:pt>
                <c:pt idx="3">
                  <c:v>Televisión(512-608 MHz)</c:v>
                </c:pt>
                <c:pt idx="4">
                  <c:v>Televisión(614-686 MHz)</c:v>
                </c:pt>
              </c:strCache>
            </c:strRef>
          </c:cat>
          <c:val>
            <c:numRef>
              <c:f>'multiples fuentes'!$AT$19:$AT$23</c:f>
              <c:numCache>
                <c:formatCode>General</c:formatCode>
                <c:ptCount val="5"/>
                <c:pt idx="0">
                  <c:v>2.4346428571428573</c:v>
                </c:pt>
                <c:pt idx="1">
                  <c:v>0.319357142857146</c:v>
                </c:pt>
                <c:pt idx="2">
                  <c:v>0.23982142857143093</c:v>
                </c:pt>
                <c:pt idx="3">
                  <c:v>0.25339233038348086</c:v>
                </c:pt>
                <c:pt idx="4">
                  <c:v>0.21255206886975839</c:v>
                </c:pt>
              </c:numCache>
            </c:numRef>
          </c:val>
        </c:ser>
        <c:ser>
          <c:idx val="2"/>
          <c:order val="2"/>
          <c:tx>
            <c:v>1,7</c:v>
          </c:tx>
          <c:cat>
            <c:strRef>
              <c:f>'multiples fuentes'!$AR$19:$AR$23</c:f>
              <c:strCache>
                <c:ptCount val="5"/>
                <c:pt idx="0">
                  <c:v>Radio(88-108 MHz)</c:v>
                </c:pt>
                <c:pt idx="1">
                  <c:v>Televisión(76-88 MHz)</c:v>
                </c:pt>
                <c:pt idx="2">
                  <c:v>Televisión(174-216 MHz)</c:v>
                </c:pt>
                <c:pt idx="3">
                  <c:v>Televisión(512-608 MHz)</c:v>
                </c:pt>
                <c:pt idx="4">
                  <c:v>Televisión(614-686 MHz)</c:v>
                </c:pt>
              </c:strCache>
            </c:strRef>
          </c:cat>
          <c:val>
            <c:numRef>
              <c:f>'multiples fuentes'!$AU$19:$AU$23</c:f>
              <c:numCache>
                <c:formatCode>General</c:formatCode>
                <c:ptCount val="5"/>
                <c:pt idx="0">
                  <c:v>2.3542857142857128</c:v>
                </c:pt>
                <c:pt idx="1">
                  <c:v>0.31764285714286306</c:v>
                </c:pt>
                <c:pt idx="2">
                  <c:v>0.24007142857143093</c:v>
                </c:pt>
                <c:pt idx="3">
                  <c:v>0.25076696165191742</c:v>
                </c:pt>
                <c:pt idx="4">
                  <c:v>0.22732574284920856</c:v>
                </c:pt>
              </c:numCache>
            </c:numRef>
          </c:val>
        </c:ser>
        <c:shape val="box"/>
        <c:axId val="117374336"/>
        <c:axId val="117380224"/>
        <c:axId val="117352192"/>
      </c:bar3DChart>
      <c:catAx>
        <c:axId val="117374336"/>
        <c:scaling>
          <c:orientation val="minMax"/>
        </c:scaling>
        <c:axPos val="b"/>
        <c:tickLblPos val="nextTo"/>
        <c:crossAx val="117380224"/>
        <c:crosses val="autoZero"/>
        <c:auto val="1"/>
        <c:lblAlgn val="ctr"/>
        <c:lblOffset val="100"/>
      </c:catAx>
      <c:valAx>
        <c:axId val="117380224"/>
        <c:scaling>
          <c:orientation val="minMax"/>
        </c:scaling>
        <c:axPos val="l"/>
        <c:majorGridlines/>
        <c:title>
          <c:tx>
            <c:rich>
              <a:bodyPr rot="-5400000" vert="horz"/>
              <a:lstStyle/>
              <a:p>
                <a:pPr>
                  <a:defRPr/>
                </a:pPr>
                <a:r>
                  <a:rPr lang="es-ES" sz="1050"/>
                  <a:t>Relación</a:t>
                </a:r>
                <a:r>
                  <a:rPr lang="es-ES" sz="1050" baseline="0"/>
                  <a:t> Porcentual</a:t>
                </a:r>
                <a:endParaRPr lang="es-ES" sz="1050"/>
              </a:p>
            </c:rich>
          </c:tx>
        </c:title>
        <c:numFmt formatCode="General" sourceLinked="1"/>
        <c:tickLblPos val="nextTo"/>
        <c:crossAx val="117374336"/>
        <c:crosses val="autoZero"/>
        <c:crossBetween val="between"/>
      </c:valAx>
      <c:serAx>
        <c:axId val="117352192"/>
        <c:scaling>
          <c:orientation val="minMax"/>
        </c:scaling>
        <c:axPos val="b"/>
        <c:title>
          <c:tx>
            <c:rich>
              <a:bodyPr rot="0" vert="horz"/>
              <a:lstStyle/>
              <a:p>
                <a:pPr>
                  <a:defRPr/>
                </a:pPr>
                <a:r>
                  <a:rPr lang="es-ES"/>
                  <a:t>Altura</a:t>
                </a:r>
                <a:r>
                  <a:rPr lang="es-ES" baseline="0"/>
                  <a:t> Medición [m]</a:t>
                </a:r>
                <a:endParaRPr lang="es-ES"/>
              </a:p>
            </c:rich>
          </c:tx>
          <c:layout>
            <c:manualLayout>
              <c:xMode val="edge"/>
              <c:yMode val="edge"/>
              <c:x val="0.7428806319446476"/>
              <c:y val="0.65112948774608892"/>
            </c:manualLayout>
          </c:layout>
        </c:title>
        <c:tickLblPos val="nextTo"/>
        <c:crossAx val="117380224"/>
        <c:crosses val="autoZero"/>
      </c:ser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s-ES" sz="1100" b="1" i="0" baseline="0">
                <a:latin typeface="Arial" pitchFamily="34" charset="0"/>
                <a:cs typeface="Arial" pitchFamily="34" charset="0"/>
              </a:rPr>
              <a:t>Límite Vs. Valores de las mediciones Broadcasting Procedimiento de medición 2</a:t>
            </a:r>
            <a:endParaRPr lang="es-ES" sz="1100">
              <a:latin typeface="Arial" pitchFamily="34" charset="0"/>
              <a:cs typeface="Arial" pitchFamily="34" charset="0"/>
            </a:endParaRPr>
          </a:p>
        </c:rich>
      </c:tx>
    </c:title>
    <c:view3D>
      <c:perspective val="30"/>
    </c:view3D>
    <c:plotArea>
      <c:layout/>
      <c:bar3DChart>
        <c:barDir val="col"/>
        <c:grouping val="standard"/>
        <c:ser>
          <c:idx val="0"/>
          <c:order val="0"/>
          <c:tx>
            <c:v>Valores a 1,1m</c:v>
          </c:tx>
          <c:cat>
            <c:strRef>
              <c:f>radiodi!$B$27:$B$31</c:f>
              <c:strCache>
                <c:ptCount val="5"/>
                <c:pt idx="0">
                  <c:v>Radio(88-108 MHz)</c:v>
                </c:pt>
                <c:pt idx="1">
                  <c:v>Televisión(76-88 MHz)</c:v>
                </c:pt>
                <c:pt idx="2">
                  <c:v>Televisión(174-216 MHz)</c:v>
                </c:pt>
                <c:pt idx="3">
                  <c:v>Televisión(512-608 MHz)</c:v>
                </c:pt>
                <c:pt idx="4">
                  <c:v>Televisión(614-686 MHz)</c:v>
                </c:pt>
              </c:strCache>
            </c:strRef>
          </c:cat>
          <c:val>
            <c:numRef>
              <c:f>radiodi!$C$27:$C$31</c:f>
              <c:numCache>
                <c:formatCode>0.000</c:formatCode>
                <c:ptCount val="5"/>
                <c:pt idx="0">
                  <c:v>0.62829000000000435</c:v>
                </c:pt>
                <c:pt idx="1">
                  <c:v>7.3429999999999995E-2</c:v>
                </c:pt>
                <c:pt idx="2">
                  <c:v>9.6380000000000007E-2</c:v>
                </c:pt>
                <c:pt idx="3">
                  <c:v>7.2510000000000033E-2</c:v>
                </c:pt>
                <c:pt idx="4">
                  <c:v>0.11566000000000012</c:v>
                </c:pt>
              </c:numCache>
            </c:numRef>
          </c:val>
        </c:ser>
        <c:ser>
          <c:idx val="1"/>
          <c:order val="1"/>
          <c:tx>
            <c:v>Valores a 1,5m</c:v>
          </c:tx>
          <c:cat>
            <c:strRef>
              <c:f>radiodi!$B$27:$B$31</c:f>
              <c:strCache>
                <c:ptCount val="5"/>
                <c:pt idx="0">
                  <c:v>Radio(88-108 MHz)</c:v>
                </c:pt>
                <c:pt idx="1">
                  <c:v>Televisión(76-88 MHz)</c:v>
                </c:pt>
                <c:pt idx="2">
                  <c:v>Televisión(174-216 MHz)</c:v>
                </c:pt>
                <c:pt idx="3">
                  <c:v>Televisión(512-608 MHz)</c:v>
                </c:pt>
                <c:pt idx="4">
                  <c:v>Televisión(614-686 MHz)</c:v>
                </c:pt>
              </c:strCache>
            </c:strRef>
          </c:cat>
          <c:val>
            <c:numRef>
              <c:f>radiodi!$D$27:$D$31</c:f>
              <c:numCache>
                <c:formatCode>0.000</c:formatCode>
                <c:ptCount val="5"/>
                <c:pt idx="0">
                  <c:v>0.55964000000000502</c:v>
                </c:pt>
                <c:pt idx="1">
                  <c:v>7.6439999999999994E-2</c:v>
                </c:pt>
                <c:pt idx="2">
                  <c:v>0.12662999999999988</c:v>
                </c:pt>
                <c:pt idx="3">
                  <c:v>8.8690000000000768E-2</c:v>
                </c:pt>
                <c:pt idx="4">
                  <c:v>0.11878000000000002</c:v>
                </c:pt>
              </c:numCache>
            </c:numRef>
          </c:val>
        </c:ser>
        <c:ser>
          <c:idx val="2"/>
          <c:order val="2"/>
          <c:tx>
            <c:v>Valores a 1,7m</c:v>
          </c:tx>
          <c:cat>
            <c:strRef>
              <c:f>radiodi!$B$27:$B$31</c:f>
              <c:strCache>
                <c:ptCount val="5"/>
                <c:pt idx="0">
                  <c:v>Radio(88-108 MHz)</c:v>
                </c:pt>
                <c:pt idx="1">
                  <c:v>Televisión(76-88 MHz)</c:v>
                </c:pt>
                <c:pt idx="2">
                  <c:v>Televisión(174-216 MHz)</c:v>
                </c:pt>
                <c:pt idx="3">
                  <c:v>Televisión(512-608 MHz)</c:v>
                </c:pt>
                <c:pt idx="4">
                  <c:v>Televisión(614-686 MHz)</c:v>
                </c:pt>
              </c:strCache>
            </c:strRef>
          </c:cat>
          <c:val>
            <c:numRef>
              <c:f>radiodi!$E$27:$E$31</c:f>
              <c:numCache>
                <c:formatCode>0.000</c:formatCode>
                <c:ptCount val="5"/>
                <c:pt idx="0">
                  <c:v>0.45177</c:v>
                </c:pt>
                <c:pt idx="1">
                  <c:v>7.4310000000000612E-2</c:v>
                </c:pt>
                <c:pt idx="2">
                  <c:v>0.13886999999999999</c:v>
                </c:pt>
                <c:pt idx="3">
                  <c:v>8.0820000000000225E-2</c:v>
                </c:pt>
                <c:pt idx="4">
                  <c:v>9.3570000000000264E-2</c:v>
                </c:pt>
              </c:numCache>
            </c:numRef>
          </c:val>
        </c:ser>
        <c:ser>
          <c:idx val="3"/>
          <c:order val="3"/>
          <c:tx>
            <c:strRef>
              <c:f>radiodi!$F$26</c:f>
              <c:strCache>
                <c:ptCount val="1"/>
                <c:pt idx="0">
                  <c:v>Límite</c:v>
                </c:pt>
              </c:strCache>
            </c:strRef>
          </c:tx>
          <c:cat>
            <c:strRef>
              <c:f>radiodi!$B$27:$B$31</c:f>
              <c:strCache>
                <c:ptCount val="5"/>
                <c:pt idx="0">
                  <c:v>Radio(88-108 MHz)</c:v>
                </c:pt>
                <c:pt idx="1">
                  <c:v>Televisión(76-88 MHz)</c:v>
                </c:pt>
                <c:pt idx="2">
                  <c:v>Televisión(174-216 MHz)</c:v>
                </c:pt>
                <c:pt idx="3">
                  <c:v>Televisión(512-608 MHz)</c:v>
                </c:pt>
                <c:pt idx="4">
                  <c:v>Televisión(614-686 MHz)</c:v>
                </c:pt>
              </c:strCache>
            </c:strRef>
          </c:cat>
          <c:val>
            <c:numRef>
              <c:f>radiodi!$F$27:$F$31</c:f>
              <c:numCache>
                <c:formatCode>General</c:formatCode>
                <c:ptCount val="5"/>
                <c:pt idx="0">
                  <c:v>28</c:v>
                </c:pt>
                <c:pt idx="1">
                  <c:v>28</c:v>
                </c:pt>
                <c:pt idx="2">
                  <c:v>28</c:v>
                </c:pt>
                <c:pt idx="3">
                  <c:v>33.9</c:v>
                </c:pt>
                <c:pt idx="4">
                  <c:v>36.01</c:v>
                </c:pt>
              </c:numCache>
            </c:numRef>
          </c:val>
        </c:ser>
        <c:shape val="box"/>
        <c:axId val="117458048"/>
        <c:axId val="117459584"/>
        <c:axId val="102927424"/>
      </c:bar3DChart>
      <c:catAx>
        <c:axId val="117458048"/>
        <c:scaling>
          <c:orientation val="minMax"/>
        </c:scaling>
        <c:axPos val="b"/>
        <c:tickLblPos val="nextTo"/>
        <c:crossAx val="117459584"/>
        <c:crosses val="autoZero"/>
        <c:auto val="1"/>
        <c:lblAlgn val="ctr"/>
        <c:lblOffset val="100"/>
      </c:catAx>
      <c:valAx>
        <c:axId val="117459584"/>
        <c:scaling>
          <c:orientation val="minMax"/>
        </c:scaling>
        <c:axPos val="l"/>
        <c:majorGridlines/>
        <c:title>
          <c:tx>
            <c:rich>
              <a:bodyPr rot="-5400000" vert="horz"/>
              <a:lstStyle/>
              <a:p>
                <a:pPr>
                  <a:defRPr/>
                </a:pPr>
                <a:r>
                  <a:rPr lang="es-ES"/>
                  <a:t>V/m</a:t>
                </a:r>
              </a:p>
            </c:rich>
          </c:tx>
        </c:title>
        <c:numFmt formatCode="0.000" sourceLinked="1"/>
        <c:tickLblPos val="nextTo"/>
        <c:crossAx val="117458048"/>
        <c:crosses val="autoZero"/>
        <c:crossBetween val="between"/>
      </c:valAx>
      <c:serAx>
        <c:axId val="102927424"/>
        <c:scaling>
          <c:orientation val="minMax"/>
        </c:scaling>
        <c:delete val="1"/>
        <c:axPos val="b"/>
        <c:title>
          <c:tx>
            <c:rich>
              <a:bodyPr rot="0" vert="horz"/>
              <a:lstStyle/>
              <a:p>
                <a:pPr algn="ctr">
                  <a:defRPr/>
                </a:pPr>
                <a:r>
                  <a:rPr lang="es-ES" sz="900" b="1" i="1" baseline="0"/>
                  <a:t>Mediciones realizadas y Límites</a:t>
                </a:r>
              </a:p>
            </c:rich>
          </c:tx>
        </c:title>
        <c:tickLblPos val="none"/>
        <c:crossAx val="117459584"/>
        <c:crosses val="autoZero"/>
        <c:tickLblSkip val="1"/>
      </c:serAx>
    </c:plotArea>
    <c:legend>
      <c:legendPos val="b"/>
      <c:layout>
        <c:manualLayout>
          <c:xMode val="edge"/>
          <c:yMode val="edge"/>
          <c:x val="0"/>
          <c:y val="0.90897366702401661"/>
          <c:w val="0.95298190596321597"/>
          <c:h val="5.6597537983808906E-2"/>
        </c:manualLayout>
      </c:layout>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lgn="ctr">
              <a:defRPr/>
            </a:pPr>
            <a:r>
              <a:rPr lang="en-US" sz="1200" b="1" i="1" baseline="0"/>
              <a:t> Relación Porcentual al Nivel de Referencia. Mediciones Broadcasting. Procedimiento de Medición 2</a:t>
            </a:r>
            <a:endParaRPr lang="es-ES" sz="1200" b="1" i="0" baseline="0"/>
          </a:p>
        </c:rich>
      </c:tx>
    </c:title>
    <c:view3D>
      <c:rotY val="30"/>
      <c:perspective val="30"/>
    </c:view3D>
    <c:plotArea>
      <c:layout>
        <c:manualLayout>
          <c:layoutTarget val="inner"/>
          <c:xMode val="edge"/>
          <c:yMode val="edge"/>
          <c:x val="0.16421084864391952"/>
          <c:y val="0.17894384019533222"/>
          <c:w val="0.7398562992126001"/>
          <c:h val="0.4679376165552237"/>
        </c:manualLayout>
      </c:layout>
      <c:bar3DChart>
        <c:barDir val="col"/>
        <c:grouping val="standard"/>
        <c:ser>
          <c:idx val="0"/>
          <c:order val="0"/>
          <c:tx>
            <c:v>1,1</c:v>
          </c:tx>
          <c:cat>
            <c:strRef>
              <c:f>'multiples fuentes'!$AR$33:$AR$37</c:f>
              <c:strCache>
                <c:ptCount val="5"/>
                <c:pt idx="0">
                  <c:v>Radio(88-108 MHz)</c:v>
                </c:pt>
                <c:pt idx="1">
                  <c:v>Televisión(76-88 MHz)</c:v>
                </c:pt>
                <c:pt idx="2">
                  <c:v>Televisión(174-216 MHz)</c:v>
                </c:pt>
                <c:pt idx="3">
                  <c:v>Televisión(512-608 MHz)</c:v>
                </c:pt>
                <c:pt idx="4">
                  <c:v>Televisión(614-686 MHz)</c:v>
                </c:pt>
              </c:strCache>
            </c:strRef>
          </c:cat>
          <c:val>
            <c:numRef>
              <c:f>'multiples fuentes'!$AS$33:$AS$37</c:f>
              <c:numCache>
                <c:formatCode>General</c:formatCode>
                <c:ptCount val="5"/>
                <c:pt idx="0">
                  <c:v>2.2438928571428862</c:v>
                </c:pt>
                <c:pt idx="1">
                  <c:v>0.26224999999999998</c:v>
                </c:pt>
                <c:pt idx="2">
                  <c:v>0.34421428571428991</c:v>
                </c:pt>
                <c:pt idx="3">
                  <c:v>0.21389380530973454</c:v>
                </c:pt>
                <c:pt idx="4">
                  <c:v>0.32118855873368846</c:v>
                </c:pt>
              </c:numCache>
            </c:numRef>
          </c:val>
        </c:ser>
        <c:ser>
          <c:idx val="1"/>
          <c:order val="1"/>
          <c:tx>
            <c:v>1,5</c:v>
          </c:tx>
          <c:cat>
            <c:strRef>
              <c:f>'multiples fuentes'!$AR$33:$AR$37</c:f>
              <c:strCache>
                <c:ptCount val="5"/>
                <c:pt idx="0">
                  <c:v>Radio(88-108 MHz)</c:v>
                </c:pt>
                <c:pt idx="1">
                  <c:v>Televisión(76-88 MHz)</c:v>
                </c:pt>
                <c:pt idx="2">
                  <c:v>Televisión(174-216 MHz)</c:v>
                </c:pt>
                <c:pt idx="3">
                  <c:v>Televisión(512-608 MHz)</c:v>
                </c:pt>
                <c:pt idx="4">
                  <c:v>Televisión(614-686 MHz)</c:v>
                </c:pt>
              </c:strCache>
            </c:strRef>
          </c:cat>
          <c:val>
            <c:numRef>
              <c:f>'multiples fuentes'!$AT$33:$AT$37</c:f>
              <c:numCache>
                <c:formatCode>General</c:formatCode>
                <c:ptCount val="5"/>
                <c:pt idx="0">
                  <c:v>1.9987142857142859</c:v>
                </c:pt>
                <c:pt idx="1">
                  <c:v>0.27300000000000002</c:v>
                </c:pt>
                <c:pt idx="2">
                  <c:v>0.45225000000000004</c:v>
                </c:pt>
                <c:pt idx="3">
                  <c:v>0.26162241887905974</c:v>
                </c:pt>
                <c:pt idx="4">
                  <c:v>0.32985281866148697</c:v>
                </c:pt>
              </c:numCache>
            </c:numRef>
          </c:val>
        </c:ser>
        <c:ser>
          <c:idx val="2"/>
          <c:order val="2"/>
          <c:tx>
            <c:v>1,7</c:v>
          </c:tx>
          <c:cat>
            <c:strRef>
              <c:f>'multiples fuentes'!$AR$33:$AR$37</c:f>
              <c:strCache>
                <c:ptCount val="5"/>
                <c:pt idx="0">
                  <c:v>Radio(88-108 MHz)</c:v>
                </c:pt>
                <c:pt idx="1">
                  <c:v>Televisión(76-88 MHz)</c:v>
                </c:pt>
                <c:pt idx="2">
                  <c:v>Televisión(174-216 MHz)</c:v>
                </c:pt>
                <c:pt idx="3">
                  <c:v>Televisión(512-608 MHz)</c:v>
                </c:pt>
                <c:pt idx="4">
                  <c:v>Televisión(614-686 MHz)</c:v>
                </c:pt>
              </c:strCache>
            </c:strRef>
          </c:cat>
          <c:val>
            <c:numRef>
              <c:f>'multiples fuentes'!$AU$33:$AU$37</c:f>
              <c:numCache>
                <c:formatCode>General</c:formatCode>
                <c:ptCount val="5"/>
                <c:pt idx="0">
                  <c:v>1.6134642857142691</c:v>
                </c:pt>
                <c:pt idx="1">
                  <c:v>0.26539285714286226</c:v>
                </c:pt>
                <c:pt idx="2">
                  <c:v>0.49596428571429207</c:v>
                </c:pt>
                <c:pt idx="3">
                  <c:v>0.23840707964601773</c:v>
                </c:pt>
                <c:pt idx="4">
                  <c:v>0.25984448764232182</c:v>
                </c:pt>
              </c:numCache>
            </c:numRef>
          </c:val>
        </c:ser>
        <c:shape val="box"/>
        <c:axId val="117575040"/>
        <c:axId val="117585024"/>
        <c:axId val="117390848"/>
      </c:bar3DChart>
      <c:catAx>
        <c:axId val="117575040"/>
        <c:scaling>
          <c:orientation val="minMax"/>
        </c:scaling>
        <c:axPos val="b"/>
        <c:tickLblPos val="nextTo"/>
        <c:crossAx val="117585024"/>
        <c:crosses val="autoZero"/>
        <c:auto val="1"/>
        <c:lblAlgn val="ctr"/>
        <c:lblOffset val="100"/>
      </c:catAx>
      <c:valAx>
        <c:axId val="117585024"/>
        <c:scaling>
          <c:orientation val="minMax"/>
        </c:scaling>
        <c:axPos val="l"/>
        <c:majorGridlines/>
        <c:title>
          <c:tx>
            <c:rich>
              <a:bodyPr rot="-5400000" vert="horz"/>
              <a:lstStyle/>
              <a:p>
                <a:pPr>
                  <a:defRPr/>
                </a:pPr>
                <a:r>
                  <a:rPr lang="es-ES" sz="1050"/>
                  <a:t>Relación</a:t>
                </a:r>
                <a:r>
                  <a:rPr lang="es-ES" sz="1050" baseline="0"/>
                  <a:t> Porcentual</a:t>
                </a:r>
                <a:endParaRPr lang="es-ES" sz="1050"/>
              </a:p>
            </c:rich>
          </c:tx>
          <c:layout>
            <c:manualLayout>
              <c:xMode val="edge"/>
              <c:yMode val="edge"/>
              <c:x val="6.9925886204635038E-2"/>
              <c:y val="0.23028791578740895"/>
            </c:manualLayout>
          </c:layout>
        </c:title>
        <c:numFmt formatCode="General" sourceLinked="1"/>
        <c:tickLblPos val="nextTo"/>
        <c:crossAx val="117575040"/>
        <c:crosses val="autoZero"/>
        <c:crossBetween val="between"/>
      </c:valAx>
      <c:serAx>
        <c:axId val="117390848"/>
        <c:scaling>
          <c:orientation val="minMax"/>
        </c:scaling>
        <c:axPos val="b"/>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s-ES" sz="1000" b="1" i="0" baseline="0"/>
                  <a:t>Altura Medición </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s-ES" sz="1000" b="1" i="0" baseline="0"/>
                  <a:t>[m]</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s-ES"/>
              </a:p>
            </c:rich>
          </c:tx>
          <c:layout>
            <c:manualLayout>
              <c:xMode val="edge"/>
              <c:yMode val="edge"/>
              <c:x val="0.84139609667435689"/>
              <c:y val="0.58386165733679751"/>
            </c:manualLayout>
          </c:layout>
        </c:title>
        <c:tickLblPos val="nextTo"/>
        <c:txPr>
          <a:bodyPr/>
          <a:lstStyle/>
          <a:p>
            <a:pPr>
              <a:defRPr sz="900" baseline="0"/>
            </a:pPr>
            <a:endParaRPr lang="es-ES"/>
          </a:p>
        </c:txPr>
        <c:crossAx val="117585024"/>
        <c:crosses val="autoZero"/>
      </c:ser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39"/>
  <c:chart>
    <c:title>
      <c:tx>
        <c:rich>
          <a:bodyPr/>
          <a:lstStyle/>
          <a:p>
            <a:pPr>
              <a:defRPr/>
            </a:pPr>
            <a:r>
              <a:rPr lang="en-US" sz="1400"/>
              <a:t>Diferencia Porcentual entre Procedimientos de Mediciones en Ambientes Interiores </a:t>
            </a:r>
            <a:endParaRPr lang="es-ES" sz="1400"/>
          </a:p>
        </c:rich>
      </c:tx>
      <c:layout>
        <c:manualLayout>
          <c:xMode val="edge"/>
          <c:yMode val="edge"/>
          <c:x val="0.14061111111111121"/>
          <c:y val="1.7595311168228909E-2"/>
        </c:manualLayout>
      </c:layout>
    </c:title>
    <c:plotArea>
      <c:layout/>
      <c:barChart>
        <c:barDir val="bar"/>
        <c:grouping val="clustered"/>
        <c:ser>
          <c:idx val="0"/>
          <c:order val="0"/>
          <c:tx>
            <c:v>Diferencia Porcentual entre Procedimientos por Num. Puntos de Medición</c:v>
          </c:tx>
          <c:cat>
            <c:strRef>
              <c:f>'Comp % por porcedi'!$AA$5:$AJ$5</c:f>
              <c:strCache>
                <c:ptCount val="10"/>
                <c:pt idx="0">
                  <c:v>100 a 200</c:v>
                </c:pt>
                <c:pt idx="1">
                  <c:v>200 a 300</c:v>
                </c:pt>
                <c:pt idx="2">
                  <c:v>300 a 400</c:v>
                </c:pt>
                <c:pt idx="3">
                  <c:v>400 a 500</c:v>
                </c:pt>
                <c:pt idx="4">
                  <c:v>500 a 600</c:v>
                </c:pt>
                <c:pt idx="5">
                  <c:v>600 a 700</c:v>
                </c:pt>
                <c:pt idx="6">
                  <c:v>700 a 800</c:v>
                </c:pt>
                <c:pt idx="7">
                  <c:v>800 a 900</c:v>
                </c:pt>
                <c:pt idx="8">
                  <c:v>900 a 1000</c:v>
                </c:pt>
                <c:pt idx="9">
                  <c:v>    &gt;1000   </c:v>
                </c:pt>
              </c:strCache>
            </c:strRef>
          </c:cat>
          <c:val>
            <c:numRef>
              <c:f>'Comp % por porcedi'!$AA$7:$AJ$7</c:f>
              <c:numCache>
                <c:formatCode>General</c:formatCode>
                <c:ptCount val="10"/>
                <c:pt idx="0">
                  <c:v>38</c:v>
                </c:pt>
                <c:pt idx="1">
                  <c:v>12</c:v>
                </c:pt>
                <c:pt idx="2">
                  <c:v>3</c:v>
                </c:pt>
                <c:pt idx="3">
                  <c:v>3</c:v>
                </c:pt>
                <c:pt idx="4">
                  <c:v>3</c:v>
                </c:pt>
                <c:pt idx="5">
                  <c:v>3</c:v>
                </c:pt>
                <c:pt idx="6">
                  <c:v>4</c:v>
                </c:pt>
                <c:pt idx="7">
                  <c:v>2</c:v>
                </c:pt>
                <c:pt idx="8">
                  <c:v>1</c:v>
                </c:pt>
                <c:pt idx="9">
                  <c:v>9</c:v>
                </c:pt>
              </c:numCache>
            </c:numRef>
          </c:val>
        </c:ser>
        <c:axId val="84360576"/>
        <c:axId val="89507328"/>
      </c:barChart>
      <c:catAx>
        <c:axId val="84360576"/>
        <c:scaling>
          <c:orientation val="minMax"/>
        </c:scaling>
        <c:axPos val="l"/>
        <c:title>
          <c:tx>
            <c:rich>
              <a:bodyPr rot="-5400000" vert="horz"/>
              <a:lstStyle/>
              <a:p>
                <a:pPr>
                  <a:defRPr/>
                </a:pPr>
                <a:r>
                  <a:rPr lang="es-ES"/>
                  <a:t>Diferencia Porcentual  %</a:t>
                </a:r>
              </a:p>
            </c:rich>
          </c:tx>
        </c:title>
        <c:tickLblPos val="nextTo"/>
        <c:crossAx val="89507328"/>
        <c:crosses val="autoZero"/>
        <c:auto val="1"/>
        <c:lblAlgn val="ctr"/>
        <c:lblOffset val="100"/>
      </c:catAx>
      <c:valAx>
        <c:axId val="89507328"/>
        <c:scaling>
          <c:orientation val="minMax"/>
        </c:scaling>
        <c:axPos val="b"/>
        <c:minorGridlines/>
        <c:title>
          <c:tx>
            <c:rich>
              <a:bodyPr/>
              <a:lstStyle/>
              <a:p>
                <a:pPr>
                  <a:defRPr/>
                </a:pPr>
                <a:r>
                  <a:rPr lang="es-ES"/>
                  <a:t>Número de Puntos de Medición</a:t>
                </a:r>
              </a:p>
            </c:rich>
          </c:tx>
        </c:title>
        <c:numFmt formatCode="General" sourceLinked="1"/>
        <c:tickLblPos val="nextTo"/>
        <c:crossAx val="84360576"/>
        <c:crosses val="autoZero"/>
        <c:crossBetween val="between"/>
      </c:valAx>
    </c:plotArea>
    <c:legend>
      <c:legendPos val="b"/>
      <c:txPr>
        <a:bodyPr/>
        <a:lstStyle/>
        <a:p>
          <a:pPr>
            <a:defRPr i="1"/>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00" b="1" i="0" u="none" strike="noStrike" baseline="0"/>
              <a:t>Valor Prom. E [V/m] Mediciones Telefonía Móvil Radio Base (Porta) </a:t>
            </a:r>
            <a:endParaRPr lang="es-ES" sz="1400"/>
          </a:p>
        </c:rich>
      </c:tx>
      <c:layout>
        <c:manualLayout>
          <c:xMode val="edge"/>
          <c:yMode val="edge"/>
          <c:x val="0.15787341047777995"/>
          <c:y val="4.6798556430446524E-2"/>
        </c:manualLayout>
      </c:layout>
    </c:title>
    <c:view3D>
      <c:rotX val="70"/>
      <c:depthPercent val="100"/>
      <c:rAngAx val="1"/>
    </c:view3D>
    <c:plotArea>
      <c:layout/>
      <c:bar3DChart>
        <c:barDir val="col"/>
        <c:grouping val="clustered"/>
        <c:ser>
          <c:idx val="0"/>
          <c:order val="0"/>
          <c:tx>
            <c:v>Procedimiento de Medición 1</c:v>
          </c:tx>
          <c:val>
            <c:numRef>
              <c:f>'Comp % por porcedi'!$Q$85:$Q$108</c:f>
              <c:numCache>
                <c:formatCode>0.00</c:formatCode>
                <c:ptCount val="24"/>
                <c:pt idx="0">
                  <c:v>0.15320000000000161</c:v>
                </c:pt>
                <c:pt idx="1">
                  <c:v>0.18263333333333517</c:v>
                </c:pt>
                <c:pt idx="2">
                  <c:v>0.16119999999999998</c:v>
                </c:pt>
                <c:pt idx="3">
                  <c:v>8.745E-2</c:v>
                </c:pt>
                <c:pt idx="4">
                  <c:v>7.9696666666666804E-2</c:v>
                </c:pt>
                <c:pt idx="5">
                  <c:v>6.9186666666666813E-2</c:v>
                </c:pt>
                <c:pt idx="6">
                  <c:v>6.4816666666666994E-2</c:v>
                </c:pt>
                <c:pt idx="7">
                  <c:v>7.3340000000000002E-2</c:v>
                </c:pt>
                <c:pt idx="8">
                  <c:v>7.9000000000000514E-2</c:v>
                </c:pt>
                <c:pt idx="9">
                  <c:v>0.12656666666666669</c:v>
                </c:pt>
                <c:pt idx="10">
                  <c:v>9.9850000000001216E-2</c:v>
                </c:pt>
                <c:pt idx="11">
                  <c:v>0.11382666666666667</c:v>
                </c:pt>
                <c:pt idx="12">
                  <c:v>5.0636666666666684E-2</c:v>
                </c:pt>
                <c:pt idx="13">
                  <c:v>7.9180000000000014E-2</c:v>
                </c:pt>
                <c:pt idx="14">
                  <c:v>5.2700000000000434E-2</c:v>
                </c:pt>
                <c:pt idx="15">
                  <c:v>3.403666666666668E-2</c:v>
                </c:pt>
                <c:pt idx="16">
                  <c:v>1.8400000000000041E-2</c:v>
                </c:pt>
                <c:pt idx="17">
                  <c:v>1.8890000000000001E-2</c:v>
                </c:pt>
                <c:pt idx="18">
                  <c:v>1.5563333333333361E-2</c:v>
                </c:pt>
                <c:pt idx="19">
                  <c:v>2.0743333333333332E-2</c:v>
                </c:pt>
                <c:pt idx="20">
                  <c:v>1.7990000000000003E-2</c:v>
                </c:pt>
                <c:pt idx="21">
                  <c:v>4.0873333333333532E-2</c:v>
                </c:pt>
                <c:pt idx="22">
                  <c:v>4.2400000000000014E-2</c:v>
                </c:pt>
                <c:pt idx="23">
                  <c:v>4.3406666666666684E-2</c:v>
                </c:pt>
              </c:numCache>
            </c:numRef>
          </c:val>
        </c:ser>
        <c:ser>
          <c:idx val="1"/>
          <c:order val="1"/>
          <c:tx>
            <c:v>Procedimiento de Medición 2</c:v>
          </c:tx>
          <c:val>
            <c:numRef>
              <c:f>'Comp % por porcedi'!$R$85:$R$108</c:f>
              <c:numCache>
                <c:formatCode>0.00</c:formatCode>
                <c:ptCount val="24"/>
                <c:pt idx="0">
                  <c:v>1.1597666666666666</c:v>
                </c:pt>
                <c:pt idx="1">
                  <c:v>1.484</c:v>
                </c:pt>
                <c:pt idx="2">
                  <c:v>1.0287666666666666</c:v>
                </c:pt>
                <c:pt idx="3">
                  <c:v>0.58349999999999957</c:v>
                </c:pt>
                <c:pt idx="4">
                  <c:v>0.52223333333333333</c:v>
                </c:pt>
                <c:pt idx="5">
                  <c:v>0.29900000000000032</c:v>
                </c:pt>
                <c:pt idx="6">
                  <c:v>0.28653333333333325</c:v>
                </c:pt>
                <c:pt idx="7">
                  <c:v>0.30913333333333326</c:v>
                </c:pt>
                <c:pt idx="8">
                  <c:v>0.33763333333333334</c:v>
                </c:pt>
                <c:pt idx="9">
                  <c:v>0.41196666666667137</c:v>
                </c:pt>
                <c:pt idx="10">
                  <c:v>0.43746666666667289</c:v>
                </c:pt>
                <c:pt idx="11">
                  <c:v>0.59163333333333334</c:v>
                </c:pt>
                <c:pt idx="12">
                  <c:v>0.23293333333333582</c:v>
                </c:pt>
                <c:pt idx="13">
                  <c:v>0.21026666666666671</c:v>
                </c:pt>
                <c:pt idx="14">
                  <c:v>0.11513333333333332</c:v>
                </c:pt>
                <c:pt idx="15">
                  <c:v>7.1326666666666691E-2</c:v>
                </c:pt>
                <c:pt idx="16">
                  <c:v>2.9926666666666671E-2</c:v>
                </c:pt>
                <c:pt idx="17">
                  <c:v>1.9450000000000123E-2</c:v>
                </c:pt>
                <c:pt idx="18">
                  <c:v>2.6620000000000001E-2</c:v>
                </c:pt>
                <c:pt idx="19">
                  <c:v>3.2523333333333342E-2</c:v>
                </c:pt>
                <c:pt idx="20">
                  <c:v>2.5316666666666671E-2</c:v>
                </c:pt>
                <c:pt idx="21">
                  <c:v>3.6173333333333356E-2</c:v>
                </c:pt>
                <c:pt idx="22">
                  <c:v>4.8296666666666703E-2</c:v>
                </c:pt>
                <c:pt idx="23">
                  <c:v>0.10539666666666669</c:v>
                </c:pt>
              </c:numCache>
            </c:numRef>
          </c:val>
        </c:ser>
        <c:shape val="box"/>
        <c:axId val="89598208"/>
        <c:axId val="89616384"/>
        <c:axId val="0"/>
      </c:bar3DChart>
      <c:catAx>
        <c:axId val="89598208"/>
        <c:scaling>
          <c:orientation val="minMax"/>
        </c:scaling>
        <c:axPos val="b"/>
        <c:majorTickMark val="none"/>
        <c:tickLblPos val="none"/>
        <c:crossAx val="89616384"/>
        <c:crosses val="autoZero"/>
        <c:auto val="1"/>
        <c:lblAlgn val="ctr"/>
        <c:lblOffset val="100"/>
      </c:catAx>
      <c:valAx>
        <c:axId val="89616384"/>
        <c:scaling>
          <c:orientation val="minMax"/>
        </c:scaling>
        <c:axPos val="l"/>
        <c:majorGridlines/>
        <c:minorGridlines/>
        <c:numFmt formatCode="0.00" sourceLinked="1"/>
        <c:majorTickMark val="none"/>
        <c:tickLblPos val="nextTo"/>
        <c:crossAx val="89598208"/>
        <c:crosses val="autoZero"/>
        <c:crossBetween val="between"/>
      </c:valAx>
    </c:plotArea>
    <c:legend>
      <c:legendPos val="b"/>
      <c:layout>
        <c:manualLayout>
          <c:xMode val="edge"/>
          <c:yMode val="edge"/>
          <c:x val="2.0593237610005012E-2"/>
          <c:y val="0.91158497375328051"/>
          <c:w val="0.90218977921877463"/>
          <c:h val="7.5450281000576533E-2"/>
        </c:manualLayout>
      </c:layout>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sz="1400" b="1" i="0" u="none" strike="noStrike" baseline="0"/>
              <a:t>Valor Prom. E [V/m] Mediciones </a:t>
            </a:r>
            <a:r>
              <a:rPr lang="es-ES" sz="1400" b="1" i="0" baseline="0"/>
              <a:t>Telefonía Móvil Radio Base (Movistar)</a:t>
            </a:r>
          </a:p>
        </c:rich>
      </c:tx>
      <c:layout>
        <c:manualLayout>
          <c:xMode val="edge"/>
          <c:yMode val="edge"/>
          <c:x val="0.14942366579177604"/>
          <c:y val="3.7065641573057216E-2"/>
        </c:manualLayout>
      </c:layout>
    </c:title>
    <c:view3D>
      <c:rotX val="70"/>
      <c:rAngAx val="1"/>
    </c:view3D>
    <c:plotArea>
      <c:layout/>
      <c:bar3DChart>
        <c:barDir val="col"/>
        <c:grouping val="clustered"/>
        <c:ser>
          <c:idx val="0"/>
          <c:order val="0"/>
          <c:tx>
            <c:v>Procedimiento de Medición 1</c:v>
          </c:tx>
          <c:val>
            <c:numRef>
              <c:f>'Comp % por porcedi'!$Q$109:$Q$132</c:f>
              <c:numCache>
                <c:formatCode>0.00</c:formatCode>
                <c:ptCount val="24"/>
                <c:pt idx="0">
                  <c:v>0.72003333333333364</c:v>
                </c:pt>
                <c:pt idx="1">
                  <c:v>0.57600000000000062</c:v>
                </c:pt>
                <c:pt idx="2">
                  <c:v>0.72886666666666677</c:v>
                </c:pt>
                <c:pt idx="3">
                  <c:v>0.64360000000000905</c:v>
                </c:pt>
                <c:pt idx="4">
                  <c:v>1.1318666666666666</c:v>
                </c:pt>
                <c:pt idx="5">
                  <c:v>0.80063333333333364</c:v>
                </c:pt>
                <c:pt idx="6">
                  <c:v>0.97586666666666666</c:v>
                </c:pt>
                <c:pt idx="7">
                  <c:v>1.2926666666666666</c:v>
                </c:pt>
                <c:pt idx="8">
                  <c:v>0.92743333333333344</c:v>
                </c:pt>
                <c:pt idx="9">
                  <c:v>0.59843333333333326</c:v>
                </c:pt>
                <c:pt idx="10">
                  <c:v>0.58856666666665625</c:v>
                </c:pt>
                <c:pt idx="11">
                  <c:v>1.2676666666666658</c:v>
                </c:pt>
                <c:pt idx="12">
                  <c:v>0.66576666666666673</c:v>
                </c:pt>
                <c:pt idx="13">
                  <c:v>0.61593333333333944</c:v>
                </c:pt>
                <c:pt idx="14">
                  <c:v>0.65746666666666653</c:v>
                </c:pt>
                <c:pt idx="15">
                  <c:v>0.59766666666666657</c:v>
                </c:pt>
                <c:pt idx="16">
                  <c:v>0.94203333333333361</c:v>
                </c:pt>
                <c:pt idx="17">
                  <c:v>0.86906666666666654</c:v>
                </c:pt>
                <c:pt idx="18">
                  <c:v>0.93</c:v>
                </c:pt>
                <c:pt idx="19">
                  <c:v>1.143</c:v>
                </c:pt>
                <c:pt idx="20">
                  <c:v>1.0748666666666666</c:v>
                </c:pt>
                <c:pt idx="21">
                  <c:v>0.24730000000000021</c:v>
                </c:pt>
                <c:pt idx="22">
                  <c:v>0.26130000000000031</c:v>
                </c:pt>
                <c:pt idx="23">
                  <c:v>0.60729999999999995</c:v>
                </c:pt>
              </c:numCache>
            </c:numRef>
          </c:val>
        </c:ser>
        <c:ser>
          <c:idx val="1"/>
          <c:order val="1"/>
          <c:tx>
            <c:v>Procedimiento de Medición 2</c:v>
          </c:tx>
          <c:val>
            <c:numRef>
              <c:f>'Comp % por porcedi'!$R$109:$R$132</c:f>
              <c:numCache>
                <c:formatCode>0.00</c:formatCode>
                <c:ptCount val="24"/>
                <c:pt idx="0">
                  <c:v>0.25523333333332948</c:v>
                </c:pt>
                <c:pt idx="1">
                  <c:v>0.28070000000000001</c:v>
                </c:pt>
                <c:pt idx="2">
                  <c:v>0.31806666666667238</c:v>
                </c:pt>
                <c:pt idx="3">
                  <c:v>0.24506666666666671</c:v>
                </c:pt>
                <c:pt idx="4">
                  <c:v>0.39236666666667369</c:v>
                </c:pt>
                <c:pt idx="5">
                  <c:v>0.25233333333333324</c:v>
                </c:pt>
                <c:pt idx="6">
                  <c:v>0.32910000000000317</c:v>
                </c:pt>
                <c:pt idx="7">
                  <c:v>0.29476666666667012</c:v>
                </c:pt>
                <c:pt idx="8">
                  <c:v>0.42956666666667215</c:v>
                </c:pt>
                <c:pt idx="9">
                  <c:v>0.26626666666666682</c:v>
                </c:pt>
                <c:pt idx="10">
                  <c:v>0.22993333333333582</c:v>
                </c:pt>
                <c:pt idx="11">
                  <c:v>0.34393333333333326</c:v>
                </c:pt>
                <c:pt idx="12">
                  <c:v>2.8979999999999999E-2</c:v>
                </c:pt>
                <c:pt idx="13">
                  <c:v>5.2730000000000124E-2</c:v>
                </c:pt>
                <c:pt idx="14">
                  <c:v>4.9916666666667012E-2</c:v>
                </c:pt>
                <c:pt idx="15">
                  <c:v>7.8590000000000021E-2</c:v>
                </c:pt>
                <c:pt idx="16">
                  <c:v>7.0656666666666673E-2</c:v>
                </c:pt>
                <c:pt idx="17">
                  <c:v>1.5550000000000001E-2</c:v>
                </c:pt>
                <c:pt idx="18">
                  <c:v>1.0166666666666669E-2</c:v>
                </c:pt>
                <c:pt idx="19">
                  <c:v>1.5363333333333343E-2</c:v>
                </c:pt>
                <c:pt idx="20">
                  <c:v>8.8933333333333746E-3</c:v>
                </c:pt>
                <c:pt idx="21">
                  <c:v>1.1116666666666665E-2</c:v>
                </c:pt>
                <c:pt idx="22">
                  <c:v>1.6200000000000023E-2</c:v>
                </c:pt>
                <c:pt idx="23">
                  <c:v>4.1076666666666671E-2</c:v>
                </c:pt>
              </c:numCache>
            </c:numRef>
          </c:val>
        </c:ser>
        <c:shape val="box"/>
        <c:axId val="89837568"/>
        <c:axId val="89839872"/>
        <c:axId val="0"/>
      </c:bar3DChart>
      <c:catAx>
        <c:axId val="89837568"/>
        <c:scaling>
          <c:orientation val="minMax"/>
        </c:scaling>
        <c:delete val="1"/>
        <c:axPos val="b"/>
        <c:majorTickMark val="none"/>
        <c:tickLblPos val="none"/>
        <c:crossAx val="89839872"/>
        <c:crosses val="autoZero"/>
        <c:auto val="1"/>
        <c:lblAlgn val="ctr"/>
        <c:lblOffset val="100"/>
      </c:catAx>
      <c:valAx>
        <c:axId val="89839872"/>
        <c:scaling>
          <c:orientation val="minMax"/>
        </c:scaling>
        <c:axPos val="l"/>
        <c:majorGridlines/>
        <c:minorGridlines/>
        <c:numFmt formatCode="0.00" sourceLinked="1"/>
        <c:majorTickMark val="none"/>
        <c:tickLblPos val="nextTo"/>
        <c:crossAx val="89837568"/>
        <c:crosses val="autoZero"/>
        <c:crossBetween val="between"/>
      </c:valAx>
    </c:plotArea>
    <c:legend>
      <c:legendPos val="b"/>
      <c:layout>
        <c:manualLayout>
          <c:xMode val="edge"/>
          <c:yMode val="edge"/>
          <c:x val="7.958005249343833E-2"/>
          <c:y val="0.91158485314422566"/>
          <c:w val="0.87912796987295938"/>
          <c:h val="8.3814198775560469E-2"/>
        </c:manualLayout>
      </c:layout>
    </c:legend>
    <c:plotVisOnly val="1"/>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style val="36"/>
  <c:chart>
    <c:title>
      <c:tx>
        <c:rich>
          <a:bodyPr/>
          <a:lstStyle/>
          <a:p>
            <a:pPr>
              <a:defRPr/>
            </a:pPr>
            <a:r>
              <a:rPr lang="en-US" sz="1400" b="1" i="0" baseline="0"/>
              <a:t>Diferencia Porcentual entre Procedimientos de Mediciones en Ambientes Exteriores </a:t>
            </a:r>
            <a:endParaRPr lang="es-ES" sz="1400" b="1" i="0" baseline="0"/>
          </a:p>
        </c:rich>
      </c:tx>
      <c:layout>
        <c:manualLayout>
          <c:xMode val="edge"/>
          <c:yMode val="edge"/>
          <c:x val="0.11561111111111112"/>
          <c:y val="1.283422027564267E-2"/>
        </c:manualLayout>
      </c:layout>
    </c:title>
    <c:plotArea>
      <c:layout/>
      <c:barChart>
        <c:barDir val="bar"/>
        <c:grouping val="clustered"/>
        <c:ser>
          <c:idx val="0"/>
          <c:order val="0"/>
          <c:tx>
            <c:v>Diferencia Porcentual entre Procedimientos por Num. Puntos de Medición</c:v>
          </c:tx>
          <c:cat>
            <c:strRef>
              <c:f>'Comp % por porcedi'!$AA$84:$AJ$84</c:f>
              <c:strCache>
                <c:ptCount val="10"/>
                <c:pt idx="0">
                  <c:v>100 a 200</c:v>
                </c:pt>
                <c:pt idx="1">
                  <c:v>200 a 300</c:v>
                </c:pt>
                <c:pt idx="2">
                  <c:v>300 a 400</c:v>
                </c:pt>
                <c:pt idx="3">
                  <c:v>400 a 500</c:v>
                </c:pt>
                <c:pt idx="4">
                  <c:v>500 a 600</c:v>
                </c:pt>
                <c:pt idx="5">
                  <c:v>600 a 700</c:v>
                </c:pt>
                <c:pt idx="6">
                  <c:v>700 a 800</c:v>
                </c:pt>
                <c:pt idx="7">
                  <c:v>800 a 900</c:v>
                </c:pt>
                <c:pt idx="8">
                  <c:v>900 a 1000</c:v>
                </c:pt>
                <c:pt idx="9">
                  <c:v>    &gt;1000   </c:v>
                </c:pt>
              </c:strCache>
            </c:strRef>
          </c:cat>
          <c:val>
            <c:numRef>
              <c:f>'Comp % por porcedi'!$AA$86:$AJ$86</c:f>
              <c:numCache>
                <c:formatCode>General</c:formatCode>
                <c:ptCount val="10"/>
                <c:pt idx="0">
                  <c:v>7</c:v>
                </c:pt>
                <c:pt idx="1">
                  <c:v>13</c:v>
                </c:pt>
                <c:pt idx="2">
                  <c:v>3</c:v>
                </c:pt>
                <c:pt idx="3">
                  <c:v>7</c:v>
                </c:pt>
                <c:pt idx="4">
                  <c:v>1</c:v>
                </c:pt>
                <c:pt idx="5">
                  <c:v>3</c:v>
                </c:pt>
                <c:pt idx="6">
                  <c:v>2</c:v>
                </c:pt>
                <c:pt idx="7">
                  <c:v>1</c:v>
                </c:pt>
                <c:pt idx="8">
                  <c:v>0</c:v>
                </c:pt>
                <c:pt idx="9">
                  <c:v>11</c:v>
                </c:pt>
              </c:numCache>
            </c:numRef>
          </c:val>
        </c:ser>
        <c:axId val="90167552"/>
        <c:axId val="90235264"/>
      </c:barChart>
      <c:catAx>
        <c:axId val="90167552"/>
        <c:scaling>
          <c:orientation val="minMax"/>
        </c:scaling>
        <c:axPos val="l"/>
        <c:title>
          <c:tx>
            <c:rich>
              <a:bodyPr rot="-5400000" vert="horz"/>
              <a:lstStyle/>
              <a:p>
                <a:pPr>
                  <a:defRPr sz="900"/>
                </a:pPr>
                <a:r>
                  <a:rPr lang="es-ES" sz="900">
                    <a:latin typeface="Arial" pitchFamily="34" charset="0"/>
                    <a:cs typeface="Arial" pitchFamily="34" charset="0"/>
                  </a:rPr>
                  <a:t>Diferencia Porcentual %</a:t>
                </a:r>
              </a:p>
            </c:rich>
          </c:tx>
        </c:title>
        <c:tickLblPos val="nextTo"/>
        <c:crossAx val="90235264"/>
        <c:crosses val="autoZero"/>
        <c:auto val="1"/>
        <c:lblAlgn val="ctr"/>
        <c:lblOffset val="100"/>
      </c:catAx>
      <c:valAx>
        <c:axId val="90235264"/>
        <c:scaling>
          <c:orientation val="minMax"/>
        </c:scaling>
        <c:axPos val="b"/>
        <c:minorGridlines/>
        <c:title>
          <c:tx>
            <c:rich>
              <a:bodyPr/>
              <a:lstStyle/>
              <a:p>
                <a:pPr>
                  <a:defRPr sz="1000"/>
                </a:pPr>
                <a:r>
                  <a:rPr lang="es-ES" sz="1000" b="1" i="0" baseline="0"/>
                  <a:t>Número de Puntos de Medición</a:t>
                </a:r>
                <a:endParaRPr lang="es-ES" sz="1000"/>
              </a:p>
            </c:rich>
          </c:tx>
        </c:title>
        <c:numFmt formatCode="General" sourceLinked="1"/>
        <c:tickLblPos val="nextTo"/>
        <c:crossAx val="90167552"/>
        <c:crosses val="autoZero"/>
        <c:crossBetween val="between"/>
      </c:valAx>
    </c:plotArea>
    <c:legend>
      <c:legendPos val="b"/>
      <c:layout>
        <c:manualLayout>
          <c:xMode val="edge"/>
          <c:yMode val="edge"/>
          <c:x val="1.5227167761184301E-2"/>
          <c:y val="0.86029281496062993"/>
          <c:w val="0.96210960992958683"/>
          <c:h val="0.10492458612130473"/>
        </c:manualLayout>
      </c:layout>
      <c:txPr>
        <a:bodyPr/>
        <a:lstStyle/>
        <a:p>
          <a:pPr>
            <a:defRPr i="1"/>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style val="3"/>
  <c:chart>
    <c:title>
      <c:tx>
        <c:rich>
          <a:bodyPr/>
          <a:lstStyle/>
          <a:p>
            <a:pPr>
              <a:defRPr/>
            </a:pPr>
            <a:r>
              <a:rPr lang="en-US" sz="1400"/>
              <a:t>% Desviación</a:t>
            </a:r>
            <a:r>
              <a:rPr lang="en-US" sz="1400" baseline="0"/>
              <a:t> Máxima de Mediciones WLAN (Procedimiento 1)</a:t>
            </a:r>
            <a:endParaRPr lang="en-US" sz="1600"/>
          </a:p>
        </c:rich>
      </c:tx>
    </c:title>
    <c:plotArea>
      <c:layout/>
      <c:barChart>
        <c:barDir val="col"/>
        <c:grouping val="clustered"/>
        <c:ser>
          <c:idx val="0"/>
          <c:order val="0"/>
          <c:tx>
            <c:strRef>
              <c:f>'% Max Desviacion narda'!$N$8</c:f>
              <c:strCache>
                <c:ptCount val="1"/>
                <c:pt idx="0">
                  <c:v>Número de Mediciones</c:v>
                </c:pt>
              </c:strCache>
            </c:strRef>
          </c:tx>
          <c:spPr>
            <a:solidFill>
              <a:schemeClr val="tx2">
                <a:lumMod val="60000"/>
                <a:lumOff val="40000"/>
              </a:schemeClr>
            </a:solidFill>
          </c:spPr>
          <c:cat>
            <c:strRef>
              <c:f>'% Max Desviacion narda'!$O$7:$U$7</c:f>
              <c:strCache>
                <c:ptCount val="7"/>
                <c:pt idx="0">
                  <c:v>&lt; 10%</c:v>
                </c:pt>
                <c:pt idx="1">
                  <c:v> 10 a 20%</c:v>
                </c:pt>
                <c:pt idx="2">
                  <c:v> 20 a 30%</c:v>
                </c:pt>
                <c:pt idx="3">
                  <c:v> 30 a 40%</c:v>
                </c:pt>
                <c:pt idx="4">
                  <c:v> 40 a 50%</c:v>
                </c:pt>
                <c:pt idx="5">
                  <c:v>50a 60%</c:v>
                </c:pt>
                <c:pt idx="6">
                  <c:v>&gt; 60%</c:v>
                </c:pt>
              </c:strCache>
            </c:strRef>
          </c:cat>
          <c:val>
            <c:numRef>
              <c:f>'% Max Desviacion narda'!$O$8:$U$8</c:f>
              <c:numCache>
                <c:formatCode>General</c:formatCode>
                <c:ptCount val="7"/>
                <c:pt idx="0">
                  <c:v>7</c:v>
                </c:pt>
                <c:pt idx="1">
                  <c:v>18</c:v>
                </c:pt>
                <c:pt idx="2">
                  <c:v>5</c:v>
                </c:pt>
                <c:pt idx="3">
                  <c:v>3</c:v>
                </c:pt>
                <c:pt idx="4">
                  <c:v>0</c:v>
                </c:pt>
                <c:pt idx="5">
                  <c:v>1</c:v>
                </c:pt>
                <c:pt idx="6">
                  <c:v>0</c:v>
                </c:pt>
              </c:numCache>
            </c:numRef>
          </c:val>
        </c:ser>
        <c:axId val="90263936"/>
        <c:axId val="90265472"/>
      </c:barChart>
      <c:catAx>
        <c:axId val="90263936"/>
        <c:scaling>
          <c:orientation val="minMax"/>
        </c:scaling>
        <c:axPos val="b"/>
        <c:tickLblPos val="nextTo"/>
        <c:txPr>
          <a:bodyPr/>
          <a:lstStyle/>
          <a:p>
            <a:pPr>
              <a:defRPr sz="950" baseline="0"/>
            </a:pPr>
            <a:endParaRPr lang="es-ES"/>
          </a:p>
        </c:txPr>
        <c:crossAx val="90265472"/>
        <c:crosses val="autoZero"/>
        <c:auto val="1"/>
        <c:lblAlgn val="ctr"/>
        <c:lblOffset val="100"/>
      </c:catAx>
      <c:valAx>
        <c:axId val="90265472"/>
        <c:scaling>
          <c:orientation val="minMax"/>
        </c:scaling>
        <c:axPos val="l"/>
        <c:majorGridlines/>
        <c:numFmt formatCode="General" sourceLinked="1"/>
        <c:tickLblPos val="nextTo"/>
        <c:crossAx val="90263936"/>
        <c:crosses val="autoZero"/>
        <c:crossBetween val="between"/>
      </c:valAx>
    </c:plotArea>
    <c:legend>
      <c:legendPos val="b"/>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style val="4"/>
  <c:chart>
    <c:title>
      <c:tx>
        <c:rich>
          <a:bodyPr/>
          <a:lstStyle/>
          <a:p>
            <a:pPr>
              <a:defRPr/>
            </a:pPr>
            <a:r>
              <a:rPr lang="en-US" sz="1400"/>
              <a:t>% Desviación Máxima de Mediciones Banda Celular Porta ( Procedimiento 1)</a:t>
            </a:r>
            <a:endParaRPr lang="es-ES" sz="1400"/>
          </a:p>
        </c:rich>
      </c:tx>
      <c:layout>
        <c:manualLayout>
          <c:xMode val="edge"/>
          <c:yMode val="edge"/>
          <c:x val="0.15044041210033879"/>
          <c:y val="3.7037037037037056E-2"/>
        </c:manualLayout>
      </c:layout>
    </c:title>
    <c:plotArea>
      <c:layout/>
      <c:barChart>
        <c:barDir val="col"/>
        <c:grouping val="clustered"/>
        <c:ser>
          <c:idx val="0"/>
          <c:order val="0"/>
          <c:tx>
            <c:strRef>
              <c:f>'% Max Desviacion narda'!$N$75</c:f>
              <c:strCache>
                <c:ptCount val="1"/>
                <c:pt idx="0">
                  <c:v>Número de Mediciones Edificios Cercanos</c:v>
                </c:pt>
              </c:strCache>
            </c:strRef>
          </c:tx>
          <c:cat>
            <c:strRef>
              <c:f>'% Max Desviacion narda'!$O$74:$S$74</c:f>
              <c:strCache>
                <c:ptCount val="5"/>
                <c:pt idx="0">
                  <c:v>&lt; 10%</c:v>
                </c:pt>
                <c:pt idx="1">
                  <c:v> 10 a 20%</c:v>
                </c:pt>
                <c:pt idx="2">
                  <c:v> 20 a 30%</c:v>
                </c:pt>
                <c:pt idx="3">
                  <c:v> 30 a 40%</c:v>
                </c:pt>
                <c:pt idx="4">
                  <c:v>&gt; 40%</c:v>
                </c:pt>
              </c:strCache>
            </c:strRef>
          </c:cat>
          <c:val>
            <c:numRef>
              <c:f>'% Max Desviacion narda'!$O$75:$S$75</c:f>
              <c:numCache>
                <c:formatCode>General</c:formatCode>
                <c:ptCount val="5"/>
                <c:pt idx="0">
                  <c:v>6</c:v>
                </c:pt>
                <c:pt idx="1">
                  <c:v>13</c:v>
                </c:pt>
                <c:pt idx="2">
                  <c:v>10</c:v>
                </c:pt>
                <c:pt idx="3">
                  <c:v>1</c:v>
                </c:pt>
                <c:pt idx="4">
                  <c:v>0</c:v>
                </c:pt>
              </c:numCache>
            </c:numRef>
          </c:val>
        </c:ser>
        <c:axId val="90472832"/>
        <c:axId val="90474368"/>
      </c:barChart>
      <c:catAx>
        <c:axId val="90472832"/>
        <c:scaling>
          <c:orientation val="minMax"/>
        </c:scaling>
        <c:axPos val="b"/>
        <c:tickLblPos val="nextTo"/>
        <c:crossAx val="90474368"/>
        <c:crosses val="autoZero"/>
        <c:auto val="1"/>
        <c:lblAlgn val="ctr"/>
        <c:lblOffset val="100"/>
      </c:catAx>
      <c:valAx>
        <c:axId val="90474368"/>
        <c:scaling>
          <c:orientation val="minMax"/>
        </c:scaling>
        <c:axPos val="l"/>
        <c:majorGridlines/>
        <c:numFmt formatCode="General" sourceLinked="1"/>
        <c:tickLblPos val="nextTo"/>
        <c:crossAx val="90472832"/>
        <c:crosses val="autoZero"/>
        <c:crossBetween val="between"/>
      </c:valAx>
    </c:plotArea>
    <c:legend>
      <c:legendPos val="b"/>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0.01852</cdr:x>
      <cdr:y>0.04633</cdr:y>
    </cdr:from>
    <cdr:to>
      <cdr:x>0.21852</cdr:x>
      <cdr:y>0.37992</cdr:y>
    </cdr:to>
    <cdr:sp macro="" textlink="">
      <cdr:nvSpPr>
        <cdr:cNvPr id="2" name="TextBox 1"/>
        <cdr:cNvSpPr txBox="1"/>
      </cdr:nvSpPr>
      <cdr:spPr>
        <a:xfrm xmlns:a="http://schemas.openxmlformats.org/drawingml/2006/main">
          <a:off x="84667" y="12700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0.00334</cdr:x>
      <cdr:y>0.11469</cdr:y>
    </cdr:from>
    <cdr:to>
      <cdr:x>0.20334</cdr:x>
      <cdr:y>0.24597</cdr:y>
    </cdr:to>
    <cdr:sp macro="" textlink="">
      <cdr:nvSpPr>
        <cdr:cNvPr id="3" name="TextBox 2"/>
        <cdr:cNvSpPr txBox="1"/>
      </cdr:nvSpPr>
      <cdr:spPr>
        <a:xfrm xmlns:a="http://schemas.openxmlformats.org/drawingml/2006/main">
          <a:off x="18162" y="339875"/>
          <a:ext cx="1087967" cy="3890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l"/>
          <a:r>
            <a:rPr lang="es-ES" sz="1100" b="1"/>
            <a:t>     </a:t>
          </a:r>
          <a:r>
            <a:rPr lang="es-ES" sz="1050" b="1"/>
            <a:t> V/m</a:t>
          </a:r>
          <a:endParaRPr lang="es-ES" sz="1100" b="1"/>
        </a:p>
      </cdr:txBody>
    </cdr:sp>
  </cdr:relSizeAnchor>
  <cdr:relSizeAnchor xmlns:cdr="http://schemas.openxmlformats.org/drawingml/2006/chartDrawing">
    <cdr:from>
      <cdr:x>0.33322</cdr:x>
      <cdr:y>0.87083</cdr:y>
    </cdr:from>
    <cdr:to>
      <cdr:x>0.68507</cdr:x>
      <cdr:y>0.96244</cdr:y>
    </cdr:to>
    <cdr:sp macro="" textlink="">
      <cdr:nvSpPr>
        <cdr:cNvPr id="5" name="TextBox 4"/>
        <cdr:cNvSpPr txBox="1"/>
      </cdr:nvSpPr>
      <cdr:spPr>
        <a:xfrm xmlns:a="http://schemas.openxmlformats.org/drawingml/2006/main">
          <a:off x="1517116" y="2355688"/>
          <a:ext cx="1601955" cy="2478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100" i="1"/>
            <a:t>Mediciones puntos WLAN</a:t>
          </a:r>
        </a:p>
      </cdr:txBody>
    </cdr:sp>
  </cdr:relSizeAnchor>
</c:userShapes>
</file>

<file path=word/drawings/drawing2.xml><?xml version="1.0" encoding="utf-8"?>
<c:userShapes xmlns:c="http://schemas.openxmlformats.org/drawingml/2006/chart">
  <cdr:relSizeAnchor xmlns:cdr="http://schemas.openxmlformats.org/drawingml/2006/chartDrawing">
    <cdr:from>
      <cdr:x>0.15409</cdr:x>
      <cdr:y>0.83704</cdr:y>
    </cdr:from>
    <cdr:to>
      <cdr:x>0.50594</cdr:x>
      <cdr:y>0.95749</cdr:y>
    </cdr:to>
    <cdr:sp macro="" textlink="">
      <cdr:nvSpPr>
        <cdr:cNvPr id="2" name="TextBox 1"/>
        <cdr:cNvSpPr txBox="1"/>
      </cdr:nvSpPr>
      <cdr:spPr>
        <a:xfrm xmlns:a="http://schemas.openxmlformats.org/drawingml/2006/main">
          <a:off x="622300" y="2375900"/>
          <a:ext cx="1420981" cy="3419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000" i="1" baseline="0"/>
            <a:t>Puntos de Medición Telefonía Móvil Edificos Cercanos PORTA</a:t>
          </a:r>
          <a:endParaRPr lang="es-ES" sz="1000" i="1"/>
        </a:p>
      </cdr:txBody>
    </cdr:sp>
  </cdr:relSizeAnchor>
  <cdr:relSizeAnchor xmlns:cdr="http://schemas.openxmlformats.org/drawingml/2006/chartDrawing">
    <cdr:from>
      <cdr:x>0.00463</cdr:x>
      <cdr:y>0.12741</cdr:y>
    </cdr:from>
    <cdr:to>
      <cdr:x>0.20463</cdr:x>
      <cdr:y>0.25869</cdr:y>
    </cdr:to>
    <cdr:sp macro="" textlink="">
      <cdr:nvSpPr>
        <cdr:cNvPr id="3" name="TextBox 1"/>
        <cdr:cNvSpPr txBox="1"/>
      </cdr:nvSpPr>
      <cdr:spPr>
        <a:xfrm xmlns:a="http://schemas.openxmlformats.org/drawingml/2006/main">
          <a:off x="21166" y="349250"/>
          <a:ext cx="914400" cy="3598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s-ES" sz="1100"/>
            <a:t>      </a:t>
          </a:r>
          <a:r>
            <a:rPr lang="es-ES" sz="1100" b="1"/>
            <a:t>V/m</a:t>
          </a:r>
        </a:p>
      </cdr:txBody>
    </cdr:sp>
  </cdr:relSizeAnchor>
</c:userShapes>
</file>

<file path=word/drawings/drawing3.xml><?xml version="1.0" encoding="utf-8"?>
<c:userShapes xmlns:c="http://schemas.openxmlformats.org/drawingml/2006/chart">
  <cdr:relSizeAnchor xmlns:cdr="http://schemas.openxmlformats.org/drawingml/2006/chartDrawing">
    <cdr:from>
      <cdr:x>0.12278</cdr:x>
      <cdr:y>0.81357</cdr:y>
    </cdr:from>
    <cdr:to>
      <cdr:x>0.47463</cdr:x>
      <cdr:y>0.97959</cdr:y>
    </cdr:to>
    <cdr:sp macro="" textlink="">
      <cdr:nvSpPr>
        <cdr:cNvPr id="2" name="TextBox 1"/>
        <cdr:cNvSpPr txBox="1"/>
      </cdr:nvSpPr>
      <cdr:spPr>
        <a:xfrm xmlns:a="http://schemas.openxmlformats.org/drawingml/2006/main">
          <a:off x="554319" y="2278286"/>
          <a:ext cx="1588550" cy="4649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000" i="1" baseline="0"/>
            <a:t>Puntos de MediciónTelefonía Móvil Edificos Cercanos  MOVISTAR</a:t>
          </a:r>
          <a:endParaRPr lang="es-ES" sz="1000" i="1"/>
        </a:p>
      </cdr:txBody>
    </cdr:sp>
  </cdr:relSizeAnchor>
  <cdr:relSizeAnchor xmlns:cdr="http://schemas.openxmlformats.org/drawingml/2006/chartDrawing">
    <cdr:from>
      <cdr:x>0.00703</cdr:x>
      <cdr:y>0.18293</cdr:y>
    </cdr:from>
    <cdr:to>
      <cdr:x>0.20703</cdr:x>
      <cdr:y>0.31421</cdr:y>
    </cdr:to>
    <cdr:sp macro="" textlink="">
      <cdr:nvSpPr>
        <cdr:cNvPr id="3" name="TextBox 1"/>
        <cdr:cNvSpPr txBox="1"/>
      </cdr:nvSpPr>
      <cdr:spPr>
        <a:xfrm xmlns:a="http://schemas.openxmlformats.org/drawingml/2006/main">
          <a:off x="33319" y="526591"/>
          <a:ext cx="948267" cy="37790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s-ES" sz="1100"/>
            <a:t>      </a:t>
          </a:r>
          <a:r>
            <a:rPr lang="es-ES" sz="1100" b="1"/>
            <a:t>V/m</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0.18054</cdr:y>
    </cdr:from>
    <cdr:to>
      <cdr:x>0.2</cdr:x>
      <cdr:y>0.31181</cdr:y>
    </cdr:to>
    <cdr:sp macro="" textlink="">
      <cdr:nvSpPr>
        <cdr:cNvPr id="2" name="TextBox 1"/>
        <cdr:cNvSpPr txBox="1"/>
      </cdr:nvSpPr>
      <cdr:spPr>
        <a:xfrm xmlns:a="http://schemas.openxmlformats.org/drawingml/2006/main">
          <a:off x="0" y="550271"/>
          <a:ext cx="908685" cy="40014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s-ES" sz="1100"/>
            <a:t>     </a:t>
          </a:r>
          <a:r>
            <a:rPr lang="es-ES" sz="1100" b="1"/>
            <a:t> </a:t>
          </a:r>
          <a:r>
            <a:rPr lang="es-ES" sz="1050" b="1"/>
            <a:t>V/m</a:t>
          </a:r>
          <a:endParaRPr lang="es-ES" sz="1100" b="1"/>
        </a:p>
      </cdr:txBody>
    </cdr:sp>
  </cdr:relSizeAnchor>
  <cdr:relSizeAnchor xmlns:cdr="http://schemas.openxmlformats.org/drawingml/2006/chartDrawing">
    <cdr:from>
      <cdr:x>0.15255</cdr:x>
      <cdr:y>0.83833</cdr:y>
    </cdr:from>
    <cdr:to>
      <cdr:x>0.73148</cdr:x>
      <cdr:y>0.9696</cdr:y>
    </cdr:to>
    <cdr:sp macro="" textlink="">
      <cdr:nvSpPr>
        <cdr:cNvPr id="3" name="TextBox 2"/>
        <cdr:cNvSpPr txBox="1"/>
      </cdr:nvSpPr>
      <cdr:spPr>
        <a:xfrm xmlns:a="http://schemas.openxmlformats.org/drawingml/2006/main">
          <a:off x="617541" y="2555230"/>
          <a:ext cx="2343581" cy="4001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ES" sz="1050" i="1"/>
            <a:t>Puntos de Medición</a:t>
          </a:r>
          <a:r>
            <a:rPr lang="es-ES" sz="1050" i="1" baseline="0"/>
            <a:t> Telefonía Móvil Radio Base PORTA</a:t>
          </a:r>
          <a:endParaRPr lang="es-ES" sz="1050" i="1"/>
        </a:p>
      </cdr:txBody>
    </cdr:sp>
  </cdr:relSizeAnchor>
</c:userShapes>
</file>

<file path=word/drawings/drawing5.xml><?xml version="1.0" encoding="utf-8"?>
<c:userShapes xmlns:c="http://schemas.openxmlformats.org/drawingml/2006/chart">
  <cdr:relSizeAnchor xmlns:cdr="http://schemas.openxmlformats.org/drawingml/2006/chartDrawing">
    <cdr:from>
      <cdr:x>0.01274</cdr:x>
      <cdr:y>0.19228</cdr:y>
    </cdr:from>
    <cdr:to>
      <cdr:x>0.21274</cdr:x>
      <cdr:y>0.32356</cdr:y>
    </cdr:to>
    <cdr:sp macro="" textlink="">
      <cdr:nvSpPr>
        <cdr:cNvPr id="2" name="TextBox 1"/>
        <cdr:cNvSpPr txBox="1"/>
      </cdr:nvSpPr>
      <cdr:spPr>
        <a:xfrm xmlns:a="http://schemas.openxmlformats.org/drawingml/2006/main">
          <a:off x="57150" y="527094"/>
          <a:ext cx="897255" cy="35987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s-ES" sz="1050"/>
            <a:t>      </a:t>
          </a:r>
          <a:r>
            <a:rPr lang="es-ES" sz="1050" b="1"/>
            <a:t>V/m</a:t>
          </a:r>
        </a:p>
      </cdr:txBody>
    </cdr:sp>
  </cdr:relSizeAnchor>
  <cdr:relSizeAnchor xmlns:cdr="http://schemas.openxmlformats.org/drawingml/2006/chartDrawing">
    <cdr:from>
      <cdr:x>0.14058</cdr:x>
      <cdr:y>0.8173</cdr:y>
    </cdr:from>
    <cdr:to>
      <cdr:x>0.82808</cdr:x>
      <cdr:y>0.94858</cdr:y>
    </cdr:to>
    <cdr:sp macro="" textlink="">
      <cdr:nvSpPr>
        <cdr:cNvPr id="3" name="TextBox 1"/>
        <cdr:cNvSpPr txBox="1"/>
      </cdr:nvSpPr>
      <cdr:spPr>
        <a:xfrm xmlns:a="http://schemas.openxmlformats.org/drawingml/2006/main">
          <a:off x="569095" y="2240460"/>
          <a:ext cx="2783086" cy="3598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 sz="1050" i="1"/>
            <a:t>Puntos de</a:t>
          </a:r>
          <a:r>
            <a:rPr lang="es-ES" sz="1050" i="1" baseline="0"/>
            <a:t> </a:t>
          </a:r>
          <a:r>
            <a:rPr lang="es-ES" sz="1050" i="1"/>
            <a:t>Medición</a:t>
          </a:r>
          <a:r>
            <a:rPr lang="es-ES" sz="1050" i="1" baseline="0"/>
            <a:t> Telefonía Móvil Radio Base MOVISTAR</a:t>
          </a:r>
          <a:endParaRPr lang="es-ES" sz="1050" i="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972C2C-6AE4-4B7D-B14C-6C934C87E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203</Pages>
  <Words>23062</Words>
  <Characters>126845</Characters>
  <Application>Microsoft Office Word</Application>
  <DocSecurity>0</DocSecurity>
  <Lines>1057</Lines>
  <Paragraphs>299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Home</Company>
  <LinksUpToDate>false</LinksUpToDate>
  <CharactersWithSpaces>149608</CharactersWithSpaces>
  <SharedDoc>false</SharedDoc>
  <HLinks>
    <vt:vector size="618" baseType="variant">
      <vt:variant>
        <vt:i4>7077963</vt:i4>
      </vt:variant>
      <vt:variant>
        <vt:i4>294</vt:i4>
      </vt:variant>
      <vt:variant>
        <vt:i4>0</vt:i4>
      </vt:variant>
      <vt:variant>
        <vt:i4>5</vt:i4>
      </vt:variant>
      <vt:variant>
        <vt:lpwstr>http://es.wikipedia.org/wiki/Ingenier%C3%ADa_el%C3%A9ctrica</vt:lpwstr>
      </vt:variant>
      <vt:variant>
        <vt:lpwstr/>
      </vt:variant>
      <vt:variant>
        <vt:i4>720969</vt:i4>
      </vt:variant>
      <vt:variant>
        <vt:i4>291</vt:i4>
      </vt:variant>
      <vt:variant>
        <vt:i4>0</vt:i4>
      </vt:variant>
      <vt:variant>
        <vt:i4>5</vt:i4>
      </vt:variant>
      <vt:variant>
        <vt:lpwstr>http://es.wikipedia.org/wiki/Sector_de_Desarrollo_de_las_Telecomunicaciones_de_la_UIT</vt:lpwstr>
      </vt:variant>
      <vt:variant>
        <vt:lpwstr/>
      </vt:variant>
      <vt:variant>
        <vt:i4>720969</vt:i4>
      </vt:variant>
      <vt:variant>
        <vt:i4>288</vt:i4>
      </vt:variant>
      <vt:variant>
        <vt:i4>0</vt:i4>
      </vt:variant>
      <vt:variant>
        <vt:i4>5</vt:i4>
      </vt:variant>
      <vt:variant>
        <vt:lpwstr>http://es.wikipedia.org/wiki/Sector_de_Desarrollo_de_las_Telecomunicaciones_de_la_UIT</vt:lpwstr>
      </vt:variant>
      <vt:variant>
        <vt:lpwstr/>
      </vt:variant>
      <vt:variant>
        <vt:i4>1376331</vt:i4>
      </vt:variant>
      <vt:variant>
        <vt:i4>285</vt:i4>
      </vt:variant>
      <vt:variant>
        <vt:i4>0</vt:i4>
      </vt:variant>
      <vt:variant>
        <vt:i4>5</vt:i4>
      </vt:variant>
      <vt:variant>
        <vt:lpwstr>http://es.wikipedia.org/wiki/CCIR</vt:lpwstr>
      </vt:variant>
      <vt:variant>
        <vt:lpwstr/>
      </vt:variant>
      <vt:variant>
        <vt:i4>262225</vt:i4>
      </vt:variant>
      <vt:variant>
        <vt:i4>282</vt:i4>
      </vt:variant>
      <vt:variant>
        <vt:i4>0</vt:i4>
      </vt:variant>
      <vt:variant>
        <vt:i4>5</vt:i4>
      </vt:variant>
      <vt:variant>
        <vt:lpwstr>http://es.wikipedia.org/wiki/Sector_de_Normalizaci%C3%B3n_de_las_Telecomunicaciones_de_la_UIT</vt:lpwstr>
      </vt:variant>
      <vt:variant>
        <vt:lpwstr/>
      </vt:variant>
      <vt:variant>
        <vt:i4>8192038</vt:i4>
      </vt:variant>
      <vt:variant>
        <vt:i4>279</vt:i4>
      </vt:variant>
      <vt:variant>
        <vt:i4>0</vt:i4>
      </vt:variant>
      <vt:variant>
        <vt:i4>5</vt:i4>
      </vt:variant>
      <vt:variant>
        <vt:lpwstr>http://es.wikipedia.org/wiki/Telecomunicaci%C3%B3n</vt:lpwstr>
      </vt:variant>
      <vt:variant>
        <vt:lpwstr/>
      </vt:variant>
      <vt:variant>
        <vt:i4>1507416</vt:i4>
      </vt:variant>
      <vt:variant>
        <vt:i4>276</vt:i4>
      </vt:variant>
      <vt:variant>
        <vt:i4>0</vt:i4>
      </vt:variant>
      <vt:variant>
        <vt:i4>5</vt:i4>
      </vt:variant>
      <vt:variant>
        <vt:lpwstr>http://es.wikipedia.org/wiki/Organizaci%C3%B3n_de_las_Naciones_Unidas</vt:lpwstr>
      </vt:variant>
      <vt:variant>
        <vt:lpwstr/>
      </vt:variant>
      <vt:variant>
        <vt:i4>6029349</vt:i4>
      </vt:variant>
      <vt:variant>
        <vt:i4>273</vt:i4>
      </vt:variant>
      <vt:variant>
        <vt:i4>0</vt:i4>
      </vt:variant>
      <vt:variant>
        <vt:i4>5</vt:i4>
      </vt:variant>
      <vt:variant>
        <vt:lpwstr>http://es.wikipedia.org/wiki/Onda_electromagn%C3%A9tica</vt:lpwstr>
      </vt:variant>
      <vt:variant>
        <vt:lpwstr/>
      </vt:variant>
      <vt:variant>
        <vt:i4>3932258</vt:i4>
      </vt:variant>
      <vt:variant>
        <vt:i4>270</vt:i4>
      </vt:variant>
      <vt:variant>
        <vt:i4>0</vt:i4>
      </vt:variant>
      <vt:variant>
        <vt:i4>5</vt:i4>
      </vt:variant>
      <vt:variant>
        <vt:lpwstr>http://es.wikipedia.org/wiki/Punto_de_acceso</vt:lpwstr>
      </vt:variant>
      <vt:variant>
        <vt:lpwstr/>
      </vt:variant>
      <vt:variant>
        <vt:i4>7405596</vt:i4>
      </vt:variant>
      <vt:variant>
        <vt:i4>267</vt:i4>
      </vt:variant>
      <vt:variant>
        <vt:i4>0</vt:i4>
      </vt:variant>
      <vt:variant>
        <vt:i4>5</vt:i4>
      </vt:variant>
      <vt:variant>
        <vt:lpwstr>http://es.wikipedia.org/wiki/Red_de_%C3%A1rea_local</vt:lpwstr>
      </vt:variant>
      <vt:variant>
        <vt:lpwstr/>
      </vt:variant>
      <vt:variant>
        <vt:i4>1835094</vt:i4>
      </vt:variant>
      <vt:variant>
        <vt:i4>264</vt:i4>
      </vt:variant>
      <vt:variant>
        <vt:i4>0</vt:i4>
      </vt:variant>
      <vt:variant>
        <vt:i4>5</vt:i4>
      </vt:variant>
      <vt:variant>
        <vt:lpwstr>http://es.wikipedia.org/wiki/Inal%C3%A1mbrico</vt:lpwstr>
      </vt:variant>
      <vt:variant>
        <vt:lpwstr/>
      </vt:variant>
      <vt:variant>
        <vt:i4>5242939</vt:i4>
      </vt:variant>
      <vt:variant>
        <vt:i4>261</vt:i4>
      </vt:variant>
      <vt:variant>
        <vt:i4>0</vt:i4>
      </vt:variant>
      <vt:variant>
        <vt:i4>5</vt:i4>
      </vt:variant>
      <vt:variant>
        <vt:lpwstr>http://es.wikipedia.org/wiki/Idioma_ingl%C3%A9s</vt:lpwstr>
      </vt:variant>
      <vt:variant>
        <vt:lpwstr/>
      </vt:variant>
      <vt:variant>
        <vt:i4>2162736</vt:i4>
      </vt:variant>
      <vt:variant>
        <vt:i4>258</vt:i4>
      </vt:variant>
      <vt:variant>
        <vt:i4>0</vt:i4>
      </vt:variant>
      <vt:variant>
        <vt:i4>5</vt:i4>
      </vt:variant>
      <vt:variant>
        <vt:lpwstr>http://es.wikipedia.org/w/index.php?title=Localizador&amp;action=edit&amp;redlink=1</vt:lpwstr>
      </vt:variant>
      <vt:variant>
        <vt:lpwstr/>
      </vt:variant>
      <vt:variant>
        <vt:i4>196707</vt:i4>
      </vt:variant>
      <vt:variant>
        <vt:i4>255</vt:i4>
      </vt:variant>
      <vt:variant>
        <vt:i4>0</vt:i4>
      </vt:variant>
      <vt:variant>
        <vt:i4>5</vt:i4>
      </vt:variant>
      <vt:variant>
        <vt:lpwstr>http://es.wikipedia.org/wiki/Televisi%C3%B3n_digital</vt:lpwstr>
      </vt:variant>
      <vt:variant>
        <vt:lpwstr/>
      </vt:variant>
      <vt:variant>
        <vt:i4>1376333</vt:i4>
      </vt:variant>
      <vt:variant>
        <vt:i4>252</vt:i4>
      </vt:variant>
      <vt:variant>
        <vt:i4>0</vt:i4>
      </vt:variant>
      <vt:variant>
        <vt:i4>5</vt:i4>
      </vt:variant>
      <vt:variant>
        <vt:lpwstr>http://es.wikipedia.org/wiki/Internet</vt:lpwstr>
      </vt:variant>
      <vt:variant>
        <vt:lpwstr/>
      </vt:variant>
      <vt:variant>
        <vt:i4>458824</vt:i4>
      </vt:variant>
      <vt:variant>
        <vt:i4>249</vt:i4>
      </vt:variant>
      <vt:variant>
        <vt:i4>0</vt:i4>
      </vt:variant>
      <vt:variant>
        <vt:i4>5</vt:i4>
      </vt:variant>
      <vt:variant>
        <vt:lpwstr>http://es.wikipedia.org/wiki/Videollamada</vt:lpwstr>
      </vt:variant>
      <vt:variant>
        <vt:lpwstr/>
      </vt:variant>
      <vt:variant>
        <vt:i4>7929882</vt:i4>
      </vt:variant>
      <vt:variant>
        <vt:i4>246</vt:i4>
      </vt:variant>
      <vt:variant>
        <vt:i4>0</vt:i4>
      </vt:variant>
      <vt:variant>
        <vt:i4>5</vt:i4>
      </vt:variant>
      <vt:variant>
        <vt:lpwstr>http://es.wikipedia.org/wiki/Video_digital</vt:lpwstr>
      </vt:variant>
      <vt:variant>
        <vt:lpwstr/>
      </vt:variant>
      <vt:variant>
        <vt:i4>393248</vt:i4>
      </vt:variant>
      <vt:variant>
        <vt:i4>243</vt:i4>
      </vt:variant>
      <vt:variant>
        <vt:i4>0</vt:i4>
      </vt:variant>
      <vt:variant>
        <vt:i4>5</vt:i4>
      </vt:variant>
      <vt:variant>
        <vt:lpwstr>http://es.wikipedia.org/wiki/Fotograf%C3%ADa_digital</vt:lpwstr>
      </vt:variant>
      <vt:variant>
        <vt:lpwstr/>
      </vt:variant>
      <vt:variant>
        <vt:i4>917580</vt:i4>
      </vt:variant>
      <vt:variant>
        <vt:i4>240</vt:i4>
      </vt:variant>
      <vt:variant>
        <vt:i4>0</vt:i4>
      </vt:variant>
      <vt:variant>
        <vt:i4>5</vt:i4>
      </vt:variant>
      <vt:variant>
        <vt:lpwstr>http://es.wikipedia.org/wiki/PDA</vt:lpwstr>
      </vt:variant>
      <vt:variant>
        <vt:lpwstr/>
      </vt:variant>
      <vt:variant>
        <vt:i4>1310845</vt:i4>
      </vt:variant>
      <vt:variant>
        <vt:i4>237</vt:i4>
      </vt:variant>
      <vt:variant>
        <vt:i4>0</vt:i4>
      </vt:variant>
      <vt:variant>
        <vt:i4>5</vt:i4>
      </vt:variant>
      <vt:variant>
        <vt:lpwstr>http://es.wikipedia.org/wiki/Servicio_de_mensajes_cortos</vt:lpwstr>
      </vt:variant>
      <vt:variant>
        <vt:lpwstr/>
      </vt:variant>
      <vt:variant>
        <vt:i4>3801175</vt:i4>
      </vt:variant>
      <vt:variant>
        <vt:i4>234</vt:i4>
      </vt:variant>
      <vt:variant>
        <vt:i4>0</vt:i4>
      </vt:variant>
      <vt:variant>
        <vt:i4>5</vt:i4>
      </vt:variant>
      <vt:variant>
        <vt:lpwstr>http://es.wikipedia.org/wiki/Correo_electr%C3%B3nico</vt:lpwstr>
      </vt:variant>
      <vt:variant>
        <vt:lpwstr/>
      </vt:variant>
      <vt:variant>
        <vt:i4>4259928</vt:i4>
      </vt:variant>
      <vt:variant>
        <vt:i4>231</vt:i4>
      </vt:variant>
      <vt:variant>
        <vt:i4>0</vt:i4>
      </vt:variant>
      <vt:variant>
        <vt:i4>5</vt:i4>
      </vt:variant>
      <vt:variant>
        <vt:lpwstr>http://es.wikipedia.org/wiki/MP3</vt:lpwstr>
      </vt:variant>
      <vt:variant>
        <vt:lpwstr/>
      </vt:variant>
      <vt:variant>
        <vt:i4>7733303</vt:i4>
      </vt:variant>
      <vt:variant>
        <vt:i4>228</vt:i4>
      </vt:variant>
      <vt:variant>
        <vt:i4>0</vt:i4>
      </vt:variant>
      <vt:variant>
        <vt:i4>5</vt:i4>
      </vt:variant>
      <vt:variant>
        <vt:lpwstr>http://es.wikipedia.org/wiki/Gramo</vt:lpwstr>
      </vt:variant>
      <vt:variant>
        <vt:lpwstr/>
      </vt:variant>
      <vt:variant>
        <vt:i4>1441809</vt:i4>
      </vt:variant>
      <vt:variant>
        <vt:i4>225</vt:i4>
      </vt:variant>
      <vt:variant>
        <vt:i4>0</vt:i4>
      </vt:variant>
      <vt:variant>
        <vt:i4>5</vt:i4>
      </vt:variant>
      <vt:variant>
        <vt:lpwstr>http://es.wikipedia.org/wiki/1983</vt:lpwstr>
      </vt:variant>
      <vt:variant>
        <vt:lpwstr/>
      </vt:variant>
      <vt:variant>
        <vt:i4>2293786</vt:i4>
      </vt:variant>
      <vt:variant>
        <vt:i4>222</vt:i4>
      </vt:variant>
      <vt:variant>
        <vt:i4>0</vt:i4>
      </vt:variant>
      <vt:variant>
        <vt:i4>5</vt:i4>
      </vt:variant>
      <vt:variant>
        <vt:lpwstr>http://www.moviles.us/telefonos/mensajes/numeros/caracteristicas_del_telefono_movil/</vt:lpwstr>
      </vt:variant>
      <vt:variant>
        <vt:lpwstr/>
      </vt:variant>
      <vt:variant>
        <vt:i4>1638403</vt:i4>
      </vt:variant>
      <vt:variant>
        <vt:i4>219</vt:i4>
      </vt:variant>
      <vt:variant>
        <vt:i4>0</vt:i4>
      </vt:variant>
      <vt:variant>
        <vt:i4>5</vt:i4>
      </vt:variant>
      <vt:variant>
        <vt:lpwstr>http://es.wikipedia.org/wiki/Cosmolog%C3%ADa</vt:lpwstr>
      </vt:variant>
      <vt:variant>
        <vt:lpwstr/>
      </vt:variant>
      <vt:variant>
        <vt:i4>7208980</vt:i4>
      </vt:variant>
      <vt:variant>
        <vt:i4>216</vt:i4>
      </vt:variant>
      <vt:variant>
        <vt:i4>0</vt:i4>
      </vt:variant>
      <vt:variant>
        <vt:i4>5</vt:i4>
      </vt:variant>
      <vt:variant>
        <vt:lpwstr>http://es.wikipedia.org/wiki/Galaxia_activa</vt:lpwstr>
      </vt:variant>
      <vt:variant>
        <vt:lpwstr/>
      </vt:variant>
      <vt:variant>
        <vt:i4>6160430</vt:i4>
      </vt:variant>
      <vt:variant>
        <vt:i4>213</vt:i4>
      </vt:variant>
      <vt:variant>
        <vt:i4>0</vt:i4>
      </vt:variant>
      <vt:variant>
        <vt:i4>5</vt:i4>
      </vt:variant>
      <vt:variant>
        <vt:lpwstr>http://es.wikipedia.org/wiki/Formaci%C3%B3n_estelar</vt:lpwstr>
      </vt:variant>
      <vt:variant>
        <vt:lpwstr/>
      </vt:variant>
      <vt:variant>
        <vt:i4>721006</vt:i4>
      </vt:variant>
      <vt:variant>
        <vt:i4>210</vt:i4>
      </vt:variant>
      <vt:variant>
        <vt:i4>0</vt:i4>
      </vt:variant>
      <vt:variant>
        <vt:i4>5</vt:i4>
      </vt:variant>
      <vt:variant>
        <vt:lpwstr>http://es.wikipedia.org/wiki/Luz_visible</vt:lpwstr>
      </vt:variant>
      <vt:variant>
        <vt:lpwstr/>
      </vt:variant>
      <vt:variant>
        <vt:i4>3145829</vt:i4>
      </vt:variant>
      <vt:variant>
        <vt:i4>207</vt:i4>
      </vt:variant>
      <vt:variant>
        <vt:i4>0</vt:i4>
      </vt:variant>
      <vt:variant>
        <vt:i4>5</vt:i4>
      </vt:variant>
      <vt:variant>
        <vt:lpwstr>http://es.wikipedia.org/wiki/Longitud_de_onda</vt:lpwstr>
      </vt:variant>
      <vt:variant>
        <vt:lpwstr/>
      </vt:variant>
      <vt:variant>
        <vt:i4>1835040</vt:i4>
      </vt:variant>
      <vt:variant>
        <vt:i4>204</vt:i4>
      </vt:variant>
      <vt:variant>
        <vt:i4>0</vt:i4>
      </vt:variant>
      <vt:variant>
        <vt:i4>5</vt:i4>
      </vt:variant>
      <vt:variant>
        <vt:lpwstr>http://es.wikipedia.org/wiki/Telefon%C3%ADa_m%C3%B3vil</vt:lpwstr>
      </vt:variant>
      <vt:variant>
        <vt:lpwstr/>
      </vt:variant>
      <vt:variant>
        <vt:i4>131116</vt:i4>
      </vt:variant>
      <vt:variant>
        <vt:i4>201</vt:i4>
      </vt:variant>
      <vt:variant>
        <vt:i4>0</vt:i4>
      </vt:variant>
      <vt:variant>
        <vt:i4>5</vt:i4>
      </vt:variant>
      <vt:variant>
        <vt:lpwstr>http://es.wikipedia.org/wiki/Radio_(medio_de_comunicaci%C3%B3n)</vt:lpwstr>
      </vt:variant>
      <vt:variant>
        <vt:lpwstr/>
      </vt:variant>
      <vt:variant>
        <vt:i4>1572957</vt:i4>
      </vt:variant>
      <vt:variant>
        <vt:i4>198</vt:i4>
      </vt:variant>
      <vt:variant>
        <vt:i4>0</vt:i4>
      </vt:variant>
      <vt:variant>
        <vt:i4>5</vt:i4>
      </vt:variant>
      <vt:variant>
        <vt:lpwstr>http://es.wikipedia.org/wiki/Televisi%C3%B3n</vt:lpwstr>
      </vt:variant>
      <vt:variant>
        <vt:lpwstr/>
      </vt:variant>
      <vt:variant>
        <vt:i4>2752598</vt:i4>
      </vt:variant>
      <vt:variant>
        <vt:i4>195</vt:i4>
      </vt:variant>
      <vt:variant>
        <vt:i4>0</vt:i4>
      </vt:variant>
      <vt:variant>
        <vt:i4>5</vt:i4>
      </vt:variant>
      <vt:variant>
        <vt:lpwstr>http://es.wikipedia.org/wiki/Velocidad_de_la_luz</vt:lpwstr>
      </vt:variant>
      <vt:variant>
        <vt:lpwstr/>
      </vt:variant>
      <vt:variant>
        <vt:i4>262255</vt:i4>
      </vt:variant>
      <vt:variant>
        <vt:i4>192</vt:i4>
      </vt:variant>
      <vt:variant>
        <vt:i4>0</vt:i4>
      </vt:variant>
      <vt:variant>
        <vt:i4>5</vt:i4>
      </vt:variant>
      <vt:variant>
        <vt:lpwstr>http://es.wikipedia.org/wiki/Ondas_electromagn%C3%A9ticas</vt:lpwstr>
      </vt:variant>
      <vt:variant>
        <vt:lpwstr/>
      </vt:variant>
      <vt:variant>
        <vt:i4>1507401</vt:i4>
      </vt:variant>
      <vt:variant>
        <vt:i4>189</vt:i4>
      </vt:variant>
      <vt:variant>
        <vt:i4>0</vt:i4>
      </vt:variant>
      <vt:variant>
        <vt:i4>5</vt:i4>
      </vt:variant>
      <vt:variant>
        <vt:lpwstr>http://es.wikipedia.org/wiki/Velocidad_del_sonido</vt:lpwstr>
      </vt:variant>
      <vt:variant>
        <vt:lpwstr/>
      </vt:variant>
      <vt:variant>
        <vt:i4>2556009</vt:i4>
      </vt:variant>
      <vt:variant>
        <vt:i4>186</vt:i4>
      </vt:variant>
      <vt:variant>
        <vt:i4>0</vt:i4>
      </vt:variant>
      <vt:variant>
        <vt:i4>5</vt:i4>
      </vt:variant>
      <vt:variant>
        <vt:lpwstr>http://es.wikipedia.org/wiki/Onda_de_presi%C3%B3n</vt:lpwstr>
      </vt:variant>
      <vt:variant>
        <vt:lpwstr/>
      </vt:variant>
      <vt:variant>
        <vt:i4>7798824</vt:i4>
      </vt:variant>
      <vt:variant>
        <vt:i4>183</vt:i4>
      </vt:variant>
      <vt:variant>
        <vt:i4>0</vt:i4>
      </vt:variant>
      <vt:variant>
        <vt:i4>5</vt:i4>
      </vt:variant>
      <vt:variant>
        <vt:lpwstr>http://es.wikipedia.org/wiki/Hz</vt:lpwstr>
      </vt:variant>
      <vt:variant>
        <vt:lpwstr/>
      </vt:variant>
      <vt:variant>
        <vt:i4>196677</vt:i4>
      </vt:variant>
      <vt:variant>
        <vt:i4>180</vt:i4>
      </vt:variant>
      <vt:variant>
        <vt:i4>0</vt:i4>
      </vt:variant>
      <vt:variant>
        <vt:i4>5</vt:i4>
      </vt:variant>
      <vt:variant>
        <vt:lpwstr>http://es.wikipedia.org/wiki/Audiofrecuencia</vt:lpwstr>
      </vt:variant>
      <vt:variant>
        <vt:lpwstr/>
      </vt:variant>
      <vt:variant>
        <vt:i4>2621506</vt:i4>
      </vt:variant>
      <vt:variant>
        <vt:i4>177</vt:i4>
      </vt:variant>
      <vt:variant>
        <vt:i4>0</vt:i4>
      </vt:variant>
      <vt:variant>
        <vt:i4>5</vt:i4>
      </vt:variant>
      <vt:variant>
        <vt:lpwstr>http://es.wikipedia.org/wiki/Espectro_visible</vt:lpwstr>
      </vt:variant>
      <vt:variant>
        <vt:lpwstr/>
      </vt:variant>
      <vt:variant>
        <vt:i4>6881321</vt:i4>
      </vt:variant>
      <vt:variant>
        <vt:i4>174</vt:i4>
      </vt:variant>
      <vt:variant>
        <vt:i4>0</vt:i4>
      </vt:variant>
      <vt:variant>
        <vt:i4>5</vt:i4>
      </vt:variant>
      <vt:variant>
        <vt:lpwstr>http://es.wikipedia.org/wiki/Infrarrojo</vt:lpwstr>
      </vt:variant>
      <vt:variant>
        <vt:lpwstr/>
      </vt:variant>
      <vt:variant>
        <vt:i4>3866696</vt:i4>
      </vt:variant>
      <vt:variant>
        <vt:i4>171</vt:i4>
      </vt:variant>
      <vt:variant>
        <vt:i4>0</vt:i4>
      </vt:variant>
      <vt:variant>
        <vt:i4>5</vt:i4>
      </vt:variant>
      <vt:variant>
        <vt:lpwstr>http://es.wikipedia.org/wiki/Atm%C3%B3sfera_terrestre</vt:lpwstr>
      </vt:variant>
      <vt:variant>
        <vt:lpwstr/>
      </vt:variant>
      <vt:variant>
        <vt:i4>3932251</vt:i4>
      </vt:variant>
      <vt:variant>
        <vt:i4>168</vt:i4>
      </vt:variant>
      <vt:variant>
        <vt:i4>0</vt:i4>
      </vt:variant>
      <vt:variant>
        <vt:i4>5</vt:i4>
      </vt:variant>
      <vt:variant>
        <vt:lpwstr>http://es.wikipedia.org/wiki/Radiaci%C3%B3n_electromagn%C3%A9tica</vt:lpwstr>
      </vt:variant>
      <vt:variant>
        <vt:lpwstr/>
      </vt:variant>
      <vt:variant>
        <vt:i4>3145750</vt:i4>
      </vt:variant>
      <vt:variant>
        <vt:i4>165</vt:i4>
      </vt:variant>
      <vt:variant>
        <vt:i4>0</vt:i4>
      </vt:variant>
      <vt:variant>
        <vt:i4>5</vt:i4>
      </vt:variant>
      <vt:variant>
        <vt:lpwstr>http://es.wikipedia.org/wiki/Absorci%C3%B3n_(%C3%B3ptica)</vt:lpwstr>
      </vt:variant>
      <vt:variant>
        <vt:lpwstr/>
      </vt:variant>
      <vt:variant>
        <vt:i4>7405624</vt:i4>
      </vt:variant>
      <vt:variant>
        <vt:i4>162</vt:i4>
      </vt:variant>
      <vt:variant>
        <vt:i4>0</vt:i4>
      </vt:variant>
      <vt:variant>
        <vt:i4>5</vt:i4>
      </vt:variant>
      <vt:variant>
        <vt:lpwstr>http://es.wikipedia.org/wiki/Microondas</vt:lpwstr>
      </vt:variant>
      <vt:variant>
        <vt:lpwstr/>
      </vt:variant>
      <vt:variant>
        <vt:i4>2752629</vt:i4>
      </vt:variant>
      <vt:variant>
        <vt:i4>159</vt:i4>
      </vt:variant>
      <vt:variant>
        <vt:i4>0</vt:i4>
      </vt:variant>
      <vt:variant>
        <vt:i4>5</vt:i4>
      </vt:variant>
      <vt:variant>
        <vt:lpwstr>http://www.sagan-gea.org/hojared_radiacion/paginas/Radiacion_no ionizante.html</vt:lpwstr>
      </vt:variant>
      <vt:variant>
        <vt:lpwstr/>
      </vt:variant>
      <vt:variant>
        <vt:i4>6291562</vt:i4>
      </vt:variant>
      <vt:variant>
        <vt:i4>156</vt:i4>
      </vt:variant>
      <vt:variant>
        <vt:i4>0</vt:i4>
      </vt:variant>
      <vt:variant>
        <vt:i4>5</vt:i4>
      </vt:variant>
      <vt:variant>
        <vt:lpwstr>http://es.wikipedia.org/w/index.php?title=Ionizaci%C3%B3n_no_lineal&amp;action=edit&amp;redlink=1</vt:lpwstr>
      </vt:variant>
      <vt:variant>
        <vt:lpwstr/>
      </vt:variant>
      <vt:variant>
        <vt:i4>6357036</vt:i4>
      </vt:variant>
      <vt:variant>
        <vt:i4>153</vt:i4>
      </vt:variant>
      <vt:variant>
        <vt:i4>0</vt:i4>
      </vt:variant>
      <vt:variant>
        <vt:i4>5</vt:i4>
      </vt:variant>
      <vt:variant>
        <vt:lpwstr>http://es.wikipedia.org/wiki/L%C3%A1ser</vt:lpwstr>
      </vt:variant>
      <vt:variant>
        <vt:lpwstr/>
      </vt:variant>
      <vt:variant>
        <vt:i4>3670090</vt:i4>
      </vt:variant>
      <vt:variant>
        <vt:i4>150</vt:i4>
      </vt:variant>
      <vt:variant>
        <vt:i4>0</vt:i4>
      </vt:variant>
      <vt:variant>
        <vt:i4>5</vt:i4>
      </vt:variant>
      <vt:variant>
        <vt:lpwstr>http://es.wikipedia.org/wiki/Radiaci%C3%B3n_ionizante</vt:lpwstr>
      </vt:variant>
      <vt:variant>
        <vt:lpwstr/>
      </vt:variant>
      <vt:variant>
        <vt:i4>786549</vt:i4>
      </vt:variant>
      <vt:variant>
        <vt:i4>147</vt:i4>
      </vt:variant>
      <vt:variant>
        <vt:i4>0</vt:i4>
      </vt:variant>
      <vt:variant>
        <vt:i4>5</vt:i4>
      </vt:variant>
      <vt:variant>
        <vt:lpwstr>http://es.wikipedia.org/wiki/Rayos_gamma</vt:lpwstr>
      </vt:variant>
      <vt:variant>
        <vt:lpwstr/>
      </vt:variant>
      <vt:variant>
        <vt:i4>2031737</vt:i4>
      </vt:variant>
      <vt:variant>
        <vt:i4>144</vt:i4>
      </vt:variant>
      <vt:variant>
        <vt:i4>0</vt:i4>
      </vt:variant>
      <vt:variant>
        <vt:i4>5</vt:i4>
      </vt:variant>
      <vt:variant>
        <vt:lpwstr>http://es.wikipedia.org/wiki/Rayos_X</vt:lpwstr>
      </vt:variant>
      <vt:variant>
        <vt:lpwstr/>
      </vt:variant>
      <vt:variant>
        <vt:i4>6291562</vt:i4>
      </vt:variant>
      <vt:variant>
        <vt:i4>141</vt:i4>
      </vt:variant>
      <vt:variant>
        <vt:i4>0</vt:i4>
      </vt:variant>
      <vt:variant>
        <vt:i4>5</vt:i4>
      </vt:variant>
      <vt:variant>
        <vt:lpwstr>http://es.wikipedia.org/w/index.php?title=Ionizaci%C3%B3n_no_lineal&amp;action=edit&amp;redlink=1</vt:lpwstr>
      </vt:variant>
      <vt:variant>
        <vt:lpwstr/>
      </vt:variant>
      <vt:variant>
        <vt:i4>7864371</vt:i4>
      </vt:variant>
      <vt:variant>
        <vt:i4>138</vt:i4>
      </vt:variant>
      <vt:variant>
        <vt:i4>0</vt:i4>
      </vt:variant>
      <vt:variant>
        <vt:i4>5</vt:i4>
      </vt:variant>
      <vt:variant>
        <vt:lpwstr>http://es.wikipedia.org/wiki/Fot%C3%B3n</vt:lpwstr>
      </vt:variant>
      <vt:variant>
        <vt:lpwstr/>
      </vt:variant>
      <vt:variant>
        <vt:i4>7209023</vt:i4>
      </vt:variant>
      <vt:variant>
        <vt:i4>135</vt:i4>
      </vt:variant>
      <vt:variant>
        <vt:i4>0</vt:i4>
      </vt:variant>
      <vt:variant>
        <vt:i4>5</vt:i4>
      </vt:variant>
      <vt:variant>
        <vt:lpwstr>http://es.wikipedia.org/wiki/Frecuencia</vt:lpwstr>
      </vt:variant>
      <vt:variant>
        <vt:lpwstr/>
      </vt:variant>
      <vt:variant>
        <vt:i4>1048655</vt:i4>
      </vt:variant>
      <vt:variant>
        <vt:i4>132</vt:i4>
      </vt:variant>
      <vt:variant>
        <vt:i4>0</vt:i4>
      </vt:variant>
      <vt:variant>
        <vt:i4>5</vt:i4>
      </vt:variant>
      <vt:variant>
        <vt:lpwstr>http://es.wikipedia.org/wiki/Ionizar</vt:lpwstr>
      </vt:variant>
      <vt:variant>
        <vt:lpwstr/>
      </vt:variant>
      <vt:variant>
        <vt:i4>6357051</vt:i4>
      </vt:variant>
      <vt:variant>
        <vt:i4>129</vt:i4>
      </vt:variant>
      <vt:variant>
        <vt:i4>0</vt:i4>
      </vt:variant>
      <vt:variant>
        <vt:i4>5</vt:i4>
      </vt:variant>
      <vt:variant>
        <vt:lpwstr>http://es.wikipedia.org/wiki/Electrones</vt:lpwstr>
      </vt:variant>
      <vt:variant>
        <vt:lpwstr/>
      </vt:variant>
      <vt:variant>
        <vt:i4>3932251</vt:i4>
      </vt:variant>
      <vt:variant>
        <vt:i4>126</vt:i4>
      </vt:variant>
      <vt:variant>
        <vt:i4>0</vt:i4>
      </vt:variant>
      <vt:variant>
        <vt:i4>5</vt:i4>
      </vt:variant>
      <vt:variant>
        <vt:lpwstr>http://es.wikipedia.org/wiki/Radiaci%C3%B3n_electromagn%C3%A9tica</vt:lpwstr>
      </vt:variant>
      <vt:variant>
        <vt:lpwstr/>
      </vt:variant>
      <vt:variant>
        <vt:i4>7471114</vt:i4>
      </vt:variant>
      <vt:variant>
        <vt:i4>123</vt:i4>
      </vt:variant>
      <vt:variant>
        <vt:i4>0</vt:i4>
      </vt:variant>
      <vt:variant>
        <vt:i4>5</vt:i4>
      </vt:variant>
      <vt:variant>
        <vt:lpwstr>http://es.wikipedia.org/w/index.php?title=Excitaciones_electr%C3%B3nicas&amp;action=edit&amp;redlink=1</vt:lpwstr>
      </vt:variant>
      <vt:variant>
        <vt:lpwstr/>
      </vt:variant>
      <vt:variant>
        <vt:i4>5505138</vt:i4>
      </vt:variant>
      <vt:variant>
        <vt:i4>120</vt:i4>
      </vt:variant>
      <vt:variant>
        <vt:i4>0</vt:i4>
      </vt:variant>
      <vt:variant>
        <vt:i4>5</vt:i4>
      </vt:variant>
      <vt:variant>
        <vt:lpwstr>http://es.wikipedia.org/wiki/Part%C3%ADcula_subat%C3%B3mica</vt:lpwstr>
      </vt:variant>
      <vt:variant>
        <vt:lpwstr/>
      </vt:variant>
      <vt:variant>
        <vt:i4>1310790</vt:i4>
      </vt:variant>
      <vt:variant>
        <vt:i4>117</vt:i4>
      </vt:variant>
      <vt:variant>
        <vt:i4>0</vt:i4>
      </vt:variant>
      <vt:variant>
        <vt:i4>5</vt:i4>
      </vt:variant>
      <vt:variant>
        <vt:lpwstr>http://es.wikipedia.org/wiki/Onda</vt:lpwstr>
      </vt:variant>
      <vt:variant>
        <vt:lpwstr/>
      </vt:variant>
      <vt:variant>
        <vt:i4>2031737</vt:i4>
      </vt:variant>
      <vt:variant>
        <vt:i4>114</vt:i4>
      </vt:variant>
      <vt:variant>
        <vt:i4>0</vt:i4>
      </vt:variant>
      <vt:variant>
        <vt:i4>5</vt:i4>
      </vt:variant>
      <vt:variant>
        <vt:lpwstr>http://es.wikipedia.org/wiki/Rayos_X</vt:lpwstr>
      </vt:variant>
      <vt:variant>
        <vt:lpwstr/>
      </vt:variant>
      <vt:variant>
        <vt:i4>4653100</vt:i4>
      </vt:variant>
      <vt:variant>
        <vt:i4>111</vt:i4>
      </vt:variant>
      <vt:variant>
        <vt:i4>0</vt:i4>
      </vt:variant>
      <vt:variant>
        <vt:i4>5</vt:i4>
      </vt:variant>
      <vt:variant>
        <vt:lpwstr>http://es.wikipedia.org/wiki/Rayo_gamma</vt:lpwstr>
      </vt:variant>
      <vt:variant>
        <vt:lpwstr/>
      </vt:variant>
      <vt:variant>
        <vt:i4>4063261</vt:i4>
      </vt:variant>
      <vt:variant>
        <vt:i4>108</vt:i4>
      </vt:variant>
      <vt:variant>
        <vt:i4>0</vt:i4>
      </vt:variant>
      <vt:variant>
        <vt:i4>5</vt:i4>
      </vt:variant>
      <vt:variant>
        <vt:lpwstr>http://es.wikipedia.org/wiki/Part%C3%ADcula_beta</vt:lpwstr>
      </vt:variant>
      <vt:variant>
        <vt:lpwstr/>
      </vt:variant>
      <vt:variant>
        <vt:i4>3604492</vt:i4>
      </vt:variant>
      <vt:variant>
        <vt:i4>105</vt:i4>
      </vt:variant>
      <vt:variant>
        <vt:i4>0</vt:i4>
      </vt:variant>
      <vt:variant>
        <vt:i4>5</vt:i4>
      </vt:variant>
      <vt:variant>
        <vt:lpwstr>http://es.wikipedia.org/wiki/Part%C3%ADcula_alfa</vt:lpwstr>
      </vt:variant>
      <vt:variant>
        <vt:lpwstr/>
      </vt:variant>
      <vt:variant>
        <vt:i4>7405600</vt:i4>
      </vt:variant>
      <vt:variant>
        <vt:i4>102</vt:i4>
      </vt:variant>
      <vt:variant>
        <vt:i4>0</vt:i4>
      </vt:variant>
      <vt:variant>
        <vt:i4>5</vt:i4>
      </vt:variant>
      <vt:variant>
        <vt:lpwstr>http://es.wikipedia.org/wiki/Electr%C3%B3n</vt:lpwstr>
      </vt:variant>
      <vt:variant>
        <vt:lpwstr/>
      </vt:variant>
      <vt:variant>
        <vt:i4>1048655</vt:i4>
      </vt:variant>
      <vt:variant>
        <vt:i4>99</vt:i4>
      </vt:variant>
      <vt:variant>
        <vt:i4>0</vt:i4>
      </vt:variant>
      <vt:variant>
        <vt:i4>5</vt:i4>
      </vt:variant>
      <vt:variant>
        <vt:lpwstr>http://es.wikipedia.org/wiki/Ionizar</vt:lpwstr>
      </vt:variant>
      <vt:variant>
        <vt:lpwstr/>
      </vt:variant>
      <vt:variant>
        <vt:i4>7602231</vt:i4>
      </vt:variant>
      <vt:variant>
        <vt:i4>96</vt:i4>
      </vt:variant>
      <vt:variant>
        <vt:i4>0</vt:i4>
      </vt:variant>
      <vt:variant>
        <vt:i4>5</vt:i4>
      </vt:variant>
      <vt:variant>
        <vt:lpwstr>http://es.wikipedia.org/wiki/Radiaci%C3%B3n</vt:lpwstr>
      </vt:variant>
      <vt:variant>
        <vt:lpwstr/>
      </vt:variant>
      <vt:variant>
        <vt:i4>655430</vt:i4>
      </vt:variant>
      <vt:variant>
        <vt:i4>93</vt:i4>
      </vt:variant>
      <vt:variant>
        <vt:i4>0</vt:i4>
      </vt:variant>
      <vt:variant>
        <vt:i4>5</vt:i4>
      </vt:variant>
      <vt:variant>
        <vt:lpwstr>http://es.wikipedia.org/wiki/Infinito</vt:lpwstr>
      </vt:variant>
      <vt:variant>
        <vt:lpwstr/>
      </vt:variant>
      <vt:variant>
        <vt:i4>3932238</vt:i4>
      </vt:variant>
      <vt:variant>
        <vt:i4>90</vt:i4>
      </vt:variant>
      <vt:variant>
        <vt:i4>0</vt:i4>
      </vt:variant>
      <vt:variant>
        <vt:i4>5</vt:i4>
      </vt:variant>
      <vt:variant>
        <vt:lpwstr>http://es.wikipedia.org/wiki/Universo_observable</vt:lpwstr>
      </vt:variant>
      <vt:variant>
        <vt:lpwstr/>
      </vt:variant>
      <vt:variant>
        <vt:i4>4784137</vt:i4>
      </vt:variant>
      <vt:variant>
        <vt:i4>87</vt:i4>
      </vt:variant>
      <vt:variant>
        <vt:i4>0</vt:i4>
      </vt:variant>
      <vt:variant>
        <vt:i4>5</vt:i4>
      </vt:variant>
      <vt:variant>
        <vt:lpwstr>http://es.wikipedia.org/wiki/Longitud_de_Planck</vt:lpwstr>
      </vt:variant>
      <vt:variant>
        <vt:lpwstr/>
      </vt:variant>
      <vt:variant>
        <vt:i4>1048657</vt:i4>
      </vt:variant>
      <vt:variant>
        <vt:i4>84</vt:i4>
      </vt:variant>
      <vt:variant>
        <vt:i4>0</vt:i4>
      </vt:variant>
      <vt:variant>
        <vt:i4>5</vt:i4>
      </vt:variant>
      <vt:variant>
        <vt:lpwstr>http://es.wikipedia.org/wiki/Radiofrecuencia</vt:lpwstr>
      </vt:variant>
      <vt:variant>
        <vt:lpwstr/>
      </vt:variant>
      <vt:variant>
        <vt:i4>6422551</vt:i4>
      </vt:variant>
      <vt:variant>
        <vt:i4>81</vt:i4>
      </vt:variant>
      <vt:variant>
        <vt:i4>0</vt:i4>
      </vt:variant>
      <vt:variant>
        <vt:i4>5</vt:i4>
      </vt:variant>
      <vt:variant>
        <vt:lpwstr>http://es.wikipedia.org/wiki/Rayos_infrarrojos</vt:lpwstr>
      </vt:variant>
      <vt:variant>
        <vt:lpwstr/>
      </vt:variant>
      <vt:variant>
        <vt:i4>589917</vt:i4>
      </vt:variant>
      <vt:variant>
        <vt:i4>78</vt:i4>
      </vt:variant>
      <vt:variant>
        <vt:i4>0</vt:i4>
      </vt:variant>
      <vt:variant>
        <vt:i4>5</vt:i4>
      </vt:variant>
      <vt:variant>
        <vt:lpwstr>http://es.wikipedia.org/wiki/Luz</vt:lpwstr>
      </vt:variant>
      <vt:variant>
        <vt:lpwstr/>
      </vt:variant>
      <vt:variant>
        <vt:i4>1572960</vt:i4>
      </vt:variant>
      <vt:variant>
        <vt:i4>75</vt:i4>
      </vt:variant>
      <vt:variant>
        <vt:i4>0</vt:i4>
      </vt:variant>
      <vt:variant>
        <vt:i4>5</vt:i4>
      </vt:variant>
      <vt:variant>
        <vt:lpwstr>http://es.wikipedia.org/wiki/Luz_ultravioleta</vt:lpwstr>
      </vt:variant>
      <vt:variant>
        <vt:lpwstr/>
      </vt:variant>
      <vt:variant>
        <vt:i4>2031737</vt:i4>
      </vt:variant>
      <vt:variant>
        <vt:i4>72</vt:i4>
      </vt:variant>
      <vt:variant>
        <vt:i4>0</vt:i4>
      </vt:variant>
      <vt:variant>
        <vt:i4>5</vt:i4>
      </vt:variant>
      <vt:variant>
        <vt:lpwstr>http://es.wikipedia.org/wiki/Rayos_X</vt:lpwstr>
      </vt:variant>
      <vt:variant>
        <vt:lpwstr/>
      </vt:variant>
      <vt:variant>
        <vt:i4>786549</vt:i4>
      </vt:variant>
      <vt:variant>
        <vt:i4>69</vt:i4>
      </vt:variant>
      <vt:variant>
        <vt:i4>0</vt:i4>
      </vt:variant>
      <vt:variant>
        <vt:i4>5</vt:i4>
      </vt:variant>
      <vt:variant>
        <vt:lpwstr>http://es.wikipedia.org/wiki/Rayos_gamma</vt:lpwstr>
      </vt:variant>
      <vt:variant>
        <vt:lpwstr/>
      </vt:variant>
      <vt:variant>
        <vt:i4>7209023</vt:i4>
      </vt:variant>
      <vt:variant>
        <vt:i4>66</vt:i4>
      </vt:variant>
      <vt:variant>
        <vt:i4>0</vt:i4>
      </vt:variant>
      <vt:variant>
        <vt:i4>5</vt:i4>
      </vt:variant>
      <vt:variant>
        <vt:lpwstr>http://es.wikipedia.org/wiki/Frecuencia</vt:lpwstr>
      </vt:variant>
      <vt:variant>
        <vt:lpwstr/>
      </vt:variant>
      <vt:variant>
        <vt:i4>3145829</vt:i4>
      </vt:variant>
      <vt:variant>
        <vt:i4>63</vt:i4>
      </vt:variant>
      <vt:variant>
        <vt:i4>0</vt:i4>
      </vt:variant>
      <vt:variant>
        <vt:i4>5</vt:i4>
      </vt:variant>
      <vt:variant>
        <vt:lpwstr>http://es.wikipedia.org/wiki/Longitud_de_onda</vt:lpwstr>
      </vt:variant>
      <vt:variant>
        <vt:lpwstr/>
      </vt:variant>
      <vt:variant>
        <vt:i4>6094852</vt:i4>
      </vt:variant>
      <vt:variant>
        <vt:i4>60</vt:i4>
      </vt:variant>
      <vt:variant>
        <vt:i4>0</vt:i4>
      </vt:variant>
      <vt:variant>
        <vt:i4>5</vt:i4>
      </vt:variant>
      <vt:variant>
        <vt:lpwstr>http://es.wikipedia.org/wiki/Espectro_de_absorci%C3%B3n</vt:lpwstr>
      </vt:variant>
      <vt:variant>
        <vt:lpwstr/>
      </vt:variant>
      <vt:variant>
        <vt:i4>3211380</vt:i4>
      </vt:variant>
      <vt:variant>
        <vt:i4>57</vt:i4>
      </vt:variant>
      <vt:variant>
        <vt:i4>0</vt:i4>
      </vt:variant>
      <vt:variant>
        <vt:i4>5</vt:i4>
      </vt:variant>
      <vt:variant>
        <vt:lpwstr>http://es.wikipedia.org/wiki/Espectro_de_emisi%C3%B3n</vt:lpwstr>
      </vt:variant>
      <vt:variant>
        <vt:lpwstr/>
      </vt:variant>
      <vt:variant>
        <vt:i4>3932251</vt:i4>
      </vt:variant>
      <vt:variant>
        <vt:i4>54</vt:i4>
      </vt:variant>
      <vt:variant>
        <vt:i4>0</vt:i4>
      </vt:variant>
      <vt:variant>
        <vt:i4>5</vt:i4>
      </vt:variant>
      <vt:variant>
        <vt:lpwstr>http://es.wikipedia.org/wiki/Radiaci%C3%B3n_electromagn%C3%A9tica</vt:lpwstr>
      </vt:variant>
      <vt:variant>
        <vt:lpwstr/>
      </vt:variant>
      <vt:variant>
        <vt:i4>6029349</vt:i4>
      </vt:variant>
      <vt:variant>
        <vt:i4>51</vt:i4>
      </vt:variant>
      <vt:variant>
        <vt:i4>0</vt:i4>
      </vt:variant>
      <vt:variant>
        <vt:i4>5</vt:i4>
      </vt:variant>
      <vt:variant>
        <vt:lpwstr>http://es.wikipedia.org/wiki/Onda_electromagn%C3%A9tica</vt:lpwstr>
      </vt:variant>
      <vt:variant>
        <vt:lpwstr/>
      </vt:variant>
      <vt:variant>
        <vt:i4>3932251</vt:i4>
      </vt:variant>
      <vt:variant>
        <vt:i4>48</vt:i4>
      </vt:variant>
      <vt:variant>
        <vt:i4>0</vt:i4>
      </vt:variant>
      <vt:variant>
        <vt:i4>5</vt:i4>
      </vt:variant>
      <vt:variant>
        <vt:lpwstr>http://es.wikipedia.org/wiki/Radiaci%C3%B3n_electromagn%C3%A9tica</vt:lpwstr>
      </vt:variant>
      <vt:variant>
        <vt:lpwstr/>
      </vt:variant>
      <vt:variant>
        <vt:i4>2752598</vt:i4>
      </vt:variant>
      <vt:variant>
        <vt:i4>45</vt:i4>
      </vt:variant>
      <vt:variant>
        <vt:i4>0</vt:i4>
      </vt:variant>
      <vt:variant>
        <vt:i4>5</vt:i4>
      </vt:variant>
      <vt:variant>
        <vt:lpwstr>http://es.wikipedia.org/wiki/Velocidad_de_la_luz</vt:lpwstr>
      </vt:variant>
      <vt:variant>
        <vt:lpwstr/>
      </vt:variant>
      <vt:variant>
        <vt:i4>1310835</vt:i4>
      </vt:variant>
      <vt:variant>
        <vt:i4>42</vt:i4>
      </vt:variant>
      <vt:variant>
        <vt:i4>0</vt:i4>
      </vt:variant>
      <vt:variant>
        <vt:i4>5</vt:i4>
      </vt:variant>
      <vt:variant>
        <vt:lpwstr>http://es.wikipedia.org/wiki/Relatividad_general</vt:lpwstr>
      </vt:variant>
      <vt:variant>
        <vt:lpwstr/>
      </vt:variant>
      <vt:variant>
        <vt:i4>1310829</vt:i4>
      </vt:variant>
      <vt:variant>
        <vt:i4>39</vt:i4>
      </vt:variant>
      <vt:variant>
        <vt:i4>0</vt:i4>
      </vt:variant>
      <vt:variant>
        <vt:i4>5</vt:i4>
      </vt:variant>
      <vt:variant>
        <vt:lpwstr>http://es.wikipedia.org/wiki/Relatividad_especial</vt:lpwstr>
      </vt:variant>
      <vt:variant>
        <vt:lpwstr/>
      </vt:variant>
      <vt:variant>
        <vt:i4>5636107</vt:i4>
      </vt:variant>
      <vt:variant>
        <vt:i4>36</vt:i4>
      </vt:variant>
      <vt:variant>
        <vt:i4>0</vt:i4>
      </vt:variant>
      <vt:variant>
        <vt:i4>5</vt:i4>
      </vt:variant>
      <vt:variant>
        <vt:lpwstr>http://es.wikipedia.org/wiki/Fuerza_de_Lorentz</vt:lpwstr>
      </vt:variant>
      <vt:variant>
        <vt:lpwstr/>
      </vt:variant>
      <vt:variant>
        <vt:i4>1245297</vt:i4>
      </vt:variant>
      <vt:variant>
        <vt:i4>33</vt:i4>
      </vt:variant>
      <vt:variant>
        <vt:i4>0</vt:i4>
      </vt:variant>
      <vt:variant>
        <vt:i4>5</vt:i4>
      </vt:variant>
      <vt:variant>
        <vt:lpwstr>http://es.wikipedia.org/wiki/Campo_electromagn%C3%A9tico</vt:lpwstr>
      </vt:variant>
      <vt:variant>
        <vt:lpwstr/>
      </vt:variant>
      <vt:variant>
        <vt:i4>1376370</vt:i4>
      </vt:variant>
      <vt:variant>
        <vt:i4>30</vt:i4>
      </vt:variant>
      <vt:variant>
        <vt:i4>0</vt:i4>
      </vt:variant>
      <vt:variant>
        <vt:i4>5</vt:i4>
      </vt:variant>
      <vt:variant>
        <vt:lpwstr>http://es.wikipedia.org/wiki/Michael_Faraday</vt:lpwstr>
      </vt:variant>
      <vt:variant>
        <vt:lpwstr/>
      </vt:variant>
      <vt:variant>
        <vt:i4>8323166</vt:i4>
      </vt:variant>
      <vt:variant>
        <vt:i4>27</vt:i4>
      </vt:variant>
      <vt:variant>
        <vt:i4>0</vt:i4>
      </vt:variant>
      <vt:variant>
        <vt:i4>5</vt:i4>
      </vt:variant>
      <vt:variant>
        <vt:lpwstr>http://es.wikipedia.org/wiki/Andr%C3%A9-Marie_Amp%C3%A8re</vt:lpwstr>
      </vt:variant>
      <vt:variant>
        <vt:lpwstr/>
      </vt:variant>
      <vt:variant>
        <vt:i4>1704029</vt:i4>
      </vt:variant>
      <vt:variant>
        <vt:i4>24</vt:i4>
      </vt:variant>
      <vt:variant>
        <vt:i4>0</vt:i4>
      </vt:variant>
      <vt:variant>
        <vt:i4>5</vt:i4>
      </vt:variant>
      <vt:variant>
        <vt:lpwstr>http://es.wikipedia.org/wiki/Carl_Friedrich_Gauss</vt:lpwstr>
      </vt:variant>
      <vt:variant>
        <vt:lpwstr/>
      </vt:variant>
      <vt:variant>
        <vt:i4>4128821</vt:i4>
      </vt:variant>
      <vt:variant>
        <vt:i4>21</vt:i4>
      </vt:variant>
      <vt:variant>
        <vt:i4>0</vt:i4>
      </vt:variant>
      <vt:variant>
        <vt:i4>5</vt:i4>
      </vt:variant>
      <vt:variant>
        <vt:lpwstr>http://es.wikipedia.org/wiki/Charles-Augustin_de_Coulomb</vt:lpwstr>
      </vt:variant>
      <vt:variant>
        <vt:lpwstr/>
      </vt:variant>
      <vt:variant>
        <vt:i4>1704008</vt:i4>
      </vt:variant>
      <vt:variant>
        <vt:i4>18</vt:i4>
      </vt:variant>
      <vt:variant>
        <vt:i4>0</vt:i4>
      </vt:variant>
      <vt:variant>
        <vt:i4>5</vt:i4>
      </vt:variant>
      <vt:variant>
        <vt:lpwstr>http://es.wikipedia.org/wiki/James_Clerk_Maxwell</vt:lpwstr>
      </vt:variant>
      <vt:variant>
        <vt:lpwstr/>
      </vt:variant>
      <vt:variant>
        <vt:i4>6488126</vt:i4>
      </vt:variant>
      <vt:variant>
        <vt:i4>15</vt:i4>
      </vt:variant>
      <vt:variant>
        <vt:i4>0</vt:i4>
      </vt:variant>
      <vt:variant>
        <vt:i4>5</vt:i4>
      </vt:variant>
      <vt:variant>
        <vt:lpwstr>http://es.wikipedia.org/wiki/Electromagnetismo</vt:lpwstr>
      </vt:variant>
      <vt:variant>
        <vt:lpwstr/>
      </vt:variant>
      <vt:variant>
        <vt:i4>720969</vt:i4>
      </vt:variant>
      <vt:variant>
        <vt:i4>12</vt:i4>
      </vt:variant>
      <vt:variant>
        <vt:i4>0</vt:i4>
      </vt:variant>
      <vt:variant>
        <vt:i4>5</vt:i4>
      </vt:variant>
      <vt:variant>
        <vt:lpwstr>http://es.wikipedia.org/wiki/Sector_de_Desarrollo_de_las_Telecomunicaciones_de_la_UIT</vt:lpwstr>
      </vt:variant>
      <vt:variant>
        <vt:lpwstr/>
      </vt:variant>
      <vt:variant>
        <vt:i4>720969</vt:i4>
      </vt:variant>
      <vt:variant>
        <vt:i4>9</vt:i4>
      </vt:variant>
      <vt:variant>
        <vt:i4>0</vt:i4>
      </vt:variant>
      <vt:variant>
        <vt:i4>5</vt:i4>
      </vt:variant>
      <vt:variant>
        <vt:lpwstr>http://es.wikipedia.org/wiki/Sector_de_Desarrollo_de_las_Telecomunicaciones_de_la_UIT</vt:lpwstr>
      </vt:variant>
      <vt:variant>
        <vt:lpwstr/>
      </vt:variant>
      <vt:variant>
        <vt:i4>1376331</vt:i4>
      </vt:variant>
      <vt:variant>
        <vt:i4>6</vt:i4>
      </vt:variant>
      <vt:variant>
        <vt:i4>0</vt:i4>
      </vt:variant>
      <vt:variant>
        <vt:i4>5</vt:i4>
      </vt:variant>
      <vt:variant>
        <vt:lpwstr>http://es.wikipedia.org/wiki/CCIR</vt:lpwstr>
      </vt:variant>
      <vt:variant>
        <vt:lpwstr/>
      </vt:variant>
      <vt:variant>
        <vt:i4>262225</vt:i4>
      </vt:variant>
      <vt:variant>
        <vt:i4>3</vt:i4>
      </vt:variant>
      <vt:variant>
        <vt:i4>0</vt:i4>
      </vt:variant>
      <vt:variant>
        <vt:i4>5</vt:i4>
      </vt:variant>
      <vt:variant>
        <vt:lpwstr>http://es.wikipedia.org/wiki/Sector_de_Normalizaci%C3%B3n_de_las_Telecomunicaciones_de_la_UIT</vt:lpwstr>
      </vt:variant>
      <vt:variant>
        <vt:lpwstr/>
      </vt:variant>
      <vt:variant>
        <vt:i4>7405596</vt:i4>
      </vt:variant>
      <vt:variant>
        <vt:i4>0</vt:i4>
      </vt:variant>
      <vt:variant>
        <vt:i4>0</vt:i4>
      </vt:variant>
      <vt:variant>
        <vt:i4>5</vt:i4>
      </vt:variant>
      <vt:variant>
        <vt:lpwstr>http://es.wikipedia.org/wiki/Red_de_%C3%A1rea_local</vt:lpwstr>
      </vt:variant>
      <vt:variant>
        <vt:lpwstr/>
      </vt:variant>
      <vt:variant>
        <vt:i4>1835040</vt:i4>
      </vt:variant>
      <vt:variant>
        <vt:i4>9</vt:i4>
      </vt:variant>
      <vt:variant>
        <vt:i4>0</vt:i4>
      </vt:variant>
      <vt:variant>
        <vt:i4>5</vt:i4>
      </vt:variant>
      <vt:variant>
        <vt:lpwstr>http://es.wikipedia.org/wiki/Telefon%C3%ADa_m%C3%B3vil</vt:lpwstr>
      </vt:variant>
      <vt:variant>
        <vt:lpwstr/>
      </vt:variant>
      <vt:variant>
        <vt:i4>1835040</vt:i4>
      </vt:variant>
      <vt:variant>
        <vt:i4>6</vt:i4>
      </vt:variant>
      <vt:variant>
        <vt:i4>0</vt:i4>
      </vt:variant>
      <vt:variant>
        <vt:i4>5</vt:i4>
      </vt:variant>
      <vt:variant>
        <vt:lpwstr>http://es.wikipedia.org/wiki/Telefon%C3%ADa_m%C3%B3vil</vt:lpwstr>
      </vt:variant>
      <vt:variant>
        <vt:lpwstr/>
      </vt:variant>
      <vt:variant>
        <vt:i4>3932186</vt:i4>
      </vt:variant>
      <vt:variant>
        <vt:i4>3</vt:i4>
      </vt:variant>
      <vt:variant>
        <vt:i4>0</vt:i4>
      </vt:variant>
      <vt:variant>
        <vt:i4>5</vt:i4>
      </vt:variant>
      <vt:variant>
        <vt:lpwstr>http://www.santaursula.es/ayto/fileadmin/archivos_de_editores/Documentos/Medio-Ambiente/mesaredonda/Bases_biol_gicas_para_normativas_de_protecci_n.pdf</vt:lpwstr>
      </vt:variant>
      <vt:variant>
        <vt:lpwstr/>
      </vt:variant>
      <vt:variant>
        <vt:i4>5242960</vt:i4>
      </vt:variant>
      <vt:variant>
        <vt:i4>0</vt:i4>
      </vt:variant>
      <vt:variant>
        <vt:i4>0</vt:i4>
      </vt:variant>
      <vt:variant>
        <vt:i4>5</vt:i4>
      </vt:variant>
      <vt:variant>
        <vt:lpwstr>http://html.rincondelvago.com/carga-electrica-y-electricidad.html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WALKIR</dc:creator>
  <cp:lastModifiedBy>WALKIR</cp:lastModifiedBy>
  <cp:revision>20</cp:revision>
  <cp:lastPrinted>2010-07-30T02:22:00Z</cp:lastPrinted>
  <dcterms:created xsi:type="dcterms:W3CDTF">2010-07-27T01:22:00Z</dcterms:created>
  <dcterms:modified xsi:type="dcterms:W3CDTF">2010-07-30T06:58:00Z</dcterms:modified>
</cp:coreProperties>
</file>