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C0E" w:rsidRDefault="004B1C0E" w:rsidP="004B1C0E"/>
    <w:p w:rsidR="004B1C0E" w:rsidRDefault="004B1C0E" w:rsidP="004B1C0E"/>
    <w:tbl>
      <w:tblPr>
        <w:tblW w:w="8748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0"/>
        <w:gridCol w:w="459"/>
        <w:gridCol w:w="1262"/>
        <w:gridCol w:w="1263"/>
        <w:gridCol w:w="956"/>
        <w:gridCol w:w="1338"/>
        <w:gridCol w:w="1225"/>
        <w:gridCol w:w="720"/>
        <w:gridCol w:w="1115"/>
      </w:tblGrid>
      <w:tr w:rsidR="004B1C0E" w:rsidTr="006F40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6F4047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6F4047" w:rsidRDefault="006F404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8338" w:type="dxa"/>
            <w:gridSpan w:val="8"/>
          </w:tcPr>
          <w:p w:rsidR="006F4047" w:rsidRDefault="006F4047" w:rsidP="006F404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i/>
                <w:i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ESCUELA SUPERIOR POLITÉCNICA DEL LITORAL ESPOL</w:t>
            </w:r>
          </w:p>
        </w:tc>
      </w:tr>
      <w:tr w:rsidR="006F4047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6F4047" w:rsidRDefault="006F404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8338" w:type="dxa"/>
            <w:gridSpan w:val="8"/>
          </w:tcPr>
          <w:p w:rsidR="006F4047" w:rsidRDefault="006F4047" w:rsidP="006F404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i/>
                <w:i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EXAMEN PRIMER PARCIAL</w:t>
            </w:r>
          </w:p>
        </w:tc>
      </w:tr>
      <w:tr w:rsidR="006F4047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6F4047" w:rsidRDefault="006F404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8338" w:type="dxa"/>
            <w:gridSpan w:val="8"/>
          </w:tcPr>
          <w:p w:rsidR="006F4047" w:rsidRDefault="006F4047" w:rsidP="006F404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i/>
                <w:i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CONTABILIDAD DE COSTOS</w:t>
            </w: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633" w:type="dxa"/>
            <w:gridSpan w:val="8"/>
          </w:tcPr>
          <w:p w:rsid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NOMBRE:_____________________________________________________</w:t>
            </w: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7633" w:type="dxa"/>
            <w:gridSpan w:val="8"/>
          </w:tcPr>
          <w:p w:rsid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PARALELO: ___________________          FECHA:</w:t>
            </w:r>
            <w:r>
              <w:rPr>
                <w:rFonts w:ascii="Century Gothic" w:hAnsi="Century Gothic" w:cs="Century Gothic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6F4047" w:rsidRPr="006F4047">
              <w:rPr>
                <w:rFonts w:ascii="Century Gothic" w:hAnsi="Century Gothic" w:cs="Century Gothic"/>
                <w:bCs/>
                <w:color w:val="000000"/>
                <w:sz w:val="20"/>
                <w:szCs w:val="20"/>
              </w:rPr>
              <w:t>Julio 08 del 2010</w:t>
            </w: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C95C47" w:rsidTr="006A340D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8748" w:type="dxa"/>
            <w:gridSpan w:val="9"/>
          </w:tcPr>
          <w:p w:rsidR="00C95C47" w:rsidRPr="00C95C47" w:rsidRDefault="00C95C47" w:rsidP="00C95C4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i/>
                <w:iCs/>
                <w:color w:val="000000"/>
                <w:sz w:val="28"/>
                <w:szCs w:val="28"/>
              </w:rPr>
            </w:pPr>
            <w:r w:rsidRPr="00C95C47"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  <w:t>TEMA 1.- TEORÍA  (10 PUNTOS)</w:t>
            </w: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633" w:type="dxa"/>
            <w:gridSpan w:val="8"/>
          </w:tcPr>
          <w:p w:rsid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Encierre en una circunferencia el literal de la respuesta correcta:</w:t>
            </w: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</w:rPr>
            </w:pPr>
          </w:p>
        </w:tc>
      </w:tr>
      <w:tr w:rsidR="004B1C0E" w:rsidTr="006F404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1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956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1115" w:type="dxa"/>
          </w:tcPr>
          <w:p w:rsid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1.-</w:t>
            </w:r>
          </w:p>
        </w:tc>
        <w:tc>
          <w:tcPr>
            <w:tcW w:w="5278" w:type="dxa"/>
            <w:gridSpan w:val="5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Hoja"/>
              </w:smartTagPr>
              <w:r w:rsidRPr="004B1C0E">
                <w:rPr>
                  <w:rFonts w:ascii="Century Gothic" w:hAnsi="Century Gothic" w:cs="Century Gothic"/>
                  <w:color w:val="000000"/>
                  <w:sz w:val="18"/>
                  <w:szCs w:val="18"/>
                </w:rPr>
                <w:t>La Hoja</w:t>
              </w:r>
            </w:smartTag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de Costos se emplea para registrar: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a.-</w:t>
            </w:r>
          </w:p>
        </w:tc>
        <w:tc>
          <w:tcPr>
            <w:tcW w:w="7879" w:type="dxa"/>
            <w:gridSpan w:val="7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La información detallada de cómo emplean su jornada laboral los trabajadores directos.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b.-</w:t>
            </w:r>
          </w:p>
        </w:tc>
        <w:tc>
          <w:tcPr>
            <w:tcW w:w="6044" w:type="dxa"/>
            <w:gridSpan w:val="5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Los costos de producción de cada una de las Órdenes.</w:t>
            </w:r>
          </w:p>
        </w:tc>
        <w:tc>
          <w:tcPr>
            <w:tcW w:w="720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c.-</w:t>
            </w:r>
          </w:p>
        </w:tc>
        <w:tc>
          <w:tcPr>
            <w:tcW w:w="4819" w:type="dxa"/>
            <w:gridSpan w:val="4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Los materiales recibidos por el almacenista.</w:t>
            </w:r>
          </w:p>
        </w:tc>
        <w:tc>
          <w:tcPr>
            <w:tcW w:w="122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d.- </w:t>
            </w:r>
          </w:p>
        </w:tc>
        <w:tc>
          <w:tcPr>
            <w:tcW w:w="3481" w:type="dxa"/>
            <w:gridSpan w:val="3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Todos los literales anteriores.</w:t>
            </w:r>
          </w:p>
        </w:tc>
        <w:tc>
          <w:tcPr>
            <w:tcW w:w="1338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2.-</w:t>
            </w:r>
          </w:p>
        </w:tc>
        <w:tc>
          <w:tcPr>
            <w:tcW w:w="8338" w:type="dxa"/>
            <w:gridSpan w:val="8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Las características del Sistema de Costos por Ordenes de Producción son: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a.-</w:t>
            </w:r>
          </w:p>
        </w:tc>
        <w:tc>
          <w:tcPr>
            <w:tcW w:w="6044" w:type="dxa"/>
            <w:gridSpan w:val="5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La unidad de costeo es un grupo o lote de productos iguales.</w:t>
            </w:r>
          </w:p>
        </w:tc>
        <w:tc>
          <w:tcPr>
            <w:tcW w:w="720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b-</w:t>
            </w:r>
          </w:p>
        </w:tc>
        <w:tc>
          <w:tcPr>
            <w:tcW w:w="7879" w:type="dxa"/>
            <w:gridSpan w:val="7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La fabricación de cada lote se emprende mediante una Orden de Producción.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c.-</w:t>
            </w:r>
          </w:p>
        </w:tc>
        <w:tc>
          <w:tcPr>
            <w:tcW w:w="6764" w:type="dxa"/>
            <w:gridSpan w:val="6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Los costos se acumulan para cada orden de producción por separado.</w:t>
            </w: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d.-</w:t>
            </w:r>
          </w:p>
        </w:tc>
        <w:tc>
          <w:tcPr>
            <w:tcW w:w="7879" w:type="dxa"/>
            <w:gridSpan w:val="7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El costo unitario se obtiene dividiendo los costos totales de cada orden por el número de unidades producidas en dicha orden.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e.-</w:t>
            </w:r>
          </w:p>
        </w:tc>
        <w:tc>
          <w:tcPr>
            <w:tcW w:w="3481" w:type="dxa"/>
            <w:gridSpan w:val="3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Todos los literales anteriores.</w:t>
            </w:r>
          </w:p>
        </w:tc>
        <w:tc>
          <w:tcPr>
            <w:tcW w:w="1338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A340D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3.-</w:t>
            </w:r>
          </w:p>
        </w:tc>
        <w:tc>
          <w:tcPr>
            <w:tcW w:w="8338" w:type="dxa"/>
            <w:gridSpan w:val="8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En un sistema de costeo por órdenes de producción, el consumo de  materiales indirectos  se registra con débito a la cuenta: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a.-</w:t>
            </w:r>
          </w:p>
        </w:tc>
        <w:tc>
          <w:tcPr>
            <w:tcW w:w="4819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de Productos en Proceso.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b.-</w:t>
            </w: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de Materiales.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c.-</w:t>
            </w: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Nómina de Fábrica.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d.-</w:t>
            </w:r>
          </w:p>
        </w:tc>
        <w:tc>
          <w:tcPr>
            <w:tcW w:w="4819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Costos Generales de Fabricación - Control.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e.-</w:t>
            </w: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Todos los literales anteriores.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4.-</w:t>
            </w:r>
          </w:p>
        </w:tc>
        <w:tc>
          <w:tcPr>
            <w:tcW w:w="3940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La clase de sistemas de costos son: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a.-</w:t>
            </w:r>
          </w:p>
        </w:tc>
        <w:tc>
          <w:tcPr>
            <w:tcW w:w="6044" w:type="dxa"/>
            <w:gridSpan w:val="5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Costos por </w:t>
            </w:r>
            <w:r w:rsidR="004E3965"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Órdenes</w:t>
            </w: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de Producción y Proceso.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b.-</w:t>
            </w:r>
          </w:p>
        </w:tc>
        <w:tc>
          <w:tcPr>
            <w:tcW w:w="4819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Base Histórica y Predeterminada.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c.-</w:t>
            </w:r>
          </w:p>
        </w:tc>
        <w:tc>
          <w:tcPr>
            <w:tcW w:w="7879" w:type="dxa"/>
            <w:gridSpan w:val="7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Doctrinas del Costeo Total o Costeo Absorción y Costeo Directo o Variable.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d.- </w:t>
            </w: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Todos los literales anteriores.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4B1C0E" w:rsidRPr="007B7034" w:rsidTr="006F404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8748" w:type="dxa"/>
            <w:gridSpan w:val="9"/>
          </w:tcPr>
          <w:p w:rsidR="004B1C0E" w:rsidRPr="00C95C47" w:rsidRDefault="004B1C0E" w:rsidP="007B7034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</w:pPr>
            <w:r w:rsidRPr="00C95C47"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  <w:lastRenderedPageBreak/>
              <w:t>TEMA 2.- EJERCICIO DE COSTOS POR ÓRDENES DE PRODUCCIÓN (45 PUNTOS)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8748" w:type="dxa"/>
            <w:gridSpan w:val="9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Producciones Fernández  tiene un sistema de costos por órdenes de producción.   La empresa cierra libros cada mes. 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3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Recomendaciones: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50" w:type="dxa"/>
            <w:gridSpan w:val="5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En las transacciones se deberá incluir: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4" w:type="dxa"/>
            <w:gridSpan w:val="6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El Impuesto al Valor Agregado -IVA con la tarifa que corresponda.</w:t>
            </w: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 w:rsidP="006F404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Retenciones en </w:t>
            </w:r>
            <w:smartTag w:uri="urn:schemas-microsoft-com:office:smarttags" w:element="PersonName">
              <w:smartTagPr>
                <w:attr w:name="ProductID" w:val="la Fuente"/>
              </w:smartTagPr>
              <w:r w:rsidRPr="004B1C0E">
                <w:rPr>
                  <w:rFonts w:ascii="Century Gothic" w:hAnsi="Century Gothic" w:cs="Century Gothic"/>
                  <w:color w:val="000000"/>
                  <w:sz w:val="18"/>
                  <w:szCs w:val="18"/>
                </w:rPr>
                <w:t>la Fuente</w:t>
              </w:r>
            </w:smartTag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: del impuesto a la renta y del impuesto al Valor Agregado en el porcentaje respectivo.    Producciones Fernández es contribuyente especial.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48" w:type="dxa"/>
            <w:gridSpan w:val="9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Para el año 2010 la tasa predeterminada se calculó con base en los siguientes presupuestos: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394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Costos Generales de Fabricación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  1,300,000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3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Horas  máquina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     190,000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13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Saldos iniciales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394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de Art. Terminados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394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de Materiales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8748" w:type="dxa"/>
            <w:gridSpan w:val="9"/>
          </w:tcPr>
          <w:p w:rsidR="004B1C0E" w:rsidRPr="004B1C0E" w:rsidRDefault="004B1C0E" w:rsidP="006F404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Durante el mes de Junio del  2010 ocurrieron las siguientes transacciones relacionadas con la producción.  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1.-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 w:rsidP="006F4047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Compra de materiales por USD 650,000  a </w:t>
            </w:r>
            <w:smartTag w:uri="urn:schemas-microsoft-com:office:smarttags" w:element="PersonName">
              <w:smartTagPr>
                <w:attr w:name="ProductID" w:val="la Empresa La"/>
              </w:smartTagPr>
              <w:r w:rsidRPr="004B1C0E">
                <w:rPr>
                  <w:rFonts w:ascii="Century Gothic" w:hAnsi="Century Gothic" w:cs="Century Gothic"/>
                  <w:color w:val="000000"/>
                  <w:sz w:val="18"/>
                  <w:szCs w:val="18"/>
                </w:rPr>
                <w:t>la Empresa La</w:t>
              </w:r>
            </w:smartTag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Ecuatoriana S.A. (Contribuyente especial),  proveedor nos  da crédito por 45 días.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2.-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Uso de materiales: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Para </w:t>
            </w:r>
            <w:smartTag w:uri="urn:schemas-microsoft-com:office:smarttags" w:element="PersonName">
              <w:smartTagPr>
                <w:attr w:name="ProductID" w:val="la OP No."/>
              </w:smartTagPr>
              <w:r w:rsidRPr="004B1C0E">
                <w:rPr>
                  <w:rFonts w:ascii="Century Gothic" w:hAnsi="Century Gothic" w:cs="Century Gothic"/>
                  <w:color w:val="000000"/>
                  <w:sz w:val="18"/>
                  <w:szCs w:val="18"/>
                </w:rPr>
                <w:t>la OP No.</w:t>
              </w:r>
            </w:smartTag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100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   100,000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Para </w:t>
            </w:r>
            <w:smartTag w:uri="urn:schemas-microsoft-com:office:smarttags" w:element="PersonName">
              <w:smartTagPr>
                <w:attr w:name="ProductID" w:val="la OP No."/>
              </w:smartTagPr>
              <w:r w:rsidRPr="004B1C0E">
                <w:rPr>
                  <w:rFonts w:ascii="Century Gothic" w:hAnsi="Century Gothic" w:cs="Century Gothic"/>
                  <w:color w:val="000000"/>
                  <w:sz w:val="18"/>
                  <w:szCs w:val="18"/>
                </w:rPr>
                <w:t>la OP No.</w:t>
              </w:r>
            </w:smartTag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101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120,000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Para lubricar las maquinarias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     80,000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3.-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Se devuelve  materiales de </w:t>
            </w:r>
            <w:smartTag w:uri="urn:schemas-microsoft-com:office:smarttags" w:element="PersonName">
              <w:smartTagPr>
                <w:attr w:name="ProductID" w:val="la OP No."/>
              </w:smartTagPr>
              <w:r w:rsidRPr="004B1C0E">
                <w:rPr>
                  <w:rFonts w:ascii="Century Gothic" w:hAnsi="Century Gothic" w:cs="Century Gothic"/>
                  <w:color w:val="000000"/>
                  <w:sz w:val="18"/>
                  <w:szCs w:val="18"/>
                </w:rPr>
                <w:t>la OP No.</w:t>
              </w:r>
            </w:smartTag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100 por USD 25,000 por cuanto el Supervisor efectuó una requisición en exceso.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4.-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Se utilizan  repuestos de maquinaria   para el sector de la producción por USD 5,000.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5.-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4" w:type="dxa"/>
            <w:gridSpan w:val="6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Pago de nómina con cheque, considerando los siguientes datos:</w:t>
            </w: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Departamento de Administración: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Sueldo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F40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F4047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 xml:space="preserve">Carlos Narváez </w:t>
            </w:r>
          </w:p>
        </w:tc>
        <w:tc>
          <w:tcPr>
            <w:tcW w:w="2219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Gerente General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$.       5,000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F40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F4047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María Pérez</w:t>
            </w:r>
          </w:p>
        </w:tc>
        <w:tc>
          <w:tcPr>
            <w:tcW w:w="2219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Secretaria Gerencia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  800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6F4047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6F4047" w:rsidRPr="004B1C0E" w:rsidRDefault="006F404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6F4047" w:rsidRPr="004B1C0E" w:rsidRDefault="006F404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6F4047" w:rsidRPr="006F4047" w:rsidRDefault="006F4047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F4047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 xml:space="preserve">Carlos Andrade </w:t>
            </w:r>
          </w:p>
        </w:tc>
        <w:tc>
          <w:tcPr>
            <w:tcW w:w="2219" w:type="dxa"/>
            <w:gridSpan w:val="2"/>
          </w:tcPr>
          <w:p w:rsidR="006F4047" w:rsidRPr="004B1C0E" w:rsidRDefault="006F4047" w:rsidP="006F404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Contador</w:t>
            </w:r>
          </w:p>
        </w:tc>
        <w:tc>
          <w:tcPr>
            <w:tcW w:w="1338" w:type="dxa"/>
          </w:tcPr>
          <w:p w:rsidR="006F4047" w:rsidRPr="004B1C0E" w:rsidRDefault="006F404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2,000 </w:t>
            </w:r>
          </w:p>
        </w:tc>
        <w:tc>
          <w:tcPr>
            <w:tcW w:w="1225" w:type="dxa"/>
          </w:tcPr>
          <w:p w:rsidR="006F4047" w:rsidRPr="004B1C0E" w:rsidRDefault="006F40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6F4047" w:rsidRPr="004B1C0E" w:rsidRDefault="006F404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6F4047" w:rsidRPr="004B1C0E" w:rsidRDefault="006F404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Subtotal - Administración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          7,800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Departamento de Ventas: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Sueldo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Comisiones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F40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F4047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David Mosquera</w:t>
            </w:r>
          </w:p>
        </w:tc>
        <w:tc>
          <w:tcPr>
            <w:tcW w:w="2219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Jefe de Ventas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2,500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$.    200.00 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F40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F4047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Mauricio Vidal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Vendedor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  600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100 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Subtotal  - Ventas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          3,100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Departamento de Producción: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Sueldo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Hor. Extras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A340D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A340D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Francisco Reyes</w:t>
            </w:r>
          </w:p>
        </w:tc>
        <w:tc>
          <w:tcPr>
            <w:tcW w:w="2219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Jefe de Fábrica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3,000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A340D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A340D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Pedro Yánez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Obrero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  400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 100 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6A340D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4"/>
                <w:szCs w:val="14"/>
              </w:rPr>
            </w:pPr>
            <w:r w:rsidRPr="006A340D">
              <w:rPr>
                <w:rFonts w:ascii="Century Gothic" w:hAnsi="Century Gothic" w:cs="Century Gothic"/>
                <w:color w:val="000000"/>
                <w:sz w:val="14"/>
                <w:szCs w:val="14"/>
              </w:rPr>
              <w:t>Juan Reascos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Obrero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6A340D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</w:pPr>
            <w:r w:rsidRPr="006A340D"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  <w:t xml:space="preserve">              400 </w:t>
            </w:r>
          </w:p>
        </w:tc>
        <w:tc>
          <w:tcPr>
            <w:tcW w:w="1225" w:type="dxa"/>
          </w:tcPr>
          <w:p w:rsidR="004B1C0E" w:rsidRPr="006A340D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</w:pPr>
            <w:r w:rsidRPr="006A340D">
              <w:rPr>
                <w:rFonts w:ascii="Century Gothic" w:hAnsi="Century Gothic" w:cs="Century Gothic"/>
                <w:color w:val="000000"/>
                <w:sz w:val="18"/>
                <w:szCs w:val="18"/>
                <w:u w:val="single"/>
              </w:rPr>
              <w:t xml:space="preserve">              60 </w:t>
            </w:r>
          </w:p>
        </w:tc>
        <w:tc>
          <w:tcPr>
            <w:tcW w:w="720" w:type="dxa"/>
          </w:tcPr>
          <w:p w:rsidR="004B1C0E" w:rsidRPr="006A340D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Subtotal Producción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 xml:space="preserve"> $.       3,800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Las deducciones fueron como sigue: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Préstamos Trabajadores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Impuesto a la Renta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$.        700 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Calcule el aporte individual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Efectuar la cancelación de la nómina  y  distribución de la nómina del sector producción.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6.-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Costos y Gastos  pagados en Cheque (Se sugiere elaborar un asiento por cada caso):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a)</w:t>
            </w:r>
          </w:p>
        </w:tc>
        <w:tc>
          <w:tcPr>
            <w:tcW w:w="4819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Se cancelan fletes del sector producción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       1,000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b)</w:t>
            </w:r>
          </w:p>
        </w:tc>
        <w:tc>
          <w:tcPr>
            <w:tcW w:w="6764" w:type="dxa"/>
            <w:gridSpan w:val="6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Arrendamiento de un local comercial ubicado en el centro de la ciudad, el mismo que se cancela a una persona natural no obligada a llevar Contabilidad.</w:t>
            </w:r>
          </w:p>
        </w:tc>
        <w:tc>
          <w:tcPr>
            <w:tcW w:w="1115" w:type="dxa"/>
          </w:tcPr>
          <w:p w:rsidR="004B1C0E" w:rsidRPr="004B1C0E" w:rsidRDefault="004B1C0E" w:rsidP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2,000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 w:rsidP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c)</w:t>
            </w:r>
          </w:p>
        </w:tc>
        <w:tc>
          <w:tcPr>
            <w:tcW w:w="6764" w:type="dxa"/>
            <w:gridSpan w:val="6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Energía Eléctrica  (70% Sector de la producción y 20% administración y 10% sector Venta)</w:t>
            </w:r>
          </w:p>
        </w:tc>
        <w:tc>
          <w:tcPr>
            <w:tcW w:w="1115" w:type="dxa"/>
          </w:tcPr>
          <w:p w:rsidR="004B1C0E" w:rsidRPr="004B1C0E" w:rsidRDefault="004B1C0E" w:rsidP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     10,000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7.-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 w:rsidP="006A340D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El total de horas máquina del mes de  Junio por todas las </w:t>
            </w:r>
            <w:r w:rsidR="004E3965"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órdenes</w:t>
            </w: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de producción  fueron  14.000.   Efectuar asiento contable por el total  distribuido en   Costos Generales en cada orden de producción. 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8.-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El saldo final de la cuenta de Inventario de Productos en Proceso es   $  40,000.   Efectuar asiento contable por el costo de los artículos terminados.  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  <w:t>9.-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El saldo final de la cuenta de Inventario de Productos Terminados es de  $ 50,000.  Registrar el costo de los artículos vendidos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C95C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  <w:r w:rsidRPr="00C95C47"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  <w:t>10.-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64" w:type="dxa"/>
            <w:gridSpan w:val="6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Las ventas fueron de contado por un total de USD 618,000 (Precio de Vta.)  </w:t>
            </w: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C95C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410" w:type="dxa"/>
          </w:tcPr>
          <w:p w:rsidR="004B1C0E" w:rsidRPr="00C95C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  <w:r w:rsidRPr="00C95C47"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  <w:t>11.-</w:t>
            </w: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879" w:type="dxa"/>
            <w:gridSpan w:val="7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La variación de los Costos Generales de Fabricación se serró contra los costos de productos vendidos  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10" w:type="dxa"/>
          </w:tcPr>
          <w:p w:rsidR="004B1C0E" w:rsidRPr="00C95C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50" w:type="dxa"/>
            <w:gridSpan w:val="5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Se pide: Elaborar los asientos contables.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913" w:type="dxa"/>
            <w:gridSpan w:val="7"/>
          </w:tcPr>
          <w:p w:rsidR="004B1C0E" w:rsidRPr="00C95C47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</w:pPr>
            <w:r w:rsidRPr="00C95C47">
              <w:rPr>
                <w:rFonts w:ascii="Century Gothic" w:hAnsi="Century Gothic" w:cs="Century Gothic"/>
                <w:b/>
                <w:bCs/>
                <w:color w:val="000000"/>
                <w:sz w:val="28"/>
                <w:szCs w:val="28"/>
              </w:rPr>
              <w:t>TEMA 3.- ESTADO DE COSTOS  (15 Puntos)</w:t>
            </w: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748" w:type="dxa"/>
            <w:gridSpan w:val="9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Manufactureras Ecuador Bonito presenta la siguiente información de marzo 2010:</w:t>
            </w: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Mano de obra Directa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$.      18,000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Productos en Proceso 3/1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5,000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Productos Terminados 3/31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7,000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Materiales Directos Usados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8,000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Productos en Proceso 3/31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2,500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Inventario Productos Terminados 3/1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3,000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1" w:type="dxa"/>
            <w:gridSpan w:val="3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Costos Generales de Fabricación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20,000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Ventas</w:t>
            </w: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60,000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Gastos de Ventas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          5,000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1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9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5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Gastos de Administración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 $.       4,000 </w:t>
            </w: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869" w:type="dxa"/>
            <w:gridSpan w:val="2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>Se pide:</w:t>
            </w:r>
          </w:p>
        </w:tc>
        <w:tc>
          <w:tcPr>
            <w:tcW w:w="1262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350" w:type="dxa"/>
            <w:gridSpan w:val="5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1,- Estado de Costos de Productos Vendidos </w:t>
            </w: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B1C0E" w:rsidRPr="004B1C0E" w:rsidTr="006F40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394" w:type="dxa"/>
            <w:gridSpan w:val="4"/>
          </w:tcPr>
          <w:p w:rsidR="004B1C0E" w:rsidRPr="004B1C0E" w:rsidRDefault="004B1C0E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color w:val="000000"/>
                <w:sz w:val="18"/>
                <w:szCs w:val="18"/>
              </w:rPr>
            </w:pPr>
            <w:r w:rsidRPr="004B1C0E">
              <w:rPr>
                <w:rFonts w:ascii="Century Gothic" w:hAnsi="Century Gothic" w:cs="Century Gothic"/>
                <w:color w:val="000000"/>
                <w:sz w:val="18"/>
                <w:szCs w:val="18"/>
              </w:rPr>
              <w:t xml:space="preserve">2,- Estado de Rentas y Gastos </w:t>
            </w:r>
          </w:p>
        </w:tc>
        <w:tc>
          <w:tcPr>
            <w:tcW w:w="956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</w:tcPr>
          <w:p w:rsidR="004B1C0E" w:rsidRPr="004B1C0E" w:rsidRDefault="004B1C0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B1C0E" w:rsidRPr="004B1C0E" w:rsidRDefault="004B1C0E" w:rsidP="004B1C0E">
      <w:pPr>
        <w:rPr>
          <w:sz w:val="18"/>
          <w:szCs w:val="18"/>
        </w:rPr>
      </w:pPr>
    </w:p>
    <w:sectPr w:rsidR="004B1C0E" w:rsidRPr="004B1C0E" w:rsidSect="006F4047">
      <w:footerReference w:type="even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81" w:rsidRDefault="00E42A81">
      <w:r>
        <w:separator/>
      </w:r>
    </w:p>
  </w:endnote>
  <w:endnote w:type="continuationSeparator" w:id="1">
    <w:p w:rsidR="00E42A81" w:rsidRDefault="00E4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87" w:rsidRDefault="00FD7787" w:rsidP="00E42A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7787" w:rsidRDefault="00FD778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787" w:rsidRDefault="00FD7787" w:rsidP="00E42A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530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FD7787" w:rsidRDefault="00FD778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81" w:rsidRDefault="00E42A81">
      <w:r>
        <w:separator/>
      </w:r>
    </w:p>
  </w:footnote>
  <w:footnote w:type="continuationSeparator" w:id="1">
    <w:p w:rsidR="00E42A81" w:rsidRDefault="00E42A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761"/>
    <w:rsid w:val="004B1C0E"/>
    <w:rsid w:val="004E3965"/>
    <w:rsid w:val="0068530D"/>
    <w:rsid w:val="006A340D"/>
    <w:rsid w:val="006F4047"/>
    <w:rsid w:val="007B7034"/>
    <w:rsid w:val="0089004A"/>
    <w:rsid w:val="009518FA"/>
    <w:rsid w:val="00C95C47"/>
    <w:rsid w:val="00D36761"/>
    <w:rsid w:val="00E42A81"/>
    <w:rsid w:val="00FD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rsid w:val="009518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95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CASJUCA</Company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ygonzalez</dc:creator>
  <cp:keywords/>
  <dc:description/>
  <cp:lastModifiedBy>silgivar</cp:lastModifiedBy>
  <cp:revision>2</cp:revision>
  <dcterms:created xsi:type="dcterms:W3CDTF">2010-09-29T17:47:00Z</dcterms:created>
  <dcterms:modified xsi:type="dcterms:W3CDTF">2010-09-29T17:47:00Z</dcterms:modified>
</cp:coreProperties>
</file>