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91" w:rsidRDefault="00F32A91">
      <w:pPr>
        <w:pStyle w:val="Ttulo"/>
      </w:pPr>
      <w:r>
        <w:t>ESCUELA SUPERIOR POLITÉCNICA DEL LITORAL</w:t>
      </w:r>
    </w:p>
    <w:p w:rsidR="00F32A91" w:rsidRDefault="00F32A91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2"/>
        </w:rPr>
        <w:t>FACULTAD DE ECONOMIA Y NEGOCIOS</w:t>
      </w:r>
    </w:p>
    <w:p w:rsidR="00F32A91" w:rsidRDefault="00F32A91">
      <w:pPr>
        <w:jc w:val="center"/>
        <w:rPr>
          <w:rFonts w:ascii="Arial" w:hAnsi="Arial" w:cs="Arial"/>
          <w:b/>
          <w:bCs/>
          <w:sz w:val="20"/>
        </w:rPr>
      </w:pPr>
    </w:p>
    <w:p w:rsidR="00F32A91" w:rsidRDefault="00F32A91">
      <w:pPr>
        <w:pStyle w:val="Ttulo1"/>
        <w:rPr>
          <w:sz w:val="24"/>
        </w:rPr>
      </w:pPr>
      <w:r>
        <w:rPr>
          <w:sz w:val="24"/>
        </w:rPr>
        <w:t xml:space="preserve">EXAMEN </w:t>
      </w:r>
      <w:r w:rsidR="005F3C03">
        <w:rPr>
          <w:sz w:val="24"/>
        </w:rPr>
        <w:t xml:space="preserve">FINAL </w:t>
      </w:r>
      <w:r>
        <w:rPr>
          <w:sz w:val="24"/>
        </w:rPr>
        <w:t xml:space="preserve">DE MACROECONOMIA </w:t>
      </w:r>
      <w:r w:rsidR="005F3C03">
        <w:rPr>
          <w:sz w:val="24"/>
        </w:rPr>
        <w:t>I</w:t>
      </w:r>
    </w:p>
    <w:p w:rsidR="00F32A91" w:rsidRDefault="00F32A91">
      <w:pPr>
        <w:jc w:val="center"/>
        <w:rPr>
          <w:rFonts w:ascii="Arial" w:hAnsi="Arial" w:cs="Arial"/>
          <w:b/>
          <w:bCs/>
          <w:sz w:val="20"/>
        </w:rPr>
      </w:pPr>
    </w:p>
    <w:p w:rsidR="00F32A91" w:rsidRDefault="00F32A9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Paralelo:</w:t>
      </w:r>
    </w:p>
    <w:p w:rsidR="00F32A91" w:rsidRDefault="00F32A91">
      <w:pPr>
        <w:pStyle w:val="Ttulo2"/>
      </w:pPr>
      <w:r>
        <w:t>Profesor: Ing. Javier Burgos Yambay</w:t>
      </w:r>
    </w:p>
    <w:p w:rsidR="00F32A91" w:rsidRDefault="00F32A9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Lunes 30 de Agosto 2010</w:t>
      </w:r>
    </w:p>
    <w:p w:rsidR="00F32A91" w:rsidRDefault="00F32A91">
      <w:pPr>
        <w:rPr>
          <w:rFonts w:ascii="Arial" w:hAnsi="Arial" w:cs="Arial"/>
          <w:sz w:val="22"/>
        </w:rPr>
      </w:pPr>
    </w:p>
    <w:p w:rsidR="00F32A91" w:rsidRDefault="00F32A91">
      <w:pPr>
        <w:rPr>
          <w:rFonts w:ascii="Arial" w:hAnsi="Arial" w:cs="Arial"/>
          <w:sz w:val="20"/>
        </w:rPr>
      </w:pPr>
    </w:p>
    <w:p w:rsidR="00F32A91" w:rsidRDefault="00F32A9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Sección I (50 minutos, 10 minutos por pregunta). (10 puntos c/literal)  </w:t>
      </w:r>
    </w:p>
    <w:p w:rsidR="00F32A91" w:rsidRDefault="00F32A91">
      <w:pPr>
        <w:rPr>
          <w:rFonts w:ascii="Arial" w:hAnsi="Arial" w:cs="Arial"/>
          <w:b/>
          <w:bCs/>
          <w:sz w:val="22"/>
        </w:rPr>
      </w:pPr>
    </w:p>
    <w:p w:rsidR="00F32A91" w:rsidRDefault="00F32A91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el modelo de </w:t>
      </w:r>
      <w:proofErr w:type="spellStart"/>
      <w:r>
        <w:rPr>
          <w:rFonts w:ascii="Arial" w:hAnsi="Arial" w:cs="Arial"/>
          <w:sz w:val="22"/>
        </w:rPr>
        <w:t>Solow</w:t>
      </w:r>
      <w:proofErr w:type="spellEnd"/>
      <w:r>
        <w:rPr>
          <w:rFonts w:ascii="Arial" w:hAnsi="Arial" w:cs="Arial"/>
          <w:sz w:val="22"/>
        </w:rPr>
        <w:t xml:space="preserve"> debe cumplirse que la tasa de crecimiento de la producción, en estado estacionario, es: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Igual a la tasa de crecimiento de la población cuando hay progreso tecnológico.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Mayor que la tasa de crecimiento de la población.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Menor que la tasa de crecimiento de la población.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Igual a la tasa de crecimiento de la población cuando no hay progreso tecnológico.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Ninguna de las anteriores.</w:t>
      </w:r>
    </w:p>
    <w:p w:rsidR="00F32A91" w:rsidRDefault="00F32A91">
      <w:pPr>
        <w:rPr>
          <w:rFonts w:ascii="Arial" w:hAnsi="Arial" w:cs="Arial"/>
          <w:sz w:val="22"/>
        </w:rPr>
      </w:pPr>
    </w:p>
    <w:p w:rsidR="00F32A91" w:rsidRDefault="00F32A91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acuerdo a las propiedades de la demanda de inversión: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Una reducción del tipo interés real, disminuye el stock deseado de capital, por lo que aumenta la demanda de inversión.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 desplazamiento hacia arriba de la curva de productividad marginal del capital, eleva el stock deseado de capital y la demanda de inversión.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 aumento de la tasa de depreciación, incrementa el stock deseado de capital. Por lo tanto, la demanda de inversión se mantiene constante.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Todas las anteriores.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Ninguna de las anteriores.</w:t>
      </w:r>
    </w:p>
    <w:p w:rsidR="00F32A91" w:rsidRDefault="00F32A91">
      <w:pPr>
        <w:rPr>
          <w:rFonts w:ascii="Arial" w:hAnsi="Arial" w:cs="Arial"/>
          <w:sz w:val="22"/>
        </w:rPr>
      </w:pPr>
    </w:p>
    <w:p w:rsidR="00F32A91" w:rsidRDefault="00F32A91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Según el capítulo de Mercado de Trabajo, un aumento de la tasa de interés nominal induce a las economías domésticas: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ahorrar más mediante la disminución del consumo presente y elevación de la oferta de trabajo actual.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que exista un aumento transitorio en el consumo.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Induce a una disminución en la oferta de trabajo de una manera permanente.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consumir en el presente y generarse una elevación de la oferta de trabajo actual.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Ninguna de las anteriores.</w:t>
      </w:r>
    </w:p>
    <w:p w:rsidR="00F32A91" w:rsidRDefault="00F32A91">
      <w:pPr>
        <w:ind w:left="1425"/>
        <w:rPr>
          <w:rFonts w:ascii="Arial" w:hAnsi="Arial" w:cs="Arial"/>
          <w:sz w:val="22"/>
        </w:rPr>
      </w:pPr>
    </w:p>
    <w:p w:rsidR="00F32A91" w:rsidRDefault="00F32A91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 se produce una perturbación de carácter positivo que afecta tanto el nivel de la función de producción como la productividad marginal del trabajo y del capital: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tasa de interés real debe aumentar.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 empleo aumenta si el efecto sustitución domina al efecto riqueza.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mayor parte de la fluctuación de la producción se debe a la variación de la inversión.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 salario real es </w:t>
      </w:r>
      <w:proofErr w:type="spellStart"/>
      <w:r>
        <w:rPr>
          <w:rFonts w:ascii="Arial" w:hAnsi="Arial" w:cs="Arial"/>
          <w:sz w:val="22"/>
        </w:rPr>
        <w:t>procíclico</w:t>
      </w:r>
      <w:proofErr w:type="spellEnd"/>
      <w:r>
        <w:rPr>
          <w:rFonts w:ascii="Arial" w:hAnsi="Arial" w:cs="Arial"/>
          <w:sz w:val="22"/>
        </w:rPr>
        <w:t>.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Todas las anteriores.</w:t>
      </w:r>
    </w:p>
    <w:p w:rsidR="00F32A91" w:rsidRDefault="00F32A91">
      <w:pPr>
        <w:rPr>
          <w:rFonts w:ascii="Arial" w:hAnsi="Arial" w:cs="Arial"/>
          <w:sz w:val="22"/>
        </w:rPr>
      </w:pPr>
    </w:p>
    <w:p w:rsidR="00F32A91" w:rsidRDefault="00F32A91">
      <w:pPr>
        <w:rPr>
          <w:rFonts w:ascii="Arial" w:hAnsi="Arial" w:cs="Arial"/>
          <w:sz w:val="22"/>
        </w:rPr>
      </w:pPr>
    </w:p>
    <w:p w:rsidR="00F32A91" w:rsidRDefault="00F32A91">
      <w:pPr>
        <w:rPr>
          <w:rFonts w:ascii="Arial" w:hAnsi="Arial" w:cs="Arial"/>
          <w:sz w:val="22"/>
        </w:rPr>
      </w:pPr>
    </w:p>
    <w:p w:rsidR="00F32A91" w:rsidRDefault="00F32A91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acuerdo a las propiedades del salario de reserva. (capítulo El Desempleo) Un aumento en el salario de desempleo: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Ocasiona un aumento del salario de reserva, disminuye la tasa de obtención de empleo y aumenta la duración esperada de desempleo.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Ocasiona un aumento del salario de reserva, de la tasa de obtención de empleo y de la duración esperada de desempleo. 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Ocasiona un aumento del salario de reserva, disminuye la tasa de obtención de empleo y la duración esperada de desempleo.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Ocasiona una disminución del salario de reserva, de la tasa de obtención de empleo y aumenta la duración esperada de desempleo.</w:t>
      </w:r>
    </w:p>
    <w:p w:rsidR="00F32A91" w:rsidRDefault="00F32A9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Ninguna de las anteriores.</w:t>
      </w:r>
    </w:p>
    <w:p w:rsidR="00F32A91" w:rsidRDefault="00F32A91">
      <w:pPr>
        <w:rPr>
          <w:rFonts w:ascii="Arial" w:hAnsi="Arial" w:cs="Arial"/>
          <w:sz w:val="20"/>
        </w:rPr>
      </w:pPr>
    </w:p>
    <w:p w:rsidR="00F32A91" w:rsidRDefault="00F32A9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Sección II (50 minutos).</w:t>
      </w:r>
    </w:p>
    <w:p w:rsidR="00F32A91" w:rsidRDefault="00F32A91">
      <w:pPr>
        <w:rPr>
          <w:rFonts w:ascii="Arial" w:hAnsi="Arial" w:cs="Arial"/>
          <w:sz w:val="22"/>
        </w:rPr>
      </w:pPr>
    </w:p>
    <w:p w:rsidR="00F32A91" w:rsidRDefault="00F32A91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</w:rPr>
        <w:t>(10 minutos – puntos) Capítulo La Inflación y los Tipos de Interés:</w:t>
      </w:r>
    </w:p>
    <w:p w:rsidR="00F32A91" w:rsidRDefault="00F32A91">
      <w:pPr>
        <w:rPr>
          <w:rFonts w:ascii="Arial" w:hAnsi="Arial" w:cs="Arial"/>
          <w:sz w:val="20"/>
        </w:rPr>
      </w:pPr>
    </w:p>
    <w:p w:rsidR="00F32A91" w:rsidRDefault="00F32A91">
      <w:pPr>
        <w:numPr>
          <w:ilvl w:val="1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qué es igual el tipo de interés nominal del dinero?</w:t>
      </w:r>
    </w:p>
    <w:p w:rsidR="00F32A91" w:rsidRDefault="00F32A91">
      <w:pPr>
        <w:numPr>
          <w:ilvl w:val="1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qué es igual el tipo de interés real del dinero?</w:t>
      </w:r>
    </w:p>
    <w:p w:rsidR="00F32A91" w:rsidRDefault="00F32A91">
      <w:pPr>
        <w:numPr>
          <w:ilvl w:val="1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qué es igual el tipo de interés real esperado del dinero?</w:t>
      </w:r>
    </w:p>
    <w:p w:rsidR="00F32A91" w:rsidRDefault="00F32A91">
      <w:pPr>
        <w:rPr>
          <w:rFonts w:ascii="Arial" w:hAnsi="Arial" w:cs="Arial"/>
          <w:sz w:val="22"/>
        </w:rPr>
      </w:pPr>
    </w:p>
    <w:p w:rsidR="00F32A91" w:rsidRDefault="00F32A91"/>
    <w:p w:rsidR="00F32A91" w:rsidRDefault="00F32A91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</w:rPr>
        <w:t xml:space="preserve">(20 minutos – puntos) : Modelo de </w:t>
      </w:r>
      <w:proofErr w:type="spellStart"/>
      <w:r>
        <w:rPr>
          <w:rFonts w:ascii="Arial" w:hAnsi="Arial" w:cs="Arial"/>
          <w:b/>
          <w:bCs/>
          <w:sz w:val="22"/>
        </w:rPr>
        <w:t>Solow</w:t>
      </w:r>
      <w:proofErr w:type="spellEnd"/>
      <w:r>
        <w:rPr>
          <w:rFonts w:ascii="Arial" w:hAnsi="Arial" w:cs="Arial"/>
          <w:b/>
          <w:bCs/>
          <w:sz w:val="22"/>
        </w:rPr>
        <w:t xml:space="preserve"> y experimentos</w:t>
      </w:r>
    </w:p>
    <w:p w:rsidR="00F32A91" w:rsidRDefault="00F32A91">
      <w:pPr>
        <w:ind w:left="360"/>
        <w:jc w:val="both"/>
        <w:rPr>
          <w:rFonts w:ascii="Arial" w:hAnsi="Arial" w:cs="Arial"/>
          <w:sz w:val="22"/>
        </w:rPr>
      </w:pPr>
    </w:p>
    <w:p w:rsidR="00F32A91" w:rsidRDefault="00F32A91">
      <w:pPr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Considere una economía descrita por el modelo de crecimiento de </w:t>
      </w:r>
      <w:proofErr w:type="spellStart"/>
      <w:r>
        <w:rPr>
          <w:rFonts w:ascii="Arial" w:hAnsi="Arial" w:cs="Arial"/>
          <w:sz w:val="22"/>
        </w:rPr>
        <w:t>Solow</w:t>
      </w:r>
      <w:proofErr w:type="spellEnd"/>
      <w:r>
        <w:rPr>
          <w:rFonts w:ascii="Arial" w:hAnsi="Arial" w:cs="Arial"/>
          <w:sz w:val="22"/>
        </w:rPr>
        <w:t>. Suponga que esta economía está inicialmente en el estado estacionario, donde el capital per capital es constante. Exponga, con el gráfico visto en clase, lo que o</w:t>
      </w:r>
      <w:r w:rsidR="00191D93">
        <w:rPr>
          <w:rFonts w:ascii="Arial" w:hAnsi="Arial" w:cs="Arial"/>
          <w:sz w:val="22"/>
        </w:rPr>
        <w:t>curriría con el capital per cápi</w:t>
      </w:r>
      <w:r>
        <w:rPr>
          <w:rFonts w:ascii="Arial" w:hAnsi="Arial" w:cs="Arial"/>
          <w:sz w:val="22"/>
        </w:rPr>
        <w:t>ta ante los siguientes sucesos:</w:t>
      </w:r>
    </w:p>
    <w:p w:rsidR="00F32A91" w:rsidRDefault="00F32A91">
      <w:pPr>
        <w:numPr>
          <w:ilvl w:val="1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(10 puntos) La tasa de ahorro de la economía se incrementa. </w:t>
      </w:r>
    </w:p>
    <w:p w:rsidR="00F32A91" w:rsidRDefault="00F32A91">
      <w:pPr>
        <w:numPr>
          <w:ilvl w:val="1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(10 puntos) La tasa de depreciación disminuye.</w:t>
      </w:r>
    </w:p>
    <w:p w:rsidR="00F32A91" w:rsidRDefault="00F32A91">
      <w:pPr>
        <w:ind w:left="1080"/>
        <w:rPr>
          <w:rFonts w:ascii="Arial" w:hAnsi="Arial" w:cs="Arial"/>
          <w:sz w:val="22"/>
        </w:rPr>
      </w:pPr>
    </w:p>
    <w:p w:rsidR="00F32A91" w:rsidRDefault="00F32A91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(20 minutos – puntos) </w:t>
      </w:r>
      <w:proofErr w:type="spellStart"/>
      <w:r>
        <w:rPr>
          <w:rFonts w:ascii="Arial" w:hAnsi="Arial" w:cs="Arial"/>
          <w:b/>
          <w:bCs/>
          <w:sz w:val="22"/>
        </w:rPr>
        <w:t>Señoriaje</w:t>
      </w:r>
      <w:proofErr w:type="spellEnd"/>
      <w:r>
        <w:rPr>
          <w:rFonts w:ascii="Arial" w:hAnsi="Arial" w:cs="Arial"/>
          <w:b/>
          <w:bCs/>
          <w:sz w:val="22"/>
        </w:rPr>
        <w:t xml:space="preserve"> e inflación:</w:t>
      </w:r>
    </w:p>
    <w:p w:rsidR="00F32A91" w:rsidRDefault="00F32A91">
      <w:pPr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Suponga que el gobierno necesita obtener 18% del PIB utilizando el </w:t>
      </w:r>
      <w:proofErr w:type="spellStart"/>
      <w:r>
        <w:rPr>
          <w:rFonts w:ascii="Arial" w:hAnsi="Arial" w:cs="Arial"/>
          <w:sz w:val="22"/>
        </w:rPr>
        <w:t>señoriaje</w:t>
      </w:r>
      <w:proofErr w:type="spellEnd"/>
      <w:r>
        <w:rPr>
          <w:rFonts w:ascii="Arial" w:hAnsi="Arial" w:cs="Arial"/>
          <w:sz w:val="22"/>
        </w:rPr>
        <w:t>. La demanda de dinero está dada por M</w:t>
      </w:r>
      <w:r>
        <w:rPr>
          <w:rFonts w:ascii="Arial" w:hAnsi="Arial" w:cs="Arial"/>
          <w:sz w:val="22"/>
          <w:vertAlign w:val="superscript"/>
        </w:rPr>
        <w:t>d</w:t>
      </w:r>
      <w:r>
        <w:rPr>
          <w:rFonts w:ascii="Arial" w:hAnsi="Arial" w:cs="Arial"/>
          <w:sz w:val="22"/>
        </w:rPr>
        <w:t xml:space="preserve">= (P*Y) / 4, en que Y=10. Calcule la tasa de inflación asociada con este nivel de financiamiento por </w:t>
      </w:r>
      <w:proofErr w:type="spellStart"/>
      <w:r>
        <w:rPr>
          <w:rFonts w:ascii="Arial" w:hAnsi="Arial" w:cs="Arial"/>
          <w:sz w:val="22"/>
        </w:rPr>
        <w:t>señoriaje</w:t>
      </w:r>
      <w:proofErr w:type="spellEnd"/>
      <w:r>
        <w:rPr>
          <w:rFonts w:ascii="Arial" w:hAnsi="Arial" w:cs="Arial"/>
          <w:sz w:val="22"/>
        </w:rPr>
        <w:t>. Asuma equilibrio en el mercado de dinero.</w:t>
      </w:r>
    </w:p>
    <w:p w:rsidR="00F32A91" w:rsidRDefault="00F32A91">
      <w:pPr>
        <w:rPr>
          <w:rFonts w:ascii="Arial" w:hAnsi="Arial" w:cs="Arial"/>
          <w:sz w:val="22"/>
        </w:rPr>
      </w:pPr>
    </w:p>
    <w:p w:rsidR="00F32A91" w:rsidRDefault="00F32A91">
      <w:pPr>
        <w:rPr>
          <w:rFonts w:ascii="Arial" w:hAnsi="Arial" w:cs="Arial"/>
          <w:sz w:val="22"/>
        </w:rPr>
      </w:pPr>
    </w:p>
    <w:p w:rsidR="00F32A91" w:rsidRDefault="00F32A91">
      <w:pPr>
        <w:rPr>
          <w:rFonts w:ascii="Arial" w:hAnsi="Arial" w:cs="Arial"/>
          <w:sz w:val="22"/>
        </w:rPr>
      </w:pPr>
    </w:p>
    <w:p w:rsidR="00F32A91" w:rsidRDefault="00F32A91">
      <w:pPr>
        <w:rPr>
          <w:rFonts w:ascii="Arial" w:hAnsi="Arial" w:cs="Arial"/>
          <w:sz w:val="22"/>
        </w:rPr>
      </w:pPr>
    </w:p>
    <w:p w:rsidR="00F32A91" w:rsidRDefault="00F32A91">
      <w:pPr>
        <w:rPr>
          <w:rFonts w:ascii="Arial" w:hAnsi="Arial" w:cs="Arial"/>
          <w:sz w:val="22"/>
        </w:rPr>
      </w:pPr>
    </w:p>
    <w:p w:rsidR="00F32A91" w:rsidRDefault="00F32A91">
      <w:pPr>
        <w:ind w:left="1065"/>
        <w:rPr>
          <w:rFonts w:ascii="Arial" w:hAnsi="Arial" w:cs="Arial"/>
          <w:sz w:val="22"/>
        </w:rPr>
      </w:pPr>
    </w:p>
    <w:p w:rsidR="00F32A91" w:rsidRDefault="00F32A91">
      <w:pPr>
        <w:rPr>
          <w:rFonts w:ascii="Arial" w:hAnsi="Arial" w:cs="Arial"/>
          <w:sz w:val="22"/>
        </w:rPr>
      </w:pPr>
    </w:p>
    <w:sectPr w:rsidR="00F32A91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E10"/>
    <w:multiLevelType w:val="hybridMultilevel"/>
    <w:tmpl w:val="5BCAA85C"/>
    <w:lvl w:ilvl="0" w:tplc="204E97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6A4DB3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4AD4BC0"/>
    <w:multiLevelType w:val="hybridMultilevel"/>
    <w:tmpl w:val="B08C95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B80F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A456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191D93"/>
    <w:rsid w:val="00191D93"/>
    <w:rsid w:val="005F3C03"/>
    <w:rsid w:val="007849D8"/>
    <w:rsid w:val="00B0675E"/>
    <w:rsid w:val="00B471BA"/>
    <w:rsid w:val="00F3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 Ma. Belén Aguilar Sinche</dc:creator>
  <cp:keywords/>
  <dc:description/>
  <cp:lastModifiedBy>silgivar</cp:lastModifiedBy>
  <cp:revision>2</cp:revision>
  <dcterms:created xsi:type="dcterms:W3CDTF">2010-09-29T17:57:00Z</dcterms:created>
  <dcterms:modified xsi:type="dcterms:W3CDTF">2010-09-29T17:57:00Z</dcterms:modified>
</cp:coreProperties>
</file>