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 w:val="48"/>
          <w:szCs w:val="32"/>
          <w:lang w:val="es-EC"/>
        </w:rPr>
      </w:pPr>
      <w:r w:rsidRPr="00CD4459">
        <w:rPr>
          <w:rFonts w:cs="Arial"/>
          <w:b/>
          <w:sz w:val="48"/>
          <w:szCs w:val="32"/>
          <w:lang w:val="es-EC"/>
        </w:rPr>
        <w:t>CAPITULO 5</w:t>
      </w:r>
    </w:p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Pr="00732A8E" w:rsidRDefault="00732A8E" w:rsidP="00732A8E">
      <w:pPr>
        <w:pStyle w:val="Estilo2"/>
        <w:spacing w:after="0" w:line="240" w:lineRule="auto"/>
        <w:jc w:val="center"/>
        <w:rPr>
          <w:rFonts w:cs="Arial"/>
          <w:b/>
          <w:szCs w:val="24"/>
          <w:lang w:val="es-EC"/>
        </w:rPr>
      </w:pPr>
    </w:p>
    <w:p w:rsidR="00732A8E" w:rsidRPr="00CD4459" w:rsidRDefault="00732A8E" w:rsidP="00732A8E">
      <w:pPr>
        <w:pStyle w:val="Ttulo1"/>
        <w:numPr>
          <w:ilvl w:val="0"/>
          <w:numId w:val="2"/>
        </w:numPr>
        <w:spacing w:line="240" w:lineRule="auto"/>
        <w:rPr>
          <w:rFonts w:cs="Arial"/>
          <w:sz w:val="32"/>
          <w:szCs w:val="24"/>
          <w:lang w:val="es-EC"/>
        </w:rPr>
      </w:pPr>
      <w:bookmarkStart w:id="0" w:name="_Toc280005834"/>
      <w:r w:rsidRPr="00CD4459">
        <w:rPr>
          <w:rFonts w:cs="Arial"/>
          <w:sz w:val="32"/>
          <w:szCs w:val="24"/>
          <w:lang w:val="es-EC"/>
        </w:rPr>
        <w:t xml:space="preserve">CONCLUSIONES </w:t>
      </w:r>
      <w:r>
        <w:rPr>
          <w:rFonts w:cs="Arial"/>
          <w:sz w:val="32"/>
          <w:szCs w:val="24"/>
          <w:lang w:val="es-EC"/>
        </w:rPr>
        <w:t>Y RECOMEND</w:t>
      </w:r>
      <w:r w:rsidRPr="00CD4459">
        <w:rPr>
          <w:rFonts w:cs="Arial"/>
          <w:sz w:val="32"/>
          <w:szCs w:val="24"/>
          <w:lang w:val="es-EC"/>
        </w:rPr>
        <w:t>ACIONES</w:t>
      </w:r>
      <w:bookmarkEnd w:id="0"/>
    </w:p>
    <w:p w:rsidR="00732A8E" w:rsidRDefault="00732A8E" w:rsidP="00732A8E">
      <w:pPr>
        <w:pStyle w:val="Estilo2"/>
        <w:spacing w:before="120" w:after="120" w:line="240" w:lineRule="auto"/>
        <w:ind w:left="708"/>
        <w:rPr>
          <w:rFonts w:cs="Arial"/>
          <w:b/>
          <w:szCs w:val="24"/>
          <w:lang w:val="es-EC"/>
        </w:rPr>
      </w:pPr>
    </w:p>
    <w:p w:rsidR="00732A8E" w:rsidRDefault="00732A8E" w:rsidP="00732A8E">
      <w:pPr>
        <w:pStyle w:val="Estilo2"/>
        <w:spacing w:before="120" w:after="120" w:line="240" w:lineRule="auto"/>
        <w:ind w:left="708"/>
        <w:rPr>
          <w:rFonts w:cs="Arial"/>
          <w:b/>
          <w:szCs w:val="24"/>
          <w:lang w:val="es-EC"/>
        </w:rPr>
      </w:pPr>
    </w:p>
    <w:p w:rsidR="00732A8E" w:rsidRDefault="00732A8E" w:rsidP="00732A8E">
      <w:pPr>
        <w:pStyle w:val="Estilo2"/>
        <w:spacing w:before="120" w:after="120" w:line="240" w:lineRule="auto"/>
        <w:ind w:left="708"/>
        <w:rPr>
          <w:rFonts w:cs="Arial"/>
          <w:b/>
          <w:szCs w:val="24"/>
          <w:lang w:val="es-EC"/>
        </w:rPr>
      </w:pPr>
    </w:p>
    <w:p w:rsidR="00732A8E" w:rsidRPr="00B073D4" w:rsidRDefault="00732A8E" w:rsidP="00732A8E">
      <w:pPr>
        <w:pStyle w:val="Estilo2"/>
        <w:spacing w:before="120" w:after="120"/>
        <w:ind w:left="708"/>
        <w:rPr>
          <w:rFonts w:cs="Arial"/>
          <w:b/>
          <w:szCs w:val="24"/>
          <w:lang w:val="es-EC"/>
        </w:rPr>
      </w:pPr>
    </w:p>
    <w:p w:rsidR="00732A8E" w:rsidRDefault="00732A8E" w:rsidP="00A75FF5">
      <w:pPr>
        <w:pStyle w:val="Estilo2"/>
        <w:numPr>
          <w:ilvl w:val="0"/>
          <w:numId w:val="3"/>
        </w:numPr>
        <w:spacing w:before="120" w:after="120"/>
        <w:ind w:left="1418" w:hanging="567"/>
        <w:rPr>
          <w:rFonts w:cs="Arial"/>
          <w:b/>
          <w:szCs w:val="24"/>
          <w:lang w:val="es-EC"/>
        </w:rPr>
      </w:pPr>
      <w:r w:rsidRPr="00B073D4">
        <w:rPr>
          <w:rFonts w:cs="Arial"/>
          <w:b/>
          <w:szCs w:val="24"/>
          <w:lang w:val="es-EC"/>
        </w:rPr>
        <w:t>Conclusiones</w:t>
      </w:r>
    </w:p>
    <w:p w:rsidR="00732A8E" w:rsidRPr="00B073D4" w:rsidRDefault="00732A8E" w:rsidP="00732A8E">
      <w:pPr>
        <w:pStyle w:val="Estilo2"/>
        <w:spacing w:before="120" w:after="120" w:line="240" w:lineRule="auto"/>
        <w:ind w:left="720"/>
        <w:rPr>
          <w:rFonts w:cs="Arial"/>
          <w:b/>
          <w:szCs w:val="24"/>
          <w:lang w:val="es-EC"/>
        </w:rPr>
      </w:pPr>
    </w:p>
    <w:p w:rsidR="00732A8E" w:rsidRDefault="00732A8E" w:rsidP="00A75FF5">
      <w:pPr>
        <w:pStyle w:val="Estilo2"/>
        <w:spacing w:after="0" w:line="480" w:lineRule="auto"/>
        <w:ind w:left="993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Del presente trabajo, después de realizar el respectivo análisis estadístico se concluye lo siguiente:</w:t>
      </w:r>
    </w:p>
    <w:p w:rsidR="00732A8E" w:rsidRPr="00B073D4" w:rsidRDefault="00732A8E" w:rsidP="00732A8E">
      <w:pPr>
        <w:pStyle w:val="Estilo2"/>
        <w:spacing w:after="0" w:line="480" w:lineRule="auto"/>
        <w:ind w:left="708"/>
        <w:rPr>
          <w:rFonts w:cs="Arial"/>
          <w:szCs w:val="24"/>
          <w:lang w:val="es-EC"/>
        </w:rPr>
      </w:pPr>
    </w:p>
    <w:p w:rsidR="00732A8E" w:rsidRPr="00B073D4" w:rsidRDefault="00732A8E" w:rsidP="00A75FF5">
      <w:pPr>
        <w:pStyle w:val="Estilo2"/>
        <w:numPr>
          <w:ilvl w:val="0"/>
          <w:numId w:val="1"/>
        </w:numPr>
        <w:spacing w:after="0" w:line="480" w:lineRule="auto"/>
        <w:ind w:left="1418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L</w:t>
      </w:r>
      <w:r w:rsidRPr="00314612">
        <w:rPr>
          <w:rFonts w:cs="Arial"/>
          <w:szCs w:val="24"/>
          <w:lang w:val="es-EC"/>
        </w:rPr>
        <w:t>a asistencia técnica</w:t>
      </w:r>
      <w:r>
        <w:rPr>
          <w:rFonts w:cs="Arial"/>
          <w:szCs w:val="24"/>
          <w:lang w:val="es-EC"/>
        </w:rPr>
        <w:t xml:space="preserve"> que reciben los productores va orientada a la venta de un producto departe de las casas comerciales y no al buen manejo del cultivo.</w:t>
      </w:r>
    </w:p>
    <w:p w:rsidR="00732A8E" w:rsidRDefault="00732A8E" w:rsidP="00A75FF5">
      <w:pPr>
        <w:pStyle w:val="Estilo2"/>
        <w:numPr>
          <w:ilvl w:val="0"/>
          <w:numId w:val="1"/>
        </w:numPr>
        <w:spacing w:before="120" w:after="120"/>
        <w:ind w:left="1418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L</w:t>
      </w:r>
      <w:r>
        <w:rPr>
          <w:rFonts w:cs="Arial"/>
          <w:szCs w:val="24"/>
          <w:lang w:val="es-EC"/>
        </w:rPr>
        <w:t>os créditos para el sector soyeros deben ser dirigidos principalmente para la adquisición de maquinaria agrícola y semilla certificada.</w:t>
      </w:r>
    </w:p>
    <w:p w:rsidR="00732A8E" w:rsidRDefault="00732A8E" w:rsidP="00A75FF5">
      <w:pPr>
        <w:pStyle w:val="Estilo2"/>
        <w:numPr>
          <w:ilvl w:val="0"/>
          <w:numId w:val="1"/>
        </w:numPr>
        <w:spacing w:before="120" w:after="120"/>
        <w:ind w:left="1418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lastRenderedPageBreak/>
        <w:t>Se debe impulsar obtención de nuevas variedades de soya, la producción y utilización de semillas certificadas.</w:t>
      </w:r>
    </w:p>
    <w:p w:rsidR="00732A8E" w:rsidRDefault="00732A8E" w:rsidP="00A75FF5">
      <w:pPr>
        <w:pStyle w:val="Estilo2"/>
        <w:numPr>
          <w:ilvl w:val="0"/>
          <w:numId w:val="1"/>
        </w:numPr>
        <w:spacing w:before="120" w:after="120"/>
        <w:ind w:left="1418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E</w:t>
      </w:r>
      <w:r w:rsidRPr="00B073D4">
        <w:rPr>
          <w:rFonts w:cs="Arial"/>
          <w:szCs w:val="24"/>
          <w:lang w:val="es-EC"/>
        </w:rPr>
        <w:t xml:space="preserve">l cultivo de la soya </w:t>
      </w:r>
      <w:r>
        <w:rPr>
          <w:rFonts w:cs="Arial"/>
          <w:szCs w:val="24"/>
          <w:lang w:val="es-EC"/>
        </w:rPr>
        <w:t xml:space="preserve">no </w:t>
      </w:r>
      <w:r w:rsidRPr="00B073D4">
        <w:rPr>
          <w:rFonts w:cs="Arial"/>
          <w:szCs w:val="24"/>
          <w:lang w:val="es-EC"/>
        </w:rPr>
        <w:t>rota exclusivamente con maíz</w:t>
      </w:r>
      <w:r>
        <w:rPr>
          <w:rFonts w:cs="Arial"/>
          <w:szCs w:val="24"/>
          <w:lang w:val="es-EC"/>
        </w:rPr>
        <w:t xml:space="preserve">, </w:t>
      </w:r>
      <w:r w:rsidRPr="00B073D4">
        <w:rPr>
          <w:rFonts w:cs="Arial"/>
          <w:szCs w:val="24"/>
          <w:lang w:val="es-EC"/>
        </w:rPr>
        <w:t xml:space="preserve"> el cultivo de rotación que acompaña a la soya es su mayoría es el arroz.</w:t>
      </w:r>
    </w:p>
    <w:p w:rsidR="00732A8E" w:rsidRDefault="00732A8E" w:rsidP="00A75FF5">
      <w:pPr>
        <w:pStyle w:val="Estilo2"/>
        <w:numPr>
          <w:ilvl w:val="0"/>
          <w:numId w:val="1"/>
        </w:numPr>
        <w:spacing w:before="120" w:after="120"/>
        <w:ind w:left="1418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No se está realizando análisis de suelos o foliares.</w:t>
      </w:r>
    </w:p>
    <w:p w:rsidR="00732A8E" w:rsidRDefault="00732A8E" w:rsidP="00732A8E">
      <w:pPr>
        <w:pStyle w:val="Estilo2"/>
        <w:spacing w:before="120" w:after="120"/>
        <w:ind w:left="1134"/>
        <w:jc w:val="both"/>
        <w:rPr>
          <w:rFonts w:cs="Arial"/>
          <w:szCs w:val="24"/>
          <w:lang w:val="es-EC"/>
        </w:rPr>
      </w:pPr>
    </w:p>
    <w:p w:rsidR="00732A8E" w:rsidRPr="00B073D4" w:rsidRDefault="00732A8E" w:rsidP="00732A8E">
      <w:pPr>
        <w:pStyle w:val="Ttulo1"/>
        <w:rPr>
          <w:rFonts w:cs="Arial"/>
          <w:szCs w:val="24"/>
          <w:lang w:val="es-EC"/>
        </w:rPr>
      </w:pPr>
    </w:p>
    <w:p w:rsidR="00732A8E" w:rsidRPr="00B073D4" w:rsidRDefault="00732A8E" w:rsidP="00A75FF5">
      <w:pPr>
        <w:pStyle w:val="Prrafodelista"/>
        <w:numPr>
          <w:ilvl w:val="0"/>
          <w:numId w:val="1"/>
        </w:numPr>
        <w:ind w:left="1134"/>
        <w:rPr>
          <w:rFonts w:ascii="Arial" w:hAnsi="Arial" w:cs="Arial"/>
          <w:b/>
          <w:lang w:val="es-EC"/>
        </w:rPr>
      </w:pPr>
      <w:bookmarkStart w:id="1" w:name="_Toc273181133"/>
      <w:r w:rsidRPr="00B073D4">
        <w:rPr>
          <w:rFonts w:ascii="Arial" w:hAnsi="Arial" w:cs="Arial"/>
          <w:b/>
          <w:sz w:val="24"/>
          <w:lang w:val="es-EC"/>
        </w:rPr>
        <w:t>Recomendaciones</w:t>
      </w:r>
      <w:bookmarkEnd w:id="1"/>
    </w:p>
    <w:p w:rsidR="00732A8E" w:rsidRPr="00B073D4" w:rsidRDefault="00732A8E" w:rsidP="00732A8E">
      <w:pPr>
        <w:pStyle w:val="Estilo2"/>
        <w:spacing w:before="120" w:after="120"/>
        <w:ind w:left="142"/>
        <w:rPr>
          <w:rFonts w:cs="Arial"/>
          <w:b/>
          <w:szCs w:val="24"/>
          <w:lang w:val="es-EC"/>
        </w:rPr>
      </w:pPr>
    </w:p>
    <w:p w:rsidR="00732A8E" w:rsidRDefault="00732A8E" w:rsidP="00A75FF5">
      <w:pPr>
        <w:pStyle w:val="Estilo2"/>
        <w:numPr>
          <w:ilvl w:val="0"/>
          <w:numId w:val="1"/>
        </w:numPr>
        <w:spacing w:before="120" w:after="120"/>
        <w:ind w:left="1560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La</w:t>
      </w:r>
      <w:r w:rsidRPr="00314612">
        <w:rPr>
          <w:rFonts w:cs="Arial"/>
          <w:szCs w:val="24"/>
          <w:lang w:val="es-EC"/>
        </w:rPr>
        <w:t xml:space="preserve"> capacitación al </w:t>
      </w:r>
      <w:r>
        <w:rPr>
          <w:rFonts w:cs="Arial"/>
          <w:szCs w:val="24"/>
          <w:lang w:val="es-EC"/>
        </w:rPr>
        <w:t xml:space="preserve">productor </w:t>
      </w:r>
      <w:r w:rsidRPr="00314612">
        <w:rPr>
          <w:rFonts w:cs="Arial"/>
          <w:szCs w:val="24"/>
          <w:lang w:val="es-EC"/>
        </w:rPr>
        <w:t>incentivar</w:t>
      </w:r>
      <w:r>
        <w:rPr>
          <w:rFonts w:cs="Arial"/>
          <w:szCs w:val="24"/>
          <w:lang w:val="es-EC"/>
        </w:rPr>
        <w:t>á</w:t>
      </w:r>
      <w:r w:rsidRPr="00314612">
        <w:rPr>
          <w:rFonts w:cs="Arial"/>
          <w:szCs w:val="24"/>
          <w:lang w:val="es-EC"/>
        </w:rPr>
        <w:t xml:space="preserve"> en ellos el uso seguro y eficiente de los fertilizantes y pesticidas, de esta forma se asegura el desarrollo sostenible del cultivo.</w:t>
      </w:r>
    </w:p>
    <w:p w:rsidR="00732A8E" w:rsidRDefault="00732A8E" w:rsidP="00A75FF5">
      <w:pPr>
        <w:pStyle w:val="Estilo2"/>
        <w:spacing w:before="120" w:after="120"/>
        <w:ind w:left="1560"/>
        <w:jc w:val="both"/>
        <w:rPr>
          <w:rFonts w:cs="Arial"/>
          <w:szCs w:val="24"/>
          <w:lang w:val="es-EC"/>
        </w:rPr>
      </w:pPr>
    </w:p>
    <w:p w:rsidR="00732A8E" w:rsidRPr="00B073D4" w:rsidRDefault="00732A8E" w:rsidP="00A75FF5">
      <w:pPr>
        <w:pStyle w:val="Estilo2"/>
        <w:numPr>
          <w:ilvl w:val="0"/>
          <w:numId w:val="1"/>
        </w:numPr>
        <w:spacing w:before="120" w:after="120"/>
        <w:ind w:left="1560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En vista de que no existe una variedad de soya que sea de alto rendimiento, una de las principales recomendaciones de este diagnóstico es impulsar el uso</w:t>
      </w:r>
      <w:r>
        <w:rPr>
          <w:rFonts w:cs="Arial"/>
          <w:szCs w:val="24"/>
          <w:lang w:val="es-EC"/>
        </w:rPr>
        <w:t xml:space="preserve"> y producción</w:t>
      </w:r>
      <w:r w:rsidRPr="00B073D4">
        <w:rPr>
          <w:rFonts w:cs="Arial"/>
          <w:szCs w:val="24"/>
          <w:lang w:val="es-EC"/>
        </w:rPr>
        <w:t xml:space="preserve"> de semillas de calidad, una alternativa puede ser la variedad INIAP 308 que pronto estará a disposición de los productores soyeros. </w:t>
      </w:r>
    </w:p>
    <w:p w:rsidR="00732A8E" w:rsidRPr="00B073D4" w:rsidRDefault="00732A8E" w:rsidP="00A75FF5">
      <w:pPr>
        <w:pStyle w:val="Estilo2"/>
        <w:spacing w:before="120" w:after="120"/>
        <w:ind w:left="1560"/>
        <w:jc w:val="both"/>
        <w:rPr>
          <w:rFonts w:cs="Arial"/>
          <w:szCs w:val="24"/>
          <w:lang w:val="es-EC"/>
        </w:rPr>
      </w:pPr>
    </w:p>
    <w:p w:rsidR="00732A8E" w:rsidRPr="00B073D4" w:rsidRDefault="00732A8E" w:rsidP="00A75FF5">
      <w:pPr>
        <w:pStyle w:val="Estilo2"/>
        <w:numPr>
          <w:ilvl w:val="0"/>
          <w:numId w:val="1"/>
        </w:numPr>
        <w:spacing w:before="120" w:after="120"/>
        <w:ind w:left="1560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lastRenderedPageBreak/>
        <w:t>E</w:t>
      </w:r>
      <w:r w:rsidRPr="00B073D4">
        <w:rPr>
          <w:rFonts w:cs="Arial"/>
          <w:szCs w:val="24"/>
          <w:lang w:val="es-EC"/>
        </w:rPr>
        <w:t xml:space="preserve">l acceso a créditos debe </w:t>
      </w:r>
      <w:r>
        <w:rPr>
          <w:rFonts w:cs="Arial"/>
          <w:szCs w:val="24"/>
          <w:lang w:val="es-EC"/>
        </w:rPr>
        <w:t>ágil</w:t>
      </w:r>
      <w:r w:rsidRPr="00B073D4">
        <w:rPr>
          <w:rFonts w:cs="Arial"/>
          <w:szCs w:val="24"/>
          <w:lang w:val="es-EC"/>
        </w:rPr>
        <w:t xml:space="preserve"> y oportuno</w:t>
      </w:r>
      <w:r>
        <w:rPr>
          <w:rFonts w:cs="Arial"/>
          <w:szCs w:val="24"/>
          <w:lang w:val="es-EC"/>
        </w:rPr>
        <w:t>, con el fin que sean utilizados en el tiempo requerido por el productor.</w:t>
      </w:r>
    </w:p>
    <w:p w:rsidR="00732A8E" w:rsidRPr="00B073D4" w:rsidRDefault="00732A8E" w:rsidP="00A75FF5">
      <w:pPr>
        <w:pStyle w:val="Estilo2"/>
        <w:spacing w:before="120" w:after="120"/>
        <w:ind w:left="1560"/>
        <w:jc w:val="both"/>
        <w:rPr>
          <w:rFonts w:cs="Arial"/>
          <w:szCs w:val="24"/>
          <w:lang w:val="es-EC"/>
        </w:rPr>
      </w:pPr>
    </w:p>
    <w:p w:rsidR="00732A8E" w:rsidRPr="00B073D4" w:rsidRDefault="00732A8E" w:rsidP="00A75FF5">
      <w:pPr>
        <w:pStyle w:val="Estilo2"/>
        <w:numPr>
          <w:ilvl w:val="0"/>
          <w:numId w:val="1"/>
        </w:numPr>
        <w:spacing w:before="120" w:after="120"/>
        <w:ind w:left="1560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 xml:space="preserve">Temas como la administración micro empresarial debe ser parte de una capacitación integral para cada una de las asociaciones agrícolas que están integrando sistemas crediticios que incluyen </w:t>
      </w:r>
      <w:r w:rsidRPr="00B073D4">
        <w:rPr>
          <w:rFonts w:cs="Arial"/>
          <w:i/>
          <w:szCs w:val="24"/>
          <w:lang w:val="es-EC"/>
        </w:rPr>
        <w:t>cajas de ahorro</w:t>
      </w:r>
      <w:r w:rsidRPr="00B073D4">
        <w:rPr>
          <w:rFonts w:cs="Arial"/>
          <w:szCs w:val="24"/>
          <w:lang w:val="es-EC"/>
        </w:rPr>
        <w:t xml:space="preserve"> a favor de sus miembros.</w:t>
      </w:r>
    </w:p>
    <w:p w:rsidR="00732A8E" w:rsidRDefault="00732A8E" w:rsidP="00A75FF5">
      <w:pPr>
        <w:pStyle w:val="Estilo2"/>
        <w:spacing w:before="120" w:after="120"/>
        <w:ind w:left="1560"/>
        <w:jc w:val="both"/>
        <w:rPr>
          <w:rFonts w:cs="Arial"/>
          <w:szCs w:val="24"/>
          <w:lang w:val="es-EC"/>
        </w:rPr>
      </w:pPr>
    </w:p>
    <w:p w:rsidR="00732A8E" w:rsidRPr="00B073D4" w:rsidRDefault="00732A8E" w:rsidP="00A75FF5">
      <w:pPr>
        <w:pStyle w:val="Estilo2"/>
        <w:numPr>
          <w:ilvl w:val="0"/>
          <w:numId w:val="1"/>
        </w:numPr>
        <w:spacing w:before="120" w:after="120"/>
        <w:ind w:left="1560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En una explotación agrícola, el uso eficaz de fertilizantes está directamente relacionado con realizar análisis de suelos y foliares para evaluar el tipo de aplicación y correcta dosificación para cada cultivo, es por esto que una de las recomendaciones más importantes es el realizar estos tipos de análisis.</w:t>
      </w:r>
    </w:p>
    <w:p w:rsidR="00987ED3" w:rsidRDefault="00DA17D4"/>
    <w:sectPr w:rsidR="00987ED3" w:rsidSect="00C40C45">
      <w:headerReference w:type="default" r:id="rId7"/>
      <w:pgSz w:w="12240" w:h="15840"/>
      <w:pgMar w:top="2268" w:right="1361" w:bottom="2268" w:left="2268" w:header="709" w:footer="709" w:gutter="0"/>
      <w:pgNumType w:start="10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D4" w:rsidRDefault="00DA17D4" w:rsidP="00C40C45">
      <w:pPr>
        <w:spacing w:after="0" w:line="240" w:lineRule="auto"/>
      </w:pPr>
      <w:r>
        <w:separator/>
      </w:r>
    </w:p>
  </w:endnote>
  <w:endnote w:type="continuationSeparator" w:id="0">
    <w:p w:rsidR="00DA17D4" w:rsidRDefault="00DA17D4" w:rsidP="00C4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D4" w:rsidRDefault="00DA17D4" w:rsidP="00C40C45">
      <w:pPr>
        <w:spacing w:after="0" w:line="240" w:lineRule="auto"/>
      </w:pPr>
      <w:r>
        <w:separator/>
      </w:r>
    </w:p>
  </w:footnote>
  <w:footnote w:type="continuationSeparator" w:id="0">
    <w:p w:rsidR="00DA17D4" w:rsidRDefault="00DA17D4" w:rsidP="00C4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00619"/>
      <w:docPartObj>
        <w:docPartGallery w:val="Page Numbers (Top of Page)"/>
        <w:docPartUnique/>
      </w:docPartObj>
    </w:sdtPr>
    <w:sdtContent>
      <w:p w:rsidR="00C40C45" w:rsidRDefault="00C40C45">
        <w:pPr>
          <w:pStyle w:val="Encabezado"/>
          <w:jc w:val="right"/>
        </w:pPr>
      </w:p>
      <w:p w:rsidR="00C40C45" w:rsidRDefault="00C40C45">
        <w:pPr>
          <w:pStyle w:val="Encabezado"/>
          <w:jc w:val="right"/>
        </w:pPr>
      </w:p>
      <w:p w:rsidR="00C40C45" w:rsidRDefault="00C40C45">
        <w:pPr>
          <w:pStyle w:val="Encabezado"/>
          <w:jc w:val="right"/>
        </w:pPr>
      </w:p>
      <w:p w:rsidR="00C40C45" w:rsidRDefault="00C40C45">
        <w:pPr>
          <w:pStyle w:val="Encabezado"/>
          <w:jc w:val="right"/>
        </w:pPr>
        <w:fldSimple w:instr=" PAGE   \* MERGEFORMAT ">
          <w:r w:rsidR="00A75FF5">
            <w:rPr>
              <w:noProof/>
            </w:rPr>
            <w:t>105</w:t>
          </w:r>
        </w:fldSimple>
      </w:p>
    </w:sdtContent>
  </w:sdt>
  <w:p w:rsidR="00C40C45" w:rsidRDefault="00C40C4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3B1"/>
    <w:multiLevelType w:val="hybridMultilevel"/>
    <w:tmpl w:val="6E46FD76"/>
    <w:lvl w:ilvl="0" w:tplc="3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A01081D"/>
    <w:multiLevelType w:val="hybridMultilevel"/>
    <w:tmpl w:val="F4F2A5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D0BE5"/>
    <w:multiLevelType w:val="hybridMultilevel"/>
    <w:tmpl w:val="EDB61524"/>
    <w:lvl w:ilvl="0" w:tplc="14869CE0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8E"/>
    <w:rsid w:val="0002588F"/>
    <w:rsid w:val="000744E8"/>
    <w:rsid w:val="000F5DE4"/>
    <w:rsid w:val="001B2D60"/>
    <w:rsid w:val="00210DBC"/>
    <w:rsid w:val="002C0FB4"/>
    <w:rsid w:val="002D0E87"/>
    <w:rsid w:val="00347011"/>
    <w:rsid w:val="003638E9"/>
    <w:rsid w:val="003D591D"/>
    <w:rsid w:val="004378E7"/>
    <w:rsid w:val="004E667C"/>
    <w:rsid w:val="00533F83"/>
    <w:rsid w:val="00551471"/>
    <w:rsid w:val="005517EA"/>
    <w:rsid w:val="006A2ED9"/>
    <w:rsid w:val="00732A8E"/>
    <w:rsid w:val="0077631D"/>
    <w:rsid w:val="008A5F6D"/>
    <w:rsid w:val="00921BEE"/>
    <w:rsid w:val="00921F96"/>
    <w:rsid w:val="009F40FD"/>
    <w:rsid w:val="00A7527A"/>
    <w:rsid w:val="00A75FF5"/>
    <w:rsid w:val="00AA6EF9"/>
    <w:rsid w:val="00C40C45"/>
    <w:rsid w:val="00C755E7"/>
    <w:rsid w:val="00C86189"/>
    <w:rsid w:val="00DA17D4"/>
    <w:rsid w:val="00DB6634"/>
    <w:rsid w:val="00E743D8"/>
    <w:rsid w:val="00E809ED"/>
    <w:rsid w:val="00EF02EB"/>
    <w:rsid w:val="00F149FF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20F"/>
  </w:style>
  <w:style w:type="paragraph" w:styleId="Ttulo1">
    <w:name w:val="heading 1"/>
    <w:basedOn w:val="Normal"/>
    <w:next w:val="Normal"/>
    <w:link w:val="Ttulo1Car"/>
    <w:uiPriority w:val="9"/>
    <w:qFormat/>
    <w:rsid w:val="00732A8E"/>
    <w:pPr>
      <w:spacing w:before="480" w:after="0"/>
      <w:contextualSpacing/>
      <w:outlineLvl w:val="0"/>
    </w:pPr>
    <w:rPr>
      <w:rFonts w:ascii="Arial" w:eastAsiaTheme="majorEastAsia" w:hAnsi="Arial" w:cstheme="majorBidi"/>
      <w:b/>
      <w:bCs/>
      <w:sz w:val="24"/>
      <w:szCs w:val="28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2A8E"/>
    <w:rPr>
      <w:rFonts w:ascii="Arial" w:eastAsiaTheme="majorEastAsia" w:hAnsi="Arial" w:cstheme="majorBidi"/>
      <w:b/>
      <w:bCs/>
      <w:sz w:val="24"/>
      <w:szCs w:val="28"/>
      <w:lang w:val="en-US" w:bidi="en-US"/>
    </w:rPr>
  </w:style>
  <w:style w:type="paragraph" w:customStyle="1" w:styleId="Estilo2">
    <w:name w:val="Estilo2"/>
    <w:basedOn w:val="Normal"/>
    <w:link w:val="Estilo2Car"/>
    <w:qFormat/>
    <w:rsid w:val="00732A8E"/>
    <w:pPr>
      <w:spacing w:line="360" w:lineRule="auto"/>
    </w:pPr>
    <w:rPr>
      <w:rFonts w:ascii="Arial" w:eastAsiaTheme="minorEastAsia" w:hAnsi="Arial"/>
      <w:spacing w:val="20"/>
      <w:sz w:val="24"/>
      <w:lang w:val="en-US" w:bidi="en-US"/>
    </w:rPr>
  </w:style>
  <w:style w:type="character" w:customStyle="1" w:styleId="Estilo2Car">
    <w:name w:val="Estilo2 Car"/>
    <w:basedOn w:val="Fuentedeprrafopredeter"/>
    <w:link w:val="Estilo2"/>
    <w:rsid w:val="00732A8E"/>
    <w:rPr>
      <w:rFonts w:ascii="Arial" w:eastAsiaTheme="minorEastAsia" w:hAnsi="Arial"/>
      <w:spacing w:val="20"/>
      <w:sz w:val="24"/>
      <w:lang w:val="en-US" w:bidi="en-US"/>
    </w:rPr>
  </w:style>
  <w:style w:type="paragraph" w:styleId="Prrafodelista">
    <w:name w:val="List Paragraph"/>
    <w:basedOn w:val="Normal"/>
    <w:uiPriority w:val="34"/>
    <w:qFormat/>
    <w:rsid w:val="00732A8E"/>
    <w:pPr>
      <w:ind w:left="720"/>
      <w:contextualSpacing/>
    </w:pPr>
    <w:rPr>
      <w:rFonts w:eastAsiaTheme="minorEastAsia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C40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C45"/>
  </w:style>
  <w:style w:type="paragraph" w:styleId="Piedepgina">
    <w:name w:val="footer"/>
    <w:basedOn w:val="Normal"/>
    <w:link w:val="PiedepginaCar"/>
    <w:uiPriority w:val="99"/>
    <w:semiHidden/>
    <w:unhideWhenUsed/>
    <w:rsid w:val="00C40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0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Cisne</dc:creator>
  <cp:lastModifiedBy>Maria del Cisne</cp:lastModifiedBy>
  <cp:revision>3</cp:revision>
  <dcterms:created xsi:type="dcterms:W3CDTF">2010-12-13T22:30:00Z</dcterms:created>
  <dcterms:modified xsi:type="dcterms:W3CDTF">2010-12-13T22:42:00Z</dcterms:modified>
</cp:coreProperties>
</file>