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664A7C" w:rsidRPr="00664A7C" w:rsidTr="00664A7C">
        <w:trPr>
          <w:tblCellSpacing w:w="0" w:type="dxa"/>
        </w:trPr>
        <w:tc>
          <w:tcPr>
            <w:tcW w:w="7485" w:type="dxa"/>
            <w:gridSpan w:val="2"/>
            <w:hideMark/>
          </w:tcPr>
          <w:p w:rsidR="00664A7C" w:rsidRPr="00664A7C" w:rsidRDefault="00664A7C" w:rsidP="00664A7C">
            <w:pPr>
              <w:spacing w:after="0" w:line="240" w:lineRule="auto"/>
              <w:rPr>
                <w:rFonts w:ascii="Times New Roman" w:eastAsia="Times New Roman" w:hAnsi="Times New Roman" w:cs="Times New Roman"/>
                <w:sz w:val="24"/>
                <w:szCs w:val="24"/>
                <w:lang w:eastAsia="es-ES"/>
              </w:rPr>
            </w:pPr>
            <w:r w:rsidRPr="00664A7C">
              <w:rPr>
                <w:rFonts w:ascii="Verdana" w:eastAsia="Times New Roman" w:hAnsi="Verdana" w:cs="Times New Roman"/>
                <w:b/>
                <w:bCs/>
                <w:sz w:val="20"/>
                <w:szCs w:val="20"/>
                <w:lang w:eastAsia="es-ES"/>
              </w:rPr>
              <w:t>Resoluciones #006 - #020</w:t>
            </w:r>
          </w:p>
        </w:tc>
      </w:tr>
      <w:tr w:rsidR="00664A7C" w:rsidRPr="00664A7C" w:rsidTr="00664A7C">
        <w:trPr>
          <w:tblCellSpacing w:w="0" w:type="dxa"/>
        </w:trPr>
        <w:tc>
          <w:tcPr>
            <w:tcW w:w="1245" w:type="dxa"/>
            <w:hideMark/>
          </w:tcPr>
          <w:p w:rsidR="00664A7C" w:rsidRPr="00664A7C" w:rsidRDefault="00664A7C" w:rsidP="00664A7C">
            <w:pPr>
              <w:spacing w:after="0" w:line="240" w:lineRule="auto"/>
              <w:rPr>
                <w:rFonts w:ascii="Times New Roman" w:eastAsia="Times New Roman" w:hAnsi="Times New Roman" w:cs="Times New Roman"/>
                <w:sz w:val="24"/>
                <w:szCs w:val="24"/>
                <w:lang w:eastAsia="es-ES"/>
              </w:rPr>
            </w:pPr>
          </w:p>
        </w:tc>
        <w:tc>
          <w:tcPr>
            <w:tcW w:w="6240" w:type="dxa"/>
            <w:hideMark/>
          </w:tcPr>
          <w:p w:rsidR="00664A7C" w:rsidRPr="00664A7C" w:rsidRDefault="00664A7C" w:rsidP="00664A7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64A7C" w:rsidRPr="00664A7C" w:rsidRDefault="00664A7C" w:rsidP="00664A7C">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664A7C" w:rsidRPr="00664A7C" w:rsidTr="00664A7C">
        <w:trPr>
          <w:trHeight w:val="15"/>
          <w:tblCellSpacing w:w="0" w:type="dxa"/>
        </w:trPr>
        <w:tc>
          <w:tcPr>
            <w:tcW w:w="15" w:type="dxa"/>
            <w:shd w:val="clear" w:color="auto" w:fill="000033"/>
            <w:hideMark/>
          </w:tcPr>
          <w:p w:rsidR="00664A7C" w:rsidRPr="00664A7C" w:rsidRDefault="00664A7C" w:rsidP="00664A7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664A7C" w:rsidRPr="00664A7C" w:rsidRDefault="00664A7C" w:rsidP="00664A7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664A7C" w:rsidRPr="00664A7C" w:rsidRDefault="00664A7C" w:rsidP="00664A7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664A7C" w:rsidRPr="00664A7C" w:rsidRDefault="00664A7C" w:rsidP="00664A7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64A7C" w:rsidRPr="00664A7C" w:rsidTr="00664A7C">
        <w:trPr>
          <w:tblCellSpacing w:w="0" w:type="dxa"/>
        </w:trPr>
        <w:tc>
          <w:tcPr>
            <w:tcW w:w="15" w:type="dxa"/>
            <w:shd w:val="clear" w:color="auto" w:fill="000033"/>
            <w:hideMark/>
          </w:tcPr>
          <w:p w:rsidR="00664A7C" w:rsidRPr="00664A7C" w:rsidRDefault="00664A7C" w:rsidP="00664A7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664A7C" w:rsidRPr="00664A7C">
              <w:trPr>
                <w:tblCellSpacing w:w="22" w:type="dxa"/>
              </w:trPr>
              <w:tc>
                <w:tcPr>
                  <w:tcW w:w="8145" w:type="dxa"/>
                  <w:hideMark/>
                </w:tcPr>
                <w:p w:rsidR="00664A7C" w:rsidRPr="00664A7C" w:rsidRDefault="00664A7C" w:rsidP="00664A7C">
                  <w:pPr>
                    <w:spacing w:after="0" w:line="240" w:lineRule="auto"/>
                    <w:jc w:val="center"/>
                    <w:rPr>
                      <w:rFonts w:ascii="Times New Roman" w:eastAsia="Times New Roman" w:hAnsi="Times New Roman" w:cs="Times New Roman"/>
                      <w:sz w:val="24"/>
                      <w:szCs w:val="24"/>
                      <w:lang w:eastAsia="es-ES"/>
                    </w:rPr>
                  </w:pPr>
                  <w:r w:rsidRPr="00664A7C">
                    <w:rPr>
                      <w:rFonts w:ascii="Times New Roman" w:eastAsia="Times New Roman" w:hAnsi="Times New Roman" w:cs="Times New Roman"/>
                      <w:b/>
                      <w:bCs/>
                      <w:sz w:val="27"/>
                      <w:szCs w:val="27"/>
                      <w:lang w:eastAsia="es-ES"/>
                    </w:rPr>
                    <w:t>RESOLUCIONES ADOPTADAS POR EL CONSEJO POLITÉCNICO, EN SESIÓN EFECTUADA EL DÍA MARTES 11 DE ENERO DE 2005</w:t>
                  </w:r>
                </w:p>
                <w:p w:rsidR="00664A7C" w:rsidRPr="00664A7C" w:rsidRDefault="00664A7C" w:rsidP="00664A7C">
                  <w:pPr>
                    <w:spacing w:after="0" w:line="240" w:lineRule="auto"/>
                    <w:rPr>
                      <w:rFonts w:ascii="Times New Roman" w:eastAsia="Times New Roman" w:hAnsi="Times New Roman" w:cs="Times New Roman"/>
                      <w:sz w:val="24"/>
                      <w:szCs w:val="24"/>
                      <w:lang w:eastAsia="es-ES"/>
                    </w:rPr>
                  </w:pPr>
                  <w:r w:rsidRPr="00664A7C">
                    <w:rPr>
                      <w:rFonts w:ascii="Verdana" w:eastAsia="Times New Roman" w:hAnsi="Verdana" w:cs="Times New Roman"/>
                      <w:sz w:val="20"/>
                      <w:szCs w:val="20"/>
                      <w:lang w:eastAsia="es-ES"/>
                    </w:rPr>
                    <w:br/>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b/>
                      <w:bCs/>
                      <w:sz w:val="27"/>
                      <w:szCs w:val="27"/>
                      <w:u w:val="single"/>
                      <w:lang w:eastAsia="es-ES"/>
                    </w:rPr>
                    <w:t>05-01-006</w:t>
                  </w:r>
                  <w:r w:rsidRPr="00664A7C">
                    <w:rPr>
                      <w:rFonts w:ascii="Times New Roman" w:eastAsia="Times New Roman" w:hAnsi="Times New Roman" w:cs="Times New Roman"/>
                      <w:b/>
                      <w:bCs/>
                      <w:sz w:val="27"/>
                      <w:szCs w:val="27"/>
                      <w:lang w:eastAsia="es-ES"/>
                    </w:rPr>
                    <w:t>.-</w:t>
                  </w:r>
                  <w:r w:rsidRPr="00664A7C">
                    <w:rPr>
                      <w:rFonts w:ascii="Times New Roman" w:eastAsia="Times New Roman" w:hAnsi="Times New Roman" w:cs="Times New Roman"/>
                      <w:sz w:val="27"/>
                      <w:szCs w:val="27"/>
                      <w:lang w:eastAsia="es-ES"/>
                    </w:rPr>
                    <w:t xml:space="preserve"> APROBAR el ACTA de la sesión celebrada por el CONSEJO POLITÉCNICO el día 4 de ENERO de 2005 con la observación de que debe INCLUIRSE en ella lo relativo a la discusión y aprobación de la MODIFICACIÓN al ART. 8 del ESTATUTO del Fondo “ESPOL FONDO COMPLEMENTARIO PREVISIONAL CERRADO”. </w:t>
                  </w:r>
                </w:p>
                <w:p w:rsidR="00664A7C" w:rsidRPr="00664A7C" w:rsidRDefault="00664A7C" w:rsidP="00664A7C">
                  <w:pPr>
                    <w:spacing w:after="0" w:line="240" w:lineRule="auto"/>
                    <w:ind w:left="2160"/>
                    <w:rPr>
                      <w:rFonts w:ascii="Times New Roman" w:eastAsia="Times New Roman" w:hAnsi="Times New Roman" w:cs="Times New Roman"/>
                      <w:sz w:val="24"/>
                      <w:szCs w:val="24"/>
                      <w:lang w:eastAsia="es-ES"/>
                    </w:rPr>
                  </w:pPr>
                  <w:r w:rsidRPr="00664A7C">
                    <w:rPr>
                      <w:rFonts w:ascii="Times New Roman" w:eastAsia="Times New Roman" w:hAnsi="Times New Roman" w:cs="Times New Roman"/>
                      <w:b/>
                      <w:bCs/>
                      <w:sz w:val="27"/>
                      <w:szCs w:val="27"/>
                      <w:u w:val="single"/>
                      <w:lang w:eastAsia="es-ES"/>
                    </w:rPr>
                    <w:t>05-01-007</w:t>
                  </w:r>
                  <w:r w:rsidRPr="00664A7C">
                    <w:rPr>
                      <w:rFonts w:ascii="Times New Roman" w:eastAsia="Times New Roman" w:hAnsi="Times New Roman" w:cs="Times New Roman"/>
                      <w:sz w:val="27"/>
                      <w:szCs w:val="27"/>
                      <w:lang w:eastAsia="es-ES"/>
                    </w:rPr>
                    <w:t xml:space="preserve">.- APROBAR las RESOLUCIONES tomadas por la COMISIÓN ACADÉMICA en sesión efectuada el día 6 de ENERO de 2005. </w:t>
                  </w:r>
                  <w:r w:rsidRPr="00664A7C">
                    <w:rPr>
                      <w:rFonts w:ascii="Verdana" w:eastAsia="Times New Roman" w:hAnsi="Verdana" w:cs="Times New Roman"/>
                      <w:sz w:val="20"/>
                      <w:szCs w:val="20"/>
                      <w:lang w:eastAsia="es-ES"/>
                    </w:rPr>
                    <w:br/>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b/>
                      <w:bCs/>
                      <w:sz w:val="27"/>
                      <w:szCs w:val="27"/>
                      <w:u w:val="single"/>
                      <w:lang w:eastAsia="es-ES"/>
                    </w:rPr>
                    <w:t>05-01-008</w:t>
                  </w:r>
                  <w:r w:rsidRPr="00664A7C">
                    <w:rPr>
                      <w:rFonts w:ascii="Times New Roman" w:eastAsia="Times New Roman" w:hAnsi="Times New Roman" w:cs="Times New Roman"/>
                      <w:sz w:val="27"/>
                      <w:szCs w:val="27"/>
                      <w:lang w:eastAsia="es-ES"/>
                    </w:rPr>
                    <w:t xml:space="preserve">.- CONOCER el INFORME del RECTOR de la Institución acerca de los COSTOS DISTINTOS en las DIFERENTES CARRERAS TRADICIONALES y de las NUEVAS CARRERAS que se imparten en la ESPOL. Los 20 cuadros con sus análisis corresponden a los años 2000 al 2004, Primer Término Académico del año lectivo 2004-2005 que comprenden, tanto a los CURSOS de ADMISIÓN como a los CURSOS de PREGRADO y de POSTGRADO, de TOTAL del ALUMNADO, de los APORTES del ESTADO, del APORTE de las CARRERAS AUTOFINANCIADAS, del ELEVADO PORCENTAJE de ESTUDIANTES de las llamadas NUEVAS CARRERAS que alcanzan al 77%, INGRESOS generados en los CURSOS de ADMISIÓN, COSTO PROMEDIO de la EDUCACIÓN en PREGRADO y la APORTACIÓN del ESTADO para estas CARRERAS, el COSTO PROMEDIO de un ASPIRANTE, RENDIMIENTO de las NUEVAS CARRERAS, APORTE de estas al PRESUPUESTO de la ESPOL, COSTOS PROMEDIOS de algunas NUEVAS CARRERAS que difieren notablemente entre sí, APORTES del CPS, entre otros aspectos. </w:t>
                  </w:r>
                  <w:r w:rsidRPr="00664A7C">
                    <w:rPr>
                      <w:rFonts w:ascii="Verdana" w:eastAsia="Times New Roman" w:hAnsi="Verdana" w:cs="Times New Roman"/>
                      <w:sz w:val="20"/>
                      <w:szCs w:val="20"/>
                      <w:lang w:eastAsia="es-ES"/>
                    </w:rPr>
                    <w:br/>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b/>
                      <w:bCs/>
                      <w:sz w:val="27"/>
                      <w:szCs w:val="27"/>
                      <w:u w:val="single"/>
                      <w:lang w:eastAsia="es-ES"/>
                    </w:rPr>
                    <w:t>05-01-009</w:t>
                  </w:r>
                  <w:r w:rsidRPr="00664A7C">
                    <w:rPr>
                      <w:rFonts w:ascii="Times New Roman" w:eastAsia="Times New Roman" w:hAnsi="Times New Roman" w:cs="Times New Roman"/>
                      <w:sz w:val="27"/>
                      <w:szCs w:val="27"/>
                      <w:lang w:eastAsia="es-ES"/>
                    </w:rPr>
                    <w:t xml:space="preserve">.- AUTORIZAR al RECTOR, Dr. MOISES TACLE GALARRAGA, para que se AUSENTE del PAIS, para SUSCRIBIR CONVENIOS con STEVENS INSTITUTE OF TECHNOLOGY, EE.UU., y concretar negociaciones para REALIZAR, en asocio con la ESPOL, PROGRAMAS de POSTGRADO; y, a LONDRES, INGLATERRA, para ASISTIR a la presentación oficial del INFORME ANUAL a nivel </w:t>
                  </w:r>
                  <w:r w:rsidRPr="00664A7C">
                    <w:rPr>
                      <w:rFonts w:ascii="Times New Roman" w:eastAsia="Times New Roman" w:hAnsi="Times New Roman" w:cs="Times New Roman"/>
                      <w:sz w:val="27"/>
                      <w:szCs w:val="27"/>
                      <w:lang w:eastAsia="es-ES"/>
                    </w:rPr>
                    <w:lastRenderedPageBreak/>
                    <w:t xml:space="preserve">mundial, que se realiza para destacar el DESARROLLO DEL EMPRENDIMIENTO de cada país, estudio en el cual se incluye al Ecuador por primera vez. A esta presentación asistirá la Ing. Joyce </w:t>
                  </w:r>
                  <w:proofErr w:type="spellStart"/>
                  <w:r w:rsidRPr="00664A7C">
                    <w:rPr>
                      <w:rFonts w:ascii="Times New Roman" w:eastAsia="Times New Roman" w:hAnsi="Times New Roman" w:cs="Times New Roman"/>
                      <w:sz w:val="27"/>
                      <w:szCs w:val="27"/>
                      <w:lang w:eastAsia="es-ES"/>
                    </w:rPr>
                    <w:t>Higgins</w:t>
                  </w:r>
                  <w:proofErr w:type="spellEnd"/>
                  <w:r w:rsidRPr="00664A7C">
                    <w:rPr>
                      <w:rFonts w:ascii="Times New Roman" w:eastAsia="Times New Roman" w:hAnsi="Times New Roman" w:cs="Times New Roman"/>
                      <w:sz w:val="27"/>
                      <w:szCs w:val="27"/>
                      <w:lang w:eastAsia="es-ES"/>
                    </w:rPr>
                    <w:t xml:space="preserve"> de </w:t>
                  </w:r>
                  <w:proofErr w:type="spellStart"/>
                  <w:r w:rsidRPr="00664A7C">
                    <w:rPr>
                      <w:rFonts w:ascii="Times New Roman" w:eastAsia="Times New Roman" w:hAnsi="Times New Roman" w:cs="Times New Roman"/>
                      <w:sz w:val="27"/>
                      <w:szCs w:val="27"/>
                      <w:lang w:eastAsia="es-ES"/>
                    </w:rPr>
                    <w:t>Ginatta</w:t>
                  </w:r>
                  <w:proofErr w:type="spellEnd"/>
                  <w:r w:rsidRPr="00664A7C">
                    <w:rPr>
                      <w:rFonts w:ascii="Times New Roman" w:eastAsia="Times New Roman" w:hAnsi="Times New Roman" w:cs="Times New Roman"/>
                      <w:sz w:val="27"/>
                      <w:szCs w:val="27"/>
                      <w:lang w:eastAsia="es-ES"/>
                    </w:rPr>
                    <w:t xml:space="preserve">, Presidenta de la Comisión Nacional de Competitividad. </w:t>
                  </w:r>
                  <w:r w:rsidRPr="00664A7C">
                    <w:rPr>
                      <w:rFonts w:ascii="Verdana" w:eastAsia="Times New Roman" w:hAnsi="Verdana" w:cs="Times New Roman"/>
                      <w:sz w:val="20"/>
                      <w:szCs w:val="20"/>
                      <w:lang w:eastAsia="es-ES"/>
                    </w:rPr>
                    <w:br/>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b/>
                      <w:bCs/>
                      <w:sz w:val="27"/>
                      <w:szCs w:val="27"/>
                      <w:u w:val="single"/>
                      <w:lang w:eastAsia="es-ES"/>
                    </w:rPr>
                    <w:t>05-01-010</w:t>
                  </w:r>
                  <w:r w:rsidRPr="00664A7C">
                    <w:rPr>
                      <w:rFonts w:ascii="Times New Roman" w:eastAsia="Times New Roman" w:hAnsi="Times New Roman" w:cs="Times New Roman"/>
                      <w:sz w:val="27"/>
                      <w:szCs w:val="27"/>
                      <w:lang w:eastAsia="es-ES"/>
                    </w:rPr>
                    <w:t>.- CONOCER las REFORMAS al PRESUPUESTO de INGRESOS y EGRESOS de la ESPOL para el ejercicio fiscal del AÑO 2005.</w:t>
                  </w:r>
                  <w:r w:rsidRPr="00664A7C">
                    <w:rPr>
                      <w:rFonts w:ascii="Verdana" w:eastAsia="Times New Roman" w:hAnsi="Verdana" w:cs="Times New Roman"/>
                      <w:sz w:val="20"/>
                      <w:szCs w:val="20"/>
                      <w:lang w:eastAsia="es-ES"/>
                    </w:rPr>
                    <w:br/>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sz w:val="20"/>
                      <w:szCs w:val="20"/>
                      <w:lang w:eastAsia="es-ES"/>
                    </w:rPr>
                    <w:t>Resoluciones C.P. 11 enero/05 2.</w:t>
                  </w:r>
                  <w:r w:rsidRPr="00664A7C">
                    <w:rPr>
                      <w:rFonts w:ascii="Verdana" w:eastAsia="Times New Roman" w:hAnsi="Verdana" w:cs="Times New Roman"/>
                      <w:sz w:val="20"/>
                      <w:szCs w:val="20"/>
                      <w:lang w:eastAsia="es-ES"/>
                    </w:rPr>
                    <w:br/>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sz w:val="27"/>
                      <w:szCs w:val="27"/>
                      <w:lang w:eastAsia="es-ES"/>
                    </w:rPr>
                    <w:t xml:space="preserve">Se deja expresa constancia que NO SE ACEPTA que se haya incluido en los VALORES PREASIGNADOS, el PAGO de la DEUDA puesto que los valores </w:t>
                  </w:r>
                  <w:proofErr w:type="spellStart"/>
                  <w:r w:rsidRPr="00664A7C">
                    <w:rPr>
                      <w:rFonts w:ascii="Times New Roman" w:eastAsia="Times New Roman" w:hAnsi="Times New Roman" w:cs="Times New Roman"/>
                      <w:sz w:val="27"/>
                      <w:szCs w:val="27"/>
                      <w:lang w:eastAsia="es-ES"/>
                    </w:rPr>
                    <w:t>preasignados</w:t>
                  </w:r>
                  <w:proofErr w:type="spellEnd"/>
                  <w:r w:rsidRPr="00664A7C">
                    <w:rPr>
                      <w:rFonts w:ascii="Times New Roman" w:eastAsia="Times New Roman" w:hAnsi="Times New Roman" w:cs="Times New Roman"/>
                      <w:sz w:val="27"/>
                      <w:szCs w:val="27"/>
                      <w:lang w:eastAsia="es-ES"/>
                    </w:rPr>
                    <w:t xml:space="preserve"> son destinados a Gastos de Operación de la Institución, por lo que, aceptar este hecho, significaría aceptar, por anticipado la paralización de la ESPOL, lo que no es admisible; además es contrario a lo dispuesto en el CONTRATO de PRÉSTAMO 710/SF-EC, celebrado entre la ESPOL y el BID, suscrito el 20 de junio de 1983 con la garantía del Gobierno Nacional, suscrita en la misma fecha, en que se comprometió a incluir una partida específica en el Presupuesto General del Estado y, además, a crear impuestos o tasas, de ser necesario, para el pago de esta deuda.</w:t>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sz w:val="27"/>
                      <w:szCs w:val="27"/>
                      <w:lang w:eastAsia="es-ES"/>
                    </w:rPr>
                    <w:t>Con el Informe del Director de la Unidad Financiera, en la próxima sesión del Consejo se procederá a aprobar las Reformas al Presupuesto General de Ingresos y Egresos de la ESPOL para el año 2005.</w:t>
                  </w:r>
                  <w:r w:rsidRPr="00664A7C">
                    <w:rPr>
                      <w:rFonts w:ascii="Verdana" w:eastAsia="Times New Roman" w:hAnsi="Verdana" w:cs="Times New Roman"/>
                      <w:sz w:val="20"/>
                      <w:szCs w:val="20"/>
                      <w:lang w:eastAsia="es-ES"/>
                    </w:rPr>
                    <w:br/>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b/>
                      <w:bCs/>
                      <w:sz w:val="27"/>
                      <w:szCs w:val="27"/>
                      <w:u w:val="single"/>
                      <w:lang w:eastAsia="es-ES"/>
                    </w:rPr>
                    <w:t>05-01-011</w:t>
                  </w:r>
                  <w:r w:rsidRPr="00664A7C">
                    <w:rPr>
                      <w:rFonts w:ascii="Times New Roman" w:eastAsia="Times New Roman" w:hAnsi="Times New Roman" w:cs="Times New Roman"/>
                      <w:sz w:val="27"/>
                      <w:szCs w:val="27"/>
                      <w:lang w:eastAsia="es-ES"/>
                    </w:rPr>
                    <w:t>.- Con vista a la documentación presentada, en base a los requerimientos del Fiscal de la ESPOL, Ing. Hernán Gutiérrez Vera, se autoriza la CONCESION del TITULO de INGENIERO GEÓLOGO al egresado BYRON FUN-SAN ROBINSON y en el marco del Convenio suscrito entre la ESPOL y la Universidad Politécnica de Madrid.</w:t>
                  </w:r>
                  <w:r w:rsidRPr="00664A7C">
                    <w:rPr>
                      <w:rFonts w:ascii="Verdana" w:eastAsia="Times New Roman" w:hAnsi="Verdana" w:cs="Times New Roman"/>
                      <w:sz w:val="20"/>
                      <w:szCs w:val="20"/>
                      <w:lang w:eastAsia="es-ES"/>
                    </w:rPr>
                    <w:br/>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b/>
                      <w:bCs/>
                      <w:sz w:val="27"/>
                      <w:szCs w:val="27"/>
                      <w:u w:val="single"/>
                      <w:lang w:eastAsia="es-ES"/>
                    </w:rPr>
                    <w:t>05-01-012</w:t>
                  </w:r>
                  <w:r w:rsidRPr="00664A7C">
                    <w:rPr>
                      <w:rFonts w:ascii="Times New Roman" w:eastAsia="Times New Roman" w:hAnsi="Times New Roman" w:cs="Times New Roman"/>
                      <w:sz w:val="27"/>
                      <w:szCs w:val="27"/>
                      <w:lang w:eastAsia="es-ES"/>
                    </w:rPr>
                    <w:t xml:space="preserve">.- CONOCER el INFORME presentado por el Vicerrector Administrativo-Financiero, Ing. JORGE FAYTONG DURANGO, sobre la REESTRUCTURACIÓN organizacional y funcional de la UNIDAD de RECURSOS HUMANOS y se recomienda que se profundice más con asesores este importante trabajo y que presente el Informe Final a la </w:t>
                  </w:r>
                  <w:r w:rsidRPr="00664A7C">
                    <w:rPr>
                      <w:rFonts w:ascii="Times New Roman" w:eastAsia="Times New Roman" w:hAnsi="Times New Roman" w:cs="Times New Roman"/>
                      <w:sz w:val="27"/>
                      <w:szCs w:val="27"/>
                      <w:lang w:eastAsia="es-ES"/>
                    </w:rPr>
                    <w:lastRenderedPageBreak/>
                    <w:t>brevedad posible.</w:t>
                  </w:r>
                  <w:r w:rsidRPr="00664A7C">
                    <w:rPr>
                      <w:rFonts w:ascii="Verdana" w:eastAsia="Times New Roman" w:hAnsi="Verdana" w:cs="Times New Roman"/>
                      <w:sz w:val="20"/>
                      <w:szCs w:val="20"/>
                      <w:lang w:eastAsia="es-ES"/>
                    </w:rPr>
                    <w:br/>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b/>
                      <w:bCs/>
                      <w:sz w:val="27"/>
                      <w:szCs w:val="27"/>
                      <w:u w:val="single"/>
                      <w:lang w:eastAsia="es-ES"/>
                    </w:rPr>
                    <w:t>05-01-013</w:t>
                  </w:r>
                  <w:r w:rsidRPr="00664A7C">
                    <w:rPr>
                      <w:rFonts w:ascii="Times New Roman" w:eastAsia="Times New Roman" w:hAnsi="Times New Roman" w:cs="Times New Roman"/>
                      <w:sz w:val="27"/>
                      <w:szCs w:val="27"/>
                      <w:lang w:eastAsia="es-ES"/>
                    </w:rPr>
                    <w:t>.- APROBAR la REFORMA a los LINEAMIENTOS GENERALES para la PRESTACION de SERVICIOS de la ESPOL, a la que se le AGREGARÁ la DISPOSICION GENERAL NOVENA con el texto propuesto por el Director de dicha Unidad de Apoyo, que dice:</w:t>
                  </w:r>
                  <w:r w:rsidRPr="00664A7C">
                    <w:rPr>
                      <w:rFonts w:ascii="Verdana" w:eastAsia="Times New Roman" w:hAnsi="Verdana" w:cs="Times New Roman"/>
                      <w:sz w:val="20"/>
                      <w:szCs w:val="20"/>
                      <w:lang w:eastAsia="es-ES"/>
                    </w:rPr>
                    <w:br/>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sz w:val="27"/>
                      <w:szCs w:val="27"/>
                      <w:lang w:eastAsia="es-ES"/>
                    </w:rPr>
                    <w:t>“NOVENA.- Todos los pagos por servicios prestados por la ESPOL, a través de sus unidades, profesores, Facultades e Institutos, serán canalizados a través del CPS.</w:t>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sz w:val="27"/>
                      <w:szCs w:val="27"/>
                      <w:lang w:eastAsia="es-ES"/>
                    </w:rPr>
                    <w:t>El CPS retendrá el valor correspondiente a los partícipes del servicio de conformidad a estos lineamientos y abonará a la cuenta de la Unidad en CPS ó U. Financiera, el saldo de los valores recibidos por el mismo”.</w:t>
                  </w:r>
                  <w:r w:rsidRPr="00664A7C">
                    <w:rPr>
                      <w:rFonts w:ascii="Verdana" w:eastAsia="Times New Roman" w:hAnsi="Verdana" w:cs="Times New Roman"/>
                      <w:sz w:val="20"/>
                      <w:szCs w:val="20"/>
                      <w:lang w:eastAsia="es-ES"/>
                    </w:rPr>
                    <w:br/>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b/>
                      <w:bCs/>
                      <w:sz w:val="27"/>
                      <w:szCs w:val="27"/>
                      <w:u w:val="single"/>
                      <w:lang w:eastAsia="es-ES"/>
                    </w:rPr>
                    <w:t>05-01-014</w:t>
                  </w:r>
                  <w:r w:rsidRPr="00664A7C">
                    <w:rPr>
                      <w:rFonts w:ascii="Times New Roman" w:eastAsia="Times New Roman" w:hAnsi="Times New Roman" w:cs="Times New Roman"/>
                      <w:sz w:val="27"/>
                      <w:szCs w:val="27"/>
                      <w:lang w:eastAsia="es-ES"/>
                    </w:rPr>
                    <w:t>.- AUTORIZAR la ADECUACIÓN del REGLAMENTO de ELECCIÓN de REPRESENTANTES ESTUDIANTILES de FACULTADES e INSTITUTOS y el similar del Instituto de Tecnologías, a la Ley de Educación Superior, SUPRIMIÉNDOSE la ELECCIÓN de la</w:t>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sz w:val="20"/>
                      <w:szCs w:val="20"/>
                      <w:lang w:eastAsia="es-ES"/>
                    </w:rPr>
                    <w:t xml:space="preserve">Resoluciones C.P. 11 enero/05 3. </w:t>
                  </w:r>
                </w:p>
                <w:p w:rsidR="00664A7C" w:rsidRPr="00664A7C" w:rsidRDefault="00664A7C" w:rsidP="00664A7C">
                  <w:pPr>
                    <w:spacing w:after="0" w:line="240" w:lineRule="auto"/>
                    <w:ind w:left="5040"/>
                    <w:rPr>
                      <w:rFonts w:ascii="Times New Roman" w:eastAsia="Times New Roman" w:hAnsi="Times New Roman" w:cs="Times New Roman"/>
                      <w:sz w:val="24"/>
                      <w:szCs w:val="24"/>
                      <w:lang w:eastAsia="es-ES"/>
                    </w:rPr>
                  </w:pP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sz w:val="20"/>
                      <w:szCs w:val="20"/>
                      <w:lang w:eastAsia="es-ES"/>
                    </w:rPr>
                    <w:t>ASAMBLEA POLITÉCNICA que se menciona en los ARTÍCULOS SIGUIENTES:</w:t>
                  </w:r>
                </w:p>
                <w:p w:rsidR="00664A7C" w:rsidRPr="00664A7C" w:rsidRDefault="00664A7C" w:rsidP="00664A7C">
                  <w:pPr>
                    <w:spacing w:after="0" w:line="240" w:lineRule="auto"/>
                    <w:ind w:left="2160"/>
                    <w:rPr>
                      <w:rFonts w:ascii="Times New Roman" w:eastAsia="Times New Roman" w:hAnsi="Times New Roman" w:cs="Times New Roman"/>
                      <w:sz w:val="24"/>
                      <w:szCs w:val="24"/>
                      <w:lang w:eastAsia="es-ES"/>
                    </w:rPr>
                  </w:pPr>
                  <w:r w:rsidRPr="00664A7C">
                    <w:rPr>
                      <w:rFonts w:ascii="Times New Roman" w:eastAsia="Times New Roman" w:hAnsi="Times New Roman" w:cs="Times New Roman"/>
                      <w:sz w:val="20"/>
                      <w:szCs w:val="20"/>
                      <w:lang w:eastAsia="es-ES"/>
                    </w:rPr>
                    <w:t>- Art. 10 del citado Reglamento</w:t>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sz w:val="20"/>
                      <w:szCs w:val="20"/>
                      <w:lang w:eastAsia="es-ES"/>
                    </w:rPr>
                    <w:t>- Art. 14 del mentado Reglamento</w:t>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sz w:val="20"/>
                      <w:szCs w:val="20"/>
                      <w:lang w:eastAsia="es-ES"/>
                    </w:rPr>
                    <w:t>- Capítulo V de dicho Reglamento</w:t>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sz w:val="20"/>
                      <w:szCs w:val="20"/>
                      <w:lang w:eastAsia="es-ES"/>
                    </w:rPr>
                    <w:t>- Artículo 29 de este cuerpo legal.</w:t>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sz w:val="20"/>
                      <w:szCs w:val="20"/>
                      <w:lang w:eastAsia="es-ES"/>
                    </w:rPr>
                    <w:t>SE ELIMINARÍAN del supradicho Reglamento los ARTÍCULOS:</w:t>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sz w:val="20"/>
                      <w:szCs w:val="20"/>
                      <w:lang w:eastAsia="es-ES"/>
                    </w:rPr>
                    <w:t>- Literal e) del Art. 13 del Reglamento</w:t>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sz w:val="20"/>
                      <w:szCs w:val="20"/>
                      <w:lang w:eastAsia="es-ES"/>
                    </w:rPr>
                    <w:t>- Artículo 15</w:t>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sz w:val="20"/>
                      <w:szCs w:val="20"/>
                      <w:lang w:eastAsia="es-ES"/>
                    </w:rPr>
                    <w:t>- Artículo 16, y</w:t>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sz w:val="20"/>
                      <w:szCs w:val="20"/>
                      <w:lang w:eastAsia="es-ES"/>
                    </w:rPr>
                    <w:t xml:space="preserve">- Artículo 17. </w:t>
                  </w:r>
                  <w:r w:rsidRPr="00664A7C">
                    <w:rPr>
                      <w:rFonts w:ascii="Verdana" w:eastAsia="Times New Roman" w:hAnsi="Verdana" w:cs="Times New Roman"/>
                      <w:sz w:val="20"/>
                      <w:szCs w:val="20"/>
                      <w:lang w:eastAsia="es-ES"/>
                    </w:rPr>
                    <w:br/>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b/>
                      <w:bCs/>
                      <w:sz w:val="20"/>
                      <w:szCs w:val="20"/>
                      <w:u w:val="single"/>
                      <w:lang w:eastAsia="es-ES"/>
                    </w:rPr>
                    <w:t>05-01-015</w:t>
                  </w:r>
                  <w:r w:rsidRPr="00664A7C">
                    <w:rPr>
                      <w:rFonts w:ascii="Times New Roman" w:eastAsia="Times New Roman" w:hAnsi="Times New Roman" w:cs="Times New Roman"/>
                      <w:sz w:val="20"/>
                      <w:szCs w:val="20"/>
                      <w:lang w:eastAsia="es-ES"/>
                    </w:rPr>
                    <w:t>.- SE ENCARGA al VICERRECTOR GENERAL que proceda a ELABORAR un nuevo PROYECTO de REGLAMENTO de ELECCIÓN de REPRESENTANTES ESTUDIANTILES ante los organismos de la ESPOL, que sea más ágil y cubra los aspectos que se dan en un proceso electoral de esta naturaleza.</w:t>
                  </w:r>
                  <w:r w:rsidRPr="00664A7C">
                    <w:rPr>
                      <w:rFonts w:ascii="Verdana" w:eastAsia="Times New Roman" w:hAnsi="Verdana" w:cs="Times New Roman"/>
                      <w:sz w:val="20"/>
                      <w:szCs w:val="20"/>
                      <w:lang w:eastAsia="es-ES"/>
                    </w:rPr>
                    <w:br/>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b/>
                      <w:bCs/>
                      <w:sz w:val="20"/>
                      <w:szCs w:val="20"/>
                      <w:u w:val="single"/>
                      <w:lang w:eastAsia="es-ES"/>
                    </w:rPr>
                    <w:t>05-01-016</w:t>
                  </w:r>
                  <w:r w:rsidRPr="00664A7C">
                    <w:rPr>
                      <w:rFonts w:ascii="Times New Roman" w:eastAsia="Times New Roman" w:hAnsi="Times New Roman" w:cs="Times New Roman"/>
                      <w:sz w:val="20"/>
                      <w:szCs w:val="20"/>
                      <w:lang w:eastAsia="es-ES"/>
                    </w:rPr>
                    <w:t>.- CONOCER y APROBAR el INFORME presentado por el Ing. MARIO PATIÑO AROCA, Director General de Evaluación, sobre el SISTEMA de GESTIÓN de CALIDAD y PROCESO de EVALUACIÓN INTERNA.</w:t>
                  </w:r>
                  <w:r w:rsidRPr="00664A7C">
                    <w:rPr>
                      <w:rFonts w:ascii="Verdana" w:eastAsia="Times New Roman" w:hAnsi="Verdana" w:cs="Times New Roman"/>
                      <w:sz w:val="20"/>
                      <w:szCs w:val="20"/>
                      <w:lang w:eastAsia="es-ES"/>
                    </w:rPr>
                    <w:br/>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b/>
                      <w:bCs/>
                      <w:sz w:val="20"/>
                      <w:szCs w:val="20"/>
                      <w:u w:val="single"/>
                      <w:lang w:eastAsia="es-ES"/>
                    </w:rPr>
                    <w:t>05-01-017</w:t>
                  </w:r>
                  <w:r w:rsidRPr="00664A7C">
                    <w:rPr>
                      <w:rFonts w:ascii="Times New Roman" w:eastAsia="Times New Roman" w:hAnsi="Times New Roman" w:cs="Times New Roman"/>
                      <w:sz w:val="20"/>
                      <w:szCs w:val="20"/>
                      <w:lang w:eastAsia="es-ES"/>
                    </w:rPr>
                    <w:t xml:space="preserve">.- AUTORIZAR el PAGO del BOLETO de ida y vuelta Guayaquil-Santiago de Chile y Buenos Aires, Argentina, a la CÓNYUGE del </w:t>
                  </w:r>
                  <w:r w:rsidRPr="00664A7C">
                    <w:rPr>
                      <w:rFonts w:ascii="Times New Roman" w:eastAsia="Times New Roman" w:hAnsi="Times New Roman" w:cs="Times New Roman"/>
                      <w:sz w:val="20"/>
                      <w:szCs w:val="20"/>
                      <w:lang w:eastAsia="es-ES"/>
                    </w:rPr>
                    <w:lastRenderedPageBreak/>
                    <w:t>Ing. HUGO TOBAR VEGA, profesor de la Institución en uso de una BECA de AÑO SABÁTICO.</w:t>
                  </w:r>
                  <w:r w:rsidRPr="00664A7C">
                    <w:rPr>
                      <w:rFonts w:ascii="Verdana" w:eastAsia="Times New Roman" w:hAnsi="Verdana" w:cs="Times New Roman"/>
                      <w:sz w:val="20"/>
                      <w:szCs w:val="20"/>
                      <w:lang w:eastAsia="es-ES"/>
                    </w:rPr>
                    <w:br/>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b/>
                      <w:bCs/>
                      <w:sz w:val="20"/>
                      <w:szCs w:val="20"/>
                      <w:u w:val="single"/>
                      <w:lang w:eastAsia="es-ES"/>
                    </w:rPr>
                    <w:t>05-01-018</w:t>
                  </w:r>
                  <w:r w:rsidRPr="00664A7C">
                    <w:rPr>
                      <w:rFonts w:ascii="Times New Roman" w:eastAsia="Times New Roman" w:hAnsi="Times New Roman" w:cs="Times New Roman"/>
                      <w:sz w:val="20"/>
                      <w:szCs w:val="20"/>
                      <w:lang w:eastAsia="es-ES"/>
                    </w:rPr>
                    <w:t>.- RECOMENDAR al VICERRECTOR ADMINISTRATIVO-FINANCIERO que adopte las MEDIDAS que sean del caso para dar MAYOR SEGURIDAD a los ESTUDIANTES.</w:t>
                  </w:r>
                  <w:r w:rsidRPr="00664A7C">
                    <w:rPr>
                      <w:rFonts w:ascii="Verdana" w:eastAsia="Times New Roman" w:hAnsi="Verdana" w:cs="Times New Roman"/>
                      <w:sz w:val="20"/>
                      <w:szCs w:val="20"/>
                      <w:lang w:eastAsia="es-ES"/>
                    </w:rPr>
                    <w:br/>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b/>
                      <w:bCs/>
                      <w:sz w:val="20"/>
                      <w:szCs w:val="20"/>
                      <w:u w:val="single"/>
                      <w:lang w:eastAsia="es-ES"/>
                    </w:rPr>
                    <w:t>05-01-019</w:t>
                  </w:r>
                  <w:r w:rsidRPr="00664A7C">
                    <w:rPr>
                      <w:rFonts w:ascii="Times New Roman" w:eastAsia="Times New Roman" w:hAnsi="Times New Roman" w:cs="Times New Roman"/>
                      <w:sz w:val="20"/>
                      <w:szCs w:val="20"/>
                      <w:lang w:eastAsia="es-ES"/>
                    </w:rPr>
                    <w:t xml:space="preserve">.- CONOCER el INFORME presentado por la </w:t>
                  </w:r>
                  <w:proofErr w:type="spellStart"/>
                  <w:r w:rsidRPr="00664A7C">
                    <w:rPr>
                      <w:rFonts w:ascii="Times New Roman" w:eastAsia="Times New Roman" w:hAnsi="Times New Roman" w:cs="Times New Roman"/>
                      <w:sz w:val="20"/>
                      <w:szCs w:val="20"/>
                      <w:lang w:eastAsia="es-ES"/>
                    </w:rPr>
                    <w:t>Ph.D.</w:t>
                  </w:r>
                  <w:proofErr w:type="spellEnd"/>
                  <w:r w:rsidRPr="00664A7C">
                    <w:rPr>
                      <w:rFonts w:ascii="Times New Roman" w:eastAsia="Times New Roman" w:hAnsi="Times New Roman" w:cs="Times New Roman"/>
                      <w:sz w:val="20"/>
                      <w:szCs w:val="20"/>
                      <w:lang w:eastAsia="es-ES"/>
                    </w:rPr>
                    <w:t xml:space="preserve"> CECILIA PAREDES VERDUGA, sobre su participación en las “II Jornadas Iberoamericanas en Prospectiva y Vigilancia”, desarrollado en la ciudad de Guatemala entre los días 17 y 27 de mayo de 2004.</w:t>
                  </w:r>
                  <w:r w:rsidRPr="00664A7C">
                    <w:rPr>
                      <w:rFonts w:ascii="Verdana" w:eastAsia="Times New Roman" w:hAnsi="Verdana" w:cs="Times New Roman"/>
                      <w:sz w:val="20"/>
                      <w:szCs w:val="20"/>
                      <w:lang w:eastAsia="es-ES"/>
                    </w:rPr>
                    <w:br/>
                  </w:r>
                  <w:r w:rsidRPr="00664A7C">
                    <w:rPr>
                      <w:rFonts w:ascii="Verdana" w:eastAsia="Times New Roman" w:hAnsi="Verdana" w:cs="Times New Roman"/>
                      <w:sz w:val="20"/>
                      <w:szCs w:val="20"/>
                      <w:lang w:eastAsia="es-ES"/>
                    </w:rPr>
                    <w:br/>
                  </w:r>
                  <w:r w:rsidRPr="00664A7C">
                    <w:rPr>
                      <w:rFonts w:ascii="Times New Roman" w:eastAsia="Times New Roman" w:hAnsi="Times New Roman" w:cs="Times New Roman"/>
                      <w:b/>
                      <w:bCs/>
                      <w:sz w:val="20"/>
                      <w:szCs w:val="20"/>
                      <w:u w:val="single"/>
                      <w:lang w:eastAsia="es-ES"/>
                    </w:rPr>
                    <w:t>05-01-020</w:t>
                  </w:r>
                  <w:r w:rsidRPr="00664A7C">
                    <w:rPr>
                      <w:rFonts w:ascii="Times New Roman" w:eastAsia="Times New Roman" w:hAnsi="Times New Roman" w:cs="Times New Roman"/>
                      <w:sz w:val="20"/>
                      <w:szCs w:val="20"/>
                      <w:lang w:eastAsia="es-ES"/>
                    </w:rPr>
                    <w:t xml:space="preserve">.- CONOCER el INFORME de los Srs. LUIS ARCE VERA, estudiante de la carrera de Ingeniería en Alimentos; MARIO MATUTE ALTAMIRANO y ROSALVA VALDIVIESO SALAS estudiantes del Programa de Tecnología en Alimentos, referente a su ASISTENCIA al “IX Taller Internacional sobre Calidad Sanitaria, Evaluación y Conservación de Alimentos”, realizado en Varadero-Cuba, del 6 al 9 de octubre de 2004. </w:t>
                  </w:r>
                </w:p>
                <w:p w:rsidR="00664A7C" w:rsidRPr="00664A7C" w:rsidRDefault="00664A7C" w:rsidP="00664A7C">
                  <w:pPr>
                    <w:spacing w:after="0" w:line="240" w:lineRule="auto"/>
                    <w:ind w:left="2160"/>
                    <w:jc w:val="center"/>
                    <w:rPr>
                      <w:rFonts w:ascii="Times New Roman" w:eastAsia="Times New Roman" w:hAnsi="Times New Roman" w:cs="Times New Roman"/>
                      <w:sz w:val="24"/>
                      <w:szCs w:val="24"/>
                      <w:lang w:eastAsia="es-ES"/>
                    </w:rPr>
                  </w:pPr>
                </w:p>
              </w:tc>
            </w:tr>
          </w:tbl>
          <w:p w:rsidR="00664A7C" w:rsidRPr="00664A7C" w:rsidRDefault="00664A7C" w:rsidP="00664A7C">
            <w:pPr>
              <w:spacing w:after="0" w:line="240" w:lineRule="auto"/>
              <w:rPr>
                <w:rFonts w:ascii="Times New Roman" w:eastAsia="Times New Roman" w:hAnsi="Times New Roman" w:cs="Times New Roman"/>
                <w:sz w:val="24"/>
                <w:szCs w:val="24"/>
                <w:lang w:eastAsia="es-ES"/>
              </w:rPr>
            </w:pPr>
          </w:p>
        </w:tc>
        <w:tc>
          <w:tcPr>
            <w:tcW w:w="0" w:type="auto"/>
            <w:hideMark/>
          </w:tcPr>
          <w:p w:rsidR="00664A7C" w:rsidRPr="00664A7C" w:rsidRDefault="00664A7C" w:rsidP="00664A7C">
            <w:pPr>
              <w:spacing w:after="0" w:line="240" w:lineRule="auto"/>
              <w:rPr>
                <w:rFonts w:ascii="Times New Roman" w:eastAsia="Times New Roman" w:hAnsi="Times New Roman" w:cs="Times New Roman"/>
                <w:sz w:val="20"/>
                <w:szCs w:val="20"/>
                <w:lang w:eastAsia="es-ES"/>
              </w:rPr>
            </w:pPr>
          </w:p>
        </w:tc>
      </w:tr>
    </w:tbl>
    <w:p w:rsidR="00664A7C" w:rsidRDefault="00664A7C"/>
    <w:sectPr w:rsidR="00664A7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4A7C"/>
    <w:rsid w:val="00664A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4A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A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87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5535</Characters>
  <Application>Microsoft Office Word</Application>
  <DocSecurity>0</DocSecurity>
  <Lines>46</Lines>
  <Paragraphs>13</Paragraphs>
  <ScaleCrop>false</ScaleCrop>
  <Company>ESPOL</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2011-01-27T15:30:00Z</dcterms:created>
  <dcterms:modified xsi:type="dcterms:W3CDTF">2011-01-27T15:42:00Z</dcterms:modified>
</cp:coreProperties>
</file>