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rPr>
          <w:rFonts w:ascii="Arial" w:hAnsi="Arial" w:cs="Arial"/>
          <w:b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72"/>
          <w:szCs w:val="72"/>
          <w:lang w:val="es-ES" w:eastAsia="pt-BR" w:bidi="ar-SA"/>
        </w:rPr>
      </w:pP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>A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PÉNDICE</w:t>
      </w:r>
      <w:r w:rsidRPr="001528D6">
        <w:rPr>
          <w:rFonts w:ascii="Arial" w:hAnsi="Arial" w:cs="Arial"/>
          <w:b/>
          <w:sz w:val="72"/>
          <w:szCs w:val="72"/>
          <w:lang w:val="es-ES" w:eastAsia="pt-BR" w:bidi="ar-SA"/>
        </w:rPr>
        <w:t xml:space="preserve"> </w:t>
      </w:r>
      <w:r>
        <w:rPr>
          <w:rFonts w:ascii="Arial" w:hAnsi="Arial" w:cs="Arial"/>
          <w:b/>
          <w:sz w:val="72"/>
          <w:szCs w:val="72"/>
          <w:lang w:val="es-ES" w:eastAsia="pt-BR" w:bidi="ar-SA"/>
        </w:rPr>
        <w:t>F</w:t>
      </w:r>
    </w:p>
    <w:p w:rsidR="005E2168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52"/>
          <w:szCs w:val="52"/>
          <w:lang w:val="es-ES" w:eastAsia="pt-BR" w:bidi="ar-SA"/>
        </w:rPr>
      </w:pPr>
      <w:r>
        <w:rPr>
          <w:rFonts w:ascii="Arial" w:hAnsi="Arial" w:cs="Arial"/>
          <w:b/>
          <w:sz w:val="52"/>
          <w:szCs w:val="52"/>
          <w:lang w:val="es-ES" w:eastAsia="pt-BR" w:bidi="ar-SA"/>
        </w:rPr>
        <w:t>RESOLUCIÓN DE LAS ECUACIÓNES</w:t>
      </w:r>
    </w:p>
    <w:p w:rsidR="005E2168" w:rsidRPr="00A25291" w:rsidRDefault="005E2168" w:rsidP="005E2168">
      <w:pPr>
        <w:spacing w:line="480" w:lineRule="auto"/>
        <w:ind w:left="646"/>
        <w:jc w:val="center"/>
        <w:rPr>
          <w:rFonts w:ascii="Arial" w:hAnsi="Arial" w:cs="Arial"/>
          <w:b/>
          <w:sz w:val="52"/>
          <w:szCs w:val="52"/>
          <w:lang w:eastAsia="pt-BR" w:bidi="ar-SA"/>
        </w:rPr>
      </w:pPr>
      <w:r>
        <w:rPr>
          <w:rFonts w:ascii="Arial" w:hAnsi="Arial" w:cs="Arial"/>
          <w:b/>
          <w:sz w:val="52"/>
          <w:szCs w:val="52"/>
          <w:lang w:val="es-ES" w:eastAsia="pt-BR" w:bidi="ar-SA"/>
        </w:rPr>
        <w:t>DE LA EFICIENCIA Y LA POTENCIA ABSORBIDA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bidi="ar-SA"/>
        </w:rPr>
      </w:pPr>
    </w:p>
    <w:p w:rsidR="005E2168" w:rsidRDefault="005E2168" w:rsidP="005E2168">
      <w:pPr>
        <w:pStyle w:val="Textoindependienteprimerasangra"/>
        <w:spacing w:line="480" w:lineRule="auto"/>
        <w:ind w:firstLine="644"/>
        <w:jc w:val="both"/>
        <w:rPr>
          <w:rFonts w:ascii="Arial" w:eastAsia="MS Mincho" w:hAnsi="Arial" w:cs="Arial"/>
          <w:b/>
          <w:color w:val="FF0000"/>
          <w:sz w:val="28"/>
          <w:szCs w:val="28"/>
        </w:rPr>
      </w:pPr>
      <w:r>
        <w:rPr>
          <w:rFonts w:ascii="Arial" w:eastAsia="MS Mincho" w:hAnsi="Arial" w:cs="Arial"/>
          <w:b/>
        </w:rPr>
        <w:t>Rendimiento y potencia absorbida</w:t>
      </w:r>
      <w:r w:rsidRPr="00F73F1C">
        <w:rPr>
          <w:rFonts w:ascii="Arial" w:eastAsia="MS Mincho" w:hAnsi="Arial" w:cs="Arial"/>
          <w:b/>
        </w:rPr>
        <w:t>.</w:t>
      </w:r>
      <w:r>
        <w:rPr>
          <w:rFonts w:ascii="Arial" w:eastAsia="MS Mincho" w:hAnsi="Arial" w:cs="Arial"/>
          <w:b/>
        </w:rPr>
        <w:t xml:space="preserve"> </w:t>
      </w:r>
    </w:p>
    <w:p w:rsidR="005E2168" w:rsidRPr="00B5617A" w:rsidRDefault="005E2168" w:rsidP="005E2168">
      <w:pPr>
        <w:spacing w:line="48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La eficiencia de la bomba se mide en base al caudal que descarga contra una altura dada y con un rendimiento determinado. El caudal de la bomba es función del diseño</w:t>
      </w:r>
      <w:r w:rsidRPr="00B5617A">
        <w:rPr>
          <w:rFonts w:ascii="Arial" w:hAnsi="Arial" w:cs="Arial"/>
        </w:rPr>
        <w:t xml:space="preserve"> del proyecto. </w:t>
      </w:r>
      <w:r>
        <w:rPr>
          <w:rFonts w:ascii="Arial" w:hAnsi="Arial" w:cs="Arial"/>
        </w:rPr>
        <w:t>La información sobre el diseño de la bomba viene suministrada por medio de una serie de curvas características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</w:rPr>
        <w:t xml:space="preserve">La cantidad expresada en términos de caballos de potencia tradicionalmente se denomina fuerza o potencia hidráulica ganada por el fluido. Así: </w:t>
      </w:r>
    </w:p>
    <w:p w:rsidR="005E2168" w:rsidRDefault="00BA1B9D" w:rsidP="005E2168">
      <w:pPr>
        <w:spacing w:line="480" w:lineRule="auto"/>
        <w:ind w:left="644"/>
        <w:jc w:val="center"/>
        <w:rPr>
          <w:rFonts w:ascii="Arial" w:hAnsi="Arial" w:cs="Arial"/>
          <w:lang w:val="es-ES" w:bidi="ar-S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sSubPr>
            <m:e>
              <m:r>
                <w:rPr>
                  <w:rFonts w:ascii="Cambria Math" w:hAnsi="Cambria Math" w:cs="Arial"/>
                  <w:lang w:val="es-ES" w:bidi="ar-SA"/>
                </w:rPr>
                <m:t>P</m:t>
              </m:r>
            </m:e>
            <m:sub>
              <m:r>
                <w:rPr>
                  <w:rFonts w:ascii="Cambria Math" w:hAnsi="Cambria Math" w:cs="Arial"/>
                  <w:lang w:val="es-ES" w:bidi="ar-SA"/>
                </w:rPr>
                <m:t>h</m:t>
              </m:r>
            </m:sub>
          </m:sSub>
          <m:r>
            <w:rPr>
              <w:rFonts w:ascii="Cambria Math" w:hAnsi="Cambria Math" w:cs="Arial"/>
              <w:lang w:val="es-ES" w:bidi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val="es-ES" w:bidi="ar-SA"/>
                </w:rPr>
              </m:ctrlPr>
            </m:fPr>
            <m:num>
              <m:r>
                <w:rPr>
                  <w:rFonts w:ascii="Cambria Math" w:hAnsi="Cambria Math" w:cs="Arial"/>
                  <w:lang w:val="es-ES" w:bidi="ar-SA"/>
                </w:rPr>
                <m:t>γQ(TDH)</m:t>
              </m:r>
            </m:num>
            <m:den>
              <m:r>
                <w:rPr>
                  <w:rFonts w:ascii="Cambria Math" w:hAnsi="Cambria Math" w:cs="Arial"/>
                  <w:lang w:val="es-ES" w:bidi="ar-SA"/>
                </w:rPr>
                <m:t>550</m:t>
              </m:r>
            </m:den>
          </m:f>
        </m:oMath>
      </m:oMathPara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 xml:space="preserve">La eficiencia total η se la define como el cociente entre la potencia hidráulica ganada por el fluido y la absorbida por la bomba: 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jc w:val="center"/>
      </w:pPr>
      <m:oMathPara>
        <m:oMath>
          <m:r>
            <w:rPr>
              <w:rFonts w:ascii="Cambria Math" w:hAnsi="Cambria Math"/>
            </w:rPr>
            <m:t>η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potencia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ganada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por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el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fluido</m:t>
              </m:r>
            </m:num>
            <m:den>
              <m:r>
                <w:rPr>
                  <w:rFonts w:ascii="Cambria Math" w:hAnsi="Cambria Math"/>
                </w:rPr>
                <m:t>potencia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del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eje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que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acciona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bomba(absorbida por la bomba)</m:t>
              </m:r>
            </m:den>
          </m:f>
        </m:oMath>
      </m:oMathPara>
    </w:p>
    <w:p w:rsidR="005E2168" w:rsidRPr="00AC1EDC" w:rsidRDefault="005E2168" w:rsidP="005E2168">
      <w:pPr>
        <w:spacing w:line="480" w:lineRule="auto"/>
        <w:jc w:val="both"/>
        <w:rPr>
          <w:b/>
        </w:rPr>
      </w:pPr>
    </w:p>
    <w:p w:rsidR="005E2168" w:rsidRPr="00134EB5" w:rsidRDefault="005E2168" w:rsidP="005E2168">
      <w:pPr>
        <w:spacing w:line="480" w:lineRule="auto"/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w:lastRenderedPageBreak/>
            <m:t>η=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s-ES" w:bidi="ar-SA"/>
                    </w:rPr>
                    <m:t>γQ(TDH)</m:t>
                  </m:r>
                </m:num>
                <m:den>
                  <m:r>
                    <w:rPr>
                      <w:rFonts w:ascii="Cambria Math" w:hAnsi="Cambria Math" w:cs="Arial"/>
                      <w:lang w:val="es-ES" w:bidi="ar-SA"/>
                    </w:rPr>
                    <m:t>550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W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eje</m:t>
                  </m:r>
                </m:sub>
              </m:sSub>
            </m:den>
          </m:f>
          <m:r>
            <w:rPr>
              <w:rFonts w:ascii="Cambria Math" w:hAnsi="Cambria Math" w:cs="Arial"/>
            </w:rPr>
            <m:t>x100%</m:t>
          </m:r>
        </m:oMath>
      </m:oMathPara>
    </w:p>
    <w:p w:rsidR="005E2168" w:rsidRPr="00134EB5" w:rsidRDefault="005E2168" w:rsidP="005E2168">
      <w:pPr>
        <w:spacing w:line="480" w:lineRule="auto"/>
        <w:jc w:val="both"/>
        <w:rPr>
          <w:rFonts w:ascii="Arial" w:hAnsi="Arial" w:cs="Arial"/>
        </w:rPr>
      </w:pPr>
    </w:p>
    <w:p w:rsidR="005E2168" w:rsidRPr="00134EB5" w:rsidRDefault="005E2168" w:rsidP="005E2168">
      <w:pPr>
        <w:spacing w:line="480" w:lineRule="auto"/>
        <w:jc w:val="both"/>
        <w:rPr>
          <w:rFonts w:ascii="Arial" w:hAnsi="Arial" w:cs="Arial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</w:rPr>
        <w:t xml:space="preserve">La eficiencia total de la bomba </w:t>
      </w:r>
      <w:r>
        <w:rPr>
          <w:rFonts w:ascii="Arial" w:hAnsi="Arial" w:cs="Arial"/>
          <w:lang w:val="es-ES" w:bidi="ar-SA"/>
        </w:rPr>
        <w:t>es afectada por las pérdidas hidráulicas en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S" w:bidi="ar-SA"/>
        </w:rPr>
        <w:t>bomba, como además por las pérdidas mecánicas en los cojinetes y sellos. También puede haber algo de pérdida de potencia debido a fuga del fluido entre la superficie trasera de la placa del cubo del impulsor y la caja, o a través de otros componentes de la bomba. Así la eficiencia total surge de tres</w:t>
      </w:r>
      <w:r w:rsidR="00AB1E7A">
        <w:rPr>
          <w:rFonts w:ascii="Arial" w:hAnsi="Arial" w:cs="Arial"/>
          <w:lang w:val="es-ES" w:bidi="ar-SA"/>
        </w:rPr>
        <w:t xml:space="preserve">  fuentes, </w:t>
      </w:r>
      <w:r>
        <w:rPr>
          <w:rFonts w:ascii="Arial" w:hAnsi="Arial" w:cs="Arial"/>
          <w:lang w:val="es-ES" w:bidi="ar-SA"/>
        </w:rPr>
        <w:t xml:space="preserve">la </w:t>
      </w:r>
      <w:r w:rsidR="00AB1E7A">
        <w:rPr>
          <w:rFonts w:ascii="Arial" w:hAnsi="Arial" w:cs="Arial"/>
          <w:lang w:val="es-ES" w:bidi="ar-SA"/>
        </w:rPr>
        <w:t xml:space="preserve">   </w:t>
      </w:r>
      <w:r>
        <w:rPr>
          <w:rFonts w:ascii="Arial" w:hAnsi="Arial" w:cs="Arial"/>
          <w:lang w:val="es-ES" w:bidi="ar-SA"/>
        </w:rPr>
        <w:t xml:space="preserve">eficiencia </w:t>
      </w:r>
      <w:r w:rsidR="00AB1E7A">
        <w:rPr>
          <w:rFonts w:ascii="Arial" w:hAnsi="Arial" w:cs="Arial"/>
          <w:lang w:val="es-ES" w:bidi="ar-SA"/>
        </w:rPr>
        <w:t xml:space="preserve">  </w:t>
      </w:r>
      <w:r>
        <w:rPr>
          <w:rFonts w:ascii="Arial" w:hAnsi="Arial" w:cs="Arial"/>
          <w:lang w:val="es-ES" w:bidi="ar-SA"/>
        </w:rPr>
        <w:t>hidráulica,</w:t>
      </w: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 xml:space="preserve"> 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h</m:t>
            </m:r>
          </m:sub>
        </m:sSub>
      </m:oMath>
      <w:proofErr w:type="gramStart"/>
      <w:r w:rsidR="00DA3FD5">
        <w:rPr>
          <w:rFonts w:ascii="Arial" w:hAnsi="Arial" w:cs="Arial"/>
          <w:lang w:val="es-ES" w:bidi="ar-SA"/>
        </w:rPr>
        <w:t>,</w:t>
      </w:r>
      <w:proofErr w:type="gramEnd"/>
      <w:r w:rsidR="00DA3FD5">
        <w:rPr>
          <w:rFonts w:ascii="Arial" w:hAnsi="Arial" w:cs="Arial"/>
          <w:lang w:val="es-ES" w:bidi="ar-SA"/>
        </w:rPr>
        <w:t xml:space="preserve"> la </w:t>
      </w:r>
      <w:r w:rsidR="00AB1E7A">
        <w:rPr>
          <w:rFonts w:ascii="Arial" w:hAnsi="Arial" w:cs="Arial"/>
          <w:lang w:val="es-ES" w:bidi="ar-SA"/>
        </w:rPr>
        <w:t xml:space="preserve"> </w:t>
      </w:r>
      <w:r w:rsidR="00DA3FD5">
        <w:rPr>
          <w:rFonts w:ascii="Arial" w:hAnsi="Arial" w:cs="Arial"/>
          <w:lang w:val="es-ES" w:bidi="ar-SA"/>
        </w:rPr>
        <w:t xml:space="preserve">eficiencia </w:t>
      </w:r>
      <w:r w:rsidR="00AB1E7A">
        <w:rPr>
          <w:rFonts w:ascii="Arial" w:hAnsi="Arial" w:cs="Arial"/>
          <w:lang w:val="es-ES" w:bidi="ar-SA"/>
        </w:rPr>
        <w:t xml:space="preserve">  </w:t>
      </w:r>
      <w:r w:rsidR="00DA3FD5">
        <w:rPr>
          <w:rFonts w:ascii="Arial" w:hAnsi="Arial" w:cs="Arial"/>
          <w:lang w:val="es-ES" w:bidi="ar-SA"/>
        </w:rPr>
        <w:t>mecánica</w:t>
      </w:r>
      <w:r>
        <w:rPr>
          <w:rFonts w:ascii="Arial" w:hAnsi="Arial" w:cs="Arial"/>
          <w:lang w:val="es-ES" w:bidi="ar-SA"/>
        </w:rPr>
        <w:t>,</w:t>
      </w: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 xml:space="preserve"> 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m</m:t>
            </m:r>
          </m:sub>
        </m:sSub>
      </m:oMath>
      <w:r w:rsidR="00AB1E7A">
        <w:rPr>
          <w:rFonts w:ascii="Arial" w:hAnsi="Arial" w:cs="Arial"/>
          <w:lang w:val="es-ES" w:bidi="ar-SA"/>
        </w:rPr>
        <w:t xml:space="preserve">, </w:t>
      </w:r>
      <w:r>
        <w:rPr>
          <w:rFonts w:ascii="Arial" w:hAnsi="Arial" w:cs="Arial"/>
          <w:lang w:val="es-ES" w:bidi="ar-SA"/>
        </w:rPr>
        <w:t>y la eficiencia volumétrica ,</w:t>
      </w:r>
      <m:oMath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 xml:space="preserve"> 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v</m:t>
            </m:r>
          </m:sub>
        </m:sSub>
      </m:oMath>
      <w:r>
        <w:rPr>
          <w:rFonts w:ascii="Arial" w:hAnsi="Arial" w:cs="Arial"/>
          <w:lang w:val="es-ES" w:bidi="ar-SA"/>
        </w:rPr>
        <w:t>,</w:t>
      </w:r>
      <w:r w:rsidR="00BA4A10">
        <w:rPr>
          <w:rFonts w:ascii="Arial" w:hAnsi="Arial" w:cs="Arial"/>
          <w:lang w:val="es-ES" w:bidi="ar-SA"/>
        </w:rPr>
        <w:t xml:space="preserve"> </w:t>
      </w:r>
      <w:r>
        <w:rPr>
          <w:rFonts w:ascii="Arial" w:hAnsi="Arial" w:cs="Arial"/>
          <w:lang w:val="es-ES" w:bidi="ar-SA"/>
        </w:rPr>
        <w:t xml:space="preserve">de modo que    </w:t>
      </w:r>
      <m:oMath>
        <m:r>
          <w:rPr>
            <w:rFonts w:ascii="Cambria Math" w:hAnsi="Cambria Math" w:cs="Arial"/>
            <w:lang w:val="es-ES" w:bidi="ar-SA"/>
          </w:rPr>
          <m:t>η=</m:t>
        </m:r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h</m:t>
            </m:r>
          </m:sub>
        </m:sSub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m</m:t>
            </m:r>
          </m:sub>
        </m:sSub>
        <m:sSub>
          <m:sSubPr>
            <m:ctrlPr>
              <w:rPr>
                <w:rFonts w:ascii="Cambria Math" w:hAnsi="Cambria Math" w:cs="Arial"/>
                <w:i/>
                <w:lang w:val="es-ES" w:bidi="ar-SA"/>
              </w:rPr>
            </m:ctrlPr>
          </m:sSubPr>
          <m:e>
            <m:r>
              <w:rPr>
                <w:rFonts w:ascii="Cambria Math" w:hAnsi="Cambria Math" w:cs="Arial"/>
                <w:lang w:val="es-ES" w:bidi="ar-SA"/>
              </w:rPr>
              <m:t>η</m:t>
            </m:r>
          </m:e>
          <m:sub>
            <m:r>
              <w:rPr>
                <w:rFonts w:ascii="Cambria Math" w:hAnsi="Cambria Math" w:cs="Arial"/>
                <w:lang w:val="es-ES" w:bidi="ar-SA"/>
              </w:rPr>
              <m:t>v</m:t>
            </m:r>
          </m:sub>
        </m:sSub>
      </m:oMath>
      <w:r>
        <w:rPr>
          <w:rFonts w:ascii="Arial" w:hAnsi="Arial" w:cs="Arial"/>
          <w:lang w:val="es-ES" w:bidi="ar-SA"/>
        </w:rPr>
        <w:t>.</w:t>
      </w: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Arial" w:hAnsi="Arial" w:cs="Arial"/>
          <w:lang w:val="es-ES" w:bidi="ar-SA"/>
        </w:rPr>
      </w:pPr>
      <w:r>
        <w:rPr>
          <w:rFonts w:ascii="Arial" w:hAnsi="Arial" w:cs="Arial"/>
          <w:lang w:val="es-ES" w:bidi="ar-SA"/>
        </w:rPr>
        <w:t>Los rendimientos de las bombas generalmente varían entre el 60% y el 85%. Aún cuando es deseable adquirir una bomba con alto rendimiento, es conveniente ponderar su valor teniendo en cuenta otros factores, como por ejemplo, el costo inicial, la velocidad de rotación y la durabilidad.</w:t>
      </w: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p w:rsidR="005E2168" w:rsidRDefault="005E2168" w:rsidP="005E2168">
      <w:pPr>
        <w:spacing w:line="480" w:lineRule="auto"/>
        <w:ind w:left="644"/>
        <w:jc w:val="both"/>
        <w:rPr>
          <w:rFonts w:ascii="Cambria Math" w:hAnsi="Cambria Math" w:cs="Arial" w:hint="eastAsia"/>
          <w:lang w:val="es-ES" w:bidi="ar-SA"/>
        </w:rPr>
      </w:pPr>
    </w:p>
    <w:sectPr w:rsidR="005E2168" w:rsidSect="00ED728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68"/>
    <w:rsid w:val="000C6263"/>
    <w:rsid w:val="001B7EC4"/>
    <w:rsid w:val="001C504A"/>
    <w:rsid w:val="002C2B21"/>
    <w:rsid w:val="00342F95"/>
    <w:rsid w:val="00454D9C"/>
    <w:rsid w:val="005E2168"/>
    <w:rsid w:val="00674F36"/>
    <w:rsid w:val="007C5926"/>
    <w:rsid w:val="0084100F"/>
    <w:rsid w:val="009D25C8"/>
    <w:rsid w:val="00A17318"/>
    <w:rsid w:val="00AB1E7A"/>
    <w:rsid w:val="00BA1B9D"/>
    <w:rsid w:val="00BA4A10"/>
    <w:rsid w:val="00BD61FF"/>
    <w:rsid w:val="00BF14C3"/>
    <w:rsid w:val="00CE7D8A"/>
    <w:rsid w:val="00DA3FD5"/>
    <w:rsid w:val="00E669EF"/>
    <w:rsid w:val="00EA2450"/>
    <w:rsid w:val="00ED728E"/>
    <w:rsid w:val="00F161DB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168"/>
    <w:rPr>
      <w:rFonts w:ascii="Tahoma" w:eastAsia="MS Mincho" w:hAnsi="Tahoma" w:cs="Tahoma"/>
      <w:sz w:val="16"/>
      <w:szCs w:val="16"/>
      <w:lang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5E216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21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Textoindependienteprimerasangra">
    <w:name w:val="Body Text First Indent"/>
    <w:basedOn w:val="Textoindependiente"/>
    <w:link w:val="TextoindependienteprimerasangraCar"/>
    <w:rsid w:val="005E2168"/>
    <w:pPr>
      <w:ind w:firstLine="210"/>
    </w:pPr>
    <w:rPr>
      <w:rFonts w:eastAsia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E2168"/>
    <w:rPr>
      <w:rFonts w:eastAsia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168"/>
    <w:rPr>
      <w:rFonts w:ascii="Times New Roman" w:eastAsia="MS Mincho" w:hAnsi="Times New Roman" w:cs="Times New Roman"/>
      <w:sz w:val="24"/>
      <w:szCs w:val="24"/>
      <w:lang w:eastAsia="es-ES" w:bidi="he-IL"/>
    </w:rPr>
  </w:style>
  <w:style w:type="paragraph" w:styleId="Epgrafe">
    <w:name w:val="caption"/>
    <w:basedOn w:val="Normal"/>
    <w:next w:val="Normal"/>
    <w:uiPriority w:val="35"/>
    <w:unhideWhenUsed/>
    <w:qFormat/>
    <w:rsid w:val="005E216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Cosurca</cp:lastModifiedBy>
  <cp:revision>14</cp:revision>
  <cp:lastPrinted>2011-01-06T23:02:00Z</cp:lastPrinted>
  <dcterms:created xsi:type="dcterms:W3CDTF">2010-12-26T18:21:00Z</dcterms:created>
  <dcterms:modified xsi:type="dcterms:W3CDTF">2011-01-17T19:07:00Z</dcterms:modified>
</cp:coreProperties>
</file>