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1EE" w:rsidRDefault="00EA11EE" w:rsidP="00EA11EE">
      <w:pPr>
        <w:tabs>
          <w:tab w:val="left" w:pos="7605"/>
        </w:tabs>
        <w:jc w:val="both"/>
        <w:rPr>
          <w:rFonts w:ascii="Arial" w:hAnsi="Arial" w:cs="Arial"/>
          <w:sz w:val="20"/>
          <w:szCs w:val="20"/>
        </w:rPr>
      </w:pPr>
    </w:p>
    <w:p w:rsidR="00EA11EE" w:rsidRPr="00EA11EE" w:rsidRDefault="00EA11EE" w:rsidP="00EA11EE">
      <w:pPr>
        <w:tabs>
          <w:tab w:val="left" w:pos="7605"/>
        </w:tabs>
        <w:jc w:val="both"/>
        <w:rPr>
          <w:rFonts w:ascii="Arial" w:hAnsi="Arial" w:cs="Arial"/>
          <w:b/>
          <w:sz w:val="20"/>
          <w:szCs w:val="20"/>
        </w:rPr>
      </w:pPr>
      <w:r w:rsidRPr="00EA11EE">
        <w:rPr>
          <w:rFonts w:ascii="Arial" w:hAnsi="Arial" w:cs="Arial"/>
          <w:b/>
          <w:sz w:val="20"/>
          <w:szCs w:val="20"/>
        </w:rPr>
        <w:t>EXAMEN PARCIAL DE GERENCIA DE OPERACIONES – TEORICO</w:t>
      </w:r>
    </w:p>
    <w:p w:rsidR="00EA11EE" w:rsidRPr="00EA11EE" w:rsidRDefault="00EA11EE" w:rsidP="00EA11EE">
      <w:pPr>
        <w:tabs>
          <w:tab w:val="left" w:pos="7605"/>
        </w:tabs>
        <w:jc w:val="both"/>
        <w:rPr>
          <w:rFonts w:ascii="Arial" w:hAnsi="Arial" w:cs="Arial"/>
          <w:b/>
          <w:sz w:val="20"/>
          <w:szCs w:val="20"/>
        </w:rPr>
      </w:pPr>
    </w:p>
    <w:p w:rsidR="00EA11EE" w:rsidRPr="00EA11EE" w:rsidRDefault="00EA11EE" w:rsidP="00EA11EE">
      <w:pPr>
        <w:tabs>
          <w:tab w:val="left" w:pos="7605"/>
        </w:tabs>
        <w:jc w:val="both"/>
        <w:rPr>
          <w:rFonts w:ascii="Arial" w:hAnsi="Arial" w:cs="Arial"/>
          <w:b/>
          <w:sz w:val="20"/>
          <w:szCs w:val="20"/>
        </w:rPr>
      </w:pPr>
      <w:r w:rsidRPr="00EA11EE">
        <w:rPr>
          <w:rFonts w:ascii="Arial" w:hAnsi="Arial" w:cs="Arial"/>
          <w:b/>
          <w:sz w:val="20"/>
          <w:szCs w:val="20"/>
        </w:rPr>
        <w:t>NOMBRE:</w:t>
      </w:r>
    </w:p>
    <w:p w:rsidR="00EA11EE" w:rsidRDefault="00EA11EE" w:rsidP="00EA11EE">
      <w:pPr>
        <w:tabs>
          <w:tab w:val="left" w:pos="7605"/>
        </w:tabs>
        <w:jc w:val="both"/>
        <w:rPr>
          <w:rFonts w:ascii="Arial" w:hAnsi="Arial" w:cs="Arial"/>
          <w:sz w:val="20"/>
          <w:szCs w:val="20"/>
        </w:rPr>
      </w:pPr>
    </w:p>
    <w:p w:rsidR="00EA11EE" w:rsidRDefault="00EA11EE" w:rsidP="00EA11EE">
      <w:pPr>
        <w:tabs>
          <w:tab w:val="left" w:pos="7605"/>
        </w:tabs>
        <w:jc w:val="both"/>
        <w:rPr>
          <w:rFonts w:ascii="Arial" w:hAnsi="Arial" w:cs="Arial"/>
          <w:sz w:val="20"/>
          <w:szCs w:val="20"/>
        </w:rPr>
      </w:pPr>
      <w:r>
        <w:rPr>
          <w:rFonts w:ascii="Arial" w:hAnsi="Arial" w:cs="Arial"/>
          <w:sz w:val="20"/>
          <w:szCs w:val="20"/>
        </w:rPr>
        <w:t>1. El Consejo de Administración de General Motors está considerando siete grandes inversiones de capital. Cada inversión sólo se puede efectuar una vez. Estas inversiones difieren en la ganancia estimada a largo plazo (valor presente neto) que generarán, así como en la cantidad de capital requerido, según se muestra en la siguiente tabla:</w:t>
      </w:r>
    </w:p>
    <w:p w:rsidR="00EA11EE" w:rsidRDefault="00EA11EE" w:rsidP="00EA11EE">
      <w:pPr>
        <w:tabs>
          <w:tab w:val="left" w:pos="7605"/>
        </w:tabs>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311"/>
        <w:gridCol w:w="1161"/>
      </w:tblGrid>
      <w:tr w:rsidR="00EA11EE" w:rsidRPr="009F5E1A">
        <w:trPr>
          <w:jc w:val="center"/>
        </w:trPr>
        <w:tc>
          <w:tcPr>
            <w:tcW w:w="1317" w:type="dxa"/>
            <w:vAlign w:val="center"/>
          </w:tcPr>
          <w:p w:rsidR="00EA11EE" w:rsidRPr="009F5E1A" w:rsidRDefault="00EA11EE" w:rsidP="00EA11EE">
            <w:pPr>
              <w:tabs>
                <w:tab w:val="left" w:pos="7605"/>
              </w:tabs>
              <w:jc w:val="center"/>
              <w:rPr>
                <w:rFonts w:ascii="Arial" w:hAnsi="Arial" w:cs="Arial"/>
                <w:b/>
                <w:sz w:val="20"/>
                <w:szCs w:val="20"/>
              </w:rPr>
            </w:pPr>
            <w:r w:rsidRPr="009F5E1A">
              <w:rPr>
                <w:rFonts w:ascii="Arial" w:hAnsi="Arial" w:cs="Arial"/>
                <w:b/>
                <w:sz w:val="20"/>
                <w:szCs w:val="20"/>
              </w:rPr>
              <w:t>Oportunidad de inversión</w:t>
            </w:r>
          </w:p>
        </w:tc>
        <w:tc>
          <w:tcPr>
            <w:tcW w:w="1311" w:type="dxa"/>
            <w:vAlign w:val="center"/>
          </w:tcPr>
          <w:p w:rsidR="00EA11EE" w:rsidRPr="009F5E1A" w:rsidRDefault="00EA11EE" w:rsidP="00EA11EE">
            <w:pPr>
              <w:tabs>
                <w:tab w:val="left" w:pos="7605"/>
              </w:tabs>
              <w:jc w:val="center"/>
              <w:rPr>
                <w:rFonts w:ascii="Arial" w:hAnsi="Arial" w:cs="Arial"/>
                <w:b/>
                <w:sz w:val="20"/>
                <w:szCs w:val="20"/>
              </w:rPr>
            </w:pPr>
            <w:r w:rsidRPr="009F5E1A">
              <w:rPr>
                <w:rFonts w:ascii="Arial" w:hAnsi="Arial" w:cs="Arial"/>
                <w:b/>
                <w:sz w:val="20"/>
                <w:szCs w:val="20"/>
              </w:rPr>
              <w:t>Ganancia estimada (millones)</w:t>
            </w:r>
          </w:p>
        </w:tc>
        <w:tc>
          <w:tcPr>
            <w:tcW w:w="1083" w:type="dxa"/>
            <w:vAlign w:val="center"/>
          </w:tcPr>
          <w:p w:rsidR="00EA11EE" w:rsidRPr="009F5E1A" w:rsidRDefault="00EA11EE" w:rsidP="00EA11EE">
            <w:pPr>
              <w:tabs>
                <w:tab w:val="left" w:pos="7605"/>
              </w:tabs>
              <w:jc w:val="center"/>
              <w:rPr>
                <w:rFonts w:ascii="Arial" w:hAnsi="Arial" w:cs="Arial"/>
                <w:b/>
                <w:sz w:val="20"/>
                <w:szCs w:val="20"/>
              </w:rPr>
            </w:pPr>
            <w:r w:rsidRPr="009F5E1A">
              <w:rPr>
                <w:rFonts w:ascii="Arial" w:hAnsi="Arial" w:cs="Arial"/>
                <w:b/>
                <w:sz w:val="20"/>
                <w:szCs w:val="20"/>
              </w:rPr>
              <w:t>Capital requerido (millones)</w:t>
            </w:r>
          </w:p>
        </w:tc>
      </w:tr>
      <w:tr w:rsidR="00EA11EE" w:rsidRPr="009F5E1A">
        <w:trPr>
          <w:jc w:val="center"/>
        </w:trPr>
        <w:tc>
          <w:tcPr>
            <w:tcW w:w="1317"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1</w:t>
            </w:r>
          </w:p>
        </w:tc>
        <w:tc>
          <w:tcPr>
            <w:tcW w:w="1311"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$17</w:t>
            </w:r>
          </w:p>
        </w:tc>
        <w:tc>
          <w:tcPr>
            <w:tcW w:w="1083"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$43</w:t>
            </w:r>
          </w:p>
        </w:tc>
      </w:tr>
      <w:tr w:rsidR="00EA11EE" w:rsidRPr="009F5E1A">
        <w:trPr>
          <w:jc w:val="center"/>
        </w:trPr>
        <w:tc>
          <w:tcPr>
            <w:tcW w:w="1317"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2</w:t>
            </w:r>
          </w:p>
        </w:tc>
        <w:tc>
          <w:tcPr>
            <w:tcW w:w="1311"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10</w:t>
            </w:r>
          </w:p>
        </w:tc>
        <w:tc>
          <w:tcPr>
            <w:tcW w:w="1083"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28</w:t>
            </w:r>
          </w:p>
        </w:tc>
      </w:tr>
      <w:tr w:rsidR="00EA11EE" w:rsidRPr="009F5E1A">
        <w:trPr>
          <w:jc w:val="center"/>
        </w:trPr>
        <w:tc>
          <w:tcPr>
            <w:tcW w:w="1317"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3</w:t>
            </w:r>
          </w:p>
        </w:tc>
        <w:tc>
          <w:tcPr>
            <w:tcW w:w="1311"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15</w:t>
            </w:r>
          </w:p>
        </w:tc>
        <w:tc>
          <w:tcPr>
            <w:tcW w:w="1083"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34</w:t>
            </w:r>
          </w:p>
        </w:tc>
      </w:tr>
      <w:tr w:rsidR="00EA11EE" w:rsidRPr="009F5E1A">
        <w:trPr>
          <w:jc w:val="center"/>
        </w:trPr>
        <w:tc>
          <w:tcPr>
            <w:tcW w:w="1317"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4</w:t>
            </w:r>
          </w:p>
        </w:tc>
        <w:tc>
          <w:tcPr>
            <w:tcW w:w="1311"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19</w:t>
            </w:r>
          </w:p>
        </w:tc>
        <w:tc>
          <w:tcPr>
            <w:tcW w:w="1083"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48</w:t>
            </w:r>
          </w:p>
        </w:tc>
      </w:tr>
      <w:tr w:rsidR="00EA11EE" w:rsidRPr="009F5E1A">
        <w:trPr>
          <w:jc w:val="center"/>
        </w:trPr>
        <w:tc>
          <w:tcPr>
            <w:tcW w:w="1317"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5</w:t>
            </w:r>
          </w:p>
        </w:tc>
        <w:tc>
          <w:tcPr>
            <w:tcW w:w="1311"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7</w:t>
            </w:r>
          </w:p>
        </w:tc>
        <w:tc>
          <w:tcPr>
            <w:tcW w:w="1083"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17</w:t>
            </w:r>
          </w:p>
        </w:tc>
      </w:tr>
      <w:tr w:rsidR="00EA11EE" w:rsidRPr="009F5E1A">
        <w:trPr>
          <w:jc w:val="center"/>
        </w:trPr>
        <w:tc>
          <w:tcPr>
            <w:tcW w:w="1317"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6</w:t>
            </w:r>
          </w:p>
        </w:tc>
        <w:tc>
          <w:tcPr>
            <w:tcW w:w="1311"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13</w:t>
            </w:r>
          </w:p>
        </w:tc>
        <w:tc>
          <w:tcPr>
            <w:tcW w:w="1083"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32</w:t>
            </w:r>
          </w:p>
        </w:tc>
      </w:tr>
      <w:tr w:rsidR="00EA11EE" w:rsidRPr="009F5E1A">
        <w:trPr>
          <w:jc w:val="center"/>
        </w:trPr>
        <w:tc>
          <w:tcPr>
            <w:tcW w:w="1317"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7</w:t>
            </w:r>
          </w:p>
        </w:tc>
        <w:tc>
          <w:tcPr>
            <w:tcW w:w="1311"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9</w:t>
            </w:r>
          </w:p>
        </w:tc>
        <w:tc>
          <w:tcPr>
            <w:tcW w:w="1083" w:type="dxa"/>
            <w:vAlign w:val="center"/>
          </w:tcPr>
          <w:p w:rsidR="00EA11EE" w:rsidRPr="009F5E1A" w:rsidRDefault="00EA11EE" w:rsidP="00EA11EE">
            <w:pPr>
              <w:tabs>
                <w:tab w:val="left" w:pos="7605"/>
              </w:tabs>
              <w:jc w:val="center"/>
              <w:rPr>
                <w:rFonts w:ascii="Arial" w:hAnsi="Arial" w:cs="Arial"/>
                <w:sz w:val="20"/>
                <w:szCs w:val="20"/>
              </w:rPr>
            </w:pPr>
            <w:r w:rsidRPr="009F5E1A">
              <w:rPr>
                <w:rFonts w:ascii="Arial" w:hAnsi="Arial" w:cs="Arial"/>
                <w:sz w:val="20"/>
                <w:szCs w:val="20"/>
              </w:rPr>
              <w:t>23</w:t>
            </w:r>
          </w:p>
        </w:tc>
      </w:tr>
    </w:tbl>
    <w:p w:rsidR="00EA11EE" w:rsidRDefault="00EA11EE" w:rsidP="00EA11EE">
      <w:pPr>
        <w:tabs>
          <w:tab w:val="left" w:pos="7605"/>
        </w:tabs>
        <w:jc w:val="both"/>
        <w:rPr>
          <w:rFonts w:ascii="Arial" w:hAnsi="Arial" w:cs="Arial"/>
          <w:sz w:val="20"/>
          <w:szCs w:val="20"/>
        </w:rPr>
      </w:pPr>
    </w:p>
    <w:p w:rsidR="00EA11EE" w:rsidRDefault="00EA11EE" w:rsidP="00EA11EE">
      <w:pPr>
        <w:tabs>
          <w:tab w:val="left" w:pos="7605"/>
        </w:tabs>
        <w:jc w:val="both"/>
        <w:rPr>
          <w:rFonts w:ascii="Arial" w:hAnsi="Arial" w:cs="Arial"/>
          <w:sz w:val="20"/>
          <w:szCs w:val="20"/>
        </w:rPr>
      </w:pPr>
      <w:r>
        <w:rPr>
          <w:rFonts w:ascii="Arial" w:hAnsi="Arial" w:cs="Arial"/>
          <w:sz w:val="20"/>
          <w:szCs w:val="20"/>
        </w:rPr>
        <w:t xml:space="preserve">La cantidad total de capital disponible para estas inversiones es de $ 100. Las oportunidades de inversión 1 y 2 son mutuamente excluyentes y también lo son la 3 y la 4. Más aún, ni la 3 ni la 4 pueden realizarse a menos que se haga una de las dos primeras oportunidades. No hay tales restricciones sobre las oportunidades de inversión 5, 6, 7. El objetivo es seleccionar la combinación de inversiones de capital que maximicen la ganancia total estimada a largo plazo </w:t>
      </w:r>
    </w:p>
    <w:p w:rsidR="00EA11EE" w:rsidRDefault="00EA11EE" w:rsidP="00EA11EE">
      <w:pPr>
        <w:numPr>
          <w:ilvl w:val="0"/>
          <w:numId w:val="1"/>
        </w:numPr>
        <w:jc w:val="both"/>
        <w:rPr>
          <w:rFonts w:ascii="Arial" w:hAnsi="Arial" w:cs="Arial"/>
          <w:sz w:val="20"/>
          <w:szCs w:val="20"/>
        </w:rPr>
      </w:pPr>
      <w:r>
        <w:rPr>
          <w:rFonts w:ascii="Arial" w:hAnsi="Arial" w:cs="Arial"/>
          <w:sz w:val="20"/>
          <w:szCs w:val="20"/>
        </w:rPr>
        <w:t>Formule un modelo de programación lineal para este problema</w:t>
      </w:r>
    </w:p>
    <w:p w:rsidR="00EA11EE" w:rsidRDefault="00EA11EE" w:rsidP="00EA11EE">
      <w:pPr>
        <w:jc w:val="both"/>
        <w:rPr>
          <w:rFonts w:ascii="Arial" w:hAnsi="Arial" w:cs="Arial"/>
          <w:sz w:val="20"/>
          <w:szCs w:val="20"/>
        </w:rPr>
      </w:pPr>
    </w:p>
    <w:p w:rsidR="00EA11EE" w:rsidRDefault="00EA11EE" w:rsidP="00EA11EE">
      <w:pPr>
        <w:jc w:val="both"/>
        <w:rPr>
          <w:rFonts w:ascii="Arial" w:hAnsi="Arial" w:cs="Arial"/>
          <w:sz w:val="20"/>
          <w:szCs w:val="20"/>
        </w:rPr>
      </w:pPr>
      <w:r>
        <w:rPr>
          <w:rFonts w:ascii="Arial" w:hAnsi="Arial" w:cs="Arial"/>
          <w:sz w:val="20"/>
          <w:szCs w:val="20"/>
        </w:rPr>
        <w:t>2</w:t>
      </w:r>
      <w:r w:rsidRPr="00AA4A8D">
        <w:rPr>
          <w:rFonts w:ascii="Arial" w:hAnsi="Arial" w:cs="Arial"/>
          <w:sz w:val="20"/>
          <w:szCs w:val="20"/>
        </w:rPr>
        <w:t xml:space="preserve">. </w:t>
      </w:r>
      <w:r>
        <w:rPr>
          <w:rFonts w:ascii="Arial" w:hAnsi="Arial" w:cs="Arial"/>
          <w:sz w:val="20"/>
          <w:szCs w:val="20"/>
        </w:rPr>
        <w:t>Dada el siguiente modelo de programación lineal planteado en WINQSB, interprete todos los resultados basados en el informe de sensibilidad que arroja el programa</w:t>
      </w:r>
    </w:p>
    <w:p w:rsidR="00EA11EE" w:rsidRDefault="00EA11EE" w:rsidP="00EA11EE">
      <w:pPr>
        <w:jc w:val="both"/>
        <w:rPr>
          <w:rFonts w:ascii="Arial" w:hAnsi="Arial" w:cs="Arial"/>
          <w:sz w:val="20"/>
          <w:szCs w:val="20"/>
        </w:rPr>
      </w:pPr>
    </w:p>
    <w:p w:rsidR="00EA11EE" w:rsidRDefault="00EA11EE" w:rsidP="00EA11EE">
      <w:pPr>
        <w:rPr>
          <w:rFonts w:ascii="Arial" w:hAnsi="Arial" w:cs="Arial"/>
          <w:sz w:val="20"/>
          <w:szCs w:val="20"/>
        </w:rPr>
      </w:pPr>
    </w:p>
    <w:p w:rsidR="00EA11EE" w:rsidRDefault="00AB5ADE" w:rsidP="00EA11EE">
      <w:pPr>
        <w:rPr>
          <w:rFonts w:ascii="Arial" w:hAnsi="Arial" w:cs="Arial"/>
          <w:sz w:val="20"/>
          <w:szCs w:val="20"/>
        </w:rPr>
      </w:pPr>
      <w:r>
        <w:rPr>
          <w:rFonts w:ascii="Arial" w:hAnsi="Arial" w:cs="Arial"/>
          <w:noProof/>
          <w:sz w:val="20"/>
          <w:szCs w:val="20"/>
          <w:lang w:val="es-ES"/>
        </w:rPr>
        <w:drawing>
          <wp:inline distT="0" distB="0" distL="0" distR="0">
            <wp:extent cx="4572000" cy="15144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72000" cy="1514475"/>
                    </a:xfrm>
                    <a:prstGeom prst="rect">
                      <a:avLst/>
                    </a:prstGeom>
                    <a:noFill/>
                    <a:ln w="9525">
                      <a:noFill/>
                      <a:miter lim="800000"/>
                      <a:headEnd/>
                      <a:tailEnd/>
                    </a:ln>
                  </pic:spPr>
                </pic:pic>
              </a:graphicData>
            </a:graphic>
          </wp:inline>
        </w:drawing>
      </w:r>
    </w:p>
    <w:p w:rsidR="00EA11EE" w:rsidRDefault="00EA11EE" w:rsidP="00EA11EE">
      <w:pPr>
        <w:rPr>
          <w:rFonts w:ascii="Arial" w:hAnsi="Arial" w:cs="Arial"/>
          <w:sz w:val="20"/>
          <w:szCs w:val="20"/>
        </w:rPr>
      </w:pPr>
    </w:p>
    <w:p w:rsidR="00EA11EE" w:rsidRDefault="00AB5ADE" w:rsidP="00EA11EE">
      <w:pPr>
        <w:rPr>
          <w:rFonts w:ascii="Arial" w:hAnsi="Arial" w:cs="Arial"/>
          <w:sz w:val="20"/>
          <w:szCs w:val="20"/>
        </w:rPr>
      </w:pPr>
      <w:r>
        <w:rPr>
          <w:rFonts w:ascii="Arial" w:hAnsi="Arial" w:cs="Arial"/>
          <w:noProof/>
          <w:sz w:val="20"/>
          <w:szCs w:val="20"/>
          <w:lang w:val="es-ES"/>
        </w:rPr>
        <w:lastRenderedPageBreak/>
        <w:drawing>
          <wp:inline distT="0" distB="0" distL="0" distR="0">
            <wp:extent cx="5486400" cy="21717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486400" cy="2171700"/>
                    </a:xfrm>
                    <a:prstGeom prst="rect">
                      <a:avLst/>
                    </a:prstGeom>
                    <a:noFill/>
                    <a:ln w="9525">
                      <a:noFill/>
                      <a:miter lim="800000"/>
                      <a:headEnd/>
                      <a:tailEnd/>
                    </a:ln>
                  </pic:spPr>
                </pic:pic>
              </a:graphicData>
            </a:graphic>
          </wp:inline>
        </w:drawing>
      </w:r>
    </w:p>
    <w:p w:rsidR="00EA11EE" w:rsidRDefault="00EA11EE" w:rsidP="00EA11EE">
      <w:pPr>
        <w:rPr>
          <w:rFonts w:ascii="Arial" w:hAnsi="Arial" w:cs="Arial"/>
          <w:sz w:val="20"/>
          <w:szCs w:val="20"/>
        </w:rPr>
      </w:pPr>
    </w:p>
    <w:p w:rsidR="00EA11EE" w:rsidRDefault="00EA11EE" w:rsidP="00EA11EE">
      <w:pPr>
        <w:rPr>
          <w:rFonts w:ascii="Arial" w:hAnsi="Arial" w:cs="Arial"/>
          <w:sz w:val="20"/>
          <w:szCs w:val="20"/>
        </w:rPr>
      </w:pPr>
    </w:p>
    <w:p w:rsidR="00EA11EE" w:rsidRDefault="00EA11EE" w:rsidP="00EA11EE">
      <w:pPr>
        <w:jc w:val="both"/>
        <w:rPr>
          <w:rFonts w:ascii="Arial" w:hAnsi="Arial" w:cs="Arial"/>
          <w:sz w:val="20"/>
          <w:szCs w:val="20"/>
        </w:rPr>
      </w:pPr>
      <w:r>
        <w:rPr>
          <w:rFonts w:ascii="Arial" w:hAnsi="Arial" w:cs="Arial"/>
          <w:sz w:val="20"/>
          <w:szCs w:val="20"/>
        </w:rPr>
        <w:t xml:space="preserve">3. Dada la siguiente tabla Simplex, desarrolle el número de interacciones necesarias hasta alcanzar los resultados obtenidos en el numeral anterior. </w:t>
      </w:r>
    </w:p>
    <w:p w:rsidR="00EA11EE" w:rsidRDefault="00EA11EE" w:rsidP="00EA11EE">
      <w:pPr>
        <w:rPr>
          <w:rFonts w:ascii="Arial" w:hAnsi="Arial" w:cs="Arial"/>
          <w:sz w:val="20"/>
          <w:szCs w:val="20"/>
        </w:rPr>
      </w:pPr>
    </w:p>
    <w:p w:rsidR="00EA11EE" w:rsidRDefault="00EA11EE" w:rsidP="00EA11EE">
      <w:pPr>
        <w:rPr>
          <w:rFonts w:ascii="Arial" w:hAnsi="Arial" w:cs="Arial"/>
          <w:sz w:val="20"/>
          <w:szCs w:val="20"/>
        </w:rPr>
      </w:pPr>
    </w:p>
    <w:p w:rsidR="00EA11EE" w:rsidRDefault="00AB5ADE" w:rsidP="00EA11EE">
      <w:r>
        <w:rPr>
          <w:noProof/>
          <w:lang w:val="es-ES"/>
        </w:rPr>
        <w:drawing>
          <wp:inline distT="0" distB="0" distL="0" distR="0">
            <wp:extent cx="5486400" cy="10953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486400" cy="1095375"/>
                    </a:xfrm>
                    <a:prstGeom prst="rect">
                      <a:avLst/>
                    </a:prstGeom>
                    <a:noFill/>
                    <a:ln w="9525">
                      <a:noFill/>
                      <a:miter lim="800000"/>
                      <a:headEnd/>
                      <a:tailEnd/>
                    </a:ln>
                  </pic:spPr>
                </pic:pic>
              </a:graphicData>
            </a:graphic>
          </wp:inline>
        </w:drawing>
      </w:r>
    </w:p>
    <w:p w:rsidR="00EA11EE" w:rsidRDefault="00EA11EE" w:rsidP="00EA11EE"/>
    <w:p w:rsidR="00EA11EE" w:rsidRPr="00AA4A8D" w:rsidRDefault="00EA11EE" w:rsidP="00EA11EE">
      <w:pPr>
        <w:rPr>
          <w:rFonts w:ascii="Arial" w:hAnsi="Arial" w:cs="Arial"/>
          <w:sz w:val="20"/>
          <w:szCs w:val="20"/>
        </w:rPr>
      </w:pPr>
    </w:p>
    <w:p w:rsidR="004F5764" w:rsidRPr="004F5764" w:rsidRDefault="004F5764" w:rsidP="004F5764">
      <w:pPr>
        <w:jc w:val="both"/>
        <w:rPr>
          <w:rFonts w:ascii="Arial" w:hAnsi="Arial" w:cs="Arial"/>
          <w:sz w:val="20"/>
          <w:szCs w:val="20"/>
        </w:rPr>
      </w:pPr>
      <w:r>
        <w:rPr>
          <w:rFonts w:ascii="Arial" w:hAnsi="Arial" w:cs="Arial"/>
          <w:sz w:val="20"/>
          <w:szCs w:val="20"/>
        </w:rPr>
        <w:t>4</w:t>
      </w:r>
      <w:r w:rsidRPr="004F5764">
        <w:rPr>
          <w:rFonts w:ascii="Arial" w:hAnsi="Arial" w:cs="Arial"/>
          <w:sz w:val="20"/>
          <w:szCs w:val="20"/>
        </w:rPr>
        <w:t xml:space="preserve">.- The Oak Work es un negocio familiar que fabrica mesas y sillas de comedor artesanales. Obtienen la madera de roble de una granja forestal local, que les embarca </w:t>
      </w:r>
      <w:smartTag w:uri="urn:schemas-microsoft-com:office:smarttags" w:element="metricconverter">
        <w:smartTagPr>
          <w:attr w:name="ProductID" w:val="2.500 libras"/>
        </w:smartTagPr>
        <w:r w:rsidRPr="004F5764">
          <w:rPr>
            <w:rFonts w:ascii="Arial" w:hAnsi="Arial" w:cs="Arial"/>
            <w:sz w:val="20"/>
            <w:szCs w:val="20"/>
          </w:rPr>
          <w:t>2.500 libras</w:t>
        </w:r>
      </w:smartTag>
      <w:r w:rsidRPr="004F5764">
        <w:rPr>
          <w:rFonts w:ascii="Arial" w:hAnsi="Arial" w:cs="Arial"/>
          <w:sz w:val="20"/>
          <w:szCs w:val="20"/>
        </w:rPr>
        <w:t xml:space="preserve"> mensuales de madera de roble. Cada mesa emplea </w:t>
      </w:r>
      <w:smartTag w:uri="urn:schemas-microsoft-com:office:smarttags" w:element="metricconverter">
        <w:smartTagPr>
          <w:attr w:name="ProductID" w:val="50 libras"/>
        </w:smartTagPr>
        <w:r w:rsidRPr="004F5764">
          <w:rPr>
            <w:rFonts w:ascii="Arial" w:hAnsi="Arial" w:cs="Arial"/>
            <w:sz w:val="20"/>
            <w:szCs w:val="20"/>
          </w:rPr>
          <w:t>50 libras</w:t>
        </w:r>
      </w:smartTag>
      <w:r w:rsidRPr="004F5764">
        <w:rPr>
          <w:rFonts w:ascii="Arial" w:hAnsi="Arial" w:cs="Arial"/>
          <w:sz w:val="20"/>
          <w:szCs w:val="20"/>
        </w:rPr>
        <w:t xml:space="preserve"> de madera, en tanto que cada silla usa </w:t>
      </w:r>
      <w:smartTag w:uri="urn:schemas-microsoft-com:office:smarttags" w:element="metricconverter">
        <w:smartTagPr>
          <w:attr w:name="ProductID" w:val="25 libras"/>
        </w:smartTagPr>
        <w:r w:rsidRPr="004F5764">
          <w:rPr>
            <w:rFonts w:ascii="Arial" w:hAnsi="Arial" w:cs="Arial"/>
            <w:sz w:val="20"/>
            <w:szCs w:val="20"/>
          </w:rPr>
          <w:t>25 libras</w:t>
        </w:r>
      </w:smartTag>
      <w:r w:rsidRPr="004F5764">
        <w:rPr>
          <w:rFonts w:ascii="Arial" w:hAnsi="Arial" w:cs="Arial"/>
          <w:sz w:val="20"/>
          <w:szCs w:val="20"/>
        </w:rPr>
        <w:t>. La familia construye ella misma todos los muebles y cuenta con 480 horas de mano de obra mensuales. Cada mesa o silla requiere 6 horas de mano de obra. Cada mesa proporciona Oak Work una ganancia de $ 400, en tanto que cada silla da una ganancia de $ 100. Como con frecuencia las sillas se venden con las mesas, quieren producir al menos el doble de sillas que mesas. The Oak Work desea decidir cuántas mesas y sillas producir para maximizar la ganancia.</w:t>
      </w:r>
    </w:p>
    <w:p w:rsidR="004F5764" w:rsidRDefault="004F5764" w:rsidP="004F5764">
      <w:pPr>
        <w:pStyle w:val="Textoindependiente"/>
        <w:rPr>
          <w:sz w:val="22"/>
        </w:rPr>
      </w:pPr>
    </w:p>
    <w:p w:rsidR="004F5764" w:rsidRPr="004F5764" w:rsidRDefault="004F5764" w:rsidP="004F5764">
      <w:pPr>
        <w:numPr>
          <w:ilvl w:val="0"/>
          <w:numId w:val="4"/>
        </w:numPr>
        <w:jc w:val="both"/>
        <w:rPr>
          <w:rFonts w:ascii="Arial" w:hAnsi="Arial" w:cs="Arial"/>
          <w:sz w:val="20"/>
          <w:szCs w:val="20"/>
        </w:rPr>
      </w:pPr>
      <w:r w:rsidRPr="004F5764">
        <w:rPr>
          <w:rFonts w:ascii="Arial" w:hAnsi="Arial" w:cs="Arial"/>
          <w:sz w:val="20"/>
          <w:szCs w:val="20"/>
        </w:rPr>
        <w:t>Formule y resuelva un modelo de programación lineal para este problema</w:t>
      </w:r>
    </w:p>
    <w:p w:rsidR="004F5764" w:rsidRPr="004F5764" w:rsidRDefault="004F5764" w:rsidP="004F5764">
      <w:pPr>
        <w:numPr>
          <w:ilvl w:val="0"/>
          <w:numId w:val="4"/>
        </w:numPr>
        <w:jc w:val="both"/>
        <w:rPr>
          <w:rFonts w:ascii="Arial" w:hAnsi="Arial" w:cs="Arial"/>
          <w:sz w:val="20"/>
          <w:szCs w:val="20"/>
        </w:rPr>
      </w:pPr>
      <w:r w:rsidRPr="004F5764">
        <w:rPr>
          <w:rFonts w:ascii="Arial" w:hAnsi="Arial" w:cs="Arial"/>
          <w:sz w:val="20"/>
          <w:szCs w:val="20"/>
        </w:rPr>
        <w:t>Use el método gráfico para resolver este modelo.</w:t>
      </w:r>
    </w:p>
    <w:p w:rsidR="004F5764" w:rsidRPr="004F5764" w:rsidRDefault="004F5764" w:rsidP="004F5764">
      <w:pPr>
        <w:numPr>
          <w:ilvl w:val="0"/>
          <w:numId w:val="4"/>
        </w:numPr>
        <w:jc w:val="both"/>
        <w:rPr>
          <w:rFonts w:ascii="Arial" w:hAnsi="Arial" w:cs="Arial"/>
          <w:sz w:val="20"/>
          <w:szCs w:val="20"/>
        </w:rPr>
      </w:pPr>
      <w:r w:rsidRPr="004F5764">
        <w:rPr>
          <w:rFonts w:ascii="Arial" w:hAnsi="Arial" w:cs="Arial"/>
          <w:sz w:val="20"/>
          <w:szCs w:val="20"/>
        </w:rPr>
        <w:t>¿Hasta qué intervalo puede fluctuar la ganancia por mesa, si se mantiene constante la ganancia por silla, sin que altere el resultado de la solución óptima?</w:t>
      </w:r>
    </w:p>
    <w:p w:rsidR="004F5764" w:rsidRPr="004F5764" w:rsidRDefault="004F5764" w:rsidP="004F5764">
      <w:pPr>
        <w:numPr>
          <w:ilvl w:val="0"/>
          <w:numId w:val="4"/>
        </w:numPr>
        <w:jc w:val="both"/>
        <w:rPr>
          <w:rFonts w:ascii="Arial" w:hAnsi="Arial" w:cs="Arial"/>
          <w:sz w:val="20"/>
          <w:szCs w:val="20"/>
        </w:rPr>
      </w:pPr>
      <w:r w:rsidRPr="004F5764">
        <w:rPr>
          <w:rFonts w:ascii="Arial" w:hAnsi="Arial" w:cs="Arial"/>
          <w:sz w:val="20"/>
          <w:szCs w:val="20"/>
        </w:rPr>
        <w:t>¿Hasta qué intervalo puede fluctuar la ganancia por silla, si se mantiene constante la ganancia por mesa, sin que altere el resultado de la solución óptima?</w:t>
      </w:r>
    </w:p>
    <w:p w:rsidR="004F5764" w:rsidRPr="004F5764" w:rsidRDefault="004F5764" w:rsidP="004F5764">
      <w:pPr>
        <w:numPr>
          <w:ilvl w:val="0"/>
          <w:numId w:val="4"/>
        </w:numPr>
        <w:jc w:val="both"/>
        <w:rPr>
          <w:rFonts w:ascii="Arial" w:hAnsi="Arial" w:cs="Arial"/>
          <w:sz w:val="20"/>
          <w:szCs w:val="20"/>
        </w:rPr>
      </w:pPr>
      <w:r w:rsidRPr="004F5764">
        <w:rPr>
          <w:rFonts w:ascii="Arial" w:hAnsi="Arial" w:cs="Arial"/>
          <w:sz w:val="20"/>
          <w:szCs w:val="20"/>
        </w:rPr>
        <w:t>¿Cuál sería la interpretación del precio sombra, si se incrementa en 10 el número de horas de mano de obra mensuales?</w:t>
      </w:r>
    </w:p>
    <w:p w:rsidR="003058EC" w:rsidRPr="004F5764" w:rsidRDefault="003058EC">
      <w:pPr>
        <w:rPr>
          <w:lang w:val="es-MX"/>
        </w:rPr>
      </w:pPr>
    </w:p>
    <w:sectPr w:rsidR="003058EC" w:rsidRPr="004F576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4025E"/>
    <w:multiLevelType w:val="hybridMultilevel"/>
    <w:tmpl w:val="E3969D14"/>
    <w:lvl w:ilvl="0" w:tplc="8D50B1FE">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1C80069C"/>
    <w:multiLevelType w:val="multilevel"/>
    <w:tmpl w:val="E3969D1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FA911B7"/>
    <w:multiLevelType w:val="hybridMultilevel"/>
    <w:tmpl w:val="8EE0BCBA"/>
    <w:lvl w:ilvl="0" w:tplc="8CFE5B68">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ECC36B2"/>
    <w:multiLevelType w:val="hybridMultilevel"/>
    <w:tmpl w:val="04349D9C"/>
    <w:lvl w:ilvl="0" w:tplc="C53620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stylePaneFormatFilter w:val="3F01"/>
  <w:defaultTabStop w:val="708"/>
  <w:hyphenationZone w:val="425"/>
  <w:defaultTableStyle w:val="Tablacontema"/>
  <w:characterSpacingControl w:val="doNotCompress"/>
  <w:compat/>
  <w:rsids>
    <w:rsidRoot w:val="00EA11EE"/>
    <w:rsid w:val="003058EC"/>
    <w:rsid w:val="00401592"/>
    <w:rsid w:val="004F5764"/>
    <w:rsid w:val="005538F5"/>
    <w:rsid w:val="0059047F"/>
    <w:rsid w:val="00AB5ADE"/>
    <w:rsid w:val="00EA11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1EE"/>
    <w:rPr>
      <w:rFonts w:ascii="Verdana" w:hAnsi="Verdana"/>
      <w:color w:val="000000"/>
      <w:sz w:val="24"/>
      <w:szCs w:val="24"/>
      <w:lang w:val="es-EC"/>
    </w:rPr>
  </w:style>
  <w:style w:type="paragraph" w:styleId="Ttulo1">
    <w:name w:val="heading 1"/>
    <w:basedOn w:val="Normal"/>
    <w:next w:val="Normal"/>
    <w:qFormat/>
    <w:rsid w:val="00EA11EE"/>
    <w:pPr>
      <w:keepNext/>
      <w:spacing w:before="240" w:after="60"/>
      <w:outlineLvl w:val="0"/>
    </w:pPr>
    <w:rPr>
      <w:rFonts w:cs="Arial"/>
      <w:b/>
      <w:bCs/>
      <w:color w:val="7E7D10"/>
      <w:kern w:val="32"/>
      <w:sz w:val="32"/>
      <w:szCs w:val="32"/>
    </w:rPr>
  </w:style>
  <w:style w:type="paragraph" w:styleId="Ttulo2">
    <w:name w:val="heading 2"/>
    <w:basedOn w:val="Normal"/>
    <w:next w:val="Normal"/>
    <w:qFormat/>
    <w:rsid w:val="00EA11EE"/>
    <w:pPr>
      <w:keepNext/>
      <w:spacing w:before="240" w:after="60"/>
      <w:outlineLvl w:val="1"/>
    </w:pPr>
    <w:rPr>
      <w:rFonts w:cs="Arial"/>
      <w:color w:val="7E7D10"/>
      <w:sz w:val="28"/>
      <w:szCs w:val="28"/>
    </w:rPr>
  </w:style>
  <w:style w:type="paragraph" w:styleId="Ttulo3">
    <w:name w:val="heading 3"/>
    <w:basedOn w:val="Normal"/>
    <w:next w:val="Normal"/>
    <w:qFormat/>
    <w:rsid w:val="00EA11EE"/>
    <w:pPr>
      <w:keepNext/>
      <w:spacing w:before="240" w:after="60"/>
      <w:outlineLvl w:val="2"/>
    </w:pPr>
    <w:rPr>
      <w:rFonts w:cs="Arial"/>
      <w:color w:val="7E7D10"/>
      <w:sz w:val="26"/>
      <w:szCs w:val="26"/>
    </w:rPr>
  </w:style>
  <w:style w:type="paragraph" w:styleId="Ttulo4">
    <w:name w:val="heading 4"/>
    <w:basedOn w:val="Normal"/>
    <w:next w:val="Normal"/>
    <w:qFormat/>
    <w:rsid w:val="00EA11EE"/>
    <w:pPr>
      <w:keepNext/>
      <w:spacing w:before="240" w:after="60"/>
      <w:outlineLvl w:val="3"/>
    </w:pPr>
    <w:rPr>
      <w:color w:val="7E7D10"/>
      <w:sz w:val="28"/>
      <w:szCs w:val="28"/>
    </w:rPr>
  </w:style>
  <w:style w:type="paragraph" w:styleId="Ttulo5">
    <w:name w:val="heading 5"/>
    <w:basedOn w:val="Normal"/>
    <w:next w:val="Normal"/>
    <w:qFormat/>
    <w:rsid w:val="00EA11EE"/>
    <w:pPr>
      <w:spacing w:before="240" w:after="60"/>
      <w:outlineLvl w:val="4"/>
    </w:pPr>
    <w:rPr>
      <w:color w:val="7E7D10"/>
      <w:sz w:val="26"/>
      <w:szCs w:val="26"/>
    </w:rPr>
  </w:style>
  <w:style w:type="paragraph" w:styleId="Ttulo6">
    <w:name w:val="heading 6"/>
    <w:basedOn w:val="Normal"/>
    <w:next w:val="Normal"/>
    <w:qFormat/>
    <w:rsid w:val="00EA11EE"/>
    <w:pPr>
      <w:spacing w:before="240" w:after="60"/>
      <w:outlineLvl w:val="5"/>
    </w:pPr>
    <w:rPr>
      <w:color w:val="7E7D10"/>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tema">
    <w:name w:val="Table Theme"/>
    <w:basedOn w:val="Tablanormal"/>
    <w:rsid w:val="00EA11EE"/>
    <w:tblPr>
      <w:tblInd w:w="0" w:type="dxa"/>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CellMar>
        <w:top w:w="0" w:type="dxa"/>
        <w:left w:w="108" w:type="dxa"/>
        <w:bottom w:w="0" w:type="dxa"/>
        <w:right w:w="108" w:type="dxa"/>
      </w:tblCellMar>
    </w:tblPr>
  </w:style>
  <w:style w:type="character" w:styleId="Hipervnculo">
    <w:name w:val="Hyperlink"/>
    <w:basedOn w:val="Fuentedeprrafopredeter"/>
    <w:rsid w:val="00EA11EE"/>
    <w:rPr>
      <w:color w:val="CF0002"/>
      <w:u w:val="single"/>
    </w:rPr>
  </w:style>
  <w:style w:type="character" w:styleId="Hipervnculovisitado">
    <w:name w:val="FollowedHyperlink"/>
    <w:basedOn w:val="Fuentedeprrafopredeter"/>
    <w:rsid w:val="00EA11EE"/>
    <w:rPr>
      <w:color w:val="8F1719"/>
      <w:u w:val="single"/>
    </w:rPr>
  </w:style>
  <w:style w:type="paragraph" w:styleId="Textoindependiente">
    <w:name w:val="Body Text"/>
    <w:basedOn w:val="Normal"/>
    <w:rsid w:val="004F5764"/>
    <w:pPr>
      <w:jc w:val="both"/>
    </w:pPr>
    <w:rPr>
      <w:rFonts w:ascii="Times New Roman" w:hAnsi="Times New Roman"/>
      <w:color w:val="auto"/>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EXAMEN PARCIAL DE GERENCIA DE OPERACIONES – TEORICO</vt:lpstr>
    </vt:vector>
  </TitlesOfParts>
  <Company>Home</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PARCIAL DE GERENCIA DE OPERACIONES – TEORICO</dc:title>
  <dc:subject/>
  <dc:creator>Marlon Manya</dc:creator>
  <cp:keywords/>
  <dc:description/>
  <cp:lastModifiedBy>silgivar</cp:lastModifiedBy>
  <cp:revision>2</cp:revision>
  <dcterms:created xsi:type="dcterms:W3CDTF">2011-03-24T19:43:00Z</dcterms:created>
  <dcterms:modified xsi:type="dcterms:W3CDTF">2011-03-24T19:43:00Z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Aftrnoon 111</vt:lpwstr>
  </property>
</Properties>
</file>