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495B">
      <w:pPr>
        <w:autoSpaceDE w:val="0"/>
        <w:jc w:val="center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Examen final de Semiótica y Comunicación</w:t>
      </w:r>
    </w:p>
    <w:p w:rsidR="00000000" w:rsidRDefault="00BF495B">
      <w:pPr>
        <w:autoSpaceDE w:val="0"/>
        <w:jc w:val="both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Paralelo 3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Escuela Superior Politécnica del Litoral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Edcom- Escuela de Diseño y Comunicación Visual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Nombre del Alumno: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Fecha: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Este examen tiene una duración de  dos horas como máximo. Las respuestas serán  marcadas e</w:t>
      </w:r>
      <w:r>
        <w:rPr>
          <w:rFonts w:ascii="Times New Roman" w:hAnsi="Times New Roman"/>
          <w:color w:val="auto"/>
          <w:lang/>
        </w:rPr>
        <w:t xml:space="preserve">n este cuestionario, sin correcciones o enmiendas, de no cumplir esta condición, el examen será nulo en su totalidad. Las preguntas de verdadero o falso tienen un valor de 2 puntos cada una, lo que representa un total de 30 puntos. No se admiten el uso de </w:t>
      </w:r>
      <w:r>
        <w:rPr>
          <w:rFonts w:ascii="Times New Roman" w:hAnsi="Times New Roman"/>
          <w:color w:val="auto"/>
          <w:lang/>
        </w:rPr>
        <w:t>lápiz, correcciones o enmiendas de tipo alguno.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10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El texto “cerrado” permite un sinnúmero de interpretaciones posibles en cada momento, aunque está gobernado por una lógica bastante rígida, mientras el texto “abierto” implica que el destinador conduce al de</w:t>
      </w:r>
      <w:r>
        <w:rPr>
          <w:rFonts w:ascii="Times New Roman" w:hAnsi="Times New Roman"/>
          <w:color w:val="auto"/>
          <w:lang/>
        </w:rPr>
        <w:t>stinatario y luego le permite que tome sus propias decisiones y (re) evalúe los pasos anteriores desde ese punto de vista.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9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Greimas cataloga a los actantes a partir de qué hacen en objeto y adyuvante en el eje del pode</w:t>
      </w:r>
      <w:r>
        <w:rPr>
          <w:rFonts w:ascii="Times New Roman" w:hAnsi="Times New Roman"/>
          <w:color w:val="auto"/>
          <w:lang/>
        </w:rPr>
        <w:t>r, opositor y sujeto en el eje del deseo y destinador y destinatario en el eje del saber.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8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Si el signo revela la cosa, el proceso de semiosis no produce, a la larga, una noción socialmente compartida de la cosa, que la</w:t>
      </w:r>
      <w:r>
        <w:rPr>
          <w:rFonts w:ascii="Times New Roman" w:hAnsi="Times New Roman"/>
          <w:color w:val="auto"/>
          <w:lang/>
        </w:rPr>
        <w:t xml:space="preserve"> comunidad se compromete a adoptar como falsa.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7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Siguiendo a Barthes se puede pensar que los “mitos” que impregnan nuestra vida son insidiosos precisamente porque parecen tan naturales e invitan al análisis detallado qu</w:t>
      </w:r>
      <w:r>
        <w:rPr>
          <w:rFonts w:ascii="Times New Roman" w:hAnsi="Times New Roman"/>
          <w:color w:val="auto"/>
          <w:lang/>
        </w:rPr>
        <w:t>e puede ofrecer la semiótica.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6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Guiándose por Hjemslev, Barthes produce su mapa de funcionamiento del signo en el que el signo denotativo está formado por un significante y un significado, pero también es un significant</w:t>
      </w:r>
      <w:r>
        <w:rPr>
          <w:rFonts w:ascii="Times New Roman" w:hAnsi="Times New Roman"/>
          <w:color w:val="auto"/>
          <w:lang/>
        </w:rPr>
        <w:t>e connotativo que debe engendrar un significado connotativo para producir un signo connotativo.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5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Greimas puede catalogarse en las áreas de la sintáctica y la semántica.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4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Barthes al</w:t>
      </w:r>
      <w:r>
        <w:rPr>
          <w:rFonts w:ascii="Times New Roman" w:hAnsi="Times New Roman"/>
          <w:color w:val="auto"/>
          <w:lang/>
        </w:rPr>
        <w:t xml:space="preserve"> preferir la teoría de de Saussure como base y el término semiología incurre en la acústica y la cibernética, principalmente.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3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Semántica, pragmática y sintáctica son 3 partes esenciales de la semiología por ser su cien</w:t>
      </w:r>
      <w:r>
        <w:rPr>
          <w:rFonts w:ascii="Times New Roman" w:hAnsi="Times New Roman"/>
          <w:color w:val="auto"/>
          <w:lang/>
        </w:rPr>
        <w:t>cia base la lingüística.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2"/>
        </w:numPr>
        <w:autoSpaceDE w:val="0"/>
        <w:ind w:left="720" w:firstLine="0"/>
        <w:rPr>
          <w:rFonts w:ascii="Times New Roman" w:hAnsi="Times New Roman"/>
          <w:color w:val="auto"/>
          <w:lang w:val="es-ES"/>
        </w:rPr>
      </w:pPr>
      <w:r>
        <w:rPr>
          <w:rFonts w:ascii="Times New Roman" w:hAnsi="Times New Roman"/>
          <w:color w:val="auto"/>
          <w:lang w:val="es-ES"/>
        </w:rPr>
        <w:t xml:space="preserve">Considerando la semántica de la palabra semiótica como la usa Eco se percibe un desarrollo hacia la ciencia en que las interpretaciones posibles se realizan basadas en principios consensuales </w:t>
      </w:r>
      <w:r>
        <w:rPr>
          <w:rFonts w:ascii="Times New Roman" w:hAnsi="Times New Roman"/>
          <w:color w:val="auto"/>
          <w:lang w:val="es-ES"/>
        </w:rPr>
        <w:t>que ella debe descubrir.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 w:val="es-ES"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rPr>
          <w:rFonts w:ascii="Times New Roman" w:hAnsi="Times New Roman"/>
          <w:color w:val="auto"/>
          <w:lang/>
        </w:rPr>
      </w:pPr>
    </w:p>
    <w:p w:rsidR="00000000" w:rsidRDefault="00BF495B">
      <w:pPr>
        <w:numPr>
          <w:ilvl w:val="0"/>
          <w:numId w:val="1"/>
        </w:numPr>
        <w:autoSpaceDE w:val="0"/>
        <w:ind w:left="720" w:firstLine="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>Estructura ausente, Obra abierta y Apocalípticos e integrados son 3 de los libros de Umberto Eco y que pueden incurrir en el campo de la paradigmática y la cibernética.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lang/>
        </w:rPr>
        <w:t xml:space="preserve">                       </w:t>
      </w:r>
      <w:r>
        <w:rPr>
          <w:rFonts w:ascii="Times New Roman" w:hAnsi="Times New Roman"/>
          <w:color w:val="auto"/>
          <w:lang/>
        </w:rPr>
        <w:t xml:space="preserve">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autoSpaceDE w:val="0"/>
        <w:rPr>
          <w:rFonts w:ascii="Times New Roman" w:hAnsi="Times New Roman"/>
          <w:color w:val="auto"/>
          <w:szCs w:val="32"/>
          <w:lang/>
        </w:rPr>
      </w:pPr>
      <w:r>
        <w:rPr>
          <w:rFonts w:ascii="Times New Roman" w:hAnsi="Times New Roman"/>
          <w:color w:val="auto"/>
          <w:szCs w:val="32"/>
          <w:lang/>
        </w:rPr>
        <w:t>11. Diseñar un tira cómica es una forma de incurrir en las teoría de  obra abierta y estructura ausente porque este producto cultural tiene multiplicidad de voces y permite que el lector se vuelva el autor mismo.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szCs w:val="32"/>
          <w:lang/>
        </w:rPr>
        <w:t xml:space="preserve">                           </w:t>
      </w:r>
      <w:r>
        <w:rPr>
          <w:rFonts w:ascii="Times New Roman" w:hAnsi="Times New Roman"/>
          <w:color w:val="auto"/>
          <w:szCs w:val="32"/>
          <w:lang/>
        </w:rPr>
        <w:t xml:space="preserve">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autoSpaceDE w:val="0"/>
        <w:rPr>
          <w:rFonts w:ascii="Times New Roman" w:hAnsi="Times New Roman"/>
          <w:color w:val="auto"/>
          <w:szCs w:val="32"/>
          <w:lang/>
        </w:rPr>
      </w:pPr>
      <w:r>
        <w:rPr>
          <w:rFonts w:ascii="Times New Roman" w:hAnsi="Times New Roman"/>
          <w:color w:val="auto"/>
          <w:szCs w:val="32"/>
          <w:lang/>
        </w:rPr>
        <w:t>12. Las Crónicas de Narnia: La travesía de El Viajero del Alba puede estudiarse desde las teorías del mito y el grado cero de la escritura porque esconden nihilismo, ateísmo y como filme se narra desde un punto de vista neutro que lo hace acces</w:t>
      </w:r>
      <w:r>
        <w:rPr>
          <w:rFonts w:ascii="Times New Roman" w:hAnsi="Times New Roman"/>
          <w:color w:val="auto"/>
          <w:szCs w:val="32"/>
          <w:lang/>
        </w:rPr>
        <w:t>ible a todo público.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autoSpaceDE w:val="0"/>
        <w:rPr>
          <w:rFonts w:ascii="Times New Roman" w:hAnsi="Times New Roman"/>
          <w:color w:val="auto"/>
          <w:szCs w:val="32"/>
          <w:lang/>
        </w:rPr>
      </w:pPr>
      <w:r>
        <w:rPr>
          <w:rFonts w:ascii="Times New Roman" w:hAnsi="Times New Roman"/>
          <w:color w:val="auto"/>
          <w:szCs w:val="32"/>
          <w:lang/>
        </w:rPr>
        <w:t>13. Pensar en una portada para un cómic sobre la vida y obra de Barthes permite incurrir en las teorías del estructuralismo e inmiscuirse en las relaciones semiótica y sicoanálisis porque es una m</w:t>
      </w:r>
      <w:r>
        <w:rPr>
          <w:rFonts w:ascii="Times New Roman" w:hAnsi="Times New Roman"/>
          <w:color w:val="auto"/>
          <w:szCs w:val="32"/>
          <w:lang/>
        </w:rPr>
        <w:t>anera de enfocarnos en una parte de un mensaje cuya connotación es tan “natural” y tan inmediato cuando se lo experimenta, que resulta casi imposible separar su connotación de su denotación.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autoSpaceDE w:val="0"/>
        <w:rPr>
          <w:rFonts w:ascii="Times New Roman" w:hAnsi="Times New Roman"/>
          <w:color w:val="auto"/>
          <w:szCs w:val="32"/>
          <w:lang/>
        </w:rPr>
      </w:pPr>
      <w:r>
        <w:rPr>
          <w:rFonts w:ascii="Times New Roman" w:hAnsi="Times New Roman"/>
          <w:color w:val="auto"/>
          <w:szCs w:val="32"/>
          <w:lang/>
        </w:rPr>
        <w:t>14. Al revisar la teoría d</w:t>
      </w:r>
      <w:r>
        <w:rPr>
          <w:rFonts w:ascii="Times New Roman" w:hAnsi="Times New Roman"/>
          <w:color w:val="auto"/>
          <w:szCs w:val="32"/>
          <w:lang/>
        </w:rPr>
        <w:t>e Greimas se puede diseñar una contraportada con solapa porque permite inmiscuirse en la noción de actantante como personaje, tal como el teórico que la acuñó, Greimas, lo quiso.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>
      <w:pPr>
        <w:autoSpaceDE w:val="0"/>
        <w:ind w:left="360"/>
        <w:rPr>
          <w:rFonts w:ascii="Times New Roman" w:hAnsi="Times New Roman"/>
          <w:color w:val="auto"/>
          <w:lang/>
        </w:rPr>
      </w:pPr>
    </w:p>
    <w:p w:rsidR="00000000" w:rsidRDefault="00BF495B">
      <w:pPr>
        <w:rPr>
          <w:rFonts w:ascii="Times New Roman" w:hAnsi="Times New Roman"/>
          <w:iCs/>
        </w:rPr>
      </w:pPr>
      <w:r>
        <w:rPr>
          <w:rFonts w:ascii="Times New Roman" w:hAnsi="Times New Roman"/>
          <w:color w:val="auto"/>
          <w:szCs w:val="32"/>
          <w:lang/>
        </w:rPr>
        <w:t>15. Diseñar un juego de mesa con regla</w:t>
      </w:r>
      <w:r>
        <w:rPr>
          <w:rFonts w:ascii="Times New Roman" w:hAnsi="Times New Roman"/>
          <w:color w:val="auto"/>
          <w:szCs w:val="32"/>
          <w:lang/>
        </w:rPr>
        <w:t xml:space="preserve">s determinadas para la teoría semiótica de Eco permite sumergirse en las nociones que él dejó asentadas para que </w:t>
      </w:r>
      <w:r>
        <w:rPr>
          <w:rFonts w:ascii="Times New Roman" w:hAnsi="Times New Roman"/>
          <w:iCs/>
        </w:rPr>
        <w:t>la semiótica funcione como una teoría de la cultura, la semiótica sea como un sustituto de la antropología cultural y la obra literaria viva co</w:t>
      </w:r>
      <w:r>
        <w:rPr>
          <w:rFonts w:ascii="Times New Roman" w:hAnsi="Times New Roman"/>
          <w:iCs/>
        </w:rPr>
        <w:t>mo una máquina de intertextualidades.</w:t>
      </w:r>
    </w:p>
    <w:p w:rsidR="00000000" w:rsidRDefault="00BF495B">
      <w:pPr>
        <w:autoSpaceDE w:val="0"/>
        <w:ind w:left="1800" w:hanging="360"/>
        <w:rPr>
          <w:rFonts w:ascii="Times New Roman" w:hAnsi="Times New Roman"/>
          <w:color w:val="auto"/>
          <w:lang/>
        </w:rPr>
      </w:pPr>
      <w:r>
        <w:rPr>
          <w:rFonts w:ascii="Times New Roman" w:hAnsi="Times New Roman"/>
          <w:color w:val="auto"/>
          <w:szCs w:val="32"/>
          <w:lang/>
        </w:rPr>
        <w:t xml:space="preserve">                               </w:t>
      </w:r>
      <w:r>
        <w:rPr>
          <w:rFonts w:ascii="Times New Roman" w:hAnsi="Times New Roman"/>
          <w:color w:val="auto"/>
          <w:lang/>
        </w:rPr>
        <w:t>V</w:t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</w:r>
      <w:r>
        <w:rPr>
          <w:rFonts w:ascii="Times New Roman" w:hAnsi="Times New Roman"/>
          <w:color w:val="auto"/>
          <w:lang/>
        </w:rPr>
        <w:tab/>
        <w:t>F</w:t>
      </w:r>
    </w:p>
    <w:p w:rsidR="00000000" w:rsidRDefault="00BF495B"/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BF495B"/>
    <w:rsid w:val="00BF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Comic Sans MS" w:hAnsi="Comic Sans MS"/>
      <w:color w:val="000000"/>
      <w:sz w:val="24"/>
      <w:szCs w:val="24"/>
      <w:lang w:val="en-US" w:eastAsia="hi-IN" w:bidi="hi-IN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angradetextonormal">
    <w:name w:val="Body Text Indent"/>
    <w:basedOn w:val="Normal"/>
    <w:pPr>
      <w:autoSpaceDE w:val="0"/>
      <w:ind w:left="360"/>
    </w:pPr>
    <w:rPr>
      <w:rFonts w:ascii="Times New Roman" w:hAnsi="Times New Roman"/>
      <w:color w:val="auto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3748</Characters>
  <Application>Microsoft Office Word</Application>
  <DocSecurity>0</DocSecurity>
  <Lines>31</Lines>
  <Paragraphs>8</Paragraphs>
  <ScaleCrop>false</ScaleCrop>
  <Company>CSI - ESPOL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Semiótica y Comunicación</dc:title>
  <dc:subject/>
  <dc:creator>mac</dc:creator>
  <cp:keywords/>
  <cp:lastModifiedBy>silgivar</cp:lastModifiedBy>
  <cp:revision>2</cp:revision>
  <cp:lastPrinted>1601-01-01T00:00:00Z</cp:lastPrinted>
  <dcterms:created xsi:type="dcterms:W3CDTF">2011-03-24T20:32:00Z</dcterms:created>
  <dcterms:modified xsi:type="dcterms:W3CDTF">2011-03-24T20:32:00Z</dcterms:modified>
</cp:coreProperties>
</file>