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A9" w:rsidRPr="00CC3AA9" w:rsidRDefault="00CC3AA9" w:rsidP="006F7674">
      <w:pPr>
        <w:spacing w:after="0" w:line="240" w:lineRule="auto"/>
        <w:jc w:val="center"/>
        <w:rPr>
          <w:b/>
          <w:lang w:val="es-ES_tradnl"/>
        </w:rPr>
      </w:pPr>
      <w:r w:rsidRPr="00CC3AA9">
        <w:rPr>
          <w:b/>
          <w:lang w:val="es-ES_tradnl"/>
        </w:rPr>
        <w:t>EXAMEN FINAL DE ECONOMETRIA I</w:t>
      </w:r>
    </w:p>
    <w:p w:rsidR="006F7674" w:rsidRDefault="006F7674" w:rsidP="006F7674">
      <w:pPr>
        <w:spacing w:after="0" w:line="240" w:lineRule="auto"/>
        <w:rPr>
          <w:lang w:val="es-ES_tradnl"/>
        </w:rPr>
      </w:pPr>
    </w:p>
    <w:p w:rsidR="00CC3AA9" w:rsidRDefault="00CC3AA9" w:rsidP="006F7674">
      <w:pPr>
        <w:spacing w:after="0" w:line="240" w:lineRule="auto"/>
        <w:rPr>
          <w:lang w:val="es-ES_tradnl"/>
        </w:rPr>
      </w:pPr>
      <w:r>
        <w:rPr>
          <w:lang w:val="es-ES_tradnl"/>
        </w:rPr>
        <w:t>Nombre: _________________________________________________   Fecha: 29/Agosto/2011</w:t>
      </w:r>
    </w:p>
    <w:p w:rsidR="006F7674" w:rsidRDefault="006F7674" w:rsidP="006F7674">
      <w:pPr>
        <w:spacing w:after="0" w:line="240" w:lineRule="auto"/>
        <w:rPr>
          <w:b/>
          <w:lang w:val="es-ES_tradnl"/>
        </w:rPr>
      </w:pPr>
    </w:p>
    <w:p w:rsidR="00323D51" w:rsidRDefault="00323D51" w:rsidP="006F7674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>Sobre 65 puntos</w:t>
      </w:r>
    </w:p>
    <w:p w:rsidR="006F7674" w:rsidRDefault="006F7674" w:rsidP="006F7674">
      <w:pPr>
        <w:spacing w:after="0" w:line="240" w:lineRule="auto"/>
        <w:rPr>
          <w:b/>
          <w:lang w:val="es-ES_tradnl"/>
        </w:rPr>
      </w:pPr>
    </w:p>
    <w:p w:rsidR="00CC3AA9" w:rsidRDefault="00CC3AA9" w:rsidP="006F7674">
      <w:pPr>
        <w:spacing w:after="0" w:line="240" w:lineRule="auto"/>
        <w:rPr>
          <w:b/>
          <w:lang w:val="es-ES_tradnl"/>
        </w:rPr>
      </w:pPr>
      <w:r w:rsidRPr="00323D51">
        <w:rPr>
          <w:b/>
          <w:lang w:val="es-ES_tradnl"/>
        </w:rPr>
        <w:t>Comen</w:t>
      </w:r>
      <w:r w:rsidR="0019791B">
        <w:rPr>
          <w:b/>
          <w:lang w:val="es-ES_tradnl"/>
        </w:rPr>
        <w:t xml:space="preserve">te las siguientes </w:t>
      </w:r>
      <w:r w:rsidR="00C34F91">
        <w:rPr>
          <w:b/>
          <w:lang w:val="es-ES_tradnl"/>
        </w:rPr>
        <w:t>situaciones</w:t>
      </w:r>
    </w:p>
    <w:p w:rsidR="006F7674" w:rsidRDefault="006F7674" w:rsidP="006F7674">
      <w:pPr>
        <w:spacing w:after="0" w:line="240" w:lineRule="auto"/>
        <w:rPr>
          <w:b/>
          <w:lang w:val="es-ES_tradnl"/>
        </w:rPr>
      </w:pPr>
    </w:p>
    <w:p w:rsidR="00C34F91" w:rsidRDefault="00C34F91" w:rsidP="006F7674">
      <w:pPr>
        <w:spacing w:after="0" w:line="240" w:lineRule="auto"/>
        <w:rPr>
          <w:lang w:val="es-ES_tradnl"/>
        </w:rPr>
        <w:sectPr w:rsidR="00C34F91" w:rsidSect="00AA24F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791B" w:rsidRPr="0019791B" w:rsidRDefault="00C34F91" w:rsidP="006F7674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lastRenderedPageBreak/>
        <w:t xml:space="preserve">a) </w:t>
      </w:r>
      <w:r w:rsidR="0019791B">
        <w:rPr>
          <w:lang w:val="es-ES_tradnl"/>
        </w:rPr>
        <w:t>Un analista económico ha efectuado un estudio sobre l</w:t>
      </w:r>
      <w:r w:rsidR="00AA24F7">
        <w:rPr>
          <w:lang w:val="es-ES_tradnl"/>
        </w:rPr>
        <w:t xml:space="preserve">as </w:t>
      </w:r>
      <w:r w:rsidR="0019791B">
        <w:rPr>
          <w:lang w:val="es-ES_tradnl"/>
        </w:rPr>
        <w:t xml:space="preserve">exportaciones de diferentes países. Luego de </w:t>
      </w:r>
      <w:r>
        <w:rPr>
          <w:lang w:val="es-ES_tradnl"/>
        </w:rPr>
        <w:t>estimar</w:t>
      </w:r>
      <w:r w:rsidR="0019791B">
        <w:rPr>
          <w:lang w:val="es-ES_tradnl"/>
        </w:rPr>
        <w:t xml:space="preserve"> un modelo</w:t>
      </w:r>
      <w:r>
        <w:rPr>
          <w:lang w:val="es-ES_tradnl"/>
        </w:rPr>
        <w:t xml:space="preserve"> </w:t>
      </w:r>
      <w:r w:rsidR="0019791B">
        <w:rPr>
          <w:lang w:val="es-ES_tradnl"/>
        </w:rPr>
        <w:t>con algunas variables explicativas</w:t>
      </w:r>
      <w:r>
        <w:rPr>
          <w:lang w:val="es-ES_tradnl"/>
        </w:rPr>
        <w:t xml:space="preserve"> por</w:t>
      </w:r>
      <w:r w:rsidR="0019791B">
        <w:rPr>
          <w:lang w:val="es-ES_tradnl"/>
        </w:rPr>
        <w:t xml:space="preserve"> MCO, sospecha que las estimaciones </w:t>
      </w:r>
      <w:r w:rsidR="00AA24F7">
        <w:rPr>
          <w:lang w:val="es-ES_tradnl"/>
        </w:rPr>
        <w:t>que obtuvo</w:t>
      </w:r>
      <w:r w:rsidR="0019791B">
        <w:rPr>
          <w:lang w:val="es-ES_tradnl"/>
        </w:rPr>
        <w:t xml:space="preserve"> </w:t>
      </w:r>
      <w:r>
        <w:rPr>
          <w:lang w:val="es-ES_tradnl"/>
        </w:rPr>
        <w:t xml:space="preserve">no </w:t>
      </w:r>
      <w:r w:rsidR="0019791B">
        <w:rPr>
          <w:lang w:val="es-ES_tradnl"/>
        </w:rPr>
        <w:t>s</w:t>
      </w:r>
      <w:r w:rsidR="00AA24F7">
        <w:rPr>
          <w:lang w:val="es-ES_tradnl"/>
        </w:rPr>
        <w:t>o</w:t>
      </w:r>
      <w:r w:rsidR="0019791B">
        <w:rPr>
          <w:lang w:val="es-ES_tradnl"/>
        </w:rPr>
        <w:t xml:space="preserve">n las más eficientes. Él plantea un gráfico de los residuos frente a una de </w:t>
      </w:r>
      <w:r w:rsidR="00AA24F7">
        <w:rPr>
          <w:lang w:val="es-ES_tradnl"/>
        </w:rPr>
        <w:t xml:space="preserve">los </w:t>
      </w:r>
      <w:proofErr w:type="spellStart"/>
      <w:r w:rsidR="00AA24F7">
        <w:rPr>
          <w:lang w:val="es-ES_tradnl"/>
        </w:rPr>
        <w:t>regresores</w:t>
      </w:r>
      <w:proofErr w:type="spellEnd"/>
      <w:r>
        <w:rPr>
          <w:lang w:val="es-ES_tradnl"/>
        </w:rPr>
        <w:t xml:space="preserve">. ¿Debería mantener su sospecha el </w:t>
      </w:r>
      <w:r w:rsidR="00FE03FD">
        <w:rPr>
          <w:lang w:val="es-ES_tradnl"/>
        </w:rPr>
        <w:t>analista</w:t>
      </w:r>
      <w:r>
        <w:rPr>
          <w:lang w:val="es-ES_tradnl"/>
        </w:rPr>
        <w:t>?</w:t>
      </w:r>
      <w:r w:rsidR="00AA24F7">
        <w:rPr>
          <w:lang w:val="es-ES_tradnl"/>
        </w:rPr>
        <w:t xml:space="preserve"> (</w:t>
      </w:r>
      <w:r w:rsidR="0026117A">
        <w:rPr>
          <w:lang w:val="es-ES_tradnl"/>
        </w:rPr>
        <w:t>5</w:t>
      </w:r>
      <w:r w:rsidR="00AA24F7">
        <w:rPr>
          <w:lang w:val="es-ES_tradnl"/>
        </w:rPr>
        <w:t xml:space="preserve"> puntos)</w:t>
      </w:r>
    </w:p>
    <w:p w:rsidR="00F45194" w:rsidRDefault="00C34F91" w:rsidP="006F7674">
      <w:pPr>
        <w:spacing w:after="0" w:line="240" w:lineRule="auto"/>
        <w:jc w:val="center"/>
        <w:rPr>
          <w:lang w:val="es-ES_tradnl"/>
        </w:rPr>
      </w:pPr>
      <w:r>
        <w:rPr>
          <w:noProof/>
          <w:lang w:val="es-EC" w:eastAsia="es-EC"/>
        </w:rPr>
        <w:lastRenderedPageBreak/>
        <w:drawing>
          <wp:inline distT="0" distB="0" distL="0" distR="0">
            <wp:extent cx="2662555" cy="1668145"/>
            <wp:effectExtent l="19050" t="0" r="444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91" w:rsidRDefault="00C34F91" w:rsidP="006F7674">
      <w:pPr>
        <w:spacing w:after="0" w:line="240" w:lineRule="auto"/>
        <w:rPr>
          <w:lang w:val="es-ES_tradnl"/>
        </w:rPr>
        <w:sectPr w:rsidR="00C34F91" w:rsidSect="00AA24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F184F" w:rsidRDefault="00C34F91" w:rsidP="00AA24F7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lastRenderedPageBreak/>
        <w:t xml:space="preserve">b) </w:t>
      </w:r>
      <w:r w:rsidR="00CC3AA9">
        <w:rPr>
          <w:lang w:val="es-ES_tradnl"/>
        </w:rPr>
        <w:t>Un investigador ha efectuado un análisis</w:t>
      </w:r>
      <w:r w:rsidR="00FE03FD">
        <w:rPr>
          <w:lang w:val="es-ES_tradnl"/>
        </w:rPr>
        <w:t xml:space="preserve"> sobre </w:t>
      </w:r>
      <w:r w:rsidR="008F184F">
        <w:rPr>
          <w:lang w:val="es-ES_tradnl"/>
        </w:rPr>
        <w:t>los niveles de consumo</w:t>
      </w:r>
      <w:r w:rsidR="00A43B82">
        <w:rPr>
          <w:lang w:val="es-ES_tradnl"/>
        </w:rPr>
        <w:t xml:space="preserve"> (</w:t>
      </w:r>
      <w:proofErr w:type="spellStart"/>
      <w:r w:rsidR="00A43B82" w:rsidRPr="00A43B82">
        <w:rPr>
          <w:i/>
          <w:lang w:val="es-ES_tradnl"/>
        </w:rPr>
        <w:t>C</w:t>
      </w:r>
      <w:r w:rsidR="00A43B82" w:rsidRPr="00A43B82">
        <w:rPr>
          <w:i/>
          <w:vertAlign w:val="subscript"/>
          <w:lang w:val="es-ES_tradnl"/>
        </w:rPr>
        <w:t>t</w:t>
      </w:r>
      <w:proofErr w:type="spellEnd"/>
      <w:r w:rsidR="00A43B82">
        <w:rPr>
          <w:lang w:val="es-ES_tradnl"/>
        </w:rPr>
        <w:t>)</w:t>
      </w:r>
      <w:r w:rsidR="008F184F">
        <w:rPr>
          <w:lang w:val="es-ES_tradnl"/>
        </w:rPr>
        <w:t xml:space="preserve">, dado el </w:t>
      </w:r>
      <w:r w:rsidR="00A43B82">
        <w:rPr>
          <w:lang w:val="es-ES_tradnl"/>
        </w:rPr>
        <w:t>ingreso disponible agregado (</w:t>
      </w:r>
      <w:proofErr w:type="spellStart"/>
      <w:r w:rsidR="00A43B82" w:rsidRPr="00A43B82">
        <w:rPr>
          <w:i/>
          <w:lang w:val="es-ES_tradnl"/>
        </w:rPr>
        <w:t>Y</w:t>
      </w:r>
      <w:r w:rsidR="00A43B82" w:rsidRPr="00A43B82">
        <w:rPr>
          <w:i/>
          <w:vertAlign w:val="subscript"/>
          <w:lang w:val="es-ES_tradnl"/>
        </w:rPr>
        <w:t>t</w:t>
      </w:r>
      <w:proofErr w:type="spellEnd"/>
      <w:r w:rsidR="00A43B82">
        <w:rPr>
          <w:lang w:val="es-ES_tradnl"/>
        </w:rPr>
        <w:t>)</w:t>
      </w:r>
      <w:r w:rsidR="008F184F">
        <w:rPr>
          <w:lang w:val="es-ES_tradnl"/>
        </w:rPr>
        <w:t>, a través del tiempo. Los datos son trimestrales y se sospecha que los niveles de consumo varían estacionalmente. En primer lugar se corrió la siguiente regresión</w:t>
      </w:r>
      <w:r w:rsidR="00A43B82">
        <w:rPr>
          <w:lang w:val="es-ES_tradnl"/>
        </w:rPr>
        <w:t>.</w:t>
      </w:r>
    </w:p>
    <w:p w:rsidR="008F184F" w:rsidRDefault="008F184F" w:rsidP="00AA24F7">
      <w:pPr>
        <w:spacing w:after="0" w:line="240" w:lineRule="auto"/>
        <w:jc w:val="both"/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A43B82" w:rsidTr="00A43B82">
        <w:tc>
          <w:tcPr>
            <w:tcW w:w="8644" w:type="dxa"/>
          </w:tcPr>
          <w:p w:rsidR="00A43B82" w:rsidRDefault="00A53A7E" w:rsidP="00A43B82">
            <w:pPr>
              <w:jc w:val="both"/>
              <w:rPr>
                <w:lang w:val="es-ES_tradnl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_trad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_tradnl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_tradnl"/>
                          </w:rPr>
                          <m:t>t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lang w:val="es-ES_tradnl"/>
                  </w:rPr>
                  <m:t>=13.2+0.88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S_tradn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s-ES_tradnl"/>
                      </w:rPr>
                      <m:t>t</m:t>
                    </m:r>
                  </m:sub>
                </m:sSub>
              </m:oMath>
            </m:oMathPara>
          </w:p>
        </w:tc>
      </w:tr>
      <w:tr w:rsidR="00A43B82" w:rsidTr="00A43B82">
        <w:tc>
          <w:tcPr>
            <w:tcW w:w="8644" w:type="dxa"/>
          </w:tcPr>
          <w:p w:rsidR="00A43B82" w:rsidRPr="00A43B82" w:rsidRDefault="00A43B82" w:rsidP="00A43B8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Estadísticos t:       (3.96)  (68.93)              R</w:t>
            </w:r>
            <w:r w:rsidRPr="00A43B82">
              <w:rPr>
                <w:vertAlign w:val="superscript"/>
                <w:lang w:val="es-ES_tradnl"/>
              </w:rPr>
              <w:t>2</w:t>
            </w:r>
            <w:r>
              <w:rPr>
                <w:lang w:val="es-ES_tradnl"/>
              </w:rPr>
              <w:t xml:space="preserve"> = </w:t>
            </w:r>
            <w:r w:rsidRPr="00A43B82">
              <w:rPr>
                <w:lang w:val="es-ES_tradnl"/>
              </w:rPr>
              <w:t>0.98835</w:t>
            </w:r>
            <w:r>
              <w:rPr>
                <w:lang w:val="es-ES_tradnl"/>
              </w:rPr>
              <w:t xml:space="preserve">    </w:t>
            </w:r>
            <w:r>
              <w:rPr>
                <w:rFonts w:cstheme="minorHAnsi"/>
                <w:lang w:val="es-ES_tradnl"/>
              </w:rPr>
              <w:t>σ</w:t>
            </w:r>
            <w:r w:rsidRPr="00A43B82">
              <w:rPr>
                <w:vertAlign w:val="superscript"/>
                <w:lang w:val="es-ES_tradnl"/>
              </w:rPr>
              <w:t>2</w:t>
            </w:r>
            <w:r>
              <w:rPr>
                <w:lang w:val="es-ES_tradnl"/>
              </w:rPr>
              <w:t>= 13.8318</w:t>
            </w:r>
          </w:p>
        </w:tc>
      </w:tr>
    </w:tbl>
    <w:p w:rsidR="00A43B82" w:rsidRDefault="00A43B82" w:rsidP="00AA24F7">
      <w:pPr>
        <w:spacing w:after="0" w:line="240" w:lineRule="auto"/>
        <w:jc w:val="both"/>
        <w:rPr>
          <w:lang w:val="es-ES_tradnl"/>
        </w:rPr>
      </w:pPr>
    </w:p>
    <w:p w:rsidR="008F184F" w:rsidRDefault="00A43B82" w:rsidP="00AA24F7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Con datos desde el inicio de 1972 hasta el final de 1986. Luego se consideró la posibilidad de estacionalidad para los tres primeros meses de cada año. Se creó una </w:t>
      </w:r>
      <w:proofErr w:type="spellStart"/>
      <w:r>
        <w:rPr>
          <w:lang w:val="es-ES_tradnl"/>
        </w:rPr>
        <w:t>dummy</w:t>
      </w:r>
      <w:proofErr w:type="spellEnd"/>
      <w:r>
        <w:rPr>
          <w:lang w:val="es-ES_tradnl"/>
        </w:rPr>
        <w:t xml:space="preserve"> para ello y se logró incrementar la suma explicada en </w:t>
      </w:r>
      <w:r w:rsidR="00AA5F1F">
        <w:rPr>
          <w:lang w:val="es-ES_tradnl"/>
        </w:rPr>
        <w:t>0.</w:t>
      </w:r>
      <w:r>
        <w:rPr>
          <w:lang w:val="es-ES_tradnl"/>
        </w:rPr>
        <w:t>2%. ¿Le sugeriría usted al investigador que existe evidencia de estacionalidad para el primer trimestre?</w:t>
      </w:r>
      <w:r w:rsidR="0026117A">
        <w:rPr>
          <w:lang w:val="es-ES_tradnl"/>
        </w:rPr>
        <w:t xml:space="preserve"> (10 puntos)</w:t>
      </w:r>
    </w:p>
    <w:p w:rsidR="00A43B82" w:rsidRDefault="00A43B82" w:rsidP="00AA24F7">
      <w:pPr>
        <w:spacing w:after="0" w:line="240" w:lineRule="auto"/>
        <w:jc w:val="both"/>
        <w:rPr>
          <w:lang w:val="es-ES_tradnl"/>
        </w:rPr>
      </w:pPr>
    </w:p>
    <w:p w:rsidR="004B78C5" w:rsidRDefault="00902EAC" w:rsidP="0026117A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c) </w:t>
      </w:r>
      <w:r w:rsidR="00AA24F7">
        <w:rPr>
          <w:lang w:val="es-ES_tradnl"/>
        </w:rPr>
        <w:t xml:space="preserve">Un </w:t>
      </w:r>
      <w:proofErr w:type="spellStart"/>
      <w:r w:rsidR="00AA24F7">
        <w:rPr>
          <w:lang w:val="es-ES_tradnl"/>
        </w:rPr>
        <w:t>econometrista</w:t>
      </w:r>
      <w:proofErr w:type="spellEnd"/>
      <w:r w:rsidR="00AA24F7">
        <w:rPr>
          <w:lang w:val="es-ES_tradnl"/>
        </w:rPr>
        <w:t xml:space="preserve"> ha manifestado lo siguiente “</w:t>
      </w:r>
      <w:proofErr w:type="spellStart"/>
      <w:r w:rsidR="00E3469D" w:rsidRPr="00E3469D">
        <w:rPr>
          <w:lang w:val="es-ES_tradnl"/>
        </w:rPr>
        <w:t>Durbin</w:t>
      </w:r>
      <w:proofErr w:type="spellEnd"/>
      <w:r w:rsidR="00E3469D" w:rsidRPr="00E3469D">
        <w:rPr>
          <w:lang w:val="es-ES_tradnl"/>
        </w:rPr>
        <w:t xml:space="preserve"> Watson</w:t>
      </w:r>
      <w:r w:rsidR="00AA24F7">
        <w:rPr>
          <w:lang w:val="es-ES_tradnl"/>
        </w:rPr>
        <w:t xml:space="preserve">, puede ser un test básico, pero </w:t>
      </w:r>
      <w:r w:rsidR="00E3469D" w:rsidRPr="00E3469D">
        <w:rPr>
          <w:lang w:val="es-ES_tradnl"/>
        </w:rPr>
        <w:t xml:space="preserve">permite </w:t>
      </w:r>
      <w:r w:rsidR="0026117A">
        <w:rPr>
          <w:lang w:val="es-ES_tradnl"/>
        </w:rPr>
        <w:t>detectar si hay</w:t>
      </w:r>
      <w:r w:rsidR="00E3469D" w:rsidRPr="00E3469D">
        <w:rPr>
          <w:lang w:val="es-ES_tradnl"/>
        </w:rPr>
        <w:t xml:space="preserve"> variables omitidas</w:t>
      </w:r>
      <w:r w:rsidR="00AA24F7">
        <w:rPr>
          <w:lang w:val="es-ES_tradnl"/>
        </w:rPr>
        <w:t>”. ¿Qué opina al respecto?</w:t>
      </w:r>
      <w:r w:rsidR="0026117A">
        <w:rPr>
          <w:lang w:val="es-ES_tradnl"/>
        </w:rPr>
        <w:t xml:space="preserve"> (5 puntos)</w:t>
      </w:r>
    </w:p>
    <w:p w:rsidR="00B339B9" w:rsidRDefault="00B339B9" w:rsidP="006F7674">
      <w:pPr>
        <w:spacing w:after="0" w:line="240" w:lineRule="auto"/>
        <w:rPr>
          <w:lang w:val="es-ES_tradnl"/>
        </w:rPr>
      </w:pPr>
    </w:p>
    <w:p w:rsidR="00E3469D" w:rsidRPr="001B72F1" w:rsidRDefault="00E3469D" w:rsidP="00B339B9">
      <w:pPr>
        <w:spacing w:after="0" w:line="240" w:lineRule="auto"/>
        <w:jc w:val="both"/>
        <w:rPr>
          <w:b/>
          <w:lang w:val="es-ES_tradnl"/>
        </w:rPr>
      </w:pPr>
      <w:r w:rsidRPr="001B72F1">
        <w:rPr>
          <w:b/>
          <w:lang w:val="es-ES_tradnl"/>
        </w:rPr>
        <w:t>Ejercicio 1</w:t>
      </w:r>
      <w:r w:rsidR="001B72F1">
        <w:rPr>
          <w:b/>
          <w:lang w:val="es-ES_tradnl"/>
        </w:rPr>
        <w:t xml:space="preserve"> (15 puntos)</w:t>
      </w:r>
    </w:p>
    <w:p w:rsidR="00E3469D" w:rsidRDefault="00E3469D" w:rsidP="00B339B9">
      <w:pPr>
        <w:spacing w:after="0" w:line="240" w:lineRule="auto"/>
        <w:jc w:val="both"/>
        <w:rPr>
          <w:lang w:val="es-ES_tradnl"/>
        </w:rPr>
      </w:pPr>
    </w:p>
    <w:p w:rsidR="00902EAC" w:rsidRDefault="00B339B9" w:rsidP="00B339B9">
      <w:pPr>
        <w:spacing w:after="0" w:line="240" w:lineRule="auto"/>
        <w:jc w:val="both"/>
        <w:rPr>
          <w:lang w:val="es-ES_tradnl"/>
        </w:rPr>
      </w:pPr>
      <w:proofErr w:type="spellStart"/>
      <w:r>
        <w:rPr>
          <w:lang w:val="es-ES_tradnl"/>
        </w:rPr>
        <w:t>Okun</w:t>
      </w:r>
      <w:proofErr w:type="spellEnd"/>
      <w:r>
        <w:rPr>
          <w:lang w:val="es-ES_tradnl"/>
        </w:rPr>
        <w:t xml:space="preserve"> (1960) </w:t>
      </w:r>
      <w:r w:rsidRPr="00B339B9">
        <w:rPr>
          <w:lang w:val="es-ES_tradnl"/>
        </w:rPr>
        <w:t>establec</w:t>
      </w:r>
      <w:r>
        <w:rPr>
          <w:lang w:val="es-ES_tradnl"/>
        </w:rPr>
        <w:t>ió una relación e</w:t>
      </w:r>
      <w:r w:rsidRPr="00B339B9">
        <w:rPr>
          <w:lang w:val="es-ES_tradnl"/>
        </w:rPr>
        <w:t xml:space="preserve">xistente entre los cambios en la tasa de desempleo </w:t>
      </w:r>
      <w:r>
        <w:rPr>
          <w:lang w:val="es-ES_tradnl"/>
        </w:rPr>
        <w:t>dado</w:t>
      </w:r>
      <w:r w:rsidRPr="00B339B9">
        <w:rPr>
          <w:lang w:val="es-ES_tradnl"/>
        </w:rPr>
        <w:t xml:space="preserve"> los cambios en el PIB </w:t>
      </w:r>
      <w:r>
        <w:rPr>
          <w:lang w:val="es-ES_tradnl"/>
        </w:rPr>
        <w:t>real. Para una economía, se ha estimado la regresión para el periodo que va de 1976 al 2005. Sin embargo, por sucesos políticos, se sospecha la presencia de dos quiebres: en 1984 y en 1993</w:t>
      </w:r>
      <w:r w:rsidR="005A310F">
        <w:rPr>
          <w:lang w:val="es-ES_tradnl"/>
        </w:rPr>
        <w:t>, por lo que s</w:t>
      </w:r>
      <w:r>
        <w:rPr>
          <w:lang w:val="es-ES_tradnl"/>
        </w:rPr>
        <w:t>e calcularon regresiones logarítmicas para cada periodo</w:t>
      </w:r>
      <w:r w:rsidR="005A310F">
        <w:rPr>
          <w:lang w:val="es-ES_tradnl"/>
        </w:rPr>
        <w:t xml:space="preserve"> (con constante)</w:t>
      </w:r>
      <w:r>
        <w:rPr>
          <w:lang w:val="es-ES_tradnl"/>
        </w:rPr>
        <w:t>, obteniéndose los siguientes resultados:</w:t>
      </w:r>
    </w:p>
    <w:p w:rsidR="008923FC" w:rsidRDefault="008923FC" w:rsidP="006F7674">
      <w:pPr>
        <w:spacing w:after="0" w:line="240" w:lineRule="auto"/>
        <w:jc w:val="both"/>
      </w:pPr>
    </w:p>
    <w:tbl>
      <w:tblPr>
        <w:tblW w:w="6108" w:type="dxa"/>
        <w:jc w:val="center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00"/>
        <w:gridCol w:w="1345"/>
        <w:gridCol w:w="1862"/>
        <w:gridCol w:w="1701"/>
      </w:tblGrid>
      <w:tr w:rsidR="005A310F" w:rsidRPr="008923FC" w:rsidTr="005A310F">
        <w:trPr>
          <w:trHeight w:val="654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Periodos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Coeficiente de pendiente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Errores estándar de pendiente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Suma Total al Cuadrado</w:t>
            </w:r>
          </w:p>
        </w:tc>
      </w:tr>
      <w:tr w:rsidR="005A310F" w:rsidRPr="008923FC" w:rsidTr="005A310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1976 - 1984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-0.67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40.42</w:t>
            </w:r>
          </w:p>
        </w:tc>
      </w:tr>
      <w:tr w:rsidR="005A310F" w:rsidRPr="008923FC" w:rsidTr="005A310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1985 - 1993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-0.83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58.04</w:t>
            </w:r>
          </w:p>
        </w:tc>
      </w:tr>
      <w:tr w:rsidR="005A310F" w:rsidRPr="008923FC" w:rsidTr="005A310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1994 - 2005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0.51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35.78</w:t>
            </w:r>
          </w:p>
        </w:tc>
      </w:tr>
      <w:tr w:rsidR="005A310F" w:rsidRPr="008923FC" w:rsidTr="005A310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1976 - 2005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-0.36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10F" w:rsidRPr="008923FC" w:rsidRDefault="005A310F" w:rsidP="006F7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8923FC">
              <w:rPr>
                <w:rFonts w:ascii="Calibri" w:eastAsia="Times New Roman" w:hAnsi="Calibri" w:cs="Calibri"/>
                <w:color w:val="000000"/>
                <w:lang w:val="es-EC" w:eastAsia="es-EC"/>
              </w:rPr>
              <w:t>139.11</w:t>
            </w:r>
          </w:p>
        </w:tc>
      </w:tr>
    </w:tbl>
    <w:p w:rsidR="004B78C5" w:rsidRDefault="004B78C5" w:rsidP="006F7674">
      <w:pPr>
        <w:spacing w:after="0" w:line="240" w:lineRule="auto"/>
        <w:jc w:val="both"/>
      </w:pPr>
    </w:p>
    <w:p w:rsidR="004B78C5" w:rsidRDefault="004B78C5" w:rsidP="006F7674">
      <w:pPr>
        <w:spacing w:after="0" w:line="240" w:lineRule="auto"/>
        <w:jc w:val="both"/>
      </w:pPr>
      <w:r>
        <w:t xml:space="preserve">Pruebe </w:t>
      </w:r>
      <w:r w:rsidR="005A310F">
        <w:t xml:space="preserve">la relación que manifiesta </w:t>
      </w:r>
      <w:proofErr w:type="spellStart"/>
      <w:r w:rsidR="005A310F">
        <w:t>Okun</w:t>
      </w:r>
      <w:proofErr w:type="spellEnd"/>
      <w:r w:rsidR="005A310F">
        <w:t xml:space="preserve"> es estable para el periodo de estudio.</w:t>
      </w:r>
    </w:p>
    <w:p w:rsidR="004B78C5" w:rsidRPr="004B78C5" w:rsidRDefault="004B78C5" w:rsidP="006F7674">
      <w:pPr>
        <w:spacing w:after="0" w:line="240" w:lineRule="auto"/>
      </w:pPr>
    </w:p>
    <w:p w:rsidR="00F45194" w:rsidRPr="001B72F1" w:rsidRDefault="00136F85" w:rsidP="006F7674">
      <w:pPr>
        <w:spacing w:after="0" w:line="240" w:lineRule="auto"/>
        <w:rPr>
          <w:b/>
          <w:lang w:val="es-ES_tradnl"/>
        </w:rPr>
      </w:pPr>
      <w:r w:rsidRPr="001B72F1">
        <w:rPr>
          <w:b/>
          <w:lang w:val="es-ES_tradnl"/>
        </w:rPr>
        <w:lastRenderedPageBreak/>
        <w:t>Ejercicios</w:t>
      </w:r>
      <w:r w:rsidR="00E3469D" w:rsidRPr="001B72F1">
        <w:rPr>
          <w:b/>
          <w:lang w:val="es-ES_tradnl"/>
        </w:rPr>
        <w:t xml:space="preserve"> 2</w:t>
      </w:r>
      <w:r w:rsidR="001B72F1">
        <w:rPr>
          <w:b/>
          <w:lang w:val="es-ES_tradnl"/>
        </w:rPr>
        <w:t xml:space="preserve"> (1</w:t>
      </w:r>
      <w:r w:rsidR="00985E2A">
        <w:rPr>
          <w:b/>
          <w:lang w:val="es-ES_tradnl"/>
        </w:rPr>
        <w:t>0</w:t>
      </w:r>
      <w:r w:rsidR="001B72F1">
        <w:rPr>
          <w:b/>
          <w:lang w:val="es-ES_tradnl"/>
        </w:rPr>
        <w:t xml:space="preserve"> puntos)</w:t>
      </w:r>
    </w:p>
    <w:p w:rsidR="004B78C5" w:rsidRDefault="004B78C5" w:rsidP="006F7674">
      <w:pPr>
        <w:spacing w:after="0" w:line="240" w:lineRule="auto"/>
        <w:rPr>
          <w:lang w:val="es-ES_tradnl"/>
        </w:rPr>
      </w:pPr>
    </w:p>
    <w:p w:rsidR="007A177A" w:rsidRPr="007A177A" w:rsidRDefault="007A177A" w:rsidP="007A177A">
      <w:pPr>
        <w:pStyle w:val="Prrafodelista1"/>
        <w:spacing w:after="0" w:afterAutospacing="0"/>
        <w:ind w:left="0"/>
        <w:rPr>
          <w:rFonts w:cs="Calibri"/>
        </w:rPr>
      </w:pPr>
      <w:r w:rsidRPr="007A177A">
        <w:rPr>
          <w:rFonts w:cs="Calibri"/>
        </w:rPr>
        <w:t xml:space="preserve">Suponga el siguiente modelo </w:t>
      </w:r>
      <w:proofErr w:type="spellStart"/>
      <w:r w:rsidRPr="007A177A">
        <w:rPr>
          <w:rFonts w:cs="Calibri"/>
        </w:rPr>
        <w:t>heterocedástico</w:t>
      </w:r>
      <w:proofErr w:type="spellEnd"/>
      <w:r w:rsidRPr="007A177A">
        <w:rPr>
          <w:rFonts w:cs="Calibri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3pt" o:ole="">
            <v:imagedata r:id="rId7" o:title=""/>
          </v:shape>
          <o:OLEObject Type="Embed" ProgID="Equation.3" ShapeID="_x0000_i1025" DrawAspect="Content" ObjectID="_1376210405" r:id="rId8"/>
        </w:object>
      </w:r>
      <w:r w:rsidRPr="007A177A">
        <w:rPr>
          <w:rFonts w:cs="Calibri"/>
          <w:position w:val="-12"/>
        </w:rPr>
        <w:object w:dxaOrig="1760" w:dyaOrig="360">
          <v:shape id="_x0000_i1026" type="#_x0000_t75" style="width:87.55pt;height:17.85pt" o:ole="">
            <v:imagedata r:id="rId9" o:title=""/>
          </v:shape>
          <o:OLEObject Type="Embed" ProgID="Equation.3" ShapeID="_x0000_i1026" DrawAspect="Content" ObjectID="_1376210406" r:id="rId10"/>
        </w:object>
      </w:r>
      <w:r w:rsidRPr="007A177A">
        <w:rPr>
          <w:rFonts w:cs="Calibri"/>
        </w:rPr>
        <w:t xml:space="preserve"> con función de varianza condicional conocida </w:t>
      </w:r>
      <w:r w:rsidR="002102D9" w:rsidRPr="007A177A">
        <w:rPr>
          <w:rFonts w:cs="Calibri"/>
          <w:position w:val="-12"/>
        </w:rPr>
        <w:object w:dxaOrig="1180" w:dyaOrig="360">
          <v:shape id="_x0000_i1027" type="#_x0000_t75" style="width:59.35pt;height:17.85pt" o:ole="">
            <v:imagedata r:id="rId11" o:title=""/>
          </v:shape>
          <o:OLEObject Type="Embed" ProgID="Equation.3" ShapeID="_x0000_i1027" DrawAspect="Content" ObjectID="_1376210407" r:id="rId12"/>
        </w:object>
      </w:r>
    </w:p>
    <w:p w:rsidR="007A177A" w:rsidRPr="007A177A" w:rsidRDefault="007A177A" w:rsidP="007A177A">
      <w:pPr>
        <w:pStyle w:val="Prrafodelista1"/>
        <w:spacing w:after="0" w:afterAutospacing="0"/>
        <w:rPr>
          <w:rFonts w:cs="Calibri"/>
        </w:rPr>
      </w:pPr>
    </w:p>
    <w:p w:rsidR="007A177A" w:rsidRPr="007A177A" w:rsidRDefault="007A177A" w:rsidP="007A177A">
      <w:pPr>
        <w:pStyle w:val="Prrafodelista1"/>
        <w:numPr>
          <w:ilvl w:val="0"/>
          <w:numId w:val="2"/>
        </w:numPr>
        <w:spacing w:after="0" w:afterAutospacing="0"/>
        <w:rPr>
          <w:rFonts w:cs="Calibri"/>
        </w:rPr>
      </w:pPr>
      <w:r w:rsidRPr="007A177A">
        <w:rPr>
          <w:rFonts w:cs="Calibri"/>
        </w:rPr>
        <w:t xml:space="preserve">Plantee el modelo de MCG de forma en que pueda ser resuelto utilizando MCO. </w:t>
      </w:r>
    </w:p>
    <w:p w:rsidR="007A177A" w:rsidRPr="007A177A" w:rsidRDefault="007A177A" w:rsidP="007A177A">
      <w:pPr>
        <w:pStyle w:val="Prrafodelista1"/>
        <w:numPr>
          <w:ilvl w:val="0"/>
          <w:numId w:val="2"/>
        </w:numPr>
        <w:spacing w:after="0" w:afterAutospacing="0"/>
        <w:rPr>
          <w:rFonts w:cs="Calibri"/>
        </w:rPr>
      </w:pPr>
      <w:r w:rsidRPr="007A177A">
        <w:rPr>
          <w:rFonts w:cs="Calibri"/>
        </w:rPr>
        <w:t>Obtenga los estimadores correspondientes.</w:t>
      </w:r>
    </w:p>
    <w:p w:rsidR="007A177A" w:rsidRDefault="007A177A" w:rsidP="007A177A">
      <w:pPr>
        <w:pStyle w:val="Prrafodelista1"/>
        <w:spacing w:after="0" w:afterAutospacing="0"/>
        <w:rPr>
          <w:rFonts w:ascii="Times New Roman" w:hAnsi="Times New Roman"/>
          <w:sz w:val="18"/>
          <w:szCs w:val="18"/>
        </w:rPr>
      </w:pPr>
    </w:p>
    <w:p w:rsidR="0062655D" w:rsidRDefault="0062655D" w:rsidP="006F7674">
      <w:pPr>
        <w:spacing w:after="0" w:line="240" w:lineRule="auto"/>
        <w:rPr>
          <w:lang w:val="es-ES_tradnl"/>
        </w:rPr>
      </w:pPr>
    </w:p>
    <w:p w:rsidR="001B72F1" w:rsidRDefault="001B72F1" w:rsidP="006F7674">
      <w:pPr>
        <w:spacing w:after="0" w:line="240" w:lineRule="auto"/>
        <w:rPr>
          <w:lang w:val="es-ES_tradnl"/>
        </w:rPr>
      </w:pPr>
    </w:p>
    <w:p w:rsidR="0062655D" w:rsidRDefault="0062655D" w:rsidP="006F7674">
      <w:pPr>
        <w:spacing w:after="0" w:line="240" w:lineRule="auto"/>
        <w:rPr>
          <w:lang w:val="es-ES_tradnl"/>
        </w:rPr>
      </w:pPr>
    </w:p>
    <w:p w:rsidR="0062655D" w:rsidRPr="00B339B9" w:rsidRDefault="00B339B9" w:rsidP="006F7674">
      <w:pPr>
        <w:spacing w:after="0" w:line="240" w:lineRule="auto"/>
        <w:rPr>
          <w:b/>
          <w:lang w:val="es-ES_tradnl"/>
        </w:rPr>
      </w:pPr>
      <w:r w:rsidRPr="00B339B9">
        <w:rPr>
          <w:b/>
          <w:lang w:val="es-ES_tradnl"/>
        </w:rPr>
        <w:t xml:space="preserve">Ejercicio Tres </w:t>
      </w:r>
      <w:r w:rsidR="001B72F1">
        <w:rPr>
          <w:b/>
          <w:lang w:val="es-ES_tradnl"/>
        </w:rPr>
        <w:t>(</w:t>
      </w:r>
      <w:r w:rsidR="00985E2A">
        <w:rPr>
          <w:b/>
          <w:lang w:val="es-ES_tradnl"/>
        </w:rPr>
        <w:t>20</w:t>
      </w:r>
      <w:r w:rsidR="001B72F1">
        <w:rPr>
          <w:b/>
          <w:lang w:val="es-ES_tradnl"/>
        </w:rPr>
        <w:t xml:space="preserve"> puntos)</w:t>
      </w:r>
    </w:p>
    <w:p w:rsidR="001B72F1" w:rsidRDefault="001B72F1" w:rsidP="006F7674">
      <w:pPr>
        <w:spacing w:after="0" w:line="240" w:lineRule="auto"/>
        <w:rPr>
          <w:lang w:val="es-ES_tradnl"/>
        </w:rPr>
      </w:pPr>
    </w:p>
    <w:p w:rsidR="006422F7" w:rsidRDefault="006422F7" w:rsidP="006F7674">
      <w:pPr>
        <w:spacing w:after="0" w:line="240" w:lineRule="auto"/>
        <w:rPr>
          <w:lang w:val="es-ES_tradnl"/>
        </w:rPr>
      </w:pPr>
      <w:r>
        <w:rPr>
          <w:lang w:val="es-ES_tradnl"/>
        </w:rPr>
        <w:t>Dado el modelo</w:t>
      </w:r>
    </w:p>
    <w:p w:rsidR="006422F7" w:rsidRDefault="00A53A7E" w:rsidP="006F7674">
      <w:pPr>
        <w:spacing w:after="0" w:line="240" w:lineRule="auto"/>
        <w:rPr>
          <w:lang w:val="es-ES_tradn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lang w:val="es-ES_tradnl"/>
                </w:rPr>
                <m:t>Y</m:t>
              </m:r>
            </m:e>
            <m:sub>
              <m:r>
                <w:rPr>
                  <w:rFonts w:ascii="Cambria Math" w:hAnsi="Cambria Math"/>
                  <w:lang w:val="es-ES_tradnl"/>
                </w:rPr>
                <m:t>t</m:t>
              </m:r>
            </m:sub>
          </m:sSub>
          <m:r>
            <w:rPr>
              <w:rFonts w:ascii="Cambria Math" w:hAnsi="Cambria Math"/>
              <w:lang w:val="es-ES_tradn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lang w:val="es-ES_tradnl"/>
                </w:rPr>
                <m:t>β</m:t>
              </m:r>
            </m:e>
            <m:sub>
              <m:r>
                <w:rPr>
                  <w:rFonts w:ascii="Cambria Math" w:hAnsi="Cambria Math"/>
                  <w:lang w:val="es-ES_tradnl"/>
                </w:rPr>
                <m:t>0</m:t>
              </m:r>
            </m:sub>
          </m:sSub>
          <m:r>
            <w:rPr>
              <w:rFonts w:ascii="Cambria Math" w:hAnsi="Cambria Math"/>
              <w:lang w:val="es-ES_tradnl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lang w:val="es-ES_tradnl"/>
                </w:rPr>
                <m:t>β</m:t>
              </m:r>
            </m:e>
            <m:sub>
              <m:r>
                <w:rPr>
                  <w:rFonts w:ascii="Cambria Math" w:hAnsi="Cambria Math"/>
                  <w:lang w:val="es-ES_tradnl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lang w:val="es-ES_tradnl"/>
                </w:rPr>
                <m:t>X</m:t>
              </m:r>
            </m:e>
            <m:sub>
              <m:r>
                <w:rPr>
                  <w:rFonts w:ascii="Cambria Math" w:hAnsi="Cambria Math"/>
                  <w:lang w:val="es-ES_tradnl"/>
                </w:rPr>
                <m:t>t</m:t>
              </m:r>
            </m:sub>
          </m:sSub>
          <m:r>
            <w:rPr>
              <w:rFonts w:ascii="Cambria Math" w:hAnsi="Cambria Math"/>
              <w:lang w:val="es-ES_tradnl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_tradnl"/>
                </w:rPr>
              </m:ctrlPr>
            </m:sSubPr>
            <m:e>
              <m:r>
                <w:rPr>
                  <w:rFonts w:ascii="Cambria Math" w:hAnsi="Cambria Math"/>
                  <w:lang w:val="es-ES_tradnl"/>
                </w:rPr>
                <m:t>μ</m:t>
              </m:r>
            </m:e>
            <m:sub>
              <m:r>
                <w:rPr>
                  <w:rFonts w:ascii="Cambria Math" w:hAnsi="Cambria Math"/>
                  <w:lang w:val="es-ES_tradnl"/>
                </w:rPr>
                <m:t>t</m:t>
              </m:r>
            </m:sub>
          </m:sSub>
        </m:oMath>
      </m:oMathPara>
    </w:p>
    <w:p w:rsidR="004B78C5" w:rsidRDefault="004B78C5" w:rsidP="00AA5F1F">
      <w:pPr>
        <w:spacing w:after="0" w:line="240" w:lineRule="auto"/>
        <w:jc w:val="center"/>
        <w:rPr>
          <w:lang w:val="es-ES_tradnl"/>
        </w:rPr>
      </w:pPr>
    </w:p>
    <w:p w:rsidR="004B78C5" w:rsidRDefault="00A53A7E" w:rsidP="00AA5F1F">
      <w:pPr>
        <w:spacing w:after="0" w:line="240" w:lineRule="auto"/>
        <w:jc w:val="center"/>
        <w:rPr>
          <w:rFonts w:eastAsiaTheme="minorEastAsia"/>
          <w:lang w:val="es-ES_tradnl"/>
        </w:rPr>
      </w:pPr>
      <m:oMath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w:tab/>
            </m:r>
            <m:r>
              <w:rPr>
                <w:rFonts w:ascii="Cambria Math" w:hAnsi="Cambria Math"/>
                <w:lang w:val="es-ES_tradnl"/>
              </w:rPr>
              <w:tab/>
            </m:r>
            <m:r>
              <w:rPr>
                <w:rFonts w:ascii="Cambria Math" w:hAnsi="Cambria Math"/>
                <w:lang w:val="es-ES_tradnl"/>
              </w:rPr>
              <w:tab/>
            </m:r>
            <m:r>
              <w:rPr>
                <w:rFonts w:ascii="Cambria Math" w:hAnsi="Cambria Math"/>
                <w:lang w:val="es-ES_tradnl"/>
              </w:rPr>
              <m:t>μ</m:t>
            </m:r>
          </m:e>
          <m:sub>
            <m:r>
              <w:rPr>
                <w:rFonts w:ascii="Cambria Math" w:hAnsi="Cambria Math"/>
                <w:lang w:val="es-ES_tradnl"/>
              </w:rPr>
              <m:t>t</m:t>
            </m:r>
          </m:sub>
        </m:sSub>
        <m:r>
          <w:rPr>
            <w:rFonts w:ascii="Cambria Math" w:hAnsi="Cambria Math"/>
            <w:lang w:val="es-ES_tradnl"/>
          </w:rPr>
          <m:t>=ρ</m:t>
        </m:r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m:t>μ</m:t>
            </m:r>
          </m:e>
          <m:sub>
            <m:r>
              <w:rPr>
                <w:rFonts w:ascii="Cambria Math" w:hAnsi="Cambria Math"/>
                <w:lang w:val="es-ES_tradnl"/>
              </w:rPr>
              <m:t>t-1</m:t>
            </m:r>
          </m:sub>
        </m:sSub>
        <m:r>
          <w:rPr>
            <w:rFonts w:ascii="Cambria Math" w:hAnsi="Cambria Math"/>
            <w:lang w:val="es-ES_tradnl"/>
          </w:rPr>
          <m:t>+</m:t>
        </m:r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m:t>ε</m:t>
            </m:r>
          </m:e>
          <m:sub>
            <m:r>
              <w:rPr>
                <w:rFonts w:ascii="Cambria Math" w:hAnsi="Cambria Math"/>
                <w:lang w:val="es-ES_tradnl"/>
              </w:rPr>
              <m:t>t</m:t>
            </m:r>
          </m:sub>
        </m:sSub>
      </m:oMath>
      <w:r w:rsidR="00AA5F1F">
        <w:rPr>
          <w:rFonts w:eastAsiaTheme="minorEastAsia"/>
          <w:lang w:val="es-ES_tradnl"/>
        </w:rPr>
        <w:tab/>
      </w:r>
      <w:r w:rsidR="00AA5F1F">
        <w:rPr>
          <w:rFonts w:eastAsiaTheme="minorEastAsia"/>
          <w:lang w:val="es-ES_tradnl"/>
        </w:rPr>
        <w:tab/>
      </w:r>
      <w:r w:rsidR="00AA5F1F">
        <w:rPr>
          <w:rFonts w:eastAsiaTheme="minorEastAsia"/>
          <w:lang w:val="es-ES_tradnl"/>
        </w:rPr>
        <w:tab/>
        <w:t xml:space="preserve"> </w:t>
      </w:r>
      <m:oMath>
        <m:r>
          <w:rPr>
            <w:rFonts w:ascii="Cambria Math" w:hAnsi="Cambria Math"/>
            <w:lang w:val="es-ES_tradnl"/>
          </w:rPr>
          <m:t xml:space="preserve">ρ </m:t>
        </m:r>
      </m:oMath>
      <w:r w:rsidR="00AA5F1F">
        <w:rPr>
          <w:rFonts w:eastAsiaTheme="minorEastAsia"/>
          <w:lang w:val="es-ES_tradnl"/>
        </w:rPr>
        <w:t>= 0.5</w:t>
      </w:r>
    </w:p>
    <w:p w:rsidR="00B339B9" w:rsidRDefault="00B339B9" w:rsidP="006F7674">
      <w:pPr>
        <w:spacing w:after="0" w:line="240" w:lineRule="auto"/>
        <w:rPr>
          <w:rFonts w:eastAsiaTheme="minorEastAsia"/>
          <w:lang w:val="es-ES_tradnl"/>
        </w:rPr>
      </w:pPr>
    </w:p>
    <w:p w:rsidR="006422F7" w:rsidRDefault="006422F7" w:rsidP="006F7674">
      <w:pPr>
        <w:spacing w:after="0" w:line="240" w:lineRule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 xml:space="preserve">Donde </w:t>
      </w:r>
      <m:oMath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m:t>ε</m:t>
            </m:r>
          </m:e>
          <m:sub>
            <m:r>
              <w:rPr>
                <w:rFonts w:ascii="Cambria Math" w:hAnsi="Cambria Math"/>
                <w:lang w:val="es-ES_tradnl"/>
              </w:rPr>
              <m:t>t</m:t>
            </m:r>
          </m:sub>
        </m:sSub>
      </m:oMath>
      <w:r>
        <w:rPr>
          <w:rFonts w:eastAsiaTheme="minorEastAsia"/>
          <w:lang w:val="es-ES_tradnl"/>
        </w:rPr>
        <w:t xml:space="preserve"> es i., i.d.</w:t>
      </w:r>
      <w:proofErr w:type="gramStart"/>
      <w:r>
        <w:rPr>
          <w:rFonts w:eastAsiaTheme="minorEastAsia"/>
          <w:lang w:val="es-ES_tradnl"/>
        </w:rPr>
        <w:t xml:space="preserve">, </w:t>
      </w:r>
      <m:oMath>
        <m:r>
          <w:rPr>
            <w:rFonts w:ascii="Cambria Math" w:eastAsiaTheme="minorEastAsia" w:hAnsi="Cambria Math"/>
            <w:lang w:val="es-ES_tradnl"/>
          </w:rPr>
          <m:t>N(0,</m:t>
        </m:r>
        <m:sSubSup>
          <m:sSubSupPr>
            <m:ctrlPr>
              <w:rPr>
                <w:rFonts w:ascii="Cambria Math" w:eastAsiaTheme="minorEastAsia" w:hAnsi="Cambria Math"/>
                <w:i/>
                <w:lang w:val="es-ES_tradnl"/>
              </w:rPr>
            </m:ctrlPr>
          </m:sSubSupPr>
          <m:e>
            <m:r>
              <w:rPr>
                <w:rFonts w:ascii="Cambria Math" w:eastAsiaTheme="minorEastAsia" w:hAnsi="Cambria Math"/>
                <w:lang w:val="es-ES_tradnl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s-ES_tradnl"/>
              </w:rPr>
              <m:t>ε</m:t>
            </m:r>
          </m:sub>
          <m:sup>
            <m:r>
              <w:rPr>
                <w:rFonts w:ascii="Cambria Math" w:eastAsiaTheme="minorEastAsia" w:hAnsi="Cambria Math"/>
                <w:lang w:val="es-ES_tradnl"/>
              </w:rPr>
              <m:t>2</m:t>
            </m:r>
          </m:sup>
        </m:sSubSup>
        <m:r>
          <w:rPr>
            <w:rFonts w:ascii="Cambria Math" w:eastAsiaTheme="minorEastAsia" w:hAnsi="Cambria Math"/>
            <w:lang w:val="es-ES_tradnl"/>
          </w:rPr>
          <m:t>)</m:t>
        </m:r>
      </m:oMath>
      <w:r>
        <w:rPr>
          <w:rFonts w:eastAsiaTheme="minorEastAsia"/>
          <w:lang w:val="es-ES_tradnl"/>
        </w:rPr>
        <w:t>,</w:t>
      </w:r>
      <w:proofErr w:type="gramEnd"/>
      <w:r>
        <w:rPr>
          <w:rFonts w:eastAsiaTheme="minorEastAsia"/>
          <w:lang w:val="es-ES_tradnl"/>
        </w:rPr>
        <w:t xml:space="preserve"> y disponiendo de las observaciones numéricas:</w:t>
      </w:r>
    </w:p>
    <w:p w:rsidR="00B339B9" w:rsidRDefault="00B339B9" w:rsidP="006F7674">
      <w:pPr>
        <w:spacing w:after="0" w:line="240" w:lineRule="auto"/>
        <w:rPr>
          <w:rFonts w:eastAsiaTheme="minorEastAsia"/>
          <w:lang w:val="es-ES_tradnl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64"/>
        <w:gridCol w:w="864"/>
        <w:gridCol w:w="864"/>
        <w:gridCol w:w="864"/>
        <w:gridCol w:w="864"/>
        <w:gridCol w:w="864"/>
      </w:tblGrid>
      <w:tr w:rsidR="00C7402E" w:rsidTr="006422F7">
        <w:trPr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7402E" w:rsidRPr="006422F7" w:rsidRDefault="00C7402E" w:rsidP="006F7674">
            <w:pPr>
              <w:jc w:val="center"/>
              <w:rPr>
                <w:rFonts w:eastAsiaTheme="minorEastAsia"/>
                <w:i/>
                <w:lang w:val="es-ES_tradnl"/>
              </w:rPr>
            </w:pPr>
            <w:r w:rsidRPr="006422F7">
              <w:rPr>
                <w:rFonts w:eastAsiaTheme="minorEastAsia"/>
                <w:i/>
                <w:lang w:val="es-ES_tradnl"/>
              </w:rPr>
              <w:t>t</w:t>
            </w:r>
          </w:p>
        </w:tc>
        <w:tc>
          <w:tcPr>
            <w:tcW w:w="8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5</w:t>
            </w:r>
          </w:p>
        </w:tc>
      </w:tr>
      <w:tr w:rsidR="00C7402E" w:rsidTr="006422F7">
        <w:trPr>
          <w:jc w:val="center"/>
        </w:trPr>
        <w:tc>
          <w:tcPr>
            <w:tcW w:w="864" w:type="dxa"/>
            <w:tcBorders>
              <w:left w:val="nil"/>
              <w:bottom w:val="nil"/>
            </w:tcBorders>
          </w:tcPr>
          <w:p w:rsidR="00C7402E" w:rsidRDefault="00A53A7E" w:rsidP="006F7674">
            <w:pPr>
              <w:rPr>
                <w:rFonts w:eastAsiaTheme="minorEastAsia"/>
                <w:lang w:val="es-ES_tradn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S_tradn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s-ES_tradnl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64" w:type="dxa"/>
            <w:tcBorders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22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26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32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34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40</w:t>
            </w:r>
          </w:p>
        </w:tc>
      </w:tr>
      <w:tr w:rsidR="00C7402E" w:rsidTr="006422F7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C7402E" w:rsidRDefault="00A53A7E" w:rsidP="006F7674">
            <w:pPr>
              <w:rPr>
                <w:rFonts w:eastAsiaTheme="minorEastAsia"/>
                <w:lang w:val="es-ES_tradn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S_tradn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s-ES_tradnl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7402E" w:rsidRDefault="00C7402E" w:rsidP="006F7674">
            <w:pPr>
              <w:jc w:val="center"/>
              <w:rPr>
                <w:rFonts w:eastAsiaTheme="minorEastAsia"/>
                <w:lang w:val="es-ES_tradnl"/>
              </w:rPr>
            </w:pPr>
            <w:r>
              <w:rPr>
                <w:rFonts w:eastAsiaTheme="minorEastAsia"/>
                <w:lang w:val="es-ES_tradnl"/>
              </w:rPr>
              <w:t>14</w:t>
            </w:r>
          </w:p>
        </w:tc>
      </w:tr>
    </w:tbl>
    <w:p w:rsidR="006422F7" w:rsidRDefault="006422F7" w:rsidP="006F7674">
      <w:pPr>
        <w:spacing w:after="0" w:line="240" w:lineRule="auto"/>
        <w:rPr>
          <w:rFonts w:eastAsiaTheme="minorEastAsia"/>
          <w:lang w:val="es-ES_tradnl"/>
        </w:rPr>
      </w:pPr>
    </w:p>
    <w:p w:rsidR="006422F7" w:rsidRDefault="00C7402E" w:rsidP="00B339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lang w:val="es-ES_tradnl"/>
        </w:rPr>
      </w:pPr>
      <w:r w:rsidRPr="0062655D">
        <w:rPr>
          <w:lang w:val="es-ES_tradnl"/>
        </w:rPr>
        <w:t xml:space="preserve">Obtenga </w:t>
      </w:r>
      <w:r w:rsidR="00BE56DF" w:rsidRPr="0062655D">
        <w:rPr>
          <w:lang w:val="es-ES_tradnl"/>
        </w:rPr>
        <w:t>una estimación eficiente</w:t>
      </w:r>
      <w:r w:rsidRPr="0062655D">
        <w:rPr>
          <w:lang w:val="es-ES_tradnl"/>
        </w:rPr>
        <w:t xml:space="preserve"> de los coeficientes </w:t>
      </w:r>
      <m:oMath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m:t>β</m:t>
            </m:r>
          </m:e>
          <m:sub>
            <m:r>
              <w:rPr>
                <w:rFonts w:ascii="Cambria Math" w:hAnsi="Cambria Math"/>
                <w:lang w:val="es-ES_tradnl"/>
              </w:rPr>
              <m:t>0</m:t>
            </m:r>
          </m:sub>
        </m:sSub>
      </m:oMath>
      <w:r w:rsidRPr="0062655D">
        <w:rPr>
          <w:rFonts w:eastAsiaTheme="minorEastAsia"/>
          <w:lang w:val="es-ES_tradnl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lang w:val="es-ES_tradnl"/>
              </w:rPr>
              <m:t>β</m:t>
            </m:r>
          </m:e>
          <m:sub>
            <m:r>
              <w:rPr>
                <w:rFonts w:ascii="Cambria Math" w:hAnsi="Cambria Math"/>
                <w:lang w:val="es-ES_tradnl"/>
              </w:rPr>
              <m:t>1</m:t>
            </m:r>
          </m:sub>
        </m:sSub>
      </m:oMath>
      <w:r w:rsidRPr="0062655D">
        <w:rPr>
          <w:rFonts w:eastAsiaTheme="minorEastAsia"/>
          <w:lang w:val="es-ES_tradnl"/>
        </w:rPr>
        <w:t>, así como la varianza de la pendiente.</w:t>
      </w:r>
    </w:p>
    <w:p w:rsidR="00985E2A" w:rsidRPr="0062655D" w:rsidRDefault="00985E2A" w:rsidP="00B339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Compare la estimación de mínimos cuadrados ordinarios con la de mínimos cuadrados generalizados (obtenga los valores)</w:t>
      </w:r>
    </w:p>
    <w:p w:rsidR="00BE56DF" w:rsidRPr="0062655D" w:rsidRDefault="00BE56DF" w:rsidP="00B339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_tradnl"/>
        </w:rPr>
      </w:pPr>
      <w:r w:rsidRPr="0062655D">
        <w:rPr>
          <w:rFonts w:eastAsiaTheme="minorEastAsia"/>
          <w:lang w:val="es-ES_tradnl"/>
        </w:rPr>
        <w:t xml:space="preserve">Contraste la hipótesis </w:t>
      </w:r>
      <m:oMath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s-ES_tradnl"/>
                  </w:rPr>
                </m:ctrlPr>
              </m:sSubPr>
              <m:e>
                <m:r>
                  <w:rPr>
                    <w:rFonts w:ascii="Cambria Math" w:hAnsi="Cambria Math"/>
                    <w:lang w:val="es-ES_tradnl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s-ES_tradnl"/>
                  </w:rPr>
                  <m:t>o</m:t>
                </m:r>
              </m:sub>
            </m:sSub>
            <m:r>
              <w:rPr>
                <w:rFonts w:ascii="Cambria Math" w:hAnsi="Cambria Math"/>
                <w:lang w:val="es-ES_tradnl"/>
              </w:rPr>
              <m:t>: β</m:t>
            </m:r>
          </m:e>
          <m:sub>
            <m:r>
              <w:rPr>
                <w:rFonts w:ascii="Cambria Math" w:hAnsi="Cambria Math"/>
                <w:lang w:val="es-ES_tradnl"/>
              </w:rPr>
              <m:t>1</m:t>
            </m:r>
          </m:sub>
        </m:sSub>
        <m:r>
          <w:rPr>
            <w:rFonts w:ascii="Cambria Math" w:hAnsi="Cambria Math"/>
            <w:lang w:val="es-ES_tradnl"/>
          </w:rPr>
          <m:t>=1</m:t>
        </m:r>
      </m:oMath>
    </w:p>
    <w:p w:rsidR="004B78C5" w:rsidRPr="0062655D" w:rsidRDefault="00BE56DF" w:rsidP="00B339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_tradnl"/>
        </w:rPr>
      </w:pPr>
      <w:r w:rsidRPr="0062655D">
        <w:rPr>
          <w:lang w:val="es-ES_tradnl"/>
        </w:rPr>
        <w:t xml:space="preserve">Indique como se estimaría </w:t>
      </w:r>
      <w:r w:rsidR="0062655D" w:rsidRPr="0062655D">
        <w:rPr>
          <w:lang w:val="es-ES_tradnl"/>
        </w:rPr>
        <w:t xml:space="preserve">eficientemente el modelo si no se conociese el valor numérico del parámetro </w:t>
      </w:r>
      <m:oMath>
        <m:r>
          <w:rPr>
            <w:rFonts w:ascii="Cambria Math" w:hAnsi="Cambria Math"/>
            <w:lang w:val="es-ES_tradnl"/>
          </w:rPr>
          <m:t>ρ</m:t>
        </m:r>
      </m:oMath>
    </w:p>
    <w:p w:rsidR="00B339B9" w:rsidRDefault="00B339B9" w:rsidP="006F7674">
      <w:pPr>
        <w:spacing w:after="0" w:line="240" w:lineRule="auto"/>
        <w:rPr>
          <w:lang w:val="es-ES_tradnl"/>
        </w:rPr>
      </w:pPr>
    </w:p>
    <w:p w:rsidR="007A177A" w:rsidRDefault="007A177A" w:rsidP="006F7674">
      <w:pPr>
        <w:spacing w:after="0" w:line="240" w:lineRule="auto"/>
        <w:rPr>
          <w:b/>
          <w:lang w:val="es-ES_tradnl"/>
        </w:rPr>
      </w:pPr>
    </w:p>
    <w:p w:rsidR="007A177A" w:rsidRDefault="007A177A" w:rsidP="006F7674">
      <w:pPr>
        <w:spacing w:after="0" w:line="240" w:lineRule="auto"/>
        <w:rPr>
          <w:b/>
          <w:lang w:val="es-ES_tradnl"/>
        </w:rPr>
      </w:pPr>
    </w:p>
    <w:p w:rsidR="004B78C5" w:rsidRPr="00B339B9" w:rsidRDefault="006F06C7" w:rsidP="006F7674">
      <w:pPr>
        <w:spacing w:after="0" w:line="240" w:lineRule="auto"/>
        <w:rPr>
          <w:b/>
          <w:lang w:val="es-ES_tradnl"/>
        </w:rPr>
      </w:pPr>
      <w:r w:rsidRPr="00B339B9">
        <w:rPr>
          <w:b/>
          <w:lang w:val="es-ES_tradnl"/>
        </w:rPr>
        <w:t>BONO (Ocho puntos adicionales)</w:t>
      </w:r>
    </w:p>
    <w:p w:rsidR="00B339B9" w:rsidRDefault="00B339B9" w:rsidP="006F7674">
      <w:pPr>
        <w:spacing w:after="0" w:line="240" w:lineRule="auto"/>
        <w:jc w:val="both"/>
        <w:rPr>
          <w:lang w:val="es-ES_tradnl"/>
        </w:rPr>
      </w:pPr>
    </w:p>
    <w:p w:rsidR="006F06C7" w:rsidRPr="00F45194" w:rsidRDefault="006F06C7" w:rsidP="006F7674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Indique cuáles son los ejemplos de modelos económicos que utiliza Robert E. Lucas </w:t>
      </w:r>
      <w:proofErr w:type="spellStart"/>
      <w:r>
        <w:rPr>
          <w:lang w:val="es-ES_tradnl"/>
        </w:rPr>
        <w:t>Jr.</w:t>
      </w:r>
      <w:proofErr w:type="spellEnd"/>
      <w:r>
        <w:rPr>
          <w:lang w:val="es-ES_tradnl"/>
        </w:rPr>
        <w:t xml:space="preserve"> (1976) en su famosa crítica y cuáles son las recomendaciones que h</w:t>
      </w:r>
      <w:r w:rsidR="00B339B9">
        <w:rPr>
          <w:lang w:val="es-ES_tradnl"/>
        </w:rPr>
        <w:t>izo</w:t>
      </w:r>
      <w:r>
        <w:rPr>
          <w:lang w:val="es-ES_tradnl"/>
        </w:rPr>
        <w:t xml:space="preserve"> acerca del uso de técnicas  econométricas.</w:t>
      </w:r>
    </w:p>
    <w:sectPr w:rsidR="006F06C7" w:rsidRPr="00F45194" w:rsidSect="00AA24F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297"/>
    <w:multiLevelType w:val="hybridMultilevel"/>
    <w:tmpl w:val="5A363D18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11426"/>
    <w:multiLevelType w:val="hybridMultilevel"/>
    <w:tmpl w:val="AF76E8C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5194"/>
    <w:rsid w:val="0004789C"/>
    <w:rsid w:val="000D582D"/>
    <w:rsid w:val="00136F85"/>
    <w:rsid w:val="0019791B"/>
    <w:rsid w:val="001B72F1"/>
    <w:rsid w:val="002102D9"/>
    <w:rsid w:val="0026117A"/>
    <w:rsid w:val="002D1E11"/>
    <w:rsid w:val="00323D51"/>
    <w:rsid w:val="004660B8"/>
    <w:rsid w:val="004B78C5"/>
    <w:rsid w:val="005A310F"/>
    <w:rsid w:val="0062655D"/>
    <w:rsid w:val="006422F7"/>
    <w:rsid w:val="00654BA9"/>
    <w:rsid w:val="006F06C7"/>
    <w:rsid w:val="006F7674"/>
    <w:rsid w:val="007A177A"/>
    <w:rsid w:val="00877903"/>
    <w:rsid w:val="008923FC"/>
    <w:rsid w:val="008F184F"/>
    <w:rsid w:val="00902EAC"/>
    <w:rsid w:val="00985E2A"/>
    <w:rsid w:val="009B10E3"/>
    <w:rsid w:val="00A43B82"/>
    <w:rsid w:val="00A53A7E"/>
    <w:rsid w:val="00AA24F7"/>
    <w:rsid w:val="00AA5F1F"/>
    <w:rsid w:val="00AB1E8F"/>
    <w:rsid w:val="00B339B9"/>
    <w:rsid w:val="00B4011A"/>
    <w:rsid w:val="00BE4331"/>
    <w:rsid w:val="00BE56DF"/>
    <w:rsid w:val="00C34F91"/>
    <w:rsid w:val="00C7402E"/>
    <w:rsid w:val="00CC3AA9"/>
    <w:rsid w:val="00E3469D"/>
    <w:rsid w:val="00F45194"/>
    <w:rsid w:val="00FB2BDB"/>
    <w:rsid w:val="00FC30F1"/>
    <w:rsid w:val="00FE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8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8C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655D"/>
    <w:pPr>
      <w:ind w:left="720"/>
      <w:contextualSpacing/>
    </w:pPr>
  </w:style>
  <w:style w:type="paragraph" w:customStyle="1" w:styleId="Prrafodelista1">
    <w:name w:val="Párrafo de lista1"/>
    <w:basedOn w:val="Normal"/>
    <w:rsid w:val="007A177A"/>
    <w:pPr>
      <w:spacing w:after="100" w:afterAutospacing="1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E5A0D8-CA97-4C9A-89A8-77F078DB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ByGP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Evolution V3</dc:creator>
  <cp:lastModifiedBy>efqj051205</cp:lastModifiedBy>
  <cp:revision>26</cp:revision>
  <cp:lastPrinted>2011-08-29T20:45:00Z</cp:lastPrinted>
  <dcterms:created xsi:type="dcterms:W3CDTF">2011-08-28T12:06:00Z</dcterms:created>
  <dcterms:modified xsi:type="dcterms:W3CDTF">2011-08-30T16:54:00Z</dcterms:modified>
</cp:coreProperties>
</file>