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Default="0057698D" w:rsidP="00D74D0E">
      <w:pPr>
        <w:ind w:left="567" w:right="-9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RESOLUCIONES TOMADAS POR LA COMISIÓN ACADÉMICA EN SESIÓN REALIZADA  EL </w:t>
      </w:r>
      <w:r w:rsidR="003B13A4">
        <w:rPr>
          <w:rFonts w:ascii="Century Gothic" w:hAnsi="Century Gothic" w:cs="Century Gothic"/>
          <w:b/>
          <w:bCs/>
          <w:sz w:val="22"/>
          <w:szCs w:val="22"/>
        </w:rPr>
        <w:t>25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DE JUNIO DE  2012</w:t>
      </w:r>
    </w:p>
    <w:p w:rsidR="0057698D" w:rsidRDefault="0057698D" w:rsidP="00D74D0E">
      <w:pPr>
        <w:ind w:left="567" w:right="-9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Default="0057698D" w:rsidP="00D74D0E">
      <w:pPr>
        <w:ind w:left="567" w:right="-9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5941CC" w:rsidRDefault="0057698D" w:rsidP="005941CC">
      <w:pPr>
        <w:ind w:left="2694" w:right="-427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CAc-2012-09</w:t>
      </w:r>
      <w:r w:rsidR="00295433">
        <w:rPr>
          <w:rFonts w:ascii="Century Gothic" w:hAnsi="Century Gothic" w:cs="Century Gothic"/>
          <w:b/>
          <w:bCs/>
          <w:sz w:val="22"/>
          <w:szCs w:val="22"/>
        </w:rPr>
        <w:t>5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="005941CC" w:rsidRPr="005941CC">
        <w:rPr>
          <w:rFonts w:ascii="Century Gothic" w:hAnsi="Century Gothic" w:cs="Century Gothic"/>
          <w:bCs/>
          <w:sz w:val="22"/>
          <w:szCs w:val="22"/>
        </w:rPr>
        <w:t>Aprobar el acta digital de la sesión celebrada por la Comisión Académica el 5 de junio de 2012.</w:t>
      </w:r>
    </w:p>
    <w:p w:rsidR="005941CC" w:rsidRDefault="005941CC" w:rsidP="005941CC">
      <w:pPr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941CC" w:rsidRDefault="005941CC" w:rsidP="005941CC">
      <w:pPr>
        <w:ind w:left="2694" w:right="-427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CAc-2012-09</w:t>
      </w:r>
      <w:r w:rsidR="00295433">
        <w:rPr>
          <w:rFonts w:ascii="Century Gothic" w:hAnsi="Century Gothic" w:cs="Century Gothic"/>
          <w:b/>
          <w:bCs/>
          <w:sz w:val="22"/>
          <w:szCs w:val="22"/>
        </w:rPr>
        <w:t>6</w:t>
      </w:r>
      <w:r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5941CC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</w:t>
      </w:r>
      <w:r>
        <w:rPr>
          <w:rFonts w:ascii="Century Gothic" w:hAnsi="Century Gothic" w:cs="Century Gothic"/>
          <w:bCs/>
          <w:sz w:val="22"/>
          <w:szCs w:val="22"/>
        </w:rPr>
        <w:t xml:space="preserve">al </w:t>
      </w:r>
      <w:proofErr w:type="spellStart"/>
      <w:r w:rsidRPr="005941CC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Pr="005941C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Washington </w:t>
      </w:r>
      <w:r w:rsidRPr="005941CC">
        <w:rPr>
          <w:rFonts w:ascii="Century Gothic" w:hAnsi="Century Gothic" w:cs="Century Gothic"/>
          <w:bCs/>
          <w:sz w:val="22"/>
          <w:szCs w:val="22"/>
        </w:rPr>
        <w:t xml:space="preserve">Cárdenas </w:t>
      </w:r>
      <w:proofErr w:type="spellStart"/>
      <w:r w:rsidRPr="005941CC">
        <w:rPr>
          <w:rFonts w:ascii="Century Gothic" w:hAnsi="Century Gothic" w:cs="Century Gothic"/>
          <w:bCs/>
          <w:sz w:val="22"/>
          <w:szCs w:val="22"/>
        </w:rPr>
        <w:t>Medranda</w:t>
      </w:r>
      <w:proofErr w:type="spellEnd"/>
      <w:r>
        <w:rPr>
          <w:rFonts w:ascii="Century Gothic" w:hAnsi="Century Gothic" w:cs="Century Gothic"/>
          <w:bCs/>
          <w:sz w:val="22"/>
          <w:szCs w:val="22"/>
        </w:rPr>
        <w:t>, profesor de la Facultad de Ingeniería Marítima, Ciencias Biológicas. Oceánicas y Recursos Naturales (FIMCBOR), en concordancia con las disposiciones reglamentarias establecidas.</w:t>
      </w:r>
    </w:p>
    <w:p w:rsidR="005941CC" w:rsidRDefault="005941CC" w:rsidP="005941CC">
      <w:pPr>
        <w:ind w:left="2694" w:right="-427" w:hanging="1985"/>
        <w:jc w:val="both"/>
      </w:pPr>
    </w:p>
    <w:p w:rsidR="005941CC" w:rsidRPr="005941CC" w:rsidRDefault="005941CC" w:rsidP="005941CC">
      <w:pPr>
        <w:ind w:left="2694" w:right="-427" w:hanging="1985"/>
        <w:jc w:val="both"/>
        <w:rPr>
          <w:rFonts w:ascii="Century Gothic" w:hAnsi="Century Gothic"/>
          <w:sz w:val="24"/>
          <w:szCs w:val="24"/>
        </w:rPr>
      </w:pPr>
      <w:r w:rsidRPr="005941CC">
        <w:rPr>
          <w:rFonts w:ascii="Century Gothic" w:hAnsi="Century Gothic"/>
          <w:sz w:val="24"/>
          <w:szCs w:val="24"/>
        </w:rPr>
        <w:tab/>
        <w:t xml:space="preserve">Su ascenso de Categoría tendrá vigencia desde el </w:t>
      </w:r>
      <w:r>
        <w:rPr>
          <w:rFonts w:ascii="Century Gothic" w:hAnsi="Century Gothic"/>
          <w:sz w:val="24"/>
          <w:szCs w:val="24"/>
        </w:rPr>
        <w:t xml:space="preserve">11 </w:t>
      </w:r>
      <w:r w:rsidRPr="005941CC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>junio</w:t>
      </w:r>
      <w:r w:rsidRPr="005941CC">
        <w:rPr>
          <w:rFonts w:ascii="Century Gothic" w:hAnsi="Century Gothic"/>
          <w:sz w:val="24"/>
          <w:szCs w:val="24"/>
        </w:rPr>
        <w:t xml:space="preserve"> de 2012.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5941CC" w:rsidRDefault="005941CC" w:rsidP="005941CC">
      <w:pPr>
        <w:tabs>
          <w:tab w:val="left" w:pos="2694"/>
        </w:tabs>
        <w:ind w:left="709"/>
        <w:rPr>
          <w:rFonts w:ascii="Century Gothic" w:hAnsi="Century Gothic" w:cs="Century Gothic"/>
          <w:b/>
          <w:bCs/>
          <w:sz w:val="22"/>
          <w:szCs w:val="22"/>
        </w:rPr>
      </w:pPr>
    </w:p>
    <w:p w:rsidR="00157EA9" w:rsidRDefault="005941CC" w:rsidP="00157EA9">
      <w:pPr>
        <w:pStyle w:val="Default"/>
        <w:ind w:left="2694" w:right="-518" w:hanging="1994"/>
        <w:jc w:val="both"/>
      </w:pPr>
      <w:r>
        <w:rPr>
          <w:b/>
          <w:bCs/>
          <w:sz w:val="22"/>
          <w:szCs w:val="22"/>
        </w:rPr>
        <w:t>CAc-2012-09</w:t>
      </w:r>
      <w:r w:rsidR="00295433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.-</w:t>
      </w:r>
      <w:r>
        <w:rPr>
          <w:b/>
          <w:bCs/>
          <w:sz w:val="22"/>
          <w:szCs w:val="22"/>
        </w:rPr>
        <w:tab/>
      </w:r>
      <w:r w:rsidR="00157EA9">
        <w:t xml:space="preserve">Conocer que la SENESCYT ha concedido una beca para que </w:t>
      </w:r>
      <w:r w:rsidR="00704D8A">
        <w:t xml:space="preserve">la M.S. </w:t>
      </w:r>
      <w:proofErr w:type="spellStart"/>
      <w:r w:rsidR="00704D8A">
        <w:t>Nayeth</w:t>
      </w:r>
      <w:proofErr w:type="spellEnd"/>
      <w:r w:rsidR="00704D8A">
        <w:t xml:space="preserve"> Solórzano </w:t>
      </w:r>
      <w:proofErr w:type="spellStart"/>
      <w:r w:rsidR="00704D8A">
        <w:t>Alcívar</w:t>
      </w:r>
      <w:proofErr w:type="spellEnd"/>
      <w:r w:rsidR="00704D8A">
        <w:t xml:space="preserve"> de </w:t>
      </w:r>
      <w:proofErr w:type="spellStart"/>
      <w:r w:rsidR="00704D8A">
        <w:t>Nan</w:t>
      </w:r>
      <w:proofErr w:type="spellEnd"/>
      <w:r w:rsidR="00704D8A">
        <w:t>,</w:t>
      </w:r>
      <w:r w:rsidR="00157EA9">
        <w:t xml:space="preserve"> profesor</w:t>
      </w:r>
      <w:r w:rsidR="00704D8A">
        <w:t>a</w:t>
      </w:r>
      <w:r w:rsidR="00157EA9">
        <w:t xml:space="preserve"> </w:t>
      </w:r>
      <w:r w:rsidR="00704D8A">
        <w:t xml:space="preserve">Principal de la Escuela de Diseño y Comunicación Visual </w:t>
      </w:r>
      <w:r w:rsidR="00157EA9">
        <w:t xml:space="preserve"> realice estudios doctorales </w:t>
      </w:r>
      <w:r w:rsidR="00704D8A">
        <w:t>en el área de especialización de tecnologías de información y comunicac</w:t>
      </w:r>
      <w:r w:rsidR="003B13A4">
        <w:t xml:space="preserve">iones </w:t>
      </w:r>
      <w:proofErr w:type="spellStart"/>
      <w:r w:rsidR="003B13A4">
        <w:t>TICs</w:t>
      </w:r>
      <w:proofErr w:type="spellEnd"/>
      <w:r w:rsidR="003B13A4">
        <w:t xml:space="preserve">, en la Universidad </w:t>
      </w:r>
      <w:r w:rsidR="00704D8A">
        <w:t xml:space="preserve"> de </w:t>
      </w:r>
      <w:proofErr w:type="spellStart"/>
      <w:r w:rsidR="00704D8A">
        <w:t>Griffit</w:t>
      </w:r>
      <w:proofErr w:type="spellEnd"/>
      <w:r w:rsidR="00704D8A">
        <w:t xml:space="preserve"> de la ciudad de Brisbane-Australia,  </w:t>
      </w:r>
      <w:r w:rsidR="00157EA9">
        <w:t xml:space="preserve"> con las siguientes consideraciones</w:t>
      </w:r>
      <w:r w:rsidR="006D2B5D">
        <w:t xml:space="preserve">, </w:t>
      </w:r>
    </w:p>
    <w:p w:rsidR="00884E47" w:rsidRDefault="00884E47" w:rsidP="00157EA9">
      <w:pPr>
        <w:pStyle w:val="Default"/>
        <w:ind w:left="2694" w:right="-518" w:hanging="1994"/>
        <w:jc w:val="both"/>
      </w:pPr>
    </w:p>
    <w:p w:rsidR="005C6C89" w:rsidRDefault="00157EA9" w:rsidP="005C6C89">
      <w:pPr>
        <w:pStyle w:val="Default"/>
        <w:numPr>
          <w:ilvl w:val="0"/>
          <w:numId w:val="6"/>
        </w:numPr>
        <w:ind w:left="3054" w:right="-518"/>
        <w:jc w:val="both"/>
      </w:pPr>
      <w:r>
        <w:t xml:space="preserve">Dar el aval académico </w:t>
      </w:r>
      <w:r w:rsidR="00704D8A">
        <w:t xml:space="preserve">a la M.S. </w:t>
      </w:r>
      <w:proofErr w:type="spellStart"/>
      <w:r w:rsidR="00704D8A">
        <w:t>Nayeth</w:t>
      </w:r>
      <w:proofErr w:type="spellEnd"/>
      <w:r w:rsidR="00704D8A">
        <w:t xml:space="preserve"> Solórzano </w:t>
      </w:r>
      <w:proofErr w:type="spellStart"/>
      <w:r w:rsidR="00704D8A">
        <w:t>Alcívar</w:t>
      </w:r>
      <w:proofErr w:type="spellEnd"/>
      <w:r w:rsidR="00704D8A">
        <w:t xml:space="preserve"> de </w:t>
      </w:r>
      <w:proofErr w:type="spellStart"/>
      <w:r w:rsidR="00704D8A">
        <w:t>Nan</w:t>
      </w:r>
      <w:proofErr w:type="spellEnd"/>
      <w:r>
        <w:t xml:space="preserve"> para que </w:t>
      </w:r>
      <w:r w:rsidR="00704D8A">
        <w:t xml:space="preserve">cumpla con el programa doctoral </w:t>
      </w:r>
      <w:r>
        <w:t>durante 4 años</w:t>
      </w:r>
      <w:r w:rsidR="00704D8A">
        <w:t>,</w:t>
      </w:r>
      <w:r w:rsidR="003B13A4">
        <w:t xml:space="preserve"> en </w:t>
      </w:r>
      <w:r w:rsidR="00704D8A">
        <w:t>el área de especialización de tecnologías de información y comunicaciones</w:t>
      </w:r>
      <w:r w:rsidR="005C6C89">
        <w:t>; y,</w:t>
      </w:r>
    </w:p>
    <w:p w:rsidR="005C6C89" w:rsidRDefault="005C6C89" w:rsidP="005C6C89">
      <w:pPr>
        <w:pStyle w:val="Default"/>
        <w:ind w:left="3054" w:right="-518"/>
        <w:jc w:val="both"/>
      </w:pPr>
    </w:p>
    <w:p w:rsidR="005C6C89" w:rsidRDefault="005C6C89" w:rsidP="005C6C89">
      <w:pPr>
        <w:pStyle w:val="Default"/>
        <w:numPr>
          <w:ilvl w:val="0"/>
          <w:numId w:val="6"/>
        </w:numPr>
        <w:ind w:left="3054" w:right="-518"/>
        <w:jc w:val="both"/>
      </w:pPr>
      <w:r>
        <w:t xml:space="preserve">Recomendar al Consejo Politécnico conceda los beneficios a que diere lugar,  de acuerdo al Reglamento de becas para perfeccionamiento doctoral y postdoctoral en el exterior (4246). </w:t>
      </w:r>
    </w:p>
    <w:p w:rsidR="00884E47" w:rsidRDefault="00884E47" w:rsidP="00884E47">
      <w:pPr>
        <w:pStyle w:val="Default"/>
        <w:ind w:left="1614" w:right="-518"/>
        <w:jc w:val="both"/>
      </w:pPr>
    </w:p>
    <w:p w:rsidR="006D2B5D" w:rsidRDefault="006D2B5D" w:rsidP="00884E47">
      <w:pPr>
        <w:pStyle w:val="Default"/>
        <w:ind w:left="2694" w:right="-518"/>
        <w:jc w:val="both"/>
      </w:pPr>
      <w:r>
        <w:t>Que la Oficina de Relaciones Externas proceda a la elaboración del contrato de beca respectivo</w:t>
      </w:r>
    </w:p>
    <w:p w:rsidR="00157EA9" w:rsidRDefault="00157EA9" w:rsidP="00157EA9">
      <w:pPr>
        <w:pStyle w:val="Default"/>
        <w:ind w:right="-518"/>
        <w:jc w:val="both"/>
      </w:pPr>
    </w:p>
    <w:p w:rsidR="006D2B5D" w:rsidRDefault="006D2B5D" w:rsidP="006D2B5D">
      <w:pPr>
        <w:pStyle w:val="Default"/>
        <w:ind w:left="2694" w:right="-518" w:hanging="1994"/>
        <w:jc w:val="both"/>
      </w:pPr>
      <w:r>
        <w:rPr>
          <w:b/>
          <w:bCs/>
          <w:sz w:val="22"/>
          <w:szCs w:val="22"/>
        </w:rPr>
        <w:t>CAc-2012-09</w:t>
      </w:r>
      <w:r w:rsidR="00295433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.-</w:t>
      </w:r>
      <w:r>
        <w:rPr>
          <w:b/>
          <w:bCs/>
          <w:sz w:val="22"/>
          <w:szCs w:val="22"/>
        </w:rPr>
        <w:tab/>
      </w:r>
      <w:r>
        <w:t xml:space="preserve">Conocer que la SENESCYT ha concedido una beca para que </w:t>
      </w:r>
      <w:r w:rsidR="003B13A4">
        <w:t xml:space="preserve">el </w:t>
      </w:r>
      <w:proofErr w:type="spellStart"/>
      <w:r w:rsidR="003B13A4">
        <w:t>M.Sc.</w:t>
      </w:r>
      <w:proofErr w:type="spellEnd"/>
      <w:r w:rsidR="003B13A4">
        <w:t xml:space="preserve"> César Martín Moreno, profesor</w:t>
      </w:r>
      <w:r>
        <w:t xml:space="preserve"> </w:t>
      </w:r>
      <w:r w:rsidR="003B13A4">
        <w:t>Agregado</w:t>
      </w:r>
      <w:r>
        <w:t xml:space="preserve"> de </w:t>
      </w:r>
      <w:r w:rsidR="00D3449A">
        <w:t xml:space="preserve">la </w:t>
      </w:r>
      <w:r w:rsidR="003B13A4">
        <w:t xml:space="preserve">Facultad </w:t>
      </w:r>
      <w:r>
        <w:t xml:space="preserve">  </w:t>
      </w:r>
      <w:r w:rsidR="0022394B">
        <w:t xml:space="preserve">de Ingeniería en Electricidad y Computación (FIEC) </w:t>
      </w:r>
      <w:r>
        <w:t xml:space="preserve">realice </w:t>
      </w:r>
      <w:r w:rsidR="00D3449A">
        <w:t xml:space="preserve">sus </w:t>
      </w:r>
      <w:r>
        <w:t xml:space="preserve">estudios doctorales en </w:t>
      </w:r>
      <w:r w:rsidR="0022394B">
        <w:t xml:space="preserve">el programa de </w:t>
      </w:r>
      <w:proofErr w:type="spellStart"/>
      <w:r w:rsidR="00E554B9">
        <w:t>Electrical</w:t>
      </w:r>
      <w:proofErr w:type="spellEnd"/>
      <w:r w:rsidR="00E554B9">
        <w:t xml:space="preserve"> </w:t>
      </w:r>
      <w:proofErr w:type="spellStart"/>
      <w:r w:rsidR="00E554B9">
        <w:t>Engineering</w:t>
      </w:r>
      <w:proofErr w:type="spellEnd"/>
      <w:r w:rsidR="00E554B9">
        <w:t xml:space="preserve"> </w:t>
      </w:r>
      <w:r w:rsidR="00E554B9">
        <w:lastRenderedPageBreak/>
        <w:t xml:space="preserve">en Arizona </w:t>
      </w:r>
      <w:proofErr w:type="spellStart"/>
      <w:r w:rsidR="00E554B9">
        <w:t>State</w:t>
      </w:r>
      <w:proofErr w:type="spellEnd"/>
      <w:r w:rsidR="00E554B9">
        <w:t xml:space="preserve"> </w:t>
      </w:r>
      <w:proofErr w:type="spellStart"/>
      <w:r w:rsidR="00E554B9">
        <w:t>University</w:t>
      </w:r>
      <w:proofErr w:type="spellEnd"/>
      <w:r w:rsidR="0022394B">
        <w:t>,  con la</w:t>
      </w:r>
      <w:r w:rsidR="00884E47">
        <w:t>s</w:t>
      </w:r>
      <w:r>
        <w:t xml:space="preserve"> siguientes consideraciones</w:t>
      </w:r>
      <w:r w:rsidR="0022394B">
        <w:t>.</w:t>
      </w:r>
    </w:p>
    <w:p w:rsidR="0022394B" w:rsidRDefault="0022394B" w:rsidP="006D2B5D">
      <w:pPr>
        <w:pStyle w:val="Default"/>
        <w:ind w:left="2694" w:right="-518" w:hanging="1994"/>
        <w:jc w:val="both"/>
      </w:pPr>
    </w:p>
    <w:p w:rsidR="005C6C89" w:rsidRDefault="006D2B5D" w:rsidP="005C6C89">
      <w:pPr>
        <w:pStyle w:val="Default"/>
        <w:numPr>
          <w:ilvl w:val="0"/>
          <w:numId w:val="11"/>
        </w:numPr>
        <w:ind w:left="3054" w:right="-518"/>
        <w:jc w:val="both"/>
      </w:pPr>
      <w:r>
        <w:t xml:space="preserve">Dar el aval académico </w:t>
      </w:r>
      <w:r w:rsidR="00E554B9">
        <w:t xml:space="preserve">al </w:t>
      </w:r>
      <w:proofErr w:type="spellStart"/>
      <w:r w:rsidR="00E554B9">
        <w:t>M.Sc.</w:t>
      </w:r>
      <w:proofErr w:type="spellEnd"/>
      <w:r w:rsidR="00E554B9">
        <w:t xml:space="preserve"> César Martín Moreno</w:t>
      </w:r>
      <w:r>
        <w:t xml:space="preserve"> para que cumpla con el programa doctoral durante 4 años, en </w:t>
      </w:r>
      <w:r w:rsidR="00386029">
        <w:t xml:space="preserve">el programa de </w:t>
      </w:r>
      <w:proofErr w:type="spellStart"/>
      <w:r w:rsidR="00386029">
        <w:t>Electrical</w:t>
      </w:r>
      <w:proofErr w:type="spellEnd"/>
      <w:r w:rsidR="00386029">
        <w:t xml:space="preserve"> </w:t>
      </w:r>
      <w:proofErr w:type="spellStart"/>
      <w:r w:rsidR="00386029">
        <w:t>Engineering</w:t>
      </w:r>
      <w:proofErr w:type="spellEnd"/>
      <w:r w:rsidR="005C6C89">
        <w:t>; y,</w:t>
      </w:r>
    </w:p>
    <w:p w:rsidR="005C6C89" w:rsidRDefault="005C6C89" w:rsidP="005C6C89">
      <w:pPr>
        <w:pStyle w:val="Default"/>
        <w:ind w:left="3054" w:right="-518"/>
        <w:jc w:val="both"/>
      </w:pPr>
    </w:p>
    <w:p w:rsidR="005C6C89" w:rsidRDefault="005C6C89" w:rsidP="005C6C89">
      <w:pPr>
        <w:pStyle w:val="Default"/>
        <w:numPr>
          <w:ilvl w:val="0"/>
          <w:numId w:val="11"/>
        </w:numPr>
        <w:ind w:left="3054" w:right="-518"/>
        <w:jc w:val="both"/>
      </w:pPr>
      <w:r>
        <w:t xml:space="preserve">Recomendar al Consejo Politécnico conceda los beneficios a que diere lugar,  de acuerdo al Reglamento de becas para perfeccionamiento doctoral y postdoctoral en el exterior (4246). </w:t>
      </w:r>
    </w:p>
    <w:p w:rsidR="0022394B" w:rsidRDefault="0022394B" w:rsidP="0022394B">
      <w:pPr>
        <w:pStyle w:val="Default"/>
        <w:ind w:left="2694" w:right="-518"/>
        <w:jc w:val="both"/>
      </w:pPr>
    </w:p>
    <w:p w:rsidR="003B13A4" w:rsidRDefault="003B13A4" w:rsidP="005C6C89">
      <w:pPr>
        <w:pStyle w:val="Default"/>
        <w:ind w:left="2694" w:right="-518"/>
        <w:jc w:val="both"/>
      </w:pPr>
      <w:r>
        <w:t>Que la Oficina de Relaciones Externas proceda a la elaboración del contrato de beca respectivo</w:t>
      </w:r>
    </w:p>
    <w:p w:rsidR="006F5D96" w:rsidRPr="003B13A4" w:rsidRDefault="006F5D96" w:rsidP="006F5D96">
      <w:pPr>
        <w:pStyle w:val="Sinespaciado1"/>
        <w:ind w:left="2694" w:right="-496" w:hanging="1985"/>
        <w:jc w:val="both"/>
        <w:rPr>
          <w:rFonts w:ascii="Century Gothic" w:hAnsi="Century Gothic"/>
          <w:b/>
          <w:bCs/>
          <w:lang w:val="es-ES"/>
        </w:rPr>
      </w:pPr>
    </w:p>
    <w:p w:rsidR="006F5D96" w:rsidRPr="006A4D06" w:rsidRDefault="006A4D06" w:rsidP="006A4D06">
      <w:pPr>
        <w:pStyle w:val="Sinespaciado1"/>
        <w:ind w:left="2694" w:right="-496" w:hanging="1985"/>
        <w:jc w:val="both"/>
        <w:rPr>
          <w:rFonts w:ascii="Century Gothic" w:hAnsi="Century Gothic"/>
          <w:bCs/>
        </w:rPr>
      </w:pPr>
      <w:r w:rsidRPr="006A4D06">
        <w:rPr>
          <w:rFonts w:ascii="Century Gothic" w:hAnsi="Century Gothic"/>
          <w:b/>
          <w:bCs/>
        </w:rPr>
        <w:t>CAc-2012-09</w:t>
      </w:r>
      <w:r w:rsidR="00295433">
        <w:rPr>
          <w:rFonts w:ascii="Century Gothic" w:hAnsi="Century Gothic"/>
          <w:b/>
          <w:bCs/>
        </w:rPr>
        <w:t>9</w:t>
      </w:r>
      <w:r w:rsidRPr="006A4D06">
        <w:rPr>
          <w:rFonts w:ascii="Century Gothic" w:hAnsi="Century Gothic"/>
          <w:bCs/>
        </w:rPr>
        <w:t>.-</w:t>
      </w:r>
      <w:r>
        <w:rPr>
          <w:rFonts w:ascii="Century Gothic" w:hAnsi="Century Gothic"/>
          <w:bCs/>
        </w:rPr>
        <w:tab/>
      </w:r>
      <w:r w:rsidR="005C6C89">
        <w:rPr>
          <w:rFonts w:ascii="Century Gothic" w:hAnsi="Century Gothic"/>
          <w:bCs/>
        </w:rPr>
        <w:t>Recomendar al Consejo Politécnico</w:t>
      </w:r>
      <w:r w:rsidR="00EE65ED">
        <w:rPr>
          <w:rFonts w:ascii="Century Gothic" w:hAnsi="Century Gothic"/>
          <w:bCs/>
        </w:rPr>
        <w:t xml:space="preserve"> que autorice la convocatoria a </w:t>
      </w:r>
      <w:r w:rsidRPr="006A4D06">
        <w:rPr>
          <w:rFonts w:ascii="Century Gothic" w:hAnsi="Century Gothic"/>
          <w:bCs/>
        </w:rPr>
        <w:t xml:space="preserve">Concurso de Méritos y Oposición para proveer de un profesor titular a tiempo completo en el área de </w:t>
      </w:r>
      <w:r w:rsidR="006F5D96" w:rsidRPr="006A4D06">
        <w:rPr>
          <w:rFonts w:ascii="Century Gothic" w:hAnsi="Century Gothic"/>
          <w:bCs/>
        </w:rPr>
        <w:t>TERMO-FLUIDOS</w:t>
      </w:r>
      <w:r w:rsidRPr="006A4D06">
        <w:rPr>
          <w:rFonts w:ascii="Century Gothic" w:hAnsi="Century Gothic"/>
          <w:bCs/>
        </w:rPr>
        <w:t>, de acuerdo a lo que solicita el Consejo Directivo de la Facultad de Ingeniería en Mecánica y Ciencias de la Producción, con las siguientes bases.</w:t>
      </w:r>
    </w:p>
    <w:p w:rsidR="006F5D96" w:rsidRPr="00F77ABB" w:rsidRDefault="006F5D96" w:rsidP="006A4D06">
      <w:pPr>
        <w:pStyle w:val="Sinespaciado1"/>
        <w:tabs>
          <w:tab w:val="left" w:pos="3119"/>
        </w:tabs>
        <w:ind w:left="3119" w:right="-496" w:hanging="425"/>
        <w:jc w:val="both"/>
        <w:rPr>
          <w:rFonts w:ascii="Century Gothic" w:hAnsi="Century Gothic"/>
          <w:b/>
          <w:bCs/>
        </w:rPr>
      </w:pPr>
      <w:r w:rsidRPr="00F77ABB">
        <w:rPr>
          <w:rFonts w:ascii="Century Gothic" w:hAnsi="Century Gothic"/>
          <w:b/>
          <w:bCs/>
        </w:rPr>
        <w:t xml:space="preserve"> </w:t>
      </w:r>
    </w:p>
    <w:p w:rsidR="006F5D96" w:rsidRDefault="006F5D96" w:rsidP="006A4D06">
      <w:pPr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  <w:sz w:val="22"/>
          <w:szCs w:val="22"/>
        </w:rPr>
      </w:pPr>
      <w:r w:rsidRPr="00F77ABB">
        <w:rPr>
          <w:rFonts w:ascii="Century Gothic" w:hAnsi="Century Gothic"/>
          <w:sz w:val="22"/>
          <w:szCs w:val="22"/>
        </w:rPr>
        <w:t>1.-</w:t>
      </w:r>
      <w:r w:rsidRPr="00F77ABB">
        <w:rPr>
          <w:rFonts w:ascii="Century Gothic" w:hAnsi="Century Gothic"/>
          <w:sz w:val="22"/>
          <w:szCs w:val="22"/>
        </w:rPr>
        <w:tab/>
        <w:t xml:space="preserve">Título: </w:t>
      </w:r>
      <w:r>
        <w:rPr>
          <w:rFonts w:ascii="Century Gothic" w:hAnsi="Century Gothic"/>
          <w:sz w:val="22"/>
          <w:szCs w:val="22"/>
        </w:rPr>
        <w:t>Doctor (</w:t>
      </w:r>
      <w:proofErr w:type="spellStart"/>
      <w:r>
        <w:rPr>
          <w:rFonts w:ascii="Century Gothic" w:hAnsi="Century Gothic"/>
          <w:sz w:val="22"/>
          <w:szCs w:val="22"/>
        </w:rPr>
        <w:t>Ph.D.</w:t>
      </w:r>
      <w:proofErr w:type="spellEnd"/>
      <w:r>
        <w:rPr>
          <w:rFonts w:ascii="Century Gothic" w:hAnsi="Century Gothic"/>
          <w:sz w:val="22"/>
          <w:szCs w:val="22"/>
        </w:rPr>
        <w:t xml:space="preserve">) en Ingeniería Mecánica </w:t>
      </w:r>
      <w:r w:rsidR="006A4D06">
        <w:rPr>
          <w:rFonts w:ascii="Century Gothic" w:hAnsi="Century Gothic"/>
          <w:sz w:val="22"/>
          <w:szCs w:val="22"/>
        </w:rPr>
        <w:t>o su equivalente</w:t>
      </w:r>
    </w:p>
    <w:p w:rsidR="006F5D96" w:rsidRPr="00F77ABB" w:rsidRDefault="006F5D96" w:rsidP="006A4D06">
      <w:pPr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</w:p>
    <w:p w:rsidR="006F5D96" w:rsidRPr="00F77ABB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  <w:r w:rsidRPr="00F77ABB">
        <w:rPr>
          <w:rFonts w:ascii="Century Gothic" w:hAnsi="Century Gothic"/>
        </w:rPr>
        <w:t xml:space="preserve">2.-  </w:t>
      </w:r>
      <w:r w:rsidRPr="00F77ABB">
        <w:rPr>
          <w:rFonts w:ascii="Century Gothic" w:hAnsi="Century Gothic"/>
        </w:rPr>
        <w:tab/>
        <w:t xml:space="preserve">Experiencia Mínima de </w:t>
      </w:r>
      <w:r>
        <w:rPr>
          <w:rFonts w:ascii="Century Gothic" w:hAnsi="Century Gothic"/>
        </w:rPr>
        <w:t>2</w:t>
      </w:r>
      <w:r w:rsidRPr="00F77ABB">
        <w:rPr>
          <w:rFonts w:ascii="Century Gothic" w:hAnsi="Century Gothic"/>
        </w:rPr>
        <w:t xml:space="preserve"> años en docencia universitaria o investigación en el área de </w:t>
      </w:r>
      <w:r>
        <w:rPr>
          <w:rFonts w:ascii="Century Gothic" w:hAnsi="Century Gothic"/>
        </w:rPr>
        <w:t xml:space="preserve">Termo-fluidos (últimos 2 </w:t>
      </w:r>
      <w:r w:rsidRPr="00F77ABB">
        <w:rPr>
          <w:rFonts w:ascii="Century Gothic" w:hAnsi="Century Gothic"/>
        </w:rPr>
        <w:t>años).</w:t>
      </w:r>
    </w:p>
    <w:p w:rsidR="006F5D96" w:rsidRPr="00F77ABB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</w:p>
    <w:p w:rsidR="006F5D96" w:rsidRPr="00922078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  <w:r w:rsidRPr="00922078">
        <w:rPr>
          <w:rFonts w:ascii="Century Gothic" w:hAnsi="Century Gothic"/>
        </w:rPr>
        <w:t xml:space="preserve">3.- </w:t>
      </w:r>
      <w:r w:rsidRPr="00922078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Capacidad para el </w:t>
      </w:r>
      <w:r w:rsidRPr="00922078">
        <w:rPr>
          <w:rFonts w:ascii="Century Gothic" w:hAnsi="Century Gothic"/>
        </w:rPr>
        <w:t xml:space="preserve">dictado </w:t>
      </w:r>
      <w:r>
        <w:rPr>
          <w:rFonts w:ascii="Century Gothic" w:hAnsi="Century Gothic"/>
        </w:rPr>
        <w:t xml:space="preserve">de las </w:t>
      </w:r>
      <w:r w:rsidRPr="00922078">
        <w:rPr>
          <w:rFonts w:ascii="Century Gothic" w:hAnsi="Century Gothic"/>
        </w:rPr>
        <w:t>materias</w:t>
      </w:r>
      <w:r>
        <w:rPr>
          <w:rFonts w:ascii="Century Gothic" w:hAnsi="Century Gothic"/>
        </w:rPr>
        <w:t xml:space="preserve"> tales como: </w:t>
      </w:r>
      <w:r w:rsidRPr="00922078">
        <w:rPr>
          <w:rFonts w:ascii="Century Gothic" w:hAnsi="Century Gothic"/>
        </w:rPr>
        <w:t xml:space="preserve"> </w:t>
      </w:r>
    </w:p>
    <w:p w:rsidR="006F5D96" w:rsidRPr="00F77ABB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</w:p>
    <w:p w:rsidR="006F5D96" w:rsidRPr="00F77ABB" w:rsidRDefault="006F5D96" w:rsidP="00DF07EF">
      <w:pPr>
        <w:pStyle w:val="Prrafodelista1"/>
        <w:numPr>
          <w:ilvl w:val="3"/>
          <w:numId w:val="5"/>
        </w:numPr>
        <w:tabs>
          <w:tab w:val="left" w:pos="3119"/>
        </w:tabs>
        <w:ind w:left="3544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  <w:r>
        <w:rPr>
          <w:rFonts w:ascii="Century Gothic" w:hAnsi="Century Gothic"/>
          <w:sz w:val="22"/>
          <w:szCs w:val="22"/>
          <w:lang w:val="es-EC" w:eastAsia="en-US"/>
        </w:rPr>
        <w:t xml:space="preserve">Transferencia de Calor </w:t>
      </w:r>
    </w:p>
    <w:p w:rsidR="006F5D96" w:rsidRPr="00F77ABB" w:rsidRDefault="006F5D96" w:rsidP="00DF07EF">
      <w:pPr>
        <w:pStyle w:val="Prrafodelista1"/>
        <w:numPr>
          <w:ilvl w:val="3"/>
          <w:numId w:val="5"/>
        </w:numPr>
        <w:tabs>
          <w:tab w:val="left" w:pos="3119"/>
        </w:tabs>
        <w:ind w:left="3544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  <w:r>
        <w:rPr>
          <w:rFonts w:ascii="Century Gothic" w:hAnsi="Century Gothic"/>
          <w:sz w:val="22"/>
          <w:szCs w:val="22"/>
          <w:lang w:val="es-EC" w:eastAsia="en-US"/>
        </w:rPr>
        <w:t xml:space="preserve">Mecánica de Calor </w:t>
      </w:r>
    </w:p>
    <w:p w:rsidR="006F5D96" w:rsidRDefault="006F5D96" w:rsidP="00DF07EF">
      <w:pPr>
        <w:pStyle w:val="Prrafodelista1"/>
        <w:numPr>
          <w:ilvl w:val="3"/>
          <w:numId w:val="5"/>
        </w:numPr>
        <w:tabs>
          <w:tab w:val="left" w:pos="3119"/>
        </w:tabs>
        <w:ind w:left="3544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  <w:r>
        <w:rPr>
          <w:rFonts w:ascii="Century Gothic" w:hAnsi="Century Gothic"/>
          <w:sz w:val="22"/>
          <w:szCs w:val="22"/>
          <w:lang w:val="es-EC" w:eastAsia="en-US"/>
        </w:rPr>
        <w:t>Diseño de Sistemas Térmicos</w:t>
      </w:r>
    </w:p>
    <w:p w:rsidR="006F5D96" w:rsidRPr="00F77ABB" w:rsidRDefault="006F5D96" w:rsidP="00DF07EF">
      <w:pPr>
        <w:pStyle w:val="Prrafodelista1"/>
        <w:numPr>
          <w:ilvl w:val="3"/>
          <w:numId w:val="5"/>
        </w:numPr>
        <w:tabs>
          <w:tab w:val="left" w:pos="3119"/>
        </w:tabs>
        <w:ind w:left="3544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  <w:r>
        <w:rPr>
          <w:rFonts w:ascii="Century Gothic" w:hAnsi="Century Gothic"/>
          <w:sz w:val="22"/>
          <w:szCs w:val="22"/>
          <w:lang w:val="es-EC" w:eastAsia="en-US"/>
        </w:rPr>
        <w:t>Instrumentación y Métodos Experimentales</w:t>
      </w:r>
    </w:p>
    <w:p w:rsidR="006F5D96" w:rsidRPr="00F77ABB" w:rsidRDefault="006F5D96" w:rsidP="00DF07EF">
      <w:pPr>
        <w:pStyle w:val="Prrafodelista1"/>
        <w:tabs>
          <w:tab w:val="left" w:pos="3119"/>
        </w:tabs>
        <w:ind w:left="3544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</w:p>
    <w:p w:rsidR="006F5D96" w:rsidRPr="00F77ABB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4.-</w:t>
      </w:r>
      <w:r>
        <w:rPr>
          <w:rFonts w:ascii="Century Gothic" w:hAnsi="Century Gothic"/>
        </w:rPr>
        <w:tab/>
      </w:r>
      <w:r w:rsidRPr="00F77ABB">
        <w:rPr>
          <w:rFonts w:ascii="Century Gothic" w:hAnsi="Century Gothic"/>
        </w:rPr>
        <w:t xml:space="preserve">Certificados de capacitación y méritos académicos de los últimos </w:t>
      </w:r>
      <w:r>
        <w:rPr>
          <w:rFonts w:ascii="Century Gothic" w:hAnsi="Century Gothic"/>
        </w:rPr>
        <w:t>2</w:t>
      </w:r>
      <w:r w:rsidRPr="00F77ABB">
        <w:rPr>
          <w:rFonts w:ascii="Century Gothic" w:hAnsi="Century Gothic"/>
        </w:rPr>
        <w:t xml:space="preserve"> años relacionados con el área del concurso;</w:t>
      </w:r>
    </w:p>
    <w:p w:rsidR="006F5D96" w:rsidRPr="00F77ABB" w:rsidRDefault="006F5D96" w:rsidP="006A4D06">
      <w:pPr>
        <w:pStyle w:val="Sinespaciado1"/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</w:rPr>
      </w:pPr>
      <w:r w:rsidRPr="00F77ABB">
        <w:rPr>
          <w:rFonts w:ascii="Century Gothic" w:hAnsi="Century Gothic"/>
        </w:rPr>
        <w:t xml:space="preserve"> </w:t>
      </w:r>
    </w:p>
    <w:p w:rsidR="006F5D96" w:rsidRPr="00F77ABB" w:rsidRDefault="006F5D96" w:rsidP="006A4D06">
      <w:pPr>
        <w:tabs>
          <w:tab w:val="left" w:pos="3119"/>
          <w:tab w:val="left" w:pos="3600"/>
        </w:tabs>
        <w:ind w:left="3119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  <w:r w:rsidRPr="00F77ABB">
        <w:rPr>
          <w:rFonts w:ascii="Century Gothic" w:hAnsi="Century Gothic"/>
          <w:sz w:val="22"/>
          <w:szCs w:val="22"/>
          <w:lang w:val="es-EC" w:eastAsia="en-US"/>
        </w:rPr>
        <w:t>5.-</w:t>
      </w:r>
      <w:r w:rsidRPr="00F77ABB">
        <w:rPr>
          <w:rFonts w:ascii="Century Gothic" w:hAnsi="Century Gothic"/>
          <w:sz w:val="22"/>
          <w:szCs w:val="22"/>
          <w:lang w:val="es-EC" w:eastAsia="en-US"/>
        </w:rPr>
        <w:tab/>
        <w:t>Experiencia de haber p</w:t>
      </w:r>
      <w:r>
        <w:rPr>
          <w:rFonts w:ascii="Century Gothic" w:hAnsi="Century Gothic"/>
          <w:sz w:val="22"/>
          <w:szCs w:val="22"/>
          <w:lang w:val="es-EC" w:eastAsia="en-US"/>
        </w:rPr>
        <w:t>articipado en algún proyecto de investigación en el área</w:t>
      </w:r>
      <w:r w:rsidRPr="00F77ABB">
        <w:rPr>
          <w:rFonts w:ascii="Century Gothic" w:hAnsi="Century Gothic"/>
          <w:sz w:val="22"/>
          <w:szCs w:val="22"/>
          <w:lang w:val="es-EC" w:eastAsia="en-US"/>
        </w:rPr>
        <w:t>.</w:t>
      </w:r>
    </w:p>
    <w:p w:rsidR="006F5D96" w:rsidRPr="00F77ABB" w:rsidRDefault="006F5D96" w:rsidP="006A4D06">
      <w:pPr>
        <w:tabs>
          <w:tab w:val="left" w:pos="3119"/>
        </w:tabs>
        <w:ind w:left="3119" w:right="-496" w:hanging="425"/>
        <w:jc w:val="both"/>
        <w:rPr>
          <w:rFonts w:ascii="Century Gothic" w:hAnsi="Century Gothic"/>
          <w:sz w:val="22"/>
          <w:szCs w:val="22"/>
          <w:lang w:val="es-EC" w:eastAsia="en-US"/>
        </w:rPr>
      </w:pPr>
    </w:p>
    <w:p w:rsidR="006F5D96" w:rsidRDefault="006F5D96" w:rsidP="006A4D06">
      <w:pPr>
        <w:pStyle w:val="Sinespaciado1"/>
        <w:ind w:left="2694" w:right="-496"/>
        <w:jc w:val="both"/>
        <w:rPr>
          <w:rFonts w:ascii="Century Gothic" w:hAnsi="Century Gothic"/>
        </w:rPr>
      </w:pPr>
      <w:r w:rsidRPr="00F77ABB">
        <w:rPr>
          <w:rFonts w:ascii="Century Gothic" w:hAnsi="Century Gothic"/>
        </w:rPr>
        <w:lastRenderedPageBreak/>
        <w:t xml:space="preserve">Profesor delegado por el Consejo Directivo: </w:t>
      </w:r>
      <w:r>
        <w:rPr>
          <w:rFonts w:ascii="Century Gothic" w:hAnsi="Century Gothic"/>
        </w:rPr>
        <w:t>Ing. Jorge Duque Rivera, profesor de la FIMCP.</w:t>
      </w:r>
    </w:p>
    <w:p w:rsidR="006F5D96" w:rsidRDefault="006F5D96" w:rsidP="006A4D06">
      <w:pPr>
        <w:ind w:left="2694" w:hanging="1985"/>
      </w:pPr>
    </w:p>
    <w:p w:rsidR="0054442E" w:rsidRDefault="00C40361" w:rsidP="0054442E">
      <w:pPr>
        <w:ind w:left="2694" w:right="-427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295433">
        <w:rPr>
          <w:rFonts w:ascii="Century Gothic" w:hAnsi="Century Gothic" w:cs="Century Gothic"/>
          <w:b/>
          <w:bCs/>
          <w:sz w:val="22"/>
          <w:szCs w:val="22"/>
        </w:rPr>
        <w:t>100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="00EE65ED">
        <w:rPr>
          <w:rFonts w:ascii="Century Gothic" w:hAnsi="Century Gothic" w:cs="Century Gothic"/>
          <w:sz w:val="22"/>
          <w:szCs w:val="22"/>
        </w:rPr>
        <w:t xml:space="preserve">Recomendar al Consejo Politécnico </w:t>
      </w:r>
      <w:r>
        <w:rPr>
          <w:rFonts w:ascii="Century Gothic" w:hAnsi="Century Gothic" w:cs="Century Gothic"/>
          <w:sz w:val="22"/>
          <w:szCs w:val="22"/>
        </w:rPr>
        <w:t xml:space="preserve"> que se </w:t>
      </w:r>
      <w:r w:rsidR="00EE65ED">
        <w:rPr>
          <w:rFonts w:ascii="Century Gothic" w:hAnsi="Century Gothic" w:cs="Century Gothic"/>
          <w:sz w:val="22"/>
          <w:szCs w:val="22"/>
        </w:rPr>
        <w:t xml:space="preserve">autorice la firma de 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="00E718BA">
        <w:rPr>
          <w:rFonts w:ascii="Century Gothic" w:hAnsi="Century Gothic" w:cs="Century Gothic"/>
          <w:sz w:val="22"/>
          <w:szCs w:val="22"/>
        </w:rPr>
        <w:t xml:space="preserve">un </w:t>
      </w:r>
      <w:proofErr w:type="spellStart"/>
      <w:r w:rsidR="00E718BA">
        <w:rPr>
          <w:rFonts w:ascii="Century Gothic" w:hAnsi="Century Gothic" w:cs="Century Gothic"/>
          <w:sz w:val="22"/>
          <w:szCs w:val="22"/>
        </w:rPr>
        <w:t>adendum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modificatorio al contrato </w:t>
      </w:r>
      <w:r w:rsidR="0054442E">
        <w:rPr>
          <w:rFonts w:ascii="Century Gothic" w:hAnsi="Century Gothic" w:cs="Century Gothic"/>
          <w:sz w:val="22"/>
          <w:szCs w:val="22"/>
        </w:rPr>
        <w:t xml:space="preserve">de beca </w:t>
      </w:r>
      <w:r>
        <w:rPr>
          <w:rFonts w:ascii="Century Gothic" w:hAnsi="Century Gothic" w:cs="Century Gothic"/>
          <w:sz w:val="22"/>
          <w:szCs w:val="22"/>
        </w:rPr>
        <w:t>de los estudios doctorales</w:t>
      </w:r>
      <w:r w:rsidR="0054442E">
        <w:rPr>
          <w:rFonts w:ascii="Century Gothic" w:hAnsi="Century Gothic" w:cs="Century Gothic"/>
          <w:sz w:val="22"/>
          <w:szCs w:val="22"/>
        </w:rPr>
        <w:t xml:space="preserve">, en la 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="0054442E" w:rsidRPr="0054442E">
        <w:rPr>
          <w:rFonts w:ascii="Century Gothic" w:hAnsi="Century Gothic" w:cs="Century Gothic"/>
          <w:b/>
          <w:sz w:val="22"/>
          <w:szCs w:val="22"/>
        </w:rPr>
        <w:t xml:space="preserve">Universidad de </w:t>
      </w:r>
      <w:proofErr w:type="spellStart"/>
      <w:r w:rsidR="0054442E" w:rsidRPr="0054442E">
        <w:rPr>
          <w:rFonts w:ascii="Century Gothic" w:hAnsi="Century Gothic" w:cs="Century Gothic"/>
          <w:b/>
          <w:sz w:val="22"/>
          <w:szCs w:val="22"/>
        </w:rPr>
        <w:t>Waningen</w:t>
      </w:r>
      <w:proofErr w:type="spellEnd"/>
      <w:r w:rsidR="0054442E">
        <w:rPr>
          <w:rFonts w:ascii="Century Gothic" w:hAnsi="Century Gothic" w:cs="Century Gothic"/>
          <w:b/>
          <w:sz w:val="22"/>
          <w:szCs w:val="22"/>
        </w:rPr>
        <w:t>,</w:t>
      </w:r>
      <w:r w:rsidR="0054442E" w:rsidRPr="0054442E"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del </w:t>
      </w:r>
      <w:proofErr w:type="spellStart"/>
      <w:r>
        <w:rPr>
          <w:rFonts w:ascii="Century Gothic" w:hAnsi="Century Gothic" w:cs="Century Gothic"/>
          <w:sz w:val="22"/>
          <w:szCs w:val="22"/>
        </w:rPr>
        <w:t>M.Sc.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</w:t>
      </w:r>
      <w:r w:rsidR="0054442E">
        <w:rPr>
          <w:rFonts w:ascii="Century Gothic" w:hAnsi="Century Gothic" w:cs="Century Gothic"/>
          <w:sz w:val="22"/>
          <w:szCs w:val="22"/>
        </w:rPr>
        <w:t xml:space="preserve">Pablo </w:t>
      </w:r>
      <w:proofErr w:type="spellStart"/>
      <w:r>
        <w:rPr>
          <w:rFonts w:ascii="Century Gothic" w:hAnsi="Century Gothic" w:cs="Century Gothic"/>
          <w:sz w:val="22"/>
          <w:szCs w:val="22"/>
        </w:rPr>
        <w:t>Chong</w:t>
      </w:r>
      <w:proofErr w:type="spellEnd"/>
      <w:r w:rsidR="0054442E">
        <w:rPr>
          <w:rFonts w:ascii="Century Gothic" w:hAnsi="Century Gothic" w:cs="Century Gothic"/>
          <w:sz w:val="22"/>
          <w:szCs w:val="22"/>
        </w:rPr>
        <w:t xml:space="preserve"> Aguirre</w:t>
      </w:r>
      <w:r>
        <w:rPr>
          <w:rFonts w:ascii="Century Gothic" w:hAnsi="Century Gothic" w:cs="Century Gothic"/>
          <w:sz w:val="22"/>
          <w:szCs w:val="22"/>
        </w:rPr>
        <w:t>, investigador del</w:t>
      </w:r>
      <w:r w:rsidR="0096306F">
        <w:rPr>
          <w:rFonts w:ascii="Century Gothic" w:hAnsi="Century Gothic" w:cs="Century Gothic"/>
          <w:sz w:val="22"/>
          <w:szCs w:val="22"/>
        </w:rPr>
        <w:t xml:space="preserve"> Centro de Investigaciones Biotecnológicas del Ecuador </w:t>
      </w:r>
      <w:r>
        <w:rPr>
          <w:rFonts w:ascii="Century Gothic" w:hAnsi="Century Gothic" w:cs="Century Gothic"/>
          <w:sz w:val="22"/>
          <w:szCs w:val="22"/>
        </w:rPr>
        <w:t xml:space="preserve"> (CIBE), en e</w:t>
      </w:r>
      <w:r w:rsidR="0054442E">
        <w:rPr>
          <w:rFonts w:ascii="Century Gothic" w:hAnsi="Century Gothic" w:cs="Century Gothic"/>
          <w:sz w:val="22"/>
          <w:szCs w:val="22"/>
        </w:rPr>
        <w:t xml:space="preserve">l que se debe hacer constar el cuadro propuesto que modifica el calendario de </w:t>
      </w:r>
      <w:r w:rsidR="00EE65ED">
        <w:rPr>
          <w:rFonts w:ascii="Century Gothic" w:hAnsi="Century Gothic" w:cs="Century Gothic"/>
          <w:sz w:val="22"/>
          <w:szCs w:val="22"/>
        </w:rPr>
        <w:t>desembolsos de ESPOL</w:t>
      </w:r>
      <w:r w:rsidR="0054442E">
        <w:rPr>
          <w:rFonts w:ascii="Century Gothic" w:hAnsi="Century Gothic" w:cs="Century Gothic"/>
          <w:sz w:val="22"/>
          <w:szCs w:val="22"/>
        </w:rPr>
        <w:t>, con la finalidad d</w:t>
      </w:r>
      <w:r w:rsidR="00423467">
        <w:rPr>
          <w:rFonts w:ascii="Century Gothic" w:hAnsi="Century Gothic" w:cs="Century Gothic"/>
          <w:sz w:val="22"/>
          <w:szCs w:val="22"/>
        </w:rPr>
        <w:t xml:space="preserve">e acelerar sus investigaciones </w:t>
      </w:r>
      <w:r w:rsidR="0054442E">
        <w:rPr>
          <w:rFonts w:ascii="Century Gothic" w:hAnsi="Century Gothic" w:cs="Century Gothic"/>
          <w:sz w:val="22"/>
          <w:szCs w:val="22"/>
        </w:rPr>
        <w:t>para no perder la originalidad de las mismas; considerando en todo caso, que se modifica el calendario, sin implicar gastos presupuestarios adicionales a los montos establecidos para esta beca.</w:t>
      </w:r>
    </w:p>
    <w:p w:rsidR="0054442E" w:rsidRDefault="0054442E" w:rsidP="0054442E">
      <w:pPr>
        <w:ind w:left="2694" w:right="-427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E718BA" w:rsidRDefault="00C40361" w:rsidP="007C086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El detalle de la redistri</w:t>
      </w:r>
      <w:r w:rsidR="007C086C">
        <w:rPr>
          <w:rFonts w:ascii="Century Gothic" w:hAnsi="Century Gothic" w:cs="Century Gothic"/>
          <w:sz w:val="22"/>
          <w:szCs w:val="22"/>
        </w:rPr>
        <w:t xml:space="preserve">bución </w:t>
      </w:r>
      <w:r w:rsidR="00EE65ED">
        <w:rPr>
          <w:rFonts w:ascii="Century Gothic" w:hAnsi="Century Gothic" w:cs="Century Gothic"/>
          <w:sz w:val="22"/>
          <w:szCs w:val="22"/>
        </w:rPr>
        <w:t xml:space="preserve">que se aprueba </w:t>
      </w:r>
      <w:r w:rsidR="007C086C">
        <w:rPr>
          <w:rFonts w:ascii="Century Gothic" w:hAnsi="Century Gothic" w:cs="Century Gothic"/>
          <w:sz w:val="22"/>
          <w:szCs w:val="22"/>
        </w:rPr>
        <w:t xml:space="preserve"> es el siguiente</w:t>
      </w:r>
    </w:p>
    <w:p w:rsidR="00EE65ED" w:rsidRDefault="00EE65ED" w:rsidP="007C086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7F5D6E" w:rsidRDefault="007F5D6E" w:rsidP="007C086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tbl>
      <w:tblPr>
        <w:tblStyle w:val="Listamedia1-nfasis5"/>
        <w:tblpPr w:leftFromText="141" w:rightFromText="141" w:vertAnchor="text" w:horzAnchor="page" w:tblpX="3598" w:tblpY="3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00"/>
        <w:gridCol w:w="1134"/>
        <w:gridCol w:w="1134"/>
        <w:gridCol w:w="1134"/>
        <w:gridCol w:w="1134"/>
      </w:tblGrid>
      <w:tr w:rsidR="00817504" w:rsidRPr="00E86C69" w:rsidTr="00817504">
        <w:trPr>
          <w:cnfStyle w:val="100000000000"/>
          <w:trHeight w:val="315"/>
        </w:trPr>
        <w:tc>
          <w:tcPr>
            <w:cnfStyle w:val="001000000000"/>
            <w:tcW w:w="1418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17504" w:rsidRPr="00E86C69" w:rsidRDefault="00817504" w:rsidP="00817504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sz w:val="14"/>
                <w:szCs w:val="16"/>
              </w:rPr>
              <w:t>RUBROS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817504" w:rsidRPr="00234AB1" w:rsidRDefault="00817504" w:rsidP="00817504">
            <w:pPr>
              <w:jc w:val="center"/>
              <w:cnfStyle w:val="100000000000"/>
              <w:rPr>
                <w:rFonts w:ascii="Arial" w:hAnsi="Arial" w:cs="Arial"/>
                <w:color w:val="000000"/>
                <w:szCs w:val="16"/>
                <w:lang w:eastAsia="es-EC"/>
              </w:rPr>
            </w:pPr>
            <w:r w:rsidRPr="00234AB1">
              <w:rPr>
                <w:rFonts w:ascii="Arial" w:hAnsi="Arial" w:cs="Arial"/>
                <w:color w:val="000000"/>
                <w:szCs w:val="16"/>
                <w:lang w:eastAsia="es-EC"/>
              </w:rPr>
              <w:t>Cronograma de desembolsos ESPOL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1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MONTO TOTAL</w:t>
            </w:r>
          </w:p>
        </w:tc>
      </w:tr>
      <w:tr w:rsidR="00817504" w:rsidRPr="00E86C69" w:rsidTr="00817504">
        <w:trPr>
          <w:cnfStyle w:val="000000100000"/>
          <w:trHeight w:val="422"/>
        </w:trPr>
        <w:tc>
          <w:tcPr>
            <w:cnfStyle w:val="001000000000"/>
            <w:tcW w:w="1418" w:type="dxa"/>
            <w:vMerge/>
          </w:tcPr>
          <w:p w:rsidR="00817504" w:rsidRPr="00E86C69" w:rsidRDefault="00817504" w:rsidP="00817504">
            <w:pPr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Marzo 2011*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Enero 2012*</w:t>
            </w:r>
          </w:p>
        </w:tc>
        <w:tc>
          <w:tcPr>
            <w:tcW w:w="1134" w:type="dxa"/>
            <w:vAlign w:val="center"/>
            <w:hideMark/>
          </w:tcPr>
          <w:p w:rsid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2013</w:t>
            </w:r>
          </w:p>
          <w:p w:rsid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1 Enero - 30 Junio</w:t>
            </w:r>
          </w:p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(Valores por asignar)</w:t>
            </w:r>
          </w:p>
        </w:tc>
        <w:tc>
          <w:tcPr>
            <w:tcW w:w="1134" w:type="dxa"/>
            <w:vAlign w:val="center"/>
            <w:hideMark/>
          </w:tcPr>
          <w:p w:rsid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2013</w:t>
            </w:r>
          </w:p>
          <w:p w:rsid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1 Julio – 31 Diciembre</w:t>
            </w:r>
          </w:p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(Valores por asignar)</w:t>
            </w:r>
          </w:p>
        </w:tc>
        <w:tc>
          <w:tcPr>
            <w:tcW w:w="1134" w:type="dxa"/>
            <w:vMerge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</w:tc>
      </w:tr>
      <w:tr w:rsidR="00817504" w:rsidRPr="00E86C69" w:rsidTr="00817504">
        <w:trPr>
          <w:trHeight w:val="300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Manutención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$   6.809,56*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 4.539,35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  6.809,56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$18.158,47</w:t>
            </w:r>
          </w:p>
        </w:tc>
      </w:tr>
      <w:tr w:rsidR="00817504" w:rsidRPr="00E86C69" w:rsidTr="00817504">
        <w:trPr>
          <w:cnfStyle w:val="000000100000"/>
          <w:trHeight w:val="306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Matrícula y colegiatura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$   13.514,00*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$ 17.990,00*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$ 13.514,00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17.805,78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$ 62.823,78</w:t>
            </w:r>
          </w:p>
        </w:tc>
      </w:tr>
      <w:tr w:rsidR="00817504" w:rsidRPr="00E86C69" w:rsidTr="00817504">
        <w:trPr>
          <w:trHeight w:val="300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Pasajes de ida y vuelta*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817504" w:rsidRPr="00E86C69" w:rsidTr="00817504">
        <w:trPr>
          <w:cnfStyle w:val="000000100000"/>
          <w:trHeight w:val="244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Costos de Investigación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$   39.000,00*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$ 39.000,00</w:t>
            </w:r>
          </w:p>
        </w:tc>
      </w:tr>
      <w:tr w:rsidR="00817504" w:rsidRPr="00E86C69" w:rsidTr="00817504">
        <w:trPr>
          <w:trHeight w:val="300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Textos*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817504" w:rsidRPr="00E86C69" w:rsidRDefault="00817504" w:rsidP="00817504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817504" w:rsidRPr="00E86C69" w:rsidTr="00817504">
        <w:trPr>
          <w:cnfStyle w:val="000000100000"/>
          <w:trHeight w:val="300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Edición de Tesis*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817504" w:rsidRPr="00E86C69" w:rsidRDefault="00817504" w:rsidP="00817504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817504" w:rsidRPr="00E86C69" w:rsidTr="00817504">
        <w:trPr>
          <w:trHeight w:val="315"/>
        </w:trPr>
        <w:tc>
          <w:tcPr>
            <w:cnfStyle w:val="001000000000"/>
            <w:tcW w:w="1418" w:type="dxa"/>
          </w:tcPr>
          <w:p w:rsidR="00817504" w:rsidRPr="00E86C69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Seguro de salud y vida*</w:t>
            </w:r>
          </w:p>
        </w:tc>
        <w:tc>
          <w:tcPr>
            <w:tcW w:w="1100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A73660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</w:pPr>
            <w:r w:rsidRPr="00A73660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17504" w:rsidRPr="00E86C69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817504" w:rsidRPr="00E86C69" w:rsidRDefault="00817504" w:rsidP="00817504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817504" w:rsidRPr="00E86C69" w:rsidTr="00817504">
        <w:trPr>
          <w:cnfStyle w:val="000000100000"/>
          <w:trHeight w:val="274"/>
        </w:trPr>
        <w:tc>
          <w:tcPr>
            <w:cnfStyle w:val="001000000000"/>
            <w:tcW w:w="1418" w:type="dxa"/>
            <w:tcBorders>
              <w:bottom w:val="single" w:sz="4" w:space="0" w:color="auto"/>
            </w:tcBorders>
            <w:vAlign w:val="center"/>
          </w:tcPr>
          <w:p w:rsidR="00817504" w:rsidRPr="00817504" w:rsidRDefault="00817504" w:rsidP="00817504">
            <w:pPr>
              <w:rPr>
                <w:rFonts w:ascii="Arial" w:eastAsia="Calibri" w:hAnsi="Arial" w:cs="Arial"/>
                <w:b w:val="0"/>
                <w:sz w:val="14"/>
                <w:szCs w:val="14"/>
              </w:rPr>
            </w:pPr>
            <w:r w:rsidRPr="00817504">
              <w:rPr>
                <w:rFonts w:ascii="Arial" w:eastAsia="Calibri" w:hAnsi="Arial" w:cs="Arial"/>
                <w:b w:val="0"/>
                <w:sz w:val="14"/>
                <w:szCs w:val="14"/>
              </w:rPr>
              <w:t>TOTALES</w:t>
            </w:r>
          </w:p>
        </w:tc>
        <w:tc>
          <w:tcPr>
            <w:tcW w:w="1100" w:type="dxa"/>
            <w:vAlign w:val="center"/>
            <w:hideMark/>
          </w:tcPr>
          <w:p w:rsidR="00817504" w:rsidRP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Cs/>
                <w:color w:val="FF0000"/>
                <w:sz w:val="14"/>
                <w:szCs w:val="14"/>
                <w:lang w:eastAsia="es-EC"/>
              </w:rPr>
            </w:pPr>
            <w:r w:rsidRPr="00817504">
              <w:rPr>
                <w:rFonts w:ascii="Arial" w:hAnsi="Arial" w:cs="Arial"/>
                <w:bCs/>
                <w:color w:val="FF0000"/>
                <w:sz w:val="14"/>
                <w:szCs w:val="14"/>
                <w:lang w:eastAsia="es-EC"/>
              </w:rPr>
              <w:t>$   52.514,00*</w:t>
            </w:r>
          </w:p>
        </w:tc>
        <w:tc>
          <w:tcPr>
            <w:tcW w:w="1134" w:type="dxa"/>
            <w:vAlign w:val="center"/>
            <w:hideMark/>
          </w:tcPr>
          <w:p w:rsidR="00817504" w:rsidRP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Cs/>
                <w:color w:val="FF0000"/>
                <w:sz w:val="14"/>
                <w:szCs w:val="14"/>
                <w:lang w:eastAsia="es-EC"/>
              </w:rPr>
            </w:pPr>
            <w:r w:rsidRPr="00817504">
              <w:rPr>
                <w:rFonts w:ascii="Arial" w:hAnsi="Arial" w:cs="Arial"/>
                <w:bCs/>
                <w:color w:val="FF0000"/>
                <w:sz w:val="14"/>
                <w:szCs w:val="14"/>
                <w:lang w:eastAsia="es-EC"/>
              </w:rPr>
              <w:t>$ 24.799,56*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817504" w:rsidRP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Cs/>
                <w:sz w:val="14"/>
                <w:szCs w:val="14"/>
                <w:lang w:eastAsia="es-EC"/>
              </w:rPr>
            </w:pPr>
            <w:r w:rsidRPr="00817504">
              <w:rPr>
                <w:rFonts w:ascii="Arial" w:hAnsi="Arial" w:cs="Arial"/>
                <w:bCs/>
                <w:sz w:val="14"/>
                <w:szCs w:val="14"/>
                <w:lang w:eastAsia="es-EC"/>
              </w:rPr>
              <w:t>$ 18.053,35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817504" w:rsidRPr="00817504" w:rsidRDefault="00817504" w:rsidP="00817504">
            <w:pPr>
              <w:jc w:val="center"/>
              <w:cnfStyle w:val="000000100000"/>
              <w:rPr>
                <w:rFonts w:ascii="Arial" w:hAnsi="Arial" w:cs="Arial"/>
                <w:bCs/>
                <w:sz w:val="14"/>
                <w:szCs w:val="14"/>
                <w:lang w:eastAsia="es-EC"/>
              </w:rPr>
            </w:pPr>
            <w:r w:rsidRPr="00817504">
              <w:rPr>
                <w:rFonts w:ascii="Arial" w:hAnsi="Arial" w:cs="Arial"/>
                <w:bCs/>
                <w:sz w:val="14"/>
                <w:szCs w:val="14"/>
                <w:lang w:eastAsia="es-EC"/>
              </w:rPr>
              <w:t>$  24.615,34</w:t>
            </w:r>
          </w:p>
        </w:tc>
        <w:tc>
          <w:tcPr>
            <w:tcW w:w="1134" w:type="dxa"/>
            <w:vAlign w:val="center"/>
            <w:hideMark/>
          </w:tcPr>
          <w:p w:rsidR="00817504" w:rsidRPr="00817504" w:rsidRDefault="00817504" w:rsidP="00817504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sz w:val="14"/>
                <w:szCs w:val="14"/>
              </w:rPr>
            </w:pPr>
            <w:r w:rsidRPr="00817504">
              <w:rPr>
                <w:rFonts w:ascii="Arial" w:eastAsia="Calibri" w:hAnsi="Arial" w:cs="Arial"/>
                <w:sz w:val="14"/>
                <w:szCs w:val="14"/>
              </w:rPr>
              <w:t>$ 119.982,25**</w:t>
            </w:r>
          </w:p>
        </w:tc>
      </w:tr>
      <w:tr w:rsidR="00817504" w:rsidRPr="00817504" w:rsidTr="00817504">
        <w:trPr>
          <w:trHeight w:val="274"/>
        </w:trPr>
        <w:tc>
          <w:tcPr>
            <w:cnfStyle w:val="001000000000"/>
            <w:tcW w:w="1418" w:type="dxa"/>
            <w:shd w:val="clear" w:color="auto" w:fill="B8CCE4" w:themeFill="accent1" w:themeFillTint="66"/>
          </w:tcPr>
          <w:p w:rsidR="00817504" w:rsidRPr="00817504" w:rsidRDefault="00817504" w:rsidP="00817504">
            <w:pPr>
              <w:rPr>
                <w:rFonts w:ascii="Arial" w:eastAsia="Calibri" w:hAnsi="Arial" w:cs="Arial"/>
                <w:color w:val="auto"/>
                <w:sz w:val="14"/>
                <w:szCs w:val="14"/>
              </w:rPr>
            </w:pPr>
            <w:r w:rsidRPr="00817504">
              <w:rPr>
                <w:rFonts w:ascii="Arial" w:eastAsia="Calibri" w:hAnsi="Arial" w:cs="Arial"/>
                <w:color w:val="auto"/>
                <w:sz w:val="14"/>
                <w:szCs w:val="14"/>
              </w:rPr>
              <w:t xml:space="preserve">TOTAL DESEMBOLSO ESPOL EN AÑO 2013 </w:t>
            </w:r>
          </w:p>
        </w:tc>
        <w:tc>
          <w:tcPr>
            <w:tcW w:w="1100" w:type="dxa"/>
            <w:hideMark/>
          </w:tcPr>
          <w:p w:rsidR="00817504" w:rsidRPr="00817504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s-EC"/>
              </w:rPr>
            </w:pPr>
          </w:p>
        </w:tc>
        <w:tc>
          <w:tcPr>
            <w:tcW w:w="1134" w:type="dxa"/>
            <w:hideMark/>
          </w:tcPr>
          <w:p w:rsidR="00817504" w:rsidRPr="00817504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s-EC"/>
              </w:rPr>
            </w:pPr>
          </w:p>
        </w:tc>
        <w:tc>
          <w:tcPr>
            <w:tcW w:w="2268" w:type="dxa"/>
            <w:gridSpan w:val="2"/>
            <w:shd w:val="clear" w:color="auto" w:fill="B8CCE4" w:themeFill="accent1" w:themeFillTint="66"/>
            <w:vAlign w:val="center"/>
            <w:hideMark/>
          </w:tcPr>
          <w:p w:rsidR="00817504" w:rsidRPr="00817504" w:rsidRDefault="00817504" w:rsidP="0081750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s-EC"/>
              </w:rPr>
            </w:pPr>
            <w:r w:rsidRPr="00817504"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s-EC"/>
              </w:rPr>
              <w:t>$ 42.668,69</w:t>
            </w:r>
          </w:p>
        </w:tc>
        <w:tc>
          <w:tcPr>
            <w:tcW w:w="1134" w:type="dxa"/>
            <w:hideMark/>
          </w:tcPr>
          <w:p w:rsidR="00817504" w:rsidRPr="00817504" w:rsidRDefault="00817504" w:rsidP="00817504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</w:tbl>
    <w:p w:rsidR="00E718BA" w:rsidRPr="00817504" w:rsidRDefault="00E718BA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E718BA" w:rsidRPr="00817504" w:rsidRDefault="00E718BA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E718BA" w:rsidRPr="00817504" w:rsidRDefault="00E718BA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Pr="00817504" w:rsidRDefault="00423467" w:rsidP="00C40361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423467" w:rsidRDefault="00423467" w:rsidP="00C40361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E718BA" w:rsidRPr="003267F2" w:rsidRDefault="00E718BA" w:rsidP="00C40361">
      <w:pPr>
        <w:ind w:left="2694" w:right="-427"/>
        <w:jc w:val="both"/>
        <w:rPr>
          <w:rFonts w:ascii="Century Gothic" w:hAnsi="Century Gothic" w:cs="Century Gothic"/>
          <w:b/>
          <w:color w:val="FF0000"/>
          <w:sz w:val="22"/>
          <w:szCs w:val="22"/>
        </w:rPr>
      </w:pPr>
    </w:p>
    <w:p w:rsidR="006D292C" w:rsidRPr="003267F2" w:rsidRDefault="003267F2" w:rsidP="003267F2">
      <w:pPr>
        <w:pStyle w:val="Prrafodelista"/>
        <w:ind w:left="2484" w:right="-427"/>
        <w:jc w:val="both"/>
        <w:rPr>
          <w:rFonts w:ascii="Century Gothic" w:hAnsi="Century Gothic" w:cs="Century Gothic"/>
          <w:b/>
          <w:color w:val="FF0000"/>
          <w:sz w:val="18"/>
          <w:szCs w:val="18"/>
        </w:rPr>
      </w:pPr>
      <w:r w:rsidRPr="003267F2">
        <w:rPr>
          <w:rFonts w:ascii="Century Gothic" w:hAnsi="Century Gothic" w:cs="Century Gothic"/>
          <w:b/>
          <w:color w:val="FF0000"/>
          <w:sz w:val="18"/>
          <w:szCs w:val="18"/>
        </w:rPr>
        <w:t>* Valores ya entregados</w:t>
      </w:r>
    </w:p>
    <w:p w:rsidR="003267F2" w:rsidRPr="003267F2" w:rsidRDefault="003267F2" w:rsidP="003267F2">
      <w:pPr>
        <w:pStyle w:val="Prrafodelista"/>
        <w:ind w:left="2484" w:right="-427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 **</w:t>
      </w:r>
      <w:r w:rsidRPr="003267F2">
        <w:rPr>
          <w:rFonts w:ascii="Century Gothic" w:hAnsi="Century Gothic" w:cs="Century Gothic"/>
          <w:sz w:val="18"/>
          <w:szCs w:val="18"/>
        </w:rPr>
        <w:t>Nótese que el valor total pre aprobado no cambia</w:t>
      </w:r>
    </w:p>
    <w:p w:rsidR="006D292C" w:rsidRPr="003267F2" w:rsidRDefault="006D292C" w:rsidP="003267F2">
      <w:pPr>
        <w:ind w:left="2484" w:right="-427"/>
        <w:jc w:val="both"/>
        <w:rPr>
          <w:rFonts w:ascii="Century Gothic" w:hAnsi="Century Gothic" w:cs="Century Gothic"/>
          <w:sz w:val="18"/>
          <w:szCs w:val="18"/>
        </w:rPr>
      </w:pPr>
    </w:p>
    <w:p w:rsidR="006D292C" w:rsidRDefault="006D292C" w:rsidP="003267F2">
      <w:pPr>
        <w:ind w:left="248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EE65ED" w:rsidRDefault="00EE65ED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1D2CB7">
      <w:pPr>
        <w:ind w:left="2410" w:right="-427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 xml:space="preserve">Cuadro anterior aprobado </w:t>
      </w:r>
      <w:r w:rsidR="001D2CB7">
        <w:rPr>
          <w:rFonts w:ascii="Century Gothic" w:hAnsi="Century Gothic" w:cs="Century Gothic"/>
          <w:sz w:val="22"/>
          <w:szCs w:val="22"/>
        </w:rPr>
        <w:t>por el Consejo Politécnico el 20 de abril de 2011</w:t>
      </w: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tbl>
      <w:tblPr>
        <w:tblStyle w:val="Listamedia1-nfasis5"/>
        <w:tblpPr w:leftFromText="141" w:rightFromText="141" w:vertAnchor="text" w:horzAnchor="page" w:tblpX="4423" w:tblpY="15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08"/>
        <w:gridCol w:w="992"/>
        <w:gridCol w:w="993"/>
        <w:gridCol w:w="1134"/>
        <w:gridCol w:w="1134"/>
      </w:tblGrid>
      <w:tr w:rsidR="00A72A32" w:rsidRPr="00E86C69" w:rsidTr="00A72A32">
        <w:trPr>
          <w:cnfStyle w:val="100000000000"/>
          <w:trHeight w:val="315"/>
        </w:trPr>
        <w:tc>
          <w:tcPr>
            <w:cnfStyle w:val="001000000000"/>
            <w:tcW w:w="1310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A72A32" w:rsidRPr="00E86C69" w:rsidRDefault="00A72A32" w:rsidP="00A72A32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sz w:val="14"/>
                <w:szCs w:val="16"/>
              </w:rPr>
              <w:t>RUBROS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A72A32" w:rsidRPr="00234AB1" w:rsidRDefault="00A72A32" w:rsidP="00A72A32">
            <w:pPr>
              <w:jc w:val="center"/>
              <w:cnfStyle w:val="100000000000"/>
              <w:rPr>
                <w:rFonts w:ascii="Arial" w:hAnsi="Arial" w:cs="Arial"/>
                <w:color w:val="000000"/>
                <w:szCs w:val="16"/>
                <w:lang w:eastAsia="es-EC"/>
              </w:rPr>
            </w:pPr>
            <w:r w:rsidRPr="00234AB1">
              <w:rPr>
                <w:rFonts w:ascii="Arial" w:hAnsi="Arial" w:cs="Arial"/>
                <w:color w:val="000000"/>
                <w:szCs w:val="16"/>
                <w:lang w:eastAsia="es-EC"/>
              </w:rPr>
              <w:t>Cronograma de desembolsos ESPOL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1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MONTO TOTAL</w:t>
            </w:r>
          </w:p>
        </w:tc>
      </w:tr>
      <w:tr w:rsidR="00A72A32" w:rsidRPr="00E86C69" w:rsidTr="00A72A32">
        <w:trPr>
          <w:cnfStyle w:val="000000100000"/>
          <w:trHeight w:val="422"/>
        </w:trPr>
        <w:tc>
          <w:tcPr>
            <w:cnfStyle w:val="001000000000"/>
            <w:tcW w:w="1310" w:type="dxa"/>
            <w:vMerge/>
          </w:tcPr>
          <w:p w:rsidR="00A72A32" w:rsidRPr="00E86C69" w:rsidRDefault="00A72A32" w:rsidP="00A72A32">
            <w:pPr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208" w:type="dxa"/>
            <w:vAlign w:val="center"/>
            <w:hideMark/>
          </w:tcPr>
          <w:p w:rsidR="00A72A32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 xml:space="preserve">Marzo </w:t>
            </w:r>
          </w:p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2011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Enero 2012</w:t>
            </w:r>
          </w:p>
        </w:tc>
        <w:tc>
          <w:tcPr>
            <w:tcW w:w="993" w:type="dxa"/>
            <w:vAlign w:val="center"/>
            <w:hideMark/>
          </w:tcPr>
          <w:p w:rsidR="00A72A32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  <w:p w:rsidR="00A72A32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 xml:space="preserve"> Enero 2013</w:t>
            </w:r>
          </w:p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</w:tc>
        <w:tc>
          <w:tcPr>
            <w:tcW w:w="1134" w:type="dxa"/>
            <w:vAlign w:val="center"/>
            <w:hideMark/>
          </w:tcPr>
          <w:p w:rsidR="00A72A32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Enero 2014</w:t>
            </w:r>
          </w:p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</w:p>
        </w:tc>
      </w:tr>
      <w:tr w:rsidR="00A72A32" w:rsidRPr="00E86C69" w:rsidTr="00A72A32">
        <w:trPr>
          <w:trHeight w:val="300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Manutención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$   6.809,56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 4.539,35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  6.809,56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$18.158,47</w:t>
            </w:r>
          </w:p>
        </w:tc>
      </w:tr>
      <w:tr w:rsidR="00A72A32" w:rsidRPr="00E86C69" w:rsidTr="00A72A32">
        <w:trPr>
          <w:cnfStyle w:val="000000100000"/>
          <w:trHeight w:val="306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Matrícula y colegiatura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$   13.514,00*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$ 17.990,00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$ 13.514,00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$  17.805,78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$ 62.823,78</w:t>
            </w:r>
          </w:p>
        </w:tc>
      </w:tr>
      <w:tr w:rsidR="00A72A32" w:rsidRPr="00E86C69" w:rsidTr="00A72A32">
        <w:trPr>
          <w:trHeight w:val="300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Pasajes de ida y vuelta*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A72A32" w:rsidRPr="00E86C69" w:rsidTr="00A72A32">
        <w:trPr>
          <w:cnfStyle w:val="000000100000"/>
          <w:trHeight w:val="244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Costos de Investigación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$   39.000,00*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$ 39.000,00</w:t>
            </w:r>
          </w:p>
        </w:tc>
      </w:tr>
      <w:tr w:rsidR="00A72A32" w:rsidRPr="00E86C69" w:rsidTr="00A72A32">
        <w:trPr>
          <w:trHeight w:val="300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Textos*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A72A32" w:rsidRPr="00E86C69" w:rsidRDefault="00A72A32" w:rsidP="00A72A32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A72A32" w:rsidRPr="00E86C69" w:rsidTr="00A72A32">
        <w:trPr>
          <w:cnfStyle w:val="000000100000"/>
          <w:trHeight w:val="300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Edición de Tesis*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A72A32" w:rsidRPr="00E86C69" w:rsidRDefault="00A72A32" w:rsidP="00A72A32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A72A32" w:rsidRPr="00E86C69" w:rsidTr="00A72A32">
        <w:trPr>
          <w:trHeight w:val="315"/>
        </w:trPr>
        <w:tc>
          <w:tcPr>
            <w:cnfStyle w:val="001000000000"/>
            <w:tcW w:w="1310" w:type="dxa"/>
          </w:tcPr>
          <w:p w:rsidR="00A72A32" w:rsidRPr="00E86C69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 w:val="0"/>
                <w:sz w:val="14"/>
                <w:szCs w:val="16"/>
              </w:rPr>
              <w:t>Seguro de salud y vida*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</w:pPr>
            <w:r w:rsidRPr="001D2CB7">
              <w:rPr>
                <w:rFonts w:ascii="Arial" w:hAnsi="Arial" w:cs="Arial"/>
                <w:b/>
                <w:bCs/>
                <w:color w:val="auto"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72A32" w:rsidRPr="00E86C69" w:rsidRDefault="00A72A32" w:rsidP="00A72A3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</w:pPr>
            <w:r w:rsidRPr="00E86C69">
              <w:rPr>
                <w:rFonts w:ascii="Arial" w:hAnsi="Arial" w:cs="Arial"/>
                <w:b/>
                <w:bCs/>
                <w:sz w:val="14"/>
                <w:szCs w:val="16"/>
                <w:lang w:eastAsia="es-EC"/>
              </w:rPr>
              <w:t>-</w:t>
            </w:r>
          </w:p>
        </w:tc>
        <w:tc>
          <w:tcPr>
            <w:tcW w:w="1134" w:type="dxa"/>
            <w:vAlign w:val="center"/>
          </w:tcPr>
          <w:p w:rsidR="00A72A32" w:rsidRPr="00E86C69" w:rsidRDefault="00A72A32" w:rsidP="00A72A32">
            <w:pPr>
              <w:ind w:left="-41"/>
              <w:jc w:val="center"/>
              <w:cnfStyle w:val="000000000000"/>
              <w:rPr>
                <w:rFonts w:ascii="Arial" w:eastAsia="Calibri" w:hAnsi="Arial" w:cs="Arial"/>
                <w:b/>
                <w:sz w:val="14"/>
                <w:szCs w:val="16"/>
              </w:rPr>
            </w:pPr>
            <w:r w:rsidRPr="00E86C69">
              <w:rPr>
                <w:rFonts w:ascii="Arial" w:eastAsia="Calibri" w:hAnsi="Arial" w:cs="Arial"/>
                <w:b/>
                <w:sz w:val="14"/>
                <w:szCs w:val="16"/>
              </w:rPr>
              <w:t>-</w:t>
            </w:r>
          </w:p>
        </w:tc>
      </w:tr>
      <w:tr w:rsidR="00A72A32" w:rsidRPr="00E86C69" w:rsidTr="00A72A32">
        <w:trPr>
          <w:cnfStyle w:val="000000100000"/>
          <w:trHeight w:val="558"/>
        </w:trPr>
        <w:tc>
          <w:tcPr>
            <w:cnfStyle w:val="001000000000"/>
            <w:tcW w:w="1310" w:type="dxa"/>
            <w:vAlign w:val="center"/>
          </w:tcPr>
          <w:p w:rsidR="00A72A32" w:rsidRPr="001D2CB7" w:rsidRDefault="00A72A32" w:rsidP="00A72A32">
            <w:pPr>
              <w:rPr>
                <w:rFonts w:ascii="Arial" w:eastAsia="Calibri" w:hAnsi="Arial" w:cs="Arial"/>
                <w:b w:val="0"/>
                <w:sz w:val="14"/>
                <w:szCs w:val="14"/>
              </w:rPr>
            </w:pPr>
            <w:r w:rsidRPr="001D2CB7">
              <w:rPr>
                <w:rFonts w:ascii="Arial" w:eastAsia="Calibri" w:hAnsi="Arial" w:cs="Arial"/>
                <w:b w:val="0"/>
                <w:sz w:val="14"/>
                <w:szCs w:val="14"/>
              </w:rPr>
              <w:t>TOTALES</w:t>
            </w:r>
          </w:p>
        </w:tc>
        <w:tc>
          <w:tcPr>
            <w:tcW w:w="1208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Cs/>
                <w:color w:val="auto"/>
                <w:sz w:val="14"/>
                <w:szCs w:val="14"/>
                <w:lang w:eastAsia="es-EC"/>
              </w:rPr>
            </w:pPr>
            <w:r w:rsidRPr="001D2CB7">
              <w:rPr>
                <w:rFonts w:ascii="Arial" w:hAnsi="Arial" w:cs="Arial"/>
                <w:bCs/>
                <w:color w:val="auto"/>
                <w:sz w:val="14"/>
                <w:szCs w:val="14"/>
                <w:lang w:eastAsia="es-EC"/>
              </w:rPr>
              <w:t>$   52.514,00</w:t>
            </w:r>
          </w:p>
        </w:tc>
        <w:tc>
          <w:tcPr>
            <w:tcW w:w="992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Cs/>
                <w:color w:val="auto"/>
                <w:sz w:val="14"/>
                <w:szCs w:val="14"/>
                <w:lang w:eastAsia="es-EC"/>
              </w:rPr>
            </w:pPr>
            <w:r w:rsidRPr="001D2CB7">
              <w:rPr>
                <w:rFonts w:ascii="Arial" w:hAnsi="Arial" w:cs="Arial"/>
                <w:bCs/>
                <w:color w:val="auto"/>
                <w:sz w:val="14"/>
                <w:szCs w:val="14"/>
                <w:lang w:eastAsia="es-EC"/>
              </w:rPr>
              <w:t>$ 24.799,56</w:t>
            </w:r>
          </w:p>
        </w:tc>
        <w:tc>
          <w:tcPr>
            <w:tcW w:w="993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Cs/>
                <w:sz w:val="14"/>
                <w:szCs w:val="14"/>
                <w:lang w:eastAsia="es-EC"/>
              </w:rPr>
            </w:pPr>
            <w:r w:rsidRPr="001D2CB7">
              <w:rPr>
                <w:rFonts w:ascii="Arial" w:hAnsi="Arial" w:cs="Arial"/>
                <w:bCs/>
                <w:sz w:val="14"/>
                <w:szCs w:val="14"/>
                <w:lang w:eastAsia="es-EC"/>
              </w:rPr>
              <w:t>$ 18.053,35</w:t>
            </w:r>
          </w:p>
        </w:tc>
        <w:tc>
          <w:tcPr>
            <w:tcW w:w="1134" w:type="dxa"/>
            <w:vAlign w:val="center"/>
            <w:hideMark/>
          </w:tcPr>
          <w:p w:rsidR="00A72A32" w:rsidRPr="001D2CB7" w:rsidRDefault="00A72A32" w:rsidP="00A72A32">
            <w:pPr>
              <w:jc w:val="center"/>
              <w:cnfStyle w:val="000000100000"/>
              <w:rPr>
                <w:rFonts w:ascii="Arial" w:hAnsi="Arial" w:cs="Arial"/>
                <w:bCs/>
                <w:sz w:val="14"/>
                <w:szCs w:val="14"/>
                <w:lang w:eastAsia="es-EC"/>
              </w:rPr>
            </w:pPr>
            <w:r w:rsidRPr="001D2CB7">
              <w:rPr>
                <w:rFonts w:ascii="Arial" w:hAnsi="Arial" w:cs="Arial"/>
                <w:bCs/>
                <w:sz w:val="14"/>
                <w:szCs w:val="14"/>
                <w:lang w:eastAsia="es-EC"/>
              </w:rPr>
              <w:t>$  24.615,34</w:t>
            </w:r>
          </w:p>
        </w:tc>
        <w:tc>
          <w:tcPr>
            <w:tcW w:w="1134" w:type="dxa"/>
            <w:vAlign w:val="center"/>
            <w:hideMark/>
          </w:tcPr>
          <w:p w:rsidR="00A72A32" w:rsidRPr="001D2CB7" w:rsidRDefault="00A72A32" w:rsidP="00A72A32">
            <w:pPr>
              <w:ind w:left="-41"/>
              <w:jc w:val="center"/>
              <w:cnfStyle w:val="000000100000"/>
              <w:rPr>
                <w:rFonts w:ascii="Arial" w:eastAsia="Calibri" w:hAnsi="Arial" w:cs="Arial"/>
                <w:sz w:val="14"/>
                <w:szCs w:val="14"/>
              </w:rPr>
            </w:pPr>
            <w:r w:rsidRPr="001D2CB7">
              <w:rPr>
                <w:rFonts w:ascii="Arial" w:eastAsia="Calibri" w:hAnsi="Arial" w:cs="Arial"/>
                <w:sz w:val="14"/>
                <w:szCs w:val="14"/>
              </w:rPr>
              <w:t>$ 119.982,25</w:t>
            </w:r>
          </w:p>
        </w:tc>
      </w:tr>
    </w:tbl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Pr="00817504" w:rsidRDefault="006D292C" w:rsidP="006D292C">
      <w:pPr>
        <w:ind w:left="2694" w:right="-427"/>
        <w:jc w:val="both"/>
        <w:rPr>
          <w:rFonts w:ascii="Century Gothic" w:hAnsi="Century Gothic" w:cs="Century Gothic"/>
          <w:sz w:val="14"/>
          <w:szCs w:val="14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6D292C" w:rsidRPr="003267F2" w:rsidRDefault="003267F2" w:rsidP="006D292C">
      <w:pPr>
        <w:ind w:left="2694" w:right="-427"/>
        <w:jc w:val="both"/>
        <w:rPr>
          <w:rFonts w:ascii="Century Gothic" w:hAnsi="Century Gothic" w:cs="Century Gothic"/>
          <w:sz w:val="18"/>
          <w:szCs w:val="18"/>
        </w:rPr>
      </w:pPr>
      <w:r w:rsidRPr="003267F2">
        <w:rPr>
          <w:rFonts w:ascii="Century Gothic" w:hAnsi="Century Gothic" w:cs="Century Gothic"/>
          <w:sz w:val="18"/>
          <w:szCs w:val="18"/>
        </w:rPr>
        <w:t>*Valores cubiertos 100% por SENESCYT</w:t>
      </w:r>
    </w:p>
    <w:p w:rsidR="006D292C" w:rsidRDefault="006D292C" w:rsidP="006D292C">
      <w:pPr>
        <w:ind w:left="2694" w:right="-427"/>
        <w:jc w:val="both"/>
        <w:rPr>
          <w:rFonts w:ascii="Century Gothic" w:hAnsi="Century Gothic" w:cs="Century Gothic"/>
          <w:sz w:val="22"/>
          <w:szCs w:val="22"/>
        </w:rPr>
      </w:pPr>
    </w:p>
    <w:p w:rsidR="00C40361" w:rsidRDefault="00C40361" w:rsidP="00C40361">
      <w:pPr>
        <w:ind w:left="2670" w:right="-42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La Oficina de Relaciones Externas  elaborará un contrato reformatorio al contrato de sus estudios doctorales, considerando como en otros casos el lucro cesante.</w:t>
      </w:r>
    </w:p>
    <w:p w:rsidR="00C40361" w:rsidRDefault="00C40361" w:rsidP="00C40361">
      <w:pPr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right" w:tblpY="1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2790"/>
      </w:tblGrid>
      <w:tr w:rsidR="00A72A32" w:rsidTr="00A72A32">
        <w:trPr>
          <w:trHeight w:val="260"/>
        </w:trPr>
        <w:tc>
          <w:tcPr>
            <w:tcW w:w="5940" w:type="dxa"/>
            <w:gridSpan w:val="2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Ingeniería Mecánica</w:t>
            </w:r>
          </w:p>
        </w:tc>
      </w:tr>
      <w:tr w:rsidR="00A72A32" w:rsidTr="00A72A32">
        <w:tc>
          <w:tcPr>
            <w:tcW w:w="315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            </w:t>
            </w:r>
            <w:r w:rsidRPr="00E41DB9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Área</w:t>
            </w:r>
          </w:p>
        </w:tc>
        <w:tc>
          <w:tcPr>
            <w:tcW w:w="279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Campo de Trabajo</w:t>
            </w:r>
          </w:p>
        </w:tc>
      </w:tr>
      <w:tr w:rsidR="00A72A32" w:rsidRPr="00A82CDE" w:rsidTr="00A72A32">
        <w:trPr>
          <w:trHeight w:val="70"/>
        </w:trPr>
        <w:tc>
          <w:tcPr>
            <w:tcW w:w="315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Medio Ambiente </w:t>
            </w:r>
          </w:p>
        </w:tc>
        <w:tc>
          <w:tcPr>
            <w:tcW w:w="279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>Evaluación de ciclos de vida de procesos y productos</w:t>
            </w:r>
          </w:p>
        </w:tc>
      </w:tr>
      <w:tr w:rsidR="00A72A32" w:rsidRPr="00A82CDE" w:rsidTr="00A72A32">
        <w:tc>
          <w:tcPr>
            <w:tcW w:w="3150" w:type="dxa"/>
          </w:tcPr>
          <w:p w:rsidR="00A72A32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Diseño de Producción </w:t>
            </w:r>
          </w:p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>Bioingeniería</w:t>
            </w:r>
          </w:p>
        </w:tc>
      </w:tr>
      <w:tr w:rsidR="00A72A32" w:rsidRPr="00A82CDE" w:rsidTr="00A72A32">
        <w:tc>
          <w:tcPr>
            <w:tcW w:w="315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Diseño y Producción/Materiales y </w:t>
            </w:r>
          </w:p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Procesos de Transformación </w:t>
            </w:r>
          </w:p>
        </w:tc>
        <w:tc>
          <w:tcPr>
            <w:tcW w:w="2790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>Diseño para medio ambiente</w:t>
            </w:r>
          </w:p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proofErr w:type="spellStart"/>
            <w:r w:rsidRPr="00E41DB9">
              <w:rPr>
                <w:rFonts w:ascii="Century Gothic" w:hAnsi="Century Gothic" w:cs="Century Gothic"/>
                <w:sz w:val="22"/>
                <w:szCs w:val="22"/>
              </w:rPr>
              <w:t>Remanufactura</w:t>
            </w:r>
            <w:proofErr w:type="spellEnd"/>
          </w:p>
        </w:tc>
      </w:tr>
    </w:tbl>
    <w:p w:rsidR="007C086C" w:rsidRDefault="007C086C" w:rsidP="007C086C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295433">
        <w:rPr>
          <w:rFonts w:ascii="Century Gothic" w:hAnsi="Century Gothic" w:cs="Century Gothic"/>
          <w:b/>
          <w:bCs/>
          <w:sz w:val="22"/>
          <w:szCs w:val="22"/>
        </w:rPr>
        <w:t>101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Conocer el Plan para incorporar doctores en Filosofía (</w:t>
      </w:r>
      <w:proofErr w:type="spellStart"/>
      <w:r>
        <w:rPr>
          <w:rFonts w:ascii="Century Gothic" w:hAnsi="Century Gothic" w:cs="Century Gothic"/>
          <w:sz w:val="22"/>
          <w:szCs w:val="22"/>
        </w:rPr>
        <w:t>Ph.D</w:t>
      </w:r>
      <w:proofErr w:type="spellEnd"/>
      <w:r>
        <w:rPr>
          <w:rFonts w:ascii="Century Gothic" w:hAnsi="Century Gothic" w:cs="Century Gothic"/>
          <w:sz w:val="22"/>
          <w:szCs w:val="22"/>
        </w:rPr>
        <w:t>) o su equivalente, de acuerdo a lo solicitado por el Consejo Directivo de la Facultad de Ingeniería en Mecánica y Ciencias de la Producción, recomendando al señor</w:t>
      </w:r>
      <w:r w:rsidR="00E32B99">
        <w:rPr>
          <w:rFonts w:ascii="Century Gothic" w:hAnsi="Century Gothic" w:cs="Century Gothic"/>
          <w:sz w:val="22"/>
          <w:szCs w:val="22"/>
        </w:rPr>
        <w:t xml:space="preserve"> Rector  considere el petitorio</w:t>
      </w:r>
      <w:r>
        <w:rPr>
          <w:rFonts w:ascii="Century Gothic" w:hAnsi="Century Gothic" w:cs="Century Gothic"/>
          <w:sz w:val="22"/>
          <w:szCs w:val="22"/>
        </w:rPr>
        <w:t xml:space="preserve"> tomando en cuenta las disponibilidades presupuestarias de la Institución.</w:t>
      </w:r>
    </w:p>
    <w:tbl>
      <w:tblPr>
        <w:tblpPr w:leftFromText="180" w:rightFromText="180" w:vertAnchor="page" w:horzAnchor="page" w:tblpX="4543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46"/>
      </w:tblGrid>
      <w:tr w:rsidR="00A72A32" w:rsidTr="00A72A32">
        <w:tc>
          <w:tcPr>
            <w:tcW w:w="6073" w:type="dxa"/>
            <w:gridSpan w:val="2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lastRenderedPageBreak/>
              <w:t xml:space="preserve">Ingeniería y Administración de la Producción Industrial </w:t>
            </w:r>
          </w:p>
          <w:p w:rsidR="00A72A32" w:rsidRPr="00E41DB9" w:rsidRDefault="00A72A32" w:rsidP="00A72A32">
            <w:p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  <w:tr w:rsidR="00A72A32" w:rsidTr="00A72A32">
        <w:trPr>
          <w:trHeight w:val="70"/>
        </w:trPr>
        <w:tc>
          <w:tcPr>
            <w:tcW w:w="3227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Sistemas Integrados de Gestión </w:t>
            </w:r>
          </w:p>
        </w:tc>
        <w:tc>
          <w:tcPr>
            <w:tcW w:w="2846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Prevención de riesgos laborales calidad y medio ambiente, ergonomía y seguridad. </w:t>
            </w:r>
          </w:p>
        </w:tc>
      </w:tr>
      <w:tr w:rsidR="00A72A32" w:rsidTr="00A72A32">
        <w:tc>
          <w:tcPr>
            <w:tcW w:w="3227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 xml:space="preserve">Gestión de Personal </w:t>
            </w:r>
          </w:p>
        </w:tc>
        <w:tc>
          <w:tcPr>
            <w:tcW w:w="2846" w:type="dxa"/>
          </w:tcPr>
          <w:p w:rsidR="00A72A32" w:rsidRPr="00E41DB9" w:rsidRDefault="00A72A32" w:rsidP="00A72A32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E41DB9">
              <w:rPr>
                <w:rFonts w:ascii="Century Gothic" w:hAnsi="Century Gothic" w:cs="Century Gothic"/>
                <w:sz w:val="22"/>
                <w:szCs w:val="22"/>
              </w:rPr>
              <w:t>Estrategia organizacional, sicología industrial, estrategias competitivas.</w:t>
            </w:r>
          </w:p>
        </w:tc>
      </w:tr>
    </w:tbl>
    <w:p w:rsidR="00A72A32" w:rsidRDefault="00A72A32" w:rsidP="007C086C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A72A32" w:rsidRDefault="00A72A32" w:rsidP="007C086C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E76A7A" w:rsidRDefault="00E76A7A" w:rsidP="007C086C">
      <w:pPr>
        <w:tabs>
          <w:tab w:val="left" w:pos="2694"/>
        </w:tabs>
        <w:ind w:left="2694" w:right="-427" w:hanging="1985"/>
        <w:jc w:val="both"/>
      </w:pPr>
    </w:p>
    <w:p w:rsidR="000120B1" w:rsidRDefault="000120B1" w:rsidP="007C086C">
      <w:pPr>
        <w:tabs>
          <w:tab w:val="left" w:pos="2694"/>
        </w:tabs>
        <w:ind w:left="2694" w:right="-427" w:hanging="1985"/>
        <w:jc w:val="both"/>
        <w:rPr>
          <w:rStyle w:val="apple-style-span"/>
          <w:rFonts w:ascii="Arial" w:hAnsi="Arial" w:cs="Arial"/>
          <w:color w:val="000000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72A32" w:rsidRDefault="00A72A32" w:rsidP="00491D66">
      <w:pPr>
        <w:tabs>
          <w:tab w:val="left" w:pos="2694"/>
        </w:tabs>
        <w:ind w:left="2694" w:right="-427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0120B1" w:rsidRPr="00491D66" w:rsidRDefault="000120B1" w:rsidP="00491D66">
      <w:pPr>
        <w:tabs>
          <w:tab w:val="left" w:pos="2694"/>
        </w:tabs>
        <w:ind w:left="2694" w:right="-427" w:hanging="1985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491D66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295433">
        <w:rPr>
          <w:rFonts w:ascii="Century Gothic" w:hAnsi="Century Gothic" w:cs="Century Gothic"/>
          <w:b/>
          <w:bCs/>
          <w:sz w:val="22"/>
          <w:szCs w:val="22"/>
        </w:rPr>
        <w:t>102</w:t>
      </w:r>
      <w:r w:rsidRPr="00491D66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491D66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491D66">
        <w:rPr>
          <w:rStyle w:val="apple-style-span"/>
          <w:rFonts w:ascii="Century Gothic" w:hAnsi="Century Gothic" w:cs="Arial"/>
          <w:color w:val="000000"/>
          <w:sz w:val="22"/>
          <w:szCs w:val="22"/>
        </w:rPr>
        <w:t>Aprobar el dictado de los siguientes talleres pedagógicos válidos para Ascenso de Categoría de los profesores titulares de la ESPOL, organizados por el Centro de Investigaciones y Servicios Pedagógicos (CISE):</w:t>
      </w:r>
    </w:p>
    <w:p w:rsidR="000120B1" w:rsidRPr="00491D66" w:rsidRDefault="000120B1" w:rsidP="00491D66">
      <w:pPr>
        <w:tabs>
          <w:tab w:val="left" w:pos="3119"/>
        </w:tabs>
        <w:ind w:left="3119" w:right="-427" w:hanging="425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Inteligencia emocional e inteligencias múltiples, 10 horas de duración;</w:t>
      </w:r>
    </w:p>
    <w:p w:rsidR="00126B2D" w:rsidRDefault="00126B2D" w:rsidP="00126B2D">
      <w:pPr>
        <w:pStyle w:val="Prrafodelista"/>
        <w:tabs>
          <w:tab w:val="left" w:pos="3261"/>
        </w:tabs>
        <w:ind w:left="3054"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P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126B2D">
        <w:rPr>
          <w:rFonts w:ascii="Century Gothic" w:hAnsi="Century Gothic"/>
          <w:sz w:val="22"/>
          <w:szCs w:val="22"/>
        </w:rPr>
        <w:t xml:space="preserve">Competencias básicas en </w:t>
      </w:r>
      <w:proofErr w:type="spellStart"/>
      <w:r w:rsidRPr="00126B2D">
        <w:rPr>
          <w:rFonts w:ascii="Century Gothic" w:hAnsi="Century Gothic"/>
          <w:sz w:val="22"/>
          <w:szCs w:val="22"/>
        </w:rPr>
        <w:t>TICs</w:t>
      </w:r>
      <w:proofErr w:type="spellEnd"/>
      <w:r w:rsidRPr="00126B2D">
        <w:rPr>
          <w:rFonts w:ascii="Century Gothic" w:hAnsi="Century Gothic"/>
          <w:sz w:val="22"/>
          <w:szCs w:val="22"/>
        </w:rPr>
        <w:t xml:space="preserve"> para docentes, 32 horas de duración;</w:t>
      </w:r>
    </w:p>
    <w:p w:rsidR="00126B2D" w:rsidRPr="00126B2D" w:rsidRDefault="00126B2D" w:rsidP="00126B2D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126B2D" w:rsidRP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126B2D">
        <w:rPr>
          <w:rFonts w:ascii="Century Gothic" w:hAnsi="Century Gothic"/>
          <w:sz w:val="22"/>
          <w:szCs w:val="22"/>
          <w:lang w:val="es-MX"/>
        </w:rPr>
        <w:t xml:space="preserve">Diseño de recursos y actividades digitales con </w:t>
      </w:r>
      <w:proofErr w:type="spellStart"/>
      <w:r w:rsidRPr="00126B2D">
        <w:rPr>
          <w:rFonts w:ascii="Century Gothic" w:hAnsi="Century Gothic"/>
          <w:sz w:val="22"/>
          <w:szCs w:val="22"/>
          <w:lang w:val="es-MX"/>
        </w:rPr>
        <w:t>TICs</w:t>
      </w:r>
      <w:proofErr w:type="spellEnd"/>
      <w:r w:rsidRPr="00126B2D">
        <w:rPr>
          <w:rFonts w:ascii="Century Gothic" w:hAnsi="Century Gothic"/>
          <w:sz w:val="22"/>
          <w:szCs w:val="22"/>
          <w:lang w:val="es-MX"/>
        </w:rPr>
        <w:t>, 32 horas de duración:</w:t>
      </w:r>
    </w:p>
    <w:p w:rsidR="00126B2D" w:rsidRPr="00126B2D" w:rsidRDefault="00126B2D" w:rsidP="00126B2D">
      <w:pPr>
        <w:pStyle w:val="Prrafodelista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E76A7A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Los Organizadores Gráficos actualizados;</w:t>
      </w:r>
      <w:r w:rsidR="00817504"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 10 horas de duración;</w:t>
      </w:r>
    </w:p>
    <w:p w:rsidR="00126B2D" w:rsidRPr="00126B2D" w:rsidRDefault="00126B2D" w:rsidP="00126B2D">
      <w:pPr>
        <w:pStyle w:val="Prrafodelista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Implementaci</w:t>
      </w:r>
      <w:r w:rsid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ón de objetos de apre</w:t>
      </w: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ndizaje en plataformas de aprendizaje, 32 horas de duración</w:t>
      </w:r>
      <w:r w:rsid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;</w:t>
      </w:r>
    </w:p>
    <w:p w:rsidR="00126B2D" w:rsidRPr="00126B2D" w:rsidRDefault="00126B2D" w:rsidP="00126B2D">
      <w:pPr>
        <w:pStyle w:val="Prrafodelista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proofErr w:type="spellStart"/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Microenseñanza</w:t>
      </w:r>
      <w:proofErr w:type="spellEnd"/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; (Análisis de la actuación en el </w:t>
      </w:r>
      <w:r w:rsid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área); </w:t>
      </w: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20 horas de duración;</w:t>
      </w:r>
    </w:p>
    <w:p w:rsidR="00126B2D" w:rsidRPr="00126B2D" w:rsidRDefault="00126B2D" w:rsidP="00126B2D">
      <w:pPr>
        <w:pStyle w:val="Prrafodelista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817504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Didáctica de las Matemáticas, 20 horas de duración;</w:t>
      </w:r>
    </w:p>
    <w:p w:rsidR="00126B2D" w:rsidRPr="00126B2D" w:rsidRDefault="00126B2D" w:rsidP="00126B2D">
      <w:pPr>
        <w:pStyle w:val="Prrafodelista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</w:p>
    <w:p w:rsidR="00126B2D" w:rsidRDefault="00126B2D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Introducción a la didáctica y </w:t>
      </w:r>
      <w:r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a la </w:t>
      </w:r>
      <w:r w:rsidRPr="00126B2D">
        <w:rPr>
          <w:rStyle w:val="apple-style-span"/>
          <w:rFonts w:ascii="Century Gothic" w:hAnsi="Century Gothic" w:cs="Arial"/>
          <w:color w:val="000000"/>
          <w:sz w:val="22"/>
          <w:szCs w:val="22"/>
        </w:rPr>
        <w:t>pedagogía; 10 horas de duración;</w:t>
      </w:r>
    </w:p>
    <w:p w:rsidR="00126B2D" w:rsidRPr="00126B2D" w:rsidRDefault="00126B2D" w:rsidP="00126B2D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126B2D" w:rsidRPr="00126B2D" w:rsidRDefault="00126B2D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126B2D">
        <w:rPr>
          <w:rFonts w:ascii="Century Gothic" w:hAnsi="Century Gothic"/>
          <w:sz w:val="22"/>
          <w:szCs w:val="22"/>
          <w:lang w:val="es-MX"/>
        </w:rPr>
        <w:t>Competencia del nuevo rol del profesor, 10 horas de duración;</w:t>
      </w:r>
    </w:p>
    <w:p w:rsidR="00126B2D" w:rsidRPr="00126B2D" w:rsidRDefault="00126B2D" w:rsidP="00126B2D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126B2D" w:rsidRPr="00126B2D" w:rsidRDefault="00E76A7A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126B2D">
        <w:rPr>
          <w:rFonts w:ascii="Century Gothic" w:hAnsi="Century Gothic"/>
          <w:sz w:val="22"/>
          <w:szCs w:val="22"/>
          <w:lang w:val="es-MX"/>
        </w:rPr>
        <w:t>Estadística fundamental aplicada a la Educación I</w:t>
      </w:r>
      <w:r w:rsidR="00126B2D" w:rsidRPr="00126B2D">
        <w:rPr>
          <w:rFonts w:ascii="Century Gothic" w:hAnsi="Century Gothic"/>
          <w:sz w:val="22"/>
          <w:szCs w:val="22"/>
          <w:lang w:val="es-MX"/>
        </w:rPr>
        <w:t>, 20 horas de duración; y,</w:t>
      </w:r>
    </w:p>
    <w:p w:rsidR="00126B2D" w:rsidRPr="00126B2D" w:rsidRDefault="00126B2D" w:rsidP="00126B2D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E76A7A" w:rsidRPr="00126B2D" w:rsidRDefault="00E76A7A" w:rsidP="00126B2D">
      <w:pPr>
        <w:pStyle w:val="Prrafodelista"/>
        <w:numPr>
          <w:ilvl w:val="0"/>
          <w:numId w:val="12"/>
        </w:numPr>
        <w:tabs>
          <w:tab w:val="left" w:pos="3261"/>
        </w:tabs>
        <w:ind w:right="-42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126B2D">
        <w:rPr>
          <w:rFonts w:ascii="Century Gothic" w:hAnsi="Century Gothic"/>
          <w:sz w:val="22"/>
          <w:szCs w:val="22"/>
          <w:lang w:val="es-MX"/>
        </w:rPr>
        <w:lastRenderedPageBreak/>
        <w:t>Estadística aplicada a la Educación II</w:t>
      </w:r>
      <w:r w:rsidR="00126B2D" w:rsidRPr="00126B2D">
        <w:rPr>
          <w:rFonts w:ascii="Century Gothic" w:hAnsi="Century Gothic"/>
          <w:sz w:val="22"/>
          <w:szCs w:val="22"/>
          <w:lang w:val="es-MX"/>
        </w:rPr>
        <w:t>, 20 horas de duració</w:t>
      </w:r>
      <w:r w:rsidR="00126B2D">
        <w:rPr>
          <w:rFonts w:ascii="Century Gothic" w:hAnsi="Century Gothic"/>
          <w:sz w:val="22"/>
          <w:szCs w:val="22"/>
          <w:lang w:val="es-MX"/>
        </w:rPr>
        <w:t>n.</w:t>
      </w:r>
    </w:p>
    <w:p w:rsidR="00A67BA6" w:rsidRDefault="00A67BA6" w:rsidP="00A67BA6">
      <w:pPr>
        <w:ind w:left="2694" w:hanging="1985"/>
        <w:jc w:val="both"/>
        <w:rPr>
          <w:rFonts w:ascii="Century Gothic" w:hAnsi="Century Gothic"/>
          <w:sz w:val="22"/>
          <w:szCs w:val="22"/>
        </w:rPr>
      </w:pPr>
    </w:p>
    <w:p w:rsidR="00615C5D" w:rsidRDefault="00615C5D" w:rsidP="00A67BA6">
      <w:pPr>
        <w:ind w:left="2694" w:right="-427" w:hanging="1985"/>
        <w:jc w:val="both"/>
        <w:rPr>
          <w:rStyle w:val="apple-style-span"/>
          <w:rFonts w:ascii="Century Gothic" w:hAnsi="Century Gothic" w:cs="Arial"/>
          <w:color w:val="000000"/>
          <w:sz w:val="22"/>
          <w:szCs w:val="22"/>
        </w:rPr>
      </w:pPr>
      <w:r w:rsidRPr="00491D66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D46AF0">
        <w:rPr>
          <w:rFonts w:ascii="Century Gothic" w:hAnsi="Century Gothic" w:cs="Century Gothic"/>
          <w:b/>
          <w:bCs/>
          <w:sz w:val="22"/>
          <w:szCs w:val="22"/>
        </w:rPr>
        <w:t>103</w:t>
      </w:r>
      <w:r w:rsidRPr="00491D66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491D66">
        <w:rPr>
          <w:rFonts w:ascii="Century Gothic" w:hAnsi="Century Gothic" w:cs="Century Gothic"/>
          <w:b/>
          <w:bCs/>
          <w:sz w:val="22"/>
          <w:szCs w:val="22"/>
        </w:rPr>
        <w:tab/>
      </w:r>
      <w:r w:rsidR="00A67BA6">
        <w:rPr>
          <w:rStyle w:val="apple-style-span"/>
          <w:rFonts w:ascii="Century Gothic" w:hAnsi="Century Gothic" w:cs="Arial"/>
          <w:color w:val="000000"/>
          <w:sz w:val="22"/>
          <w:szCs w:val="22"/>
        </w:rPr>
        <w:t>Que e</w:t>
      </w:r>
      <w:r w:rsidR="00A67BA6" w:rsidRPr="00491D66">
        <w:rPr>
          <w:rStyle w:val="apple-style-span"/>
          <w:rFonts w:ascii="Century Gothic" w:hAnsi="Century Gothic" w:cs="Arial"/>
          <w:color w:val="000000"/>
          <w:sz w:val="22"/>
          <w:szCs w:val="22"/>
        </w:rPr>
        <w:t>l Centro de Investigaciones y Servicios Pedagógicos (CISE)</w:t>
      </w:r>
      <w:r w:rsidR="00A67BA6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 planifique el dictado de talleres sobre lectura Crítica y Desarrollo del Pensamiento; en concordancia con el nuevo Sistema de </w:t>
      </w:r>
      <w:r w:rsidR="00EF692E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Nivelación y </w:t>
      </w:r>
      <w:r w:rsidR="00A67BA6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Admisión </w:t>
      </w:r>
      <w:r w:rsidR="00EF692E">
        <w:rPr>
          <w:rStyle w:val="apple-style-span"/>
          <w:rFonts w:ascii="Century Gothic" w:hAnsi="Century Gothic" w:cs="Arial"/>
          <w:color w:val="000000"/>
          <w:sz w:val="22"/>
          <w:szCs w:val="22"/>
        </w:rPr>
        <w:t>de</w:t>
      </w:r>
      <w:r w:rsidR="00A67BA6">
        <w:rPr>
          <w:rStyle w:val="apple-style-span"/>
          <w:rFonts w:ascii="Century Gothic" w:hAnsi="Century Gothic" w:cs="Arial"/>
          <w:color w:val="000000"/>
          <w:sz w:val="22"/>
          <w:szCs w:val="22"/>
        </w:rPr>
        <w:t xml:space="preserve"> la </w:t>
      </w:r>
      <w:r w:rsidR="00EF692E">
        <w:rPr>
          <w:rStyle w:val="apple-style-span"/>
          <w:rFonts w:ascii="Century Gothic" w:hAnsi="Century Gothic" w:cs="Arial"/>
          <w:color w:val="000000"/>
          <w:sz w:val="22"/>
          <w:szCs w:val="22"/>
        </w:rPr>
        <w:t>SENESCYT</w:t>
      </w:r>
      <w:r w:rsidR="00A67BA6">
        <w:rPr>
          <w:rStyle w:val="apple-style-span"/>
          <w:rFonts w:ascii="Century Gothic" w:hAnsi="Century Gothic" w:cs="Arial"/>
          <w:color w:val="000000"/>
          <w:sz w:val="22"/>
          <w:szCs w:val="22"/>
        </w:rPr>
        <w:t>.</w:t>
      </w:r>
    </w:p>
    <w:p w:rsidR="00A67BA6" w:rsidRDefault="00A67BA6" w:rsidP="00A67BA6">
      <w:pPr>
        <w:ind w:left="2694" w:right="-427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2745FF" w:rsidRPr="002745FF" w:rsidRDefault="002745FF" w:rsidP="002B4363">
      <w:pPr>
        <w:ind w:left="2694" w:right="-427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491D66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104.-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2745FF">
        <w:rPr>
          <w:rFonts w:ascii="Century Gothic" w:hAnsi="Century Gothic" w:cs="Century Gothic"/>
          <w:bCs/>
          <w:sz w:val="22"/>
          <w:szCs w:val="22"/>
        </w:rPr>
        <w:t>Solicitar al Consejo Politécnico revise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2745FF">
        <w:rPr>
          <w:rFonts w:ascii="Century Gothic" w:hAnsi="Century Gothic" w:cs="Century Gothic"/>
          <w:bCs/>
          <w:sz w:val="22"/>
          <w:szCs w:val="22"/>
        </w:rPr>
        <w:t xml:space="preserve">la situación de </w:t>
      </w:r>
      <w:r w:rsidR="00EF692E">
        <w:rPr>
          <w:rFonts w:ascii="Century Gothic" w:hAnsi="Century Gothic" w:cs="Century Gothic"/>
          <w:bCs/>
          <w:sz w:val="22"/>
          <w:szCs w:val="22"/>
        </w:rPr>
        <w:t xml:space="preserve">ayuda a los </w:t>
      </w:r>
      <w:r w:rsidRPr="002745FF">
        <w:rPr>
          <w:rFonts w:ascii="Century Gothic" w:hAnsi="Century Gothic" w:cs="Century Gothic"/>
          <w:bCs/>
          <w:sz w:val="22"/>
          <w:szCs w:val="22"/>
        </w:rPr>
        <w:t xml:space="preserve">profesores titulares y contratados que obtuvieron el financiamiento </w:t>
      </w:r>
      <w:r>
        <w:rPr>
          <w:rFonts w:ascii="Century Gothic" w:hAnsi="Century Gothic" w:cs="Century Gothic"/>
          <w:bCs/>
          <w:sz w:val="22"/>
          <w:szCs w:val="22"/>
        </w:rPr>
        <w:t xml:space="preserve">de la SENESCYT y </w:t>
      </w:r>
      <w:r w:rsidR="00EF692E">
        <w:rPr>
          <w:rFonts w:ascii="Century Gothic" w:hAnsi="Century Gothic" w:cs="Century Gothic"/>
          <w:bCs/>
          <w:sz w:val="22"/>
          <w:szCs w:val="22"/>
        </w:rPr>
        <w:t xml:space="preserve">el aval </w:t>
      </w:r>
      <w:r>
        <w:rPr>
          <w:rFonts w:ascii="Century Gothic" w:hAnsi="Century Gothic" w:cs="Century Gothic"/>
          <w:bCs/>
          <w:sz w:val="22"/>
          <w:szCs w:val="22"/>
        </w:rPr>
        <w:t xml:space="preserve">de los organismos directivos de la Institución  para iniciar sus estudios doctorales en universidades del exterior y que previamente las Unidades Académicas establecieron como áreas prioritarias de desarrollo </w:t>
      </w:r>
      <w:r w:rsidR="00EF692E">
        <w:rPr>
          <w:rFonts w:ascii="Century Gothic" w:hAnsi="Century Gothic" w:cs="Century Gothic"/>
          <w:bCs/>
          <w:sz w:val="22"/>
          <w:szCs w:val="22"/>
        </w:rPr>
        <w:t xml:space="preserve">en su Unidad, </w:t>
      </w:r>
      <w:r>
        <w:rPr>
          <w:rFonts w:ascii="Century Gothic" w:hAnsi="Century Gothic" w:cs="Century Gothic"/>
          <w:bCs/>
          <w:sz w:val="22"/>
          <w:szCs w:val="22"/>
        </w:rPr>
        <w:t xml:space="preserve">por cuanto </w:t>
      </w:r>
      <w:r w:rsidR="00EF692E">
        <w:rPr>
          <w:rFonts w:ascii="Century Gothic" w:hAnsi="Century Gothic" w:cs="Century Gothic"/>
          <w:bCs/>
          <w:sz w:val="22"/>
          <w:szCs w:val="22"/>
        </w:rPr>
        <w:t>de acuerdo a informes d</w:t>
      </w:r>
      <w:r>
        <w:rPr>
          <w:rFonts w:ascii="Century Gothic" w:hAnsi="Century Gothic" w:cs="Century Gothic"/>
          <w:bCs/>
          <w:sz w:val="22"/>
          <w:szCs w:val="22"/>
        </w:rPr>
        <w:t>el señor Decano de la Facultad de Investigación y Posgrado</w:t>
      </w:r>
      <w:r w:rsidR="00EF692E">
        <w:rPr>
          <w:rFonts w:ascii="Century Gothic" w:hAnsi="Century Gothic" w:cs="Century Gothic"/>
          <w:bCs/>
          <w:sz w:val="22"/>
          <w:szCs w:val="22"/>
        </w:rPr>
        <w:t>, en algunos casos</w:t>
      </w:r>
      <w:r w:rsidR="00C9172A">
        <w:rPr>
          <w:rFonts w:ascii="Century Gothic" w:hAnsi="Century Gothic" w:cs="Century Gothic"/>
          <w:bCs/>
          <w:sz w:val="22"/>
          <w:szCs w:val="22"/>
        </w:rPr>
        <w:t>,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EF692E">
        <w:rPr>
          <w:rFonts w:ascii="Century Gothic" w:hAnsi="Century Gothic" w:cs="Century Gothic"/>
          <w:bCs/>
          <w:sz w:val="22"/>
          <w:szCs w:val="22"/>
        </w:rPr>
        <w:t xml:space="preserve">éstas no </w:t>
      </w:r>
      <w:r>
        <w:rPr>
          <w:rFonts w:ascii="Century Gothic" w:hAnsi="Century Gothic" w:cs="Century Gothic"/>
          <w:bCs/>
          <w:sz w:val="22"/>
          <w:szCs w:val="22"/>
        </w:rPr>
        <w:t>ha</w:t>
      </w:r>
      <w:r w:rsidR="00EF692E">
        <w:rPr>
          <w:rFonts w:ascii="Century Gothic" w:hAnsi="Century Gothic" w:cs="Century Gothic"/>
          <w:bCs/>
          <w:sz w:val="22"/>
          <w:szCs w:val="22"/>
        </w:rPr>
        <w:t>n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EF692E">
        <w:rPr>
          <w:rFonts w:ascii="Century Gothic" w:hAnsi="Century Gothic" w:cs="Century Gothic"/>
          <w:bCs/>
          <w:sz w:val="22"/>
          <w:szCs w:val="22"/>
        </w:rPr>
        <w:t xml:space="preserve">sido </w:t>
      </w:r>
      <w:r>
        <w:rPr>
          <w:rFonts w:ascii="Century Gothic" w:hAnsi="Century Gothic" w:cs="Century Gothic"/>
          <w:bCs/>
          <w:sz w:val="22"/>
          <w:szCs w:val="22"/>
        </w:rPr>
        <w:t>considerad</w:t>
      </w:r>
      <w:r w:rsidR="00EF692E">
        <w:rPr>
          <w:rFonts w:ascii="Century Gothic" w:hAnsi="Century Gothic" w:cs="Century Gothic"/>
          <w:bCs/>
          <w:sz w:val="22"/>
          <w:szCs w:val="22"/>
        </w:rPr>
        <w:t>as</w:t>
      </w:r>
      <w:r>
        <w:rPr>
          <w:rFonts w:ascii="Century Gothic" w:hAnsi="Century Gothic" w:cs="Century Gothic"/>
          <w:bCs/>
          <w:sz w:val="22"/>
          <w:szCs w:val="22"/>
        </w:rPr>
        <w:t>.</w:t>
      </w:r>
    </w:p>
    <w:p w:rsidR="002745FF" w:rsidRPr="002745FF" w:rsidRDefault="002745FF" w:rsidP="002B4363">
      <w:pPr>
        <w:ind w:left="2694" w:right="-427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15C5D" w:rsidRDefault="00A67BA6" w:rsidP="002B4363">
      <w:pPr>
        <w:ind w:left="2694" w:right="-427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491D66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10</w:t>
      </w:r>
      <w:r w:rsidR="002745FF">
        <w:rPr>
          <w:rFonts w:ascii="Century Gothic" w:hAnsi="Century Gothic" w:cs="Century Gothic"/>
          <w:b/>
          <w:bCs/>
          <w:sz w:val="22"/>
          <w:szCs w:val="22"/>
        </w:rPr>
        <w:t>5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A67BA6">
        <w:rPr>
          <w:rFonts w:ascii="Century Gothic" w:hAnsi="Century Gothic" w:cs="Century Gothic"/>
          <w:bCs/>
          <w:sz w:val="22"/>
          <w:szCs w:val="22"/>
        </w:rPr>
        <w:t xml:space="preserve">Felicitar y conceder un voto de aplauso al Dr. José </w:t>
      </w:r>
      <w:r w:rsidR="002745FF">
        <w:rPr>
          <w:rFonts w:ascii="Century Gothic" w:hAnsi="Century Gothic" w:cs="Century Gothic"/>
          <w:bCs/>
          <w:sz w:val="22"/>
          <w:szCs w:val="22"/>
        </w:rPr>
        <w:t>Luis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A67BA6">
        <w:rPr>
          <w:rFonts w:ascii="Century Gothic" w:hAnsi="Century Gothic" w:cs="Century Gothic"/>
          <w:bCs/>
          <w:sz w:val="22"/>
          <w:szCs w:val="22"/>
        </w:rPr>
        <w:t>Santos Dávila</w:t>
      </w:r>
      <w:r w:rsidR="002745FF">
        <w:rPr>
          <w:rFonts w:ascii="Century Gothic" w:hAnsi="Century Gothic" w:cs="Century Gothic"/>
          <w:bCs/>
          <w:sz w:val="22"/>
          <w:szCs w:val="22"/>
        </w:rPr>
        <w:t xml:space="preserve"> por su aporte valioso al</w:t>
      </w:r>
      <w:r>
        <w:rPr>
          <w:rFonts w:ascii="Century Gothic" w:hAnsi="Century Gothic" w:cs="Century Gothic"/>
          <w:bCs/>
          <w:sz w:val="22"/>
          <w:szCs w:val="22"/>
        </w:rPr>
        <w:t xml:space="preserve"> trabajo y cumplimiento de las responsabilidades de la Comisión Acad</w:t>
      </w:r>
      <w:r w:rsidR="00FF766F">
        <w:rPr>
          <w:rFonts w:ascii="Century Gothic" w:hAnsi="Century Gothic" w:cs="Century Gothic"/>
          <w:bCs/>
          <w:sz w:val="22"/>
          <w:szCs w:val="22"/>
        </w:rPr>
        <w:t xml:space="preserve">émica </w:t>
      </w:r>
      <w:r>
        <w:rPr>
          <w:rFonts w:ascii="Century Gothic" w:hAnsi="Century Gothic" w:cs="Century Gothic"/>
          <w:bCs/>
          <w:sz w:val="22"/>
          <w:szCs w:val="22"/>
        </w:rPr>
        <w:t xml:space="preserve"> la </w:t>
      </w:r>
      <w:r w:rsidR="00FF766F">
        <w:rPr>
          <w:rFonts w:ascii="Century Gothic" w:hAnsi="Century Gothic" w:cs="Century Gothic"/>
          <w:bCs/>
          <w:sz w:val="22"/>
          <w:szCs w:val="22"/>
        </w:rPr>
        <w:t>que</w:t>
      </w:r>
      <w:r>
        <w:rPr>
          <w:rFonts w:ascii="Century Gothic" w:hAnsi="Century Gothic" w:cs="Century Gothic"/>
          <w:bCs/>
          <w:sz w:val="22"/>
          <w:szCs w:val="22"/>
        </w:rPr>
        <w:t xml:space="preserve"> integr</w:t>
      </w:r>
      <w:r w:rsidR="002B4363">
        <w:rPr>
          <w:rFonts w:ascii="Century Gothic" w:hAnsi="Century Gothic" w:cs="Century Gothic"/>
          <w:bCs/>
          <w:sz w:val="22"/>
          <w:szCs w:val="22"/>
        </w:rPr>
        <w:t xml:space="preserve">ó en su Calidad de </w:t>
      </w:r>
      <w:proofErr w:type="spellStart"/>
      <w:r w:rsidR="002B4363">
        <w:rPr>
          <w:rFonts w:ascii="Century Gothic" w:hAnsi="Century Gothic" w:cs="Century Gothic"/>
          <w:bCs/>
          <w:sz w:val="22"/>
          <w:szCs w:val="22"/>
        </w:rPr>
        <w:t>Su</w:t>
      </w:r>
      <w:r>
        <w:rPr>
          <w:rFonts w:ascii="Century Gothic" w:hAnsi="Century Gothic" w:cs="Century Gothic"/>
          <w:bCs/>
          <w:sz w:val="22"/>
          <w:szCs w:val="22"/>
        </w:rPr>
        <w:t>bdecano</w:t>
      </w:r>
      <w:proofErr w:type="spellEnd"/>
      <w:r>
        <w:rPr>
          <w:rFonts w:ascii="Century Gothic" w:hAnsi="Century Gothic" w:cs="Century Gothic"/>
          <w:bCs/>
          <w:sz w:val="22"/>
          <w:szCs w:val="22"/>
        </w:rPr>
        <w:t xml:space="preserve"> de la Facultad de </w:t>
      </w:r>
      <w:r w:rsidR="002B4363">
        <w:rPr>
          <w:rFonts w:ascii="Century Gothic" w:hAnsi="Century Gothic" w:cs="Century Gothic"/>
          <w:bCs/>
          <w:sz w:val="22"/>
          <w:szCs w:val="22"/>
        </w:rPr>
        <w:t>Ingeniería Marítima, Ciencias Biológicas,  Oceánicas y Recursos Naturales (FIMCBOR)</w:t>
      </w:r>
      <w:r w:rsidR="00FF766F">
        <w:rPr>
          <w:rFonts w:ascii="Century Gothic" w:hAnsi="Century Gothic" w:cs="Century Gothic"/>
          <w:bCs/>
          <w:sz w:val="22"/>
          <w:szCs w:val="22"/>
        </w:rPr>
        <w:t>.</w:t>
      </w:r>
    </w:p>
    <w:p w:rsidR="00615C5D" w:rsidRDefault="00615C5D" w:rsidP="00A67BA6">
      <w:pPr>
        <w:tabs>
          <w:tab w:val="left" w:pos="3261"/>
        </w:tabs>
        <w:ind w:left="2694" w:right="-427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FF766F" w:rsidRDefault="00FF766F" w:rsidP="00A67BA6">
      <w:pPr>
        <w:tabs>
          <w:tab w:val="left" w:pos="3261"/>
        </w:tabs>
        <w:ind w:left="2694" w:right="-427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615C5D" w:rsidRDefault="00615C5D" w:rsidP="00A67BA6">
      <w:pPr>
        <w:tabs>
          <w:tab w:val="left" w:pos="3261"/>
        </w:tabs>
        <w:ind w:left="2694" w:right="-427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615C5D" w:rsidRPr="00FF766F" w:rsidRDefault="00A72A32" w:rsidP="00FF766F">
      <w:pPr>
        <w:tabs>
          <w:tab w:val="left" w:pos="3261"/>
        </w:tabs>
        <w:ind w:left="2694" w:hanging="1985"/>
        <w:jc w:val="center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  <w:r w:rsidR="00FF766F" w:rsidRPr="00FF766F">
        <w:rPr>
          <w:rFonts w:ascii="Century Gothic" w:hAnsi="Century Gothic"/>
          <w:b/>
          <w:sz w:val="22"/>
          <w:szCs w:val="22"/>
          <w:lang w:val="es-MX"/>
        </w:rPr>
        <w:t>&lt;&lt;&lt;&lt;&lt;&lt;&gt;&gt;&gt;&gt;&gt;&gt;</w:t>
      </w:r>
    </w:p>
    <w:p w:rsidR="00615C5D" w:rsidRPr="00FF766F" w:rsidRDefault="00615C5D" w:rsidP="00FF766F">
      <w:pPr>
        <w:tabs>
          <w:tab w:val="left" w:pos="3261"/>
        </w:tabs>
        <w:ind w:left="2694" w:hanging="1985"/>
        <w:jc w:val="center"/>
        <w:rPr>
          <w:rFonts w:ascii="Century Gothic" w:hAnsi="Century Gothic"/>
          <w:b/>
          <w:sz w:val="22"/>
          <w:szCs w:val="22"/>
          <w:lang w:val="es-MX"/>
        </w:rPr>
      </w:pPr>
    </w:p>
    <w:p w:rsidR="00615C5D" w:rsidRDefault="00615C5D" w:rsidP="00A67BA6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615C5D" w:rsidRDefault="00615C5D" w:rsidP="00A67BA6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615C5D" w:rsidRDefault="00615C5D" w:rsidP="00A67BA6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7F5D6E" w:rsidRDefault="007F5D6E" w:rsidP="00A67BA6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softHyphen/>
      </w:r>
      <w:r>
        <w:rPr>
          <w:rFonts w:ascii="Century Gothic" w:hAnsi="Century Gothic"/>
          <w:sz w:val="22"/>
          <w:szCs w:val="22"/>
          <w:lang w:val="es-MX"/>
        </w:rPr>
        <w:softHyphen/>
      </w:r>
      <w:r>
        <w:rPr>
          <w:rFonts w:ascii="Century Gothic" w:hAnsi="Century Gothic"/>
          <w:sz w:val="22"/>
          <w:szCs w:val="22"/>
          <w:lang w:val="es-MX"/>
        </w:rPr>
        <w:softHyphen/>
      </w:r>
      <w:r>
        <w:rPr>
          <w:rFonts w:ascii="Century Gothic" w:hAnsi="Century Gothic"/>
          <w:sz w:val="22"/>
          <w:szCs w:val="22"/>
          <w:lang w:val="es-MX"/>
        </w:rPr>
        <w:softHyphen/>
      </w:r>
    </w:p>
    <w:p w:rsidR="007F5D6E" w:rsidRPr="007F5D6E" w:rsidRDefault="007F5D6E" w:rsidP="00A67BA6">
      <w:pPr>
        <w:tabs>
          <w:tab w:val="left" w:pos="3261"/>
        </w:tabs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sectPr w:rsidR="007F5D6E" w:rsidRPr="007F5D6E" w:rsidSect="007F5D6E">
      <w:headerReference w:type="default" r:id="rId7"/>
      <w:pgSz w:w="11906" w:h="16838"/>
      <w:pgMar w:top="255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79" w:rsidRDefault="00F16379">
      <w:r>
        <w:separator/>
      </w:r>
    </w:p>
  </w:endnote>
  <w:endnote w:type="continuationSeparator" w:id="0">
    <w:p w:rsidR="00F16379" w:rsidRDefault="00F1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79" w:rsidRDefault="00F16379">
      <w:r>
        <w:separator/>
      </w:r>
    </w:p>
  </w:footnote>
  <w:footnote w:type="continuationSeparator" w:id="0">
    <w:p w:rsidR="00F16379" w:rsidRDefault="00F1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8D" w:rsidRDefault="00AF2CDF" w:rsidP="002B4363">
    <w:pPr>
      <w:pStyle w:val="Encabezado"/>
      <w:framePr w:wrap="auto" w:vAnchor="text" w:hAnchor="page" w:x="10231" w:y="492"/>
      <w:rPr>
        <w:rStyle w:val="Nmerodepgina"/>
      </w:rPr>
    </w:pPr>
    <w:r>
      <w:rPr>
        <w:rStyle w:val="Nmerodepgina"/>
      </w:rPr>
      <w:fldChar w:fldCharType="begin"/>
    </w:r>
    <w:r w:rsidR="005769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6F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7698D" w:rsidRDefault="0057698D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03F"/>
    <w:multiLevelType w:val="hybridMultilevel"/>
    <w:tmpl w:val="0A36F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6517"/>
    <w:multiLevelType w:val="hybridMultilevel"/>
    <w:tmpl w:val="166A2F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63CCD"/>
    <w:multiLevelType w:val="hybridMultilevel"/>
    <w:tmpl w:val="A6826936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3">
    <w:nsid w:val="4C1504EE"/>
    <w:multiLevelType w:val="hybridMultilevel"/>
    <w:tmpl w:val="1C62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D5CA0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55085974"/>
    <w:multiLevelType w:val="hybridMultilevel"/>
    <w:tmpl w:val="02C6E0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5297A"/>
    <w:multiLevelType w:val="hybridMultilevel"/>
    <w:tmpl w:val="DFDED468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>
    <w:nsid w:val="65B81CAB"/>
    <w:multiLevelType w:val="hybridMultilevel"/>
    <w:tmpl w:val="20D26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12BC4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7CEE78F2"/>
    <w:multiLevelType w:val="hybridMultilevel"/>
    <w:tmpl w:val="45C8635C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7C402F"/>
    <w:multiLevelType w:val="hybridMultilevel"/>
    <w:tmpl w:val="C1DCADE8"/>
    <w:lvl w:ilvl="0" w:tplc="CD944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363D"/>
    <w:rsid w:val="000120B1"/>
    <w:rsid w:val="0003400B"/>
    <w:rsid w:val="00083EF8"/>
    <w:rsid w:val="00090D90"/>
    <w:rsid w:val="0009335B"/>
    <w:rsid w:val="000C2C72"/>
    <w:rsid w:val="000E703C"/>
    <w:rsid w:val="000F18E0"/>
    <w:rsid w:val="000F602E"/>
    <w:rsid w:val="0010525B"/>
    <w:rsid w:val="0012523E"/>
    <w:rsid w:val="00125585"/>
    <w:rsid w:val="00126B2D"/>
    <w:rsid w:val="00131024"/>
    <w:rsid w:val="00157EA9"/>
    <w:rsid w:val="001A662B"/>
    <w:rsid w:val="001A74BE"/>
    <w:rsid w:val="001D2CB7"/>
    <w:rsid w:val="001E1F9E"/>
    <w:rsid w:val="001E50C8"/>
    <w:rsid w:val="00221365"/>
    <w:rsid w:val="0022394B"/>
    <w:rsid w:val="00247171"/>
    <w:rsid w:val="0026475F"/>
    <w:rsid w:val="00264B66"/>
    <w:rsid w:val="002745FF"/>
    <w:rsid w:val="00295433"/>
    <w:rsid w:val="002B332C"/>
    <w:rsid w:val="002B4363"/>
    <w:rsid w:val="002D540D"/>
    <w:rsid w:val="002E5EEA"/>
    <w:rsid w:val="002F5558"/>
    <w:rsid w:val="003267F2"/>
    <w:rsid w:val="00333273"/>
    <w:rsid w:val="00357825"/>
    <w:rsid w:val="00371A60"/>
    <w:rsid w:val="003728C0"/>
    <w:rsid w:val="00386029"/>
    <w:rsid w:val="003A2AE6"/>
    <w:rsid w:val="003B13A4"/>
    <w:rsid w:val="003C569D"/>
    <w:rsid w:val="003D7810"/>
    <w:rsid w:val="003E10C3"/>
    <w:rsid w:val="004036BF"/>
    <w:rsid w:val="00423467"/>
    <w:rsid w:val="00447EC0"/>
    <w:rsid w:val="00480C8D"/>
    <w:rsid w:val="00491D66"/>
    <w:rsid w:val="004A77F2"/>
    <w:rsid w:val="004C5635"/>
    <w:rsid w:val="004F228B"/>
    <w:rsid w:val="00516C53"/>
    <w:rsid w:val="0054442E"/>
    <w:rsid w:val="0057698D"/>
    <w:rsid w:val="005941CC"/>
    <w:rsid w:val="005A2A14"/>
    <w:rsid w:val="005B2F9C"/>
    <w:rsid w:val="005C6C89"/>
    <w:rsid w:val="005F175D"/>
    <w:rsid w:val="00615C5D"/>
    <w:rsid w:val="00654C32"/>
    <w:rsid w:val="006572FB"/>
    <w:rsid w:val="00666582"/>
    <w:rsid w:val="00685122"/>
    <w:rsid w:val="00686213"/>
    <w:rsid w:val="00687E17"/>
    <w:rsid w:val="006A4D06"/>
    <w:rsid w:val="006B2EA2"/>
    <w:rsid w:val="006B3509"/>
    <w:rsid w:val="006D1E34"/>
    <w:rsid w:val="006D292C"/>
    <w:rsid w:val="006D2B5D"/>
    <w:rsid w:val="006E64CA"/>
    <w:rsid w:val="006F5D96"/>
    <w:rsid w:val="00704D8A"/>
    <w:rsid w:val="007109E0"/>
    <w:rsid w:val="00726863"/>
    <w:rsid w:val="007C086C"/>
    <w:rsid w:val="007D3885"/>
    <w:rsid w:val="007E2BDA"/>
    <w:rsid w:val="007F48DB"/>
    <w:rsid w:val="007F5D6E"/>
    <w:rsid w:val="00817504"/>
    <w:rsid w:val="008579C6"/>
    <w:rsid w:val="00863A5B"/>
    <w:rsid w:val="00884E47"/>
    <w:rsid w:val="008A4869"/>
    <w:rsid w:val="008B3CCF"/>
    <w:rsid w:val="00914D6E"/>
    <w:rsid w:val="00922000"/>
    <w:rsid w:val="00952511"/>
    <w:rsid w:val="0096306F"/>
    <w:rsid w:val="00984153"/>
    <w:rsid w:val="009A0A82"/>
    <w:rsid w:val="009A6C30"/>
    <w:rsid w:val="009A6CC6"/>
    <w:rsid w:val="009C2254"/>
    <w:rsid w:val="009E5E62"/>
    <w:rsid w:val="00A15ED7"/>
    <w:rsid w:val="00A17021"/>
    <w:rsid w:val="00A52B29"/>
    <w:rsid w:val="00A63DE2"/>
    <w:rsid w:val="00A67BA6"/>
    <w:rsid w:val="00A72A32"/>
    <w:rsid w:val="00A82553"/>
    <w:rsid w:val="00A82CDE"/>
    <w:rsid w:val="00A97AD0"/>
    <w:rsid w:val="00AD16AC"/>
    <w:rsid w:val="00AD2033"/>
    <w:rsid w:val="00AF2CDF"/>
    <w:rsid w:val="00B23012"/>
    <w:rsid w:val="00B40995"/>
    <w:rsid w:val="00B45F6B"/>
    <w:rsid w:val="00B565B6"/>
    <w:rsid w:val="00B650CF"/>
    <w:rsid w:val="00B70538"/>
    <w:rsid w:val="00BC7D9F"/>
    <w:rsid w:val="00BE51EA"/>
    <w:rsid w:val="00C24B2D"/>
    <w:rsid w:val="00C40361"/>
    <w:rsid w:val="00C4414C"/>
    <w:rsid w:val="00C65ACB"/>
    <w:rsid w:val="00C87A3E"/>
    <w:rsid w:val="00C9172A"/>
    <w:rsid w:val="00CB0F7F"/>
    <w:rsid w:val="00CC0A2F"/>
    <w:rsid w:val="00CE23DC"/>
    <w:rsid w:val="00CE56F0"/>
    <w:rsid w:val="00D05325"/>
    <w:rsid w:val="00D121F2"/>
    <w:rsid w:val="00D3449A"/>
    <w:rsid w:val="00D4687D"/>
    <w:rsid w:val="00D46AF0"/>
    <w:rsid w:val="00D66153"/>
    <w:rsid w:val="00D74D0E"/>
    <w:rsid w:val="00DA59E7"/>
    <w:rsid w:val="00DB450B"/>
    <w:rsid w:val="00DE4754"/>
    <w:rsid w:val="00DE6028"/>
    <w:rsid w:val="00DF07EF"/>
    <w:rsid w:val="00DF2DC8"/>
    <w:rsid w:val="00E0502C"/>
    <w:rsid w:val="00E119C5"/>
    <w:rsid w:val="00E32B99"/>
    <w:rsid w:val="00E41DB9"/>
    <w:rsid w:val="00E554B9"/>
    <w:rsid w:val="00E65D19"/>
    <w:rsid w:val="00E718BA"/>
    <w:rsid w:val="00E76A7A"/>
    <w:rsid w:val="00EB42C2"/>
    <w:rsid w:val="00EC4E85"/>
    <w:rsid w:val="00EE0A18"/>
    <w:rsid w:val="00EE65ED"/>
    <w:rsid w:val="00EF692E"/>
    <w:rsid w:val="00F0088F"/>
    <w:rsid w:val="00F1207F"/>
    <w:rsid w:val="00F16379"/>
    <w:rsid w:val="00F31C0A"/>
    <w:rsid w:val="00F472A0"/>
    <w:rsid w:val="00F71629"/>
    <w:rsid w:val="00FC4310"/>
    <w:rsid w:val="00FE0819"/>
    <w:rsid w:val="00FE0EA4"/>
    <w:rsid w:val="00FF1D46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semiHidden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4363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Cesar Gavilanes Paredes</cp:lastModifiedBy>
  <cp:revision>10</cp:revision>
  <cp:lastPrinted>2012-06-27T16:38:00Z</cp:lastPrinted>
  <dcterms:created xsi:type="dcterms:W3CDTF">2012-06-26T17:10:00Z</dcterms:created>
  <dcterms:modified xsi:type="dcterms:W3CDTF">2012-06-27T16:53:00Z</dcterms:modified>
</cp:coreProperties>
</file>