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A70" w:rsidRDefault="00D72CE9">
      <w:pPr>
        <w:pStyle w:val="Textoindependiente"/>
        <w:jc w:val="center"/>
        <w:rPr>
          <w:b/>
          <w:bCs/>
        </w:rPr>
      </w:pPr>
      <w:r>
        <w:rPr>
          <w:b/>
          <w:bCs/>
        </w:rPr>
        <w:t xml:space="preserve">CÁLCULO Y </w:t>
      </w:r>
      <w:r w:rsidR="00736A70">
        <w:rPr>
          <w:b/>
          <w:bCs/>
        </w:rPr>
        <w:t>VALORACIÓN ACTUARIAL DE PRIMAS DE SEGUROS DE VEHÍCULOS EN LA PROVINCIA DEL GUAYAS</w:t>
      </w:r>
    </w:p>
    <w:p w:rsidR="00736A70" w:rsidRDefault="00736A70">
      <w:pPr>
        <w:pStyle w:val="Textoindependiente"/>
        <w:jc w:val="center"/>
        <w:rPr>
          <w:b/>
          <w:bCs/>
        </w:rPr>
      </w:pPr>
    </w:p>
    <w:p w:rsidR="00736A70" w:rsidRDefault="00736A70">
      <w:pPr>
        <w:pStyle w:val="Textoindependiente"/>
        <w:rPr>
          <w:b/>
          <w:bCs/>
          <w:sz w:val="22"/>
          <w:vertAlign w:val="superscript"/>
        </w:rPr>
      </w:pPr>
      <w:r>
        <w:rPr>
          <w:b/>
          <w:bCs/>
          <w:sz w:val="22"/>
        </w:rPr>
        <w:t>Salazar Danny</w:t>
      </w:r>
      <w:r>
        <w:rPr>
          <w:b/>
          <w:bCs/>
          <w:sz w:val="22"/>
          <w:vertAlign w:val="superscript"/>
        </w:rPr>
        <w:t>1</w:t>
      </w:r>
      <w:r>
        <w:rPr>
          <w:b/>
          <w:bCs/>
          <w:sz w:val="22"/>
        </w:rPr>
        <w:t>, Sandoya Fernando</w:t>
      </w:r>
      <w:r>
        <w:rPr>
          <w:b/>
          <w:bCs/>
          <w:sz w:val="22"/>
          <w:vertAlign w:val="superscript"/>
        </w:rPr>
        <w:t>2</w:t>
      </w:r>
    </w:p>
    <w:p w:rsidR="00736A70" w:rsidRDefault="00736A70">
      <w:pPr>
        <w:pStyle w:val="Textoindependiente"/>
        <w:rPr>
          <w:b/>
          <w:bCs/>
          <w:sz w:val="22"/>
        </w:rPr>
      </w:pPr>
    </w:p>
    <w:p w:rsidR="00736A70" w:rsidRDefault="00736A70">
      <w:pPr>
        <w:pStyle w:val="Textoindependiente"/>
        <w:jc w:val="center"/>
        <w:rPr>
          <w:b/>
        </w:rPr>
      </w:pPr>
      <w:r>
        <w:rPr>
          <w:b/>
        </w:rPr>
        <w:t>RESUMEN</w:t>
      </w:r>
    </w:p>
    <w:p w:rsidR="00736A70" w:rsidRDefault="00736A70">
      <w:pPr>
        <w:pStyle w:val="Textoindependiente"/>
        <w:jc w:val="center"/>
        <w:rPr>
          <w:b/>
        </w:rPr>
      </w:pPr>
    </w:p>
    <w:p w:rsidR="00736A70" w:rsidRDefault="00736A70">
      <w:pPr>
        <w:pStyle w:val="Textoindependiente"/>
        <w:ind w:right="8"/>
        <w:rPr>
          <w:i/>
          <w:iCs/>
          <w:sz w:val="20"/>
        </w:rPr>
      </w:pPr>
      <w:r>
        <w:rPr>
          <w:i/>
          <w:iCs/>
          <w:sz w:val="20"/>
        </w:rPr>
        <w:t xml:space="preserve">El presente trabajo desarrolla un modelo actuarial para valorar las primas de un seguro de vehículos considerando el comportamiento de la persona cuando conduce. Ya que los datos no provienen de aseguradora alguna se tomó como supuesto que el portafolio de clientes sean todos los dueños de vehículos en la Provincia del Guayas. En su primera parte, se muestran conceptos básicos del Sistema Bonus Malus, comparando los seguros de vida con los seguros de no-vida. </w:t>
      </w:r>
    </w:p>
    <w:p w:rsidR="00736A70" w:rsidRDefault="00736A70">
      <w:pPr>
        <w:pStyle w:val="Textoindependiente"/>
        <w:ind w:right="8"/>
        <w:rPr>
          <w:i/>
          <w:iCs/>
          <w:sz w:val="20"/>
        </w:rPr>
      </w:pPr>
      <w:r>
        <w:rPr>
          <w:i/>
          <w:iCs/>
          <w:sz w:val="20"/>
        </w:rPr>
        <w:t>En la segunda parte, se analiza el portafolio de asegurados, mostr</w:t>
      </w:r>
      <w:r w:rsidR="00B65E19">
        <w:rPr>
          <w:i/>
          <w:iCs/>
          <w:sz w:val="20"/>
        </w:rPr>
        <w:t xml:space="preserve">ando que Guayaquil es la ciudad de la Provincia </w:t>
      </w:r>
      <w:r>
        <w:rPr>
          <w:i/>
          <w:iCs/>
          <w:sz w:val="20"/>
        </w:rPr>
        <w:t xml:space="preserve">con mayor índice </w:t>
      </w:r>
      <w:r w:rsidR="00B65E19">
        <w:rPr>
          <w:i/>
          <w:iCs/>
          <w:sz w:val="20"/>
        </w:rPr>
        <w:t xml:space="preserve">relativo </w:t>
      </w:r>
      <w:r>
        <w:rPr>
          <w:i/>
          <w:iCs/>
          <w:sz w:val="20"/>
        </w:rPr>
        <w:t xml:space="preserve">de accidentes. Los buses y camiones presentan mayor cantidad de </w:t>
      </w:r>
      <w:r w:rsidR="00B65E19">
        <w:rPr>
          <w:i/>
          <w:iCs/>
          <w:sz w:val="20"/>
        </w:rPr>
        <w:t>daños graves</w:t>
      </w:r>
      <w:r>
        <w:rPr>
          <w:i/>
          <w:iCs/>
          <w:sz w:val="20"/>
        </w:rPr>
        <w:t xml:space="preserve">. La desobediencia a las leyes de tránsito es una de las principales causas de accidentes, </w:t>
      </w:r>
      <w:r w:rsidR="00B65E19">
        <w:rPr>
          <w:i/>
          <w:iCs/>
          <w:sz w:val="20"/>
        </w:rPr>
        <w:t>observándose que</w:t>
      </w:r>
      <w:r>
        <w:rPr>
          <w:i/>
          <w:iCs/>
          <w:sz w:val="20"/>
        </w:rPr>
        <w:t xml:space="preserve"> el 71,5% desencadenaron daños leves a los vehículos, el 96,6% son de estructura metálica. </w:t>
      </w:r>
    </w:p>
    <w:p w:rsidR="00736A70" w:rsidRDefault="00736A70">
      <w:pPr>
        <w:pStyle w:val="Textoindependiente"/>
        <w:ind w:right="8"/>
        <w:rPr>
          <w:i/>
          <w:iCs/>
          <w:sz w:val="20"/>
        </w:rPr>
      </w:pPr>
      <w:r>
        <w:rPr>
          <w:i/>
          <w:iCs/>
          <w:sz w:val="20"/>
        </w:rPr>
        <w:t xml:space="preserve"> Para finalizar se muestra como se construye el modelo actuarial,  ajustando la distribución  de accidentes a la distribución binomial negativa. Luego modelando los descuentos y recargos propios del Sistema Bonus Malus a través del principio de la Utilidad Cero, logrando que los recargos sean menos estrictos. </w:t>
      </w:r>
    </w:p>
    <w:p w:rsidR="00736A70" w:rsidRDefault="00736A70">
      <w:pPr>
        <w:pStyle w:val="Textoindependiente"/>
        <w:tabs>
          <w:tab w:val="right" w:pos="8520"/>
        </w:tabs>
        <w:ind w:right="8"/>
        <w:rPr>
          <w:i/>
          <w:iCs/>
          <w:sz w:val="20"/>
        </w:rPr>
      </w:pPr>
      <w:r>
        <w:rPr>
          <w:i/>
          <w:iCs/>
          <w:sz w:val="20"/>
        </w:rPr>
        <w:t>Se presentan tablas y gráficos que complementan el contenido de este trabajo.</w:t>
      </w:r>
    </w:p>
    <w:p w:rsidR="00736A70" w:rsidRDefault="00736A70">
      <w:pPr>
        <w:pStyle w:val="Textoindependiente"/>
        <w:tabs>
          <w:tab w:val="right" w:pos="8520"/>
        </w:tabs>
        <w:ind w:right="8"/>
        <w:rPr>
          <w:i/>
          <w:iCs/>
          <w:sz w:val="8"/>
          <w:szCs w:val="8"/>
        </w:rPr>
      </w:pPr>
    </w:p>
    <w:p w:rsidR="00736A70" w:rsidRDefault="00736A70">
      <w:pPr>
        <w:pStyle w:val="Textoindependiente"/>
        <w:ind w:right="8"/>
        <w:rPr>
          <w:sz w:val="16"/>
        </w:rPr>
      </w:pPr>
      <w:r>
        <w:rPr>
          <w:b/>
          <w:bCs/>
          <w:sz w:val="16"/>
        </w:rPr>
        <w:t>Palabras Claves:</w:t>
      </w:r>
      <w:r>
        <w:rPr>
          <w:sz w:val="16"/>
        </w:rPr>
        <w:t xml:space="preserve"> Sistema Bonus Malus, Seguros</w:t>
      </w:r>
      <w:r w:rsidR="00B65E19">
        <w:rPr>
          <w:sz w:val="16"/>
        </w:rPr>
        <w:t xml:space="preserve"> de Vehículos</w:t>
      </w:r>
      <w:r>
        <w:rPr>
          <w:sz w:val="16"/>
        </w:rPr>
        <w:t xml:space="preserve">, Primas, </w:t>
      </w:r>
      <w:r w:rsidR="00B65E19">
        <w:rPr>
          <w:sz w:val="16"/>
        </w:rPr>
        <w:t>Análisis Actuarial</w:t>
      </w:r>
    </w:p>
    <w:p w:rsidR="00736A70" w:rsidRDefault="00736A70">
      <w:pPr>
        <w:jc w:val="center"/>
        <w:rPr>
          <w:b/>
          <w:bCs/>
          <w:sz w:val="8"/>
          <w:lang w:val="es-ES"/>
        </w:rPr>
      </w:pPr>
    </w:p>
    <w:p w:rsidR="00736A70" w:rsidRDefault="00736A70">
      <w:pPr>
        <w:rPr>
          <w:sz w:val="16"/>
          <w:lang w:val="es-ES"/>
        </w:rPr>
      </w:pPr>
    </w:p>
    <w:p w:rsidR="00736A70" w:rsidRDefault="00736A70">
      <w:pPr>
        <w:jc w:val="center"/>
        <w:rPr>
          <w:i/>
          <w:iCs/>
          <w:sz w:val="20"/>
          <w:szCs w:val="20"/>
          <w:lang w:val="es-ES"/>
        </w:rPr>
      </w:pPr>
      <w:r>
        <w:rPr>
          <w:i/>
          <w:iCs/>
          <w:sz w:val="20"/>
          <w:szCs w:val="20"/>
          <w:lang w:val="es-ES"/>
        </w:rPr>
        <w:t xml:space="preserve">Salazar Danny, Ingeniero en Estadística Informática 2004; (e-mail: </w:t>
      </w:r>
      <w:hyperlink r:id="rId7" w:history="1">
        <w:r>
          <w:rPr>
            <w:rStyle w:val="Hipervnculo"/>
            <w:i/>
            <w:iCs/>
            <w:sz w:val="20"/>
            <w:szCs w:val="20"/>
            <w:lang w:val="es-ES"/>
          </w:rPr>
          <w:t>dsalazar81@hotmail.com</w:t>
        </w:r>
      </w:hyperlink>
      <w:r>
        <w:rPr>
          <w:i/>
          <w:iCs/>
          <w:sz w:val="20"/>
          <w:szCs w:val="20"/>
          <w:lang w:val="es-ES"/>
        </w:rPr>
        <w:t xml:space="preserve"> )</w:t>
      </w:r>
    </w:p>
    <w:p w:rsidR="00736A70" w:rsidRDefault="00736A70">
      <w:pPr>
        <w:jc w:val="center"/>
        <w:rPr>
          <w:i/>
          <w:iCs/>
          <w:sz w:val="20"/>
          <w:szCs w:val="20"/>
          <w:lang w:val="es-ES"/>
        </w:rPr>
      </w:pPr>
      <w:r>
        <w:rPr>
          <w:i/>
          <w:iCs/>
          <w:sz w:val="20"/>
          <w:szCs w:val="20"/>
          <w:lang w:val="es-ES"/>
        </w:rPr>
        <w:t xml:space="preserve"> Sandoya Fernando, Matemático, Escuela Superior Politécnica Nacional, Profesor de ESPOL; (e-mail:f</w:t>
      </w:r>
      <w:r w:rsidR="00B65E19">
        <w:rPr>
          <w:i/>
          <w:iCs/>
          <w:sz w:val="20"/>
          <w:szCs w:val="20"/>
          <w:lang w:val="es-ES"/>
        </w:rPr>
        <w:t>sandoya</w:t>
      </w:r>
      <w:r>
        <w:rPr>
          <w:i/>
          <w:iCs/>
          <w:sz w:val="20"/>
          <w:szCs w:val="20"/>
          <w:lang w:val="es-ES"/>
        </w:rPr>
        <w:t>@</w:t>
      </w:r>
      <w:r w:rsidR="00B65E19">
        <w:rPr>
          <w:i/>
          <w:iCs/>
          <w:sz w:val="20"/>
          <w:szCs w:val="20"/>
          <w:lang w:val="es-ES"/>
        </w:rPr>
        <w:t>espol.edu.ec</w:t>
      </w:r>
      <w:r>
        <w:rPr>
          <w:i/>
          <w:iCs/>
          <w:sz w:val="20"/>
          <w:szCs w:val="20"/>
          <w:lang w:val="es-ES"/>
        </w:rPr>
        <w:t>).</w:t>
      </w:r>
    </w:p>
    <w:p w:rsidR="00736A70" w:rsidRDefault="00736A70">
      <w:pPr>
        <w:jc w:val="center"/>
        <w:rPr>
          <w:b/>
          <w:bCs/>
          <w:sz w:val="8"/>
          <w:lang w:val="es-ES"/>
        </w:rPr>
      </w:pPr>
    </w:p>
    <w:p w:rsidR="00736A70" w:rsidRDefault="00736A70">
      <w:pPr>
        <w:jc w:val="center"/>
        <w:rPr>
          <w:b/>
          <w:bCs/>
          <w:sz w:val="20"/>
          <w:lang w:val="es-ES"/>
        </w:rPr>
      </w:pPr>
    </w:p>
    <w:p w:rsidR="00736A70" w:rsidRDefault="00736A70">
      <w:pPr>
        <w:jc w:val="center"/>
        <w:rPr>
          <w:b/>
          <w:bCs/>
          <w:sz w:val="20"/>
          <w:lang w:val="es-ES"/>
        </w:rPr>
      </w:pPr>
      <w:r>
        <w:rPr>
          <w:b/>
          <w:bCs/>
          <w:sz w:val="20"/>
          <w:lang w:val="es-ES"/>
        </w:rPr>
        <w:t>1. INTRODUCCIÓN</w:t>
      </w:r>
    </w:p>
    <w:p w:rsidR="00736A70" w:rsidRDefault="00736A70">
      <w:pPr>
        <w:jc w:val="both"/>
        <w:rPr>
          <w:sz w:val="20"/>
          <w:szCs w:val="20"/>
          <w:lang w:val="es-ES"/>
        </w:rPr>
      </w:pPr>
      <w:r>
        <w:rPr>
          <w:sz w:val="20"/>
          <w:szCs w:val="20"/>
          <w:lang w:val="es-ES"/>
        </w:rPr>
        <w:t xml:space="preserve">La mayoría de las empresas aseguradoras en el país ofertan seguros desarrollados  para otras realidades </w:t>
      </w:r>
      <w:r w:rsidR="00B65E19">
        <w:rPr>
          <w:sz w:val="20"/>
          <w:szCs w:val="20"/>
          <w:lang w:val="es-ES"/>
        </w:rPr>
        <w:t xml:space="preserve">que </w:t>
      </w:r>
      <w:r>
        <w:rPr>
          <w:sz w:val="20"/>
          <w:szCs w:val="20"/>
          <w:lang w:val="es-ES"/>
        </w:rPr>
        <w:t xml:space="preserve">no se ajustan plenamente a la situación nacional, por lo que no se puede brindar un mejor servicio y generar mayor eficiencia al comprador. </w:t>
      </w:r>
    </w:p>
    <w:p w:rsidR="00736A70" w:rsidRDefault="00736A70">
      <w:pPr>
        <w:jc w:val="both"/>
        <w:rPr>
          <w:sz w:val="20"/>
          <w:szCs w:val="20"/>
          <w:lang w:val="es-ES"/>
        </w:rPr>
      </w:pPr>
      <w:r>
        <w:rPr>
          <w:sz w:val="20"/>
          <w:szCs w:val="20"/>
          <w:lang w:val="es-ES"/>
        </w:rPr>
        <w:t>En la actualidad los seguros de vehículos desarrollados obvian una situación muy importante, el comportamiento del cliente en pleno uso del seguro, fijémonos en el caso de los conductores que evitan daños, no es justo que ellos paguen lo mismo que los conductores con antecedentes negativos.</w:t>
      </w:r>
    </w:p>
    <w:p w:rsidR="00736A70" w:rsidRDefault="00736A70">
      <w:pPr>
        <w:jc w:val="both"/>
        <w:rPr>
          <w:sz w:val="20"/>
          <w:szCs w:val="20"/>
          <w:lang w:val="es-ES"/>
        </w:rPr>
      </w:pPr>
      <w:r>
        <w:rPr>
          <w:sz w:val="20"/>
          <w:szCs w:val="20"/>
          <w:lang w:val="es-ES"/>
        </w:rPr>
        <w:t xml:space="preserve">Es por eso que tomamos en cuenta el Modelo BONUS-MALUS para desarrollar un modelo actuarial que permita establecer el valor de las primas basándose en el historial del cliente, modelo por el cual utilizamos los datos históricos de siniestros ocurridos en la Provincia del Guayas.  </w:t>
      </w:r>
    </w:p>
    <w:p w:rsidR="00736A70" w:rsidRDefault="00736A70">
      <w:pPr>
        <w:jc w:val="both"/>
        <w:rPr>
          <w:sz w:val="20"/>
          <w:szCs w:val="20"/>
          <w:lang w:val="es-ES"/>
        </w:rPr>
      </w:pPr>
    </w:p>
    <w:p w:rsidR="00736A70" w:rsidRDefault="00736A70">
      <w:pPr>
        <w:jc w:val="center"/>
        <w:rPr>
          <w:b/>
          <w:bCs/>
          <w:sz w:val="20"/>
          <w:lang w:val="es-ES"/>
        </w:rPr>
      </w:pPr>
      <w:r>
        <w:rPr>
          <w:b/>
          <w:bCs/>
          <w:sz w:val="20"/>
          <w:lang w:val="es-ES"/>
        </w:rPr>
        <w:t>2. SISTEMA BONUS MALUS</w:t>
      </w:r>
    </w:p>
    <w:p w:rsidR="00736A70" w:rsidRDefault="00736A70">
      <w:pPr>
        <w:jc w:val="both"/>
        <w:rPr>
          <w:sz w:val="20"/>
          <w:szCs w:val="20"/>
          <w:lang w:val="es-ES"/>
        </w:rPr>
      </w:pPr>
      <w:r>
        <w:rPr>
          <w:sz w:val="20"/>
          <w:szCs w:val="20"/>
          <w:lang w:val="es-ES"/>
        </w:rPr>
        <w:t xml:space="preserve">El modelo BONUS-MALUS se basa en la teoría matemática de seguros de no-vida. Desarrollar seguros bajo este concepto puede resultar un poco complicado ya que mientras en el campo del seguro de vida, la compañía usualmente paga al asegurado cuando muere o la póliza cumple su período de vigencia, en el campo del seguro de no-vida el asegurado puede ser víctima de algunas pérdidas tales como en el caso de seguro de automóviles, seguros de robo de casa e incendio. </w:t>
      </w:r>
    </w:p>
    <w:p w:rsidR="00736A70" w:rsidRDefault="00736A70">
      <w:pPr>
        <w:jc w:val="both"/>
        <w:rPr>
          <w:sz w:val="20"/>
          <w:szCs w:val="20"/>
          <w:lang w:val="es-ES"/>
        </w:rPr>
      </w:pPr>
      <w:r>
        <w:rPr>
          <w:sz w:val="20"/>
          <w:szCs w:val="20"/>
          <w:lang w:val="es-ES"/>
        </w:rPr>
        <w:t>Además en el seguro de vida, la cantidad a ser pagada por la compañía es determinada por la inspección de modo que se la conoce de antemano. En el caso de seguros de no-vida la cantidad a pagar por la compañía es una variable aleatoria, de modo que hay que tener mayores cuidados para tener un sistema económicamente balanceado.</w:t>
      </w:r>
    </w:p>
    <w:p w:rsidR="00736A70" w:rsidRDefault="00736A70">
      <w:pPr>
        <w:jc w:val="both"/>
        <w:rPr>
          <w:sz w:val="20"/>
          <w:szCs w:val="20"/>
          <w:lang w:val="es-ES"/>
        </w:rPr>
      </w:pPr>
      <w:r>
        <w:rPr>
          <w:sz w:val="20"/>
          <w:szCs w:val="20"/>
          <w:lang w:val="es-ES"/>
        </w:rPr>
        <w:t>Los problemas estadísticos asociados con la estimación de los parámetros son más difíciles de calcular en el campo de seguro de no-vida. En los seguros de vida basta con revisiones periódicas para mantener actualizadas las primas. En cambio, en el campo del seguro de no-vida, cualquier cambio en las condiciones económicas hace que los cálculos de los índices de las primas sean mucho más difíciles de realizar.</w:t>
      </w:r>
    </w:p>
    <w:p w:rsidR="00736A70" w:rsidRDefault="00736A70">
      <w:pPr>
        <w:jc w:val="both"/>
        <w:rPr>
          <w:sz w:val="20"/>
          <w:szCs w:val="20"/>
          <w:lang w:val="es-ES"/>
        </w:rPr>
      </w:pPr>
      <w:r>
        <w:rPr>
          <w:sz w:val="20"/>
          <w:szCs w:val="20"/>
          <w:lang w:val="es-ES"/>
        </w:rPr>
        <w:t>Otro punto importante es el concerniente a la duración de las pólizas, generalmente en el ramo de seguros de vida las pólizas casi siempre son de larga duración (10 años) mientras que esto es imposible de realizar en los seguros de no-vida ya que los contratos y renovaciones deben ser anuales.</w:t>
      </w:r>
    </w:p>
    <w:p w:rsidR="00736A70" w:rsidRDefault="00736A70">
      <w:pPr>
        <w:jc w:val="both"/>
        <w:rPr>
          <w:sz w:val="20"/>
          <w:szCs w:val="20"/>
          <w:lang w:val="es-ES"/>
        </w:rPr>
      </w:pPr>
      <w:r>
        <w:rPr>
          <w:sz w:val="20"/>
          <w:szCs w:val="20"/>
          <w:lang w:val="es-ES"/>
        </w:rPr>
        <w:t>En un seguro de no-vida, una estimación a priori del riesgo es difícil, algunas veces imposible. Hombre, mujer, joven, viejo, ¿cómo se puede establecer una prioridad que permita una estimación a priori sin resultar en discriminación?</w:t>
      </w:r>
    </w:p>
    <w:p w:rsidR="00736A70" w:rsidRDefault="00736A70">
      <w:pPr>
        <w:jc w:val="both"/>
        <w:rPr>
          <w:sz w:val="20"/>
          <w:szCs w:val="20"/>
          <w:lang w:val="es-ES"/>
        </w:rPr>
      </w:pPr>
      <w:r>
        <w:rPr>
          <w:sz w:val="20"/>
          <w:szCs w:val="20"/>
          <w:lang w:val="es-ES"/>
        </w:rPr>
        <w:lastRenderedPageBreak/>
        <w:t>Dada la  dificultad de  crear  modelos en  el campo  de seguros  de  no-vida, muchas veces las primas se establecen de manera antitécnica, perjudicando en la mayoría de los casos a los usuarios, y en otros casos originando déficit y quiebra en las aseg</w:t>
      </w:r>
      <w:r w:rsidR="00B65E19">
        <w:rPr>
          <w:sz w:val="20"/>
          <w:szCs w:val="20"/>
          <w:lang w:val="es-ES"/>
        </w:rPr>
        <w:t>uradoras, por esto aquí</w:t>
      </w:r>
      <w:r>
        <w:rPr>
          <w:sz w:val="20"/>
          <w:szCs w:val="20"/>
          <w:lang w:val="es-ES"/>
        </w:rPr>
        <w:t xml:space="preserve"> se aborda el tema y se trata de dar el mayor esfuerzo para obtener un resultado técnicamente responsable acorde a las necesidades de seguridad de las partes involucradas en  el seguro.</w:t>
      </w:r>
    </w:p>
    <w:p w:rsidR="00736A70" w:rsidRDefault="00736A70">
      <w:pPr>
        <w:rPr>
          <w:sz w:val="8"/>
          <w:lang w:val="es-ES"/>
        </w:rPr>
      </w:pPr>
    </w:p>
    <w:p w:rsidR="00736A70" w:rsidRDefault="00736A70">
      <w:pPr>
        <w:jc w:val="center"/>
        <w:rPr>
          <w:b/>
          <w:bCs/>
          <w:sz w:val="20"/>
          <w:lang w:val="es-ES"/>
        </w:rPr>
      </w:pPr>
      <w:r>
        <w:rPr>
          <w:b/>
          <w:bCs/>
          <w:sz w:val="20"/>
          <w:lang w:val="es-ES"/>
        </w:rPr>
        <w:t>3. ANÁLISIS ESTADÍSTICO</w:t>
      </w:r>
    </w:p>
    <w:p w:rsidR="00736A70" w:rsidRDefault="00736A70">
      <w:pPr>
        <w:jc w:val="both"/>
        <w:rPr>
          <w:bCs/>
          <w:sz w:val="20"/>
          <w:lang w:val="es-ES"/>
        </w:rPr>
      </w:pPr>
      <w:r>
        <w:rPr>
          <w:bCs/>
          <w:sz w:val="20"/>
          <w:lang w:val="es-ES"/>
        </w:rPr>
        <w:t>Comenzamos analizando las principales características del portafolio, a través de un análisis estadístico con el objetivo de establecer estimadores a priori del riesgo del asegurado a accidentarse, a continuación los análisis desarrollados.</w:t>
      </w:r>
    </w:p>
    <w:p w:rsidR="00736A70" w:rsidRDefault="00736A70">
      <w:pPr>
        <w:jc w:val="both"/>
        <w:rPr>
          <w:b/>
          <w:bCs/>
          <w:sz w:val="20"/>
          <w:lang w:val="es-ES"/>
        </w:rPr>
      </w:pPr>
      <w:r>
        <w:rPr>
          <w:b/>
          <w:bCs/>
          <w:sz w:val="20"/>
          <w:lang w:val="es-ES"/>
        </w:rPr>
        <w:t>3.1 Análisis univariado</w:t>
      </w:r>
    </w:p>
    <w:p w:rsidR="00736A70" w:rsidRDefault="00736A70">
      <w:pPr>
        <w:jc w:val="both"/>
        <w:rPr>
          <w:bCs/>
          <w:sz w:val="20"/>
          <w:lang w:val="es-ES"/>
        </w:rPr>
      </w:pPr>
      <w:r>
        <w:rPr>
          <w:bCs/>
          <w:sz w:val="20"/>
          <w:lang w:val="es-ES"/>
        </w:rPr>
        <w:t>Para este análisis se tomó como base de estudio a los 13536 vehículos involucrados en accidentes en la Provincia del Guayas entre los años 2000 y 2002; a continuación se presentan tablas de frecuencia y gráficos.</w:t>
      </w:r>
    </w:p>
    <w:p w:rsidR="00736A70" w:rsidRPr="0018701B" w:rsidRDefault="00736A70">
      <w:pPr>
        <w:pStyle w:val="Ttulo5"/>
        <w:rPr>
          <w:b w:val="0"/>
          <w:bCs w:val="0"/>
          <w:sz w:val="6"/>
          <w:szCs w:val="6"/>
        </w:rPr>
      </w:pPr>
    </w:p>
    <w:p w:rsidR="00736A70" w:rsidRDefault="00736A70">
      <w:pPr>
        <w:pStyle w:val="Ttulo5"/>
        <w:rPr>
          <w:i/>
          <w:iCs/>
        </w:rPr>
      </w:pPr>
      <w:r>
        <w:rPr>
          <w:i/>
          <w:iCs/>
        </w:rPr>
        <w:t>Estado del vehículo</w:t>
      </w:r>
    </w:p>
    <w:p w:rsidR="00736A70" w:rsidRDefault="00321D4B">
      <w:pPr>
        <w:pStyle w:val="Textoindependiente2"/>
      </w:pPr>
      <w:r>
        <w:rPr>
          <w:noProof/>
          <w:lang w:val="en-US" w:eastAsia="en-US"/>
        </w:rPr>
        <w:drawing>
          <wp:anchor distT="0" distB="0" distL="114300" distR="114300" simplePos="0" relativeHeight="251647488" behindDoc="0" locked="0" layoutInCell="1" allowOverlap="1">
            <wp:simplePos x="0" y="0"/>
            <wp:positionH relativeFrom="column">
              <wp:posOffset>1371600</wp:posOffset>
            </wp:positionH>
            <wp:positionV relativeFrom="paragraph">
              <wp:posOffset>299085</wp:posOffset>
            </wp:positionV>
            <wp:extent cx="3143250" cy="1617980"/>
            <wp:effectExtent l="0" t="3810" r="0" b="0"/>
            <wp:wrapTopAndBottom/>
            <wp:docPr id="5" name="Objeto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736A70">
        <w:t>El 71.5% de los vehículos accidentados presentaron daños leves, menor proporción de vehículos registraron daños más severos teniendo daño grave 26.3% y destrozo 2.2%.</w:t>
      </w:r>
    </w:p>
    <w:p w:rsidR="00736A70" w:rsidRDefault="00736A70">
      <w:pPr>
        <w:pStyle w:val="Ttulo5"/>
        <w:jc w:val="center"/>
        <w:rPr>
          <w:i/>
          <w:iCs/>
          <w:sz w:val="10"/>
          <w:szCs w:val="10"/>
        </w:rPr>
      </w:pPr>
      <w:r>
        <w:rPr>
          <w:iCs/>
        </w:rPr>
        <w:t>Gráfico 1.- Estado del Vehículo</w:t>
      </w:r>
      <w:r>
        <w:t xml:space="preserve"> </w:t>
      </w:r>
    </w:p>
    <w:p w:rsidR="00736A70" w:rsidRDefault="00736A70">
      <w:pPr>
        <w:pStyle w:val="Ttulo5"/>
        <w:rPr>
          <w:i/>
          <w:iCs/>
        </w:rPr>
      </w:pPr>
      <w:r>
        <w:rPr>
          <w:i/>
          <w:iCs/>
        </w:rPr>
        <w:t>Código de zona</w:t>
      </w:r>
    </w:p>
    <w:p w:rsidR="00736A70" w:rsidRDefault="00736A70">
      <w:pPr>
        <w:pStyle w:val="Textoindependiente2"/>
        <w:rPr>
          <w:bCs w:val="0"/>
        </w:rPr>
      </w:pPr>
      <w:r>
        <w:rPr>
          <w:bCs w:val="0"/>
        </w:rPr>
        <w:t>El 90.8% del total de accidentes registrados en la provincia ocurrieron en la ciudad de Guayaquil, en el resto de áreas de la provincia fueron reportados muy pocos.</w:t>
      </w:r>
    </w:p>
    <w:p w:rsidR="00736A70" w:rsidRPr="0018701B" w:rsidRDefault="00736A70">
      <w:pPr>
        <w:rPr>
          <w:sz w:val="6"/>
          <w:szCs w:val="6"/>
          <w:lang w:val="es-MX"/>
        </w:rPr>
      </w:pPr>
    </w:p>
    <w:p w:rsidR="00736A70" w:rsidRDefault="00736A70">
      <w:pPr>
        <w:pStyle w:val="Ttulo5"/>
        <w:rPr>
          <w:i/>
          <w:iCs/>
        </w:rPr>
      </w:pPr>
      <w:r>
        <w:t>Año de fabricación</w:t>
      </w:r>
    </w:p>
    <w:p w:rsidR="00736A70" w:rsidRDefault="00736A70">
      <w:pPr>
        <w:jc w:val="both"/>
        <w:rPr>
          <w:sz w:val="20"/>
          <w:lang w:val="es-ES"/>
        </w:rPr>
      </w:pPr>
      <w:r>
        <w:rPr>
          <w:sz w:val="20"/>
          <w:lang w:val="es-ES"/>
        </w:rPr>
        <w:t>La mayoría de siniestros pertenecen a los vehículos cuyo período de tiempo de fabricación es más reciente, el cual comprende entre los años 1989 a 2002 con un 58.8%, esto puede deberse a que existen más vehículos de este periodo que viejos y por eso hay tantos reportes.</w:t>
      </w:r>
    </w:p>
    <w:p w:rsidR="00736A70" w:rsidRPr="0018701B" w:rsidRDefault="00736A70">
      <w:pPr>
        <w:jc w:val="both"/>
        <w:rPr>
          <w:sz w:val="6"/>
          <w:szCs w:val="6"/>
          <w:lang w:val="es-ES"/>
        </w:rPr>
      </w:pPr>
    </w:p>
    <w:p w:rsidR="00736A70" w:rsidRDefault="00736A70">
      <w:pPr>
        <w:pStyle w:val="Ttulo5"/>
        <w:rPr>
          <w:i/>
          <w:iCs/>
        </w:rPr>
      </w:pPr>
      <w:r>
        <w:rPr>
          <w:i/>
          <w:iCs/>
        </w:rPr>
        <w:t>Tipo de vehículo</w:t>
      </w:r>
    </w:p>
    <w:p w:rsidR="00736A70" w:rsidRDefault="00736A70">
      <w:pPr>
        <w:jc w:val="both"/>
        <w:rPr>
          <w:sz w:val="20"/>
          <w:lang w:val="es-ES"/>
        </w:rPr>
      </w:pPr>
      <w:r>
        <w:rPr>
          <w:sz w:val="20"/>
          <w:lang w:val="es-ES"/>
        </w:rPr>
        <w:t>El tipo de vehículo más reportado es el Automóvil con el 39.5% de todos los casos en estudio. Los automóviles, camionetas y buses tienen la mayor participación en los accidentes, con un 79,4%</w:t>
      </w:r>
    </w:p>
    <w:p w:rsidR="00736A70" w:rsidRPr="0018701B" w:rsidRDefault="00736A70">
      <w:pPr>
        <w:rPr>
          <w:sz w:val="6"/>
          <w:szCs w:val="6"/>
          <w:lang w:val="es-ES"/>
        </w:rPr>
      </w:pPr>
    </w:p>
    <w:p w:rsidR="00736A70" w:rsidRDefault="00736A70">
      <w:pPr>
        <w:pStyle w:val="Ttulo5"/>
        <w:rPr>
          <w:i/>
          <w:iCs/>
        </w:rPr>
      </w:pPr>
      <w:r>
        <w:rPr>
          <w:i/>
          <w:iCs/>
        </w:rPr>
        <w:t>Tipo de ente</w:t>
      </w:r>
    </w:p>
    <w:p w:rsidR="00736A70" w:rsidRDefault="00736A70">
      <w:pPr>
        <w:jc w:val="both"/>
        <w:rPr>
          <w:sz w:val="20"/>
          <w:lang w:val="es-ES"/>
        </w:rPr>
      </w:pPr>
      <w:r>
        <w:rPr>
          <w:sz w:val="20"/>
          <w:lang w:val="es-ES"/>
        </w:rPr>
        <w:t xml:space="preserve">Los vehículos accidentados en el estudio pertenecen en un 87.7% a personas </w:t>
      </w:r>
      <w:r w:rsidR="00B65E19">
        <w:rPr>
          <w:sz w:val="20"/>
          <w:lang w:val="es-ES"/>
        </w:rPr>
        <w:t xml:space="preserve">particulares </w:t>
      </w:r>
      <w:r>
        <w:rPr>
          <w:sz w:val="20"/>
          <w:lang w:val="es-ES"/>
        </w:rPr>
        <w:t>y 12.3% registrados a empresas.</w:t>
      </w:r>
    </w:p>
    <w:p w:rsidR="00736A70" w:rsidRPr="0018701B" w:rsidRDefault="00736A70" w:rsidP="0018701B">
      <w:pPr>
        <w:tabs>
          <w:tab w:val="left" w:pos="708"/>
        </w:tabs>
        <w:rPr>
          <w:sz w:val="6"/>
          <w:szCs w:val="6"/>
          <w:lang w:val="es-ES"/>
        </w:rPr>
      </w:pPr>
      <w:r w:rsidRPr="0018701B">
        <w:rPr>
          <w:sz w:val="6"/>
          <w:szCs w:val="6"/>
          <w:lang w:val="es-ES"/>
        </w:rPr>
        <w:tab/>
      </w:r>
      <w:r w:rsidR="0018701B" w:rsidRPr="0018701B">
        <w:rPr>
          <w:sz w:val="6"/>
          <w:szCs w:val="6"/>
          <w:lang w:val="es-ES"/>
        </w:rPr>
        <w:tab/>
      </w:r>
    </w:p>
    <w:p w:rsidR="00736A70" w:rsidRDefault="00736A70">
      <w:pPr>
        <w:pStyle w:val="Ttulo5"/>
        <w:rPr>
          <w:i/>
          <w:iCs/>
        </w:rPr>
      </w:pPr>
      <w:r>
        <w:rPr>
          <w:i/>
          <w:iCs/>
        </w:rPr>
        <w:t>Causa de Accidente</w:t>
      </w:r>
    </w:p>
    <w:p w:rsidR="00736A70" w:rsidRDefault="00736A70">
      <w:pPr>
        <w:pStyle w:val="Textoindependiente2"/>
        <w:rPr>
          <w:bCs w:val="0"/>
          <w:lang w:val="es-ES"/>
        </w:rPr>
      </w:pPr>
      <w:r>
        <w:rPr>
          <w:bCs w:val="0"/>
          <w:lang w:val="es-ES"/>
        </w:rPr>
        <w:t>Esta es quizás la variable más importante por las conclusiones que se pueden obtener basándose en ella, la causa más relevante es la “Desobediencia del conductor” con un 65.4% del total de accidentes, esto muestra que los factores culturales de nuestra sociedad influyen en la cantidad de accidentes.</w:t>
      </w:r>
    </w:p>
    <w:p w:rsidR="00736A70" w:rsidRDefault="00321D4B">
      <w:pPr>
        <w:ind w:firstLine="708"/>
        <w:jc w:val="center"/>
        <w:rPr>
          <w:sz w:val="20"/>
          <w:lang w:val="es-ES"/>
        </w:rPr>
      </w:pPr>
      <w:r>
        <w:rPr>
          <w:noProof/>
          <w:lang w:eastAsia="en-US"/>
        </w:rPr>
        <w:drawing>
          <wp:inline distT="0" distB="0" distL="0" distR="0">
            <wp:extent cx="3343275" cy="1866900"/>
            <wp:effectExtent l="0" t="0" r="0" b="0"/>
            <wp:docPr id="13" name="Objeto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36A70" w:rsidRDefault="00736A70">
      <w:pPr>
        <w:pStyle w:val="Ttulo5"/>
        <w:jc w:val="center"/>
        <w:rPr>
          <w:b w:val="0"/>
          <w:bCs w:val="0"/>
          <w:lang w:val="es-ES"/>
        </w:rPr>
      </w:pPr>
      <w:r>
        <w:rPr>
          <w:iCs/>
        </w:rPr>
        <w:t>Gráfico 2.- Causa de Accidentes</w:t>
      </w:r>
    </w:p>
    <w:p w:rsidR="00736A70" w:rsidRDefault="00736A70">
      <w:pPr>
        <w:jc w:val="both"/>
        <w:rPr>
          <w:b/>
          <w:bCs/>
          <w:sz w:val="20"/>
          <w:lang w:val="es-ES"/>
        </w:rPr>
      </w:pPr>
    </w:p>
    <w:p w:rsidR="00736A70" w:rsidRDefault="00736A70">
      <w:pPr>
        <w:jc w:val="both"/>
        <w:rPr>
          <w:b/>
          <w:bCs/>
          <w:sz w:val="20"/>
          <w:lang w:val="es-ES"/>
        </w:rPr>
      </w:pPr>
      <w:r>
        <w:rPr>
          <w:b/>
          <w:bCs/>
          <w:sz w:val="20"/>
          <w:lang w:val="es-ES"/>
        </w:rPr>
        <w:lastRenderedPageBreak/>
        <w:t>3.2 Análisis Bivariado</w:t>
      </w:r>
    </w:p>
    <w:p w:rsidR="00736A70" w:rsidRDefault="00736A70">
      <w:pPr>
        <w:jc w:val="both"/>
        <w:rPr>
          <w:sz w:val="20"/>
          <w:lang w:val="es-ES"/>
        </w:rPr>
      </w:pPr>
      <w:r>
        <w:rPr>
          <w:sz w:val="20"/>
          <w:lang w:val="es-ES"/>
        </w:rPr>
        <w:t>A continuación se presenta el análisis estadístico bivariado con el fin de probar la existencia de correlación entre las variables en estudio, para tener una mejor idea de cómo se asocian las mismas.</w:t>
      </w:r>
    </w:p>
    <w:p w:rsidR="00736A70" w:rsidRDefault="00736A70">
      <w:pPr>
        <w:jc w:val="both"/>
        <w:rPr>
          <w:sz w:val="8"/>
          <w:lang w:val="es-ES"/>
        </w:rPr>
      </w:pPr>
    </w:p>
    <w:p w:rsidR="00736A70" w:rsidRDefault="00736A70">
      <w:pPr>
        <w:pStyle w:val="Ttulo5"/>
        <w:rPr>
          <w:i/>
          <w:iCs/>
        </w:rPr>
      </w:pPr>
      <w:r>
        <w:rPr>
          <w:i/>
          <w:iCs/>
        </w:rPr>
        <w:t>Estado del vehículo Vs. Móvil del accidente</w:t>
      </w:r>
    </w:p>
    <w:p w:rsidR="00736A70" w:rsidRDefault="00736A70">
      <w:pPr>
        <w:jc w:val="both"/>
        <w:rPr>
          <w:sz w:val="20"/>
          <w:lang w:val="es-ES"/>
        </w:rPr>
      </w:pPr>
      <w:r>
        <w:rPr>
          <w:sz w:val="20"/>
          <w:lang w:val="es-ES"/>
        </w:rPr>
        <w:t>465 vehículos de cada 1000 que sufren su accidente por motivo catalogado como normal conllevan un daño leve a la estructura del vehículo; el móvil “sin frenos” es el segundo con mayor presencia. Además, el nivel de significancia obtenido en la tabla de contingencia rechaza la hipótesis nula de independencia de las variables (valor-p = 0). Valores sobre móviles cruzados con otros estados se presentan en la Tabla I</w:t>
      </w:r>
    </w:p>
    <w:p w:rsidR="00736A70" w:rsidRDefault="00736A70">
      <w:pPr>
        <w:jc w:val="both"/>
        <w:rPr>
          <w:sz w:val="8"/>
          <w:lang w:val="es-ES"/>
        </w:rPr>
      </w:pPr>
    </w:p>
    <w:p w:rsidR="00736A70" w:rsidRDefault="00736A70">
      <w:pPr>
        <w:pStyle w:val="Ttulo5"/>
        <w:jc w:val="center"/>
        <w:rPr>
          <w:iCs/>
        </w:rPr>
      </w:pPr>
      <w:r>
        <w:rPr>
          <w:iCs/>
        </w:rPr>
        <w:t>Tabla I.- Distribución conjunta entre Estado del Vehículo y Móvil del Accidente</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1330"/>
        <w:gridCol w:w="873"/>
        <w:gridCol w:w="788"/>
        <w:gridCol w:w="1080"/>
        <w:gridCol w:w="960"/>
        <w:gridCol w:w="1080"/>
        <w:gridCol w:w="749"/>
      </w:tblGrid>
      <w:tr w:rsidR="00736A70">
        <w:trPr>
          <w:cantSplit/>
          <w:tblCellSpacing w:w="20" w:type="dxa"/>
          <w:jc w:val="center"/>
        </w:trPr>
        <w:tc>
          <w:tcPr>
            <w:tcW w:w="1270" w:type="dxa"/>
            <w:vMerge w:val="restart"/>
            <w:vAlign w:val="center"/>
          </w:tcPr>
          <w:p w:rsidR="00736A70" w:rsidRDefault="00736A70">
            <w:pPr>
              <w:jc w:val="center"/>
              <w:rPr>
                <w:sz w:val="20"/>
                <w:szCs w:val="20"/>
                <w:lang w:val="es-ES"/>
              </w:rPr>
            </w:pPr>
            <w:r>
              <w:rPr>
                <w:sz w:val="20"/>
                <w:szCs w:val="20"/>
                <w:lang w:val="es-ES"/>
              </w:rPr>
              <w:t>ESTADO DEL VEHÍCULO</w:t>
            </w:r>
          </w:p>
        </w:tc>
        <w:tc>
          <w:tcPr>
            <w:tcW w:w="4741" w:type="dxa"/>
            <w:gridSpan w:val="5"/>
            <w:vAlign w:val="center"/>
          </w:tcPr>
          <w:p w:rsidR="00736A70" w:rsidRDefault="00736A70">
            <w:pPr>
              <w:jc w:val="center"/>
              <w:rPr>
                <w:sz w:val="20"/>
                <w:szCs w:val="20"/>
                <w:lang w:val="es-ES"/>
              </w:rPr>
            </w:pPr>
            <w:r>
              <w:rPr>
                <w:sz w:val="20"/>
                <w:szCs w:val="20"/>
                <w:lang w:val="es-ES"/>
              </w:rPr>
              <w:t>MÓVIL DEL ACCIDENTE</w:t>
            </w:r>
          </w:p>
        </w:tc>
        <w:tc>
          <w:tcPr>
            <w:tcW w:w="689" w:type="dxa"/>
            <w:vMerge w:val="restart"/>
            <w:vAlign w:val="center"/>
          </w:tcPr>
          <w:p w:rsidR="00736A70" w:rsidRDefault="00736A70">
            <w:pPr>
              <w:jc w:val="center"/>
              <w:rPr>
                <w:lang w:val="es-ES"/>
              </w:rPr>
            </w:pPr>
            <w:r>
              <w:rPr>
                <w:sz w:val="20"/>
                <w:szCs w:val="20"/>
                <w:lang w:val="es-ES"/>
              </w:rPr>
              <w:t>Total</w:t>
            </w:r>
          </w:p>
        </w:tc>
      </w:tr>
      <w:tr w:rsidR="00736A70">
        <w:trPr>
          <w:cantSplit/>
          <w:tblCellSpacing w:w="20" w:type="dxa"/>
          <w:jc w:val="center"/>
        </w:trPr>
        <w:tc>
          <w:tcPr>
            <w:tcW w:w="1270" w:type="dxa"/>
            <w:vMerge/>
            <w:vAlign w:val="center"/>
          </w:tcPr>
          <w:p w:rsidR="00736A70" w:rsidRDefault="00736A70">
            <w:pPr>
              <w:rPr>
                <w:sz w:val="18"/>
                <w:szCs w:val="18"/>
                <w:lang w:val="es-ES"/>
              </w:rPr>
            </w:pPr>
          </w:p>
        </w:tc>
        <w:tc>
          <w:tcPr>
            <w:tcW w:w="833" w:type="dxa"/>
            <w:vAlign w:val="center"/>
          </w:tcPr>
          <w:p w:rsidR="00736A70" w:rsidRDefault="00736A70">
            <w:pPr>
              <w:jc w:val="right"/>
              <w:rPr>
                <w:sz w:val="18"/>
                <w:szCs w:val="18"/>
                <w:lang w:val="es-ES"/>
              </w:rPr>
            </w:pPr>
            <w:r>
              <w:rPr>
                <w:sz w:val="18"/>
                <w:szCs w:val="18"/>
                <w:lang w:val="es-ES"/>
              </w:rPr>
              <w:t>Normal</w:t>
            </w:r>
          </w:p>
        </w:tc>
        <w:tc>
          <w:tcPr>
            <w:tcW w:w="748" w:type="dxa"/>
            <w:vAlign w:val="center"/>
          </w:tcPr>
          <w:p w:rsidR="00736A70" w:rsidRDefault="00736A70">
            <w:pPr>
              <w:jc w:val="right"/>
              <w:rPr>
                <w:sz w:val="18"/>
                <w:szCs w:val="18"/>
                <w:lang w:val="es-ES"/>
              </w:rPr>
            </w:pPr>
            <w:r>
              <w:rPr>
                <w:sz w:val="18"/>
                <w:szCs w:val="18"/>
                <w:lang w:val="es-ES"/>
              </w:rPr>
              <w:t>Sin frenos</w:t>
            </w:r>
          </w:p>
        </w:tc>
        <w:tc>
          <w:tcPr>
            <w:tcW w:w="1040" w:type="dxa"/>
            <w:vAlign w:val="center"/>
          </w:tcPr>
          <w:p w:rsidR="00736A70" w:rsidRDefault="00736A70">
            <w:pPr>
              <w:jc w:val="right"/>
              <w:rPr>
                <w:sz w:val="18"/>
                <w:szCs w:val="18"/>
                <w:lang w:val="es-ES"/>
              </w:rPr>
            </w:pPr>
            <w:r>
              <w:rPr>
                <w:sz w:val="18"/>
                <w:szCs w:val="18"/>
                <w:lang w:val="es-ES"/>
              </w:rPr>
              <w:t>Explosión de llanta</w:t>
            </w:r>
          </w:p>
        </w:tc>
        <w:tc>
          <w:tcPr>
            <w:tcW w:w="920" w:type="dxa"/>
            <w:vAlign w:val="center"/>
          </w:tcPr>
          <w:p w:rsidR="00736A70" w:rsidRDefault="00736A70">
            <w:pPr>
              <w:jc w:val="right"/>
              <w:rPr>
                <w:sz w:val="18"/>
                <w:szCs w:val="18"/>
                <w:lang w:val="es-ES"/>
              </w:rPr>
            </w:pPr>
            <w:r>
              <w:rPr>
                <w:sz w:val="18"/>
                <w:szCs w:val="18"/>
                <w:lang w:val="es-ES"/>
              </w:rPr>
              <w:t>Despla-amiento de llanta</w:t>
            </w:r>
          </w:p>
        </w:tc>
        <w:tc>
          <w:tcPr>
            <w:tcW w:w="1040" w:type="dxa"/>
            <w:vAlign w:val="center"/>
          </w:tcPr>
          <w:p w:rsidR="00736A70" w:rsidRDefault="00736A70">
            <w:pPr>
              <w:jc w:val="right"/>
              <w:rPr>
                <w:sz w:val="18"/>
                <w:szCs w:val="18"/>
                <w:lang w:val="es-ES"/>
              </w:rPr>
            </w:pPr>
            <w:r>
              <w:rPr>
                <w:sz w:val="18"/>
                <w:szCs w:val="18"/>
                <w:lang w:val="es-ES"/>
              </w:rPr>
              <w:t>Dirección rota</w:t>
            </w:r>
          </w:p>
        </w:tc>
        <w:tc>
          <w:tcPr>
            <w:tcW w:w="689" w:type="dxa"/>
            <w:vMerge/>
            <w:vAlign w:val="center"/>
          </w:tcPr>
          <w:p w:rsidR="00736A70" w:rsidRDefault="00736A70">
            <w:pPr>
              <w:rPr>
                <w:sz w:val="20"/>
                <w:szCs w:val="20"/>
                <w:lang w:val="es-ES"/>
              </w:rPr>
            </w:pPr>
          </w:p>
        </w:tc>
      </w:tr>
      <w:tr w:rsidR="00736A70">
        <w:trPr>
          <w:tblCellSpacing w:w="20" w:type="dxa"/>
          <w:jc w:val="center"/>
        </w:trPr>
        <w:tc>
          <w:tcPr>
            <w:tcW w:w="1270" w:type="dxa"/>
            <w:vAlign w:val="center"/>
          </w:tcPr>
          <w:p w:rsidR="00736A70" w:rsidRDefault="00736A70">
            <w:pPr>
              <w:rPr>
                <w:sz w:val="18"/>
                <w:szCs w:val="18"/>
                <w:lang w:val="es-ES"/>
              </w:rPr>
            </w:pPr>
            <w:r>
              <w:rPr>
                <w:sz w:val="18"/>
                <w:szCs w:val="18"/>
                <w:lang w:val="es-ES"/>
              </w:rPr>
              <w:t>Leve</w:t>
            </w:r>
          </w:p>
        </w:tc>
        <w:tc>
          <w:tcPr>
            <w:tcW w:w="833" w:type="dxa"/>
            <w:vAlign w:val="bottom"/>
          </w:tcPr>
          <w:p w:rsidR="00736A70" w:rsidRDefault="00736A70">
            <w:pPr>
              <w:jc w:val="right"/>
              <w:rPr>
                <w:rFonts w:ascii="Arial" w:hAnsi="Arial" w:cs="Arial"/>
                <w:sz w:val="16"/>
                <w:szCs w:val="16"/>
                <w:lang w:val="es-ES"/>
              </w:rPr>
            </w:pPr>
            <w:r>
              <w:rPr>
                <w:rFonts w:ascii="Arial" w:hAnsi="Arial" w:cs="Arial"/>
                <w:sz w:val="16"/>
                <w:szCs w:val="16"/>
                <w:lang w:val="es-ES"/>
              </w:rPr>
              <w:t>0,465</w:t>
            </w:r>
          </w:p>
        </w:tc>
        <w:tc>
          <w:tcPr>
            <w:tcW w:w="748" w:type="dxa"/>
            <w:vAlign w:val="bottom"/>
          </w:tcPr>
          <w:p w:rsidR="00736A70" w:rsidRDefault="00736A70">
            <w:pPr>
              <w:jc w:val="right"/>
              <w:rPr>
                <w:rFonts w:ascii="Arial" w:hAnsi="Arial" w:cs="Arial"/>
                <w:sz w:val="16"/>
                <w:szCs w:val="16"/>
                <w:lang w:val="es-ES"/>
              </w:rPr>
            </w:pPr>
            <w:r>
              <w:rPr>
                <w:rFonts w:ascii="Arial" w:hAnsi="Arial" w:cs="Arial"/>
                <w:sz w:val="16"/>
                <w:szCs w:val="16"/>
                <w:lang w:val="es-ES"/>
              </w:rPr>
              <w:t>0,241</w:t>
            </w:r>
          </w:p>
        </w:tc>
        <w:tc>
          <w:tcPr>
            <w:tcW w:w="1040" w:type="dxa"/>
            <w:vAlign w:val="bottom"/>
          </w:tcPr>
          <w:p w:rsidR="00736A70" w:rsidRDefault="00736A70">
            <w:pPr>
              <w:jc w:val="right"/>
              <w:rPr>
                <w:rFonts w:ascii="Arial" w:hAnsi="Arial" w:cs="Arial"/>
                <w:sz w:val="16"/>
                <w:szCs w:val="16"/>
                <w:lang w:val="es-ES"/>
              </w:rPr>
            </w:pPr>
            <w:r>
              <w:rPr>
                <w:rFonts w:ascii="Arial" w:hAnsi="Arial" w:cs="Arial"/>
                <w:sz w:val="16"/>
                <w:szCs w:val="16"/>
                <w:lang w:val="es-ES"/>
              </w:rPr>
              <w:t>0,006</w:t>
            </w:r>
          </w:p>
        </w:tc>
        <w:tc>
          <w:tcPr>
            <w:tcW w:w="920" w:type="dxa"/>
            <w:vAlign w:val="bottom"/>
          </w:tcPr>
          <w:p w:rsidR="00736A70" w:rsidRDefault="00736A70">
            <w:pPr>
              <w:jc w:val="right"/>
              <w:rPr>
                <w:rFonts w:ascii="Arial" w:hAnsi="Arial" w:cs="Arial"/>
                <w:sz w:val="16"/>
                <w:szCs w:val="16"/>
                <w:lang w:val="es-ES"/>
              </w:rPr>
            </w:pPr>
            <w:r>
              <w:rPr>
                <w:rFonts w:ascii="Arial" w:hAnsi="Arial" w:cs="Arial"/>
                <w:sz w:val="16"/>
                <w:szCs w:val="16"/>
                <w:lang w:val="es-ES"/>
              </w:rPr>
              <w:t>0,001</w:t>
            </w:r>
          </w:p>
        </w:tc>
        <w:tc>
          <w:tcPr>
            <w:tcW w:w="1040" w:type="dxa"/>
            <w:vAlign w:val="bottom"/>
          </w:tcPr>
          <w:p w:rsidR="00736A70" w:rsidRDefault="00736A70">
            <w:pPr>
              <w:jc w:val="right"/>
              <w:rPr>
                <w:rFonts w:ascii="Arial" w:hAnsi="Arial" w:cs="Arial"/>
                <w:sz w:val="16"/>
                <w:szCs w:val="16"/>
                <w:lang w:val="es-ES"/>
              </w:rPr>
            </w:pPr>
            <w:r>
              <w:rPr>
                <w:rFonts w:ascii="Arial" w:hAnsi="Arial" w:cs="Arial"/>
                <w:sz w:val="16"/>
                <w:szCs w:val="16"/>
                <w:lang w:val="es-ES"/>
              </w:rPr>
              <w:t>0,001</w:t>
            </w:r>
          </w:p>
        </w:tc>
        <w:tc>
          <w:tcPr>
            <w:tcW w:w="689" w:type="dxa"/>
            <w:vAlign w:val="bottom"/>
          </w:tcPr>
          <w:p w:rsidR="00736A70" w:rsidRDefault="00736A70">
            <w:pPr>
              <w:jc w:val="right"/>
              <w:rPr>
                <w:rFonts w:ascii="Arial" w:hAnsi="Arial" w:cs="Arial"/>
                <w:sz w:val="16"/>
                <w:szCs w:val="16"/>
                <w:lang w:val="es-ES"/>
              </w:rPr>
            </w:pPr>
            <w:r>
              <w:rPr>
                <w:rFonts w:ascii="Arial" w:hAnsi="Arial" w:cs="Arial"/>
                <w:sz w:val="16"/>
                <w:szCs w:val="16"/>
                <w:lang w:val="es-ES"/>
              </w:rPr>
              <w:t>0,715</w:t>
            </w:r>
          </w:p>
        </w:tc>
      </w:tr>
      <w:tr w:rsidR="00736A70">
        <w:trPr>
          <w:tblCellSpacing w:w="20" w:type="dxa"/>
          <w:jc w:val="center"/>
        </w:trPr>
        <w:tc>
          <w:tcPr>
            <w:tcW w:w="1270" w:type="dxa"/>
            <w:vAlign w:val="center"/>
          </w:tcPr>
          <w:p w:rsidR="00736A70" w:rsidRDefault="00736A70">
            <w:pPr>
              <w:rPr>
                <w:sz w:val="18"/>
                <w:szCs w:val="18"/>
                <w:lang w:val="es-ES"/>
              </w:rPr>
            </w:pPr>
            <w:r>
              <w:rPr>
                <w:sz w:val="18"/>
                <w:szCs w:val="18"/>
                <w:lang w:val="es-ES"/>
              </w:rPr>
              <w:t>Grave</w:t>
            </w:r>
          </w:p>
        </w:tc>
        <w:tc>
          <w:tcPr>
            <w:tcW w:w="833" w:type="dxa"/>
            <w:vAlign w:val="bottom"/>
          </w:tcPr>
          <w:p w:rsidR="00736A70" w:rsidRDefault="00736A70">
            <w:pPr>
              <w:jc w:val="right"/>
              <w:rPr>
                <w:rFonts w:ascii="Arial" w:hAnsi="Arial" w:cs="Arial"/>
                <w:sz w:val="16"/>
                <w:szCs w:val="16"/>
                <w:lang w:val="es-ES"/>
              </w:rPr>
            </w:pPr>
            <w:r>
              <w:rPr>
                <w:rFonts w:ascii="Arial" w:hAnsi="Arial" w:cs="Arial"/>
                <w:sz w:val="16"/>
                <w:szCs w:val="16"/>
                <w:lang w:val="es-ES"/>
              </w:rPr>
              <w:t>0,250</w:t>
            </w:r>
          </w:p>
        </w:tc>
        <w:tc>
          <w:tcPr>
            <w:tcW w:w="748" w:type="dxa"/>
            <w:vAlign w:val="bottom"/>
          </w:tcPr>
          <w:p w:rsidR="00736A70" w:rsidRDefault="00736A70">
            <w:pPr>
              <w:jc w:val="right"/>
              <w:rPr>
                <w:rFonts w:ascii="Arial" w:hAnsi="Arial" w:cs="Arial"/>
                <w:sz w:val="16"/>
                <w:szCs w:val="16"/>
                <w:lang w:val="es-ES"/>
              </w:rPr>
            </w:pPr>
            <w:r>
              <w:rPr>
                <w:rFonts w:ascii="Arial" w:hAnsi="Arial" w:cs="Arial"/>
                <w:sz w:val="16"/>
                <w:szCs w:val="16"/>
                <w:lang w:val="es-ES"/>
              </w:rPr>
              <w:t>0,008</w:t>
            </w:r>
          </w:p>
        </w:tc>
        <w:tc>
          <w:tcPr>
            <w:tcW w:w="1040" w:type="dxa"/>
            <w:vAlign w:val="bottom"/>
          </w:tcPr>
          <w:p w:rsidR="00736A70" w:rsidRDefault="00736A70">
            <w:pPr>
              <w:jc w:val="right"/>
              <w:rPr>
                <w:rFonts w:ascii="Arial" w:hAnsi="Arial" w:cs="Arial"/>
                <w:sz w:val="16"/>
                <w:szCs w:val="16"/>
                <w:lang w:val="es-ES"/>
              </w:rPr>
            </w:pPr>
            <w:r>
              <w:rPr>
                <w:rFonts w:ascii="Arial" w:hAnsi="Arial" w:cs="Arial"/>
                <w:sz w:val="16"/>
                <w:szCs w:val="16"/>
                <w:lang w:val="es-ES"/>
              </w:rPr>
              <w:t>0,004</w:t>
            </w:r>
          </w:p>
        </w:tc>
        <w:tc>
          <w:tcPr>
            <w:tcW w:w="920" w:type="dxa"/>
            <w:vAlign w:val="bottom"/>
          </w:tcPr>
          <w:p w:rsidR="00736A70" w:rsidRDefault="00736A70">
            <w:pPr>
              <w:jc w:val="right"/>
              <w:rPr>
                <w:rFonts w:ascii="Arial" w:hAnsi="Arial" w:cs="Arial"/>
                <w:sz w:val="16"/>
                <w:szCs w:val="16"/>
                <w:lang w:val="es-ES"/>
              </w:rPr>
            </w:pPr>
            <w:r>
              <w:rPr>
                <w:rFonts w:ascii="Arial" w:hAnsi="Arial" w:cs="Arial"/>
                <w:sz w:val="16"/>
                <w:szCs w:val="16"/>
                <w:lang w:val="es-ES"/>
              </w:rPr>
              <w:t>0,001</w:t>
            </w:r>
          </w:p>
        </w:tc>
        <w:tc>
          <w:tcPr>
            <w:tcW w:w="1040" w:type="dxa"/>
            <w:vAlign w:val="bottom"/>
          </w:tcPr>
          <w:p w:rsidR="00736A70" w:rsidRDefault="00736A70">
            <w:pPr>
              <w:jc w:val="right"/>
              <w:rPr>
                <w:rFonts w:ascii="Arial" w:hAnsi="Arial" w:cs="Arial"/>
                <w:sz w:val="16"/>
                <w:szCs w:val="16"/>
                <w:lang w:val="es-ES"/>
              </w:rPr>
            </w:pPr>
            <w:r>
              <w:rPr>
                <w:rFonts w:ascii="Arial" w:hAnsi="Arial" w:cs="Arial"/>
                <w:sz w:val="16"/>
                <w:szCs w:val="16"/>
                <w:lang w:val="es-ES"/>
              </w:rPr>
              <w:t>0,001</w:t>
            </w:r>
          </w:p>
        </w:tc>
        <w:tc>
          <w:tcPr>
            <w:tcW w:w="689" w:type="dxa"/>
            <w:vAlign w:val="bottom"/>
          </w:tcPr>
          <w:p w:rsidR="00736A70" w:rsidRDefault="00736A70">
            <w:pPr>
              <w:jc w:val="right"/>
              <w:rPr>
                <w:rFonts w:ascii="Arial" w:hAnsi="Arial" w:cs="Arial"/>
                <w:sz w:val="16"/>
                <w:szCs w:val="16"/>
                <w:lang w:val="es-ES"/>
              </w:rPr>
            </w:pPr>
            <w:r>
              <w:rPr>
                <w:rFonts w:ascii="Arial" w:hAnsi="Arial" w:cs="Arial"/>
                <w:sz w:val="16"/>
                <w:szCs w:val="16"/>
                <w:lang w:val="es-ES"/>
              </w:rPr>
              <w:t>0,263</w:t>
            </w:r>
          </w:p>
        </w:tc>
      </w:tr>
      <w:tr w:rsidR="00736A70">
        <w:trPr>
          <w:tblCellSpacing w:w="20" w:type="dxa"/>
          <w:jc w:val="center"/>
        </w:trPr>
        <w:tc>
          <w:tcPr>
            <w:tcW w:w="1270" w:type="dxa"/>
            <w:vAlign w:val="center"/>
          </w:tcPr>
          <w:p w:rsidR="00736A70" w:rsidRDefault="00736A70">
            <w:pPr>
              <w:rPr>
                <w:sz w:val="18"/>
                <w:szCs w:val="18"/>
                <w:lang w:val="es-ES"/>
              </w:rPr>
            </w:pPr>
            <w:r>
              <w:rPr>
                <w:sz w:val="18"/>
                <w:szCs w:val="18"/>
                <w:lang w:val="es-ES"/>
              </w:rPr>
              <w:t>Destrozado</w:t>
            </w:r>
          </w:p>
        </w:tc>
        <w:tc>
          <w:tcPr>
            <w:tcW w:w="833" w:type="dxa"/>
            <w:vAlign w:val="bottom"/>
          </w:tcPr>
          <w:p w:rsidR="00736A70" w:rsidRDefault="00736A70">
            <w:pPr>
              <w:jc w:val="right"/>
              <w:rPr>
                <w:rFonts w:ascii="Arial" w:hAnsi="Arial" w:cs="Arial"/>
                <w:sz w:val="16"/>
                <w:szCs w:val="16"/>
                <w:lang w:val="es-ES"/>
              </w:rPr>
            </w:pPr>
            <w:r>
              <w:rPr>
                <w:rFonts w:ascii="Arial" w:hAnsi="Arial" w:cs="Arial"/>
                <w:sz w:val="16"/>
                <w:szCs w:val="16"/>
                <w:lang w:val="es-ES"/>
              </w:rPr>
              <w:t>0,019</w:t>
            </w:r>
          </w:p>
        </w:tc>
        <w:tc>
          <w:tcPr>
            <w:tcW w:w="748" w:type="dxa"/>
            <w:vAlign w:val="bottom"/>
          </w:tcPr>
          <w:p w:rsidR="00736A70" w:rsidRDefault="00736A70">
            <w:pPr>
              <w:jc w:val="right"/>
              <w:rPr>
                <w:rFonts w:ascii="Arial" w:hAnsi="Arial" w:cs="Arial"/>
                <w:sz w:val="16"/>
                <w:szCs w:val="16"/>
                <w:lang w:val="es-ES"/>
              </w:rPr>
            </w:pPr>
            <w:r>
              <w:rPr>
                <w:rFonts w:ascii="Arial" w:hAnsi="Arial" w:cs="Arial"/>
                <w:sz w:val="16"/>
                <w:szCs w:val="16"/>
                <w:lang w:val="es-ES"/>
              </w:rPr>
              <w:t>0,002</w:t>
            </w:r>
          </w:p>
        </w:tc>
        <w:tc>
          <w:tcPr>
            <w:tcW w:w="1040" w:type="dxa"/>
            <w:vAlign w:val="bottom"/>
          </w:tcPr>
          <w:p w:rsidR="00736A70" w:rsidRDefault="00736A70">
            <w:pPr>
              <w:jc w:val="right"/>
              <w:rPr>
                <w:rFonts w:ascii="Arial" w:hAnsi="Arial" w:cs="Arial"/>
                <w:sz w:val="16"/>
                <w:szCs w:val="16"/>
                <w:lang w:val="es-ES"/>
              </w:rPr>
            </w:pPr>
            <w:r>
              <w:rPr>
                <w:rFonts w:ascii="Arial" w:hAnsi="Arial" w:cs="Arial"/>
                <w:sz w:val="16"/>
                <w:szCs w:val="16"/>
                <w:lang w:val="es-ES"/>
              </w:rPr>
              <w:t>0,001</w:t>
            </w:r>
          </w:p>
        </w:tc>
        <w:tc>
          <w:tcPr>
            <w:tcW w:w="920" w:type="dxa"/>
            <w:vAlign w:val="bottom"/>
          </w:tcPr>
          <w:p w:rsidR="00736A70" w:rsidRDefault="00736A70">
            <w:pPr>
              <w:jc w:val="right"/>
              <w:rPr>
                <w:rFonts w:ascii="Arial" w:hAnsi="Arial" w:cs="Arial"/>
                <w:sz w:val="16"/>
                <w:szCs w:val="16"/>
                <w:lang w:val="es-ES"/>
              </w:rPr>
            </w:pPr>
            <w:r>
              <w:rPr>
                <w:rFonts w:ascii="Arial" w:hAnsi="Arial" w:cs="Arial"/>
                <w:sz w:val="16"/>
                <w:szCs w:val="16"/>
                <w:lang w:val="es-ES"/>
              </w:rPr>
              <w:t>0,000</w:t>
            </w:r>
          </w:p>
        </w:tc>
        <w:tc>
          <w:tcPr>
            <w:tcW w:w="1040" w:type="dxa"/>
            <w:vAlign w:val="bottom"/>
          </w:tcPr>
          <w:p w:rsidR="00736A70" w:rsidRDefault="00736A70">
            <w:pPr>
              <w:jc w:val="right"/>
              <w:rPr>
                <w:rFonts w:ascii="Arial" w:hAnsi="Arial" w:cs="Arial"/>
                <w:sz w:val="16"/>
                <w:szCs w:val="16"/>
                <w:lang w:val="es-ES"/>
              </w:rPr>
            </w:pPr>
            <w:r>
              <w:rPr>
                <w:rFonts w:ascii="Arial" w:hAnsi="Arial" w:cs="Arial"/>
                <w:sz w:val="16"/>
                <w:szCs w:val="16"/>
                <w:lang w:val="es-ES"/>
              </w:rPr>
              <w:t>0</w:t>
            </w:r>
          </w:p>
        </w:tc>
        <w:tc>
          <w:tcPr>
            <w:tcW w:w="689" w:type="dxa"/>
            <w:vAlign w:val="bottom"/>
          </w:tcPr>
          <w:p w:rsidR="00736A70" w:rsidRDefault="00736A70">
            <w:pPr>
              <w:jc w:val="right"/>
              <w:rPr>
                <w:rFonts w:ascii="Arial" w:hAnsi="Arial" w:cs="Arial"/>
                <w:sz w:val="16"/>
                <w:szCs w:val="16"/>
                <w:lang w:val="es-ES"/>
              </w:rPr>
            </w:pPr>
            <w:r>
              <w:rPr>
                <w:rFonts w:ascii="Arial" w:hAnsi="Arial" w:cs="Arial"/>
                <w:sz w:val="16"/>
                <w:szCs w:val="16"/>
                <w:lang w:val="es-ES"/>
              </w:rPr>
              <w:t>0,022</w:t>
            </w:r>
          </w:p>
        </w:tc>
      </w:tr>
      <w:tr w:rsidR="00736A70">
        <w:trPr>
          <w:tblCellSpacing w:w="20" w:type="dxa"/>
          <w:jc w:val="center"/>
        </w:trPr>
        <w:tc>
          <w:tcPr>
            <w:tcW w:w="1270" w:type="dxa"/>
            <w:vAlign w:val="center"/>
          </w:tcPr>
          <w:p w:rsidR="00736A70" w:rsidRDefault="00736A70">
            <w:pPr>
              <w:rPr>
                <w:sz w:val="18"/>
                <w:szCs w:val="18"/>
                <w:lang w:val="es-ES"/>
              </w:rPr>
            </w:pPr>
            <w:r>
              <w:rPr>
                <w:sz w:val="20"/>
                <w:szCs w:val="20"/>
                <w:lang w:val="es-ES"/>
              </w:rPr>
              <w:t>Total</w:t>
            </w:r>
          </w:p>
        </w:tc>
        <w:tc>
          <w:tcPr>
            <w:tcW w:w="833" w:type="dxa"/>
            <w:vAlign w:val="bottom"/>
          </w:tcPr>
          <w:p w:rsidR="00736A70" w:rsidRDefault="00736A70">
            <w:pPr>
              <w:jc w:val="right"/>
              <w:rPr>
                <w:rFonts w:ascii="Arial" w:hAnsi="Arial" w:cs="Arial"/>
                <w:sz w:val="16"/>
                <w:szCs w:val="16"/>
                <w:lang w:val="es-ES"/>
              </w:rPr>
            </w:pPr>
            <w:r>
              <w:rPr>
                <w:rFonts w:ascii="Arial" w:hAnsi="Arial" w:cs="Arial"/>
                <w:sz w:val="16"/>
                <w:szCs w:val="16"/>
                <w:lang w:val="es-ES"/>
              </w:rPr>
              <w:t>0,734</w:t>
            </w:r>
          </w:p>
        </w:tc>
        <w:tc>
          <w:tcPr>
            <w:tcW w:w="748" w:type="dxa"/>
            <w:vAlign w:val="bottom"/>
          </w:tcPr>
          <w:p w:rsidR="00736A70" w:rsidRDefault="00736A70">
            <w:pPr>
              <w:jc w:val="right"/>
              <w:rPr>
                <w:rFonts w:ascii="Arial" w:hAnsi="Arial" w:cs="Arial"/>
                <w:sz w:val="16"/>
                <w:szCs w:val="16"/>
                <w:lang w:val="es-ES"/>
              </w:rPr>
            </w:pPr>
            <w:r>
              <w:rPr>
                <w:rFonts w:ascii="Arial" w:hAnsi="Arial" w:cs="Arial"/>
                <w:sz w:val="16"/>
                <w:szCs w:val="16"/>
                <w:lang w:val="es-ES"/>
              </w:rPr>
              <w:t>0,251</w:t>
            </w:r>
          </w:p>
        </w:tc>
        <w:tc>
          <w:tcPr>
            <w:tcW w:w="1040" w:type="dxa"/>
            <w:vAlign w:val="bottom"/>
          </w:tcPr>
          <w:p w:rsidR="00736A70" w:rsidRDefault="00736A70">
            <w:pPr>
              <w:jc w:val="right"/>
              <w:rPr>
                <w:rFonts w:ascii="Arial" w:hAnsi="Arial" w:cs="Arial"/>
                <w:sz w:val="16"/>
                <w:szCs w:val="16"/>
                <w:lang w:val="es-ES"/>
              </w:rPr>
            </w:pPr>
            <w:r>
              <w:rPr>
                <w:rFonts w:ascii="Arial" w:hAnsi="Arial" w:cs="Arial"/>
                <w:sz w:val="16"/>
                <w:szCs w:val="16"/>
                <w:lang w:val="es-ES"/>
              </w:rPr>
              <w:t>0,011</w:t>
            </w:r>
          </w:p>
        </w:tc>
        <w:tc>
          <w:tcPr>
            <w:tcW w:w="920" w:type="dxa"/>
            <w:vAlign w:val="bottom"/>
          </w:tcPr>
          <w:p w:rsidR="00736A70" w:rsidRDefault="00736A70">
            <w:pPr>
              <w:jc w:val="right"/>
              <w:rPr>
                <w:rFonts w:ascii="Arial" w:hAnsi="Arial" w:cs="Arial"/>
                <w:sz w:val="16"/>
                <w:szCs w:val="16"/>
                <w:lang w:val="es-ES"/>
              </w:rPr>
            </w:pPr>
            <w:r>
              <w:rPr>
                <w:rFonts w:ascii="Arial" w:hAnsi="Arial" w:cs="Arial"/>
                <w:sz w:val="16"/>
                <w:szCs w:val="16"/>
                <w:lang w:val="es-ES"/>
              </w:rPr>
              <w:t>0,002</w:t>
            </w:r>
          </w:p>
        </w:tc>
        <w:tc>
          <w:tcPr>
            <w:tcW w:w="1040" w:type="dxa"/>
            <w:vAlign w:val="bottom"/>
          </w:tcPr>
          <w:p w:rsidR="00736A70" w:rsidRDefault="00736A70">
            <w:pPr>
              <w:jc w:val="right"/>
              <w:rPr>
                <w:rFonts w:ascii="Arial" w:hAnsi="Arial" w:cs="Arial"/>
                <w:sz w:val="16"/>
                <w:szCs w:val="16"/>
                <w:lang w:val="es-ES"/>
              </w:rPr>
            </w:pPr>
            <w:r>
              <w:rPr>
                <w:rFonts w:ascii="Arial" w:hAnsi="Arial" w:cs="Arial"/>
                <w:sz w:val="16"/>
                <w:szCs w:val="16"/>
                <w:lang w:val="es-ES"/>
              </w:rPr>
              <w:t>0,002</w:t>
            </w:r>
          </w:p>
        </w:tc>
        <w:tc>
          <w:tcPr>
            <w:tcW w:w="689" w:type="dxa"/>
            <w:vAlign w:val="bottom"/>
          </w:tcPr>
          <w:p w:rsidR="00736A70" w:rsidRDefault="00736A70">
            <w:pPr>
              <w:jc w:val="right"/>
              <w:rPr>
                <w:rFonts w:ascii="Arial" w:hAnsi="Arial" w:cs="Arial"/>
                <w:sz w:val="16"/>
                <w:szCs w:val="16"/>
                <w:lang w:val="es-ES"/>
              </w:rPr>
            </w:pPr>
            <w:r>
              <w:rPr>
                <w:rFonts w:ascii="Arial" w:hAnsi="Arial" w:cs="Arial"/>
                <w:sz w:val="16"/>
                <w:szCs w:val="16"/>
                <w:lang w:val="es-ES"/>
              </w:rPr>
              <w:t>1</w:t>
            </w:r>
          </w:p>
        </w:tc>
      </w:tr>
    </w:tbl>
    <w:p w:rsidR="00736A70" w:rsidRDefault="00736A70">
      <w:pPr>
        <w:rPr>
          <w:sz w:val="12"/>
          <w:lang w:val="es-ES"/>
        </w:rPr>
      </w:pPr>
    </w:p>
    <w:p w:rsidR="00736A70" w:rsidRDefault="00736A70">
      <w:pPr>
        <w:pStyle w:val="Ttulo5"/>
        <w:rPr>
          <w:i/>
          <w:iCs/>
        </w:rPr>
      </w:pPr>
      <w:r>
        <w:rPr>
          <w:i/>
          <w:iCs/>
        </w:rPr>
        <w:t>Estado del Vehículo Vs. Marca</w:t>
      </w:r>
    </w:p>
    <w:p w:rsidR="00736A70" w:rsidRDefault="00736A70">
      <w:pPr>
        <w:pStyle w:val="Textoindependiente2"/>
        <w:rPr>
          <w:bCs w:val="0"/>
          <w:lang w:val="es-ES"/>
        </w:rPr>
      </w:pPr>
      <w:r>
        <w:rPr>
          <w:bCs w:val="0"/>
          <w:lang w:val="es-ES"/>
        </w:rPr>
        <w:t xml:space="preserve">Los vehículos más lujosos no sufren tantos accidentes y si los sufren presentan daños leves, ya que sus dueños suelen ser más cuidadosos o también porque no quieren denunciar el accidente por vergüenza o algún otro motivo. Los daños leves se concentran entre las categorías Popular y Semilujo. Refiérase a la Tabla II. </w:t>
      </w:r>
    </w:p>
    <w:p w:rsidR="00736A70" w:rsidRDefault="00736A70">
      <w:pPr>
        <w:jc w:val="both"/>
        <w:rPr>
          <w:sz w:val="8"/>
          <w:lang w:val="es-ES"/>
        </w:rPr>
      </w:pPr>
    </w:p>
    <w:p w:rsidR="00736A70" w:rsidRDefault="00736A70">
      <w:pPr>
        <w:pStyle w:val="Ttulo5"/>
        <w:jc w:val="center"/>
        <w:rPr>
          <w:iCs/>
        </w:rPr>
      </w:pPr>
      <w:r>
        <w:rPr>
          <w:iCs/>
        </w:rPr>
        <w:t>Tabla II.- Distribución conjunta entre Estado del Vehículo y Marca</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1330"/>
        <w:gridCol w:w="873"/>
        <w:gridCol w:w="788"/>
        <w:gridCol w:w="943"/>
        <w:gridCol w:w="840"/>
        <w:gridCol w:w="720"/>
        <w:gridCol w:w="840"/>
      </w:tblGrid>
      <w:tr w:rsidR="00736A70">
        <w:trPr>
          <w:cantSplit/>
          <w:tblCellSpacing w:w="20" w:type="dxa"/>
          <w:jc w:val="center"/>
        </w:trPr>
        <w:tc>
          <w:tcPr>
            <w:tcW w:w="1270" w:type="dxa"/>
            <w:vMerge w:val="restart"/>
            <w:vAlign w:val="center"/>
          </w:tcPr>
          <w:p w:rsidR="00736A70" w:rsidRDefault="00736A70">
            <w:pPr>
              <w:jc w:val="center"/>
              <w:rPr>
                <w:sz w:val="20"/>
                <w:szCs w:val="20"/>
                <w:lang w:val="es-ES"/>
              </w:rPr>
            </w:pPr>
            <w:r>
              <w:rPr>
                <w:sz w:val="20"/>
                <w:szCs w:val="20"/>
                <w:lang w:val="es-ES"/>
              </w:rPr>
              <w:t>ESTADO DEL VEHÍCULO</w:t>
            </w:r>
          </w:p>
        </w:tc>
        <w:tc>
          <w:tcPr>
            <w:tcW w:w="4124" w:type="dxa"/>
            <w:gridSpan w:val="5"/>
            <w:vAlign w:val="center"/>
          </w:tcPr>
          <w:p w:rsidR="00736A70" w:rsidRDefault="00736A70">
            <w:pPr>
              <w:jc w:val="center"/>
              <w:rPr>
                <w:sz w:val="20"/>
                <w:szCs w:val="20"/>
                <w:lang w:val="es-ES"/>
              </w:rPr>
            </w:pPr>
            <w:r>
              <w:rPr>
                <w:sz w:val="20"/>
                <w:szCs w:val="20"/>
                <w:lang w:val="es-ES"/>
              </w:rPr>
              <w:t>MARCA</w:t>
            </w:r>
          </w:p>
        </w:tc>
        <w:tc>
          <w:tcPr>
            <w:tcW w:w="780" w:type="dxa"/>
            <w:vMerge w:val="restart"/>
            <w:vAlign w:val="center"/>
          </w:tcPr>
          <w:p w:rsidR="00736A70" w:rsidRDefault="00736A70">
            <w:pPr>
              <w:jc w:val="center"/>
              <w:rPr>
                <w:lang w:val="es-ES"/>
              </w:rPr>
            </w:pPr>
            <w:r>
              <w:rPr>
                <w:sz w:val="20"/>
                <w:szCs w:val="20"/>
                <w:lang w:val="es-ES"/>
              </w:rPr>
              <w:t>Total</w:t>
            </w:r>
          </w:p>
        </w:tc>
      </w:tr>
      <w:tr w:rsidR="00736A70">
        <w:trPr>
          <w:cantSplit/>
          <w:tblCellSpacing w:w="20" w:type="dxa"/>
          <w:jc w:val="center"/>
        </w:trPr>
        <w:tc>
          <w:tcPr>
            <w:tcW w:w="1270" w:type="dxa"/>
            <w:vMerge/>
            <w:vAlign w:val="center"/>
          </w:tcPr>
          <w:p w:rsidR="00736A70" w:rsidRDefault="00736A70">
            <w:pPr>
              <w:rPr>
                <w:sz w:val="18"/>
                <w:szCs w:val="18"/>
                <w:lang w:val="es-ES"/>
              </w:rPr>
            </w:pPr>
          </w:p>
        </w:tc>
        <w:tc>
          <w:tcPr>
            <w:tcW w:w="833" w:type="dxa"/>
            <w:vAlign w:val="center"/>
          </w:tcPr>
          <w:p w:rsidR="00736A70" w:rsidRDefault="00736A70">
            <w:pPr>
              <w:jc w:val="right"/>
              <w:rPr>
                <w:sz w:val="18"/>
                <w:szCs w:val="18"/>
                <w:lang w:val="es-ES"/>
              </w:rPr>
            </w:pPr>
            <w:r>
              <w:rPr>
                <w:sz w:val="18"/>
                <w:szCs w:val="18"/>
                <w:lang w:val="es-ES"/>
              </w:rPr>
              <w:t>Lujo</w:t>
            </w:r>
          </w:p>
        </w:tc>
        <w:tc>
          <w:tcPr>
            <w:tcW w:w="748" w:type="dxa"/>
            <w:vAlign w:val="center"/>
          </w:tcPr>
          <w:p w:rsidR="00736A70" w:rsidRDefault="00736A70">
            <w:pPr>
              <w:jc w:val="right"/>
              <w:rPr>
                <w:sz w:val="18"/>
                <w:szCs w:val="18"/>
                <w:lang w:val="es-ES"/>
              </w:rPr>
            </w:pPr>
            <w:r>
              <w:rPr>
                <w:sz w:val="18"/>
                <w:szCs w:val="18"/>
                <w:lang w:val="es-ES"/>
              </w:rPr>
              <w:t>Semi-lujo</w:t>
            </w:r>
          </w:p>
        </w:tc>
        <w:tc>
          <w:tcPr>
            <w:tcW w:w="903" w:type="dxa"/>
            <w:vAlign w:val="center"/>
          </w:tcPr>
          <w:p w:rsidR="00736A70" w:rsidRDefault="00736A70">
            <w:pPr>
              <w:jc w:val="right"/>
              <w:rPr>
                <w:sz w:val="18"/>
                <w:szCs w:val="18"/>
                <w:lang w:val="es-ES"/>
              </w:rPr>
            </w:pPr>
            <w:r>
              <w:rPr>
                <w:sz w:val="18"/>
                <w:szCs w:val="18"/>
                <w:lang w:val="es-ES"/>
              </w:rPr>
              <w:t>Popular</w:t>
            </w:r>
          </w:p>
        </w:tc>
        <w:tc>
          <w:tcPr>
            <w:tcW w:w="800" w:type="dxa"/>
            <w:vAlign w:val="center"/>
          </w:tcPr>
          <w:p w:rsidR="00736A70" w:rsidRDefault="00736A70">
            <w:pPr>
              <w:jc w:val="right"/>
              <w:rPr>
                <w:sz w:val="18"/>
                <w:szCs w:val="18"/>
                <w:lang w:val="es-ES"/>
              </w:rPr>
            </w:pPr>
            <w:r>
              <w:rPr>
                <w:sz w:val="18"/>
                <w:szCs w:val="18"/>
                <w:lang w:val="es-ES"/>
              </w:rPr>
              <w:t>Econó-mico</w:t>
            </w:r>
          </w:p>
        </w:tc>
        <w:tc>
          <w:tcPr>
            <w:tcW w:w="680" w:type="dxa"/>
            <w:vAlign w:val="center"/>
          </w:tcPr>
          <w:p w:rsidR="00736A70" w:rsidRDefault="00736A70">
            <w:pPr>
              <w:jc w:val="right"/>
              <w:rPr>
                <w:sz w:val="18"/>
                <w:szCs w:val="18"/>
                <w:lang w:val="es-ES"/>
              </w:rPr>
            </w:pPr>
            <w:r>
              <w:rPr>
                <w:sz w:val="18"/>
                <w:szCs w:val="18"/>
                <w:lang w:val="es-ES"/>
              </w:rPr>
              <w:t>Otros</w:t>
            </w:r>
          </w:p>
        </w:tc>
        <w:tc>
          <w:tcPr>
            <w:tcW w:w="780" w:type="dxa"/>
            <w:vMerge/>
            <w:vAlign w:val="center"/>
          </w:tcPr>
          <w:p w:rsidR="00736A70" w:rsidRDefault="00736A70">
            <w:pPr>
              <w:rPr>
                <w:sz w:val="20"/>
                <w:szCs w:val="20"/>
                <w:lang w:val="es-ES"/>
              </w:rPr>
            </w:pPr>
          </w:p>
        </w:tc>
      </w:tr>
      <w:tr w:rsidR="00736A70">
        <w:trPr>
          <w:tblCellSpacing w:w="20" w:type="dxa"/>
          <w:jc w:val="center"/>
        </w:trPr>
        <w:tc>
          <w:tcPr>
            <w:tcW w:w="1270" w:type="dxa"/>
            <w:vAlign w:val="center"/>
          </w:tcPr>
          <w:p w:rsidR="00736A70" w:rsidRDefault="00736A70">
            <w:pPr>
              <w:rPr>
                <w:sz w:val="18"/>
                <w:szCs w:val="18"/>
                <w:lang w:val="es-ES"/>
              </w:rPr>
            </w:pPr>
            <w:r>
              <w:rPr>
                <w:sz w:val="18"/>
                <w:szCs w:val="18"/>
                <w:lang w:val="es-ES"/>
              </w:rPr>
              <w:t>Leve</w:t>
            </w:r>
          </w:p>
        </w:tc>
        <w:tc>
          <w:tcPr>
            <w:tcW w:w="833" w:type="dxa"/>
            <w:vAlign w:val="bottom"/>
          </w:tcPr>
          <w:p w:rsidR="00736A70" w:rsidRDefault="00736A70">
            <w:pPr>
              <w:jc w:val="right"/>
              <w:rPr>
                <w:rFonts w:eastAsia="Arial Unicode MS"/>
                <w:sz w:val="16"/>
                <w:szCs w:val="20"/>
                <w:lang w:val="es-ES"/>
              </w:rPr>
            </w:pPr>
            <w:r>
              <w:rPr>
                <w:sz w:val="16"/>
                <w:szCs w:val="20"/>
                <w:lang w:val="es-ES"/>
              </w:rPr>
              <w:t>0,037</w:t>
            </w:r>
          </w:p>
        </w:tc>
        <w:tc>
          <w:tcPr>
            <w:tcW w:w="748" w:type="dxa"/>
            <w:vAlign w:val="bottom"/>
          </w:tcPr>
          <w:p w:rsidR="00736A70" w:rsidRDefault="00736A70">
            <w:pPr>
              <w:jc w:val="right"/>
              <w:rPr>
                <w:rFonts w:eastAsia="Arial Unicode MS"/>
                <w:sz w:val="16"/>
                <w:szCs w:val="20"/>
                <w:lang w:val="es-ES"/>
              </w:rPr>
            </w:pPr>
            <w:r>
              <w:rPr>
                <w:sz w:val="16"/>
                <w:szCs w:val="20"/>
                <w:lang w:val="es-ES"/>
              </w:rPr>
              <w:t>0,211</w:t>
            </w:r>
          </w:p>
        </w:tc>
        <w:tc>
          <w:tcPr>
            <w:tcW w:w="903" w:type="dxa"/>
            <w:vAlign w:val="bottom"/>
          </w:tcPr>
          <w:p w:rsidR="00736A70" w:rsidRDefault="00736A70">
            <w:pPr>
              <w:jc w:val="right"/>
              <w:rPr>
                <w:rFonts w:eastAsia="Arial Unicode MS"/>
                <w:sz w:val="16"/>
                <w:szCs w:val="20"/>
                <w:lang w:val="es-ES"/>
              </w:rPr>
            </w:pPr>
            <w:r>
              <w:rPr>
                <w:sz w:val="16"/>
                <w:szCs w:val="20"/>
                <w:lang w:val="es-ES"/>
              </w:rPr>
              <w:t>0,296</w:t>
            </w:r>
          </w:p>
        </w:tc>
        <w:tc>
          <w:tcPr>
            <w:tcW w:w="800" w:type="dxa"/>
            <w:vAlign w:val="bottom"/>
          </w:tcPr>
          <w:p w:rsidR="00736A70" w:rsidRDefault="00736A70">
            <w:pPr>
              <w:jc w:val="right"/>
              <w:rPr>
                <w:rFonts w:eastAsia="Arial Unicode MS"/>
                <w:sz w:val="16"/>
                <w:szCs w:val="20"/>
                <w:lang w:val="es-ES"/>
              </w:rPr>
            </w:pPr>
            <w:r>
              <w:rPr>
                <w:sz w:val="16"/>
                <w:szCs w:val="20"/>
                <w:lang w:val="es-ES"/>
              </w:rPr>
              <w:t>0,113</w:t>
            </w:r>
          </w:p>
        </w:tc>
        <w:tc>
          <w:tcPr>
            <w:tcW w:w="680" w:type="dxa"/>
            <w:vAlign w:val="bottom"/>
          </w:tcPr>
          <w:p w:rsidR="00736A70" w:rsidRDefault="00736A70">
            <w:pPr>
              <w:jc w:val="right"/>
              <w:rPr>
                <w:rFonts w:eastAsia="Arial Unicode MS"/>
                <w:sz w:val="16"/>
                <w:szCs w:val="20"/>
                <w:lang w:val="es-ES"/>
              </w:rPr>
            </w:pPr>
            <w:r>
              <w:rPr>
                <w:sz w:val="16"/>
                <w:szCs w:val="20"/>
                <w:lang w:val="es-ES"/>
              </w:rPr>
              <w:t>0,057</w:t>
            </w:r>
          </w:p>
        </w:tc>
        <w:tc>
          <w:tcPr>
            <w:tcW w:w="780" w:type="dxa"/>
            <w:vAlign w:val="bottom"/>
          </w:tcPr>
          <w:p w:rsidR="00736A70" w:rsidRDefault="00736A70">
            <w:pPr>
              <w:jc w:val="right"/>
              <w:rPr>
                <w:rFonts w:eastAsia="Arial Unicode MS"/>
                <w:sz w:val="16"/>
                <w:szCs w:val="20"/>
                <w:lang w:val="es-ES"/>
              </w:rPr>
            </w:pPr>
            <w:r>
              <w:rPr>
                <w:sz w:val="16"/>
                <w:szCs w:val="20"/>
                <w:lang w:val="es-ES"/>
              </w:rPr>
              <w:t>0,715</w:t>
            </w:r>
          </w:p>
        </w:tc>
      </w:tr>
      <w:tr w:rsidR="00736A70">
        <w:trPr>
          <w:tblCellSpacing w:w="20" w:type="dxa"/>
          <w:jc w:val="center"/>
        </w:trPr>
        <w:tc>
          <w:tcPr>
            <w:tcW w:w="1270" w:type="dxa"/>
            <w:vAlign w:val="center"/>
          </w:tcPr>
          <w:p w:rsidR="00736A70" w:rsidRDefault="00736A70">
            <w:pPr>
              <w:rPr>
                <w:sz w:val="18"/>
                <w:szCs w:val="18"/>
                <w:lang w:val="es-ES"/>
              </w:rPr>
            </w:pPr>
            <w:r>
              <w:rPr>
                <w:sz w:val="18"/>
                <w:szCs w:val="18"/>
                <w:lang w:val="es-ES"/>
              </w:rPr>
              <w:t>Grave</w:t>
            </w:r>
          </w:p>
        </w:tc>
        <w:tc>
          <w:tcPr>
            <w:tcW w:w="833" w:type="dxa"/>
            <w:vAlign w:val="bottom"/>
          </w:tcPr>
          <w:p w:rsidR="00736A70" w:rsidRDefault="00736A70">
            <w:pPr>
              <w:jc w:val="right"/>
              <w:rPr>
                <w:rFonts w:eastAsia="Arial Unicode MS"/>
                <w:sz w:val="16"/>
                <w:szCs w:val="20"/>
                <w:lang w:val="es-ES"/>
              </w:rPr>
            </w:pPr>
            <w:r>
              <w:rPr>
                <w:sz w:val="16"/>
                <w:szCs w:val="20"/>
                <w:lang w:val="es-ES"/>
              </w:rPr>
              <w:t>0,016</w:t>
            </w:r>
          </w:p>
        </w:tc>
        <w:tc>
          <w:tcPr>
            <w:tcW w:w="748" w:type="dxa"/>
            <w:vAlign w:val="bottom"/>
          </w:tcPr>
          <w:p w:rsidR="00736A70" w:rsidRDefault="00736A70">
            <w:pPr>
              <w:jc w:val="right"/>
              <w:rPr>
                <w:rFonts w:eastAsia="Arial Unicode MS"/>
                <w:sz w:val="16"/>
                <w:szCs w:val="20"/>
                <w:lang w:val="es-ES"/>
              </w:rPr>
            </w:pPr>
            <w:r>
              <w:rPr>
                <w:sz w:val="16"/>
                <w:szCs w:val="20"/>
                <w:lang w:val="es-ES"/>
              </w:rPr>
              <w:t>0,074</w:t>
            </w:r>
          </w:p>
        </w:tc>
        <w:tc>
          <w:tcPr>
            <w:tcW w:w="903" w:type="dxa"/>
            <w:vAlign w:val="bottom"/>
          </w:tcPr>
          <w:p w:rsidR="00736A70" w:rsidRDefault="00736A70">
            <w:pPr>
              <w:jc w:val="right"/>
              <w:rPr>
                <w:rFonts w:eastAsia="Arial Unicode MS"/>
                <w:sz w:val="16"/>
                <w:szCs w:val="20"/>
                <w:lang w:val="es-ES"/>
              </w:rPr>
            </w:pPr>
            <w:r>
              <w:rPr>
                <w:sz w:val="16"/>
                <w:szCs w:val="20"/>
                <w:lang w:val="es-ES"/>
              </w:rPr>
              <w:t>0,113</w:t>
            </w:r>
          </w:p>
        </w:tc>
        <w:tc>
          <w:tcPr>
            <w:tcW w:w="800" w:type="dxa"/>
            <w:vAlign w:val="bottom"/>
          </w:tcPr>
          <w:p w:rsidR="00736A70" w:rsidRDefault="00736A70">
            <w:pPr>
              <w:jc w:val="right"/>
              <w:rPr>
                <w:rFonts w:eastAsia="Arial Unicode MS"/>
                <w:sz w:val="16"/>
                <w:szCs w:val="20"/>
                <w:lang w:val="es-ES"/>
              </w:rPr>
            </w:pPr>
            <w:r>
              <w:rPr>
                <w:sz w:val="16"/>
                <w:szCs w:val="20"/>
                <w:lang w:val="es-ES"/>
              </w:rPr>
              <w:t>0,042</w:t>
            </w:r>
          </w:p>
        </w:tc>
        <w:tc>
          <w:tcPr>
            <w:tcW w:w="680" w:type="dxa"/>
            <w:vAlign w:val="bottom"/>
          </w:tcPr>
          <w:p w:rsidR="00736A70" w:rsidRDefault="00736A70">
            <w:pPr>
              <w:jc w:val="right"/>
              <w:rPr>
                <w:rFonts w:eastAsia="Arial Unicode MS"/>
                <w:sz w:val="16"/>
                <w:szCs w:val="20"/>
                <w:lang w:val="es-ES"/>
              </w:rPr>
            </w:pPr>
            <w:r>
              <w:rPr>
                <w:sz w:val="16"/>
                <w:szCs w:val="20"/>
                <w:lang w:val="es-ES"/>
              </w:rPr>
              <w:t>0,019</w:t>
            </w:r>
          </w:p>
        </w:tc>
        <w:tc>
          <w:tcPr>
            <w:tcW w:w="780" w:type="dxa"/>
            <w:vAlign w:val="bottom"/>
          </w:tcPr>
          <w:p w:rsidR="00736A70" w:rsidRDefault="00736A70">
            <w:pPr>
              <w:jc w:val="right"/>
              <w:rPr>
                <w:rFonts w:eastAsia="Arial Unicode MS"/>
                <w:sz w:val="16"/>
                <w:szCs w:val="20"/>
                <w:lang w:val="es-ES"/>
              </w:rPr>
            </w:pPr>
            <w:r>
              <w:rPr>
                <w:sz w:val="16"/>
                <w:szCs w:val="20"/>
                <w:lang w:val="es-ES"/>
              </w:rPr>
              <w:t>0,263</w:t>
            </w:r>
          </w:p>
        </w:tc>
      </w:tr>
      <w:tr w:rsidR="00736A70">
        <w:trPr>
          <w:tblCellSpacing w:w="20" w:type="dxa"/>
          <w:jc w:val="center"/>
        </w:trPr>
        <w:tc>
          <w:tcPr>
            <w:tcW w:w="1270" w:type="dxa"/>
            <w:vAlign w:val="center"/>
          </w:tcPr>
          <w:p w:rsidR="00736A70" w:rsidRDefault="00736A70">
            <w:pPr>
              <w:rPr>
                <w:sz w:val="18"/>
                <w:szCs w:val="18"/>
                <w:lang w:val="es-ES"/>
              </w:rPr>
            </w:pPr>
            <w:r>
              <w:rPr>
                <w:sz w:val="18"/>
                <w:szCs w:val="18"/>
                <w:lang w:val="es-ES"/>
              </w:rPr>
              <w:t>Destrozado</w:t>
            </w:r>
          </w:p>
        </w:tc>
        <w:tc>
          <w:tcPr>
            <w:tcW w:w="833" w:type="dxa"/>
            <w:vAlign w:val="bottom"/>
          </w:tcPr>
          <w:p w:rsidR="00736A70" w:rsidRDefault="00736A70">
            <w:pPr>
              <w:jc w:val="right"/>
              <w:rPr>
                <w:rFonts w:eastAsia="Arial Unicode MS"/>
                <w:sz w:val="16"/>
                <w:szCs w:val="20"/>
                <w:lang w:val="es-ES"/>
              </w:rPr>
            </w:pPr>
            <w:r>
              <w:rPr>
                <w:sz w:val="16"/>
                <w:szCs w:val="20"/>
                <w:lang w:val="es-ES"/>
              </w:rPr>
              <w:t>0,001</w:t>
            </w:r>
          </w:p>
        </w:tc>
        <w:tc>
          <w:tcPr>
            <w:tcW w:w="748" w:type="dxa"/>
            <w:vAlign w:val="bottom"/>
          </w:tcPr>
          <w:p w:rsidR="00736A70" w:rsidRDefault="00736A70">
            <w:pPr>
              <w:jc w:val="right"/>
              <w:rPr>
                <w:rFonts w:eastAsia="Arial Unicode MS"/>
                <w:sz w:val="16"/>
                <w:szCs w:val="20"/>
                <w:lang w:val="es-ES"/>
              </w:rPr>
            </w:pPr>
            <w:r>
              <w:rPr>
                <w:sz w:val="16"/>
                <w:szCs w:val="20"/>
                <w:lang w:val="es-ES"/>
              </w:rPr>
              <w:t>0,005</w:t>
            </w:r>
          </w:p>
        </w:tc>
        <w:tc>
          <w:tcPr>
            <w:tcW w:w="903" w:type="dxa"/>
            <w:vAlign w:val="bottom"/>
          </w:tcPr>
          <w:p w:rsidR="00736A70" w:rsidRDefault="00736A70">
            <w:pPr>
              <w:jc w:val="right"/>
              <w:rPr>
                <w:rFonts w:eastAsia="Arial Unicode MS"/>
                <w:sz w:val="16"/>
                <w:szCs w:val="20"/>
                <w:lang w:val="es-ES"/>
              </w:rPr>
            </w:pPr>
            <w:r>
              <w:rPr>
                <w:sz w:val="16"/>
                <w:szCs w:val="20"/>
                <w:lang w:val="es-ES"/>
              </w:rPr>
              <w:t>0,010</w:t>
            </w:r>
          </w:p>
        </w:tc>
        <w:tc>
          <w:tcPr>
            <w:tcW w:w="800" w:type="dxa"/>
            <w:vAlign w:val="bottom"/>
          </w:tcPr>
          <w:p w:rsidR="00736A70" w:rsidRDefault="00736A70">
            <w:pPr>
              <w:jc w:val="right"/>
              <w:rPr>
                <w:rFonts w:eastAsia="Arial Unicode MS"/>
                <w:sz w:val="16"/>
                <w:szCs w:val="20"/>
                <w:lang w:val="es-ES"/>
              </w:rPr>
            </w:pPr>
            <w:r>
              <w:rPr>
                <w:sz w:val="16"/>
                <w:szCs w:val="20"/>
                <w:lang w:val="es-ES"/>
              </w:rPr>
              <w:t>0,005</w:t>
            </w:r>
          </w:p>
        </w:tc>
        <w:tc>
          <w:tcPr>
            <w:tcW w:w="680" w:type="dxa"/>
            <w:vAlign w:val="bottom"/>
          </w:tcPr>
          <w:p w:rsidR="00736A70" w:rsidRDefault="00736A70">
            <w:pPr>
              <w:jc w:val="right"/>
              <w:rPr>
                <w:rFonts w:eastAsia="Arial Unicode MS"/>
                <w:sz w:val="16"/>
                <w:szCs w:val="20"/>
                <w:lang w:val="es-ES"/>
              </w:rPr>
            </w:pPr>
            <w:r>
              <w:rPr>
                <w:sz w:val="16"/>
                <w:szCs w:val="20"/>
                <w:lang w:val="es-ES"/>
              </w:rPr>
              <w:t>0,002</w:t>
            </w:r>
          </w:p>
        </w:tc>
        <w:tc>
          <w:tcPr>
            <w:tcW w:w="780" w:type="dxa"/>
            <w:vAlign w:val="bottom"/>
          </w:tcPr>
          <w:p w:rsidR="00736A70" w:rsidRDefault="00736A70">
            <w:pPr>
              <w:jc w:val="right"/>
              <w:rPr>
                <w:rFonts w:eastAsia="Arial Unicode MS"/>
                <w:sz w:val="16"/>
                <w:szCs w:val="20"/>
                <w:lang w:val="es-ES"/>
              </w:rPr>
            </w:pPr>
            <w:r>
              <w:rPr>
                <w:sz w:val="16"/>
                <w:szCs w:val="20"/>
                <w:lang w:val="es-ES"/>
              </w:rPr>
              <w:t>0,022</w:t>
            </w:r>
          </w:p>
        </w:tc>
      </w:tr>
      <w:tr w:rsidR="00736A70">
        <w:trPr>
          <w:tblCellSpacing w:w="20" w:type="dxa"/>
          <w:jc w:val="center"/>
        </w:trPr>
        <w:tc>
          <w:tcPr>
            <w:tcW w:w="1270" w:type="dxa"/>
            <w:vAlign w:val="center"/>
          </w:tcPr>
          <w:p w:rsidR="00736A70" w:rsidRDefault="00736A70">
            <w:pPr>
              <w:rPr>
                <w:sz w:val="18"/>
                <w:szCs w:val="18"/>
                <w:lang w:val="es-ES"/>
              </w:rPr>
            </w:pPr>
            <w:r>
              <w:rPr>
                <w:sz w:val="20"/>
                <w:szCs w:val="20"/>
                <w:lang w:val="es-ES"/>
              </w:rPr>
              <w:t>Total</w:t>
            </w:r>
          </w:p>
        </w:tc>
        <w:tc>
          <w:tcPr>
            <w:tcW w:w="833" w:type="dxa"/>
            <w:vAlign w:val="bottom"/>
          </w:tcPr>
          <w:p w:rsidR="00736A70" w:rsidRDefault="00736A70">
            <w:pPr>
              <w:jc w:val="right"/>
              <w:rPr>
                <w:rFonts w:eastAsia="Arial Unicode MS"/>
                <w:sz w:val="16"/>
                <w:szCs w:val="20"/>
                <w:lang w:val="es-ES"/>
              </w:rPr>
            </w:pPr>
            <w:r>
              <w:rPr>
                <w:sz w:val="16"/>
                <w:szCs w:val="20"/>
                <w:lang w:val="es-ES"/>
              </w:rPr>
              <w:t>0,053</w:t>
            </w:r>
          </w:p>
        </w:tc>
        <w:tc>
          <w:tcPr>
            <w:tcW w:w="748" w:type="dxa"/>
            <w:vAlign w:val="bottom"/>
          </w:tcPr>
          <w:p w:rsidR="00736A70" w:rsidRDefault="00736A70">
            <w:pPr>
              <w:jc w:val="right"/>
              <w:rPr>
                <w:rFonts w:eastAsia="Arial Unicode MS"/>
                <w:sz w:val="16"/>
                <w:szCs w:val="20"/>
                <w:lang w:val="es-ES"/>
              </w:rPr>
            </w:pPr>
            <w:r>
              <w:rPr>
                <w:sz w:val="16"/>
                <w:szCs w:val="20"/>
                <w:lang w:val="es-ES"/>
              </w:rPr>
              <w:t>0,290</w:t>
            </w:r>
          </w:p>
        </w:tc>
        <w:tc>
          <w:tcPr>
            <w:tcW w:w="903" w:type="dxa"/>
            <w:vAlign w:val="bottom"/>
          </w:tcPr>
          <w:p w:rsidR="00736A70" w:rsidRDefault="00736A70">
            <w:pPr>
              <w:jc w:val="right"/>
              <w:rPr>
                <w:rFonts w:eastAsia="Arial Unicode MS"/>
                <w:sz w:val="16"/>
                <w:szCs w:val="20"/>
                <w:lang w:val="es-ES"/>
              </w:rPr>
            </w:pPr>
            <w:r>
              <w:rPr>
                <w:sz w:val="16"/>
                <w:szCs w:val="20"/>
                <w:lang w:val="es-ES"/>
              </w:rPr>
              <w:t>0,419</w:t>
            </w:r>
          </w:p>
        </w:tc>
        <w:tc>
          <w:tcPr>
            <w:tcW w:w="800" w:type="dxa"/>
            <w:vAlign w:val="bottom"/>
          </w:tcPr>
          <w:p w:rsidR="00736A70" w:rsidRDefault="00736A70">
            <w:pPr>
              <w:jc w:val="right"/>
              <w:rPr>
                <w:rFonts w:eastAsia="Arial Unicode MS"/>
                <w:sz w:val="16"/>
                <w:szCs w:val="20"/>
                <w:lang w:val="es-ES"/>
              </w:rPr>
            </w:pPr>
            <w:r>
              <w:rPr>
                <w:sz w:val="16"/>
                <w:szCs w:val="20"/>
                <w:lang w:val="es-ES"/>
              </w:rPr>
              <w:t>0,160</w:t>
            </w:r>
          </w:p>
        </w:tc>
        <w:tc>
          <w:tcPr>
            <w:tcW w:w="680" w:type="dxa"/>
            <w:vAlign w:val="bottom"/>
          </w:tcPr>
          <w:p w:rsidR="00736A70" w:rsidRDefault="00736A70">
            <w:pPr>
              <w:jc w:val="right"/>
              <w:rPr>
                <w:rFonts w:eastAsia="Arial Unicode MS"/>
                <w:sz w:val="16"/>
                <w:szCs w:val="20"/>
                <w:lang w:val="es-ES"/>
              </w:rPr>
            </w:pPr>
            <w:r>
              <w:rPr>
                <w:sz w:val="16"/>
                <w:szCs w:val="20"/>
                <w:lang w:val="es-ES"/>
              </w:rPr>
              <w:t>0,078</w:t>
            </w:r>
          </w:p>
        </w:tc>
        <w:tc>
          <w:tcPr>
            <w:tcW w:w="780" w:type="dxa"/>
            <w:vAlign w:val="bottom"/>
          </w:tcPr>
          <w:p w:rsidR="00736A70" w:rsidRDefault="00736A70">
            <w:pPr>
              <w:jc w:val="right"/>
              <w:rPr>
                <w:rFonts w:eastAsia="Arial Unicode MS"/>
                <w:sz w:val="16"/>
                <w:szCs w:val="20"/>
                <w:lang w:val="es-ES"/>
              </w:rPr>
            </w:pPr>
            <w:r>
              <w:rPr>
                <w:sz w:val="16"/>
                <w:szCs w:val="20"/>
                <w:lang w:val="es-ES"/>
              </w:rPr>
              <w:t>1,000</w:t>
            </w:r>
          </w:p>
        </w:tc>
      </w:tr>
    </w:tbl>
    <w:p w:rsidR="00736A70" w:rsidRDefault="00736A70">
      <w:pPr>
        <w:rPr>
          <w:b/>
          <w:bCs/>
          <w:sz w:val="16"/>
          <w:lang w:val="es-ES"/>
        </w:rPr>
      </w:pPr>
    </w:p>
    <w:p w:rsidR="00736A70" w:rsidRDefault="00736A70">
      <w:pPr>
        <w:rPr>
          <w:b/>
          <w:bCs/>
          <w:sz w:val="20"/>
          <w:lang w:val="es-ES"/>
        </w:rPr>
      </w:pPr>
      <w:r>
        <w:rPr>
          <w:b/>
          <w:bCs/>
          <w:sz w:val="20"/>
          <w:lang w:val="es-ES"/>
        </w:rPr>
        <w:t>3.2 Análisis multivariado</w:t>
      </w:r>
    </w:p>
    <w:p w:rsidR="00736A70" w:rsidRDefault="00736A70">
      <w:pPr>
        <w:jc w:val="both"/>
        <w:rPr>
          <w:sz w:val="20"/>
          <w:lang w:val="es-ES"/>
        </w:rPr>
      </w:pPr>
      <w:r>
        <w:rPr>
          <w:sz w:val="20"/>
          <w:lang w:val="es-ES"/>
        </w:rPr>
        <w:t xml:space="preserve">Una vez que tenemos una idea de nuestro portafolio, procedemos a la aplicación de técnicas estadísticas multivariadas para obtener ecuaciones que estimen el riesgo del asegurado cuando contrate la póliza de seguro (a priori) en función de sus características y del vehículo que asegura.  A continuación se muestra la aplicación de diversas técnicas con el fin de lograr la meta. </w:t>
      </w:r>
    </w:p>
    <w:p w:rsidR="00736A70" w:rsidRDefault="00736A70">
      <w:pPr>
        <w:jc w:val="both"/>
        <w:rPr>
          <w:sz w:val="6"/>
          <w:szCs w:val="8"/>
          <w:lang w:val="es-ES"/>
        </w:rPr>
      </w:pPr>
    </w:p>
    <w:p w:rsidR="00736A70" w:rsidRDefault="00736A70">
      <w:pPr>
        <w:jc w:val="both"/>
        <w:rPr>
          <w:b/>
          <w:bCs/>
          <w:sz w:val="20"/>
          <w:lang w:val="es-ES"/>
        </w:rPr>
      </w:pPr>
      <w:r>
        <w:rPr>
          <w:b/>
          <w:bCs/>
          <w:sz w:val="20"/>
          <w:lang w:val="es-ES"/>
        </w:rPr>
        <w:t>3.2.1 Análisis de componentes principales para datos categóricos</w:t>
      </w:r>
    </w:p>
    <w:p w:rsidR="00736A70" w:rsidRDefault="00736A70">
      <w:pPr>
        <w:jc w:val="both"/>
        <w:rPr>
          <w:sz w:val="20"/>
          <w:szCs w:val="20"/>
          <w:lang w:val="es-ES"/>
        </w:rPr>
      </w:pPr>
      <w:r>
        <w:rPr>
          <w:sz w:val="20"/>
          <w:szCs w:val="20"/>
          <w:lang w:val="es-ES"/>
        </w:rPr>
        <w:t xml:space="preserve">El objetivo del análisis de componentes principales es la reducción de un conjunto original grande de variables en un conjunto más pequeño de componentes no correlacionadas que representen la mayor parte de la información encontrada en las variables originales. </w:t>
      </w:r>
    </w:p>
    <w:p w:rsidR="00736A70" w:rsidRDefault="00736A70">
      <w:pPr>
        <w:jc w:val="both"/>
        <w:rPr>
          <w:sz w:val="20"/>
          <w:szCs w:val="20"/>
          <w:lang w:val="es-ES"/>
        </w:rPr>
      </w:pPr>
      <w:r>
        <w:rPr>
          <w:sz w:val="20"/>
          <w:szCs w:val="20"/>
          <w:lang w:val="es-ES"/>
        </w:rPr>
        <w:t>No s</w:t>
      </w:r>
      <w:r w:rsidR="00763E55">
        <w:rPr>
          <w:sz w:val="20"/>
          <w:szCs w:val="20"/>
          <w:lang w:val="es-ES"/>
        </w:rPr>
        <w:t>e</w:t>
      </w:r>
      <w:r>
        <w:rPr>
          <w:sz w:val="20"/>
          <w:szCs w:val="20"/>
          <w:lang w:val="es-ES"/>
        </w:rPr>
        <w:t xml:space="preserve"> consideró el análisis de componentes principales típico porque este asume relaciones lineales entre las variables numéricas, y como vimos, la mayoría de las variables son de tipo categóricas, de manera que utilizamos la aproximación por escalamiento óptimo, el cual permite escalar las variables a diferentes niveles. El análisis de componentes principales categórico se conoce también por el acrónimo CATPCA, del inglés CATegorical Principal Components Análisis, o como PRINCALS.</w:t>
      </w:r>
    </w:p>
    <w:p w:rsidR="00736A70" w:rsidRDefault="00736A70">
      <w:pPr>
        <w:jc w:val="both"/>
        <w:rPr>
          <w:sz w:val="20"/>
          <w:lang w:val="es-ES"/>
        </w:rPr>
      </w:pPr>
      <w:r>
        <w:rPr>
          <w:sz w:val="20"/>
          <w:lang w:val="es-ES"/>
        </w:rPr>
        <w:t>Luego de utilizar este método con todas las variables del estudio utilizando 11 componentes  se llegaba a una representación del 70% de la varianza impidiendo mayor facilidad en el análisis, por tal motivo lo rechazamos y probamos con grupos de variables por separado.</w:t>
      </w:r>
    </w:p>
    <w:p w:rsidR="00736A70" w:rsidRDefault="00736A70">
      <w:pPr>
        <w:jc w:val="both"/>
        <w:rPr>
          <w:sz w:val="6"/>
          <w:lang w:val="es-ES"/>
        </w:rPr>
      </w:pPr>
    </w:p>
    <w:p w:rsidR="00736A70" w:rsidRDefault="00736A70">
      <w:pPr>
        <w:jc w:val="both"/>
        <w:rPr>
          <w:b/>
          <w:bCs/>
          <w:sz w:val="20"/>
          <w:lang w:val="es-ES"/>
        </w:rPr>
      </w:pPr>
      <w:r>
        <w:rPr>
          <w:b/>
          <w:bCs/>
          <w:sz w:val="20"/>
          <w:lang w:val="es-ES"/>
        </w:rPr>
        <w:t>Análisis con las variables Causa de Accidente,  Tipo de Vehículo y Estado del Vehículo</w:t>
      </w:r>
    </w:p>
    <w:p w:rsidR="00736A70" w:rsidRDefault="00736A70">
      <w:pPr>
        <w:jc w:val="both"/>
        <w:rPr>
          <w:sz w:val="20"/>
          <w:lang w:val="es-ES"/>
        </w:rPr>
      </w:pPr>
      <w:r>
        <w:rPr>
          <w:bCs/>
          <w:sz w:val="20"/>
          <w:lang w:val="es-ES"/>
        </w:rPr>
        <w:t xml:space="preserve">A pesar de obtener el 69.14% de representación de la varianza se considera esta combinación de variables muy importante. </w:t>
      </w:r>
      <w:r>
        <w:rPr>
          <w:sz w:val="20"/>
          <w:lang w:val="es-ES"/>
        </w:rPr>
        <w:t>Así, vemos que las variables Estado del Vehículo y Tipo de Vehículo son altamente correlacionadas y que ambas tienen correlación negativa con la variable Causa de Accidente, esto quiere decir que vehículos con estructuras más ligeras tienen daños más graves causados por factores como agotamiento, embriaguez, impericia, distracción del conductor entre otros.</w:t>
      </w:r>
    </w:p>
    <w:p w:rsidR="00736A70" w:rsidRDefault="00736A70">
      <w:pPr>
        <w:jc w:val="both"/>
        <w:rPr>
          <w:sz w:val="20"/>
          <w:lang w:val="es-ES"/>
        </w:rPr>
      </w:pPr>
    </w:p>
    <w:p w:rsidR="00736A70" w:rsidRDefault="00736A70">
      <w:pPr>
        <w:jc w:val="both"/>
        <w:rPr>
          <w:sz w:val="20"/>
          <w:lang w:val="es-ES"/>
        </w:rPr>
      </w:pPr>
    </w:p>
    <w:p w:rsidR="00736A70" w:rsidRDefault="00321D4B">
      <w:pPr>
        <w:jc w:val="both"/>
        <w:rPr>
          <w:sz w:val="20"/>
          <w:lang w:val="es-ES"/>
        </w:rPr>
      </w:pPr>
      <w:r>
        <w:rPr>
          <w:b/>
          <w:bCs/>
          <w:noProof/>
          <w:sz w:val="20"/>
          <w:lang w:eastAsia="en-US"/>
        </w:rPr>
        <w:lastRenderedPageBreak/>
        <w:drawing>
          <wp:anchor distT="0" distB="0" distL="114300" distR="114300" simplePos="0" relativeHeight="251648512" behindDoc="1" locked="0" layoutInCell="1" allowOverlap="1">
            <wp:simplePos x="0" y="0"/>
            <wp:positionH relativeFrom="column">
              <wp:posOffset>1714500</wp:posOffset>
            </wp:positionH>
            <wp:positionV relativeFrom="paragraph">
              <wp:posOffset>28575</wp:posOffset>
            </wp:positionV>
            <wp:extent cx="2286000" cy="2466975"/>
            <wp:effectExtent l="19050" t="0" r="0" b="0"/>
            <wp:wrapSquare wrapText="r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l="40800" t="2586" r="37518" b="2481"/>
                    <a:stretch>
                      <a:fillRect/>
                    </a:stretch>
                  </pic:blipFill>
                  <pic:spPr bwMode="auto">
                    <a:xfrm>
                      <a:off x="0" y="0"/>
                      <a:ext cx="2286000" cy="2466975"/>
                    </a:xfrm>
                    <a:prstGeom prst="rect">
                      <a:avLst/>
                    </a:prstGeom>
                    <a:noFill/>
                    <a:ln w="9525">
                      <a:noFill/>
                      <a:miter lim="800000"/>
                      <a:headEnd/>
                      <a:tailEnd/>
                    </a:ln>
                  </pic:spPr>
                </pic:pic>
              </a:graphicData>
            </a:graphic>
          </wp:anchor>
        </w:drawing>
      </w:r>
    </w:p>
    <w:p w:rsidR="00736A70" w:rsidRDefault="00736A70">
      <w:pPr>
        <w:jc w:val="both"/>
        <w:rPr>
          <w:sz w:val="20"/>
          <w:lang w:val="es-ES"/>
        </w:rPr>
      </w:pPr>
    </w:p>
    <w:p w:rsidR="00736A70" w:rsidRDefault="00736A70">
      <w:pPr>
        <w:jc w:val="center"/>
        <w:rPr>
          <w:b/>
          <w:bCs/>
          <w:iCs/>
          <w:sz w:val="20"/>
          <w:lang w:val="es-ES"/>
        </w:rPr>
      </w:pPr>
      <w:r>
        <w:rPr>
          <w:b/>
          <w:bCs/>
          <w:sz w:val="20"/>
          <w:lang w:val="es-ES"/>
        </w:rPr>
        <w:br w:type="textWrapping" w:clear="all"/>
      </w:r>
      <w:r>
        <w:rPr>
          <w:b/>
          <w:bCs/>
          <w:iCs/>
          <w:sz w:val="20"/>
          <w:lang w:val="es-ES"/>
        </w:rPr>
        <w:t>Gráfico 3- Carga de los componentes</w:t>
      </w:r>
    </w:p>
    <w:p w:rsidR="00736A70" w:rsidRDefault="00736A70">
      <w:pPr>
        <w:jc w:val="both"/>
        <w:rPr>
          <w:sz w:val="8"/>
          <w:lang w:val="es-ES"/>
        </w:rPr>
      </w:pPr>
    </w:p>
    <w:p w:rsidR="00736A70" w:rsidRDefault="00736A70">
      <w:pPr>
        <w:jc w:val="both"/>
        <w:rPr>
          <w:b/>
          <w:bCs/>
          <w:sz w:val="20"/>
          <w:lang w:val="es-ES"/>
        </w:rPr>
      </w:pPr>
      <w:r>
        <w:rPr>
          <w:b/>
          <w:bCs/>
          <w:sz w:val="20"/>
          <w:lang w:val="es-ES"/>
        </w:rPr>
        <w:t>Análisis con las variables Uso, Marca, Tipo de Combustible, Tipo de Vehículo y Tipo de Persona</w:t>
      </w:r>
    </w:p>
    <w:p w:rsidR="00736A70" w:rsidRDefault="00736A70">
      <w:pPr>
        <w:jc w:val="both"/>
        <w:rPr>
          <w:sz w:val="20"/>
          <w:lang w:val="es-ES"/>
        </w:rPr>
      </w:pPr>
      <w:r>
        <w:rPr>
          <w:sz w:val="20"/>
          <w:lang w:val="es-ES"/>
        </w:rPr>
        <w:t>Analizando este grupo de variables vemos que las 2 componentes principales absorben el 75,2% de la varianza de las variables originales.</w:t>
      </w:r>
    </w:p>
    <w:p w:rsidR="00736A70" w:rsidRDefault="00736A70">
      <w:pPr>
        <w:pStyle w:val="Textoindependiente2"/>
      </w:pPr>
      <w:r>
        <w:t>El software estadístico SPSS nos permite realizar este análisis inclusive mostrándonos información acerca de las categorías de las variables, es por esto que en el Gráfico 4</w:t>
      </w:r>
    </w:p>
    <w:p w:rsidR="00736A70" w:rsidRDefault="00321D4B">
      <w:pPr>
        <w:jc w:val="center"/>
        <w:rPr>
          <w:sz w:val="20"/>
          <w:szCs w:val="20"/>
          <w:lang w:val="es-MX"/>
        </w:rPr>
      </w:pPr>
      <w:r>
        <w:rPr>
          <w:noProof/>
          <w:sz w:val="20"/>
          <w:szCs w:val="20"/>
          <w:lang w:eastAsia="en-US"/>
        </w:rPr>
        <w:drawing>
          <wp:inline distT="0" distB="0" distL="0" distR="0">
            <wp:extent cx="5762625" cy="2190750"/>
            <wp:effectExtent l="1905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l="15915" t="2165" r="12570" b="7639"/>
                    <a:stretch>
                      <a:fillRect/>
                    </a:stretch>
                  </pic:blipFill>
                  <pic:spPr bwMode="auto">
                    <a:xfrm>
                      <a:off x="0" y="0"/>
                      <a:ext cx="5762625" cy="2190750"/>
                    </a:xfrm>
                    <a:prstGeom prst="rect">
                      <a:avLst/>
                    </a:prstGeom>
                    <a:noFill/>
                    <a:ln w="9525">
                      <a:noFill/>
                      <a:miter lim="800000"/>
                      <a:headEnd/>
                      <a:tailEnd/>
                    </a:ln>
                  </pic:spPr>
                </pic:pic>
              </a:graphicData>
            </a:graphic>
          </wp:inline>
        </w:drawing>
      </w:r>
    </w:p>
    <w:p w:rsidR="00736A70" w:rsidRDefault="00736A70">
      <w:pPr>
        <w:pStyle w:val="Ttulo5"/>
        <w:jc w:val="center"/>
        <w:rPr>
          <w:iCs/>
        </w:rPr>
      </w:pPr>
      <w:r>
        <w:rPr>
          <w:iCs/>
        </w:rPr>
        <w:t>Gráfico 4.- Puntos para las categorías en los gráficos conjuntos</w:t>
      </w:r>
    </w:p>
    <w:p w:rsidR="00736A70" w:rsidRDefault="00736A70">
      <w:pPr>
        <w:jc w:val="center"/>
        <w:rPr>
          <w:sz w:val="8"/>
          <w:szCs w:val="20"/>
          <w:lang w:val="es-EC"/>
        </w:rPr>
      </w:pPr>
    </w:p>
    <w:p w:rsidR="00736A70" w:rsidRDefault="00736A70">
      <w:pPr>
        <w:pStyle w:val="Textoindependiente2"/>
        <w:rPr>
          <w:bCs w:val="0"/>
        </w:rPr>
      </w:pPr>
      <w:r>
        <w:rPr>
          <w:bCs w:val="0"/>
        </w:rPr>
        <w:t>Vemos que los vehículos accidentados livianos que usan gasolina son particulares, principalmente de las categorías Lujo y Popular. También notamos que los vehículos accidentados pesados que utilizan diesel son de alquiler y la marca es catalogada como Otros.</w:t>
      </w:r>
    </w:p>
    <w:p w:rsidR="00736A70" w:rsidRDefault="00736A70">
      <w:pPr>
        <w:jc w:val="both"/>
        <w:rPr>
          <w:sz w:val="20"/>
          <w:lang w:val="es-MX"/>
        </w:rPr>
      </w:pPr>
      <w:r>
        <w:rPr>
          <w:sz w:val="20"/>
          <w:lang w:val="es-MX"/>
        </w:rPr>
        <w:t>El Gráfico 4 es muy interesante ya que nos muestra que componente es el que absorbe la mayor representatividad de los datos originales, además de la correlación existente entre ellos. Tipo de Combustible y Tipo de Vehículo están correlacionadas positivamente y negativamente con Uso y Marca respectivamente, esto se deduce por estar estas ubicadas a lados opuestos.</w:t>
      </w:r>
    </w:p>
    <w:p w:rsidR="00736A70" w:rsidRDefault="00736A70">
      <w:pPr>
        <w:jc w:val="both"/>
        <w:rPr>
          <w:sz w:val="8"/>
          <w:lang w:val="es-MX"/>
        </w:rPr>
      </w:pPr>
    </w:p>
    <w:p w:rsidR="00736A70" w:rsidRDefault="00736A70">
      <w:pPr>
        <w:pStyle w:val="Ttulo5"/>
        <w:rPr>
          <w:rFonts w:ascii="Arial" w:hAnsi="Arial" w:cs="Arial"/>
          <w:lang w:val="es-ES"/>
        </w:rPr>
      </w:pPr>
      <w:r>
        <w:rPr>
          <w:lang w:val="es-ES"/>
        </w:rPr>
        <w:t>Análisis con las variables Año de Fabricación, Estado del Vehículo y Estructura del Vehículo</w:t>
      </w:r>
    </w:p>
    <w:p w:rsidR="00736A70" w:rsidRDefault="00736A70">
      <w:pPr>
        <w:jc w:val="both"/>
        <w:rPr>
          <w:sz w:val="20"/>
          <w:lang w:val="es-MX"/>
        </w:rPr>
      </w:pPr>
      <w:r>
        <w:rPr>
          <w:sz w:val="20"/>
          <w:lang w:val="es-MX"/>
        </w:rPr>
        <w:t>El análisis efectuado con estas tres variables muestra que los dos componente absorbieron el 72,2% de la varianza, siendo este un nivel aceptable. Como vemos el Gráfico 5 las variables Año de Fabricación y Estructura del Vehículo son correlacionadas negativamente puesto que se encuentran a extremos opuestos indicando  que vehículos accidentados con mayor antigüedad tienen estructura más débil. Estas dos variables al estar ubicadas al extremo opuesto de Estado del Vehículo indican que la mayoría de vehículos sufren daños leves, en especial aquellos de estructura metálica que tienen como años de fabricación entre 1982 y 1989.</w:t>
      </w:r>
    </w:p>
    <w:p w:rsidR="00736A70" w:rsidRDefault="00321D4B">
      <w:pPr>
        <w:jc w:val="center"/>
        <w:rPr>
          <w:rFonts w:ascii="Arial" w:hAnsi="Arial" w:cs="Arial"/>
          <w:lang w:val="es-MX"/>
        </w:rPr>
      </w:pPr>
      <w:r>
        <w:rPr>
          <w:rFonts w:ascii="Arial" w:hAnsi="Arial" w:cs="Arial"/>
          <w:noProof/>
          <w:lang w:eastAsia="en-US"/>
        </w:rPr>
        <w:lastRenderedPageBreak/>
        <w:drawing>
          <wp:inline distT="0" distB="0" distL="0" distR="0">
            <wp:extent cx="3076575" cy="2324100"/>
            <wp:effectExtent l="1905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srcRect l="35388" r="31691"/>
                    <a:stretch>
                      <a:fillRect/>
                    </a:stretch>
                  </pic:blipFill>
                  <pic:spPr bwMode="auto">
                    <a:xfrm>
                      <a:off x="0" y="0"/>
                      <a:ext cx="3076575" cy="2324100"/>
                    </a:xfrm>
                    <a:prstGeom prst="rect">
                      <a:avLst/>
                    </a:prstGeom>
                    <a:noFill/>
                    <a:ln w="9525">
                      <a:noFill/>
                      <a:miter lim="800000"/>
                      <a:headEnd/>
                      <a:tailEnd/>
                    </a:ln>
                  </pic:spPr>
                </pic:pic>
              </a:graphicData>
            </a:graphic>
          </wp:inline>
        </w:drawing>
      </w:r>
    </w:p>
    <w:p w:rsidR="00736A70" w:rsidRDefault="00736A70">
      <w:pPr>
        <w:pStyle w:val="Ttulo5"/>
        <w:jc w:val="center"/>
        <w:rPr>
          <w:iCs/>
        </w:rPr>
      </w:pPr>
      <w:r>
        <w:rPr>
          <w:iCs/>
        </w:rPr>
        <w:t>Gráfico 5.- Carga de los componentes</w:t>
      </w:r>
    </w:p>
    <w:p w:rsidR="00736A70" w:rsidRDefault="00736A70">
      <w:pPr>
        <w:jc w:val="center"/>
        <w:rPr>
          <w:sz w:val="8"/>
          <w:lang w:val="es-EC"/>
        </w:rPr>
      </w:pPr>
    </w:p>
    <w:p w:rsidR="00736A70" w:rsidRDefault="00736A70">
      <w:pPr>
        <w:jc w:val="both"/>
        <w:rPr>
          <w:b/>
          <w:sz w:val="20"/>
          <w:lang w:val="es-ES"/>
        </w:rPr>
      </w:pPr>
      <w:r>
        <w:rPr>
          <w:b/>
          <w:bCs/>
          <w:sz w:val="20"/>
          <w:lang w:val="es-ES"/>
        </w:rPr>
        <w:t>3.2.2 Regresión lineal por pasos sucesivos</w:t>
      </w:r>
    </w:p>
    <w:p w:rsidR="00736A70" w:rsidRDefault="00736A70">
      <w:pPr>
        <w:jc w:val="both"/>
        <w:rPr>
          <w:bCs/>
          <w:sz w:val="20"/>
          <w:lang w:val="es-EC"/>
        </w:rPr>
      </w:pPr>
      <w:r>
        <w:rPr>
          <w:bCs/>
          <w:sz w:val="20"/>
          <w:lang w:val="es-MX"/>
        </w:rPr>
        <w:t xml:space="preserve">En esta </w:t>
      </w:r>
      <w:r>
        <w:rPr>
          <w:bCs/>
          <w:sz w:val="20"/>
          <w:lang w:val="es-EC"/>
        </w:rPr>
        <w:t>sección</w:t>
      </w:r>
      <w:r>
        <w:rPr>
          <w:bCs/>
          <w:sz w:val="20"/>
          <w:lang w:val="es-MX"/>
        </w:rPr>
        <w:t xml:space="preserve"> se probó obteniendo la ecuación de la regresión lineal utilizando pasos sucesivos de manera que en cada iteración se introduzcan cada una de las variables y si se las excluye del modelo si estas no poseen un </w:t>
      </w:r>
      <w:r>
        <w:rPr>
          <w:sz w:val="20"/>
          <w:lang w:val="es-MX"/>
        </w:rPr>
        <w:t>nivel</w:t>
      </w:r>
      <w:r>
        <w:rPr>
          <w:bCs/>
          <w:sz w:val="20"/>
          <w:lang w:val="es-MX"/>
        </w:rPr>
        <w:t xml:space="preserve"> de tolerancia mínimo de 0.0001 para su </w:t>
      </w:r>
      <w:r>
        <w:rPr>
          <w:sz w:val="20"/>
          <w:lang w:val="es-MX"/>
        </w:rPr>
        <w:t>aceptación</w:t>
      </w:r>
      <w:r>
        <w:rPr>
          <w:bCs/>
          <w:sz w:val="20"/>
          <w:lang w:val="es-MX"/>
        </w:rPr>
        <w:t xml:space="preserve">. </w:t>
      </w:r>
      <w:r>
        <w:rPr>
          <w:bCs/>
          <w:sz w:val="20"/>
          <w:lang w:val="es-EC"/>
        </w:rPr>
        <w:t xml:space="preserve">El nivel de tolerancia nos permite determinar si las variables  independientes son multicolineales es decir si están relacionadas entre sí. </w:t>
      </w:r>
    </w:p>
    <w:p w:rsidR="00736A70" w:rsidRDefault="00736A70">
      <w:pPr>
        <w:jc w:val="both"/>
        <w:rPr>
          <w:sz w:val="20"/>
          <w:lang w:val="es-ES"/>
        </w:rPr>
      </w:pPr>
      <w:r>
        <w:rPr>
          <w:bCs/>
          <w:sz w:val="20"/>
          <w:lang w:val="es-ES"/>
        </w:rPr>
        <w:t>Así, tenemos que en la iteración 7 obtuvimos un coeficiente de correlación múltiple de 0,041 por lo que desechamos la ecuación resultante.</w:t>
      </w:r>
      <w:r>
        <w:rPr>
          <w:sz w:val="20"/>
          <w:lang w:val="es-ES"/>
        </w:rPr>
        <w:t xml:space="preserve"> Ver Cuadro 1</w:t>
      </w:r>
    </w:p>
    <w:p w:rsidR="00736A70" w:rsidRDefault="00736A70">
      <w:pPr>
        <w:jc w:val="both"/>
        <w:rPr>
          <w:bCs/>
          <w:sz w:val="4"/>
          <w:lang w:val="es-EC"/>
        </w:rPr>
      </w:pPr>
    </w:p>
    <w:p w:rsidR="00736A70" w:rsidRDefault="00736A70">
      <w:pPr>
        <w:pStyle w:val="Ttulo1"/>
        <w:rPr>
          <w:szCs w:val="24"/>
          <w:lang w:val="es-EC"/>
        </w:rPr>
      </w:pPr>
      <w:r>
        <w:rPr>
          <w:szCs w:val="24"/>
          <w:lang w:val="es-EC"/>
        </w:rPr>
        <w:t>Cuadro 1.- Coeficiente de correlación múltiple</w:t>
      </w:r>
    </w:p>
    <w:tbl>
      <w:tblPr>
        <w:tblW w:w="3360" w:type="dxa"/>
        <w:tblCellSpacing w:w="20" w:type="dxa"/>
        <w:tblInd w:w="309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tblPr>
      <w:tblGrid>
        <w:gridCol w:w="1440"/>
        <w:gridCol w:w="951"/>
        <w:gridCol w:w="969"/>
      </w:tblGrid>
      <w:tr w:rsidR="00736A70">
        <w:trPr>
          <w:trHeight w:val="226"/>
          <w:tblCellSpacing w:w="20" w:type="dxa"/>
        </w:trPr>
        <w:tc>
          <w:tcPr>
            <w:tcW w:w="1380" w:type="dxa"/>
            <w:vAlign w:val="center"/>
          </w:tcPr>
          <w:p w:rsidR="00736A70" w:rsidRDefault="00736A70">
            <w:pPr>
              <w:autoSpaceDE w:val="0"/>
              <w:autoSpaceDN w:val="0"/>
              <w:adjustRightInd w:val="0"/>
              <w:jc w:val="center"/>
              <w:rPr>
                <w:sz w:val="20"/>
                <w:lang w:val="es-EC"/>
              </w:rPr>
            </w:pPr>
            <w:r>
              <w:rPr>
                <w:sz w:val="20"/>
                <w:lang w:val="es-EC"/>
              </w:rPr>
              <w:t>Iteración</w:t>
            </w:r>
          </w:p>
        </w:tc>
        <w:tc>
          <w:tcPr>
            <w:tcW w:w="911" w:type="dxa"/>
            <w:vAlign w:val="center"/>
          </w:tcPr>
          <w:p w:rsidR="00736A70" w:rsidRDefault="00736A70">
            <w:pPr>
              <w:autoSpaceDE w:val="0"/>
              <w:autoSpaceDN w:val="0"/>
              <w:adjustRightInd w:val="0"/>
              <w:jc w:val="center"/>
              <w:rPr>
                <w:sz w:val="20"/>
                <w:lang w:val="es-MX"/>
              </w:rPr>
            </w:pPr>
            <w:r>
              <w:rPr>
                <w:sz w:val="20"/>
                <w:lang w:val="es-MX"/>
              </w:rPr>
              <w:t>R</w:t>
            </w:r>
          </w:p>
        </w:tc>
        <w:tc>
          <w:tcPr>
            <w:tcW w:w="909" w:type="dxa"/>
            <w:vAlign w:val="center"/>
          </w:tcPr>
          <w:p w:rsidR="00736A70" w:rsidRDefault="00736A70">
            <w:pPr>
              <w:autoSpaceDE w:val="0"/>
              <w:autoSpaceDN w:val="0"/>
              <w:adjustRightInd w:val="0"/>
              <w:jc w:val="center"/>
              <w:rPr>
                <w:sz w:val="20"/>
                <w:lang w:val="es-MX"/>
              </w:rPr>
            </w:pPr>
            <w:r>
              <w:rPr>
                <w:sz w:val="20"/>
                <w:lang w:val="es-MX"/>
              </w:rPr>
              <w:t>R</w:t>
            </w:r>
            <w:r>
              <w:rPr>
                <w:sz w:val="20"/>
                <w:vertAlign w:val="superscript"/>
                <w:lang w:val="es-MX"/>
              </w:rPr>
              <w:t>2</w:t>
            </w:r>
          </w:p>
        </w:tc>
      </w:tr>
      <w:tr w:rsidR="00736A70">
        <w:trPr>
          <w:tblCellSpacing w:w="20" w:type="dxa"/>
        </w:trPr>
        <w:tc>
          <w:tcPr>
            <w:tcW w:w="1380" w:type="dxa"/>
            <w:vAlign w:val="center"/>
          </w:tcPr>
          <w:p w:rsidR="00736A70" w:rsidRDefault="00736A70">
            <w:pPr>
              <w:jc w:val="center"/>
              <w:rPr>
                <w:sz w:val="20"/>
                <w:lang w:val="es-MX"/>
              </w:rPr>
            </w:pPr>
            <w:r>
              <w:rPr>
                <w:sz w:val="20"/>
                <w:lang w:val="es-MX"/>
              </w:rPr>
              <w:t>7</w:t>
            </w:r>
          </w:p>
        </w:tc>
        <w:tc>
          <w:tcPr>
            <w:tcW w:w="911" w:type="dxa"/>
            <w:vAlign w:val="center"/>
          </w:tcPr>
          <w:p w:rsidR="00736A70" w:rsidRDefault="00736A70">
            <w:pPr>
              <w:jc w:val="right"/>
              <w:rPr>
                <w:sz w:val="20"/>
                <w:lang w:val="es-MX"/>
              </w:rPr>
            </w:pPr>
            <w:r>
              <w:rPr>
                <w:sz w:val="20"/>
                <w:lang w:val="es-MX"/>
              </w:rPr>
              <w:t>,204</w:t>
            </w:r>
          </w:p>
        </w:tc>
        <w:tc>
          <w:tcPr>
            <w:tcW w:w="909" w:type="dxa"/>
            <w:vAlign w:val="center"/>
          </w:tcPr>
          <w:p w:rsidR="00736A70" w:rsidRDefault="00736A70">
            <w:pPr>
              <w:jc w:val="right"/>
              <w:rPr>
                <w:sz w:val="20"/>
                <w:lang w:val="es-MX"/>
              </w:rPr>
            </w:pPr>
            <w:r>
              <w:rPr>
                <w:sz w:val="20"/>
                <w:lang w:val="es-MX"/>
              </w:rPr>
              <w:t>,041</w:t>
            </w:r>
          </w:p>
        </w:tc>
      </w:tr>
    </w:tbl>
    <w:p w:rsidR="00736A70" w:rsidRDefault="00736A70">
      <w:pPr>
        <w:jc w:val="both"/>
        <w:rPr>
          <w:sz w:val="8"/>
          <w:lang w:val="es-ES"/>
        </w:rPr>
      </w:pPr>
    </w:p>
    <w:p w:rsidR="00736A70" w:rsidRDefault="00736A70">
      <w:pPr>
        <w:jc w:val="both"/>
        <w:rPr>
          <w:b/>
          <w:sz w:val="20"/>
          <w:lang w:val="es-ES"/>
        </w:rPr>
      </w:pPr>
      <w:r>
        <w:rPr>
          <w:b/>
          <w:bCs/>
          <w:sz w:val="20"/>
          <w:lang w:val="es-ES"/>
        </w:rPr>
        <w:t>3.2.3 Análisis Discriminante</w:t>
      </w:r>
    </w:p>
    <w:p w:rsidR="00736A70" w:rsidRDefault="00736A70">
      <w:pPr>
        <w:pStyle w:val="Textoindependiente2"/>
        <w:rPr>
          <w:rFonts w:ascii="Arial" w:hAnsi="Arial" w:cs="Arial"/>
          <w:bCs w:val="0"/>
          <w:sz w:val="24"/>
        </w:rPr>
      </w:pPr>
      <w:r>
        <w:rPr>
          <w:bCs w:val="0"/>
        </w:rPr>
        <w:t xml:space="preserve">Puesto que la regresión intentada no dio buenos resultados se procede a realizar un análisis discriminante a las variables, tomando como la variable de agrupación Cantidad, representando el número de accidentes del propietario del vehículo. Vemos que el procedimiento arrojó 3 funciones discriminantes que explican el 100% de la varianza de las variables en estudio. Ver Tabla III. A pesar de esto no es aceptado ya que debido al valor-p=0 es debido rechazar la hipótesis nula sobre la evidencia estadística de que las matrices difieren. </w:t>
      </w:r>
    </w:p>
    <w:p w:rsidR="00736A70" w:rsidRDefault="00736A70">
      <w:pPr>
        <w:pStyle w:val="Ttulo1"/>
        <w:rPr>
          <w:sz w:val="4"/>
          <w:szCs w:val="24"/>
          <w:lang w:val="es-EC"/>
        </w:rPr>
      </w:pPr>
    </w:p>
    <w:p w:rsidR="00736A70" w:rsidRDefault="00736A70">
      <w:pPr>
        <w:pStyle w:val="Ttulo1"/>
        <w:rPr>
          <w:rFonts w:ascii="Arial" w:hAnsi="Arial" w:cs="Arial"/>
          <w:b w:val="0"/>
        </w:rPr>
      </w:pPr>
      <w:r>
        <w:rPr>
          <w:szCs w:val="24"/>
          <w:lang w:val="es-EC"/>
        </w:rPr>
        <w:t>Tabla III.- Proporción de la varianza explicada</w:t>
      </w:r>
    </w:p>
    <w:tbl>
      <w:tblPr>
        <w:tblW w:w="4083" w:type="dxa"/>
        <w:jc w:val="center"/>
        <w:tblCellSpacing w:w="20" w:type="dxa"/>
        <w:tblInd w:w="49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tblPr>
      <w:tblGrid>
        <w:gridCol w:w="966"/>
        <w:gridCol w:w="827"/>
        <w:gridCol w:w="942"/>
        <w:gridCol w:w="1348"/>
      </w:tblGrid>
      <w:tr w:rsidR="00736A70">
        <w:trPr>
          <w:tblCellSpacing w:w="20" w:type="dxa"/>
          <w:jc w:val="center"/>
        </w:trPr>
        <w:tc>
          <w:tcPr>
            <w:tcW w:w="906" w:type="dxa"/>
            <w:vAlign w:val="center"/>
          </w:tcPr>
          <w:p w:rsidR="00736A70" w:rsidRDefault="00736A70">
            <w:pPr>
              <w:autoSpaceDE w:val="0"/>
              <w:autoSpaceDN w:val="0"/>
              <w:adjustRightInd w:val="0"/>
              <w:jc w:val="right"/>
              <w:rPr>
                <w:sz w:val="20"/>
                <w:lang w:val="es-EC"/>
              </w:rPr>
            </w:pPr>
            <w:r>
              <w:rPr>
                <w:sz w:val="20"/>
                <w:lang w:val="es-EC"/>
              </w:rPr>
              <w:t>Función</w:t>
            </w:r>
          </w:p>
        </w:tc>
        <w:tc>
          <w:tcPr>
            <w:tcW w:w="787" w:type="dxa"/>
            <w:vAlign w:val="center"/>
          </w:tcPr>
          <w:p w:rsidR="00736A70" w:rsidRDefault="00736A70">
            <w:pPr>
              <w:autoSpaceDE w:val="0"/>
              <w:autoSpaceDN w:val="0"/>
              <w:adjustRightInd w:val="0"/>
              <w:jc w:val="right"/>
              <w:rPr>
                <w:sz w:val="20"/>
                <w:lang w:val="es-EC"/>
              </w:rPr>
            </w:pPr>
            <w:r>
              <w:rPr>
                <w:sz w:val="20"/>
                <w:lang w:val="es-EC"/>
              </w:rPr>
              <w:t>% Var.</w:t>
            </w:r>
          </w:p>
        </w:tc>
        <w:tc>
          <w:tcPr>
            <w:tcW w:w="902" w:type="dxa"/>
            <w:vAlign w:val="center"/>
          </w:tcPr>
          <w:p w:rsidR="00736A70" w:rsidRDefault="00736A70">
            <w:pPr>
              <w:autoSpaceDE w:val="0"/>
              <w:autoSpaceDN w:val="0"/>
              <w:adjustRightInd w:val="0"/>
              <w:jc w:val="right"/>
              <w:rPr>
                <w:sz w:val="20"/>
                <w:lang w:val="es-EC"/>
              </w:rPr>
            </w:pPr>
            <w:r>
              <w:rPr>
                <w:sz w:val="20"/>
                <w:lang w:val="es-EC"/>
              </w:rPr>
              <w:t>% acum.</w:t>
            </w:r>
          </w:p>
        </w:tc>
        <w:tc>
          <w:tcPr>
            <w:tcW w:w="1288" w:type="dxa"/>
            <w:vAlign w:val="center"/>
          </w:tcPr>
          <w:p w:rsidR="00736A70" w:rsidRDefault="00736A70">
            <w:pPr>
              <w:autoSpaceDE w:val="0"/>
              <w:autoSpaceDN w:val="0"/>
              <w:adjustRightInd w:val="0"/>
              <w:jc w:val="right"/>
              <w:rPr>
                <w:sz w:val="20"/>
              </w:rPr>
            </w:pPr>
            <w:r>
              <w:rPr>
                <w:sz w:val="20"/>
                <w:lang w:val="es-EC"/>
              </w:rPr>
              <w:t>Correlación</w:t>
            </w:r>
            <w:r>
              <w:rPr>
                <w:sz w:val="20"/>
              </w:rPr>
              <w:t xml:space="preserve"> </w:t>
            </w:r>
            <w:r>
              <w:rPr>
                <w:sz w:val="20"/>
                <w:lang w:val="es-EC"/>
              </w:rPr>
              <w:t>Canónica</w:t>
            </w:r>
          </w:p>
        </w:tc>
      </w:tr>
      <w:tr w:rsidR="00736A70">
        <w:trPr>
          <w:tblCellSpacing w:w="20" w:type="dxa"/>
          <w:jc w:val="center"/>
        </w:trPr>
        <w:tc>
          <w:tcPr>
            <w:tcW w:w="906" w:type="dxa"/>
            <w:vAlign w:val="center"/>
          </w:tcPr>
          <w:p w:rsidR="00736A70" w:rsidRDefault="00736A70">
            <w:pPr>
              <w:autoSpaceDE w:val="0"/>
              <w:autoSpaceDN w:val="0"/>
              <w:adjustRightInd w:val="0"/>
              <w:jc w:val="right"/>
              <w:rPr>
                <w:sz w:val="20"/>
              </w:rPr>
            </w:pPr>
            <w:r>
              <w:rPr>
                <w:sz w:val="20"/>
              </w:rPr>
              <w:t>1</w:t>
            </w:r>
          </w:p>
        </w:tc>
        <w:tc>
          <w:tcPr>
            <w:tcW w:w="787" w:type="dxa"/>
            <w:vAlign w:val="center"/>
          </w:tcPr>
          <w:p w:rsidR="00736A70" w:rsidRDefault="00736A70">
            <w:pPr>
              <w:autoSpaceDE w:val="0"/>
              <w:autoSpaceDN w:val="0"/>
              <w:adjustRightInd w:val="0"/>
              <w:jc w:val="right"/>
              <w:rPr>
                <w:sz w:val="20"/>
              </w:rPr>
            </w:pPr>
            <w:r>
              <w:rPr>
                <w:sz w:val="20"/>
              </w:rPr>
              <w:t>94,7</w:t>
            </w:r>
          </w:p>
        </w:tc>
        <w:tc>
          <w:tcPr>
            <w:tcW w:w="902" w:type="dxa"/>
            <w:vAlign w:val="center"/>
          </w:tcPr>
          <w:p w:rsidR="00736A70" w:rsidRDefault="00736A70">
            <w:pPr>
              <w:autoSpaceDE w:val="0"/>
              <w:autoSpaceDN w:val="0"/>
              <w:adjustRightInd w:val="0"/>
              <w:jc w:val="right"/>
              <w:rPr>
                <w:sz w:val="20"/>
              </w:rPr>
            </w:pPr>
            <w:r>
              <w:rPr>
                <w:sz w:val="20"/>
              </w:rPr>
              <w:t>94,7</w:t>
            </w:r>
          </w:p>
        </w:tc>
        <w:tc>
          <w:tcPr>
            <w:tcW w:w="1288" w:type="dxa"/>
            <w:vAlign w:val="center"/>
          </w:tcPr>
          <w:p w:rsidR="00736A70" w:rsidRDefault="00736A70">
            <w:pPr>
              <w:autoSpaceDE w:val="0"/>
              <w:autoSpaceDN w:val="0"/>
              <w:adjustRightInd w:val="0"/>
              <w:jc w:val="right"/>
              <w:rPr>
                <w:sz w:val="20"/>
              </w:rPr>
            </w:pPr>
            <w:r>
              <w:rPr>
                <w:sz w:val="20"/>
              </w:rPr>
              <w:t>,213</w:t>
            </w:r>
          </w:p>
        </w:tc>
      </w:tr>
      <w:tr w:rsidR="00736A70">
        <w:trPr>
          <w:tblCellSpacing w:w="20" w:type="dxa"/>
          <w:jc w:val="center"/>
        </w:trPr>
        <w:tc>
          <w:tcPr>
            <w:tcW w:w="906" w:type="dxa"/>
            <w:vAlign w:val="center"/>
          </w:tcPr>
          <w:p w:rsidR="00736A70" w:rsidRDefault="00736A70">
            <w:pPr>
              <w:autoSpaceDE w:val="0"/>
              <w:autoSpaceDN w:val="0"/>
              <w:adjustRightInd w:val="0"/>
              <w:jc w:val="right"/>
              <w:rPr>
                <w:sz w:val="20"/>
              </w:rPr>
            </w:pPr>
            <w:r>
              <w:rPr>
                <w:sz w:val="20"/>
              </w:rPr>
              <w:t>2</w:t>
            </w:r>
          </w:p>
        </w:tc>
        <w:tc>
          <w:tcPr>
            <w:tcW w:w="787" w:type="dxa"/>
            <w:vAlign w:val="center"/>
          </w:tcPr>
          <w:p w:rsidR="00736A70" w:rsidRDefault="00736A70">
            <w:pPr>
              <w:autoSpaceDE w:val="0"/>
              <w:autoSpaceDN w:val="0"/>
              <w:adjustRightInd w:val="0"/>
              <w:jc w:val="right"/>
              <w:rPr>
                <w:sz w:val="20"/>
              </w:rPr>
            </w:pPr>
            <w:r>
              <w:rPr>
                <w:sz w:val="20"/>
              </w:rPr>
              <w:t>4,0</w:t>
            </w:r>
          </w:p>
        </w:tc>
        <w:tc>
          <w:tcPr>
            <w:tcW w:w="902" w:type="dxa"/>
            <w:vAlign w:val="center"/>
          </w:tcPr>
          <w:p w:rsidR="00736A70" w:rsidRDefault="00736A70">
            <w:pPr>
              <w:autoSpaceDE w:val="0"/>
              <w:autoSpaceDN w:val="0"/>
              <w:adjustRightInd w:val="0"/>
              <w:jc w:val="right"/>
              <w:rPr>
                <w:sz w:val="20"/>
              </w:rPr>
            </w:pPr>
            <w:r>
              <w:rPr>
                <w:sz w:val="20"/>
              </w:rPr>
              <w:t>98,7</w:t>
            </w:r>
          </w:p>
        </w:tc>
        <w:tc>
          <w:tcPr>
            <w:tcW w:w="1288" w:type="dxa"/>
            <w:vAlign w:val="center"/>
          </w:tcPr>
          <w:p w:rsidR="00736A70" w:rsidRDefault="00736A70">
            <w:pPr>
              <w:autoSpaceDE w:val="0"/>
              <w:autoSpaceDN w:val="0"/>
              <w:adjustRightInd w:val="0"/>
              <w:jc w:val="right"/>
              <w:rPr>
                <w:sz w:val="20"/>
              </w:rPr>
            </w:pPr>
            <w:r>
              <w:rPr>
                <w:sz w:val="20"/>
              </w:rPr>
              <w:t>,045</w:t>
            </w:r>
          </w:p>
        </w:tc>
      </w:tr>
      <w:tr w:rsidR="00736A70">
        <w:trPr>
          <w:tblCellSpacing w:w="20" w:type="dxa"/>
          <w:jc w:val="center"/>
        </w:trPr>
        <w:tc>
          <w:tcPr>
            <w:tcW w:w="906" w:type="dxa"/>
            <w:vAlign w:val="center"/>
          </w:tcPr>
          <w:p w:rsidR="00736A70" w:rsidRDefault="00736A70">
            <w:pPr>
              <w:autoSpaceDE w:val="0"/>
              <w:autoSpaceDN w:val="0"/>
              <w:adjustRightInd w:val="0"/>
              <w:jc w:val="right"/>
              <w:rPr>
                <w:sz w:val="20"/>
              </w:rPr>
            </w:pPr>
            <w:r>
              <w:rPr>
                <w:sz w:val="20"/>
              </w:rPr>
              <w:t>3</w:t>
            </w:r>
          </w:p>
        </w:tc>
        <w:tc>
          <w:tcPr>
            <w:tcW w:w="787" w:type="dxa"/>
            <w:vAlign w:val="center"/>
          </w:tcPr>
          <w:p w:rsidR="00736A70" w:rsidRDefault="00736A70">
            <w:pPr>
              <w:autoSpaceDE w:val="0"/>
              <w:autoSpaceDN w:val="0"/>
              <w:adjustRightInd w:val="0"/>
              <w:jc w:val="right"/>
              <w:rPr>
                <w:sz w:val="20"/>
              </w:rPr>
            </w:pPr>
            <w:r>
              <w:rPr>
                <w:sz w:val="20"/>
              </w:rPr>
              <w:t>1,3</w:t>
            </w:r>
          </w:p>
        </w:tc>
        <w:tc>
          <w:tcPr>
            <w:tcW w:w="902" w:type="dxa"/>
            <w:vAlign w:val="center"/>
          </w:tcPr>
          <w:p w:rsidR="00736A70" w:rsidRDefault="00736A70">
            <w:pPr>
              <w:autoSpaceDE w:val="0"/>
              <w:autoSpaceDN w:val="0"/>
              <w:adjustRightInd w:val="0"/>
              <w:jc w:val="right"/>
              <w:rPr>
                <w:sz w:val="20"/>
              </w:rPr>
            </w:pPr>
            <w:r>
              <w:rPr>
                <w:sz w:val="20"/>
              </w:rPr>
              <w:t>100,0</w:t>
            </w:r>
          </w:p>
        </w:tc>
        <w:tc>
          <w:tcPr>
            <w:tcW w:w="1288" w:type="dxa"/>
            <w:vAlign w:val="center"/>
          </w:tcPr>
          <w:p w:rsidR="00736A70" w:rsidRDefault="00736A70">
            <w:pPr>
              <w:autoSpaceDE w:val="0"/>
              <w:autoSpaceDN w:val="0"/>
              <w:adjustRightInd w:val="0"/>
              <w:jc w:val="right"/>
              <w:rPr>
                <w:sz w:val="20"/>
              </w:rPr>
            </w:pPr>
            <w:r>
              <w:rPr>
                <w:sz w:val="20"/>
              </w:rPr>
              <w:t>,026</w:t>
            </w:r>
          </w:p>
        </w:tc>
      </w:tr>
    </w:tbl>
    <w:p w:rsidR="00736A70" w:rsidRDefault="00736A70">
      <w:pPr>
        <w:jc w:val="both"/>
        <w:rPr>
          <w:sz w:val="20"/>
          <w:lang w:val="es-MX"/>
        </w:rPr>
      </w:pPr>
    </w:p>
    <w:p w:rsidR="00736A70" w:rsidRDefault="00736A70">
      <w:pPr>
        <w:pStyle w:val="Textoindependiente2"/>
        <w:rPr>
          <w:bCs w:val="0"/>
        </w:rPr>
      </w:pPr>
      <w:r>
        <w:rPr>
          <w:bCs w:val="0"/>
        </w:rPr>
        <w:t>Pese a obtener un mayor conocimiento del portafolio en estudio no se pudo lograr la meta de encontrar una herramienta que sea capaz de estimar el riego a priori del asegurado, por consiguiente se desarrollará el sistema bajo estimación del riesgo a posteriori, en otras palabras, si un asegurado es nuevo ingresará con el riesgo promedio del portafolio y luego del año de la póliza se estimará su riesgo en función de su comportamiento.</w:t>
      </w:r>
    </w:p>
    <w:p w:rsidR="00736A70" w:rsidRDefault="00736A70">
      <w:pPr>
        <w:jc w:val="both"/>
        <w:rPr>
          <w:sz w:val="8"/>
          <w:lang w:val="es-MX"/>
        </w:rPr>
      </w:pPr>
    </w:p>
    <w:p w:rsidR="00736A70" w:rsidRDefault="00736A70">
      <w:pPr>
        <w:jc w:val="center"/>
        <w:rPr>
          <w:b/>
          <w:bCs/>
          <w:sz w:val="20"/>
          <w:lang w:val="es-MX"/>
        </w:rPr>
      </w:pPr>
      <w:r>
        <w:rPr>
          <w:b/>
          <w:bCs/>
          <w:sz w:val="20"/>
          <w:lang w:val="es-MX"/>
        </w:rPr>
        <w:t>4. DESARROLLO DEL SISTEMA</w:t>
      </w:r>
    </w:p>
    <w:p w:rsidR="00736A70" w:rsidRDefault="00736A70">
      <w:pPr>
        <w:jc w:val="both"/>
        <w:rPr>
          <w:sz w:val="20"/>
          <w:lang w:val="es-MX"/>
        </w:rPr>
      </w:pPr>
      <w:r>
        <w:rPr>
          <w:sz w:val="20"/>
          <w:lang w:val="es-MX"/>
        </w:rPr>
        <w:t>En este capítulo procedemos a detectar, medir e introducir dentro de la tarifa de la prima del seguro los factores que influyen en el riesgo, entendiéndose como tal a la propensión de tener un accidente de tránsito mientras la persona conduce.</w:t>
      </w:r>
    </w:p>
    <w:p w:rsidR="00736A70" w:rsidRDefault="00736A70">
      <w:pPr>
        <w:jc w:val="both"/>
        <w:rPr>
          <w:sz w:val="20"/>
          <w:lang w:val="es-MX"/>
        </w:rPr>
      </w:pPr>
      <w:r>
        <w:rPr>
          <w:sz w:val="20"/>
          <w:lang w:val="es-MX"/>
        </w:rPr>
        <w:t>Existen muchas maneras de implementarlo, la idea básica de penalizar y otorgar descuentos según el comportamiento del conductor se mantiene pero el actuario lo puede implementar de distintas maneras, difieren en aspectos tales como: número de clases, reglas de transición, niveles de la prima, etc. Por consiguiente en el desarrollo de esta tesis debemos desarrollar un sistema óptimo el cual por definición satisfaga las necesidades de los asegurados y del asegurador logrando equilibrio financiero y justicia entendiéndose como tal a que cada asegurado pague una prima proporcional a su riesgo.</w:t>
      </w:r>
    </w:p>
    <w:p w:rsidR="00736A70" w:rsidRDefault="00736A70">
      <w:pPr>
        <w:jc w:val="both"/>
        <w:rPr>
          <w:sz w:val="20"/>
          <w:lang w:val="es-MX"/>
        </w:rPr>
      </w:pPr>
      <w:r>
        <w:rPr>
          <w:sz w:val="20"/>
          <w:lang w:val="es-MX"/>
        </w:rPr>
        <w:t xml:space="preserve">Se disponen de dos modelos matemáticos, el primero asume que todos los asegurados  tienen el mismo riesgo de accidentarse, mientras que el segundo asume la heterogeneidad del riesgo para casa asegurado. Para elegir bajo </w:t>
      </w:r>
      <w:r>
        <w:rPr>
          <w:sz w:val="20"/>
          <w:lang w:val="es-MX"/>
        </w:rPr>
        <w:lastRenderedPageBreak/>
        <w:t>que modelo vamos a construir el sistema debemos probar las hipótesis concernientes al riesgo que proponen los modelos.</w:t>
      </w:r>
    </w:p>
    <w:p w:rsidR="00736A70" w:rsidRDefault="00736A70">
      <w:pPr>
        <w:jc w:val="both"/>
        <w:rPr>
          <w:sz w:val="12"/>
          <w:lang w:val="es-MX"/>
        </w:rPr>
      </w:pPr>
    </w:p>
    <w:p w:rsidR="00736A70" w:rsidRDefault="00736A70">
      <w:pPr>
        <w:jc w:val="both"/>
        <w:rPr>
          <w:b/>
          <w:sz w:val="20"/>
          <w:lang w:val="es-MX"/>
        </w:rPr>
      </w:pPr>
      <w:r>
        <w:rPr>
          <w:b/>
          <w:sz w:val="20"/>
          <w:lang w:val="es-MX"/>
        </w:rPr>
        <w:t>4.1 Modelo de Poisson</w:t>
      </w:r>
    </w:p>
    <w:p w:rsidR="00736A70" w:rsidRDefault="00736A70">
      <w:pPr>
        <w:jc w:val="both"/>
        <w:rPr>
          <w:sz w:val="20"/>
          <w:lang w:val="es-MX"/>
        </w:rPr>
      </w:pPr>
      <w:r>
        <w:rPr>
          <w:sz w:val="20"/>
          <w:lang w:val="es-MX"/>
        </w:rPr>
        <w:t xml:space="preserve">Este primer modelo asume que todos los asegurados tienen el mismo riesgo subyacente, es decir, la ocurrencia de un accidente constituye un evento aleatorio y no hay razón para penalizar a los asegurados responsables por aquel accidente. </w:t>
      </w:r>
    </w:p>
    <w:p w:rsidR="00736A70" w:rsidRDefault="00736A70">
      <w:pPr>
        <w:jc w:val="both"/>
        <w:rPr>
          <w:sz w:val="20"/>
          <w:lang w:val="es-MX"/>
        </w:rPr>
      </w:pPr>
      <w:r>
        <w:rPr>
          <w:sz w:val="20"/>
          <w:lang w:val="es-MX"/>
        </w:rPr>
        <w:t>Es decir que dado el número de accidentes en un intervalo de  tiempo ( t , t+</w:t>
      </w:r>
      <w:r>
        <w:rPr>
          <w:sz w:val="20"/>
        </w:rPr>
        <w:sym w:font="Symbol" w:char="F044"/>
      </w:r>
      <w:r>
        <w:rPr>
          <w:sz w:val="20"/>
          <w:lang w:val="es-MX"/>
        </w:rPr>
        <w:t>t ) se tienen que formular 3 supuesto, los cuales darán origen a la función de probabilidad de que ocurran k accidentes:</w:t>
      </w:r>
    </w:p>
    <w:p w:rsidR="00736A70" w:rsidRDefault="00736A70">
      <w:pPr>
        <w:jc w:val="both"/>
        <w:rPr>
          <w:sz w:val="20"/>
          <w:lang w:val="es-ES"/>
        </w:rPr>
      </w:pPr>
      <w:r>
        <w:rPr>
          <w:sz w:val="20"/>
          <w:lang w:val="es-ES"/>
        </w:rPr>
        <w:t xml:space="preserve">1.- Mientras más tiempo una persona conduce mayor probabilidad tiene de accidentarse. </w:t>
      </w:r>
    </w:p>
    <w:p w:rsidR="00736A70" w:rsidRDefault="00736A70">
      <w:pPr>
        <w:jc w:val="both"/>
        <w:rPr>
          <w:sz w:val="20"/>
          <w:lang w:val="es-ES"/>
        </w:rPr>
      </w:pPr>
      <w:r>
        <w:rPr>
          <w:sz w:val="20"/>
          <w:lang w:val="es-ES"/>
        </w:rPr>
        <w:t>2.- La probabilidad de que ocurra más de un accidente es muy pequeña.</w:t>
      </w:r>
    </w:p>
    <w:p w:rsidR="00736A70" w:rsidRDefault="00736A70">
      <w:pPr>
        <w:jc w:val="both"/>
        <w:rPr>
          <w:sz w:val="20"/>
          <w:lang w:val="es-ES"/>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233.25pt;margin-top:13.75pt;width:60pt;height:33pt;z-index:251649536">
            <v:imagedata r:id="rId13" o:title=""/>
            <w10:wrap type="square"/>
          </v:shape>
          <o:OLEObject Type="Embed" ProgID="Equation.3" ShapeID="_x0000_s1032" DrawAspect="Content" ObjectID="_1343036421" r:id="rId14"/>
        </w:pict>
      </w:r>
      <w:r>
        <w:rPr>
          <w:sz w:val="20"/>
          <w:lang w:val="es-ES"/>
        </w:rPr>
        <w:t>3.- Si tenemos dos intervalos de tiempo separados entonces el número de accidentes relacionados con esos intervalos de tiempo son independientes.</w:t>
      </w:r>
    </w:p>
    <w:p w:rsidR="00736A70" w:rsidRDefault="00736A70">
      <w:pPr>
        <w:jc w:val="both"/>
        <w:rPr>
          <w:sz w:val="20"/>
          <w:lang w:val="es-MX"/>
        </w:rPr>
      </w:pPr>
      <w:r>
        <w:rPr>
          <w:sz w:val="20"/>
          <w:lang w:val="es-MX"/>
        </w:rPr>
        <w:t xml:space="preserve">Por consiguiente tenemos la función para k accidentes: ,  </w:t>
      </w:r>
      <w:r>
        <w:rPr>
          <w:sz w:val="20"/>
        </w:rPr>
        <w:object w:dxaOrig="560" w:dyaOrig="279">
          <v:shape id="_x0000_i1040" type="#_x0000_t75" style="width:27.75pt;height:14.25pt" o:ole="">
            <v:imagedata r:id="rId15" o:title=""/>
          </v:shape>
          <o:OLEObject Type="Embed" ProgID="Equation.3" ShapeID="_x0000_i1040" DrawAspect="Content" ObjectID="_1343036405" r:id="rId16"/>
        </w:object>
      </w:r>
    </w:p>
    <w:p w:rsidR="00736A70" w:rsidRDefault="00736A70">
      <w:pPr>
        <w:jc w:val="both"/>
        <w:rPr>
          <w:sz w:val="14"/>
          <w:lang w:val="es-MX"/>
        </w:rPr>
      </w:pPr>
      <w:r>
        <w:rPr>
          <w:sz w:val="20"/>
          <w:lang w:val="es-MX"/>
        </w:rPr>
        <w:tab/>
      </w:r>
    </w:p>
    <w:p w:rsidR="00736A70" w:rsidRDefault="00736A70">
      <w:pPr>
        <w:jc w:val="both"/>
        <w:rPr>
          <w:sz w:val="20"/>
          <w:lang w:val="es-MX"/>
        </w:rPr>
      </w:pPr>
      <w:r>
        <w:rPr>
          <w:sz w:val="20"/>
          <w:lang w:val="es-MX"/>
        </w:rPr>
        <w:t xml:space="preserve">Una vez obtenida la función procedemos a realizar la prueba de bondad de ajuste </w:t>
      </w:r>
      <w:r>
        <w:rPr>
          <w:sz w:val="20"/>
        </w:rPr>
        <w:object w:dxaOrig="340" w:dyaOrig="360">
          <v:shape id="_x0000_i1041" type="#_x0000_t75" style="width:17.25pt;height:18pt" o:ole="">
            <v:imagedata r:id="rId17" o:title=""/>
          </v:shape>
          <o:OLEObject Type="Embed" ProgID="Equation.3" ShapeID="_x0000_i1041" DrawAspect="Content" ObjectID="_1343036406" r:id="rId18"/>
        </w:object>
      </w:r>
      <w:r>
        <w:rPr>
          <w:sz w:val="20"/>
          <w:lang w:val="es-MX"/>
        </w:rPr>
        <w:t xml:space="preserve">para probar que la distribución  observada en el portafolio procede  de  una  distribución  de  Poisson con </w:t>
      </w:r>
      <w:r>
        <w:rPr>
          <w:sz w:val="20"/>
        </w:rPr>
        <w:sym w:font="Symbol" w:char="F06C"/>
      </w:r>
      <w:r>
        <w:rPr>
          <w:sz w:val="20"/>
          <w:vertAlign w:val="subscript"/>
          <w:lang w:val="es-MX"/>
        </w:rPr>
        <w:t>estimado</w:t>
      </w:r>
      <w:r>
        <w:rPr>
          <w:sz w:val="20"/>
          <w:lang w:val="es-MX"/>
        </w:rPr>
        <w:t xml:space="preserve">= 0.03563788. </w:t>
      </w:r>
    </w:p>
    <w:p w:rsidR="00736A70" w:rsidRDefault="00736A70">
      <w:pPr>
        <w:jc w:val="both"/>
        <w:rPr>
          <w:sz w:val="20"/>
          <w:lang w:val="es-MX"/>
        </w:rPr>
      </w:pPr>
      <w:r>
        <w:rPr>
          <w:sz w:val="20"/>
          <w:lang w:val="es-MX"/>
        </w:rPr>
        <w:t xml:space="preserve">La distribución de accidentes es la correspondiente al año 2000, ver Tabla IV. Luego del análisis concluimos que no procede de una Poisson con </w:t>
      </w:r>
      <w:r>
        <w:rPr>
          <w:sz w:val="20"/>
        </w:rPr>
        <w:sym w:font="Symbol" w:char="F06C"/>
      </w:r>
      <w:r>
        <w:rPr>
          <w:sz w:val="20"/>
          <w:lang w:val="es-MX"/>
        </w:rPr>
        <w:t>= 0.03563788, refiérase al Cuadro 2. Por lo que el modelo no puede ser utilizado ya que la hipótesis de homogeneidad del portafolio nos es compatible con el análisis estadístico efectuado, de manera que probamos el siguiente modelo.</w:t>
      </w:r>
    </w:p>
    <w:p w:rsidR="00736A70" w:rsidRDefault="00736A70">
      <w:pPr>
        <w:jc w:val="both"/>
        <w:rPr>
          <w:sz w:val="8"/>
          <w:lang w:val="es-MX"/>
        </w:rPr>
      </w:pPr>
    </w:p>
    <w:tbl>
      <w:tblPr>
        <w:tblW w:w="0" w:type="auto"/>
        <w:jc w:val="center"/>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3"/>
        <w:gridCol w:w="4860"/>
      </w:tblGrid>
      <w:tr w:rsidR="00736A70">
        <w:trPr>
          <w:jc w:val="center"/>
        </w:trPr>
        <w:tc>
          <w:tcPr>
            <w:tcW w:w="3543" w:type="dxa"/>
          </w:tcPr>
          <w:p w:rsidR="00736A70" w:rsidRDefault="00736A70">
            <w:pPr>
              <w:jc w:val="center"/>
              <w:rPr>
                <w:b/>
                <w:bCs/>
                <w:sz w:val="20"/>
                <w:lang w:val="es-MX"/>
              </w:rPr>
            </w:pPr>
            <w:r>
              <w:rPr>
                <w:b/>
                <w:bCs/>
                <w:sz w:val="20"/>
                <w:lang w:val="es-MX"/>
              </w:rPr>
              <w:t xml:space="preserve">Tabla IV.- Distribución de accidentes </w:t>
            </w:r>
          </w:p>
          <w:tbl>
            <w:tblPr>
              <w:tblW w:w="3327" w:type="dxa"/>
              <w:jc w:val="center"/>
              <w:tblCellSpacing w:w="20" w:type="dxa"/>
              <w:tblInd w:w="18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tblPr>
            <w:tblGrid>
              <w:gridCol w:w="1195"/>
              <w:gridCol w:w="2132"/>
            </w:tblGrid>
            <w:tr w:rsidR="00736A70">
              <w:trPr>
                <w:trHeight w:val="255"/>
                <w:tblCellSpacing w:w="20" w:type="dxa"/>
                <w:jc w:val="center"/>
              </w:trPr>
              <w:tc>
                <w:tcPr>
                  <w:tcW w:w="1135" w:type="dxa"/>
                  <w:noWrap/>
                  <w:tcMar>
                    <w:top w:w="15" w:type="dxa"/>
                    <w:left w:w="15" w:type="dxa"/>
                    <w:bottom w:w="0" w:type="dxa"/>
                    <w:right w:w="15" w:type="dxa"/>
                  </w:tcMar>
                  <w:vAlign w:val="center"/>
                </w:tcPr>
                <w:p w:rsidR="00736A70" w:rsidRDefault="00736A70">
                  <w:pPr>
                    <w:rPr>
                      <w:b/>
                      <w:sz w:val="20"/>
                      <w:szCs w:val="20"/>
                      <w:lang w:val="es-MX"/>
                    </w:rPr>
                  </w:pPr>
                  <w:r>
                    <w:rPr>
                      <w:b/>
                      <w:sz w:val="20"/>
                      <w:szCs w:val="20"/>
                      <w:lang w:val="es-MX"/>
                    </w:rPr>
                    <w:t xml:space="preserve">Número de k accidentes </w:t>
                  </w:r>
                </w:p>
              </w:tc>
              <w:tc>
                <w:tcPr>
                  <w:tcW w:w="2072" w:type="dxa"/>
                  <w:noWrap/>
                  <w:tcMar>
                    <w:top w:w="15" w:type="dxa"/>
                    <w:left w:w="15" w:type="dxa"/>
                    <w:bottom w:w="0" w:type="dxa"/>
                    <w:right w:w="15" w:type="dxa"/>
                  </w:tcMar>
                  <w:vAlign w:val="center"/>
                </w:tcPr>
                <w:p w:rsidR="00736A70" w:rsidRDefault="00736A70">
                  <w:pPr>
                    <w:rPr>
                      <w:rFonts w:ascii="Arial" w:hAnsi="Arial" w:cs="Arial"/>
                      <w:b/>
                      <w:lang w:val="es-MX"/>
                    </w:rPr>
                  </w:pPr>
                  <w:r>
                    <w:rPr>
                      <w:b/>
                      <w:sz w:val="20"/>
                      <w:szCs w:val="20"/>
                      <w:lang w:val="es-MX"/>
                    </w:rPr>
                    <w:t>Número de asegurados con k accidentes</w:t>
                  </w:r>
                </w:p>
              </w:tc>
            </w:tr>
            <w:tr w:rsidR="00736A70">
              <w:trPr>
                <w:trHeight w:val="255"/>
                <w:tblCellSpacing w:w="20" w:type="dxa"/>
                <w:jc w:val="center"/>
              </w:trPr>
              <w:tc>
                <w:tcPr>
                  <w:tcW w:w="1135" w:type="dxa"/>
                  <w:noWrap/>
                  <w:tcMar>
                    <w:top w:w="15" w:type="dxa"/>
                    <w:left w:w="15" w:type="dxa"/>
                    <w:bottom w:w="0" w:type="dxa"/>
                    <w:right w:w="15" w:type="dxa"/>
                  </w:tcMar>
                  <w:vAlign w:val="center"/>
                </w:tcPr>
                <w:p w:rsidR="00736A70" w:rsidRDefault="00736A70">
                  <w:pPr>
                    <w:rPr>
                      <w:b/>
                      <w:sz w:val="20"/>
                      <w:szCs w:val="20"/>
                      <w:lang w:val="es-MX"/>
                    </w:rPr>
                  </w:pPr>
                  <w:r>
                    <w:rPr>
                      <w:b/>
                      <w:sz w:val="20"/>
                      <w:szCs w:val="20"/>
                      <w:lang w:val="es-MX"/>
                    </w:rPr>
                    <w:t>0</w:t>
                  </w:r>
                </w:p>
              </w:tc>
              <w:tc>
                <w:tcPr>
                  <w:tcW w:w="2072" w:type="dxa"/>
                  <w:noWrap/>
                  <w:tcMar>
                    <w:top w:w="15" w:type="dxa"/>
                    <w:left w:w="15" w:type="dxa"/>
                    <w:bottom w:w="0" w:type="dxa"/>
                    <w:right w:w="15" w:type="dxa"/>
                  </w:tcMar>
                  <w:vAlign w:val="bottom"/>
                </w:tcPr>
                <w:p w:rsidR="00736A70" w:rsidRDefault="00736A70">
                  <w:pPr>
                    <w:jc w:val="right"/>
                    <w:rPr>
                      <w:sz w:val="20"/>
                      <w:szCs w:val="20"/>
                      <w:lang w:val="es-MX"/>
                    </w:rPr>
                  </w:pPr>
                  <w:r>
                    <w:rPr>
                      <w:sz w:val="20"/>
                      <w:szCs w:val="20"/>
                      <w:lang w:val="es-MX"/>
                    </w:rPr>
                    <w:t>180948</w:t>
                  </w:r>
                </w:p>
              </w:tc>
            </w:tr>
            <w:tr w:rsidR="00736A70">
              <w:trPr>
                <w:trHeight w:val="255"/>
                <w:tblCellSpacing w:w="20" w:type="dxa"/>
                <w:jc w:val="center"/>
              </w:trPr>
              <w:tc>
                <w:tcPr>
                  <w:tcW w:w="1135" w:type="dxa"/>
                  <w:noWrap/>
                  <w:tcMar>
                    <w:top w:w="15" w:type="dxa"/>
                    <w:left w:w="15" w:type="dxa"/>
                    <w:bottom w:w="0" w:type="dxa"/>
                    <w:right w:w="15" w:type="dxa"/>
                  </w:tcMar>
                  <w:vAlign w:val="center"/>
                </w:tcPr>
                <w:p w:rsidR="00736A70" w:rsidRDefault="00736A70">
                  <w:pPr>
                    <w:rPr>
                      <w:b/>
                      <w:sz w:val="20"/>
                      <w:szCs w:val="20"/>
                      <w:lang w:val="es-MX"/>
                    </w:rPr>
                  </w:pPr>
                  <w:r>
                    <w:rPr>
                      <w:b/>
                      <w:sz w:val="20"/>
                      <w:szCs w:val="20"/>
                      <w:lang w:val="es-MX"/>
                    </w:rPr>
                    <w:t>1</w:t>
                  </w:r>
                </w:p>
              </w:tc>
              <w:tc>
                <w:tcPr>
                  <w:tcW w:w="2072" w:type="dxa"/>
                  <w:noWrap/>
                  <w:tcMar>
                    <w:top w:w="15" w:type="dxa"/>
                    <w:left w:w="15" w:type="dxa"/>
                    <w:bottom w:w="0" w:type="dxa"/>
                    <w:right w:w="15" w:type="dxa"/>
                  </w:tcMar>
                  <w:vAlign w:val="bottom"/>
                </w:tcPr>
                <w:p w:rsidR="00736A70" w:rsidRDefault="00736A70">
                  <w:pPr>
                    <w:jc w:val="right"/>
                    <w:rPr>
                      <w:sz w:val="20"/>
                      <w:szCs w:val="20"/>
                      <w:lang w:val="es-MX"/>
                    </w:rPr>
                  </w:pPr>
                  <w:r>
                    <w:rPr>
                      <w:sz w:val="20"/>
                      <w:szCs w:val="20"/>
                      <w:lang w:val="es-MX"/>
                    </w:rPr>
                    <w:t>6314</w:t>
                  </w:r>
                </w:p>
              </w:tc>
            </w:tr>
            <w:tr w:rsidR="00736A70">
              <w:trPr>
                <w:trHeight w:val="255"/>
                <w:tblCellSpacing w:w="20" w:type="dxa"/>
                <w:jc w:val="center"/>
              </w:trPr>
              <w:tc>
                <w:tcPr>
                  <w:tcW w:w="1135" w:type="dxa"/>
                  <w:noWrap/>
                  <w:tcMar>
                    <w:top w:w="15" w:type="dxa"/>
                    <w:left w:w="15" w:type="dxa"/>
                    <w:bottom w:w="0" w:type="dxa"/>
                    <w:right w:w="15" w:type="dxa"/>
                  </w:tcMar>
                  <w:vAlign w:val="center"/>
                </w:tcPr>
                <w:p w:rsidR="00736A70" w:rsidRDefault="00736A70">
                  <w:pPr>
                    <w:rPr>
                      <w:b/>
                      <w:sz w:val="20"/>
                      <w:szCs w:val="20"/>
                      <w:lang w:val="es-MX"/>
                    </w:rPr>
                  </w:pPr>
                  <w:r>
                    <w:rPr>
                      <w:b/>
                      <w:sz w:val="20"/>
                      <w:szCs w:val="20"/>
                      <w:lang w:val="es-MX"/>
                    </w:rPr>
                    <w:t>2</w:t>
                  </w:r>
                </w:p>
              </w:tc>
              <w:tc>
                <w:tcPr>
                  <w:tcW w:w="2072" w:type="dxa"/>
                  <w:noWrap/>
                  <w:tcMar>
                    <w:top w:w="15" w:type="dxa"/>
                    <w:left w:w="15" w:type="dxa"/>
                    <w:bottom w:w="0" w:type="dxa"/>
                    <w:right w:w="15" w:type="dxa"/>
                  </w:tcMar>
                  <w:vAlign w:val="center"/>
                </w:tcPr>
                <w:p w:rsidR="00736A70" w:rsidRDefault="00736A70">
                  <w:pPr>
                    <w:jc w:val="right"/>
                    <w:rPr>
                      <w:sz w:val="20"/>
                      <w:szCs w:val="20"/>
                      <w:lang w:val="es-MX"/>
                    </w:rPr>
                  </w:pPr>
                  <w:r>
                    <w:rPr>
                      <w:sz w:val="20"/>
                      <w:szCs w:val="20"/>
                      <w:lang w:val="es-MX"/>
                    </w:rPr>
                    <w:t>171</w:t>
                  </w:r>
                </w:p>
              </w:tc>
            </w:tr>
            <w:tr w:rsidR="00736A70">
              <w:trPr>
                <w:trHeight w:val="255"/>
                <w:tblCellSpacing w:w="20" w:type="dxa"/>
                <w:jc w:val="center"/>
              </w:trPr>
              <w:tc>
                <w:tcPr>
                  <w:tcW w:w="1135" w:type="dxa"/>
                  <w:noWrap/>
                  <w:tcMar>
                    <w:top w:w="15" w:type="dxa"/>
                    <w:left w:w="15" w:type="dxa"/>
                    <w:bottom w:w="0" w:type="dxa"/>
                    <w:right w:w="15" w:type="dxa"/>
                  </w:tcMar>
                  <w:vAlign w:val="center"/>
                </w:tcPr>
                <w:p w:rsidR="00736A70" w:rsidRDefault="00736A70">
                  <w:pPr>
                    <w:rPr>
                      <w:b/>
                      <w:sz w:val="20"/>
                      <w:szCs w:val="20"/>
                      <w:lang w:val="es-MX"/>
                    </w:rPr>
                  </w:pPr>
                  <w:r>
                    <w:rPr>
                      <w:b/>
                      <w:sz w:val="20"/>
                      <w:szCs w:val="20"/>
                      <w:lang w:val="es-MX"/>
                    </w:rPr>
                    <w:t>3</w:t>
                  </w:r>
                </w:p>
              </w:tc>
              <w:tc>
                <w:tcPr>
                  <w:tcW w:w="2072" w:type="dxa"/>
                  <w:noWrap/>
                  <w:tcMar>
                    <w:top w:w="15" w:type="dxa"/>
                    <w:left w:w="15" w:type="dxa"/>
                    <w:bottom w:w="0" w:type="dxa"/>
                    <w:right w:w="15" w:type="dxa"/>
                  </w:tcMar>
                  <w:vAlign w:val="center"/>
                </w:tcPr>
                <w:p w:rsidR="00736A70" w:rsidRDefault="00736A70">
                  <w:pPr>
                    <w:jc w:val="right"/>
                    <w:rPr>
                      <w:sz w:val="20"/>
                      <w:szCs w:val="20"/>
                      <w:lang w:val="es-MX"/>
                    </w:rPr>
                  </w:pPr>
                  <w:r>
                    <w:rPr>
                      <w:sz w:val="20"/>
                      <w:szCs w:val="20"/>
                      <w:lang w:val="es-MX"/>
                    </w:rPr>
                    <w:t>8</w:t>
                  </w:r>
                </w:p>
              </w:tc>
            </w:tr>
            <w:tr w:rsidR="00736A70">
              <w:trPr>
                <w:trHeight w:val="255"/>
                <w:tblCellSpacing w:w="20" w:type="dxa"/>
                <w:jc w:val="center"/>
              </w:trPr>
              <w:tc>
                <w:tcPr>
                  <w:tcW w:w="1135" w:type="dxa"/>
                  <w:noWrap/>
                  <w:tcMar>
                    <w:top w:w="15" w:type="dxa"/>
                    <w:left w:w="15" w:type="dxa"/>
                    <w:bottom w:w="0" w:type="dxa"/>
                    <w:right w:w="15" w:type="dxa"/>
                  </w:tcMar>
                  <w:vAlign w:val="center"/>
                </w:tcPr>
                <w:p w:rsidR="00736A70" w:rsidRDefault="00736A70">
                  <w:pPr>
                    <w:rPr>
                      <w:b/>
                      <w:sz w:val="20"/>
                      <w:szCs w:val="20"/>
                      <w:lang w:val="es-MX"/>
                    </w:rPr>
                  </w:pPr>
                  <w:r>
                    <w:rPr>
                      <w:b/>
                      <w:sz w:val="20"/>
                      <w:szCs w:val="20"/>
                      <w:lang w:val="es-MX"/>
                    </w:rPr>
                    <w:t>Total</w:t>
                  </w:r>
                </w:p>
              </w:tc>
              <w:tc>
                <w:tcPr>
                  <w:tcW w:w="2072" w:type="dxa"/>
                  <w:noWrap/>
                  <w:tcMar>
                    <w:top w:w="15" w:type="dxa"/>
                    <w:left w:w="15" w:type="dxa"/>
                    <w:bottom w:w="0" w:type="dxa"/>
                    <w:right w:w="15" w:type="dxa"/>
                  </w:tcMar>
                  <w:vAlign w:val="center"/>
                </w:tcPr>
                <w:p w:rsidR="00736A70" w:rsidRDefault="00736A70">
                  <w:pPr>
                    <w:jc w:val="right"/>
                    <w:rPr>
                      <w:sz w:val="20"/>
                      <w:szCs w:val="20"/>
                      <w:lang w:val="es-MX"/>
                    </w:rPr>
                  </w:pPr>
                  <w:r>
                    <w:rPr>
                      <w:sz w:val="20"/>
                      <w:szCs w:val="20"/>
                      <w:lang w:val="es-MX"/>
                    </w:rPr>
                    <w:t>187441</w:t>
                  </w:r>
                </w:p>
              </w:tc>
            </w:tr>
          </w:tbl>
          <w:p w:rsidR="00736A70" w:rsidRDefault="00736A70">
            <w:pPr>
              <w:jc w:val="both"/>
              <w:rPr>
                <w:sz w:val="20"/>
                <w:lang w:val="es-MX"/>
              </w:rPr>
            </w:pPr>
          </w:p>
        </w:tc>
        <w:tc>
          <w:tcPr>
            <w:tcW w:w="4860" w:type="dxa"/>
          </w:tcPr>
          <w:p w:rsidR="00736A70" w:rsidRDefault="00736A70">
            <w:pPr>
              <w:jc w:val="center"/>
              <w:rPr>
                <w:b/>
                <w:bCs/>
                <w:sz w:val="20"/>
                <w:lang w:val="es-MX"/>
              </w:rPr>
            </w:pPr>
            <w:r>
              <w:rPr>
                <w:b/>
                <w:bCs/>
                <w:sz w:val="20"/>
                <w:lang w:val="es-MX"/>
              </w:rPr>
              <w:t>Cuadro 2.- Bondad de ajuste, Poisson (</w:t>
            </w:r>
            <w:r>
              <w:rPr>
                <w:b/>
                <w:bCs/>
                <w:sz w:val="20"/>
              </w:rPr>
              <w:sym w:font="Symbol" w:char="F06C"/>
            </w:r>
            <w:r>
              <w:rPr>
                <w:b/>
                <w:bCs/>
                <w:sz w:val="20"/>
                <w:lang w:val="es-MX"/>
              </w:rPr>
              <w:t>=0.03563788)</w:t>
            </w:r>
          </w:p>
          <w:tbl>
            <w:tblPr>
              <w:tblW w:w="0" w:type="auto"/>
              <w:jc w:val="center"/>
              <w:tblCellSpacing w:w="20" w:type="dxa"/>
              <w:tblBorders>
                <w:top w:val="outset" w:sz="6" w:space="0" w:color="auto"/>
                <w:left w:val="outset" w:sz="8" w:space="0" w:color="auto"/>
                <w:bottom w:val="inset" w:sz="6" w:space="0" w:color="auto"/>
                <w:right w:val="inset" w:sz="6" w:space="0" w:color="auto"/>
              </w:tblBorders>
              <w:tblLayout w:type="fixed"/>
              <w:tblLook w:val="01E0"/>
            </w:tblPr>
            <w:tblGrid>
              <w:gridCol w:w="3844"/>
            </w:tblGrid>
            <w:tr w:rsidR="00736A70">
              <w:trPr>
                <w:tblCellSpacing w:w="20" w:type="dxa"/>
                <w:jc w:val="center"/>
              </w:trPr>
              <w:tc>
                <w:tcPr>
                  <w:tcW w:w="3764" w:type="dxa"/>
                </w:tcPr>
                <w:p w:rsidR="00736A70" w:rsidRDefault="00736A70">
                  <w:pPr>
                    <w:jc w:val="center"/>
                    <w:rPr>
                      <w:sz w:val="20"/>
                      <w:szCs w:val="20"/>
                      <w:lang w:val="es-MX"/>
                    </w:rPr>
                  </w:pPr>
                  <w:r>
                    <w:rPr>
                      <w:sz w:val="20"/>
                      <w:szCs w:val="20"/>
                      <w:lang w:val="es-MX"/>
                    </w:rPr>
                    <w:t>H</w:t>
                  </w:r>
                  <w:r>
                    <w:rPr>
                      <w:sz w:val="20"/>
                      <w:szCs w:val="20"/>
                      <w:vertAlign w:val="subscript"/>
                      <w:lang w:val="es-MX"/>
                    </w:rPr>
                    <w:t>0</w:t>
                  </w:r>
                  <w:r>
                    <w:rPr>
                      <w:sz w:val="20"/>
                      <w:szCs w:val="20"/>
                      <w:lang w:val="es-MX"/>
                    </w:rPr>
                    <w:t>: el número de accidentes sigue una distribución de Poisson.</w:t>
                  </w:r>
                </w:p>
              </w:tc>
            </w:tr>
            <w:tr w:rsidR="00736A70">
              <w:trPr>
                <w:tblCellSpacing w:w="20" w:type="dxa"/>
                <w:jc w:val="center"/>
              </w:trPr>
              <w:tc>
                <w:tcPr>
                  <w:tcW w:w="3764" w:type="dxa"/>
                </w:tcPr>
                <w:p w:rsidR="00736A70" w:rsidRDefault="00736A70">
                  <w:pPr>
                    <w:jc w:val="center"/>
                    <w:rPr>
                      <w:sz w:val="20"/>
                      <w:szCs w:val="20"/>
                      <w:lang w:val="es-MX"/>
                    </w:rPr>
                  </w:pPr>
                  <w:r>
                    <w:rPr>
                      <w:sz w:val="20"/>
                      <w:szCs w:val="20"/>
                      <w:lang w:val="es-MX"/>
                    </w:rPr>
                    <w:t>H</w:t>
                  </w:r>
                  <w:r>
                    <w:rPr>
                      <w:sz w:val="20"/>
                      <w:szCs w:val="20"/>
                      <w:vertAlign w:val="subscript"/>
                      <w:lang w:val="es-MX"/>
                    </w:rPr>
                    <w:t>1</w:t>
                  </w:r>
                  <w:r>
                    <w:rPr>
                      <w:sz w:val="20"/>
                      <w:szCs w:val="20"/>
                      <w:lang w:val="es-MX"/>
                    </w:rPr>
                    <w:t>: el número de accidentes no sigue una distribución de Poisson.</w:t>
                  </w:r>
                </w:p>
              </w:tc>
            </w:tr>
            <w:tr w:rsidR="00736A70">
              <w:trPr>
                <w:tblCellSpacing w:w="20" w:type="dxa"/>
                <w:jc w:val="center"/>
              </w:trPr>
              <w:tc>
                <w:tcPr>
                  <w:tcW w:w="3764" w:type="dxa"/>
                </w:tcPr>
                <w:p w:rsidR="00736A70" w:rsidRDefault="00736A70">
                  <w:pPr>
                    <w:jc w:val="center"/>
                    <w:rPr>
                      <w:sz w:val="20"/>
                      <w:szCs w:val="20"/>
                      <w:lang w:val="es-MX"/>
                    </w:rPr>
                  </w:pPr>
                  <w:r>
                    <w:rPr>
                      <w:sz w:val="20"/>
                      <w:szCs w:val="20"/>
                    </w:rPr>
                    <w:sym w:font="Symbol" w:char="F063"/>
                  </w:r>
                  <w:r>
                    <w:rPr>
                      <w:sz w:val="20"/>
                      <w:szCs w:val="20"/>
                      <w:lang w:val="es-MX"/>
                    </w:rPr>
                    <w:t>2(0.05,2) = 5.991</w:t>
                  </w:r>
                </w:p>
              </w:tc>
            </w:tr>
            <w:tr w:rsidR="00736A70">
              <w:trPr>
                <w:tblCellSpacing w:w="20" w:type="dxa"/>
                <w:jc w:val="center"/>
              </w:trPr>
              <w:tc>
                <w:tcPr>
                  <w:tcW w:w="3764" w:type="dxa"/>
                </w:tcPr>
                <w:p w:rsidR="00736A70" w:rsidRDefault="00736A70">
                  <w:pPr>
                    <w:rPr>
                      <w:sz w:val="20"/>
                      <w:szCs w:val="20"/>
                      <w:lang w:val="es-MX"/>
                    </w:rPr>
                  </w:pPr>
                  <w:r>
                    <w:rPr>
                      <w:sz w:val="20"/>
                      <w:szCs w:val="20"/>
                      <w:lang w:val="es-MX"/>
                    </w:rPr>
                    <w:t xml:space="preserve">Estadístico de Prueba:    62.4388 &gt; 5.991                                                                        </w:t>
                  </w:r>
                </w:p>
              </w:tc>
            </w:tr>
            <w:tr w:rsidR="00736A70">
              <w:trPr>
                <w:tblCellSpacing w:w="20" w:type="dxa"/>
                <w:jc w:val="center"/>
              </w:trPr>
              <w:tc>
                <w:tcPr>
                  <w:tcW w:w="3764" w:type="dxa"/>
                </w:tcPr>
                <w:p w:rsidR="00736A70" w:rsidRDefault="00736A70">
                  <w:pPr>
                    <w:rPr>
                      <w:sz w:val="20"/>
                      <w:szCs w:val="20"/>
                      <w:lang w:val="es-MX"/>
                    </w:rPr>
                  </w:pPr>
                  <w:r>
                    <w:rPr>
                      <w:sz w:val="20"/>
                      <w:szCs w:val="20"/>
                      <w:lang w:val="es-MX"/>
                    </w:rPr>
                    <w:t xml:space="preserve">  Región de Rechazo: </w:t>
                  </w:r>
                  <w:r>
                    <w:rPr>
                      <w:sz w:val="20"/>
                      <w:szCs w:val="20"/>
                    </w:rPr>
                    <w:object w:dxaOrig="1359" w:dyaOrig="360">
                      <v:shape id="_x0000_i1042" type="#_x0000_t75" style="width:68.25pt;height:18pt" o:ole="">
                        <v:imagedata r:id="rId19" o:title=""/>
                      </v:shape>
                      <o:OLEObject Type="Embed" ProgID="Equation.3" ShapeID="_x0000_i1042" DrawAspect="Content" ObjectID="_1343036407" r:id="rId20"/>
                    </w:object>
                  </w:r>
                </w:p>
              </w:tc>
            </w:tr>
          </w:tbl>
          <w:p w:rsidR="00736A70" w:rsidRDefault="00736A70">
            <w:pPr>
              <w:jc w:val="both"/>
              <w:rPr>
                <w:sz w:val="20"/>
                <w:lang w:val="es-MX"/>
              </w:rPr>
            </w:pPr>
          </w:p>
        </w:tc>
      </w:tr>
    </w:tbl>
    <w:p w:rsidR="00736A70" w:rsidRDefault="00736A70">
      <w:pPr>
        <w:jc w:val="both"/>
        <w:rPr>
          <w:sz w:val="12"/>
          <w:lang w:val="es-MX"/>
        </w:rPr>
      </w:pPr>
    </w:p>
    <w:p w:rsidR="00736A70" w:rsidRDefault="00736A70">
      <w:pPr>
        <w:jc w:val="both"/>
        <w:rPr>
          <w:b/>
          <w:sz w:val="20"/>
          <w:lang w:val="es-MX"/>
        </w:rPr>
      </w:pPr>
      <w:r>
        <w:rPr>
          <w:b/>
          <w:sz w:val="20"/>
          <w:lang w:val="es-MX"/>
        </w:rPr>
        <w:t>4.2 Modelo de la Binomial Negativa</w:t>
      </w:r>
    </w:p>
    <w:p w:rsidR="00736A70" w:rsidRDefault="00736A70">
      <w:pPr>
        <w:jc w:val="both"/>
        <w:rPr>
          <w:sz w:val="20"/>
          <w:szCs w:val="20"/>
          <w:lang w:val="es-MX"/>
        </w:rPr>
      </w:pPr>
      <w:r>
        <w:rPr>
          <w:sz w:val="20"/>
          <w:szCs w:val="20"/>
          <w:lang w:val="es-MX"/>
        </w:rPr>
        <w:t xml:space="preserve">En este modelo suponemos que los asegurados no tienen el mismo riesgo subyacente, es decir el comportamiento de los asegurados es heterogéneo y justifica la introducción de un Sistema Bonus Malus ya que el riesgo de accidentarse es significativamente diferente entre cada asegurado y por ende se justifica el recargo o el descuento en la prima a pagar ya que se refleja directamente en función de su riesgo. </w:t>
      </w:r>
    </w:p>
    <w:p w:rsidR="00736A70" w:rsidRDefault="00736A70">
      <w:pPr>
        <w:jc w:val="both"/>
        <w:rPr>
          <w:sz w:val="20"/>
          <w:szCs w:val="20"/>
          <w:lang w:val="es-MX"/>
        </w:rPr>
      </w:pPr>
      <w:r>
        <w:rPr>
          <w:noProof/>
          <w:sz w:val="20"/>
          <w:szCs w:val="20"/>
        </w:rPr>
        <w:pict>
          <v:shape id="_x0000_s1033" type="#_x0000_t75" style="position:absolute;left:0;text-align:left;margin-left:-2.25pt;margin-top:11.6pt;width:77.4pt;height:33pt;z-index:251650560">
            <v:imagedata r:id="rId21" o:title=""/>
            <w10:wrap type="square"/>
          </v:shape>
          <o:OLEObject Type="Embed" ProgID="Equation.3" ShapeID="_x0000_s1033" DrawAspect="Content" ObjectID="_1343036422" r:id="rId22"/>
        </w:pict>
      </w:r>
      <w:r>
        <w:rPr>
          <w:sz w:val="20"/>
          <w:szCs w:val="20"/>
          <w:lang w:val="es-MX"/>
        </w:rPr>
        <w:t>Suponemos que la distribución del número de accidentes para cada asegurado sigue una Distribución de Poisson,</w:t>
      </w:r>
    </w:p>
    <w:p w:rsidR="00736A70" w:rsidRDefault="00736A70">
      <w:pPr>
        <w:jc w:val="both"/>
        <w:rPr>
          <w:sz w:val="20"/>
          <w:szCs w:val="20"/>
          <w:lang w:val="es-MX"/>
        </w:rPr>
      </w:pPr>
      <w:r>
        <w:rPr>
          <w:sz w:val="20"/>
          <w:szCs w:val="20"/>
          <w:lang w:val="es-MX"/>
        </w:rPr>
        <w:t xml:space="preserve">   k = 0, 1, …,       y,</w:t>
      </w:r>
    </w:p>
    <w:p w:rsidR="00736A70" w:rsidRDefault="00736A70">
      <w:pPr>
        <w:jc w:val="both"/>
        <w:rPr>
          <w:sz w:val="20"/>
          <w:szCs w:val="20"/>
          <w:lang w:val="es-MX"/>
        </w:rPr>
      </w:pPr>
      <w:r>
        <w:rPr>
          <w:sz w:val="20"/>
          <w:szCs w:val="20"/>
          <w:lang w:val="es-MX"/>
        </w:rPr>
        <w:t xml:space="preserve">   </w:t>
      </w:r>
      <w:r>
        <w:rPr>
          <w:bCs/>
          <w:sz w:val="20"/>
        </w:rPr>
        <w:sym w:font="Symbol" w:char="F06C"/>
      </w:r>
      <w:r>
        <w:rPr>
          <w:sz w:val="20"/>
          <w:szCs w:val="20"/>
          <w:lang w:val="es-MX"/>
        </w:rPr>
        <w:t>: el promedio de accidentes de cada asegurado</w:t>
      </w:r>
    </w:p>
    <w:p w:rsidR="00736A70" w:rsidRDefault="00736A70">
      <w:pPr>
        <w:jc w:val="both"/>
        <w:rPr>
          <w:sz w:val="20"/>
          <w:szCs w:val="20"/>
          <w:lang w:val="es-MX"/>
        </w:rPr>
      </w:pPr>
    </w:p>
    <w:p w:rsidR="00736A70" w:rsidRDefault="00736A70">
      <w:pPr>
        <w:jc w:val="both"/>
        <w:rPr>
          <w:sz w:val="20"/>
          <w:szCs w:val="20"/>
          <w:lang w:val="es-MX"/>
        </w:rPr>
      </w:pPr>
      <w:r>
        <w:rPr>
          <w:sz w:val="20"/>
          <w:szCs w:val="20"/>
          <w:lang w:val="es-MX"/>
        </w:rPr>
        <w:t xml:space="preserve">Cada asegurado está caracterizado de acuerdo al valor de su parámetro </w:t>
      </w:r>
      <w:r>
        <w:rPr>
          <w:sz w:val="20"/>
          <w:szCs w:val="20"/>
        </w:rPr>
        <w:sym w:font="Symbol" w:char="F06C"/>
      </w:r>
      <w:r>
        <w:rPr>
          <w:sz w:val="20"/>
          <w:szCs w:val="20"/>
          <w:lang w:val="es-MX"/>
        </w:rPr>
        <w:t xml:space="preserve"> por lo que </w:t>
      </w:r>
      <w:r>
        <w:rPr>
          <w:sz w:val="20"/>
          <w:szCs w:val="20"/>
        </w:rPr>
        <w:sym w:font="Symbol" w:char="F06C"/>
      </w:r>
      <w:r>
        <w:rPr>
          <w:sz w:val="20"/>
          <w:szCs w:val="20"/>
          <w:lang w:val="es-MX"/>
        </w:rPr>
        <w:t xml:space="preserve"> es considerado una variable aleatoria. Seleccionemos como la distribución de </w:t>
      </w:r>
      <w:r>
        <w:rPr>
          <w:sz w:val="20"/>
          <w:szCs w:val="20"/>
        </w:rPr>
        <w:sym w:font="Symbol" w:char="F06C"/>
      </w:r>
      <w:r>
        <w:rPr>
          <w:sz w:val="20"/>
          <w:szCs w:val="20"/>
          <w:lang w:val="es-MX"/>
        </w:rPr>
        <w:t xml:space="preserve"> una distribución </w:t>
      </w:r>
      <w:r>
        <w:rPr>
          <w:sz w:val="20"/>
          <w:szCs w:val="20"/>
        </w:rPr>
        <w:sym w:font="Symbol" w:char="F047"/>
      </w:r>
      <w:r>
        <w:rPr>
          <w:sz w:val="20"/>
          <w:szCs w:val="20"/>
          <w:lang w:val="es-MX"/>
        </w:rPr>
        <w:t xml:space="preserve"> con función de densidad:</w:t>
      </w:r>
    </w:p>
    <w:p w:rsidR="00736A70" w:rsidRDefault="00736A70">
      <w:pPr>
        <w:jc w:val="both"/>
        <w:rPr>
          <w:sz w:val="20"/>
          <w:szCs w:val="20"/>
          <w:lang w:val="es-MX"/>
        </w:rPr>
      </w:pPr>
      <w:r>
        <w:rPr>
          <w:sz w:val="20"/>
          <w:szCs w:val="20"/>
        </w:rPr>
        <w:object w:dxaOrig="2640" w:dyaOrig="700">
          <v:shape id="_x0000_i1043" type="#_x0000_t75" style="width:132pt;height:35.25pt" o:ole="">
            <v:imagedata r:id="rId23" o:title=""/>
          </v:shape>
          <o:OLEObject Type="Embed" ProgID="Equation.3" ShapeID="_x0000_i1043" DrawAspect="Content" ObjectID="_1343036408" r:id="rId24"/>
        </w:object>
      </w:r>
      <w:r>
        <w:rPr>
          <w:sz w:val="20"/>
          <w:szCs w:val="20"/>
          <w:lang w:val="es-MX"/>
        </w:rPr>
        <w:t xml:space="preserve"> (a, </w:t>
      </w:r>
      <w:r>
        <w:rPr>
          <w:sz w:val="20"/>
          <w:szCs w:val="20"/>
        </w:rPr>
        <w:t>τ</w:t>
      </w:r>
      <w:r>
        <w:rPr>
          <w:sz w:val="20"/>
          <w:szCs w:val="20"/>
          <w:lang w:val="es-MX"/>
        </w:rPr>
        <w:t xml:space="preserve">) &gt; 0, con media </w:t>
      </w:r>
      <w:r>
        <w:rPr>
          <w:sz w:val="20"/>
          <w:szCs w:val="20"/>
        </w:rPr>
        <w:object w:dxaOrig="240" w:dyaOrig="620">
          <v:shape id="_x0000_i1044" type="#_x0000_t75" style="width:12pt;height:30.75pt" o:ole="">
            <v:imagedata r:id="rId25" o:title=""/>
          </v:shape>
          <o:OLEObject Type="Embed" ProgID="Equation.3" ShapeID="_x0000_i1044" DrawAspect="Content" ObjectID="_1343036409" r:id="rId26"/>
        </w:object>
      </w:r>
      <w:r>
        <w:rPr>
          <w:sz w:val="20"/>
          <w:szCs w:val="20"/>
          <w:lang w:val="es-MX"/>
        </w:rPr>
        <w:t xml:space="preserve">  y varianza  </w:t>
      </w:r>
      <w:r>
        <w:rPr>
          <w:sz w:val="20"/>
          <w:szCs w:val="20"/>
        </w:rPr>
        <w:object w:dxaOrig="360" w:dyaOrig="620">
          <v:shape id="_x0000_i1045" type="#_x0000_t75" style="width:18pt;height:30.75pt" o:ole="">
            <v:imagedata r:id="rId27" o:title=""/>
          </v:shape>
          <o:OLEObject Type="Embed" ProgID="Equation.3" ShapeID="_x0000_i1045" DrawAspect="Content" ObjectID="_1343036410" r:id="rId28"/>
        </w:object>
      </w:r>
    </w:p>
    <w:p w:rsidR="00736A70" w:rsidRDefault="00736A70">
      <w:pPr>
        <w:jc w:val="both"/>
        <w:rPr>
          <w:sz w:val="20"/>
          <w:szCs w:val="20"/>
        </w:rPr>
      </w:pPr>
      <w:r>
        <w:rPr>
          <w:position w:val="-32"/>
          <w:sz w:val="20"/>
          <w:szCs w:val="20"/>
        </w:rPr>
        <w:object w:dxaOrig="1920" w:dyaOrig="760">
          <v:shape id="_x0000_i1046" type="#_x0000_t75" style="width:96pt;height:38.25pt" o:ole="">
            <v:imagedata r:id="rId29" o:title=""/>
          </v:shape>
          <o:OLEObject Type="Embed" ProgID="Equation.3" ShapeID="_x0000_i1046" DrawAspect="Content" ObjectID="_1343036411" r:id="rId30"/>
        </w:object>
      </w:r>
    </w:p>
    <w:p w:rsidR="00736A70" w:rsidRDefault="00736A70">
      <w:pPr>
        <w:jc w:val="both"/>
        <w:rPr>
          <w:sz w:val="20"/>
          <w:szCs w:val="20"/>
          <w:lang w:val="es-MX"/>
        </w:rPr>
      </w:pPr>
      <w:r>
        <w:rPr>
          <w:sz w:val="20"/>
          <w:lang w:val="es-MX"/>
        </w:rPr>
        <w:t>Desarrollando la expresión tenemos que la función de probabilidad de que ocurran k accidentes es una distribución bi</w:t>
      </w:r>
      <w:r>
        <w:rPr>
          <w:sz w:val="20"/>
          <w:szCs w:val="20"/>
          <w:lang w:val="es-MX"/>
        </w:rPr>
        <w:t xml:space="preserve">nomial negativa, de media m = a / </w:t>
      </w:r>
      <w:r>
        <w:rPr>
          <w:sz w:val="20"/>
          <w:szCs w:val="20"/>
        </w:rPr>
        <w:sym w:font="Symbol" w:char="F074"/>
      </w:r>
      <w:r>
        <w:rPr>
          <w:sz w:val="20"/>
          <w:szCs w:val="20"/>
          <w:lang w:val="es-MX"/>
        </w:rPr>
        <w:t xml:space="preserve"> y varianza</w:t>
      </w:r>
    </w:p>
    <w:p w:rsidR="00736A70" w:rsidRDefault="00321D4B">
      <w:pPr>
        <w:jc w:val="both"/>
        <w:rPr>
          <w:sz w:val="20"/>
          <w:szCs w:val="20"/>
          <w:lang w:val="es-MX"/>
        </w:rPr>
      </w:pPr>
      <w:r>
        <w:rPr>
          <w:noProof/>
          <w:sz w:val="20"/>
          <w:lang w:eastAsia="en-US"/>
        </w:rPr>
        <w:drawing>
          <wp:anchor distT="0" distB="0" distL="114300" distR="114300" simplePos="0" relativeHeight="251651584" behindDoc="0" locked="0" layoutInCell="1" allowOverlap="1">
            <wp:simplePos x="0" y="0"/>
            <wp:positionH relativeFrom="column">
              <wp:posOffset>0</wp:posOffset>
            </wp:positionH>
            <wp:positionV relativeFrom="paragraph">
              <wp:posOffset>6985</wp:posOffset>
            </wp:positionV>
            <wp:extent cx="942975" cy="428625"/>
            <wp:effectExtent l="0" t="0" r="9525" b="0"/>
            <wp:wrapSquare wrapText="bothSides"/>
            <wp:docPr id="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srcRect/>
                    <a:stretch>
                      <a:fillRect/>
                    </a:stretch>
                  </pic:blipFill>
                  <pic:spPr bwMode="auto">
                    <a:xfrm>
                      <a:off x="0" y="0"/>
                      <a:ext cx="942975" cy="428625"/>
                    </a:xfrm>
                    <a:prstGeom prst="rect">
                      <a:avLst/>
                    </a:prstGeom>
                    <a:noFill/>
                    <a:ln w="9525">
                      <a:noFill/>
                      <a:miter lim="800000"/>
                      <a:headEnd/>
                      <a:tailEnd/>
                    </a:ln>
                  </pic:spPr>
                </pic:pic>
              </a:graphicData>
            </a:graphic>
          </wp:anchor>
        </w:drawing>
      </w:r>
    </w:p>
    <w:p w:rsidR="00736A70" w:rsidRDefault="00736A70">
      <w:pPr>
        <w:jc w:val="both"/>
        <w:rPr>
          <w:b/>
          <w:bCs/>
          <w:sz w:val="20"/>
          <w:lang w:val="es-MX"/>
        </w:rPr>
      </w:pPr>
    </w:p>
    <w:p w:rsidR="00736A70" w:rsidRDefault="00736A70">
      <w:pPr>
        <w:jc w:val="both"/>
        <w:rPr>
          <w:b/>
          <w:bCs/>
          <w:sz w:val="20"/>
          <w:lang w:val="es-MX"/>
        </w:rPr>
      </w:pPr>
    </w:p>
    <w:p w:rsidR="00736A70" w:rsidRDefault="00736A70">
      <w:pPr>
        <w:jc w:val="both"/>
        <w:rPr>
          <w:sz w:val="20"/>
          <w:szCs w:val="20"/>
          <w:lang w:val="es-MX"/>
        </w:rPr>
      </w:pPr>
      <w:r>
        <w:rPr>
          <w:sz w:val="20"/>
          <w:szCs w:val="20"/>
          <w:lang w:val="es-MX"/>
        </w:rPr>
        <w:lastRenderedPageBreak/>
        <w:t xml:space="preserve">Probamos entonces mediante la Bondad de Ajuste que la distribución observada corresponde a una binomial negativa. Obtenemos por el método de los momentos estimadores de m y </w:t>
      </w:r>
      <w:r>
        <w:rPr>
          <w:sz w:val="20"/>
          <w:szCs w:val="20"/>
        </w:rPr>
        <w:object w:dxaOrig="320" w:dyaOrig="320">
          <v:shape id="_x0000_i1047" type="#_x0000_t75" style="width:15.75pt;height:15.75pt" o:ole="">
            <v:imagedata r:id="rId32" o:title=""/>
          </v:shape>
          <o:OLEObject Type="Embed" ProgID="Equation.3" ShapeID="_x0000_i1047" DrawAspect="Content" ObjectID="_1343036412" r:id="rId33"/>
        </w:object>
      </w:r>
      <w:r>
        <w:rPr>
          <w:sz w:val="20"/>
          <w:szCs w:val="20"/>
          <w:lang w:val="es-MX"/>
        </w:rPr>
        <w:t xml:space="preserve">con los valores observados en la muestra, teniendo: m = 0,03563788 y </w:t>
      </w:r>
      <w:r>
        <w:rPr>
          <w:sz w:val="20"/>
          <w:szCs w:val="20"/>
        </w:rPr>
        <w:object w:dxaOrig="320" w:dyaOrig="320">
          <v:shape id="_x0000_i1048" type="#_x0000_t75" style="width:15.75pt;height:15.75pt" o:ole="">
            <v:imagedata r:id="rId32" o:title=""/>
          </v:shape>
          <o:OLEObject Type="Embed" ProgID="Equation.3" ShapeID="_x0000_i1048" DrawAspect="Content" ObjectID="_1343036413" r:id="rId34"/>
        </w:object>
      </w:r>
      <w:r>
        <w:rPr>
          <w:sz w:val="20"/>
          <w:szCs w:val="20"/>
          <w:lang w:val="es-MX"/>
        </w:rPr>
        <w:t xml:space="preserve"> = 0,03644848.</w:t>
      </w:r>
    </w:p>
    <w:p w:rsidR="00736A70" w:rsidRDefault="00321D4B">
      <w:pPr>
        <w:jc w:val="both"/>
        <w:rPr>
          <w:b/>
          <w:bCs/>
          <w:sz w:val="20"/>
          <w:lang w:val="es-MX"/>
        </w:rPr>
      </w:pPr>
      <w:r>
        <w:rPr>
          <w:noProof/>
          <w:lang w:eastAsia="en-US"/>
        </w:rPr>
        <w:drawing>
          <wp:anchor distT="0" distB="0" distL="114300" distR="114300" simplePos="0" relativeHeight="251652608" behindDoc="0" locked="0" layoutInCell="1" allowOverlap="1">
            <wp:simplePos x="0" y="0"/>
            <wp:positionH relativeFrom="column">
              <wp:posOffset>2788920</wp:posOffset>
            </wp:positionH>
            <wp:positionV relativeFrom="paragraph">
              <wp:posOffset>109855</wp:posOffset>
            </wp:positionV>
            <wp:extent cx="1476375" cy="466725"/>
            <wp:effectExtent l="0" t="0" r="0" b="0"/>
            <wp:wrapSquare wrapText="bothSides"/>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srcRect/>
                    <a:stretch>
                      <a:fillRect/>
                    </a:stretch>
                  </pic:blipFill>
                  <pic:spPr bwMode="auto">
                    <a:xfrm>
                      <a:off x="0" y="0"/>
                      <a:ext cx="1476375" cy="466725"/>
                    </a:xfrm>
                    <a:prstGeom prst="rect">
                      <a:avLst/>
                    </a:prstGeom>
                    <a:noFill/>
                    <a:ln w="9525">
                      <a:noFill/>
                      <a:miter lim="800000"/>
                      <a:headEnd/>
                      <a:tailEnd/>
                    </a:ln>
                  </pic:spPr>
                </pic:pic>
              </a:graphicData>
            </a:graphic>
          </wp:anchor>
        </w:drawing>
      </w:r>
      <w:r w:rsidR="00736A70">
        <w:rPr>
          <w:sz w:val="20"/>
          <w:szCs w:val="20"/>
          <w:lang w:val="es-MX"/>
        </w:rPr>
        <w:t xml:space="preserve">Esto lleva a los estimadores de </w:t>
      </w:r>
      <w:r w:rsidR="00736A70">
        <w:rPr>
          <w:sz w:val="20"/>
          <w:szCs w:val="20"/>
        </w:rPr>
        <w:object w:dxaOrig="200" w:dyaOrig="220">
          <v:shape id="_x0000_i1049" type="#_x0000_t75" style="width:9.75pt;height:11.25pt" o:ole="">
            <v:imagedata r:id="rId36" o:title=""/>
          </v:shape>
          <o:OLEObject Type="Embed" ProgID="Equation.3" ShapeID="_x0000_i1049" DrawAspect="Content" ObjectID="_1343036414" r:id="rId37"/>
        </w:object>
      </w:r>
      <w:r w:rsidR="00736A70">
        <w:rPr>
          <w:sz w:val="20"/>
          <w:szCs w:val="20"/>
          <w:lang w:val="es-MX"/>
        </w:rPr>
        <w:t xml:space="preserve"> y </w:t>
      </w:r>
      <w:r w:rsidR="00736A70">
        <w:rPr>
          <w:sz w:val="20"/>
          <w:szCs w:val="20"/>
        </w:rPr>
        <w:object w:dxaOrig="200" w:dyaOrig="220">
          <v:shape id="_x0000_i1050" type="#_x0000_t75" style="width:9.75pt;height:11.25pt" o:ole="">
            <v:imagedata r:id="rId38" o:title=""/>
          </v:shape>
          <o:OLEObject Type="Embed" ProgID="Equation.3" ShapeID="_x0000_i1050" DrawAspect="Content" ObjectID="_1343036415" r:id="rId39"/>
        </w:object>
      </w:r>
      <w:r w:rsidR="00736A70">
        <w:rPr>
          <w:sz w:val="20"/>
          <w:szCs w:val="20"/>
          <w:lang w:val="es-MX"/>
        </w:rPr>
        <w:t>:</w:t>
      </w:r>
    </w:p>
    <w:p w:rsidR="00736A70" w:rsidRDefault="00736A70">
      <w:pPr>
        <w:rPr>
          <w:sz w:val="20"/>
          <w:lang w:val="es-MX"/>
        </w:rPr>
      </w:pPr>
      <w:r>
        <w:rPr>
          <w:noProof/>
          <w:sz w:val="20"/>
          <w:lang w:val="es-ES"/>
        </w:rPr>
        <w:pict>
          <v:shape id="_x0000_s1039" type="#_x0000_t75" style="position:absolute;margin-left:54pt;margin-top:.35pt;width:117.75pt;height:33pt;z-index:251653632">
            <v:imagedata r:id="rId40" o:title=""/>
            <w10:wrap type="square"/>
          </v:shape>
          <o:OLEObject Type="Embed" ProgID="Equation.3" ShapeID="_x0000_s1039" DrawAspect="Content" ObjectID="_1343036423" r:id="rId41"/>
        </w:pict>
      </w:r>
    </w:p>
    <w:p w:rsidR="00736A70" w:rsidRDefault="00736A70">
      <w:pPr>
        <w:rPr>
          <w:sz w:val="20"/>
          <w:lang w:val="es-MX"/>
        </w:rPr>
      </w:pPr>
    </w:p>
    <w:p w:rsidR="00736A70" w:rsidRDefault="00736A70">
      <w:pPr>
        <w:rPr>
          <w:sz w:val="20"/>
          <w:lang w:val="es-MX"/>
        </w:rPr>
      </w:pPr>
    </w:p>
    <w:p w:rsidR="00736A70" w:rsidRDefault="00736A70">
      <w:pPr>
        <w:pStyle w:val="Textoindependiente2"/>
        <w:rPr>
          <w:bCs w:val="0"/>
          <w:szCs w:val="20"/>
        </w:rPr>
      </w:pPr>
      <w:r>
        <w:rPr>
          <w:bCs w:val="0"/>
          <w:szCs w:val="20"/>
        </w:rPr>
        <w:t>Debido a que el valor del estadístico de prueba es menor al valor 5.991 concluimos que existe suficiente evidencia estadística de que esta variable sigue una distribución Binomial Negativa. Ver Cuadro 3.</w:t>
      </w:r>
    </w:p>
    <w:p w:rsidR="00736A70" w:rsidRDefault="00736A70">
      <w:pPr>
        <w:pStyle w:val="Textoindependiente2"/>
        <w:rPr>
          <w:bCs w:val="0"/>
          <w:sz w:val="6"/>
          <w:szCs w:val="20"/>
        </w:rPr>
      </w:pPr>
    </w:p>
    <w:p w:rsidR="00736A70" w:rsidRDefault="00736A70">
      <w:pPr>
        <w:ind w:left="990"/>
        <w:jc w:val="center"/>
        <w:rPr>
          <w:rFonts w:ascii="Arial" w:hAnsi="Arial" w:cs="Arial"/>
          <w:b/>
          <w:lang w:val="es-MX"/>
        </w:rPr>
      </w:pPr>
      <w:r>
        <w:rPr>
          <w:b/>
          <w:bCs/>
          <w:sz w:val="20"/>
          <w:lang w:val="es-MX"/>
        </w:rPr>
        <w:t>Cuadro 3- Bondad de ajuste, Binomial Negativa (</w:t>
      </w:r>
      <w:r>
        <w:rPr>
          <w:b/>
          <w:bCs/>
          <w:sz w:val="20"/>
        </w:rPr>
        <w:sym w:font="Symbol" w:char="F074"/>
      </w:r>
      <w:r>
        <w:rPr>
          <w:b/>
          <w:bCs/>
          <w:sz w:val="20"/>
          <w:lang w:val="es-MX"/>
        </w:rPr>
        <w:t>=43,9648161, â=1,5668128)</w:t>
      </w:r>
    </w:p>
    <w:tbl>
      <w:tblPr>
        <w:tblW w:w="0" w:type="auto"/>
        <w:jc w:val="center"/>
        <w:tblCellSpacing w:w="20" w:type="dxa"/>
        <w:tblInd w:w="-1351" w:type="dxa"/>
        <w:tblBorders>
          <w:top w:val="outset" w:sz="6" w:space="0" w:color="auto"/>
          <w:left w:val="outset" w:sz="6" w:space="0" w:color="auto"/>
          <w:bottom w:val="inset" w:sz="6" w:space="0" w:color="auto"/>
          <w:right w:val="inset" w:sz="6" w:space="0" w:color="auto"/>
        </w:tblBorders>
        <w:tblLayout w:type="fixed"/>
        <w:tblLook w:val="01E0"/>
      </w:tblPr>
      <w:tblGrid>
        <w:gridCol w:w="6470"/>
      </w:tblGrid>
      <w:tr w:rsidR="00736A70">
        <w:trPr>
          <w:tblCellSpacing w:w="20" w:type="dxa"/>
          <w:jc w:val="center"/>
        </w:trPr>
        <w:tc>
          <w:tcPr>
            <w:tcW w:w="6390" w:type="dxa"/>
          </w:tcPr>
          <w:p w:rsidR="00736A70" w:rsidRDefault="00736A70">
            <w:pPr>
              <w:jc w:val="center"/>
              <w:rPr>
                <w:sz w:val="20"/>
                <w:szCs w:val="20"/>
                <w:lang w:val="es-MX"/>
              </w:rPr>
            </w:pPr>
            <w:r>
              <w:rPr>
                <w:sz w:val="20"/>
                <w:szCs w:val="20"/>
                <w:lang w:val="es-MX"/>
              </w:rPr>
              <w:t>H</w:t>
            </w:r>
            <w:r>
              <w:rPr>
                <w:sz w:val="20"/>
                <w:szCs w:val="20"/>
                <w:vertAlign w:val="subscript"/>
                <w:lang w:val="es-MX"/>
              </w:rPr>
              <w:t>0</w:t>
            </w:r>
            <w:r>
              <w:rPr>
                <w:sz w:val="20"/>
                <w:szCs w:val="20"/>
                <w:lang w:val="es-MX"/>
              </w:rPr>
              <w:t>: el número de accidentes sigue una distribución Binomial Negativa.</w:t>
            </w:r>
          </w:p>
        </w:tc>
      </w:tr>
      <w:tr w:rsidR="00736A70">
        <w:trPr>
          <w:tblCellSpacing w:w="20" w:type="dxa"/>
          <w:jc w:val="center"/>
        </w:trPr>
        <w:tc>
          <w:tcPr>
            <w:tcW w:w="6390" w:type="dxa"/>
          </w:tcPr>
          <w:p w:rsidR="00736A70" w:rsidRDefault="00736A70">
            <w:pPr>
              <w:jc w:val="center"/>
              <w:rPr>
                <w:sz w:val="20"/>
                <w:szCs w:val="20"/>
                <w:lang w:val="es-MX"/>
              </w:rPr>
            </w:pPr>
            <w:r>
              <w:rPr>
                <w:sz w:val="20"/>
                <w:szCs w:val="20"/>
                <w:lang w:val="es-MX"/>
              </w:rPr>
              <w:t>H</w:t>
            </w:r>
            <w:r>
              <w:rPr>
                <w:sz w:val="20"/>
                <w:szCs w:val="20"/>
                <w:vertAlign w:val="subscript"/>
                <w:lang w:val="es-MX"/>
              </w:rPr>
              <w:t>1</w:t>
            </w:r>
            <w:r>
              <w:rPr>
                <w:sz w:val="20"/>
                <w:szCs w:val="20"/>
                <w:lang w:val="es-MX"/>
              </w:rPr>
              <w:t>: el número de accidentes no sigue una distribución Binomial Negativa.</w:t>
            </w:r>
          </w:p>
        </w:tc>
      </w:tr>
      <w:tr w:rsidR="00736A70">
        <w:trPr>
          <w:tblCellSpacing w:w="20" w:type="dxa"/>
          <w:jc w:val="center"/>
        </w:trPr>
        <w:tc>
          <w:tcPr>
            <w:tcW w:w="6390" w:type="dxa"/>
          </w:tcPr>
          <w:p w:rsidR="00736A70" w:rsidRDefault="00736A70">
            <w:pPr>
              <w:jc w:val="center"/>
              <w:rPr>
                <w:sz w:val="20"/>
                <w:szCs w:val="20"/>
                <w:lang w:val="es-MX"/>
              </w:rPr>
            </w:pPr>
            <w:r>
              <w:rPr>
                <w:sz w:val="20"/>
                <w:szCs w:val="20"/>
              </w:rPr>
              <w:sym w:font="Symbol" w:char="F063"/>
            </w:r>
            <w:r>
              <w:rPr>
                <w:sz w:val="20"/>
                <w:szCs w:val="20"/>
                <w:lang w:val="es-MX"/>
              </w:rPr>
              <w:t>2(0.05,2) = 5.991</w:t>
            </w:r>
          </w:p>
        </w:tc>
      </w:tr>
      <w:tr w:rsidR="00736A70">
        <w:trPr>
          <w:tblCellSpacing w:w="20" w:type="dxa"/>
          <w:jc w:val="center"/>
        </w:trPr>
        <w:tc>
          <w:tcPr>
            <w:tcW w:w="6390" w:type="dxa"/>
          </w:tcPr>
          <w:p w:rsidR="00736A70" w:rsidRDefault="00736A70">
            <w:pPr>
              <w:jc w:val="center"/>
              <w:rPr>
                <w:sz w:val="20"/>
                <w:szCs w:val="20"/>
                <w:lang w:val="es-MX"/>
              </w:rPr>
            </w:pPr>
            <w:r>
              <w:rPr>
                <w:sz w:val="20"/>
                <w:szCs w:val="20"/>
                <w:lang w:val="es-MX"/>
              </w:rPr>
              <w:t>Estadístico de Prueba:    4,595149 &gt; 5.991</w:t>
            </w:r>
          </w:p>
        </w:tc>
      </w:tr>
      <w:tr w:rsidR="00736A70">
        <w:trPr>
          <w:tblCellSpacing w:w="20" w:type="dxa"/>
          <w:jc w:val="center"/>
        </w:trPr>
        <w:tc>
          <w:tcPr>
            <w:tcW w:w="6390" w:type="dxa"/>
          </w:tcPr>
          <w:p w:rsidR="00736A70" w:rsidRDefault="00736A70">
            <w:pPr>
              <w:jc w:val="center"/>
              <w:rPr>
                <w:sz w:val="20"/>
                <w:szCs w:val="20"/>
                <w:lang w:val="es-MX"/>
              </w:rPr>
            </w:pPr>
            <w:r>
              <w:rPr>
                <w:sz w:val="20"/>
                <w:szCs w:val="20"/>
                <w:lang w:val="es-MX"/>
              </w:rPr>
              <w:t xml:space="preserve">Región de Rechazo: </w:t>
            </w:r>
            <w:r>
              <w:rPr>
                <w:sz w:val="20"/>
                <w:szCs w:val="20"/>
              </w:rPr>
              <w:object w:dxaOrig="1359" w:dyaOrig="360">
                <v:shape id="_x0000_i1051" type="#_x0000_t75" style="width:68.25pt;height:18pt" o:ole="">
                  <v:imagedata r:id="rId19" o:title=""/>
                </v:shape>
                <o:OLEObject Type="Embed" ProgID="Equation.3" ShapeID="_x0000_i1051" DrawAspect="Content" ObjectID="_1343036416" r:id="rId42"/>
              </w:object>
            </w:r>
          </w:p>
        </w:tc>
      </w:tr>
    </w:tbl>
    <w:p w:rsidR="00736A70" w:rsidRDefault="00736A70">
      <w:pPr>
        <w:jc w:val="both"/>
        <w:rPr>
          <w:sz w:val="8"/>
          <w:lang w:val="es-MX"/>
        </w:rPr>
      </w:pPr>
    </w:p>
    <w:p w:rsidR="00736A70" w:rsidRDefault="00736A70">
      <w:pPr>
        <w:pStyle w:val="Ttulo5"/>
        <w:rPr>
          <w:szCs w:val="20"/>
          <w:lang w:val="es-MX"/>
        </w:rPr>
      </w:pPr>
      <w:r>
        <w:rPr>
          <w:szCs w:val="20"/>
          <w:lang w:val="es-MX"/>
        </w:rPr>
        <w:t>4.3 Aplicación</w:t>
      </w:r>
    </w:p>
    <w:p w:rsidR="00736A70" w:rsidRDefault="00736A70">
      <w:pPr>
        <w:jc w:val="both"/>
        <w:rPr>
          <w:sz w:val="20"/>
          <w:szCs w:val="20"/>
          <w:lang w:val="es-MX"/>
        </w:rPr>
      </w:pPr>
      <w:r>
        <w:rPr>
          <w:sz w:val="20"/>
          <w:szCs w:val="20"/>
          <w:lang w:val="es-MX"/>
        </w:rPr>
        <w:t>Como se ha venido  mostrando la prima pura requerida para un asegurado puede ser calculada en función de su frecuencia de accidentes. Considerando un asegurado observado por t años y denotando con k</w:t>
      </w:r>
      <w:r>
        <w:rPr>
          <w:sz w:val="20"/>
          <w:szCs w:val="20"/>
          <w:vertAlign w:val="subscript"/>
          <w:lang w:val="es-MX"/>
        </w:rPr>
        <w:t>j</w:t>
      </w:r>
      <w:r>
        <w:rPr>
          <w:sz w:val="20"/>
          <w:szCs w:val="20"/>
          <w:lang w:val="es-MX"/>
        </w:rPr>
        <w:t xml:space="preserve"> el número de accidentes reportados en los cuales él estuvo involucrado durante el año j. La información concerniente al asegurado es un vector (k</w:t>
      </w:r>
      <w:r>
        <w:rPr>
          <w:sz w:val="20"/>
          <w:szCs w:val="20"/>
          <w:vertAlign w:val="subscript"/>
          <w:lang w:val="es-MX"/>
        </w:rPr>
        <w:t>1</w:t>
      </w:r>
      <w:r>
        <w:rPr>
          <w:sz w:val="20"/>
          <w:szCs w:val="20"/>
          <w:lang w:val="es-MX"/>
        </w:rPr>
        <w:t>,…..,k</w:t>
      </w:r>
      <w:r>
        <w:rPr>
          <w:sz w:val="20"/>
          <w:szCs w:val="20"/>
          <w:vertAlign w:val="subscript"/>
          <w:lang w:val="es-MX"/>
        </w:rPr>
        <w:t>t</w:t>
      </w:r>
      <w:r>
        <w:rPr>
          <w:sz w:val="20"/>
          <w:szCs w:val="20"/>
          <w:lang w:val="es-MX"/>
        </w:rPr>
        <w:t>). Ver Gráfico 6</w:t>
      </w:r>
    </w:p>
    <w:p w:rsidR="00736A70" w:rsidRDefault="00736A70">
      <w:pPr>
        <w:jc w:val="both"/>
        <w:rPr>
          <w:b/>
          <w:sz w:val="6"/>
          <w:szCs w:val="20"/>
          <w:lang w:val="es-MX"/>
        </w:rPr>
      </w:pPr>
    </w:p>
    <w:p w:rsidR="00736A70" w:rsidRDefault="00736A70">
      <w:pPr>
        <w:jc w:val="both"/>
        <w:rPr>
          <w:b/>
          <w:sz w:val="20"/>
          <w:szCs w:val="20"/>
          <w:lang w:val="es-MX"/>
        </w:rPr>
      </w:pPr>
      <w:r>
        <w:rPr>
          <w:b/>
          <w:sz w:val="20"/>
          <w:szCs w:val="20"/>
          <w:lang w:val="es-MX"/>
        </w:rPr>
        <w:t>Asegurado</w:t>
      </w:r>
    </w:p>
    <w:p w:rsidR="00736A70" w:rsidRDefault="00736A70">
      <w:pPr>
        <w:jc w:val="both"/>
        <w:rPr>
          <w:sz w:val="16"/>
          <w:szCs w:val="20"/>
          <w:lang w:val="es-MX"/>
        </w:rPr>
      </w:pPr>
      <w:r>
        <w:rPr>
          <w:sz w:val="16"/>
          <w:szCs w:val="20"/>
        </w:rPr>
        <w:pict>
          <v:group id="_x0000_s1040" style="position:absolute;left:0;text-align:left;margin-left:0;margin-top:4.8pt;width:423pt;height:27pt;z-index:251654656" coordorigin="1701,4838" coordsize="8460,540">
            <v:oval id="_x0000_s1041" style="position:absolute;left:1701;top:4838;width:720;height:540">
              <v:textbox style="mso-next-textbox:#_x0000_s1041">
                <w:txbxContent>
                  <w:p w:rsidR="00736A70" w:rsidRDefault="00736A70">
                    <w:r>
                      <w:t>P</w:t>
                    </w:r>
                    <w:r>
                      <w:rPr>
                        <w:vertAlign w:val="subscript"/>
                      </w:rPr>
                      <w:t>1</w:t>
                    </w:r>
                  </w:p>
                </w:txbxContent>
              </v:textbox>
            </v:oval>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2" type="#_x0000_t185" style="position:absolute;left:4581;top:4838;width:5580;height:540"/>
            <v:line id="_x0000_s1043" style="position:absolute" from="2421,5198" to="4581,5198">
              <v:stroke endarrow="block"/>
            </v:line>
          </v:group>
        </w:pict>
      </w:r>
    </w:p>
    <w:p w:rsidR="00736A70" w:rsidRDefault="00736A70">
      <w:pPr>
        <w:jc w:val="both"/>
        <w:rPr>
          <w:sz w:val="20"/>
          <w:szCs w:val="20"/>
          <w:lang w:val="es-MX"/>
        </w:rPr>
      </w:pPr>
      <w:r>
        <w:rPr>
          <w:sz w:val="20"/>
          <w:szCs w:val="20"/>
          <w:lang w:val="es-MX"/>
        </w:rPr>
        <w:tab/>
      </w:r>
      <w:r>
        <w:rPr>
          <w:sz w:val="20"/>
          <w:szCs w:val="20"/>
          <w:lang w:val="es-MX"/>
        </w:rPr>
        <w:tab/>
      </w:r>
      <w:r>
        <w:rPr>
          <w:sz w:val="20"/>
          <w:szCs w:val="20"/>
          <w:lang w:val="es-MX"/>
        </w:rPr>
        <w:tab/>
      </w:r>
      <w:r>
        <w:rPr>
          <w:sz w:val="20"/>
          <w:szCs w:val="20"/>
          <w:lang w:val="es-MX"/>
        </w:rPr>
        <w:tab/>
        <w:t xml:space="preserve">      k</w:t>
      </w:r>
      <w:r>
        <w:rPr>
          <w:sz w:val="20"/>
          <w:szCs w:val="20"/>
          <w:vertAlign w:val="subscript"/>
          <w:lang w:val="es-MX"/>
        </w:rPr>
        <w:t>1</w:t>
      </w:r>
      <w:r>
        <w:rPr>
          <w:sz w:val="20"/>
          <w:szCs w:val="20"/>
          <w:lang w:val="es-MX"/>
        </w:rPr>
        <w:tab/>
        <w:t>k</w:t>
      </w:r>
      <w:r>
        <w:rPr>
          <w:sz w:val="20"/>
          <w:szCs w:val="20"/>
          <w:vertAlign w:val="subscript"/>
          <w:lang w:val="es-MX"/>
        </w:rPr>
        <w:t>2</w:t>
      </w:r>
      <w:r>
        <w:rPr>
          <w:sz w:val="20"/>
          <w:szCs w:val="20"/>
          <w:lang w:val="es-MX"/>
        </w:rPr>
        <w:t xml:space="preserve"> ……………</w:t>
      </w:r>
      <w:r>
        <w:rPr>
          <w:sz w:val="20"/>
          <w:szCs w:val="20"/>
          <w:lang w:val="es-MX"/>
        </w:rPr>
        <w:tab/>
        <w:t>k</w:t>
      </w:r>
      <w:r>
        <w:rPr>
          <w:sz w:val="20"/>
          <w:szCs w:val="20"/>
          <w:vertAlign w:val="subscript"/>
          <w:lang w:val="es-MX"/>
        </w:rPr>
        <w:t>j</w:t>
      </w:r>
      <w:r>
        <w:rPr>
          <w:sz w:val="20"/>
          <w:szCs w:val="20"/>
          <w:lang w:val="es-MX"/>
        </w:rPr>
        <w:t xml:space="preserve"> ………………….</w:t>
      </w:r>
      <w:r>
        <w:rPr>
          <w:sz w:val="20"/>
          <w:szCs w:val="20"/>
          <w:lang w:val="es-MX"/>
        </w:rPr>
        <w:tab/>
        <w:t>k</w:t>
      </w:r>
      <w:r>
        <w:rPr>
          <w:sz w:val="20"/>
          <w:szCs w:val="20"/>
          <w:vertAlign w:val="subscript"/>
          <w:lang w:val="es-MX"/>
        </w:rPr>
        <w:t>t-1</w:t>
      </w:r>
      <w:r>
        <w:rPr>
          <w:sz w:val="20"/>
          <w:szCs w:val="20"/>
          <w:lang w:val="es-MX"/>
        </w:rPr>
        <w:tab/>
        <w:t>k</w:t>
      </w:r>
      <w:r>
        <w:rPr>
          <w:sz w:val="20"/>
          <w:szCs w:val="20"/>
          <w:vertAlign w:val="subscript"/>
          <w:lang w:val="es-MX"/>
        </w:rPr>
        <w:t>t</w:t>
      </w:r>
      <w:r>
        <w:rPr>
          <w:sz w:val="20"/>
          <w:szCs w:val="20"/>
          <w:lang w:val="es-MX"/>
        </w:rPr>
        <w:t xml:space="preserve">       </w:t>
      </w:r>
    </w:p>
    <w:p w:rsidR="00736A70" w:rsidRDefault="00736A70">
      <w:pPr>
        <w:jc w:val="both"/>
        <w:rPr>
          <w:sz w:val="20"/>
          <w:szCs w:val="20"/>
          <w:lang w:val="es-MX"/>
        </w:rPr>
      </w:pPr>
    </w:p>
    <w:p w:rsidR="00736A70" w:rsidRDefault="00736A70">
      <w:pPr>
        <w:jc w:val="both"/>
        <w:rPr>
          <w:sz w:val="16"/>
          <w:szCs w:val="20"/>
          <w:lang w:val="es-MX"/>
        </w:rPr>
      </w:pPr>
      <w:r>
        <w:rPr>
          <w:sz w:val="16"/>
          <w:szCs w:val="20"/>
        </w:rPr>
        <w:pict>
          <v:group id="_x0000_s1044" style="position:absolute;left:0;text-align:left;margin-left:0;margin-top:8.4pt;width:423pt;height:27pt;z-index:251655680" coordorigin="1701,4838" coordsize="8460,540">
            <v:oval id="_x0000_s1045" style="position:absolute;left:1701;top:4838;width:720;height:540">
              <v:textbox style="mso-next-textbox:#_x0000_s1045">
                <w:txbxContent>
                  <w:p w:rsidR="00736A70" w:rsidRDefault="00736A70">
                    <w:r>
                      <w:t>P</w:t>
                    </w:r>
                    <w:r>
                      <w:rPr>
                        <w:vertAlign w:val="subscript"/>
                      </w:rPr>
                      <w:t>2</w:t>
                    </w:r>
                  </w:p>
                </w:txbxContent>
              </v:textbox>
            </v:oval>
            <v:shape id="_x0000_s1046" type="#_x0000_t185" style="position:absolute;left:4581;top:4838;width:5580;height:540"/>
            <v:line id="_x0000_s1047" style="position:absolute" from="2421,5198" to="4581,5198">
              <v:stroke endarrow="block"/>
            </v:line>
          </v:group>
        </w:pict>
      </w:r>
    </w:p>
    <w:p w:rsidR="00736A70" w:rsidRDefault="00736A70">
      <w:pPr>
        <w:jc w:val="both"/>
        <w:rPr>
          <w:sz w:val="20"/>
          <w:szCs w:val="20"/>
          <w:lang w:val="es-MX"/>
        </w:rPr>
      </w:pPr>
      <w:r>
        <w:rPr>
          <w:sz w:val="20"/>
          <w:szCs w:val="20"/>
          <w:lang w:val="es-MX"/>
        </w:rPr>
        <w:tab/>
      </w:r>
      <w:r>
        <w:rPr>
          <w:sz w:val="20"/>
          <w:szCs w:val="20"/>
          <w:lang w:val="es-MX"/>
        </w:rPr>
        <w:tab/>
      </w:r>
      <w:r>
        <w:rPr>
          <w:sz w:val="20"/>
          <w:szCs w:val="20"/>
          <w:lang w:val="es-MX"/>
        </w:rPr>
        <w:tab/>
      </w:r>
      <w:r>
        <w:rPr>
          <w:sz w:val="20"/>
          <w:szCs w:val="20"/>
          <w:lang w:val="es-MX"/>
        </w:rPr>
        <w:tab/>
        <w:t xml:space="preserve">      k</w:t>
      </w:r>
      <w:r>
        <w:rPr>
          <w:sz w:val="20"/>
          <w:szCs w:val="20"/>
          <w:vertAlign w:val="subscript"/>
          <w:lang w:val="es-MX"/>
        </w:rPr>
        <w:t>1</w:t>
      </w:r>
      <w:r>
        <w:rPr>
          <w:sz w:val="20"/>
          <w:szCs w:val="20"/>
          <w:lang w:val="es-MX"/>
        </w:rPr>
        <w:tab/>
        <w:t>k</w:t>
      </w:r>
      <w:r>
        <w:rPr>
          <w:sz w:val="20"/>
          <w:szCs w:val="20"/>
          <w:vertAlign w:val="subscript"/>
          <w:lang w:val="es-MX"/>
        </w:rPr>
        <w:t>2</w:t>
      </w:r>
      <w:r>
        <w:rPr>
          <w:sz w:val="20"/>
          <w:szCs w:val="20"/>
          <w:lang w:val="es-MX"/>
        </w:rPr>
        <w:t xml:space="preserve"> ……………</w:t>
      </w:r>
      <w:r>
        <w:rPr>
          <w:sz w:val="20"/>
          <w:szCs w:val="20"/>
          <w:lang w:val="es-MX"/>
        </w:rPr>
        <w:tab/>
        <w:t>k</w:t>
      </w:r>
      <w:r>
        <w:rPr>
          <w:sz w:val="20"/>
          <w:szCs w:val="20"/>
          <w:vertAlign w:val="subscript"/>
          <w:lang w:val="es-MX"/>
        </w:rPr>
        <w:t>j</w:t>
      </w:r>
      <w:r>
        <w:rPr>
          <w:sz w:val="20"/>
          <w:szCs w:val="20"/>
          <w:lang w:val="es-MX"/>
        </w:rPr>
        <w:t xml:space="preserve"> ………………….</w:t>
      </w:r>
      <w:r>
        <w:rPr>
          <w:sz w:val="20"/>
          <w:szCs w:val="20"/>
          <w:lang w:val="es-MX"/>
        </w:rPr>
        <w:tab/>
        <w:t>k</w:t>
      </w:r>
      <w:r>
        <w:rPr>
          <w:sz w:val="20"/>
          <w:szCs w:val="20"/>
          <w:vertAlign w:val="subscript"/>
          <w:lang w:val="es-MX"/>
        </w:rPr>
        <w:t>t-1</w:t>
      </w:r>
      <w:r>
        <w:rPr>
          <w:sz w:val="20"/>
          <w:szCs w:val="20"/>
          <w:lang w:val="es-MX"/>
        </w:rPr>
        <w:tab/>
        <w:t>k</w:t>
      </w:r>
      <w:r>
        <w:rPr>
          <w:sz w:val="20"/>
          <w:szCs w:val="20"/>
          <w:vertAlign w:val="subscript"/>
          <w:lang w:val="es-MX"/>
        </w:rPr>
        <w:t>t</w:t>
      </w:r>
      <w:r>
        <w:rPr>
          <w:sz w:val="20"/>
          <w:szCs w:val="20"/>
          <w:lang w:val="es-MX"/>
        </w:rPr>
        <w:t xml:space="preserve">       </w:t>
      </w:r>
    </w:p>
    <w:p w:rsidR="00736A70" w:rsidRDefault="00736A70">
      <w:pPr>
        <w:jc w:val="both"/>
        <w:rPr>
          <w:sz w:val="20"/>
          <w:szCs w:val="20"/>
          <w:lang w:val="es-MX"/>
        </w:rPr>
      </w:pPr>
    </w:p>
    <w:p w:rsidR="00736A70" w:rsidRDefault="00736A70">
      <w:pPr>
        <w:jc w:val="both"/>
        <w:rPr>
          <w:sz w:val="20"/>
          <w:szCs w:val="20"/>
        </w:rPr>
      </w:pPr>
      <w:r>
        <w:rPr>
          <w:sz w:val="20"/>
          <w:szCs w:val="20"/>
          <w:lang w:val="es-MX"/>
        </w:rPr>
        <w:t xml:space="preserve">    .</w:t>
      </w:r>
      <w:r>
        <w:rPr>
          <w:sz w:val="20"/>
          <w:szCs w:val="20"/>
          <w:lang w:val="es-MX"/>
        </w:rPr>
        <w:tab/>
      </w:r>
      <w:r>
        <w:rPr>
          <w:sz w:val="20"/>
          <w:szCs w:val="20"/>
          <w:lang w:val="es-MX"/>
        </w:rPr>
        <w:tab/>
        <w:t xml:space="preserve">    .</w:t>
      </w:r>
      <w:r>
        <w:rPr>
          <w:sz w:val="20"/>
          <w:szCs w:val="20"/>
          <w:lang w:val="es-MX"/>
        </w:rPr>
        <w:tab/>
      </w:r>
      <w:r>
        <w:rPr>
          <w:sz w:val="20"/>
          <w:szCs w:val="20"/>
          <w:lang w:val="es-MX"/>
        </w:rPr>
        <w:tab/>
      </w:r>
      <w:r>
        <w:rPr>
          <w:sz w:val="20"/>
          <w:szCs w:val="20"/>
          <w:lang w:val="es-MX"/>
        </w:rPr>
        <w:tab/>
      </w:r>
      <w:r>
        <w:rPr>
          <w:sz w:val="20"/>
          <w:szCs w:val="20"/>
          <w:lang w:val="es-MX"/>
        </w:rPr>
        <w:tab/>
      </w:r>
      <w:r>
        <w:rPr>
          <w:sz w:val="20"/>
          <w:szCs w:val="20"/>
          <w:lang w:val="es-MX"/>
        </w:rPr>
        <w:tab/>
      </w:r>
      <w:r>
        <w:rPr>
          <w:sz w:val="20"/>
          <w:szCs w:val="20"/>
          <w:lang w:val="es-MX"/>
        </w:rPr>
        <w:tab/>
      </w:r>
      <w:r>
        <w:rPr>
          <w:sz w:val="20"/>
          <w:szCs w:val="20"/>
        </w:rPr>
        <w:t>.</w:t>
      </w:r>
    </w:p>
    <w:p w:rsidR="00736A70" w:rsidRDefault="00736A70">
      <w:pPr>
        <w:pStyle w:val="Textoindependiente2"/>
        <w:rPr>
          <w:bCs w:val="0"/>
          <w:szCs w:val="20"/>
          <w:lang w:val="en-US"/>
        </w:rPr>
      </w:pPr>
      <w:r>
        <w:rPr>
          <w:bCs w:val="0"/>
          <w:szCs w:val="20"/>
          <w:lang w:val="en-US"/>
        </w:rPr>
        <w:t xml:space="preserve">    .</w:t>
      </w:r>
      <w:r>
        <w:rPr>
          <w:bCs w:val="0"/>
          <w:szCs w:val="20"/>
          <w:lang w:val="en-US"/>
        </w:rPr>
        <w:tab/>
      </w:r>
      <w:r>
        <w:rPr>
          <w:bCs w:val="0"/>
          <w:szCs w:val="20"/>
          <w:lang w:val="en-US"/>
        </w:rPr>
        <w:tab/>
        <w:t xml:space="preserve">    .</w:t>
      </w:r>
      <w:r>
        <w:rPr>
          <w:bCs w:val="0"/>
          <w:szCs w:val="20"/>
          <w:lang w:val="en-US"/>
        </w:rPr>
        <w:tab/>
      </w:r>
      <w:r>
        <w:rPr>
          <w:bCs w:val="0"/>
          <w:szCs w:val="20"/>
          <w:lang w:val="en-US"/>
        </w:rPr>
        <w:tab/>
      </w:r>
      <w:r>
        <w:rPr>
          <w:bCs w:val="0"/>
          <w:szCs w:val="20"/>
          <w:lang w:val="en-US"/>
        </w:rPr>
        <w:tab/>
      </w:r>
      <w:r>
        <w:rPr>
          <w:bCs w:val="0"/>
          <w:szCs w:val="20"/>
          <w:lang w:val="en-US"/>
        </w:rPr>
        <w:tab/>
      </w:r>
      <w:r>
        <w:rPr>
          <w:bCs w:val="0"/>
          <w:szCs w:val="20"/>
          <w:lang w:val="en-US"/>
        </w:rPr>
        <w:tab/>
      </w:r>
      <w:r>
        <w:rPr>
          <w:bCs w:val="0"/>
          <w:szCs w:val="20"/>
          <w:lang w:val="en-US"/>
        </w:rPr>
        <w:tab/>
        <w:t>.</w:t>
      </w:r>
    </w:p>
    <w:p w:rsidR="00736A70" w:rsidRDefault="00736A70">
      <w:pPr>
        <w:rPr>
          <w:sz w:val="20"/>
          <w:lang w:val="es-MX"/>
        </w:rPr>
      </w:pPr>
      <w:r>
        <w:rPr>
          <w:sz w:val="20"/>
        </w:rPr>
        <w:t xml:space="preserve">    </w:t>
      </w:r>
      <w:r>
        <w:rPr>
          <w:sz w:val="20"/>
          <w:lang w:val="es-MX"/>
        </w:rPr>
        <w:t xml:space="preserve">.                    </w:t>
      </w:r>
      <w:r>
        <w:rPr>
          <w:sz w:val="20"/>
          <w:lang w:val="es-MX"/>
        </w:rPr>
        <w:tab/>
        <w:t xml:space="preserve">    .         </w:t>
      </w:r>
      <w:r>
        <w:rPr>
          <w:sz w:val="20"/>
          <w:lang w:val="es-MX"/>
        </w:rPr>
        <w:tab/>
      </w:r>
      <w:r>
        <w:rPr>
          <w:sz w:val="20"/>
          <w:lang w:val="es-MX"/>
        </w:rPr>
        <w:tab/>
        <w:t xml:space="preserve">                                                     </w:t>
      </w:r>
      <w:r>
        <w:rPr>
          <w:sz w:val="20"/>
          <w:lang w:val="es-MX"/>
        </w:rPr>
        <w:tab/>
        <w:t>.</w:t>
      </w:r>
    </w:p>
    <w:p w:rsidR="00736A70" w:rsidRDefault="00736A70">
      <w:pPr>
        <w:jc w:val="both"/>
        <w:rPr>
          <w:sz w:val="16"/>
          <w:szCs w:val="20"/>
          <w:lang w:val="es-MX"/>
        </w:rPr>
      </w:pPr>
      <w:r>
        <w:rPr>
          <w:sz w:val="16"/>
          <w:szCs w:val="20"/>
        </w:rPr>
        <w:pict>
          <v:group id="_x0000_s1048" style="position:absolute;left:0;text-align:left;margin-left:0;margin-top:6.65pt;width:423pt;height:27pt;z-index:251656704" coordorigin="1701,4838" coordsize="8460,540">
            <v:oval id="_x0000_s1049" style="position:absolute;left:1701;top:4838;width:720;height:540">
              <v:textbox style="mso-next-textbox:#_x0000_s1049">
                <w:txbxContent>
                  <w:p w:rsidR="00736A70" w:rsidRDefault="00736A70">
                    <w:r>
                      <w:t>P</w:t>
                    </w:r>
                    <w:r>
                      <w:rPr>
                        <w:vertAlign w:val="subscript"/>
                      </w:rPr>
                      <w:t>n</w:t>
                    </w:r>
                  </w:p>
                </w:txbxContent>
              </v:textbox>
            </v:oval>
            <v:shape id="_x0000_s1050" type="#_x0000_t185" style="position:absolute;left:4581;top:4838;width:5580;height:540"/>
            <v:line id="_x0000_s1051" style="position:absolute" from="2421,5198" to="4581,5198">
              <v:stroke endarrow="block"/>
            </v:line>
          </v:group>
        </w:pict>
      </w:r>
    </w:p>
    <w:p w:rsidR="00736A70" w:rsidRDefault="00736A70">
      <w:pPr>
        <w:jc w:val="both"/>
        <w:rPr>
          <w:sz w:val="20"/>
          <w:szCs w:val="20"/>
          <w:lang w:val="es-MX"/>
        </w:rPr>
      </w:pPr>
      <w:r>
        <w:rPr>
          <w:sz w:val="20"/>
          <w:szCs w:val="20"/>
          <w:lang w:val="es-MX"/>
        </w:rPr>
        <w:tab/>
      </w:r>
      <w:r>
        <w:rPr>
          <w:sz w:val="20"/>
          <w:szCs w:val="20"/>
          <w:lang w:val="es-MX"/>
        </w:rPr>
        <w:tab/>
      </w:r>
      <w:r>
        <w:rPr>
          <w:sz w:val="20"/>
          <w:szCs w:val="20"/>
          <w:lang w:val="es-MX"/>
        </w:rPr>
        <w:tab/>
      </w:r>
      <w:r>
        <w:rPr>
          <w:sz w:val="20"/>
          <w:szCs w:val="20"/>
          <w:lang w:val="es-MX"/>
        </w:rPr>
        <w:tab/>
        <w:t xml:space="preserve">      k</w:t>
      </w:r>
      <w:r>
        <w:rPr>
          <w:sz w:val="20"/>
          <w:szCs w:val="20"/>
          <w:vertAlign w:val="subscript"/>
          <w:lang w:val="es-MX"/>
        </w:rPr>
        <w:t>1</w:t>
      </w:r>
      <w:r>
        <w:rPr>
          <w:sz w:val="20"/>
          <w:szCs w:val="20"/>
          <w:lang w:val="es-MX"/>
        </w:rPr>
        <w:tab/>
        <w:t>k</w:t>
      </w:r>
      <w:r>
        <w:rPr>
          <w:sz w:val="20"/>
          <w:szCs w:val="20"/>
          <w:vertAlign w:val="subscript"/>
          <w:lang w:val="es-MX"/>
        </w:rPr>
        <w:t>2</w:t>
      </w:r>
      <w:r>
        <w:rPr>
          <w:sz w:val="20"/>
          <w:szCs w:val="20"/>
          <w:lang w:val="es-MX"/>
        </w:rPr>
        <w:t xml:space="preserve"> ……………</w:t>
      </w:r>
      <w:r>
        <w:rPr>
          <w:sz w:val="20"/>
          <w:szCs w:val="20"/>
          <w:lang w:val="es-MX"/>
        </w:rPr>
        <w:tab/>
        <w:t>k</w:t>
      </w:r>
      <w:r>
        <w:rPr>
          <w:sz w:val="20"/>
          <w:szCs w:val="20"/>
          <w:vertAlign w:val="subscript"/>
          <w:lang w:val="es-MX"/>
        </w:rPr>
        <w:t>j</w:t>
      </w:r>
      <w:r>
        <w:rPr>
          <w:sz w:val="20"/>
          <w:szCs w:val="20"/>
          <w:lang w:val="es-MX"/>
        </w:rPr>
        <w:t xml:space="preserve"> ………………….</w:t>
      </w:r>
      <w:r>
        <w:rPr>
          <w:sz w:val="20"/>
          <w:szCs w:val="20"/>
          <w:lang w:val="es-MX"/>
        </w:rPr>
        <w:tab/>
        <w:t>k</w:t>
      </w:r>
      <w:r>
        <w:rPr>
          <w:sz w:val="20"/>
          <w:szCs w:val="20"/>
          <w:vertAlign w:val="subscript"/>
          <w:lang w:val="es-MX"/>
        </w:rPr>
        <w:t>t-1</w:t>
      </w:r>
      <w:r>
        <w:rPr>
          <w:sz w:val="20"/>
          <w:szCs w:val="20"/>
          <w:lang w:val="es-MX"/>
        </w:rPr>
        <w:tab/>
        <w:t>k</w:t>
      </w:r>
      <w:r>
        <w:rPr>
          <w:sz w:val="20"/>
          <w:szCs w:val="20"/>
          <w:vertAlign w:val="subscript"/>
          <w:lang w:val="es-MX"/>
        </w:rPr>
        <w:t>t</w:t>
      </w:r>
      <w:r>
        <w:rPr>
          <w:sz w:val="20"/>
          <w:szCs w:val="20"/>
          <w:lang w:val="es-MX"/>
        </w:rPr>
        <w:t xml:space="preserve">       </w:t>
      </w:r>
    </w:p>
    <w:p w:rsidR="00736A70" w:rsidRDefault="00736A70">
      <w:pPr>
        <w:jc w:val="both"/>
        <w:rPr>
          <w:sz w:val="20"/>
          <w:szCs w:val="20"/>
          <w:lang w:val="es-MX"/>
        </w:rPr>
      </w:pPr>
    </w:p>
    <w:p w:rsidR="00736A70" w:rsidRDefault="00736A70">
      <w:pPr>
        <w:pStyle w:val="Ttulo1"/>
      </w:pPr>
      <w:r>
        <w:t>Gráfico 6.- Historial por Asegurado</w:t>
      </w:r>
    </w:p>
    <w:p w:rsidR="00736A70" w:rsidRDefault="00736A70">
      <w:pPr>
        <w:jc w:val="both"/>
        <w:rPr>
          <w:sz w:val="6"/>
          <w:szCs w:val="20"/>
          <w:lang w:val="es-MX"/>
        </w:rPr>
      </w:pPr>
    </w:p>
    <w:p w:rsidR="00736A70" w:rsidRDefault="00736A70">
      <w:pPr>
        <w:jc w:val="both"/>
        <w:rPr>
          <w:sz w:val="20"/>
          <w:szCs w:val="20"/>
          <w:lang w:val="es-MX"/>
        </w:rPr>
      </w:pPr>
      <w:r>
        <w:rPr>
          <w:sz w:val="20"/>
          <w:szCs w:val="20"/>
          <w:lang w:val="es-MX"/>
        </w:rPr>
        <w:t>Las variables k</w:t>
      </w:r>
      <w:r>
        <w:rPr>
          <w:sz w:val="20"/>
          <w:szCs w:val="20"/>
          <w:vertAlign w:val="subscript"/>
          <w:lang w:val="es-MX"/>
        </w:rPr>
        <w:t>j</w:t>
      </w:r>
      <w:r>
        <w:rPr>
          <w:sz w:val="20"/>
          <w:szCs w:val="20"/>
          <w:lang w:val="es-MX"/>
        </w:rPr>
        <w:t xml:space="preserve"> son las realizaciones de variables aleatorias K</w:t>
      </w:r>
      <w:r>
        <w:rPr>
          <w:sz w:val="20"/>
          <w:szCs w:val="20"/>
          <w:vertAlign w:val="subscript"/>
          <w:lang w:val="es-MX"/>
        </w:rPr>
        <w:t>j</w:t>
      </w:r>
      <w:r>
        <w:rPr>
          <w:sz w:val="20"/>
          <w:szCs w:val="20"/>
          <w:lang w:val="es-MX"/>
        </w:rPr>
        <w:t>, independientes e idénticamente distribuidas (sin cambio subyacente en la frecuencia de los accidentes). Con cada grupo de observaciones k</w:t>
      </w:r>
      <w:r>
        <w:rPr>
          <w:sz w:val="20"/>
          <w:szCs w:val="20"/>
          <w:vertAlign w:val="subscript"/>
          <w:lang w:val="es-MX"/>
        </w:rPr>
        <w:t>1</w:t>
      </w:r>
      <w:r>
        <w:rPr>
          <w:sz w:val="20"/>
          <w:szCs w:val="20"/>
          <w:lang w:val="es-MX"/>
        </w:rPr>
        <w:t>,…..,k</w:t>
      </w:r>
      <w:r>
        <w:rPr>
          <w:sz w:val="20"/>
          <w:szCs w:val="20"/>
          <w:vertAlign w:val="subscript"/>
          <w:lang w:val="es-MX"/>
        </w:rPr>
        <w:t>t</w:t>
      </w:r>
      <w:r>
        <w:rPr>
          <w:sz w:val="20"/>
          <w:szCs w:val="20"/>
          <w:lang w:val="es-MX"/>
        </w:rPr>
        <w:t xml:space="preserve">, asociamos un número  </w:t>
      </w:r>
      <w:r>
        <w:rPr>
          <w:sz w:val="20"/>
          <w:szCs w:val="20"/>
        </w:rPr>
        <w:sym w:font="Symbol" w:char="F06C"/>
      </w:r>
      <w:r>
        <w:rPr>
          <w:sz w:val="20"/>
          <w:szCs w:val="20"/>
          <w:vertAlign w:val="subscript"/>
          <w:lang w:val="es-MX"/>
        </w:rPr>
        <w:t>t+1</w:t>
      </w:r>
      <w:r>
        <w:rPr>
          <w:sz w:val="20"/>
          <w:szCs w:val="20"/>
          <w:lang w:val="es-MX"/>
        </w:rPr>
        <w:t>(k</w:t>
      </w:r>
      <w:r>
        <w:rPr>
          <w:sz w:val="20"/>
          <w:szCs w:val="20"/>
          <w:vertAlign w:val="subscript"/>
          <w:lang w:val="es-MX"/>
        </w:rPr>
        <w:t>1</w:t>
      </w:r>
      <w:r>
        <w:rPr>
          <w:sz w:val="20"/>
          <w:szCs w:val="20"/>
          <w:lang w:val="es-MX"/>
        </w:rPr>
        <w:t>,…..,k</w:t>
      </w:r>
      <w:r>
        <w:rPr>
          <w:sz w:val="20"/>
          <w:szCs w:val="20"/>
          <w:vertAlign w:val="subscript"/>
          <w:lang w:val="es-MX"/>
        </w:rPr>
        <w:t>t</w:t>
      </w:r>
      <w:r>
        <w:rPr>
          <w:sz w:val="20"/>
          <w:szCs w:val="20"/>
          <w:lang w:val="es-MX"/>
        </w:rPr>
        <w:t xml:space="preserve">), que es el mejor estimador de </w:t>
      </w:r>
      <w:r>
        <w:rPr>
          <w:sz w:val="20"/>
          <w:szCs w:val="20"/>
        </w:rPr>
        <w:sym w:font="Symbol" w:char="F06C"/>
      </w:r>
      <w:r>
        <w:rPr>
          <w:sz w:val="20"/>
          <w:szCs w:val="20"/>
          <w:lang w:val="es-MX"/>
        </w:rPr>
        <w:t xml:space="preserve"> en el instante t+1.</w:t>
      </w:r>
    </w:p>
    <w:p w:rsidR="00736A70" w:rsidRDefault="00736A70">
      <w:pPr>
        <w:jc w:val="both"/>
        <w:rPr>
          <w:sz w:val="20"/>
          <w:szCs w:val="20"/>
          <w:lang w:val="es-MX"/>
        </w:rPr>
      </w:pPr>
      <w:r>
        <w:rPr>
          <w:sz w:val="20"/>
          <w:szCs w:val="20"/>
          <w:lang w:val="es-MX"/>
        </w:rPr>
        <w:t>El problema de decisión puede ser visto de la siguiente manera. Dada una serie de variables aleatorias independientes e idénticamente distribuidas K</w:t>
      </w:r>
      <w:r>
        <w:rPr>
          <w:sz w:val="20"/>
          <w:szCs w:val="20"/>
          <w:vertAlign w:val="subscript"/>
          <w:lang w:val="es-MX"/>
        </w:rPr>
        <w:t>1</w:t>
      </w:r>
      <w:r>
        <w:rPr>
          <w:sz w:val="20"/>
          <w:szCs w:val="20"/>
          <w:lang w:val="es-MX"/>
        </w:rPr>
        <w:t>, ....., K</w:t>
      </w:r>
      <w:r>
        <w:rPr>
          <w:sz w:val="20"/>
          <w:szCs w:val="20"/>
          <w:vertAlign w:val="subscript"/>
          <w:lang w:val="es-MX"/>
        </w:rPr>
        <w:t>t</w:t>
      </w:r>
      <w:r>
        <w:rPr>
          <w:sz w:val="20"/>
          <w:szCs w:val="20"/>
          <w:lang w:val="es-MX"/>
        </w:rPr>
        <w:t xml:space="preserve">, ...., se debe determinar un conjunto de funciones </w:t>
      </w:r>
      <w:r>
        <w:rPr>
          <w:sz w:val="20"/>
          <w:szCs w:val="20"/>
        </w:rPr>
        <w:sym w:font="Symbol" w:char="F06C"/>
      </w:r>
      <w:r>
        <w:rPr>
          <w:sz w:val="20"/>
          <w:szCs w:val="20"/>
          <w:vertAlign w:val="subscript"/>
          <w:lang w:val="es-MX"/>
        </w:rPr>
        <w:t>t+1</w:t>
      </w:r>
      <w:r>
        <w:rPr>
          <w:sz w:val="20"/>
          <w:szCs w:val="20"/>
          <w:lang w:val="es-MX"/>
        </w:rPr>
        <w:t>(k</w:t>
      </w:r>
      <w:r>
        <w:rPr>
          <w:sz w:val="20"/>
          <w:szCs w:val="20"/>
          <w:vertAlign w:val="subscript"/>
          <w:lang w:val="es-MX"/>
        </w:rPr>
        <w:t>1</w:t>
      </w:r>
      <w:r>
        <w:rPr>
          <w:sz w:val="20"/>
          <w:szCs w:val="20"/>
          <w:lang w:val="es-MX"/>
        </w:rPr>
        <w:t>,…..,k</w:t>
      </w:r>
      <w:r>
        <w:rPr>
          <w:sz w:val="20"/>
          <w:szCs w:val="20"/>
          <w:vertAlign w:val="subscript"/>
          <w:lang w:val="es-MX"/>
        </w:rPr>
        <w:t>t</w:t>
      </w:r>
      <w:r>
        <w:rPr>
          <w:sz w:val="20"/>
          <w:szCs w:val="20"/>
          <w:lang w:val="es-MX"/>
        </w:rPr>
        <w:t xml:space="preserve">), t = 0, ....., </w:t>
      </w:r>
      <w:r>
        <w:rPr>
          <w:sz w:val="20"/>
          <w:szCs w:val="20"/>
        </w:rPr>
        <w:object w:dxaOrig="240" w:dyaOrig="200">
          <v:shape id="_x0000_i1052" type="#_x0000_t75" style="width:12pt;height:9.75pt" o:ole="">
            <v:imagedata r:id="rId43" o:title=""/>
          </v:shape>
          <o:OLEObject Type="Embed" ProgID="Equation.3" ShapeID="_x0000_i1052" DrawAspect="Content" ObjectID="_1343036417" r:id="rId44"/>
        </w:object>
      </w:r>
      <w:r>
        <w:rPr>
          <w:sz w:val="20"/>
          <w:szCs w:val="20"/>
          <w:lang w:val="es-MX"/>
        </w:rPr>
        <w:t xml:space="preserve">, con el cual se estime </w:t>
      </w:r>
      <w:r>
        <w:rPr>
          <w:sz w:val="20"/>
          <w:szCs w:val="20"/>
        </w:rPr>
        <w:sym w:font="Symbol" w:char="F06C"/>
      </w:r>
      <w:r>
        <w:rPr>
          <w:sz w:val="20"/>
          <w:szCs w:val="20"/>
          <w:lang w:val="es-MX"/>
        </w:rPr>
        <w:t xml:space="preserve"> de manera óptima y secuencial.</w:t>
      </w:r>
    </w:p>
    <w:p w:rsidR="00736A70" w:rsidRDefault="00736A70">
      <w:pPr>
        <w:jc w:val="both"/>
        <w:rPr>
          <w:sz w:val="20"/>
          <w:szCs w:val="20"/>
          <w:lang w:val="es-MX"/>
        </w:rPr>
      </w:pPr>
      <w:r>
        <w:rPr>
          <w:rFonts w:ascii="Arial" w:hAnsi="Arial" w:cs="Arial"/>
          <w:noProof/>
          <w:sz w:val="20"/>
        </w:rPr>
        <w:pict>
          <v:shape id="_x0000_s1052" type="#_x0000_t75" style="position:absolute;left:0;text-align:left;margin-left:140.9pt;margin-top:36.65pt;width:170.25pt;height:38.25pt;z-index:251657728">
            <v:imagedata r:id="rId45" o:title=""/>
            <w10:wrap type="topAndBottom"/>
          </v:shape>
          <o:OLEObject Type="Embed" ProgID="Equation.3" ShapeID="_x0000_s1052" DrawAspect="Content" ObjectID="_1343036424" r:id="rId46"/>
        </w:pict>
      </w:r>
      <w:r>
        <w:rPr>
          <w:sz w:val="20"/>
          <w:lang w:val="es-MX"/>
        </w:rPr>
        <w:t xml:space="preserve">Definiendo los valores posibles que pude tomar el parámetro desconocido </w:t>
      </w:r>
      <w:r>
        <w:rPr>
          <w:sz w:val="20"/>
          <w:szCs w:val="20"/>
        </w:rPr>
        <w:sym w:font="Symbol" w:char="F06C"/>
      </w:r>
      <w:r>
        <w:rPr>
          <w:sz w:val="20"/>
          <w:szCs w:val="20"/>
          <w:lang w:val="es-MX"/>
        </w:rPr>
        <w:t xml:space="preserve">, el espacio de estrategias del actuario al tiempo t+1 y la función del riesgo del actuario al tiempo t+1 se obtiene la esperanza matemática a posteriori de </w:t>
      </w:r>
      <w:r>
        <w:rPr>
          <w:sz w:val="20"/>
          <w:szCs w:val="20"/>
        </w:rPr>
        <w:sym w:font="Symbol" w:char="F06C"/>
      </w:r>
      <w:r>
        <w:rPr>
          <w:sz w:val="20"/>
          <w:szCs w:val="20"/>
          <w:lang w:val="es-MX"/>
        </w:rPr>
        <w:t xml:space="preserve"> dado por:</w:t>
      </w:r>
    </w:p>
    <w:p w:rsidR="00736A70" w:rsidRDefault="00736A70">
      <w:pPr>
        <w:pStyle w:val="Textoindependiente2"/>
        <w:spacing w:line="480" w:lineRule="auto"/>
        <w:rPr>
          <w:bCs w:val="0"/>
          <w:lang w:val="es-ES"/>
        </w:rPr>
      </w:pPr>
      <w:r>
        <w:rPr>
          <w:rFonts w:ascii="Arial" w:hAnsi="Arial" w:cs="Arial"/>
          <w:noProof/>
          <w:lang w:val="es-ES"/>
        </w:rPr>
        <w:pict>
          <v:shapetype id="_x0000_t202" coordsize="21600,21600" o:spt="202" path="m,l,21600r21600,l21600,xe">
            <v:stroke joinstyle="miter"/>
            <v:path gradientshapeok="t" o:connecttype="rect"/>
          </v:shapetype>
          <v:shape id="_x0000_s1055" type="#_x0000_t202" style="position:absolute;left:0;text-align:left;margin-left:3in;margin-top:1in;width:27pt;height:18pt;z-index:251660800" stroked="f">
            <v:textbox>
              <w:txbxContent>
                <w:p w:rsidR="00736A70" w:rsidRDefault="00736A70">
                  <w:pPr>
                    <w:jc w:val="both"/>
                    <w:rPr>
                      <w:sz w:val="20"/>
                    </w:rPr>
                  </w:pPr>
                  <w:r>
                    <w:rPr>
                      <w:sz w:val="20"/>
                    </w:rPr>
                    <w:t>y</w:t>
                  </w:r>
                </w:p>
              </w:txbxContent>
            </v:textbox>
          </v:shape>
        </w:pict>
      </w:r>
      <w:r>
        <w:rPr>
          <w:rFonts w:ascii="Arial" w:hAnsi="Arial" w:cs="Arial"/>
          <w:noProof/>
        </w:rPr>
        <w:pict>
          <v:shape id="_x0000_s1053" type="#_x0000_t75" style="position:absolute;left:0;text-align:left;margin-left:0;margin-top:64.45pt;width:200.9pt;height:37.05pt;z-index:251658752">
            <v:imagedata r:id="rId47" o:title=""/>
            <w10:wrap type="square" side="right"/>
          </v:shape>
          <o:OLEObject Type="Embed" ProgID="Equation.3" ShapeID="_x0000_s1053" DrawAspect="Content" ObjectID="_1343036425" r:id="rId48"/>
        </w:pict>
      </w:r>
      <w:r w:rsidR="00321D4B">
        <w:rPr>
          <w:noProof/>
          <w:lang w:val="en-US" w:eastAsia="en-US"/>
        </w:rPr>
        <w:drawing>
          <wp:anchor distT="0" distB="0" distL="114300" distR="114300" simplePos="0" relativeHeight="251659776" behindDoc="0" locked="0" layoutInCell="1" allowOverlap="1">
            <wp:simplePos x="0" y="0"/>
            <wp:positionH relativeFrom="column">
              <wp:posOffset>3200400</wp:posOffset>
            </wp:positionH>
            <wp:positionV relativeFrom="paragraph">
              <wp:posOffset>792480</wp:posOffset>
            </wp:positionV>
            <wp:extent cx="2143125" cy="485775"/>
            <wp:effectExtent l="0" t="0" r="9525" b="0"/>
            <wp:wrapTopAndBottom/>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9"/>
                    <a:srcRect/>
                    <a:stretch>
                      <a:fillRect/>
                    </a:stretch>
                  </pic:blipFill>
                  <pic:spPr bwMode="auto">
                    <a:xfrm>
                      <a:off x="0" y="0"/>
                      <a:ext cx="2143125" cy="485775"/>
                    </a:xfrm>
                    <a:prstGeom prst="rect">
                      <a:avLst/>
                    </a:prstGeom>
                    <a:noFill/>
                    <a:ln w="9525">
                      <a:noFill/>
                      <a:miter lim="800000"/>
                      <a:headEnd/>
                      <a:tailEnd/>
                    </a:ln>
                  </pic:spPr>
                </pic:pic>
              </a:graphicData>
            </a:graphic>
          </wp:anchor>
        </w:drawing>
      </w:r>
      <w:r>
        <w:rPr>
          <w:bCs w:val="0"/>
          <w:lang w:val="es-ES"/>
        </w:rPr>
        <w:t xml:space="preserve">Siendo : </w:t>
      </w:r>
    </w:p>
    <w:p w:rsidR="00736A70" w:rsidRDefault="00736A70">
      <w:pPr>
        <w:pStyle w:val="Textoindependiente3"/>
        <w:spacing w:line="240" w:lineRule="auto"/>
        <w:jc w:val="both"/>
      </w:pPr>
      <w:r>
        <w:rPr>
          <w:rFonts w:ascii="Arial" w:hAnsi="Arial" w:cs="Arial"/>
          <w:noProof/>
        </w:rPr>
        <w:pict>
          <v:shape id="_x0000_s1056" type="#_x0000_t75" style="position:absolute;left:0;text-align:left;margin-left:171pt;margin-top:43.4pt;width:104.25pt;height:30.75pt;z-index:251661824">
            <v:imagedata r:id="rId50" o:title=""/>
            <w10:wrap type="topAndBottom"/>
          </v:shape>
          <o:OLEObject Type="Embed" ProgID="Equation.3" ShapeID="_x0000_s1056" DrawAspect="Content" ObjectID="_1343036426" r:id="rId51"/>
        </w:pict>
      </w:r>
      <w:r>
        <w:t xml:space="preserve">        </w:t>
      </w:r>
      <w:r>
        <w:br w:type="textWrapping" w:clear="all"/>
        <w:t xml:space="preserve">Sabiendo que </w:t>
      </w:r>
      <w:r>
        <w:rPr>
          <w:szCs w:val="20"/>
          <w:lang w:val="es-MX"/>
        </w:rPr>
        <w:t xml:space="preserve">si una distribución a priori de </w:t>
      </w:r>
      <w:r>
        <w:rPr>
          <w:szCs w:val="20"/>
          <w:lang w:val="es-MX"/>
        </w:rPr>
        <w:sym w:font="Symbol" w:char="F06C"/>
      </w:r>
      <w:r>
        <w:rPr>
          <w:szCs w:val="20"/>
          <w:lang w:val="es-MX"/>
        </w:rPr>
        <w:t xml:space="preserve"> es una distribución </w:t>
      </w:r>
      <w:r>
        <w:rPr>
          <w:szCs w:val="20"/>
          <w:lang w:val="es-MX"/>
        </w:rPr>
        <w:sym w:font="Symbol" w:char="F047"/>
      </w:r>
      <w:r>
        <w:rPr>
          <w:szCs w:val="20"/>
          <w:lang w:val="es-MX"/>
        </w:rPr>
        <w:t xml:space="preserve"> con parámetros a y </w:t>
      </w:r>
      <w:r>
        <w:rPr>
          <w:szCs w:val="20"/>
          <w:lang w:val="es-MX"/>
        </w:rPr>
        <w:sym w:font="Symbol" w:char="F074"/>
      </w:r>
      <w:r>
        <w:rPr>
          <w:szCs w:val="20"/>
          <w:lang w:val="es-MX"/>
        </w:rPr>
        <w:t xml:space="preserve">, entonces la distribución a posteriori es también una </w:t>
      </w:r>
      <w:r>
        <w:rPr>
          <w:szCs w:val="20"/>
          <w:lang w:val="es-MX"/>
        </w:rPr>
        <w:sym w:font="Symbol" w:char="F047"/>
      </w:r>
      <w:r>
        <w:rPr>
          <w:szCs w:val="20"/>
          <w:lang w:val="es-MX"/>
        </w:rPr>
        <w:t xml:space="preserve"> pero con parámetros </w:t>
      </w:r>
      <w:r>
        <w:sym w:font="Symbol" w:char="F074"/>
      </w:r>
      <w:r>
        <w:t xml:space="preserve">’ = </w:t>
      </w:r>
      <w:r>
        <w:sym w:font="Symbol" w:char="F074"/>
      </w:r>
      <w:r>
        <w:t xml:space="preserve"> + t  y  a’ = a + k, tenemos que:</w:t>
      </w:r>
    </w:p>
    <w:p w:rsidR="00736A70" w:rsidRDefault="00736A70">
      <w:pPr>
        <w:jc w:val="both"/>
        <w:rPr>
          <w:sz w:val="20"/>
          <w:lang w:val="es-ES"/>
        </w:rPr>
      </w:pPr>
      <w:r>
        <w:rPr>
          <w:sz w:val="20"/>
          <w:lang w:val="es-ES"/>
        </w:rPr>
        <w:lastRenderedPageBreak/>
        <w:t xml:space="preserve">Una vez obtenida la frecuencia de accidentes a posteriori debemos optimizar el sistema construido. Existen muchos principios que pueden ser utilizados para realizar este trabajo, probaremos la conveniencia de 2 de ellos, el Principio del valor esperado y el Principio de la utilidad cero.  </w:t>
      </w:r>
    </w:p>
    <w:p w:rsidR="00736A70" w:rsidRDefault="00736A70">
      <w:pPr>
        <w:jc w:val="both"/>
        <w:rPr>
          <w:sz w:val="8"/>
          <w:lang w:val="es-ES"/>
        </w:rPr>
      </w:pPr>
    </w:p>
    <w:p w:rsidR="00736A70" w:rsidRDefault="00736A70">
      <w:pPr>
        <w:jc w:val="both"/>
        <w:rPr>
          <w:b/>
          <w:bCs/>
          <w:sz w:val="20"/>
          <w:lang w:val="es-ES"/>
        </w:rPr>
      </w:pPr>
      <w:r>
        <w:rPr>
          <w:b/>
          <w:bCs/>
          <w:sz w:val="20"/>
          <w:lang w:val="es-ES"/>
        </w:rPr>
        <w:t>4.3.1 Principio del valor esperado</w:t>
      </w:r>
    </w:p>
    <w:p w:rsidR="00736A70" w:rsidRDefault="00736A70">
      <w:pPr>
        <w:jc w:val="both"/>
        <w:rPr>
          <w:rFonts w:ascii="Arial" w:hAnsi="Arial" w:cs="Arial"/>
          <w:sz w:val="20"/>
        </w:rPr>
      </w:pPr>
      <w:r>
        <w:rPr>
          <w:rFonts w:ascii="Arial" w:hAnsi="Arial" w:cs="Arial"/>
          <w:noProof/>
          <w:sz w:val="20"/>
        </w:rPr>
        <w:pict>
          <v:shape id="_x0000_s1057" type="#_x0000_t75" style="position:absolute;left:0;text-align:left;margin-left:158.8pt;margin-top:34.75pt;width:135pt;height:30.75pt;z-index:251662848">
            <v:imagedata r:id="rId52" o:title=""/>
            <w10:wrap type="topAndBottom"/>
          </v:shape>
          <o:OLEObject Type="Embed" ProgID="Equation.3" ShapeID="_x0000_s1057" DrawAspect="Content" ObjectID="_1343036427" r:id="rId53"/>
        </w:pict>
      </w:r>
      <w:r>
        <w:rPr>
          <w:sz w:val="20"/>
          <w:lang w:val="es-ES"/>
        </w:rPr>
        <w:t xml:space="preserve">Este principio consiste en hacerle pagar al asegurado la prima pura (la misma a todos) más una cantidad extra proporcional a la prima pura. </w:t>
      </w:r>
      <w:r>
        <w:rPr>
          <w:sz w:val="20"/>
        </w:rPr>
        <w:t>Es decir que el asegurado con el historial (k</w:t>
      </w:r>
      <w:r>
        <w:rPr>
          <w:sz w:val="20"/>
          <w:vertAlign w:val="subscript"/>
        </w:rPr>
        <w:t>1</w:t>
      </w:r>
      <w:r>
        <w:rPr>
          <w:sz w:val="20"/>
        </w:rPr>
        <w:t>,…..,k</w:t>
      </w:r>
      <w:r>
        <w:rPr>
          <w:sz w:val="20"/>
          <w:vertAlign w:val="subscript"/>
        </w:rPr>
        <w:t>t</w:t>
      </w:r>
      <w:r>
        <w:rPr>
          <w:sz w:val="20"/>
        </w:rPr>
        <w:t xml:space="preserve">) deberá pagar una </w:t>
      </w:r>
      <w:r>
        <w:rPr>
          <w:sz w:val="20"/>
          <w:lang w:val="es-ES"/>
        </w:rPr>
        <w:t>prima igual a:</w:t>
      </w:r>
    </w:p>
    <w:p w:rsidR="00736A70" w:rsidRDefault="00736A70">
      <w:pPr>
        <w:pStyle w:val="Textoindependiente"/>
        <w:rPr>
          <w:sz w:val="20"/>
        </w:rPr>
      </w:pPr>
      <w:r>
        <w:rPr>
          <w:rFonts w:ascii="Arial" w:hAnsi="Arial" w:cs="Arial"/>
          <w:noProof/>
          <w:sz w:val="20"/>
        </w:rPr>
        <w:pict>
          <v:shape id="_x0000_s1058" type="#_x0000_t75" style="position:absolute;left:0;text-align:left;margin-left:156.75pt;margin-top:67.05pt;width:155.8pt;height:31pt;z-index:251663872">
            <v:imagedata r:id="rId54" o:title=""/>
            <w10:wrap type="topAndBottom"/>
          </v:shape>
          <o:OLEObject Type="Embed" ProgID="Equation.3" ShapeID="_x0000_s1058" DrawAspect="Content" ObjectID="_1343036428" r:id="rId55"/>
        </w:pict>
      </w:r>
      <w:r>
        <w:rPr>
          <w:sz w:val="20"/>
        </w:rPr>
        <w:t>Recordemos que para que sea óptimo debe ser financieramente balanceado, esto es verdadero ya que el promedio del estimador de la frecuencia de accidentes es igual a la media a priori a/</w:t>
      </w:r>
      <w:r>
        <w:rPr>
          <w:sz w:val="20"/>
        </w:rPr>
        <w:sym w:font="Symbol" w:char="F074"/>
      </w:r>
      <w:r>
        <w:rPr>
          <w:sz w:val="20"/>
        </w:rPr>
        <w:t>, para cada t (el factor 1+</w:t>
      </w:r>
      <w:r>
        <w:rPr>
          <w:sz w:val="20"/>
        </w:rPr>
        <w:sym w:font="Symbol" w:char="F061"/>
      </w:r>
      <w:r>
        <w:rPr>
          <w:sz w:val="20"/>
        </w:rPr>
        <w:t xml:space="preserve"> es parte del estimador):</w:t>
      </w:r>
    </w:p>
    <w:p w:rsidR="00736A70" w:rsidRDefault="00736A70">
      <w:pPr>
        <w:pStyle w:val="Textoindependiente"/>
        <w:rPr>
          <w:sz w:val="20"/>
        </w:rPr>
      </w:pPr>
      <w:r>
        <w:rPr>
          <w:rFonts w:ascii="Arial" w:hAnsi="Arial" w:cs="Arial"/>
          <w:noProof/>
          <w:sz w:val="20"/>
        </w:rPr>
        <w:pict>
          <v:shape id="_x0000_s1059" type="#_x0000_t75" style="position:absolute;left:0;text-align:left;margin-left:127.3pt;margin-top:43.6pt;width:198pt;height:56.95pt;z-index:251664896">
            <v:imagedata r:id="rId56" o:title=""/>
            <w10:wrap type="topAndBottom"/>
          </v:shape>
          <o:OLEObject Type="Embed" ProgID="Equation.3" ShapeID="_x0000_s1059" DrawAspect="Content" ObjectID="_1343036429" r:id="rId57"/>
        </w:pict>
      </w:r>
      <w:r>
        <w:rPr>
          <w:sz w:val="20"/>
        </w:rPr>
        <w:t xml:space="preserve">De modo que para una prima base de 100 unidades monetarias tenemos que la prima a posteriori es igual a: </w:t>
      </w:r>
    </w:p>
    <w:p w:rsidR="00736A70" w:rsidRDefault="00736A70">
      <w:pPr>
        <w:pStyle w:val="Textoindependiente"/>
        <w:rPr>
          <w:rFonts w:ascii="Arial" w:hAnsi="Arial" w:cs="Arial"/>
        </w:rPr>
      </w:pPr>
      <w:r>
        <w:rPr>
          <w:sz w:val="20"/>
        </w:rPr>
        <w:t>En este sistema óptimo vemos que el número de años consecutivos libres de accidentes que son necesarios para volver a una prima de 100 unidades monetarias es de 28, este es un período de tiempo bastante largo pero necesario porque estos valores fueron obtenidos en función del riesgo en el portafolio. Ver Gráfico 7</w:t>
      </w:r>
    </w:p>
    <w:p w:rsidR="00736A70" w:rsidRDefault="00321D4B">
      <w:pPr>
        <w:pStyle w:val="Textoindependiente"/>
        <w:jc w:val="center"/>
        <w:rPr>
          <w:sz w:val="20"/>
        </w:rPr>
      </w:pPr>
      <w:r>
        <w:rPr>
          <w:noProof/>
          <w:lang w:val="en-US" w:eastAsia="en-US"/>
        </w:rPr>
        <w:drawing>
          <wp:inline distT="0" distB="0" distL="0" distR="0">
            <wp:extent cx="4676775" cy="2476500"/>
            <wp:effectExtent l="0" t="0" r="0" b="0"/>
            <wp:docPr id="29" name="Objeto 2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736A70" w:rsidRDefault="00736A70">
      <w:pPr>
        <w:pStyle w:val="Ttulo1"/>
      </w:pPr>
      <w:r>
        <w:t>Gráfico 7.- Valores de la prima usando el principio del valor esperado</w:t>
      </w:r>
    </w:p>
    <w:p w:rsidR="00736A70" w:rsidRDefault="00736A70">
      <w:pPr>
        <w:jc w:val="both"/>
        <w:rPr>
          <w:b/>
          <w:bCs/>
          <w:sz w:val="8"/>
          <w:lang w:val="es-MX"/>
        </w:rPr>
      </w:pPr>
    </w:p>
    <w:p w:rsidR="00736A70" w:rsidRDefault="00736A70">
      <w:pPr>
        <w:jc w:val="both"/>
        <w:rPr>
          <w:b/>
          <w:bCs/>
          <w:sz w:val="20"/>
          <w:lang w:val="es-ES"/>
        </w:rPr>
      </w:pPr>
      <w:r>
        <w:rPr>
          <w:b/>
          <w:bCs/>
          <w:sz w:val="20"/>
          <w:lang w:val="es-ES"/>
        </w:rPr>
        <w:t>4.3.2 Principio de la utilidad cero</w:t>
      </w:r>
    </w:p>
    <w:p w:rsidR="00736A70" w:rsidRDefault="00736A70">
      <w:pPr>
        <w:pStyle w:val="Textoindependiente"/>
        <w:rPr>
          <w:rFonts w:ascii="Arial" w:hAnsi="Arial" w:cs="Arial"/>
          <w:bCs/>
        </w:rPr>
      </w:pPr>
      <w:r>
        <w:rPr>
          <w:noProof/>
          <w:sz w:val="20"/>
        </w:rPr>
        <w:pict>
          <v:shape id="_x0000_s1060" type="#_x0000_t75" style="position:absolute;left:0;text-align:left;margin-left:149.25pt;margin-top:23.2pt;width:138.75pt;height:38.25pt;z-index:251665920">
            <v:imagedata r:id="rId59" o:title=""/>
            <w10:wrap type="topAndBottom"/>
          </v:shape>
          <o:OLEObject Type="Embed" ProgID="Equation.3" ShapeID="_x0000_s1060" DrawAspect="Content" ObjectID="_1343036430" r:id="rId60"/>
        </w:pict>
      </w:r>
      <w:r>
        <w:rPr>
          <w:sz w:val="20"/>
        </w:rPr>
        <w:t>Este principio se toma en cuenta la utilidad esperada de la empresa al momento y después de que se suscribe la póliza, de manera que la situación del asegurador es evaluada a través de una función de utilidad u(x):</w:t>
      </w:r>
    </w:p>
    <w:p w:rsidR="00736A70" w:rsidRDefault="00736A70">
      <w:pPr>
        <w:pStyle w:val="Textoindependiente"/>
        <w:rPr>
          <w:sz w:val="20"/>
        </w:rPr>
      </w:pPr>
    </w:p>
    <w:p w:rsidR="00736A70" w:rsidRDefault="00736A70">
      <w:pPr>
        <w:pStyle w:val="Textoindependiente"/>
        <w:rPr>
          <w:rFonts w:ascii="Arial" w:hAnsi="Arial" w:cs="Arial"/>
          <w:bCs/>
        </w:rPr>
      </w:pPr>
      <w:r>
        <w:rPr>
          <w:noProof/>
          <w:sz w:val="20"/>
        </w:rPr>
        <w:pict>
          <v:shape id="_x0000_s1062" type="#_x0000_t202" style="position:absolute;left:0;text-align:left;margin-left:261pt;margin-top:16.45pt;width:63pt;height:18pt;z-index:251667968" stroked="f">
            <v:textbox>
              <w:txbxContent>
                <w:p w:rsidR="00736A70" w:rsidRDefault="00736A70">
                  <w:r>
                    <w:rPr>
                      <w:sz w:val="20"/>
                      <w:lang w:val="es-ES"/>
                    </w:rPr>
                    <w:t>para  c &gt; 0</w:t>
                  </w:r>
                </w:p>
              </w:txbxContent>
            </v:textbox>
          </v:shape>
        </w:pict>
      </w:r>
      <w:r>
        <w:rPr>
          <w:sz w:val="20"/>
        </w:rPr>
        <w:t>Dado R como las reservas de la compañía y utilizando una función exponencial como u(x), teniendo:</w:t>
      </w:r>
    </w:p>
    <w:p w:rsidR="00736A70" w:rsidRDefault="00736A70">
      <w:pPr>
        <w:pStyle w:val="Textoindependiente"/>
        <w:rPr>
          <w:sz w:val="20"/>
        </w:rPr>
      </w:pPr>
      <w:r>
        <w:rPr>
          <w:noProof/>
          <w:sz w:val="20"/>
        </w:rPr>
        <w:pict>
          <v:shape id="_x0000_s1061" type="#_x0000_t75" style="position:absolute;left:0;text-align:left;margin-left:157.35pt;margin-top:.3pt;width:86.25pt;height:30.75pt;z-index:251666944">
            <v:imagedata r:id="rId61" o:title=""/>
            <w10:wrap type="topAndBottom"/>
          </v:shape>
          <o:OLEObject Type="Embed" ProgID="Equation.3" ShapeID="_x0000_s1061" DrawAspect="Content" ObjectID="_1343036431" r:id="rId62"/>
        </w:pict>
      </w:r>
      <w:r>
        <w:rPr>
          <w:sz w:val="20"/>
        </w:rPr>
        <w:t>Una función de utilidad puede ser de tres tipos, dependiendo de la aversión al riesgo que se utilice, en la ecuación anterior la aversión al riesgo es representada por el parámetro c, de manera que para un determinado grado de aversión al riesgo una compañía puede medir su utilidad esperada.</w:t>
      </w:r>
    </w:p>
    <w:p w:rsidR="00736A70" w:rsidRDefault="00736A70">
      <w:pPr>
        <w:pStyle w:val="Textoindependiente"/>
        <w:rPr>
          <w:sz w:val="20"/>
        </w:rPr>
      </w:pPr>
      <w:r>
        <w:rPr>
          <w:sz w:val="20"/>
        </w:rPr>
        <w:t>La prima es entonces calculada multiplicando 1/c por el logaritmo de la función de generadora de momentos de la distribución de accidentes, en este caso sería el de la distribución binomial negativa, obteniendo:</w:t>
      </w:r>
    </w:p>
    <w:p w:rsidR="00736A70" w:rsidRDefault="00736A70">
      <w:pPr>
        <w:pStyle w:val="Textoindependiente"/>
        <w:rPr>
          <w:sz w:val="20"/>
        </w:rPr>
      </w:pPr>
      <w:r>
        <w:rPr>
          <w:position w:val="-32"/>
          <w:sz w:val="20"/>
        </w:rPr>
        <w:object w:dxaOrig="3140" w:dyaOrig="760">
          <v:shape id="_x0000_i1054" type="#_x0000_t75" style="width:156.75pt;height:38.25pt" o:ole="">
            <v:imagedata r:id="rId63" o:title=""/>
          </v:shape>
          <o:OLEObject Type="Embed" ProgID="Equation.3" ShapeID="_x0000_i1054" DrawAspect="Content" ObjectID="_1343036418" r:id="rId64"/>
        </w:object>
      </w:r>
      <w:r>
        <w:rPr>
          <w:sz w:val="20"/>
        </w:rPr>
        <w:t xml:space="preserve"> siendo </w:t>
      </w:r>
      <w:r>
        <w:rPr>
          <w:position w:val="-10"/>
          <w:sz w:val="20"/>
        </w:rPr>
        <w:object w:dxaOrig="1640" w:dyaOrig="400">
          <v:shape id="_x0000_i1055" type="#_x0000_t75" style="width:81.75pt;height:20.25pt" o:ole="">
            <v:imagedata r:id="rId65" o:title=""/>
          </v:shape>
          <o:OLEObject Type="Embed" ProgID="Equation.3" ShapeID="_x0000_i1055" DrawAspect="Content" ObjectID="_1343036419" r:id="rId66"/>
        </w:object>
      </w:r>
      <w:r>
        <w:rPr>
          <w:sz w:val="20"/>
        </w:rPr>
        <w:t xml:space="preserve"> la función generadora de momentos de la función Poisson</w:t>
      </w:r>
    </w:p>
    <w:p w:rsidR="00736A70" w:rsidRDefault="00736A70">
      <w:pPr>
        <w:jc w:val="both"/>
        <w:rPr>
          <w:sz w:val="20"/>
          <w:lang w:val="es-ES"/>
        </w:rPr>
      </w:pPr>
      <w:r>
        <w:rPr>
          <w:sz w:val="20"/>
          <w:lang w:val="es-ES"/>
        </w:rPr>
        <w:t>Desarrollando la integral obtenemos el valor de la prima con el parámetro c de aversión al riesgo</w:t>
      </w:r>
    </w:p>
    <w:p w:rsidR="00736A70" w:rsidRDefault="00736A70">
      <w:pPr>
        <w:jc w:val="center"/>
        <w:rPr>
          <w:rFonts w:ascii="Arial" w:hAnsi="Arial" w:cs="Arial"/>
          <w:lang w:val="es-ES"/>
        </w:rPr>
      </w:pPr>
      <w:r>
        <w:rPr>
          <w:rFonts w:ascii="Arial" w:hAnsi="Arial" w:cs="Arial"/>
          <w:position w:val="-32"/>
          <w:lang w:val="es-ES"/>
        </w:rPr>
        <w:object w:dxaOrig="5020" w:dyaOrig="760">
          <v:shape id="_x0000_i1056" type="#_x0000_t75" style="width:251.25pt;height:38.25pt" o:ole="">
            <v:imagedata r:id="rId67" o:title=""/>
          </v:shape>
          <o:OLEObject Type="Embed" ProgID="Equation.3" ShapeID="_x0000_i1056" DrawAspect="Content" ObjectID="_1343036420" r:id="rId68"/>
        </w:object>
      </w:r>
    </w:p>
    <w:p w:rsidR="00736A70" w:rsidRDefault="00736A70">
      <w:pPr>
        <w:jc w:val="both"/>
        <w:rPr>
          <w:sz w:val="20"/>
          <w:lang w:val="es-ES"/>
        </w:rPr>
      </w:pPr>
      <w:r>
        <w:rPr>
          <w:sz w:val="20"/>
          <w:lang w:val="es-ES"/>
        </w:rPr>
        <w:t xml:space="preserve">Tomamos como aversión al riesgo el valor c = 0.4 para ser más equitativos al momento de evaluar la situación de la compañía con respecto a sus asegurados. </w:t>
      </w:r>
    </w:p>
    <w:p w:rsidR="00736A70" w:rsidRDefault="00321D4B">
      <w:pPr>
        <w:jc w:val="center"/>
        <w:rPr>
          <w:sz w:val="20"/>
          <w:lang w:val="es-ES"/>
        </w:rPr>
      </w:pPr>
      <w:r>
        <w:rPr>
          <w:noProof/>
          <w:lang w:eastAsia="en-US"/>
        </w:rPr>
        <w:drawing>
          <wp:inline distT="0" distB="0" distL="0" distR="0">
            <wp:extent cx="4676775" cy="2476500"/>
            <wp:effectExtent l="0" t="0" r="0" b="0"/>
            <wp:docPr id="33" name="Objeto 3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736A70" w:rsidRDefault="00736A70">
      <w:pPr>
        <w:pStyle w:val="Ttulo1"/>
      </w:pPr>
      <w:r>
        <w:t>Gráfico 8.- Valores de la prima usando el principio de la utilidad cero</w:t>
      </w:r>
    </w:p>
    <w:p w:rsidR="00736A70" w:rsidRDefault="00736A70">
      <w:pPr>
        <w:jc w:val="both"/>
        <w:rPr>
          <w:sz w:val="6"/>
          <w:lang w:val="es-MX"/>
        </w:rPr>
      </w:pPr>
    </w:p>
    <w:p w:rsidR="00736A70" w:rsidRDefault="00736A70">
      <w:pPr>
        <w:jc w:val="both"/>
        <w:rPr>
          <w:sz w:val="20"/>
          <w:lang w:val="es-ES"/>
        </w:rPr>
      </w:pPr>
      <w:r>
        <w:rPr>
          <w:sz w:val="20"/>
          <w:lang w:val="es-ES"/>
        </w:rPr>
        <w:t>En proporción, los descuentos y recargas a la prima son mayores y menores respectivamente en relación a los obtenidos mediante el principio del valor esperado. Por consiguiente mediante este principio de la utilidad cero se refleja en mejor medida el riesgo de los asegurados sin recargar demasiado las primas y concediendo mayores descuentos por buen comportamiento. Ver Gráfico 8.</w:t>
      </w:r>
    </w:p>
    <w:p w:rsidR="00736A70" w:rsidRDefault="00736A70">
      <w:pPr>
        <w:jc w:val="both"/>
        <w:rPr>
          <w:rFonts w:ascii="Arial" w:hAnsi="Arial" w:cs="Arial"/>
          <w:lang w:val="es-ES"/>
        </w:rPr>
      </w:pPr>
      <w:r>
        <w:rPr>
          <w:sz w:val="20"/>
          <w:lang w:val="es-ES"/>
        </w:rPr>
        <w:t>Una vez encontrado el mejor modelo para ajustar la prima según el riesgo del asegurado queda concluido este trabajo.</w:t>
      </w:r>
      <w:r>
        <w:rPr>
          <w:rFonts w:ascii="Arial" w:hAnsi="Arial" w:cs="Arial"/>
          <w:lang w:val="es-ES"/>
        </w:rPr>
        <w:t xml:space="preserve"> </w:t>
      </w:r>
    </w:p>
    <w:p w:rsidR="00736A70" w:rsidRDefault="00736A70">
      <w:pPr>
        <w:jc w:val="both"/>
        <w:rPr>
          <w:sz w:val="8"/>
          <w:lang w:val="es-ES"/>
        </w:rPr>
      </w:pPr>
    </w:p>
    <w:p w:rsidR="00736A70" w:rsidRDefault="00736A70">
      <w:pPr>
        <w:pStyle w:val="Ttulo5"/>
        <w:jc w:val="center"/>
        <w:rPr>
          <w:lang w:val="es-ES"/>
        </w:rPr>
      </w:pPr>
      <w:r>
        <w:rPr>
          <w:lang w:val="es-ES"/>
        </w:rPr>
        <w:t>4.- CONCLUSIONES</w:t>
      </w:r>
    </w:p>
    <w:p w:rsidR="00736A70" w:rsidRDefault="00736A70">
      <w:pPr>
        <w:jc w:val="both"/>
        <w:rPr>
          <w:sz w:val="20"/>
          <w:lang w:val="es-ES"/>
        </w:rPr>
      </w:pPr>
      <w:r>
        <w:rPr>
          <w:sz w:val="20"/>
          <w:lang w:val="es-ES"/>
        </w:rPr>
        <w:t>A lo largo de este trabajo se ha tratado sobre la posible introducción de un Sistema Bonus Malus en la Provincia del Guayas. Se inició con una introducción sobre el sistema. Luego se procedió a conocer acerca de los accidentes de tránsito en la provincia tomando como período de estudio los años 2000 a 2002, mientras que para la elaboración del Sistema Bonus Malus de la provincia se tomó el período 2000-2001. A continuación las conclusiones más relevantes extraídas de este trabajo:</w:t>
      </w:r>
    </w:p>
    <w:p w:rsidR="00736A70" w:rsidRDefault="00736A70">
      <w:pPr>
        <w:numPr>
          <w:ilvl w:val="0"/>
          <w:numId w:val="1"/>
        </w:numPr>
        <w:jc w:val="both"/>
        <w:rPr>
          <w:sz w:val="20"/>
          <w:lang w:val="es-ES"/>
        </w:rPr>
      </w:pPr>
      <w:r>
        <w:rPr>
          <w:sz w:val="20"/>
          <w:lang w:val="es-ES"/>
        </w:rPr>
        <w:t xml:space="preserve">Guayaquil es la ciudad con mayor índice </w:t>
      </w:r>
      <w:r w:rsidR="00763E55">
        <w:rPr>
          <w:sz w:val="20"/>
          <w:lang w:val="es-ES"/>
        </w:rPr>
        <w:t xml:space="preserve">relativo </w:t>
      </w:r>
      <w:r>
        <w:rPr>
          <w:sz w:val="20"/>
          <w:lang w:val="es-ES"/>
        </w:rPr>
        <w:t>de accidentes en el periodo de estudio de 2000-2002 dentro de la Provincia del Guayas, siendo los vehículos más nuevos los más accidentados.</w:t>
      </w:r>
    </w:p>
    <w:p w:rsidR="00736A70" w:rsidRDefault="00736A70">
      <w:pPr>
        <w:numPr>
          <w:ilvl w:val="0"/>
          <w:numId w:val="1"/>
        </w:numPr>
        <w:jc w:val="both"/>
        <w:rPr>
          <w:sz w:val="20"/>
          <w:lang w:val="es-ES"/>
        </w:rPr>
      </w:pPr>
      <w:r>
        <w:rPr>
          <w:sz w:val="20"/>
          <w:lang w:val="es-ES"/>
        </w:rPr>
        <w:t>Según la CTG el principal móvil de los accidentes se deben a circunstancias normales, esta opción se caracteriza por ser utilizada por los oficiales cuando no se dispone de suficiente información acerca del percance por lo cual no necesariamente refleja la realidad.</w:t>
      </w:r>
    </w:p>
    <w:p w:rsidR="00736A70" w:rsidRDefault="00736A70">
      <w:pPr>
        <w:numPr>
          <w:ilvl w:val="0"/>
          <w:numId w:val="1"/>
        </w:numPr>
        <w:jc w:val="both"/>
        <w:rPr>
          <w:sz w:val="20"/>
          <w:lang w:val="es-ES"/>
        </w:rPr>
      </w:pPr>
      <w:r>
        <w:rPr>
          <w:sz w:val="20"/>
          <w:lang w:val="es-ES"/>
        </w:rPr>
        <w:t>Los automóviles, camionetas y buses, en ese orden,  son los vehículos más accidentados en la provincia, sobre todo los automóviles particulares.</w:t>
      </w:r>
    </w:p>
    <w:p w:rsidR="00736A70" w:rsidRDefault="00736A70">
      <w:pPr>
        <w:numPr>
          <w:ilvl w:val="0"/>
          <w:numId w:val="1"/>
        </w:numPr>
        <w:jc w:val="both"/>
        <w:rPr>
          <w:sz w:val="20"/>
          <w:lang w:val="es-ES"/>
        </w:rPr>
      </w:pPr>
      <w:r>
        <w:rPr>
          <w:sz w:val="20"/>
          <w:lang w:val="es-ES"/>
        </w:rPr>
        <w:t>La principal causa de los accidentes se debe a características propias de un infractor, la falta de obediencia a las leyes de tránsito tales como pasarse la luz roja, ir en exceso de velocidad entre otras, estos son factores culturales muy arraigados en nuestra gente.</w:t>
      </w:r>
    </w:p>
    <w:p w:rsidR="00736A70" w:rsidRDefault="00736A70">
      <w:pPr>
        <w:numPr>
          <w:ilvl w:val="0"/>
          <w:numId w:val="1"/>
        </w:numPr>
        <w:jc w:val="both"/>
        <w:rPr>
          <w:sz w:val="20"/>
          <w:lang w:val="es-ES"/>
        </w:rPr>
      </w:pPr>
      <w:r>
        <w:rPr>
          <w:sz w:val="20"/>
          <w:lang w:val="es-ES"/>
        </w:rPr>
        <w:t>Factores internos y externos del conductor son las principales causas cuyos vehículos accidentados pertenecen en su mayoría a la categoría Popular.</w:t>
      </w:r>
    </w:p>
    <w:p w:rsidR="00736A70" w:rsidRDefault="00736A70">
      <w:pPr>
        <w:numPr>
          <w:ilvl w:val="0"/>
          <w:numId w:val="1"/>
        </w:numPr>
        <w:jc w:val="both"/>
        <w:rPr>
          <w:sz w:val="20"/>
          <w:lang w:val="es-ES"/>
        </w:rPr>
      </w:pPr>
      <w:r>
        <w:rPr>
          <w:sz w:val="20"/>
          <w:lang w:val="es-ES"/>
        </w:rPr>
        <w:t>La mayoría de los accidentes  producidos (71.5%) solo desencadenaron daños leves a la estructura del vehículo.</w:t>
      </w:r>
    </w:p>
    <w:p w:rsidR="00736A70" w:rsidRDefault="00736A70">
      <w:pPr>
        <w:numPr>
          <w:ilvl w:val="0"/>
          <w:numId w:val="1"/>
        </w:numPr>
        <w:jc w:val="both"/>
        <w:rPr>
          <w:sz w:val="20"/>
          <w:lang w:val="es-ES"/>
        </w:rPr>
      </w:pPr>
      <w:r>
        <w:rPr>
          <w:sz w:val="20"/>
          <w:lang w:val="es-ES"/>
        </w:rPr>
        <w:t>Para el año 2000-2001 se registraron 6308 vehículos involucrados en accidentes en la provincia de un total de 187441 vehículos matriculados, lo cual nos indica una muy baja proporción de accidentes por lo que la probabilidad de verse involucrado en un accidente es muy baja, 0.03365326.</w:t>
      </w:r>
    </w:p>
    <w:p w:rsidR="00736A70" w:rsidRDefault="00736A70">
      <w:pPr>
        <w:numPr>
          <w:ilvl w:val="0"/>
          <w:numId w:val="1"/>
        </w:numPr>
        <w:jc w:val="both"/>
        <w:rPr>
          <w:sz w:val="20"/>
          <w:lang w:val="es-ES"/>
        </w:rPr>
      </w:pPr>
      <w:r>
        <w:rPr>
          <w:sz w:val="20"/>
          <w:lang w:val="es-ES"/>
        </w:rPr>
        <w:lastRenderedPageBreak/>
        <w:t>Se tuvo problemas con la información de los accidentes puesto que no se pudo establecer una estimación a priori del riesgo de accidentarse mientras conduce el asegurado. Debido a la dispersión de los datos ningún modelo de regresión se ajustó significativamente.</w:t>
      </w:r>
    </w:p>
    <w:p w:rsidR="00736A70" w:rsidRDefault="00736A70">
      <w:pPr>
        <w:numPr>
          <w:ilvl w:val="0"/>
          <w:numId w:val="1"/>
        </w:numPr>
        <w:jc w:val="both"/>
        <w:rPr>
          <w:sz w:val="20"/>
          <w:lang w:val="es-ES"/>
        </w:rPr>
      </w:pPr>
      <w:r>
        <w:rPr>
          <w:sz w:val="20"/>
          <w:lang w:val="es-ES"/>
        </w:rPr>
        <w:t>El número de asegurados accidentados se ajusta a una distribución binomial  negativa, de modo que al encontrar la distribución de procedencia se pudo establecer una estimación a posteriori del asegurado, es decir que el asegurado en su primer año entra con una prima proporcional al riesgo promedio de manera que en los siguientes años se vaya modificando dicho valor en función de su comportamiento precedente.</w:t>
      </w:r>
    </w:p>
    <w:p w:rsidR="00736A70" w:rsidRDefault="00736A70">
      <w:pPr>
        <w:numPr>
          <w:ilvl w:val="0"/>
          <w:numId w:val="1"/>
        </w:numPr>
        <w:jc w:val="both"/>
        <w:rPr>
          <w:sz w:val="20"/>
          <w:lang w:val="es-ES"/>
        </w:rPr>
      </w:pPr>
      <w:r>
        <w:rPr>
          <w:sz w:val="20"/>
          <w:lang w:val="es-ES"/>
        </w:rPr>
        <w:t>El principio de la utilidad cero resultó ser la mejor herramienta para calcular el valor de las primas en función del riesgo, y usando la estimación a posteriori podemos notar el movimiento del valor de la prima según el número de accidentes y tiempo.</w:t>
      </w:r>
    </w:p>
    <w:p w:rsidR="00736A70" w:rsidRDefault="00736A70">
      <w:pPr>
        <w:numPr>
          <w:ilvl w:val="0"/>
          <w:numId w:val="1"/>
        </w:numPr>
        <w:jc w:val="both"/>
        <w:rPr>
          <w:sz w:val="20"/>
          <w:lang w:val="es-ES"/>
        </w:rPr>
      </w:pPr>
      <w:r>
        <w:rPr>
          <w:sz w:val="20"/>
          <w:lang w:val="es-ES"/>
        </w:rPr>
        <w:t>Según el modelo, generando valores para un seguro con base de $100 vemos que el bajo riesgo del portafolio de asegurados es proporcional a la prima que pagan, puesto que para un asegurado nuevo no cometiendo accidente alguno en el primer año el descuento en el monto a pagar es bastante generoso, de igual manera las cargas que se imponen no son tan altas como vimos que sí sucede en otros países. Sin embargo esta conclusión esta supeditada a la toma de datos por parte de los oficiales de la Comisión de Tránsito del Guayas, como es bien sabido en nuestro medio es muy común pactar con el oficial de tránsito para que el accidente no sea reportado de manera que el número total de accidentes contenidos en la base de datos facilitada por la institución podría no reflejar la real cantidad de accidentes de tránsito influyendo en gran medida al valor de la prima ya que depende del riesgo de accidentarse.</w:t>
      </w:r>
    </w:p>
    <w:p w:rsidR="00736A70" w:rsidRDefault="00736A70">
      <w:pPr>
        <w:tabs>
          <w:tab w:val="left" w:pos="1080"/>
        </w:tabs>
        <w:ind w:left="450"/>
        <w:jc w:val="both"/>
        <w:rPr>
          <w:sz w:val="20"/>
          <w:lang w:val="es-ES"/>
        </w:rPr>
      </w:pPr>
    </w:p>
    <w:p w:rsidR="00736A70" w:rsidRDefault="00736A70">
      <w:pPr>
        <w:jc w:val="both"/>
        <w:rPr>
          <w:sz w:val="20"/>
          <w:lang w:val="es-ES"/>
        </w:rPr>
      </w:pPr>
      <w:r>
        <w:rPr>
          <w:sz w:val="20"/>
          <w:lang w:val="es-ES"/>
        </w:rPr>
        <w:t>En conclusión el beneficio social que se obtendría por la aplicación de este sistema en la provincia será muy bueno ya que además de incentivar el ámbito de conducir con precaución se estaría estimulando monetariamente esta conducta.</w:t>
      </w:r>
    </w:p>
    <w:p w:rsidR="00736A70" w:rsidRDefault="00736A70">
      <w:pPr>
        <w:jc w:val="both"/>
        <w:rPr>
          <w:sz w:val="20"/>
          <w:lang w:val="es-ES"/>
        </w:rPr>
      </w:pPr>
    </w:p>
    <w:p w:rsidR="00736A70" w:rsidRDefault="00736A70">
      <w:pPr>
        <w:tabs>
          <w:tab w:val="left" w:pos="4601"/>
        </w:tabs>
        <w:jc w:val="center"/>
        <w:rPr>
          <w:b/>
          <w:sz w:val="20"/>
          <w:szCs w:val="32"/>
          <w:lang w:val="es-ES"/>
        </w:rPr>
      </w:pPr>
      <w:r>
        <w:rPr>
          <w:b/>
          <w:sz w:val="20"/>
          <w:szCs w:val="32"/>
          <w:lang w:val="es-ES"/>
        </w:rPr>
        <w:t>BIBLIOGRAFÍA</w:t>
      </w:r>
    </w:p>
    <w:p w:rsidR="00736A70" w:rsidRDefault="00736A70">
      <w:pPr>
        <w:numPr>
          <w:ilvl w:val="0"/>
          <w:numId w:val="2"/>
        </w:numPr>
        <w:tabs>
          <w:tab w:val="left" w:pos="4601"/>
        </w:tabs>
        <w:jc w:val="both"/>
        <w:rPr>
          <w:sz w:val="20"/>
          <w:lang w:val="es-ES"/>
        </w:rPr>
      </w:pPr>
      <w:r>
        <w:rPr>
          <w:sz w:val="20"/>
          <w:lang w:val="es-ES"/>
        </w:rPr>
        <w:t>D. Salazar, “Cálculo y Valoración actuarial de primas de seguros de vehículos en la Provincia del Guayas” (Tesis, Instituto de Ciencias Matemáticas, Escuela Superior Politécnica del Litoral, 2004)</w:t>
      </w:r>
    </w:p>
    <w:p w:rsidR="00736A70" w:rsidRDefault="00736A70">
      <w:pPr>
        <w:numPr>
          <w:ilvl w:val="0"/>
          <w:numId w:val="2"/>
        </w:numPr>
        <w:tabs>
          <w:tab w:val="left" w:pos="4601"/>
        </w:tabs>
        <w:jc w:val="both"/>
        <w:rPr>
          <w:sz w:val="20"/>
          <w:lang w:val="es-ES"/>
        </w:rPr>
      </w:pPr>
      <w:r>
        <w:rPr>
          <w:sz w:val="20"/>
          <w:lang w:val="es-ES"/>
        </w:rPr>
        <w:t xml:space="preserve">Jean Lemaire, </w:t>
      </w:r>
      <w:r>
        <w:rPr>
          <w:sz w:val="20"/>
          <w:u w:val="single"/>
          <w:lang w:val="es-ES"/>
        </w:rPr>
        <w:t>Automobile Insurance, Actuarial Models</w:t>
      </w:r>
      <w:r>
        <w:rPr>
          <w:sz w:val="20"/>
          <w:lang w:val="es-ES"/>
        </w:rPr>
        <w:t xml:space="preserve"> (Estados Unidos, Kluwer-Nijhoff Publishing, 1985)</w:t>
      </w:r>
    </w:p>
    <w:p w:rsidR="00736A70" w:rsidRDefault="00736A70">
      <w:pPr>
        <w:numPr>
          <w:ilvl w:val="0"/>
          <w:numId w:val="2"/>
        </w:numPr>
        <w:tabs>
          <w:tab w:val="left" w:pos="4601"/>
        </w:tabs>
        <w:jc w:val="both"/>
        <w:rPr>
          <w:sz w:val="20"/>
          <w:lang w:val="es-ES"/>
        </w:rPr>
      </w:pPr>
      <w:r>
        <w:rPr>
          <w:sz w:val="20"/>
          <w:lang w:val="es-ES"/>
        </w:rPr>
        <w:t xml:space="preserve">David Vera, David Vargas (2001), </w:t>
      </w:r>
      <w:r>
        <w:rPr>
          <w:sz w:val="20"/>
          <w:u w:val="single"/>
          <w:lang w:val="es-ES"/>
        </w:rPr>
        <w:t>Anuario 2000. Comisión de Tránsito de la Provincia del Guayas</w:t>
      </w:r>
      <w:r>
        <w:rPr>
          <w:sz w:val="20"/>
          <w:lang w:val="es-ES"/>
        </w:rPr>
        <w:t xml:space="preserve"> (Dirección de Ingeniería, Guayaquil, 2001)</w:t>
      </w:r>
    </w:p>
    <w:p w:rsidR="00736A70" w:rsidRDefault="00736A70">
      <w:pPr>
        <w:numPr>
          <w:ilvl w:val="0"/>
          <w:numId w:val="2"/>
        </w:numPr>
        <w:tabs>
          <w:tab w:val="left" w:pos="4601"/>
        </w:tabs>
        <w:jc w:val="both"/>
        <w:rPr>
          <w:sz w:val="20"/>
          <w:lang w:val="es-ES"/>
        </w:rPr>
      </w:pPr>
      <w:r>
        <w:rPr>
          <w:sz w:val="20"/>
          <w:lang w:val="es-ES"/>
        </w:rPr>
        <w:t xml:space="preserve">John E. Freund y Ronald E. Walpole, </w:t>
      </w:r>
      <w:r>
        <w:rPr>
          <w:sz w:val="20"/>
          <w:u w:val="single"/>
          <w:lang w:val="es-ES"/>
        </w:rPr>
        <w:t>Estadística matemática con aplicaciones</w:t>
      </w:r>
      <w:r>
        <w:rPr>
          <w:sz w:val="20"/>
          <w:lang w:val="es-ES"/>
        </w:rPr>
        <w:t xml:space="preserve"> (4ta.Edición, México, Prentice Hall, 1990)</w:t>
      </w:r>
    </w:p>
    <w:p w:rsidR="00736A70" w:rsidRDefault="00736A70">
      <w:pPr>
        <w:numPr>
          <w:ilvl w:val="0"/>
          <w:numId w:val="2"/>
        </w:numPr>
        <w:tabs>
          <w:tab w:val="left" w:pos="4601"/>
        </w:tabs>
        <w:jc w:val="both"/>
        <w:rPr>
          <w:sz w:val="20"/>
        </w:rPr>
      </w:pPr>
      <w:r>
        <w:rPr>
          <w:sz w:val="20"/>
        </w:rPr>
        <w:t>Jean Lemaire, “A comparative analysis of most European and Japanese Bonus Malus System”,</w:t>
      </w:r>
      <w:r>
        <w:rPr>
          <w:color w:val="000000"/>
          <w:sz w:val="20"/>
        </w:rPr>
        <w:t xml:space="preserve"> </w:t>
      </w:r>
      <w:r>
        <w:rPr>
          <w:sz w:val="20"/>
        </w:rPr>
        <w:t>The Journal of Risk and Insurance, 55 (1988), pp. 660–681</w:t>
      </w:r>
    </w:p>
    <w:p w:rsidR="00736A70" w:rsidRDefault="00736A70">
      <w:pPr>
        <w:numPr>
          <w:ilvl w:val="0"/>
          <w:numId w:val="2"/>
        </w:numPr>
        <w:tabs>
          <w:tab w:val="left" w:pos="4601"/>
        </w:tabs>
        <w:jc w:val="both"/>
        <w:rPr>
          <w:sz w:val="20"/>
          <w:lang w:val="es-ES"/>
        </w:rPr>
      </w:pPr>
      <w:r>
        <w:rPr>
          <w:sz w:val="20"/>
          <w:lang w:val="es-ES"/>
        </w:rPr>
        <w:t xml:space="preserve">William Mendenhall y Terry Sincich, </w:t>
      </w:r>
      <w:r>
        <w:rPr>
          <w:sz w:val="20"/>
          <w:u w:val="single"/>
          <w:lang w:val="es-ES"/>
        </w:rPr>
        <w:t>Probabilidad y Estadística para Ingeniería y Ciencias</w:t>
      </w:r>
      <w:r>
        <w:rPr>
          <w:sz w:val="20"/>
          <w:lang w:val="es-ES"/>
        </w:rPr>
        <w:t xml:space="preserve"> (4ta.Edición, Naucalpan de Juárez, Estado de México, Prentice-Hall Hispanoamericana S.A., 1997)</w:t>
      </w:r>
    </w:p>
    <w:sectPr w:rsidR="00736A70">
      <w:footerReference w:type="even" r:id="rId70"/>
      <w:footerReference w:type="default" r:id="rId71"/>
      <w:pgSz w:w="11906" w:h="16838" w:code="9"/>
      <w:pgMar w:top="1412" w:right="1140" w:bottom="1412" w:left="1712"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321D4B">
      <w:r>
        <w:separator/>
      </w:r>
    </w:p>
  </w:endnote>
  <w:endnote w:type="continuationSeparator" w:id="1">
    <w:p w:rsidR="00000000" w:rsidRDefault="00321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A70" w:rsidRDefault="00736A7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36A70" w:rsidRDefault="00736A7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A70" w:rsidRDefault="00736A70">
    <w:pPr>
      <w:pStyle w:val="Piedepgina"/>
      <w:framePr w:wrap="around" w:vAnchor="text" w:hAnchor="margin" w:xAlign="center" w:y="1"/>
      <w:rPr>
        <w:rStyle w:val="Nmerodepgina"/>
        <w:sz w:val="20"/>
      </w:rPr>
    </w:pPr>
    <w:r>
      <w:rPr>
        <w:rStyle w:val="Nmerodepgina"/>
        <w:sz w:val="20"/>
      </w:rPr>
      <w:fldChar w:fldCharType="begin"/>
    </w:r>
    <w:r>
      <w:rPr>
        <w:rStyle w:val="Nmerodepgina"/>
        <w:sz w:val="20"/>
      </w:rPr>
      <w:instrText xml:space="preserve">PAGE  </w:instrText>
    </w:r>
    <w:r>
      <w:rPr>
        <w:rStyle w:val="Nmerodepgina"/>
        <w:sz w:val="20"/>
      </w:rPr>
      <w:fldChar w:fldCharType="separate"/>
    </w:r>
    <w:r w:rsidR="00321D4B">
      <w:rPr>
        <w:rStyle w:val="Nmerodepgina"/>
        <w:noProof/>
        <w:sz w:val="20"/>
      </w:rPr>
      <w:t>10</w:t>
    </w:r>
    <w:r>
      <w:rPr>
        <w:rStyle w:val="Nmerodepgina"/>
        <w:sz w:val="20"/>
      </w:rPr>
      <w:fldChar w:fldCharType="end"/>
    </w:r>
  </w:p>
  <w:p w:rsidR="00736A70" w:rsidRDefault="00736A7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321D4B">
      <w:r>
        <w:separator/>
      </w:r>
    </w:p>
  </w:footnote>
  <w:footnote w:type="continuationSeparator" w:id="1">
    <w:p w:rsidR="00000000" w:rsidRDefault="00321D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A69B3"/>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3240"/>
        </w:tabs>
        <w:ind w:left="280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nsid w:val="6E2310C4"/>
    <w:multiLevelType w:val="hybridMultilevel"/>
    <w:tmpl w:val="BA001B2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6EFA3826"/>
    <w:multiLevelType w:val="hybridMultilevel"/>
    <w:tmpl w:val="81C257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D72CE9"/>
    <w:rsid w:val="0016583D"/>
    <w:rsid w:val="0018701B"/>
    <w:rsid w:val="001A3758"/>
    <w:rsid w:val="00321D4B"/>
    <w:rsid w:val="00736A70"/>
    <w:rsid w:val="00763E55"/>
    <w:rsid w:val="008C2EC0"/>
    <w:rsid w:val="00B65E19"/>
    <w:rsid w:val="00D72C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s-ES"/>
    </w:rPr>
  </w:style>
  <w:style w:type="paragraph" w:styleId="Ttulo1">
    <w:name w:val="heading 1"/>
    <w:basedOn w:val="Normal"/>
    <w:next w:val="Normal"/>
    <w:qFormat/>
    <w:pPr>
      <w:keepNext/>
      <w:jc w:val="center"/>
      <w:outlineLvl w:val="0"/>
    </w:pPr>
    <w:rPr>
      <w:b/>
      <w:sz w:val="20"/>
      <w:szCs w:val="20"/>
      <w:lang w:val="es-MX"/>
    </w:rPr>
  </w:style>
  <w:style w:type="paragraph" w:styleId="Ttulo2">
    <w:name w:val="heading 2"/>
    <w:basedOn w:val="Normal"/>
    <w:next w:val="Normal"/>
    <w:qFormat/>
    <w:pPr>
      <w:keepNext/>
      <w:jc w:val="center"/>
      <w:outlineLvl w:val="1"/>
    </w:pPr>
    <w:rPr>
      <w:b/>
      <w:bCs/>
      <w:lang w:val="es-ES"/>
    </w:rPr>
  </w:style>
  <w:style w:type="paragraph" w:styleId="Ttulo5">
    <w:name w:val="heading 5"/>
    <w:basedOn w:val="Normal"/>
    <w:next w:val="Normal"/>
    <w:qFormat/>
    <w:pPr>
      <w:keepNext/>
      <w:jc w:val="both"/>
      <w:outlineLvl w:val="4"/>
    </w:pPr>
    <w:rPr>
      <w:b/>
      <w:bCs/>
      <w:sz w:val="20"/>
      <w:lang w:val="es-EC"/>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abladeilustraciones">
    <w:name w:val="table of figures"/>
    <w:aliases w:val="Tabla de figuras"/>
    <w:basedOn w:val="Normal"/>
    <w:next w:val="Normal"/>
    <w:autoRedefine/>
    <w:semiHidden/>
    <w:pPr>
      <w:ind w:left="400" w:hanging="400"/>
    </w:pPr>
    <w:rPr>
      <w:rFonts w:ascii="Arial" w:hAnsi="Arial"/>
      <w:szCs w:val="20"/>
      <w:lang w:val="es-EC"/>
    </w:rPr>
  </w:style>
  <w:style w:type="paragraph" w:styleId="Textoindependiente">
    <w:name w:val="Body Text"/>
    <w:basedOn w:val="Normal"/>
    <w:pPr>
      <w:jc w:val="both"/>
    </w:pPr>
    <w:rPr>
      <w:lang w:val="es-ES"/>
    </w:rPr>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800080"/>
      <w:u w:val="single"/>
    </w:rPr>
  </w:style>
  <w:style w:type="paragraph" w:styleId="Textoindependiente2">
    <w:name w:val="Body Text 2"/>
    <w:basedOn w:val="Normal"/>
    <w:pPr>
      <w:jc w:val="both"/>
    </w:pPr>
    <w:rPr>
      <w:bCs/>
      <w:sz w:val="20"/>
      <w:lang w:val="es-MX"/>
    </w:rPr>
  </w:style>
  <w:style w:type="paragraph" w:styleId="Textoindependiente3">
    <w:name w:val="Body Text 3"/>
    <w:basedOn w:val="Normal"/>
    <w:pPr>
      <w:spacing w:line="480" w:lineRule="auto"/>
    </w:pPr>
    <w:rPr>
      <w:sz w:val="20"/>
      <w:lang w:val="es-ES"/>
    </w:rPr>
  </w:style>
  <w:style w:type="paragraph" w:styleId="NormalWeb">
    <w:name w:val="Normal (Web)"/>
    <w:basedOn w:val="Normal"/>
    <w:pPr>
      <w:spacing w:before="100" w:after="100"/>
    </w:pPr>
    <w:rPr>
      <w:rFonts w:ascii="Arial Unicode MS" w:eastAsia="Arial Unicode MS" w:hAnsi="Arial Unicode MS"/>
      <w:szCs w:val="20"/>
      <w:lang w:val="es-ES"/>
    </w:rPr>
  </w:style>
  <w:style w:type="paragraph" w:styleId="Piedepgina">
    <w:name w:val="footer"/>
    <w:basedOn w:val="Normal"/>
    <w:pPr>
      <w:tabs>
        <w:tab w:val="center" w:pos="4153"/>
        <w:tab w:val="right" w:pos="8306"/>
      </w:tabs>
    </w:pPr>
  </w:style>
  <w:style w:type="character" w:styleId="Nmerodepgina">
    <w:name w:val="page number"/>
    <w:basedOn w:val="Fuentedeprrafopredeter"/>
  </w:style>
  <w:style w:type="paragraph" w:styleId="Encabezado">
    <w:name w:val="header"/>
    <w:basedOn w:val="Normal"/>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3.bin"/><Relationship Id="rId21" Type="http://schemas.openxmlformats.org/officeDocument/2006/relationships/image" Target="media/image8.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1.wmf"/><Relationship Id="rId50" Type="http://schemas.openxmlformats.org/officeDocument/2006/relationships/image" Target="media/image23.wmf"/><Relationship Id="rId55" Type="http://schemas.openxmlformats.org/officeDocument/2006/relationships/oleObject" Target="embeddings/oleObject21.bin"/><Relationship Id="rId63" Type="http://schemas.openxmlformats.org/officeDocument/2006/relationships/image" Target="media/image29.wmf"/><Relationship Id="rId68" Type="http://schemas.openxmlformats.org/officeDocument/2006/relationships/oleObject" Target="embeddings/oleObject27.bin"/><Relationship Id="rId7" Type="http://schemas.openxmlformats.org/officeDocument/2006/relationships/hyperlink" Target="mailto:dsalazar81@hotmail.com" TargetMode="External"/><Relationship Id="rId71"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12.wmf"/><Relationship Id="rId11" Type="http://schemas.openxmlformats.org/officeDocument/2006/relationships/image" Target="media/image2.wmf"/><Relationship Id="rId24" Type="http://schemas.openxmlformats.org/officeDocument/2006/relationships/oleObject" Target="embeddings/oleObject6.bin"/><Relationship Id="rId32" Type="http://schemas.openxmlformats.org/officeDocument/2006/relationships/image" Target="media/image14.wmf"/><Relationship Id="rId37" Type="http://schemas.openxmlformats.org/officeDocument/2006/relationships/oleObject" Target="embeddings/oleObject12.bin"/><Relationship Id="rId40" Type="http://schemas.openxmlformats.org/officeDocument/2006/relationships/image" Target="media/image18.wmf"/><Relationship Id="rId45" Type="http://schemas.openxmlformats.org/officeDocument/2006/relationships/image" Target="media/image20.wmf"/><Relationship Id="rId53" Type="http://schemas.openxmlformats.org/officeDocument/2006/relationships/oleObject" Target="embeddings/oleObject20.bin"/><Relationship Id="rId58" Type="http://schemas.openxmlformats.org/officeDocument/2006/relationships/chart" Target="charts/chart3.xml"/><Relationship Id="rId66" Type="http://schemas.openxmlformats.org/officeDocument/2006/relationships/oleObject" Target="embeddings/oleObject26.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oleObject" Target="embeddings/oleObject22.bin"/><Relationship Id="rId61" Type="http://schemas.openxmlformats.org/officeDocument/2006/relationships/image" Target="media/image28.wmf"/><Relationship Id="rId10" Type="http://schemas.openxmlformats.org/officeDocument/2006/relationships/image" Target="media/image1.wm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6.bin"/><Relationship Id="rId52" Type="http://schemas.openxmlformats.org/officeDocument/2006/relationships/image" Target="media/image24.wmf"/><Relationship Id="rId60" Type="http://schemas.openxmlformats.org/officeDocument/2006/relationships/oleObject" Target="embeddings/oleObject23.bin"/><Relationship Id="rId65" Type="http://schemas.openxmlformats.org/officeDocument/2006/relationships/image" Target="media/image30.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8.bin"/><Relationship Id="rId56" Type="http://schemas.openxmlformats.org/officeDocument/2006/relationships/image" Target="media/image26.wmf"/><Relationship Id="rId64" Type="http://schemas.openxmlformats.org/officeDocument/2006/relationships/oleObject" Target="embeddings/oleObject25.bin"/><Relationship Id="rId69" Type="http://schemas.openxmlformats.org/officeDocument/2006/relationships/chart" Target="charts/chart4.xml"/><Relationship Id="rId8" Type="http://schemas.openxmlformats.org/officeDocument/2006/relationships/chart" Target="charts/chart1.xml"/><Relationship Id="rId51" Type="http://schemas.openxmlformats.org/officeDocument/2006/relationships/oleObject" Target="embeddings/oleObject19.bin"/><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0.bin"/><Relationship Id="rId38" Type="http://schemas.openxmlformats.org/officeDocument/2006/relationships/image" Target="media/image17.wmf"/><Relationship Id="rId46" Type="http://schemas.openxmlformats.org/officeDocument/2006/relationships/oleObject" Target="embeddings/oleObject17.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4.bin"/><Relationship Id="rId41" Type="http://schemas.openxmlformats.org/officeDocument/2006/relationships/oleObject" Target="embeddings/oleObject14.bin"/><Relationship Id="rId54" Type="http://schemas.openxmlformats.org/officeDocument/2006/relationships/image" Target="media/image25.wmf"/><Relationship Id="rId62" Type="http://schemas.openxmlformats.org/officeDocument/2006/relationships/oleObject" Target="embeddings/oleObject24.bin"/><Relationship Id="rId7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perspective val="0"/>
    </c:view3D>
    <c:plotArea>
      <c:layout>
        <c:manualLayout>
          <c:layoutTarget val="inner"/>
          <c:xMode val="edge"/>
          <c:yMode val="edge"/>
          <c:x val="0.16358024691358022"/>
          <c:y val="0.24183006535947715"/>
          <c:w val="0.72222222222222221"/>
          <c:h val="0.60784313725490202"/>
        </c:manualLayout>
      </c:layout>
      <c:pie3DChart>
        <c:varyColors val="1"/>
        <c:ser>
          <c:idx val="0"/>
          <c:order val="0"/>
          <c:spPr>
            <a:solidFill>
              <a:srgbClr val="9999FF"/>
            </a:solidFill>
            <a:ln w="13460">
              <a:solidFill>
                <a:srgbClr val="000000"/>
              </a:solidFill>
              <a:prstDash val="solid"/>
            </a:ln>
          </c:spPr>
          <c:explosion val="22"/>
          <c:dPt>
            <c:idx val="1"/>
            <c:spPr>
              <a:solidFill>
                <a:srgbClr val="993366"/>
              </a:solidFill>
              <a:ln w="13460">
                <a:solidFill>
                  <a:srgbClr val="000000"/>
                </a:solidFill>
                <a:prstDash val="solid"/>
              </a:ln>
            </c:spPr>
          </c:dPt>
          <c:dPt>
            <c:idx val="2"/>
            <c:spPr>
              <a:solidFill>
                <a:srgbClr val="FFFFCC"/>
              </a:solidFill>
              <a:ln w="13460">
                <a:solidFill>
                  <a:srgbClr val="000000"/>
                </a:solidFill>
                <a:prstDash val="solid"/>
              </a:ln>
            </c:spPr>
          </c:dPt>
          <c:dLbls>
            <c:numFmt formatCode="0%" sourceLinked="0"/>
            <c:spPr>
              <a:noFill/>
              <a:ln w="26920">
                <a:noFill/>
              </a:ln>
            </c:spPr>
            <c:txPr>
              <a:bodyPr/>
              <a:lstStyle/>
              <a:p>
                <a:pPr>
                  <a:defRPr sz="609" b="0" i="0" u="none" strike="noStrike" baseline="0">
                    <a:solidFill>
                      <a:srgbClr val="000000"/>
                    </a:solidFill>
                    <a:latin typeface="Arial"/>
                    <a:ea typeface="Arial"/>
                    <a:cs typeface="Arial"/>
                  </a:defRPr>
                </a:pPr>
                <a:endParaRPr lang="en-US"/>
              </a:p>
            </c:txPr>
            <c:showCatName val="1"/>
            <c:showPercent val="1"/>
          </c:dLbls>
          <c:cat>
            <c:strRef>
              <c:f>Hoja1!$C$5:$C$7</c:f>
              <c:strCache>
                <c:ptCount val="3"/>
                <c:pt idx="0">
                  <c:v>Daño Leve</c:v>
                </c:pt>
                <c:pt idx="1">
                  <c:v>Daño Grave</c:v>
                </c:pt>
                <c:pt idx="2">
                  <c:v>Destrozo</c:v>
                </c:pt>
              </c:strCache>
            </c:strRef>
          </c:cat>
          <c:val>
            <c:numRef>
              <c:f>Hoja1!$E$5:$E$7</c:f>
              <c:numCache>
                <c:formatCode>General</c:formatCode>
                <c:ptCount val="3"/>
                <c:pt idx="0">
                  <c:v>71.5</c:v>
                </c:pt>
                <c:pt idx="1">
                  <c:v>26.3</c:v>
                </c:pt>
                <c:pt idx="2">
                  <c:v>2.2000000000000002</c:v>
                </c:pt>
              </c:numCache>
            </c:numRef>
          </c:val>
        </c:ser>
        <c:dLbls>
          <c:showCatName val="1"/>
          <c:showPercent val="1"/>
        </c:dLbls>
      </c:pie3DChart>
      <c:spPr>
        <a:noFill/>
        <a:ln w="26920">
          <a:noFill/>
        </a:ln>
      </c:spPr>
    </c:plotArea>
    <c:plotVisOnly val="1"/>
    <c:dispBlanksAs val="zero"/>
  </c:chart>
  <c:spPr>
    <a:solidFill>
      <a:srgbClr val="FFFFFF"/>
    </a:solidFill>
    <a:ln>
      <a:noFill/>
    </a:ln>
  </c:spPr>
  <c:txPr>
    <a:bodyPr/>
    <a:lstStyle/>
    <a:p>
      <a:pPr>
        <a:defRPr sz="609" b="0"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0144927536231886"/>
          <c:y val="0.13157894736842107"/>
          <c:w val="0.42608695652173911"/>
          <c:h val="0.77368421052631586"/>
        </c:manualLayout>
      </c:layout>
      <c:pieChart>
        <c:varyColors val="1"/>
        <c:ser>
          <c:idx val="0"/>
          <c:order val="0"/>
          <c:spPr>
            <a:solidFill>
              <a:srgbClr val="9999FF"/>
            </a:solidFill>
            <a:ln w="14125">
              <a:solidFill>
                <a:srgbClr val="000000"/>
              </a:solidFill>
              <a:prstDash val="solid"/>
            </a:ln>
          </c:spPr>
          <c:explosion val="52"/>
          <c:dPt>
            <c:idx val="1"/>
            <c:spPr>
              <a:solidFill>
                <a:srgbClr val="993366"/>
              </a:solidFill>
              <a:ln w="14125">
                <a:solidFill>
                  <a:srgbClr val="000000"/>
                </a:solidFill>
                <a:prstDash val="solid"/>
              </a:ln>
            </c:spPr>
          </c:dPt>
          <c:dPt>
            <c:idx val="2"/>
            <c:spPr>
              <a:solidFill>
                <a:srgbClr val="FFFFCC"/>
              </a:solidFill>
              <a:ln w="14125">
                <a:solidFill>
                  <a:srgbClr val="000000"/>
                </a:solidFill>
                <a:prstDash val="solid"/>
              </a:ln>
            </c:spPr>
          </c:dPt>
          <c:dPt>
            <c:idx val="3"/>
            <c:spPr>
              <a:solidFill>
                <a:srgbClr val="CCFFFF"/>
              </a:solidFill>
              <a:ln w="14125">
                <a:solidFill>
                  <a:srgbClr val="000000"/>
                </a:solidFill>
                <a:prstDash val="solid"/>
              </a:ln>
            </c:spPr>
          </c:dPt>
          <c:dPt>
            <c:idx val="4"/>
            <c:spPr>
              <a:solidFill>
                <a:srgbClr val="660066"/>
              </a:solidFill>
              <a:ln w="14125">
                <a:solidFill>
                  <a:srgbClr val="000000"/>
                </a:solidFill>
                <a:prstDash val="solid"/>
              </a:ln>
            </c:spPr>
          </c:dPt>
          <c:dLbls>
            <c:numFmt formatCode="0%" sourceLinked="0"/>
            <c:spPr>
              <a:noFill/>
              <a:ln w="28251">
                <a:noFill/>
              </a:ln>
            </c:spPr>
            <c:txPr>
              <a:bodyPr/>
              <a:lstStyle/>
              <a:p>
                <a:pPr>
                  <a:defRPr sz="556" b="0" i="0" u="none" strike="noStrike" baseline="0">
                    <a:solidFill>
                      <a:srgbClr val="000000"/>
                    </a:solidFill>
                    <a:latin typeface="Arial"/>
                    <a:ea typeface="Arial"/>
                    <a:cs typeface="Arial"/>
                  </a:defRPr>
                </a:pPr>
                <a:endParaRPr lang="en-US"/>
              </a:p>
            </c:txPr>
            <c:showPercent val="1"/>
            <c:showLeaderLines val="1"/>
          </c:dLbls>
          <c:cat>
            <c:strRef>
              <c:f>Hoja2!$B$4:$B$8</c:f>
              <c:strCache>
                <c:ptCount val="5"/>
                <c:pt idx="0">
                  <c:v>Estado físico del conductor</c:v>
                </c:pt>
                <c:pt idx="1">
                  <c:v>Factores internos del conductor</c:v>
                </c:pt>
                <c:pt idx="2">
                  <c:v>Desobediencia del Conductor</c:v>
                </c:pt>
                <c:pt idx="3">
                  <c:v>Factores externos al conductor</c:v>
                </c:pt>
                <c:pt idx="4">
                  <c:v>Factores del vehículo</c:v>
                </c:pt>
              </c:strCache>
            </c:strRef>
          </c:cat>
          <c:val>
            <c:numRef>
              <c:f>Hoja2!$D$4:$D$8</c:f>
              <c:numCache>
                <c:formatCode>General</c:formatCode>
                <c:ptCount val="5"/>
                <c:pt idx="0">
                  <c:v>7.1</c:v>
                </c:pt>
                <c:pt idx="1">
                  <c:v>23.4</c:v>
                </c:pt>
                <c:pt idx="2">
                  <c:v>65.400000000000006</c:v>
                </c:pt>
                <c:pt idx="3">
                  <c:v>1.7</c:v>
                </c:pt>
                <c:pt idx="4">
                  <c:v>2.5</c:v>
                </c:pt>
              </c:numCache>
            </c:numRef>
          </c:val>
        </c:ser>
        <c:dLbls>
          <c:showPercent val="1"/>
        </c:dLbls>
        <c:firstSliceAng val="0"/>
      </c:pieChart>
      <c:spPr>
        <a:noFill/>
        <a:ln w="28251">
          <a:noFill/>
        </a:ln>
      </c:spPr>
    </c:plotArea>
    <c:legend>
      <c:legendPos val="r"/>
      <c:layout>
        <c:manualLayout>
          <c:xMode val="edge"/>
          <c:yMode val="edge"/>
          <c:x val="0.63478260869565228"/>
          <c:y val="0.16315789473684211"/>
          <c:w val="0.30724637681159422"/>
          <c:h val="0.66315789473684217"/>
        </c:manualLayout>
      </c:layout>
      <c:spPr>
        <a:solidFill>
          <a:srgbClr val="FFFFFF"/>
        </a:solidFill>
        <a:ln w="3531">
          <a:solidFill>
            <a:srgbClr val="000000"/>
          </a:solidFill>
          <a:prstDash val="solid"/>
        </a:ln>
      </c:spPr>
      <c:txPr>
        <a:bodyPr/>
        <a:lstStyle/>
        <a:p>
          <a:pPr>
            <a:defRPr sz="662" b="0" i="0" u="none" strike="noStrike" baseline="0">
              <a:solidFill>
                <a:srgbClr val="000000"/>
              </a:solidFill>
              <a:latin typeface="Arial"/>
              <a:ea typeface="Arial"/>
              <a:cs typeface="Arial"/>
            </a:defRPr>
          </a:pPr>
          <a:endParaRPr lang="en-US"/>
        </a:p>
      </c:txPr>
    </c:legend>
    <c:plotVisOnly val="1"/>
    <c:dispBlanksAs val="zero"/>
  </c:chart>
  <c:spPr>
    <a:solidFill>
      <a:srgbClr val="FFFFFF"/>
    </a:solidFill>
    <a:ln>
      <a:noFill/>
    </a:ln>
  </c:spPr>
  <c:txPr>
    <a:bodyPr/>
    <a:lstStyle/>
    <a:p>
      <a:pPr>
        <a:defRPr sz="890" b="0" i="0" u="none" strike="noStrike" baseline="0">
          <a:solidFill>
            <a:srgbClr val="000000"/>
          </a:solidFill>
          <a:latin typeface="Arial"/>
          <a:ea typeface="Arial"/>
          <a:cs typeface="Arial"/>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3786008230452676"/>
          <c:y val="8.2677165354330728E-2"/>
          <c:w val="0.70576131687242794"/>
          <c:h val="0.6614173228346456"/>
        </c:manualLayout>
      </c:layout>
      <c:lineChart>
        <c:grouping val="standard"/>
        <c:ser>
          <c:idx val="0"/>
          <c:order val="0"/>
          <c:tx>
            <c:v>K=0</c:v>
          </c:tx>
          <c:spPr>
            <a:ln w="25348">
              <a:solidFill>
                <a:srgbClr val="000080"/>
              </a:solidFill>
              <a:prstDash val="solid"/>
            </a:ln>
          </c:spPr>
          <c:marker>
            <c:symbol val="plus"/>
            <c:size val="3"/>
            <c:spPr>
              <a:noFill/>
              <a:ln>
                <a:solidFill>
                  <a:srgbClr val="000080"/>
                </a:solidFill>
                <a:prstDash val="solid"/>
              </a:ln>
            </c:spPr>
          </c:marker>
          <c:cat>
            <c:numRef>
              <c:f>Hoja3!$B$3:$B$37</c:f>
              <c:numCache>
                <c:formatCode>General</c:formatCode>
                <c:ptCount val="3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numCache>
            </c:numRef>
          </c:cat>
          <c:val>
            <c:numRef>
              <c:f>Hoja3!$C$3:$C$37</c:f>
              <c:numCache>
                <c:formatCode>General</c:formatCode>
                <c:ptCount val="35"/>
                <c:pt idx="0">
                  <c:v>100</c:v>
                </c:pt>
                <c:pt idx="1">
                  <c:v>97.775999999999982</c:v>
                </c:pt>
                <c:pt idx="2">
                  <c:v>95.647999999999996</c:v>
                </c:pt>
                <c:pt idx="3">
                  <c:v>93.611999999999995</c:v>
                </c:pt>
                <c:pt idx="4">
                  <c:v>91.66</c:v>
                </c:pt>
                <c:pt idx="5">
                  <c:v>89.787999999999997</c:v>
                </c:pt>
                <c:pt idx="6">
                  <c:v>87.991000000000014</c:v>
                </c:pt>
                <c:pt idx="7">
                  <c:v>86.265000000000001</c:v>
                </c:pt>
                <c:pt idx="8">
                  <c:v>84.60499999999999</c:v>
                </c:pt>
                <c:pt idx="9">
                  <c:v>83.007999999999996</c:v>
                </c:pt>
                <c:pt idx="10">
                  <c:v>81.468999999999994</c:v>
                </c:pt>
                <c:pt idx="11">
                  <c:v>79.986999999999995</c:v>
                </c:pt>
                <c:pt idx="12">
                  <c:v>78.557999999999993</c:v>
                </c:pt>
                <c:pt idx="13">
                  <c:v>77.178999999999988</c:v>
                </c:pt>
                <c:pt idx="14">
                  <c:v>75.848000000000013</c:v>
                </c:pt>
                <c:pt idx="15">
                  <c:v>74.561000000000007</c:v>
                </c:pt>
                <c:pt idx="16">
                  <c:v>73.318000000000012</c:v>
                </c:pt>
                <c:pt idx="17">
                  <c:v>72.114999999999995</c:v>
                </c:pt>
                <c:pt idx="18">
                  <c:v>70.950999999999993</c:v>
                </c:pt>
                <c:pt idx="19">
                  <c:v>69.824999999999989</c:v>
                </c:pt>
                <c:pt idx="20">
                  <c:v>68.733000000000004</c:v>
                </c:pt>
                <c:pt idx="21">
                  <c:v>67.674999999999983</c:v>
                </c:pt>
                <c:pt idx="22">
                  <c:v>66.649000000000001</c:v>
                </c:pt>
                <c:pt idx="23">
                  <c:v>65.653999999999982</c:v>
                </c:pt>
                <c:pt idx="24">
                  <c:v>64.687999999999988</c:v>
                </c:pt>
                <c:pt idx="25">
                  <c:v>63.75</c:v>
                </c:pt>
                <c:pt idx="26">
                  <c:v>62.839000000000006</c:v>
                </c:pt>
                <c:pt idx="27">
                  <c:v>61.952999999999996</c:v>
                </c:pt>
                <c:pt idx="28">
                  <c:v>61.092000000000006</c:v>
                </c:pt>
                <c:pt idx="29">
                  <c:v>60.255000000000003</c:v>
                </c:pt>
                <c:pt idx="30">
                  <c:v>59.44</c:v>
                </c:pt>
                <c:pt idx="31">
                  <c:v>58.647000000000006</c:v>
                </c:pt>
                <c:pt idx="32">
                  <c:v>57.875</c:v>
                </c:pt>
                <c:pt idx="33">
                  <c:v>57.123000000000012</c:v>
                </c:pt>
                <c:pt idx="34">
                  <c:v>56.391000000000005</c:v>
                </c:pt>
              </c:numCache>
            </c:numRef>
          </c:val>
        </c:ser>
        <c:ser>
          <c:idx val="1"/>
          <c:order val="1"/>
          <c:tx>
            <c:v>K=1</c:v>
          </c:tx>
          <c:spPr>
            <a:ln w="25348">
              <a:solidFill>
                <a:srgbClr val="FF00FF"/>
              </a:solidFill>
              <a:prstDash val="solid"/>
            </a:ln>
          </c:spPr>
          <c:marker>
            <c:symbol val="star"/>
            <c:size val="3"/>
            <c:spPr>
              <a:noFill/>
              <a:ln>
                <a:solidFill>
                  <a:srgbClr val="FF00FF"/>
                </a:solidFill>
                <a:prstDash val="solid"/>
              </a:ln>
            </c:spPr>
          </c:marker>
          <c:cat>
            <c:numRef>
              <c:f>Hoja3!$B$3:$B$37</c:f>
              <c:numCache>
                <c:formatCode>General</c:formatCode>
                <c:ptCount val="3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numCache>
            </c:numRef>
          </c:cat>
          <c:val>
            <c:numRef>
              <c:f>Hoja3!$D$4:$D$37</c:f>
              <c:numCache>
                <c:formatCode>General</c:formatCode>
                <c:ptCount val="34"/>
                <c:pt idx="0">
                  <c:v>160.18</c:v>
                </c:pt>
                <c:pt idx="1">
                  <c:v>156.69499999999999</c:v>
                </c:pt>
                <c:pt idx="2">
                  <c:v>153.35800000000003</c:v>
                </c:pt>
                <c:pt idx="3">
                  <c:v>150.161</c:v>
                </c:pt>
                <c:pt idx="4">
                  <c:v>147.09399999999999</c:v>
                </c:pt>
                <c:pt idx="5">
                  <c:v>144.15</c:v>
                </c:pt>
                <c:pt idx="6">
                  <c:v>141.32200000000003</c:v>
                </c:pt>
                <c:pt idx="7">
                  <c:v>138.60299999999998</c:v>
                </c:pt>
                <c:pt idx="8">
                  <c:v>135.98600000000002</c:v>
                </c:pt>
                <c:pt idx="9">
                  <c:v>133.46600000000001</c:v>
                </c:pt>
                <c:pt idx="10">
                  <c:v>131.03800000000001</c:v>
                </c:pt>
                <c:pt idx="11">
                  <c:v>128.697</c:v>
                </c:pt>
                <c:pt idx="12">
                  <c:v>126.43700000000001</c:v>
                </c:pt>
                <c:pt idx="13">
                  <c:v>124.256</c:v>
                </c:pt>
                <c:pt idx="14">
                  <c:v>122.149</c:v>
                </c:pt>
                <c:pt idx="15">
                  <c:v>120.11199999999999</c:v>
                </c:pt>
                <c:pt idx="16">
                  <c:v>118.142</c:v>
                </c:pt>
                <c:pt idx="17">
                  <c:v>116.235</c:v>
                </c:pt>
                <c:pt idx="18">
                  <c:v>114.389</c:v>
                </c:pt>
                <c:pt idx="19">
                  <c:v>112.601</c:v>
                </c:pt>
                <c:pt idx="20">
                  <c:v>110.867</c:v>
                </c:pt>
                <c:pt idx="21">
                  <c:v>109.187</c:v>
                </c:pt>
                <c:pt idx="22">
                  <c:v>107.556</c:v>
                </c:pt>
                <c:pt idx="23">
                  <c:v>105.974</c:v>
                </c:pt>
                <c:pt idx="24">
                  <c:v>104.43700000000001</c:v>
                </c:pt>
                <c:pt idx="25">
                  <c:v>102.94400000000002</c:v>
                </c:pt>
                <c:pt idx="26">
                  <c:v>101.49400000000001</c:v>
                </c:pt>
                <c:pt idx="27">
                  <c:v>100.083</c:v>
                </c:pt>
                <c:pt idx="28">
                  <c:v>98.712000000000003</c:v>
                </c:pt>
                <c:pt idx="29">
                  <c:v>97.376999999999981</c:v>
                </c:pt>
                <c:pt idx="30">
                  <c:v>96.077999999999989</c:v>
                </c:pt>
                <c:pt idx="31">
                  <c:v>94.813000000000002</c:v>
                </c:pt>
                <c:pt idx="32">
                  <c:v>93.581999999999994</c:v>
                </c:pt>
                <c:pt idx="33">
                  <c:v>92.381</c:v>
                </c:pt>
              </c:numCache>
            </c:numRef>
          </c:val>
        </c:ser>
        <c:ser>
          <c:idx val="2"/>
          <c:order val="2"/>
          <c:tx>
            <c:v>k=2</c:v>
          </c:tx>
          <c:spPr>
            <a:ln w="12674">
              <a:solidFill>
                <a:srgbClr val="FFFF00"/>
              </a:solidFill>
              <a:prstDash val="solid"/>
            </a:ln>
          </c:spPr>
          <c:marker>
            <c:symbol val="none"/>
          </c:marker>
          <c:cat>
            <c:numRef>
              <c:f>Hoja3!$B$3:$B$37</c:f>
              <c:numCache>
                <c:formatCode>General</c:formatCode>
                <c:ptCount val="3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numCache>
            </c:numRef>
          </c:cat>
          <c:val>
            <c:numRef>
              <c:f>Hoja3!$E$4:$E$37</c:f>
              <c:numCache>
                <c:formatCode>General</c:formatCode>
                <c:ptCount val="34"/>
                <c:pt idx="0">
                  <c:v>222.584</c:v>
                </c:pt>
                <c:pt idx="1">
                  <c:v>217.74099999999999</c:v>
                </c:pt>
                <c:pt idx="2">
                  <c:v>213.10499999999999</c:v>
                </c:pt>
                <c:pt idx="3">
                  <c:v>208.66200000000001</c:v>
                </c:pt>
                <c:pt idx="4">
                  <c:v>204.40100000000001</c:v>
                </c:pt>
                <c:pt idx="5">
                  <c:v>200.31</c:v>
                </c:pt>
                <c:pt idx="6">
                  <c:v>196.37900000000002</c:v>
                </c:pt>
                <c:pt idx="7">
                  <c:v>192.601</c:v>
                </c:pt>
                <c:pt idx="8">
                  <c:v>188.964</c:v>
                </c:pt>
                <c:pt idx="9">
                  <c:v>185.46300000000002</c:v>
                </c:pt>
                <c:pt idx="10">
                  <c:v>182.089</c:v>
                </c:pt>
                <c:pt idx="11">
                  <c:v>178.83500000000001</c:v>
                </c:pt>
                <c:pt idx="12">
                  <c:v>175.696</c:v>
                </c:pt>
                <c:pt idx="13">
                  <c:v>172.66499999999999</c:v>
                </c:pt>
                <c:pt idx="14">
                  <c:v>169.73599999999999</c:v>
                </c:pt>
                <c:pt idx="15">
                  <c:v>166.90600000000001</c:v>
                </c:pt>
                <c:pt idx="16">
                  <c:v>164.16800000000001</c:v>
                </c:pt>
                <c:pt idx="17">
                  <c:v>161.51899999999998</c:v>
                </c:pt>
                <c:pt idx="18">
                  <c:v>158.953</c:v>
                </c:pt>
                <c:pt idx="19">
                  <c:v>156.46800000000002</c:v>
                </c:pt>
                <c:pt idx="20">
                  <c:v>154.06</c:v>
                </c:pt>
                <c:pt idx="21">
                  <c:v>151.72399999999999</c:v>
                </c:pt>
                <c:pt idx="22">
                  <c:v>149.459</c:v>
                </c:pt>
                <c:pt idx="23">
                  <c:v>147.26</c:v>
                </c:pt>
                <c:pt idx="24">
                  <c:v>145.124</c:v>
                </c:pt>
                <c:pt idx="25">
                  <c:v>143.05000000000001</c:v>
                </c:pt>
                <c:pt idx="26">
                  <c:v>141.03399999999999</c:v>
                </c:pt>
                <c:pt idx="27">
                  <c:v>139.07499999999999</c:v>
                </c:pt>
                <c:pt idx="28">
                  <c:v>137.16899999999998</c:v>
                </c:pt>
                <c:pt idx="29">
                  <c:v>135.31399999999999</c:v>
                </c:pt>
                <c:pt idx="30">
                  <c:v>133.50900000000001</c:v>
                </c:pt>
                <c:pt idx="31">
                  <c:v>131.75200000000001</c:v>
                </c:pt>
                <c:pt idx="32">
                  <c:v>130.04</c:v>
                </c:pt>
                <c:pt idx="33">
                  <c:v>128.37200000000001</c:v>
                </c:pt>
              </c:numCache>
            </c:numRef>
          </c:val>
        </c:ser>
        <c:ser>
          <c:idx val="3"/>
          <c:order val="3"/>
          <c:tx>
            <c:v>k=3</c:v>
          </c:tx>
          <c:spPr>
            <a:ln w="25348">
              <a:solidFill>
                <a:srgbClr val="00FFFF"/>
              </a:solidFill>
              <a:prstDash val="solid"/>
            </a:ln>
          </c:spPr>
          <c:marker>
            <c:symbol val="diamond"/>
            <c:size val="3"/>
            <c:spPr>
              <a:noFill/>
              <a:ln>
                <a:solidFill>
                  <a:srgbClr val="00FFFF"/>
                </a:solidFill>
                <a:prstDash val="solid"/>
              </a:ln>
            </c:spPr>
          </c:marker>
          <c:cat>
            <c:numRef>
              <c:f>Hoja3!$B$3:$B$37</c:f>
              <c:numCache>
                <c:formatCode>General</c:formatCode>
                <c:ptCount val="3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numCache>
            </c:numRef>
          </c:cat>
          <c:val>
            <c:numRef>
              <c:f>Hoja3!$E$4:$E$37</c:f>
              <c:numCache>
                <c:formatCode>General</c:formatCode>
                <c:ptCount val="34"/>
                <c:pt idx="0">
                  <c:v>222.584</c:v>
                </c:pt>
                <c:pt idx="1">
                  <c:v>217.74099999999999</c:v>
                </c:pt>
                <c:pt idx="2">
                  <c:v>213.10499999999999</c:v>
                </c:pt>
                <c:pt idx="3">
                  <c:v>208.66200000000001</c:v>
                </c:pt>
                <c:pt idx="4">
                  <c:v>204.40100000000001</c:v>
                </c:pt>
                <c:pt idx="5">
                  <c:v>200.31</c:v>
                </c:pt>
                <c:pt idx="6">
                  <c:v>196.37900000000002</c:v>
                </c:pt>
                <c:pt idx="7">
                  <c:v>192.601</c:v>
                </c:pt>
                <c:pt idx="8">
                  <c:v>188.964</c:v>
                </c:pt>
                <c:pt idx="9">
                  <c:v>185.46300000000002</c:v>
                </c:pt>
                <c:pt idx="10">
                  <c:v>182.089</c:v>
                </c:pt>
                <c:pt idx="11">
                  <c:v>178.83500000000001</c:v>
                </c:pt>
                <c:pt idx="12">
                  <c:v>175.696</c:v>
                </c:pt>
                <c:pt idx="13">
                  <c:v>172.66499999999999</c:v>
                </c:pt>
                <c:pt idx="14">
                  <c:v>169.73599999999999</c:v>
                </c:pt>
                <c:pt idx="15">
                  <c:v>166.90600000000001</c:v>
                </c:pt>
                <c:pt idx="16">
                  <c:v>164.16800000000001</c:v>
                </c:pt>
                <c:pt idx="17">
                  <c:v>161.51899999999998</c:v>
                </c:pt>
                <c:pt idx="18">
                  <c:v>158.953</c:v>
                </c:pt>
                <c:pt idx="19">
                  <c:v>156.46800000000002</c:v>
                </c:pt>
                <c:pt idx="20">
                  <c:v>154.06</c:v>
                </c:pt>
                <c:pt idx="21">
                  <c:v>151.72399999999999</c:v>
                </c:pt>
                <c:pt idx="22">
                  <c:v>149.459</c:v>
                </c:pt>
                <c:pt idx="23">
                  <c:v>147.26</c:v>
                </c:pt>
                <c:pt idx="24">
                  <c:v>145.124</c:v>
                </c:pt>
                <c:pt idx="25">
                  <c:v>143.05000000000001</c:v>
                </c:pt>
                <c:pt idx="26">
                  <c:v>141.03399999999999</c:v>
                </c:pt>
                <c:pt idx="27">
                  <c:v>139.07499999999999</c:v>
                </c:pt>
                <c:pt idx="28">
                  <c:v>137.16899999999998</c:v>
                </c:pt>
                <c:pt idx="29">
                  <c:v>135.31399999999999</c:v>
                </c:pt>
                <c:pt idx="30">
                  <c:v>133.50900000000001</c:v>
                </c:pt>
                <c:pt idx="31">
                  <c:v>131.75200000000001</c:v>
                </c:pt>
                <c:pt idx="32">
                  <c:v>130.04</c:v>
                </c:pt>
                <c:pt idx="33">
                  <c:v>128.37200000000001</c:v>
                </c:pt>
              </c:numCache>
            </c:numRef>
          </c:val>
        </c:ser>
        <c:ser>
          <c:idx val="4"/>
          <c:order val="4"/>
          <c:tx>
            <c:v>k=4</c:v>
          </c:tx>
          <c:spPr>
            <a:ln w="25348">
              <a:solidFill>
                <a:srgbClr val="FF6600"/>
              </a:solidFill>
              <a:prstDash val="solid"/>
            </a:ln>
          </c:spPr>
          <c:marker>
            <c:symbol val="square"/>
            <c:size val="3"/>
            <c:spPr>
              <a:noFill/>
              <a:ln>
                <a:solidFill>
                  <a:srgbClr val="800080"/>
                </a:solidFill>
                <a:prstDash val="solid"/>
              </a:ln>
            </c:spPr>
          </c:marker>
          <c:cat>
            <c:numRef>
              <c:f>Hoja3!$B$3:$B$37</c:f>
              <c:numCache>
                <c:formatCode>General</c:formatCode>
                <c:ptCount val="3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numCache>
            </c:numRef>
          </c:cat>
          <c:val>
            <c:numRef>
              <c:f>Hoja3!$G$4:$G$37</c:f>
              <c:numCache>
                <c:formatCode>General</c:formatCode>
                <c:ptCount val="34"/>
                <c:pt idx="0">
                  <c:v>347.392</c:v>
                </c:pt>
                <c:pt idx="1">
                  <c:v>339.834</c:v>
                </c:pt>
                <c:pt idx="2">
                  <c:v>332.59799999999996</c:v>
                </c:pt>
                <c:pt idx="3">
                  <c:v>325.66399999999999</c:v>
                </c:pt>
                <c:pt idx="4">
                  <c:v>319.01299999999992</c:v>
                </c:pt>
                <c:pt idx="5">
                  <c:v>312.62799999999999</c:v>
                </c:pt>
                <c:pt idx="6">
                  <c:v>306.49400000000003</c:v>
                </c:pt>
                <c:pt idx="7">
                  <c:v>300.59699999999987</c:v>
                </c:pt>
                <c:pt idx="8">
                  <c:v>294.92099999999994</c:v>
                </c:pt>
                <c:pt idx="9">
                  <c:v>289.45599999999996</c:v>
                </c:pt>
                <c:pt idx="10">
                  <c:v>284.19</c:v>
                </c:pt>
                <c:pt idx="11">
                  <c:v>279.11200000000002</c:v>
                </c:pt>
                <c:pt idx="12">
                  <c:v>274.21199999999993</c:v>
                </c:pt>
                <c:pt idx="13">
                  <c:v>269.48200000000003</c:v>
                </c:pt>
                <c:pt idx="14">
                  <c:v>264.91199999999986</c:v>
                </c:pt>
                <c:pt idx="15">
                  <c:v>260.49400000000003</c:v>
                </c:pt>
                <c:pt idx="16">
                  <c:v>256.22099999999995</c:v>
                </c:pt>
                <c:pt idx="17">
                  <c:v>252.08600000000001</c:v>
                </c:pt>
                <c:pt idx="18">
                  <c:v>248.08200000000002</c:v>
                </c:pt>
                <c:pt idx="19">
                  <c:v>244.20399999999998</c:v>
                </c:pt>
                <c:pt idx="20">
                  <c:v>240.44499999999999</c:v>
                </c:pt>
                <c:pt idx="21">
                  <c:v>236.8</c:v>
                </c:pt>
                <c:pt idx="22">
                  <c:v>233.26399999999998</c:v>
                </c:pt>
                <c:pt idx="23">
                  <c:v>229.83200000000002</c:v>
                </c:pt>
                <c:pt idx="24">
                  <c:v>226.499</c:v>
                </c:pt>
                <c:pt idx="25">
                  <c:v>223.262</c:v>
                </c:pt>
                <c:pt idx="26">
                  <c:v>220.11599999999999</c:v>
                </c:pt>
                <c:pt idx="27">
                  <c:v>217.05700000000002</c:v>
                </c:pt>
                <c:pt idx="28">
                  <c:v>214.08200000000002</c:v>
                </c:pt>
                <c:pt idx="29">
                  <c:v>211.18800000000002</c:v>
                </c:pt>
                <c:pt idx="30">
                  <c:v>208.37100000000001</c:v>
                </c:pt>
                <c:pt idx="31">
                  <c:v>205.62800000000001</c:v>
                </c:pt>
                <c:pt idx="32">
                  <c:v>202.95600000000002</c:v>
                </c:pt>
                <c:pt idx="33">
                  <c:v>200.35300000000001</c:v>
                </c:pt>
              </c:numCache>
            </c:numRef>
          </c:val>
        </c:ser>
        <c:marker val="1"/>
        <c:axId val="119943168"/>
        <c:axId val="119945472"/>
      </c:lineChart>
      <c:catAx>
        <c:axId val="119943168"/>
        <c:scaling>
          <c:orientation val="minMax"/>
        </c:scaling>
        <c:axPos val="b"/>
        <c:title>
          <c:tx>
            <c:rich>
              <a:bodyPr/>
              <a:lstStyle/>
              <a:p>
                <a:pPr>
                  <a:defRPr sz="948" b="1" i="0" u="none" strike="noStrike" baseline="0">
                    <a:solidFill>
                      <a:srgbClr val="000000"/>
                    </a:solidFill>
                    <a:latin typeface="Arial"/>
                    <a:ea typeface="Arial"/>
                    <a:cs typeface="Arial"/>
                  </a:defRPr>
                </a:pPr>
                <a:r>
                  <a:t>Número de años</a:t>
                </a:r>
              </a:p>
            </c:rich>
          </c:tx>
          <c:layout>
            <c:manualLayout>
              <c:xMode val="edge"/>
              <c:yMode val="edge"/>
              <c:x val="0.3786008230452676"/>
              <c:y val="0.86614173228346492"/>
            </c:manualLayout>
          </c:layout>
          <c:spPr>
            <a:noFill/>
            <a:ln w="25348">
              <a:noFill/>
            </a:ln>
          </c:spPr>
        </c:title>
        <c:numFmt formatCode="General" sourceLinked="1"/>
        <c:tickLblPos val="nextTo"/>
        <c:spPr>
          <a:ln w="3169">
            <a:solidFill>
              <a:srgbClr val="000000"/>
            </a:solidFill>
            <a:prstDash val="solid"/>
          </a:ln>
        </c:spPr>
        <c:txPr>
          <a:bodyPr rot="0" vert="horz"/>
          <a:lstStyle/>
          <a:p>
            <a:pPr>
              <a:defRPr sz="948" b="0" i="0" u="none" strike="noStrike" baseline="0">
                <a:solidFill>
                  <a:srgbClr val="000000"/>
                </a:solidFill>
                <a:latin typeface="Arial"/>
                <a:ea typeface="Arial"/>
                <a:cs typeface="Arial"/>
              </a:defRPr>
            </a:pPr>
            <a:endParaRPr lang="en-US"/>
          </a:p>
        </c:txPr>
        <c:crossAx val="119945472"/>
        <c:crosses val="autoZero"/>
        <c:auto val="1"/>
        <c:lblAlgn val="ctr"/>
        <c:lblOffset val="100"/>
        <c:tickLblSkip val="2"/>
        <c:tickMarkSkip val="1"/>
      </c:catAx>
      <c:valAx>
        <c:axId val="119945472"/>
        <c:scaling>
          <c:orientation val="minMax"/>
        </c:scaling>
        <c:axPos val="l"/>
        <c:majorGridlines>
          <c:spPr>
            <a:ln w="3169">
              <a:solidFill>
                <a:srgbClr val="000000"/>
              </a:solidFill>
              <a:prstDash val="solid"/>
            </a:ln>
          </c:spPr>
        </c:majorGridlines>
        <c:title>
          <c:tx>
            <c:rich>
              <a:bodyPr/>
              <a:lstStyle/>
              <a:p>
                <a:pPr>
                  <a:defRPr sz="948" b="1" i="0" u="none" strike="noStrike" baseline="0">
                    <a:solidFill>
                      <a:srgbClr val="000000"/>
                    </a:solidFill>
                    <a:latin typeface="Arial"/>
                    <a:ea typeface="Arial"/>
                    <a:cs typeface="Arial"/>
                  </a:defRPr>
                </a:pPr>
                <a:r>
                  <a:t>Valor de la prima</a:t>
                </a:r>
              </a:p>
            </c:rich>
          </c:tx>
          <c:layout>
            <c:manualLayout>
              <c:xMode val="edge"/>
              <c:yMode val="edge"/>
              <c:x val="2.2633744855967086E-2"/>
              <c:y val="0.1889763779527559"/>
            </c:manualLayout>
          </c:layout>
          <c:spPr>
            <a:noFill/>
            <a:ln w="25348">
              <a:noFill/>
            </a:ln>
          </c:spPr>
        </c:title>
        <c:numFmt formatCode="General" sourceLinked="1"/>
        <c:tickLblPos val="nextTo"/>
        <c:spPr>
          <a:ln w="3169">
            <a:solidFill>
              <a:srgbClr val="000000"/>
            </a:solidFill>
            <a:prstDash val="solid"/>
          </a:ln>
        </c:spPr>
        <c:txPr>
          <a:bodyPr rot="0" vert="horz"/>
          <a:lstStyle/>
          <a:p>
            <a:pPr>
              <a:defRPr sz="948" b="0" i="0" u="none" strike="noStrike" baseline="0">
                <a:solidFill>
                  <a:srgbClr val="000000"/>
                </a:solidFill>
                <a:latin typeface="Arial"/>
                <a:ea typeface="Arial"/>
                <a:cs typeface="Arial"/>
              </a:defRPr>
            </a:pPr>
            <a:endParaRPr lang="en-US"/>
          </a:p>
        </c:txPr>
        <c:crossAx val="119943168"/>
        <c:crosses val="autoZero"/>
        <c:crossBetween val="between"/>
      </c:valAx>
      <c:spPr>
        <a:solidFill>
          <a:srgbClr val="FFFFFF"/>
        </a:solidFill>
        <a:ln w="12674">
          <a:solidFill>
            <a:srgbClr val="808080"/>
          </a:solidFill>
          <a:prstDash val="solid"/>
        </a:ln>
      </c:spPr>
    </c:plotArea>
    <c:legend>
      <c:legendPos val="r"/>
      <c:layout>
        <c:manualLayout>
          <c:xMode val="edge"/>
          <c:yMode val="edge"/>
          <c:x val="0.8662551440329217"/>
          <c:y val="0.20472440944881889"/>
          <c:w val="0.12551440329218111"/>
          <c:h val="0.41732283464566938"/>
        </c:manualLayout>
      </c:layout>
      <c:spPr>
        <a:solidFill>
          <a:srgbClr val="FFFFFF"/>
        </a:solidFill>
        <a:ln w="3169">
          <a:solidFill>
            <a:srgbClr val="000000"/>
          </a:solidFill>
          <a:prstDash val="solid"/>
        </a:ln>
      </c:spPr>
      <c:txPr>
        <a:bodyPr/>
        <a:lstStyle/>
        <a:p>
          <a:pPr>
            <a:defRPr sz="868"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a:noFill/>
    </a:ln>
  </c:spPr>
  <c:txPr>
    <a:bodyPr/>
    <a:lstStyle/>
    <a:p>
      <a:pPr>
        <a:defRPr sz="948" b="0" i="0" u="none" strike="noStrike" baseline="0">
          <a:solidFill>
            <a:srgbClr val="000000"/>
          </a:solidFill>
          <a:latin typeface="Arial"/>
          <a:ea typeface="Arial"/>
          <a:cs typeface="Arial"/>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3786008230452676"/>
          <c:y val="8.2677165354330742E-2"/>
          <c:w val="0.70987654320987681"/>
          <c:h val="0.6614173228346456"/>
        </c:manualLayout>
      </c:layout>
      <c:lineChart>
        <c:grouping val="standard"/>
        <c:ser>
          <c:idx val="0"/>
          <c:order val="0"/>
          <c:tx>
            <c:v>k=0</c:v>
          </c:tx>
          <c:spPr>
            <a:ln w="23842">
              <a:solidFill>
                <a:srgbClr val="000080"/>
              </a:solidFill>
              <a:prstDash val="solid"/>
            </a:ln>
          </c:spPr>
          <c:marker>
            <c:symbol val="plus"/>
            <c:size val="3"/>
            <c:spPr>
              <a:noFill/>
              <a:ln>
                <a:solidFill>
                  <a:srgbClr val="000080"/>
                </a:solidFill>
                <a:prstDash val="solid"/>
              </a:ln>
            </c:spPr>
          </c:marker>
          <c:cat>
            <c:numRef>
              <c:f>Hoja3!$P$3:$P$37</c:f>
              <c:numCache>
                <c:formatCode>General</c:formatCode>
                <c:ptCount val="3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numCache>
            </c:numRef>
          </c:cat>
          <c:val>
            <c:numRef>
              <c:f>Hoja3!$Q$3:$Q$37</c:f>
              <c:numCache>
                <c:formatCode>General</c:formatCode>
                <c:ptCount val="35"/>
                <c:pt idx="0">
                  <c:v>100</c:v>
                </c:pt>
                <c:pt idx="1">
                  <c:v>86.592000000000013</c:v>
                </c:pt>
                <c:pt idx="2">
                  <c:v>84.697999999999993</c:v>
                </c:pt>
                <c:pt idx="3">
                  <c:v>82.884999999999991</c:v>
                </c:pt>
                <c:pt idx="4">
                  <c:v>81.147999999999996</c:v>
                </c:pt>
                <c:pt idx="5">
                  <c:v>79.482000000000014</c:v>
                </c:pt>
                <c:pt idx="6">
                  <c:v>77.884</c:v>
                </c:pt>
                <c:pt idx="7">
                  <c:v>76.348000000000013</c:v>
                </c:pt>
                <c:pt idx="8">
                  <c:v>74.871999999999986</c:v>
                </c:pt>
                <c:pt idx="9">
                  <c:v>73.450999999999993</c:v>
                </c:pt>
                <c:pt idx="10">
                  <c:v>72.084000000000003</c:v>
                </c:pt>
                <c:pt idx="11">
                  <c:v>70.766999999999996</c:v>
                </c:pt>
                <c:pt idx="12">
                  <c:v>69.497000000000014</c:v>
                </c:pt>
                <c:pt idx="13">
                  <c:v>68.271000000000001</c:v>
                </c:pt>
                <c:pt idx="14">
                  <c:v>67.088999999999999</c:v>
                </c:pt>
                <c:pt idx="15">
                  <c:v>65.946000000000012</c:v>
                </c:pt>
                <c:pt idx="16">
                  <c:v>64.842000000000013</c:v>
                </c:pt>
                <c:pt idx="17">
                  <c:v>63.774000000000001</c:v>
                </c:pt>
                <c:pt idx="18">
                  <c:v>62.741</c:v>
                </c:pt>
                <c:pt idx="19">
                  <c:v>61.74</c:v>
                </c:pt>
                <c:pt idx="20">
                  <c:v>60.771000000000001</c:v>
                </c:pt>
                <c:pt idx="21">
                  <c:v>59.832000000000001</c:v>
                </c:pt>
                <c:pt idx="22">
                  <c:v>58.922000000000004</c:v>
                </c:pt>
                <c:pt idx="23">
                  <c:v>58.039000000000001</c:v>
                </c:pt>
                <c:pt idx="24">
                  <c:v>57.182000000000002</c:v>
                </c:pt>
                <c:pt idx="25">
                  <c:v>56.349000000000004</c:v>
                </c:pt>
                <c:pt idx="26">
                  <c:v>55.541000000000004</c:v>
                </c:pt>
                <c:pt idx="27">
                  <c:v>54.756</c:v>
                </c:pt>
                <c:pt idx="28">
                  <c:v>53.992000000000004</c:v>
                </c:pt>
                <c:pt idx="29">
                  <c:v>53.25</c:v>
                </c:pt>
                <c:pt idx="30">
                  <c:v>52.528000000000006</c:v>
                </c:pt>
                <c:pt idx="31">
                  <c:v>51.825000000000003</c:v>
                </c:pt>
                <c:pt idx="32">
                  <c:v>51.14</c:v>
                </c:pt>
                <c:pt idx="33">
                  <c:v>50.473000000000006</c:v>
                </c:pt>
                <c:pt idx="34">
                  <c:v>49.824000000000005</c:v>
                </c:pt>
              </c:numCache>
            </c:numRef>
          </c:val>
        </c:ser>
        <c:ser>
          <c:idx val="1"/>
          <c:order val="1"/>
          <c:tx>
            <c:v>k=1</c:v>
          </c:tx>
          <c:spPr>
            <a:ln w="23842">
              <a:solidFill>
                <a:srgbClr val="FF00FF"/>
              </a:solidFill>
              <a:prstDash val="solid"/>
            </a:ln>
          </c:spPr>
          <c:marker>
            <c:symbol val="star"/>
            <c:size val="3"/>
            <c:spPr>
              <a:noFill/>
              <a:ln>
                <a:solidFill>
                  <a:srgbClr val="FF00FF"/>
                </a:solidFill>
                <a:prstDash val="solid"/>
              </a:ln>
            </c:spPr>
          </c:marker>
          <c:val>
            <c:numRef>
              <c:f>Hoja3!$R$4:$R$37</c:f>
              <c:numCache>
                <c:formatCode>General</c:formatCode>
                <c:ptCount val="34"/>
                <c:pt idx="0">
                  <c:v>141.85800000000003</c:v>
                </c:pt>
                <c:pt idx="1">
                  <c:v>138.755</c:v>
                </c:pt>
                <c:pt idx="2">
                  <c:v>135.785</c:v>
                </c:pt>
                <c:pt idx="3">
                  <c:v>132.93900000000002</c:v>
                </c:pt>
                <c:pt idx="4">
                  <c:v>130.20999999999998</c:v>
                </c:pt>
                <c:pt idx="5">
                  <c:v>127.592</c:v>
                </c:pt>
                <c:pt idx="6">
                  <c:v>125.07599999999998</c:v>
                </c:pt>
                <c:pt idx="7">
                  <c:v>122.657</c:v>
                </c:pt>
                <c:pt idx="8">
                  <c:v>120.331</c:v>
                </c:pt>
                <c:pt idx="9">
                  <c:v>118.09099999999999</c:v>
                </c:pt>
                <c:pt idx="10">
                  <c:v>115.93300000000002</c:v>
                </c:pt>
                <c:pt idx="11">
                  <c:v>113.85199999999999</c:v>
                </c:pt>
                <c:pt idx="12">
                  <c:v>111.845</c:v>
                </c:pt>
                <c:pt idx="13">
                  <c:v>109.90700000000001</c:v>
                </c:pt>
                <c:pt idx="14">
                  <c:v>108.035</c:v>
                </c:pt>
                <c:pt idx="15">
                  <c:v>106.226</c:v>
                </c:pt>
                <c:pt idx="16">
                  <c:v>104.477</c:v>
                </c:pt>
                <c:pt idx="17">
                  <c:v>102.78400000000002</c:v>
                </c:pt>
                <c:pt idx="18">
                  <c:v>101.145</c:v>
                </c:pt>
                <c:pt idx="19">
                  <c:v>99.557999999999993</c:v>
                </c:pt>
                <c:pt idx="20">
                  <c:v>98.019000000000005</c:v>
                </c:pt>
                <c:pt idx="21">
                  <c:v>96.527999999999992</c:v>
                </c:pt>
                <c:pt idx="22">
                  <c:v>95.081000000000003</c:v>
                </c:pt>
                <c:pt idx="23">
                  <c:v>93.676999999999992</c:v>
                </c:pt>
                <c:pt idx="24">
                  <c:v>92.313999999999993</c:v>
                </c:pt>
                <c:pt idx="25">
                  <c:v>90.990000000000009</c:v>
                </c:pt>
                <c:pt idx="26">
                  <c:v>89.703000000000003</c:v>
                </c:pt>
                <c:pt idx="27">
                  <c:v>88.452000000000012</c:v>
                </c:pt>
                <c:pt idx="28">
                  <c:v>87.236000000000004</c:v>
                </c:pt>
                <c:pt idx="29">
                  <c:v>86.051999999999992</c:v>
                </c:pt>
                <c:pt idx="30">
                  <c:v>84.900999999999996</c:v>
                </c:pt>
                <c:pt idx="31">
                  <c:v>83.778999999999982</c:v>
                </c:pt>
                <c:pt idx="32">
                  <c:v>82.686999999999998</c:v>
                </c:pt>
                <c:pt idx="33">
                  <c:v>81.623999999999981</c:v>
                </c:pt>
              </c:numCache>
            </c:numRef>
          </c:val>
        </c:ser>
        <c:ser>
          <c:idx val="2"/>
          <c:order val="2"/>
          <c:tx>
            <c:v>k=2</c:v>
          </c:tx>
          <c:spPr>
            <a:ln w="23842">
              <a:solidFill>
                <a:srgbClr val="339966"/>
              </a:solidFill>
              <a:prstDash val="solid"/>
            </a:ln>
          </c:spPr>
          <c:marker>
            <c:symbol val="triangle"/>
            <c:size val="3"/>
            <c:spPr>
              <a:noFill/>
              <a:ln>
                <a:solidFill>
                  <a:srgbClr val="FFFF00"/>
                </a:solidFill>
                <a:prstDash val="solid"/>
              </a:ln>
            </c:spPr>
          </c:marker>
          <c:val>
            <c:numRef>
              <c:f>Hoja3!$S$4:$S$37</c:f>
              <c:numCache>
                <c:formatCode>General</c:formatCode>
                <c:ptCount val="34"/>
                <c:pt idx="0">
                  <c:v>197.124</c:v>
                </c:pt>
                <c:pt idx="1">
                  <c:v>192.81200000000001</c:v>
                </c:pt>
                <c:pt idx="2">
                  <c:v>188.685</c:v>
                </c:pt>
                <c:pt idx="3">
                  <c:v>184.73099999999999</c:v>
                </c:pt>
                <c:pt idx="4">
                  <c:v>180.93900000000002</c:v>
                </c:pt>
                <c:pt idx="5">
                  <c:v>177.3</c:v>
                </c:pt>
                <c:pt idx="6">
                  <c:v>173.804</c:v>
                </c:pt>
                <c:pt idx="7">
                  <c:v>170.44299999999998</c:v>
                </c:pt>
                <c:pt idx="8">
                  <c:v>167.20999999999998</c:v>
                </c:pt>
                <c:pt idx="9">
                  <c:v>164.09700000000001</c:v>
                </c:pt>
                <c:pt idx="10">
                  <c:v>161.09800000000001</c:v>
                </c:pt>
                <c:pt idx="11">
                  <c:v>158.20699999999999</c:v>
                </c:pt>
                <c:pt idx="12">
                  <c:v>155.41800000000001</c:v>
                </c:pt>
                <c:pt idx="13">
                  <c:v>152.72499999999999</c:v>
                </c:pt>
                <c:pt idx="14">
                  <c:v>150.124</c:v>
                </c:pt>
                <c:pt idx="15">
                  <c:v>147.60999999999999</c:v>
                </c:pt>
                <c:pt idx="16">
                  <c:v>145.17899999999997</c:v>
                </c:pt>
                <c:pt idx="17">
                  <c:v>142.82700000000003</c:v>
                </c:pt>
                <c:pt idx="18">
                  <c:v>140.55000000000001</c:v>
                </c:pt>
                <c:pt idx="19">
                  <c:v>138.34399999999999</c:v>
                </c:pt>
                <c:pt idx="20">
                  <c:v>136.20599999999999</c:v>
                </c:pt>
                <c:pt idx="21">
                  <c:v>134.13399999999999</c:v>
                </c:pt>
                <c:pt idx="22">
                  <c:v>132.12300000000002</c:v>
                </c:pt>
                <c:pt idx="23">
                  <c:v>130.172</c:v>
                </c:pt>
                <c:pt idx="24">
                  <c:v>128.27799999999999</c:v>
                </c:pt>
                <c:pt idx="25">
                  <c:v>126.438</c:v>
                </c:pt>
                <c:pt idx="26">
                  <c:v>124.64999999999999</c:v>
                </c:pt>
                <c:pt idx="27">
                  <c:v>122.91200000000002</c:v>
                </c:pt>
                <c:pt idx="28">
                  <c:v>121.22199999999999</c:v>
                </c:pt>
                <c:pt idx="29">
                  <c:v>119.577</c:v>
                </c:pt>
                <c:pt idx="30">
                  <c:v>117.977</c:v>
                </c:pt>
                <c:pt idx="31">
                  <c:v>116.41900000000001</c:v>
                </c:pt>
                <c:pt idx="32">
                  <c:v>114.90100000000001</c:v>
                </c:pt>
                <c:pt idx="33">
                  <c:v>113.423</c:v>
                </c:pt>
              </c:numCache>
            </c:numRef>
          </c:val>
        </c:ser>
        <c:ser>
          <c:idx val="3"/>
          <c:order val="3"/>
          <c:tx>
            <c:v>k=3</c:v>
          </c:tx>
          <c:spPr>
            <a:ln w="23842">
              <a:solidFill>
                <a:srgbClr val="00FFFF"/>
              </a:solidFill>
              <a:prstDash val="solid"/>
            </a:ln>
          </c:spPr>
          <c:marker>
            <c:symbol val="diamond"/>
            <c:size val="3"/>
            <c:spPr>
              <a:noFill/>
              <a:ln>
                <a:solidFill>
                  <a:srgbClr val="00FFFF"/>
                </a:solidFill>
                <a:prstDash val="solid"/>
              </a:ln>
            </c:spPr>
          </c:marker>
          <c:val>
            <c:numRef>
              <c:f>Hoja3!$T$4:$T$37</c:f>
              <c:numCache>
                <c:formatCode>General</c:formatCode>
                <c:ptCount val="34"/>
                <c:pt idx="0">
                  <c:v>252.39000000000001</c:v>
                </c:pt>
                <c:pt idx="1">
                  <c:v>246.869</c:v>
                </c:pt>
                <c:pt idx="2">
                  <c:v>241.58500000000001</c:v>
                </c:pt>
                <c:pt idx="3">
                  <c:v>236.52200000000002</c:v>
                </c:pt>
                <c:pt idx="4">
                  <c:v>231.667</c:v>
                </c:pt>
                <c:pt idx="5">
                  <c:v>227.00800000000001</c:v>
                </c:pt>
                <c:pt idx="6">
                  <c:v>222.53200000000001</c:v>
                </c:pt>
                <c:pt idx="7">
                  <c:v>218.22899999999998</c:v>
                </c:pt>
                <c:pt idx="8">
                  <c:v>214.089</c:v>
                </c:pt>
                <c:pt idx="9">
                  <c:v>210.10399999999998</c:v>
                </c:pt>
                <c:pt idx="10">
                  <c:v>206.26399999999998</c:v>
                </c:pt>
                <c:pt idx="11">
                  <c:v>202.56200000000001</c:v>
                </c:pt>
                <c:pt idx="12">
                  <c:v>198.99100000000001</c:v>
                </c:pt>
                <c:pt idx="13">
                  <c:v>195.54299999999998</c:v>
                </c:pt>
                <c:pt idx="14">
                  <c:v>192.21299999999999</c:v>
                </c:pt>
                <c:pt idx="15">
                  <c:v>188.995</c:v>
                </c:pt>
                <c:pt idx="16">
                  <c:v>185.88200000000003</c:v>
                </c:pt>
                <c:pt idx="17">
                  <c:v>182.87</c:v>
                </c:pt>
                <c:pt idx="18">
                  <c:v>179.95400000000001</c:v>
                </c:pt>
                <c:pt idx="19">
                  <c:v>177.13</c:v>
                </c:pt>
                <c:pt idx="20">
                  <c:v>174.393</c:v>
                </c:pt>
                <c:pt idx="21">
                  <c:v>171.73999999999998</c:v>
                </c:pt>
                <c:pt idx="22">
                  <c:v>169.166</c:v>
                </c:pt>
                <c:pt idx="23">
                  <c:v>166.667</c:v>
                </c:pt>
                <c:pt idx="24">
                  <c:v>164.24199999999999</c:v>
                </c:pt>
                <c:pt idx="25">
                  <c:v>161.88600000000002</c:v>
                </c:pt>
                <c:pt idx="26">
                  <c:v>159.59700000000001</c:v>
                </c:pt>
                <c:pt idx="27">
                  <c:v>157.37200000000001</c:v>
                </c:pt>
                <c:pt idx="28">
                  <c:v>155.208</c:v>
                </c:pt>
                <c:pt idx="29">
                  <c:v>153.102</c:v>
                </c:pt>
                <c:pt idx="30">
                  <c:v>151.053</c:v>
                </c:pt>
                <c:pt idx="31">
                  <c:v>149.05800000000002</c:v>
                </c:pt>
                <c:pt idx="32">
                  <c:v>147.11499999999998</c:v>
                </c:pt>
                <c:pt idx="33">
                  <c:v>145.22200000000001</c:v>
                </c:pt>
              </c:numCache>
            </c:numRef>
          </c:val>
        </c:ser>
        <c:ser>
          <c:idx val="4"/>
          <c:order val="4"/>
          <c:tx>
            <c:v>k=4</c:v>
          </c:tx>
          <c:spPr>
            <a:ln w="23842">
              <a:solidFill>
                <a:srgbClr val="FF6600"/>
              </a:solidFill>
              <a:prstDash val="solid"/>
            </a:ln>
          </c:spPr>
          <c:marker>
            <c:symbol val="square"/>
            <c:size val="3"/>
            <c:spPr>
              <a:noFill/>
              <a:ln>
                <a:solidFill>
                  <a:srgbClr val="800080"/>
                </a:solidFill>
                <a:prstDash val="solid"/>
              </a:ln>
            </c:spPr>
          </c:marker>
          <c:val>
            <c:numRef>
              <c:f>Hoja3!$U$4:$U$37</c:f>
              <c:numCache>
                <c:formatCode>General</c:formatCode>
                <c:ptCount val="34"/>
                <c:pt idx="0">
                  <c:v>307.65499999999997</c:v>
                </c:pt>
                <c:pt idx="1">
                  <c:v>300.92599999999993</c:v>
                </c:pt>
                <c:pt idx="2">
                  <c:v>294.48499999999996</c:v>
                </c:pt>
                <c:pt idx="3">
                  <c:v>288.31299999999999</c:v>
                </c:pt>
                <c:pt idx="4">
                  <c:v>282.39499999999992</c:v>
                </c:pt>
                <c:pt idx="5">
                  <c:v>276.71599999999995</c:v>
                </c:pt>
                <c:pt idx="6">
                  <c:v>271.26</c:v>
                </c:pt>
                <c:pt idx="7">
                  <c:v>266.01499999999999</c:v>
                </c:pt>
                <c:pt idx="8">
                  <c:v>260.96899999999994</c:v>
                </c:pt>
                <c:pt idx="9">
                  <c:v>256.11099999999999</c:v>
                </c:pt>
                <c:pt idx="10">
                  <c:v>251.43</c:v>
                </c:pt>
                <c:pt idx="11">
                  <c:v>246.91800000000001</c:v>
                </c:pt>
                <c:pt idx="12">
                  <c:v>242.56399999999999</c:v>
                </c:pt>
                <c:pt idx="13">
                  <c:v>238.36200000000002</c:v>
                </c:pt>
                <c:pt idx="14">
                  <c:v>234.30200000000002</c:v>
                </c:pt>
                <c:pt idx="15">
                  <c:v>230.37900000000002</c:v>
                </c:pt>
                <c:pt idx="16">
                  <c:v>226.58500000000001</c:v>
                </c:pt>
                <c:pt idx="17">
                  <c:v>222.91299999999998</c:v>
                </c:pt>
                <c:pt idx="18">
                  <c:v>219.35900000000001</c:v>
                </c:pt>
                <c:pt idx="19">
                  <c:v>215.917</c:v>
                </c:pt>
                <c:pt idx="20">
                  <c:v>212.58</c:v>
                </c:pt>
                <c:pt idx="21">
                  <c:v>209.346</c:v>
                </c:pt>
                <c:pt idx="22">
                  <c:v>206.208</c:v>
                </c:pt>
                <c:pt idx="23">
                  <c:v>203.16299999999998</c:v>
                </c:pt>
                <c:pt idx="24">
                  <c:v>200.20599999999999</c:v>
                </c:pt>
                <c:pt idx="25">
                  <c:v>197.33500000000001</c:v>
                </c:pt>
                <c:pt idx="26">
                  <c:v>194.54399999999998</c:v>
                </c:pt>
                <c:pt idx="27">
                  <c:v>191.83200000000002</c:v>
                </c:pt>
                <c:pt idx="28">
                  <c:v>189.19399999999999</c:v>
                </c:pt>
                <c:pt idx="29">
                  <c:v>186.62700000000001</c:v>
                </c:pt>
                <c:pt idx="30">
                  <c:v>184.12900000000002</c:v>
                </c:pt>
                <c:pt idx="31">
                  <c:v>181.69800000000001</c:v>
                </c:pt>
                <c:pt idx="32">
                  <c:v>179.32900000000001</c:v>
                </c:pt>
                <c:pt idx="33">
                  <c:v>177.02200000000002</c:v>
                </c:pt>
              </c:numCache>
            </c:numRef>
          </c:val>
        </c:ser>
        <c:marker val="1"/>
        <c:axId val="113351296"/>
        <c:axId val="113362048"/>
      </c:lineChart>
      <c:catAx>
        <c:axId val="113351296"/>
        <c:scaling>
          <c:orientation val="minMax"/>
        </c:scaling>
        <c:axPos val="b"/>
        <c:title>
          <c:tx>
            <c:rich>
              <a:bodyPr/>
              <a:lstStyle/>
              <a:p>
                <a:pPr>
                  <a:defRPr sz="892" b="1" i="0" u="none" strike="noStrike" baseline="0">
                    <a:solidFill>
                      <a:srgbClr val="000000"/>
                    </a:solidFill>
                    <a:latin typeface="Arial"/>
                    <a:ea typeface="Arial"/>
                    <a:cs typeface="Arial"/>
                  </a:defRPr>
                </a:pPr>
                <a:r>
                  <a:t>Número de años</a:t>
                </a:r>
              </a:p>
            </c:rich>
          </c:tx>
          <c:layout>
            <c:manualLayout>
              <c:xMode val="edge"/>
              <c:yMode val="edge"/>
              <c:x val="0.38065843621399181"/>
              <c:y val="0.86614173228346492"/>
            </c:manualLayout>
          </c:layout>
          <c:spPr>
            <a:noFill/>
            <a:ln w="23842">
              <a:noFill/>
            </a:ln>
          </c:spPr>
        </c:title>
        <c:numFmt formatCode="General" sourceLinked="1"/>
        <c:tickLblPos val="nextTo"/>
        <c:spPr>
          <a:ln w="2980">
            <a:solidFill>
              <a:srgbClr val="000000"/>
            </a:solidFill>
            <a:prstDash val="solid"/>
          </a:ln>
        </c:spPr>
        <c:txPr>
          <a:bodyPr rot="0" vert="horz"/>
          <a:lstStyle/>
          <a:p>
            <a:pPr>
              <a:defRPr sz="892" b="0" i="0" u="none" strike="noStrike" baseline="0">
                <a:solidFill>
                  <a:srgbClr val="000000"/>
                </a:solidFill>
                <a:latin typeface="Arial"/>
                <a:ea typeface="Arial"/>
                <a:cs typeface="Arial"/>
              </a:defRPr>
            </a:pPr>
            <a:endParaRPr lang="en-US"/>
          </a:p>
        </c:txPr>
        <c:crossAx val="113362048"/>
        <c:crosses val="autoZero"/>
        <c:auto val="1"/>
        <c:lblAlgn val="ctr"/>
        <c:lblOffset val="100"/>
        <c:tickLblSkip val="2"/>
        <c:tickMarkSkip val="1"/>
      </c:catAx>
      <c:valAx>
        <c:axId val="113362048"/>
        <c:scaling>
          <c:orientation val="minMax"/>
        </c:scaling>
        <c:axPos val="l"/>
        <c:majorGridlines>
          <c:spPr>
            <a:ln w="2980">
              <a:solidFill>
                <a:srgbClr val="000000"/>
              </a:solidFill>
              <a:prstDash val="solid"/>
            </a:ln>
          </c:spPr>
        </c:majorGridlines>
        <c:title>
          <c:tx>
            <c:rich>
              <a:bodyPr/>
              <a:lstStyle/>
              <a:p>
                <a:pPr>
                  <a:defRPr sz="892" b="1" i="0" u="none" strike="noStrike" baseline="0">
                    <a:solidFill>
                      <a:srgbClr val="000000"/>
                    </a:solidFill>
                    <a:latin typeface="Arial"/>
                    <a:ea typeface="Arial"/>
                    <a:cs typeface="Arial"/>
                  </a:defRPr>
                </a:pPr>
                <a:r>
                  <a:t>Valor de la prima</a:t>
                </a:r>
              </a:p>
            </c:rich>
          </c:tx>
          <c:layout>
            <c:manualLayout>
              <c:xMode val="edge"/>
              <c:yMode val="edge"/>
              <c:x val="2.263374485596709E-2"/>
              <c:y val="0.1889763779527559"/>
            </c:manualLayout>
          </c:layout>
          <c:spPr>
            <a:noFill/>
            <a:ln w="23842">
              <a:noFill/>
            </a:ln>
          </c:spPr>
        </c:title>
        <c:numFmt formatCode="General" sourceLinked="1"/>
        <c:tickLblPos val="nextTo"/>
        <c:spPr>
          <a:ln w="2980">
            <a:solidFill>
              <a:srgbClr val="000000"/>
            </a:solidFill>
            <a:prstDash val="solid"/>
          </a:ln>
        </c:spPr>
        <c:txPr>
          <a:bodyPr rot="0" vert="horz"/>
          <a:lstStyle/>
          <a:p>
            <a:pPr>
              <a:defRPr sz="892" b="0" i="0" u="none" strike="noStrike" baseline="0">
                <a:solidFill>
                  <a:srgbClr val="000000"/>
                </a:solidFill>
                <a:latin typeface="Arial"/>
                <a:ea typeface="Arial"/>
                <a:cs typeface="Arial"/>
              </a:defRPr>
            </a:pPr>
            <a:endParaRPr lang="en-US"/>
          </a:p>
        </c:txPr>
        <c:crossAx val="113351296"/>
        <c:crosses val="autoZero"/>
        <c:crossBetween val="between"/>
      </c:valAx>
      <c:spPr>
        <a:solidFill>
          <a:srgbClr val="FFFFFF"/>
        </a:solidFill>
        <a:ln w="11921">
          <a:solidFill>
            <a:srgbClr val="808080"/>
          </a:solidFill>
          <a:prstDash val="solid"/>
        </a:ln>
      </c:spPr>
    </c:plotArea>
    <c:legend>
      <c:legendPos val="r"/>
      <c:layout>
        <c:manualLayout>
          <c:xMode val="edge"/>
          <c:yMode val="edge"/>
          <c:x val="0.87037037037037046"/>
          <c:y val="0.20472440944881889"/>
          <c:w val="0.12139917695473253"/>
          <c:h val="0.41732283464566938"/>
        </c:manualLayout>
      </c:layout>
      <c:spPr>
        <a:solidFill>
          <a:srgbClr val="FFFFFF"/>
        </a:solidFill>
        <a:ln w="2980">
          <a:solidFill>
            <a:srgbClr val="000000"/>
          </a:solidFill>
          <a:prstDash val="solid"/>
        </a:ln>
      </c:spPr>
      <c:txPr>
        <a:bodyPr/>
        <a:lstStyle/>
        <a:p>
          <a:pPr>
            <a:defRPr sz="817"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a:noFill/>
    </a:ln>
  </c:spPr>
  <c:txPr>
    <a:bodyPr/>
    <a:lstStyle/>
    <a:p>
      <a:pPr>
        <a:defRPr sz="892" b="0"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4379</Words>
  <Characters>24966</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VALORACIÓN ACTUARIAL DE PRIMAS DE SEGUROS DE VEHÍCULOS EN LA PROVINCIA DEL GUAYAS</vt:lpstr>
    </vt:vector>
  </TitlesOfParts>
  <Company>GSRC C.LTDA</Company>
  <LinksUpToDate>false</LinksUpToDate>
  <CharactersWithSpaces>29287</CharactersWithSpaces>
  <SharedDoc>false</SharedDoc>
  <HLinks>
    <vt:vector size="6" baseType="variant">
      <vt:variant>
        <vt:i4>3473438</vt:i4>
      </vt:variant>
      <vt:variant>
        <vt:i4>0</vt:i4>
      </vt:variant>
      <vt:variant>
        <vt:i4>0</vt:i4>
      </vt:variant>
      <vt:variant>
        <vt:i4>5</vt:i4>
      </vt:variant>
      <vt:variant>
        <vt:lpwstr>mailto:dsalazar81@hotmail.com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VALORACIÓN ACTUARIAL DE PRIMAS DE SEGUROS DE VEHÍCULOS EN LA PROVINCIA DEL GUAYAS</dc:title>
  <dc:subject/>
  <dc:creator>Sagaso Cia. Ltda.</dc:creator>
  <cp:keywords/>
  <dc:description/>
  <cp:lastModifiedBy>ehernand</cp:lastModifiedBy>
  <cp:revision>2</cp:revision>
  <cp:lastPrinted>2001-06-21T09:51:00Z</cp:lastPrinted>
  <dcterms:created xsi:type="dcterms:W3CDTF">2010-08-11T17:54:00Z</dcterms:created>
  <dcterms:modified xsi:type="dcterms:W3CDTF">2010-08-11T17:54:00Z</dcterms:modified>
</cp:coreProperties>
</file>