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C54" w:rsidRDefault="009C1972" w:rsidP="009C1972">
      <w:pPr>
        <w:jc w:val="center"/>
        <w:rPr>
          <w:b/>
        </w:rPr>
      </w:pPr>
      <w:r w:rsidRPr="009C1972">
        <w:rPr>
          <w:b/>
        </w:rPr>
        <w:t xml:space="preserve">MODELO DE DETECCIÓN DE FRAUDES </w:t>
      </w:r>
      <w:r w:rsidR="005A029D">
        <w:rPr>
          <w:b/>
        </w:rPr>
        <w:t xml:space="preserve">EN LOS SEGUROS DE </w:t>
      </w:r>
      <w:r w:rsidRPr="009C1972">
        <w:rPr>
          <w:b/>
        </w:rPr>
        <w:t>VEHÍCULOS UTILIZANDO COMPONENTES PRINCIPALES Y ANÁLISIS RIDIT</w:t>
      </w:r>
    </w:p>
    <w:p w:rsidR="009D3379" w:rsidRPr="009C1972" w:rsidRDefault="009D3379" w:rsidP="009C1972">
      <w:pPr>
        <w:jc w:val="center"/>
      </w:pPr>
    </w:p>
    <w:p w:rsidR="000C2C54" w:rsidRPr="00E70B86" w:rsidRDefault="009C1972" w:rsidP="000C2C54">
      <w:pPr>
        <w:rPr>
          <w:sz w:val="20"/>
          <w:szCs w:val="20"/>
        </w:rPr>
      </w:pPr>
      <w:r>
        <w:rPr>
          <w:sz w:val="20"/>
          <w:szCs w:val="20"/>
        </w:rPr>
        <w:t>Heydi Mariana Roa López</w:t>
      </w:r>
      <w:r w:rsidR="000C2C54" w:rsidRPr="00E70B86">
        <w:rPr>
          <w:sz w:val="20"/>
          <w:szCs w:val="20"/>
          <w:vertAlign w:val="superscript"/>
        </w:rPr>
        <w:t>1</w:t>
      </w:r>
      <w:r w:rsidR="000C2C54" w:rsidRPr="00E70B86">
        <w:rPr>
          <w:sz w:val="20"/>
          <w:szCs w:val="20"/>
        </w:rPr>
        <w:t xml:space="preserve">, </w:t>
      </w:r>
      <w:r>
        <w:rPr>
          <w:sz w:val="20"/>
          <w:szCs w:val="20"/>
        </w:rPr>
        <w:t>Fernando Sandoya Sánchez</w:t>
      </w:r>
      <w:r w:rsidR="000C2C54" w:rsidRPr="00E70B86">
        <w:rPr>
          <w:sz w:val="20"/>
          <w:szCs w:val="20"/>
          <w:vertAlign w:val="superscript"/>
        </w:rPr>
        <w:t>2</w:t>
      </w:r>
    </w:p>
    <w:p w:rsidR="000C2C54" w:rsidRPr="00E70B86" w:rsidRDefault="000C2C54" w:rsidP="000C2C54">
      <w:pPr>
        <w:rPr>
          <w:sz w:val="20"/>
          <w:szCs w:val="20"/>
        </w:rPr>
      </w:pPr>
    </w:p>
    <w:p w:rsidR="000C2C54" w:rsidRPr="00E70B86" w:rsidRDefault="000C2C54" w:rsidP="000C2C54">
      <w:pPr>
        <w:rPr>
          <w:sz w:val="20"/>
          <w:szCs w:val="20"/>
        </w:rPr>
      </w:pPr>
      <w:r w:rsidRPr="00E70B86">
        <w:rPr>
          <w:sz w:val="20"/>
          <w:szCs w:val="20"/>
          <w:vertAlign w:val="superscript"/>
        </w:rPr>
        <w:t xml:space="preserve">1  </w:t>
      </w:r>
      <w:r w:rsidR="009D3379">
        <w:rPr>
          <w:sz w:val="20"/>
          <w:szCs w:val="20"/>
        </w:rPr>
        <w:t>Ingeniera</w:t>
      </w:r>
      <w:r w:rsidRPr="00E70B86">
        <w:rPr>
          <w:sz w:val="20"/>
          <w:szCs w:val="20"/>
        </w:rPr>
        <w:t xml:space="preserve"> en Estadística Informática 2004</w:t>
      </w:r>
    </w:p>
    <w:p w:rsidR="000C2C54" w:rsidRPr="00E70B86" w:rsidRDefault="000C2C54" w:rsidP="000C2C54">
      <w:pPr>
        <w:ind w:left="180" w:hanging="180"/>
        <w:rPr>
          <w:sz w:val="20"/>
          <w:szCs w:val="20"/>
        </w:rPr>
      </w:pPr>
      <w:r w:rsidRPr="00E70B86">
        <w:rPr>
          <w:sz w:val="20"/>
          <w:szCs w:val="20"/>
          <w:vertAlign w:val="superscript"/>
        </w:rPr>
        <w:t xml:space="preserve">2  </w:t>
      </w:r>
      <w:r w:rsidR="009D3379">
        <w:rPr>
          <w:sz w:val="20"/>
          <w:szCs w:val="20"/>
        </w:rPr>
        <w:t>Director</w:t>
      </w:r>
      <w:r w:rsidR="009D3379" w:rsidRPr="00E70B86">
        <w:rPr>
          <w:sz w:val="20"/>
          <w:szCs w:val="20"/>
        </w:rPr>
        <w:t xml:space="preserve"> de Tesis, </w:t>
      </w:r>
      <w:r w:rsidR="009D3379">
        <w:rPr>
          <w:sz w:val="20"/>
          <w:szCs w:val="20"/>
        </w:rPr>
        <w:t>Magíster en Investigación de Operaciones</w:t>
      </w:r>
      <w:r w:rsidR="009D3379" w:rsidRPr="00E70B86">
        <w:rPr>
          <w:sz w:val="20"/>
          <w:szCs w:val="20"/>
        </w:rPr>
        <w:t xml:space="preserve">, </w:t>
      </w:r>
      <w:r w:rsidR="009D3379">
        <w:rPr>
          <w:sz w:val="20"/>
          <w:szCs w:val="20"/>
        </w:rPr>
        <w:t>Escuela Politécnica Nacional de Quito, Profesor de ESPOL desde 1994</w:t>
      </w:r>
    </w:p>
    <w:p w:rsidR="000C2C54" w:rsidRDefault="000C2C54" w:rsidP="000C2C54"/>
    <w:p w:rsidR="000C2C54" w:rsidRDefault="000C2C54" w:rsidP="004137D2">
      <w:pPr>
        <w:pStyle w:val="Ttulo2"/>
        <w:numPr>
          <w:ilvl w:val="0"/>
          <w:numId w:val="0"/>
        </w:numPr>
      </w:pPr>
      <w:r>
        <w:t>RESUMEN</w:t>
      </w:r>
    </w:p>
    <w:p w:rsidR="000C2C54" w:rsidRDefault="000C2C54" w:rsidP="000C2C54"/>
    <w:p w:rsidR="00D050A6" w:rsidRDefault="00D050A6" w:rsidP="005A029D">
      <w:pPr>
        <w:ind w:left="1077" w:right="1171" w:firstLine="3"/>
        <w:jc w:val="both"/>
        <w:rPr>
          <w:i/>
          <w:iCs/>
          <w:sz w:val="20"/>
          <w:lang w:val="es-EC"/>
        </w:rPr>
      </w:pPr>
      <w:r w:rsidRPr="00D050A6">
        <w:rPr>
          <w:i/>
          <w:iCs/>
          <w:sz w:val="20"/>
          <w:lang w:val="es-EC"/>
        </w:rPr>
        <w:t xml:space="preserve">El presente trabajo tiene como propósito proporcionar una metodología dirigida a cuantificar la probabilidad de fraude en las declaraciones de siniestros vehiculares, denominada Análisis PRIDIT, específicamente cuando se tienen variables cualitativas involucradas puesto que en el Ecuador no son muy numerosos los estudios dedicados a la detección de fraudes con este tipo de variables. </w:t>
      </w:r>
    </w:p>
    <w:p w:rsidR="00D050A6" w:rsidRDefault="00D050A6" w:rsidP="005A029D">
      <w:pPr>
        <w:ind w:left="1077" w:right="1171" w:firstLine="3"/>
        <w:jc w:val="both"/>
        <w:rPr>
          <w:i/>
          <w:iCs/>
          <w:sz w:val="20"/>
        </w:rPr>
      </w:pPr>
    </w:p>
    <w:p w:rsidR="0046491D" w:rsidRDefault="00752C4C" w:rsidP="005A029D">
      <w:pPr>
        <w:ind w:left="1077" w:right="1171" w:firstLine="3"/>
        <w:jc w:val="both"/>
        <w:rPr>
          <w:i/>
          <w:sz w:val="20"/>
          <w:szCs w:val="20"/>
          <w:lang w:val="es-EC"/>
        </w:rPr>
      </w:pPr>
      <w:r w:rsidRPr="00752C4C">
        <w:rPr>
          <w:i/>
          <w:iCs/>
          <w:sz w:val="20"/>
          <w:szCs w:val="20"/>
        </w:rPr>
        <w:t xml:space="preserve">La metodología PRIDIT no es más que una </w:t>
      </w:r>
      <w:r w:rsidRPr="00752C4C">
        <w:rPr>
          <w:i/>
          <w:sz w:val="20"/>
          <w:szCs w:val="20"/>
          <w:lang w:val="es-EC"/>
        </w:rPr>
        <w:t>técnica no-paramétrica más simple y fácil de entender e implementar, además puede satisfacer necesidades gerenciales debido a que las aplicaciones de esta metodología pueden extenderse a clasificaciones mucho más finas que la prueba binaria de detección fraude/no fraude, puesto que provee un valor adicional en su capacidad de probar la consistencia de su modelo de puntuaciones con los patrones de las variables de entrada. Específicamente, los pesos y las puntuaciones obtenidos de la metodología PRIDIT son representativos de las variables de entrada y pueden ser probados a través de la correlación con otros modelos de puntuaciones ya determinados.</w:t>
      </w:r>
    </w:p>
    <w:p w:rsidR="004137D2" w:rsidRDefault="004137D2" w:rsidP="005A029D">
      <w:pPr>
        <w:ind w:left="1077" w:right="1171" w:firstLine="3"/>
        <w:jc w:val="both"/>
        <w:rPr>
          <w:i/>
          <w:sz w:val="20"/>
          <w:szCs w:val="20"/>
          <w:lang w:val="es-EC"/>
        </w:rPr>
      </w:pPr>
    </w:p>
    <w:p w:rsidR="004137D2" w:rsidRPr="00F27A73" w:rsidRDefault="004137D2" w:rsidP="004137D2">
      <w:pPr>
        <w:pStyle w:val="Ttulo2"/>
        <w:numPr>
          <w:ilvl w:val="0"/>
          <w:numId w:val="0"/>
        </w:numPr>
        <w:rPr>
          <w:lang w:val="en-US"/>
        </w:rPr>
      </w:pPr>
      <w:r w:rsidRPr="00F27A73">
        <w:rPr>
          <w:lang w:val="en-US"/>
        </w:rPr>
        <w:t>ABSTRACT</w:t>
      </w:r>
    </w:p>
    <w:p w:rsidR="004137D2" w:rsidRPr="00F27A73" w:rsidRDefault="004137D2" w:rsidP="004137D2">
      <w:pPr>
        <w:rPr>
          <w:lang w:val="en-US"/>
        </w:rPr>
      </w:pPr>
    </w:p>
    <w:p w:rsidR="004137D2" w:rsidRPr="00224B94" w:rsidRDefault="004137D2" w:rsidP="004137D2">
      <w:pPr>
        <w:ind w:left="1077" w:right="1171" w:firstLine="3"/>
        <w:jc w:val="both"/>
        <w:rPr>
          <w:i/>
          <w:iCs/>
          <w:sz w:val="20"/>
          <w:lang w:val="en-US"/>
        </w:rPr>
      </w:pPr>
      <w:r w:rsidRPr="00224B94">
        <w:rPr>
          <w:i/>
          <w:iCs/>
          <w:sz w:val="20"/>
          <w:lang w:val="en-US"/>
        </w:rPr>
        <w:t>This research has as purpose to provide a methodology directed to quantify the fraud probability in the insurance vehicular claims, denominated An</w:t>
      </w:r>
      <w:r>
        <w:rPr>
          <w:i/>
          <w:iCs/>
          <w:sz w:val="20"/>
          <w:lang w:val="en-US"/>
        </w:rPr>
        <w:t>aly</w:t>
      </w:r>
      <w:r w:rsidRPr="00224B94">
        <w:rPr>
          <w:i/>
          <w:iCs/>
          <w:sz w:val="20"/>
          <w:lang w:val="en-US"/>
        </w:rPr>
        <w:t xml:space="preserve">sis PRIDIT, specifically when qualitative variables are involved since in the Ecuador they are not very numerous the studies dedicated to the detection of frauds with this type of variables.   </w:t>
      </w:r>
    </w:p>
    <w:p w:rsidR="004137D2" w:rsidRPr="00224B94" w:rsidRDefault="004137D2" w:rsidP="004137D2">
      <w:pPr>
        <w:ind w:left="1077" w:right="1171" w:firstLine="3"/>
        <w:jc w:val="both"/>
        <w:rPr>
          <w:i/>
          <w:iCs/>
          <w:sz w:val="20"/>
          <w:lang w:val="en-US"/>
        </w:rPr>
      </w:pPr>
      <w:r w:rsidRPr="00224B94">
        <w:rPr>
          <w:i/>
          <w:iCs/>
          <w:sz w:val="20"/>
          <w:lang w:val="en-US"/>
        </w:rPr>
        <w:t xml:space="preserve">  </w:t>
      </w:r>
    </w:p>
    <w:p w:rsidR="004137D2" w:rsidRPr="00224B94" w:rsidRDefault="004137D2" w:rsidP="004137D2">
      <w:pPr>
        <w:ind w:left="1077" w:right="1171" w:firstLine="3"/>
        <w:jc w:val="both"/>
        <w:rPr>
          <w:i/>
          <w:iCs/>
          <w:sz w:val="20"/>
          <w:szCs w:val="20"/>
          <w:lang w:val="en-US"/>
        </w:rPr>
      </w:pPr>
      <w:r w:rsidRPr="00224B94">
        <w:rPr>
          <w:i/>
          <w:iCs/>
          <w:sz w:val="20"/>
          <w:lang w:val="en-US"/>
        </w:rPr>
        <w:t>The methodology PRIDIT is not more than a no-parametric technique statistic simpler and easie</w:t>
      </w:r>
      <w:r>
        <w:rPr>
          <w:i/>
          <w:iCs/>
          <w:sz w:val="20"/>
          <w:lang w:val="en-US"/>
        </w:rPr>
        <w:t xml:space="preserve">r of </w:t>
      </w:r>
      <w:r w:rsidRPr="00224B94">
        <w:rPr>
          <w:i/>
          <w:iCs/>
          <w:sz w:val="20"/>
          <w:lang w:val="en-US"/>
        </w:rPr>
        <w:t>to understand and to implement, it can also satisfy managerial necessities because the applications of this methodology can extend to much finer classifications that the binary test of detection fraud/no fraud, since it provides an additional value in its capacity to prove its model's of scores consistency with the patterns of the entrance variables. Specifically, the weight and the obtained scores of the methodology PRIDIT is representative of the entrance variables and they can already be proven through the correlation with other models of score certain.</w:t>
      </w:r>
    </w:p>
    <w:p w:rsidR="000C2C54" w:rsidRPr="004137D2" w:rsidRDefault="000C2C54" w:rsidP="000C2C54">
      <w:pPr>
        <w:pStyle w:val="Ttulo1"/>
        <w:rPr>
          <w:lang w:val="en-US"/>
        </w:rPr>
        <w:sectPr w:rsidR="000C2C54" w:rsidRPr="004137D2" w:rsidSect="0034638F">
          <w:pgSz w:w="12240" w:h="15840"/>
          <w:pgMar w:top="2268" w:right="1361" w:bottom="2268" w:left="2268" w:header="720" w:footer="720" w:gutter="0"/>
          <w:cols w:space="720"/>
          <w:docGrid w:linePitch="360"/>
        </w:sectPr>
      </w:pPr>
    </w:p>
    <w:p w:rsidR="000C2C54" w:rsidRDefault="000C2C54" w:rsidP="000C2C54">
      <w:pPr>
        <w:pStyle w:val="Ttulo1"/>
      </w:pPr>
      <w:r>
        <w:lastRenderedPageBreak/>
        <w:t>INTRODUCCIÓN</w:t>
      </w:r>
    </w:p>
    <w:p w:rsidR="000C2C54" w:rsidRDefault="000C2C54" w:rsidP="000C2C54">
      <w:pPr>
        <w:jc w:val="both"/>
      </w:pPr>
    </w:p>
    <w:p w:rsidR="00D57144" w:rsidRPr="00D57144" w:rsidRDefault="00D57144" w:rsidP="00D57144">
      <w:pPr>
        <w:jc w:val="both"/>
        <w:rPr>
          <w:lang w:val="es-EC"/>
        </w:rPr>
      </w:pPr>
      <w:r w:rsidRPr="00D57144">
        <w:rPr>
          <w:lang w:val="es-EC"/>
        </w:rPr>
        <w:t>Un término desgraciadamente muy utilizado en toda la sociedad es el de “fraude”. Conocemos por fraude cualquier actividad en la que para derivar un beneficio económico, se crean situaciones ficticias o se exageran daños.</w:t>
      </w:r>
    </w:p>
    <w:p w:rsidR="00896BCE" w:rsidRDefault="00896BCE" w:rsidP="00D57144">
      <w:pPr>
        <w:jc w:val="both"/>
        <w:rPr>
          <w:lang w:val="es-EC"/>
        </w:rPr>
      </w:pPr>
    </w:p>
    <w:p w:rsidR="00D57144" w:rsidRPr="00D57144" w:rsidRDefault="00D57144" w:rsidP="00D57144">
      <w:pPr>
        <w:jc w:val="both"/>
        <w:rPr>
          <w:lang w:val="es-EC"/>
        </w:rPr>
      </w:pPr>
      <w:r w:rsidRPr="00D57144">
        <w:rPr>
          <w:lang w:val="es-EC"/>
        </w:rPr>
        <w:t>El fraude está considerado como una de las industrias criminales más grandes en la sociedad, y según estudios de varios investigadores aumentan en épocas donde la gente necesita dinero tales como la Navidad, Fin de año, etc.</w:t>
      </w:r>
    </w:p>
    <w:p w:rsidR="00D57144" w:rsidRDefault="00D57144" w:rsidP="000C2C54">
      <w:pPr>
        <w:jc w:val="both"/>
      </w:pPr>
    </w:p>
    <w:p w:rsidR="000C2C54" w:rsidRDefault="00D57144" w:rsidP="000C2C54">
      <w:pPr>
        <w:jc w:val="both"/>
      </w:pPr>
      <w:r w:rsidRPr="00D57144">
        <w:t>A pesar de que el fraude se da en casi todas las ramas, los fraudes en los seguros se han convertido en una práctica común. El mercado asegurador considera el fraude como un factor ineludible de riesgo y, hoy en día las entidades luchan por desarrollar un foco de acción frente al mismo.</w:t>
      </w:r>
      <w:r>
        <w:t xml:space="preserve"> </w:t>
      </w:r>
      <w:r w:rsidR="00A77B87">
        <w:t>Es por esto que el presente estudio tiene l</w:t>
      </w:r>
      <w:r w:rsidR="000C2C54">
        <w:t>os</w:t>
      </w:r>
      <w:r w:rsidR="00A77B87">
        <w:t xml:space="preserve"> siguientes</w:t>
      </w:r>
      <w:r w:rsidR="000C2C54">
        <w:t xml:space="preserve"> objetivos</w:t>
      </w:r>
      <w:r w:rsidR="00A77B87">
        <w:t>:</w:t>
      </w:r>
    </w:p>
    <w:p w:rsidR="000C2C54" w:rsidRDefault="000C2C54" w:rsidP="000C2C54">
      <w:pPr>
        <w:jc w:val="both"/>
      </w:pPr>
    </w:p>
    <w:p w:rsidR="000C2C54" w:rsidRDefault="000C2C54" w:rsidP="000C2C54">
      <w:pPr>
        <w:pStyle w:val="Ttulo1"/>
      </w:pPr>
      <w:r>
        <w:t>Objetivo general</w:t>
      </w:r>
    </w:p>
    <w:p w:rsidR="00CA3EA8" w:rsidRDefault="00CA3EA8" w:rsidP="00D57144">
      <w:pPr>
        <w:jc w:val="both"/>
        <w:rPr>
          <w:lang w:val="es-EC"/>
        </w:rPr>
      </w:pPr>
    </w:p>
    <w:p w:rsidR="00D57144" w:rsidRPr="00D57144" w:rsidRDefault="00D57144" w:rsidP="00D57144">
      <w:pPr>
        <w:jc w:val="both"/>
        <w:rPr>
          <w:lang w:val="es-EC"/>
        </w:rPr>
      </w:pPr>
      <w:r>
        <w:rPr>
          <w:lang w:val="es-EC"/>
        </w:rPr>
        <w:t>A</w:t>
      </w:r>
      <w:r w:rsidRPr="00D57144">
        <w:rPr>
          <w:lang w:val="es-EC"/>
        </w:rPr>
        <w:t>plic</w:t>
      </w:r>
      <w:r>
        <w:rPr>
          <w:lang w:val="es-EC"/>
        </w:rPr>
        <w:t>ar</w:t>
      </w:r>
      <w:r w:rsidRPr="00D57144">
        <w:rPr>
          <w:lang w:val="es-EC"/>
        </w:rPr>
        <w:t xml:space="preserve"> un modelo de detección de fraude a una cartera real de seguro de automóviles</w:t>
      </w:r>
      <w:r w:rsidR="00091067">
        <w:rPr>
          <w:lang w:val="es-EC"/>
        </w:rPr>
        <w:t xml:space="preserve"> </w:t>
      </w:r>
      <w:r w:rsidRPr="00D57144">
        <w:rPr>
          <w:lang w:val="es-EC"/>
        </w:rPr>
        <w:t>enfocado en las declaraciones de siniestros de automóviles para clasificar y cuantificar el nivel de fraude de cada una de estas declaraciones</w:t>
      </w:r>
      <w:r>
        <w:rPr>
          <w:lang w:val="es-EC"/>
        </w:rPr>
        <w:t xml:space="preserve"> </w:t>
      </w:r>
      <w:r w:rsidRPr="00D57144">
        <w:rPr>
          <w:lang w:val="es-EC"/>
        </w:rPr>
        <w:t xml:space="preserve">realizadas por los asegurados. </w:t>
      </w:r>
    </w:p>
    <w:p w:rsidR="000C2C54" w:rsidRDefault="000C2C54" w:rsidP="000C2C54">
      <w:pPr>
        <w:jc w:val="both"/>
        <w:rPr>
          <w:b/>
          <w:bCs/>
        </w:rPr>
      </w:pPr>
      <w:r>
        <w:rPr>
          <w:b/>
          <w:bCs/>
        </w:rPr>
        <w:lastRenderedPageBreak/>
        <w:t>Objetivos específicos:</w:t>
      </w:r>
    </w:p>
    <w:p w:rsidR="00B750E8" w:rsidRDefault="00B750E8" w:rsidP="000C2C54">
      <w:pPr>
        <w:jc w:val="both"/>
      </w:pPr>
    </w:p>
    <w:p w:rsidR="00D57144" w:rsidRPr="00D57144" w:rsidRDefault="00D57144" w:rsidP="00D57144">
      <w:pPr>
        <w:numPr>
          <w:ilvl w:val="0"/>
          <w:numId w:val="1"/>
        </w:numPr>
        <w:ind w:left="714" w:hanging="357"/>
        <w:jc w:val="both"/>
        <w:rPr>
          <w:b/>
          <w:lang w:val="es-EC"/>
        </w:rPr>
      </w:pPr>
      <w:r w:rsidRPr="00D57144">
        <w:rPr>
          <w:lang w:val="es-EC"/>
        </w:rPr>
        <w:t xml:space="preserve">Reducir la incertidumbre e incrementar las oportunidades de clasificar las demandas correcta y eficientemente a cada grupo (fraudulentas / no fraudulentas) sin importar el tipo de variables que intervengan. </w:t>
      </w:r>
    </w:p>
    <w:p w:rsidR="00091067" w:rsidRPr="00091067" w:rsidRDefault="00091067" w:rsidP="00091067">
      <w:pPr>
        <w:numPr>
          <w:ilvl w:val="0"/>
          <w:numId w:val="1"/>
        </w:numPr>
        <w:ind w:left="714" w:hanging="357"/>
        <w:jc w:val="both"/>
        <w:rPr>
          <w:lang w:val="es-EC"/>
        </w:rPr>
      </w:pPr>
      <w:r w:rsidRPr="00091067">
        <w:rPr>
          <w:lang w:val="es-EC"/>
        </w:rPr>
        <w:t>Transformar</w:t>
      </w:r>
      <w:r>
        <w:rPr>
          <w:lang w:val="es-EC"/>
        </w:rPr>
        <w:t xml:space="preserve"> </w:t>
      </w:r>
      <w:r w:rsidRPr="00091067">
        <w:rPr>
          <w:lang w:val="es-EC"/>
        </w:rPr>
        <w:t>respuestas</w:t>
      </w:r>
      <w:r>
        <w:rPr>
          <w:lang w:val="es-EC"/>
        </w:rPr>
        <w:t xml:space="preserve"> </w:t>
      </w:r>
      <w:r w:rsidRPr="00091067">
        <w:rPr>
          <w:lang w:val="es-EC"/>
        </w:rPr>
        <w:t>categóricas en un conjunto de valores numéricos que estén dentro de un intervalo [-1,1], lo cual refleje la relativa anormalidad de una respuesta en particular.</w:t>
      </w:r>
    </w:p>
    <w:p w:rsidR="00091067" w:rsidRPr="00091067" w:rsidRDefault="00091067" w:rsidP="00091067">
      <w:pPr>
        <w:numPr>
          <w:ilvl w:val="0"/>
          <w:numId w:val="1"/>
        </w:numPr>
        <w:ind w:left="714" w:hanging="357"/>
        <w:jc w:val="both"/>
        <w:rPr>
          <w:lang w:val="es-EC"/>
        </w:rPr>
      </w:pPr>
      <w:r w:rsidRPr="00091067">
        <w:rPr>
          <w:lang w:val="es-EC"/>
        </w:rPr>
        <w:t>Determinar una ponderación de fraude para cada variable involucrada en el análisis.</w:t>
      </w:r>
    </w:p>
    <w:p w:rsidR="00091067" w:rsidRPr="00091067" w:rsidRDefault="00091067" w:rsidP="00091067">
      <w:pPr>
        <w:numPr>
          <w:ilvl w:val="0"/>
          <w:numId w:val="1"/>
        </w:numPr>
        <w:ind w:left="714" w:hanging="357"/>
        <w:jc w:val="both"/>
        <w:rPr>
          <w:lang w:val="es-EC"/>
        </w:rPr>
      </w:pPr>
      <w:r w:rsidRPr="00091067">
        <w:rPr>
          <w:lang w:val="es-EC"/>
        </w:rPr>
        <w:t>Determinar una medida de poder discriminatorio que permita clasificar las demandas en fraudulentas y no fraudulentas.</w:t>
      </w:r>
    </w:p>
    <w:p w:rsidR="00A074B1" w:rsidRDefault="00A074B1" w:rsidP="00A074B1">
      <w:pPr>
        <w:jc w:val="both"/>
        <w:rPr>
          <w:b/>
          <w:bCs/>
        </w:rPr>
      </w:pPr>
    </w:p>
    <w:p w:rsidR="00A074B1" w:rsidRDefault="00A074B1" w:rsidP="00A074B1">
      <w:pPr>
        <w:jc w:val="both"/>
        <w:rPr>
          <w:b/>
          <w:bCs/>
        </w:rPr>
      </w:pPr>
    </w:p>
    <w:p w:rsidR="000C2C54" w:rsidRDefault="00DD3EE4" w:rsidP="00870BEE">
      <w:pPr>
        <w:numPr>
          <w:ilvl w:val="0"/>
          <w:numId w:val="10"/>
        </w:numPr>
        <w:jc w:val="both"/>
        <w:rPr>
          <w:b/>
          <w:bCs/>
        </w:rPr>
      </w:pPr>
      <w:r w:rsidRPr="00A074B1">
        <w:rPr>
          <w:b/>
          <w:bCs/>
        </w:rPr>
        <w:t>MOTIVACIÓN PARA LA</w:t>
      </w:r>
      <w:r>
        <w:rPr>
          <w:b/>
          <w:bCs/>
        </w:rPr>
        <w:t xml:space="preserve"> INVESTIGACIÓN</w:t>
      </w:r>
    </w:p>
    <w:p w:rsidR="00DD3EE4" w:rsidRDefault="00DD3EE4" w:rsidP="00DD3EE4">
      <w:pPr>
        <w:ind w:left="360"/>
        <w:jc w:val="both"/>
        <w:rPr>
          <w:b/>
          <w:bCs/>
        </w:rPr>
      </w:pPr>
    </w:p>
    <w:p w:rsidR="00DD3EE4" w:rsidRPr="00DD3EE4" w:rsidRDefault="00E61824" w:rsidP="00A074B1">
      <w:pPr>
        <w:ind w:left="340"/>
        <w:jc w:val="both"/>
        <w:rPr>
          <w:lang w:val="es-EC"/>
        </w:rPr>
      </w:pPr>
      <w:r>
        <w:t>L</w:t>
      </w:r>
      <w:r w:rsidR="00DD3EE4" w:rsidRPr="00DD3EE4">
        <w:rPr>
          <w:lang w:val="es-EC"/>
        </w:rPr>
        <w:t>a influencia de las acciones deshonestas por parte de los asegurados se deja sentir tanto en el número de siniestros declarados como en la cuantía de los mismos</w:t>
      </w:r>
      <w:r>
        <w:rPr>
          <w:lang w:val="es-EC"/>
        </w:rPr>
        <w:t>,</w:t>
      </w:r>
      <w:r w:rsidR="00DD3EE4" w:rsidRPr="00DD3EE4">
        <w:rPr>
          <w:lang w:val="es-EC"/>
        </w:rPr>
        <w:t xml:space="preserve"> </w:t>
      </w:r>
      <w:r>
        <w:rPr>
          <w:lang w:val="es-EC"/>
        </w:rPr>
        <w:t>s</w:t>
      </w:r>
      <w:r w:rsidR="00DD3EE4" w:rsidRPr="00DD3EE4">
        <w:rPr>
          <w:lang w:val="es-EC"/>
        </w:rPr>
        <w:t>i consideramos el peso que ello puede tener a la hora de justificar la aparición de resultados técnicos negativos durante los últimos años en el seguro de vehículos y el incremento del valor de las primas por la contratación de estos mismos seguros, queda más que justificada la necesidad de diseñar herramientas que ayuden a las entidades en la detección y lucha contra el fraude.</w:t>
      </w:r>
    </w:p>
    <w:p w:rsidR="00E61824" w:rsidRDefault="00E61824" w:rsidP="00A074B1">
      <w:pPr>
        <w:ind w:left="340"/>
        <w:jc w:val="both"/>
        <w:rPr>
          <w:lang w:val="es-EC"/>
        </w:rPr>
      </w:pPr>
      <w:r w:rsidRPr="00E61824">
        <w:rPr>
          <w:lang w:val="es-EC"/>
        </w:rPr>
        <w:lastRenderedPageBreak/>
        <w:t xml:space="preserve">En el Ecuador no se han hecho estudios serios al respecto, sin embargo en otros países este tipo de estudios están bien adelantados, </w:t>
      </w:r>
      <w:r>
        <w:rPr>
          <w:lang w:val="es-EC"/>
        </w:rPr>
        <w:t xml:space="preserve">como por ejemplo: </w:t>
      </w:r>
      <w:r w:rsidRPr="00E61824">
        <w:rPr>
          <w:lang w:val="es-EC"/>
        </w:rPr>
        <w:t xml:space="preserve">En España, según la Investigación Cooperativa entre Entidades Aseguradoras y Fondos de Pensión </w:t>
      </w:r>
      <w:r>
        <w:rPr>
          <w:lang w:val="es-EC"/>
        </w:rPr>
        <w:t>(</w:t>
      </w:r>
      <w:r w:rsidRPr="00E61824">
        <w:rPr>
          <w:lang w:val="es-EC"/>
        </w:rPr>
        <w:t>ICEA</w:t>
      </w:r>
      <w:r>
        <w:rPr>
          <w:lang w:val="es-EC"/>
        </w:rPr>
        <w:t>)</w:t>
      </w:r>
      <w:r w:rsidRPr="00E61824">
        <w:rPr>
          <w:lang w:val="es-EC"/>
        </w:rPr>
        <w:t>, el sector del automóvil es el que más fraudes registr</w:t>
      </w:r>
      <w:r w:rsidR="00A074B1">
        <w:rPr>
          <w:lang w:val="es-EC"/>
        </w:rPr>
        <w:t>a</w:t>
      </w:r>
      <w:r w:rsidRPr="00E61824">
        <w:rPr>
          <w:lang w:val="es-EC"/>
        </w:rPr>
        <w:t>, puesto que de los 46.228 casos detectados en el 2001, el 90 por ciento correspondía a esta rama. En lo que respecta al año en curso (2004) según datos de la ICEA, más del 75 por ciento de los casos de fraude detectados corresponde a la rama de vehículos.</w:t>
      </w:r>
    </w:p>
    <w:p w:rsidR="00A074B1" w:rsidRDefault="00A074B1" w:rsidP="00A074B1">
      <w:pPr>
        <w:ind w:left="720"/>
        <w:jc w:val="both"/>
        <w:rPr>
          <w:lang w:val="es-EC"/>
        </w:rPr>
      </w:pPr>
    </w:p>
    <w:p w:rsidR="00A074B1" w:rsidRPr="00A074B1" w:rsidRDefault="00A074B1" w:rsidP="00A074B1">
      <w:pPr>
        <w:ind w:left="360"/>
        <w:jc w:val="both"/>
        <w:rPr>
          <w:lang w:val="es-EC"/>
        </w:rPr>
      </w:pPr>
      <w:r w:rsidRPr="00A074B1">
        <w:rPr>
          <w:lang w:val="es-EC"/>
        </w:rPr>
        <w:t xml:space="preserve">Para el caso de las compañías de seguros de nuestro país les es más fácil pagar los siniestros reclamados por los asegurados que entrar en trámites legales, ya que en el país </w:t>
      </w:r>
      <w:r w:rsidR="00870BEE">
        <w:rPr>
          <w:lang w:val="es-EC"/>
        </w:rPr>
        <w:t xml:space="preserve">no </w:t>
      </w:r>
      <w:r w:rsidRPr="00A074B1">
        <w:rPr>
          <w:lang w:val="es-EC"/>
        </w:rPr>
        <w:t xml:space="preserve">se cuenta con una unidad investigativa a la que puedan recurrir las aseguradoras para verificar la honestidad de los reportes de siniestros. Por todo esto, es que las aseguradoras deberían estar interesadas en buscar métodos que les permitan detectar y clasificar una demanda como fraudulenta o no. </w:t>
      </w:r>
    </w:p>
    <w:p w:rsidR="000C2C54" w:rsidRDefault="000C2C54" w:rsidP="000C2C54">
      <w:pPr>
        <w:ind w:left="1080"/>
        <w:jc w:val="both"/>
        <w:rPr>
          <w:lang w:val="es-EC"/>
        </w:rPr>
      </w:pPr>
    </w:p>
    <w:p w:rsidR="00B61FE4" w:rsidRPr="00E61824" w:rsidRDefault="00B61FE4" w:rsidP="000C2C54">
      <w:pPr>
        <w:ind w:left="1080"/>
        <w:jc w:val="both"/>
        <w:rPr>
          <w:lang w:val="es-EC"/>
        </w:rPr>
      </w:pPr>
    </w:p>
    <w:p w:rsidR="005E51A0" w:rsidRDefault="005E51A0" w:rsidP="005E51A0">
      <w:pPr>
        <w:pStyle w:val="Sangra2detindependiente"/>
        <w:numPr>
          <w:ilvl w:val="0"/>
          <w:numId w:val="10"/>
        </w:numPr>
        <w:rPr>
          <w:b/>
        </w:rPr>
      </w:pPr>
      <w:r w:rsidRPr="005E51A0">
        <w:rPr>
          <w:b/>
        </w:rPr>
        <w:lastRenderedPageBreak/>
        <w:t>EL SEGURO VEHICULAR EN EL ECUADOR</w:t>
      </w:r>
      <w:r>
        <w:rPr>
          <w:b/>
        </w:rPr>
        <w:t xml:space="preserve"> DURANTE LA ÚLTIMA DÉCADA</w:t>
      </w:r>
    </w:p>
    <w:p w:rsidR="00DC7B68" w:rsidRDefault="00DC7B68" w:rsidP="00DC7B68">
      <w:pPr>
        <w:pStyle w:val="Sangra2detindependiente"/>
        <w:ind w:left="0"/>
        <w:rPr>
          <w:b/>
        </w:rPr>
      </w:pPr>
    </w:p>
    <w:p w:rsidR="005E51A0" w:rsidRDefault="00DC7B68" w:rsidP="00DC7B68">
      <w:pPr>
        <w:pStyle w:val="Sangra2detindependiente"/>
        <w:ind w:left="340"/>
        <w:rPr>
          <w:lang w:val="es-EC"/>
        </w:rPr>
      </w:pPr>
      <w:r w:rsidRPr="00DC7B68">
        <w:rPr>
          <w:lang w:val="es-EC"/>
        </w:rPr>
        <w:t>Durante la década (1.993 – 2003) en el Ecuador, muchas de las aseguradoras que ofrecen seguros para automóviles se percataron de que el monto de indemnización pagado a sus asegurados por causa de un siniestro específico era muy alto. El mercado asegurador del Ecuador durante esta última década ha visto en el ramo de seguros de vehículos, el ramo con mayor monto pagado por siniestros en lo que respecta a los demás ramos de seguros.</w:t>
      </w:r>
    </w:p>
    <w:p w:rsidR="00DC7B68" w:rsidRDefault="00DC7B68" w:rsidP="00DC7B68">
      <w:pPr>
        <w:pStyle w:val="Sangra2detindependiente"/>
        <w:ind w:left="340"/>
        <w:rPr>
          <w:lang w:val="es-EC"/>
        </w:rPr>
      </w:pPr>
    </w:p>
    <w:p w:rsidR="004137D2" w:rsidRDefault="00DC7B68" w:rsidP="00B61FE4">
      <w:pPr>
        <w:autoSpaceDE w:val="0"/>
        <w:autoSpaceDN w:val="0"/>
        <w:adjustRightInd w:val="0"/>
        <w:ind w:left="340"/>
        <w:jc w:val="both"/>
        <w:rPr>
          <w:lang w:val="es-EC"/>
        </w:rPr>
      </w:pPr>
      <w:r w:rsidRPr="00DC7B68">
        <w:rPr>
          <w:lang w:val="es-EC"/>
        </w:rPr>
        <w:t xml:space="preserve">La Superintendencia de Bancos y Seguros del Ecuador dispone de la información de los montos totales de siniestros pagados de todas las aseguradoras en </w:t>
      </w:r>
      <w:r w:rsidR="00B61FE4">
        <w:rPr>
          <w:lang w:val="es-EC"/>
        </w:rPr>
        <w:t>el ramo de vehículos</w:t>
      </w:r>
      <w:r w:rsidRPr="00DC7B68">
        <w:rPr>
          <w:lang w:val="es-EC"/>
        </w:rPr>
        <w:t xml:space="preserve">. </w:t>
      </w:r>
    </w:p>
    <w:p w:rsidR="004137D2" w:rsidRPr="004137D2" w:rsidRDefault="004137D2" w:rsidP="004137D2">
      <w:pPr>
        <w:rPr>
          <w:lang w:val="es-EC"/>
        </w:rPr>
      </w:pPr>
    </w:p>
    <w:p w:rsidR="00DC7B68" w:rsidRPr="00DC7B68" w:rsidRDefault="00DC7B68" w:rsidP="00847CA1">
      <w:pPr>
        <w:pStyle w:val="Epgrafe"/>
        <w:ind w:firstLine="540"/>
        <w:jc w:val="center"/>
        <w:rPr>
          <w:rFonts w:ascii="Arial" w:hAnsi="Arial" w:cs="Arial"/>
          <w:sz w:val="16"/>
          <w:szCs w:val="16"/>
          <w:lang w:val="es-EC"/>
        </w:rPr>
      </w:pPr>
      <w:r w:rsidRPr="00DC7B68">
        <w:rPr>
          <w:rFonts w:ascii="Arial" w:hAnsi="Arial" w:cs="Arial"/>
          <w:sz w:val="16"/>
          <w:szCs w:val="16"/>
          <w:lang w:val="es-EC"/>
        </w:rPr>
        <w:t>CUADRO 1</w:t>
      </w:r>
    </w:p>
    <w:p w:rsidR="00DC7B68" w:rsidRPr="00DC7B68" w:rsidRDefault="00476857" w:rsidP="00DC7B68">
      <w:pPr>
        <w:autoSpaceDE w:val="0"/>
        <w:autoSpaceDN w:val="0"/>
        <w:adjustRightInd w:val="0"/>
        <w:ind w:left="539"/>
        <w:jc w:val="center"/>
        <w:rPr>
          <w:rFonts w:ascii="Arial" w:hAnsi="Arial" w:cs="Arial"/>
          <w:sz w:val="16"/>
          <w:szCs w:val="16"/>
          <w:lang w:val="es-EC"/>
        </w:rPr>
      </w:pPr>
      <w:r w:rsidRPr="00DC7B68">
        <w:rPr>
          <w:rFonts w:ascii="Arial" w:hAnsi="Arial" w:cs="Arial"/>
          <w:sz w:val="16"/>
          <w:szCs w:val="16"/>
          <w:lang w:val="es-EC"/>
        </w:rPr>
        <w:t>MONTO TOTAL DE INDEMNIZACIÓN LIQUIDADA POR SINIESTROS VEHICULARES PARA EL PERÍODO 1.993 – 2.003</w:t>
      </w:r>
    </w:p>
    <w:p w:rsidR="00DC7B68" w:rsidRDefault="007E1FC3" w:rsidP="00DC7B68">
      <w:pPr>
        <w:autoSpaceDE w:val="0"/>
        <w:autoSpaceDN w:val="0"/>
        <w:adjustRightInd w:val="0"/>
        <w:jc w:val="center"/>
        <w:rPr>
          <w:rFonts w:ascii="Arial" w:hAnsi="Arial" w:cs="Arial"/>
          <w:lang w:val="es-EC"/>
        </w:rPr>
      </w:pPr>
      <w:r>
        <w:rPr>
          <w:noProof/>
          <w:lang w:val="en-US"/>
        </w:rPr>
        <w:drawing>
          <wp:inline distT="0" distB="0" distL="0" distR="0">
            <wp:extent cx="1200150" cy="20955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200150" cy="2095500"/>
                    </a:xfrm>
                    <a:prstGeom prst="rect">
                      <a:avLst/>
                    </a:prstGeom>
                    <a:noFill/>
                    <a:ln w="9525">
                      <a:noFill/>
                      <a:miter lim="800000"/>
                      <a:headEnd/>
                      <a:tailEnd/>
                    </a:ln>
                  </pic:spPr>
                </pic:pic>
              </a:graphicData>
            </a:graphic>
          </wp:inline>
        </w:drawing>
      </w:r>
    </w:p>
    <w:p w:rsidR="00B61FE4" w:rsidRDefault="00DC7B68" w:rsidP="00B61FE4">
      <w:pPr>
        <w:autoSpaceDE w:val="0"/>
        <w:autoSpaceDN w:val="0"/>
        <w:adjustRightInd w:val="0"/>
        <w:ind w:left="360"/>
        <w:jc w:val="center"/>
        <w:rPr>
          <w:rFonts w:ascii="Arial" w:hAnsi="Arial" w:cs="Arial"/>
          <w:sz w:val="16"/>
          <w:szCs w:val="16"/>
          <w:lang w:val="es-EC"/>
        </w:rPr>
      </w:pPr>
      <w:r w:rsidRPr="00DC7B68">
        <w:rPr>
          <w:rFonts w:ascii="Arial" w:hAnsi="Arial" w:cs="Arial"/>
          <w:b/>
          <w:sz w:val="16"/>
          <w:szCs w:val="16"/>
          <w:lang w:val="es-EC"/>
        </w:rPr>
        <w:t>Fuente:</w:t>
      </w:r>
      <w:r w:rsidR="00847CA1">
        <w:rPr>
          <w:rFonts w:ascii="Arial" w:hAnsi="Arial" w:cs="Arial"/>
          <w:sz w:val="16"/>
          <w:szCs w:val="16"/>
          <w:lang w:val="es-EC"/>
        </w:rPr>
        <w:t xml:space="preserve"> Superintendencia de Bancos y </w:t>
      </w:r>
      <w:r w:rsidR="00540A9C">
        <w:rPr>
          <w:rFonts w:ascii="Arial" w:hAnsi="Arial" w:cs="Arial"/>
          <w:sz w:val="16"/>
          <w:szCs w:val="16"/>
          <w:lang w:val="es-EC"/>
        </w:rPr>
        <w:t>Seguros del</w:t>
      </w:r>
    </w:p>
    <w:p w:rsidR="00540A9C" w:rsidRPr="00540A9C" w:rsidRDefault="00B61FE4" w:rsidP="00B61FE4">
      <w:pPr>
        <w:autoSpaceDE w:val="0"/>
        <w:autoSpaceDN w:val="0"/>
        <w:adjustRightInd w:val="0"/>
        <w:ind w:left="1069"/>
        <w:rPr>
          <w:rFonts w:ascii="Arial" w:hAnsi="Arial" w:cs="Arial"/>
          <w:sz w:val="16"/>
          <w:szCs w:val="16"/>
          <w:lang w:val="es-EC"/>
        </w:rPr>
      </w:pPr>
      <w:r>
        <w:rPr>
          <w:rFonts w:ascii="Arial" w:hAnsi="Arial" w:cs="Arial"/>
          <w:b/>
          <w:sz w:val="16"/>
          <w:szCs w:val="16"/>
          <w:lang w:val="es-EC"/>
        </w:rPr>
        <w:t xml:space="preserve">   </w:t>
      </w:r>
      <w:r w:rsidR="00540A9C" w:rsidRPr="00540A9C">
        <w:rPr>
          <w:rFonts w:ascii="Arial" w:hAnsi="Arial" w:cs="Arial"/>
          <w:sz w:val="16"/>
          <w:szCs w:val="16"/>
          <w:lang w:val="es-EC"/>
        </w:rPr>
        <w:t>Ecuador</w:t>
      </w:r>
    </w:p>
    <w:p w:rsidR="00DC7B68" w:rsidRDefault="00B61FE4" w:rsidP="00B61FE4">
      <w:pPr>
        <w:autoSpaceDE w:val="0"/>
        <w:autoSpaceDN w:val="0"/>
        <w:adjustRightInd w:val="0"/>
        <w:ind w:left="480"/>
        <w:jc w:val="both"/>
        <w:rPr>
          <w:rFonts w:ascii="Arial" w:hAnsi="Arial" w:cs="Arial"/>
          <w:sz w:val="16"/>
          <w:szCs w:val="16"/>
          <w:lang w:val="es-EC"/>
        </w:rPr>
      </w:pPr>
      <w:r>
        <w:rPr>
          <w:rFonts w:ascii="Arial" w:hAnsi="Arial" w:cs="Arial"/>
          <w:b/>
          <w:sz w:val="16"/>
          <w:szCs w:val="16"/>
          <w:lang w:val="es-EC"/>
        </w:rPr>
        <w:t xml:space="preserve">   </w:t>
      </w:r>
      <w:r w:rsidR="00847CA1">
        <w:rPr>
          <w:rFonts w:ascii="Arial" w:hAnsi="Arial" w:cs="Arial"/>
          <w:b/>
          <w:sz w:val="16"/>
          <w:szCs w:val="16"/>
          <w:lang w:val="es-EC"/>
        </w:rPr>
        <w:t>E</w:t>
      </w:r>
      <w:r w:rsidR="00847CA1" w:rsidRPr="00DC7B68">
        <w:rPr>
          <w:rFonts w:ascii="Arial" w:hAnsi="Arial" w:cs="Arial"/>
          <w:b/>
          <w:sz w:val="16"/>
          <w:szCs w:val="16"/>
          <w:lang w:val="es-EC"/>
        </w:rPr>
        <w:t>labora</w:t>
      </w:r>
      <w:r w:rsidR="00847CA1">
        <w:rPr>
          <w:rFonts w:ascii="Arial" w:hAnsi="Arial" w:cs="Arial"/>
          <w:b/>
          <w:sz w:val="16"/>
          <w:szCs w:val="16"/>
          <w:lang w:val="es-EC"/>
        </w:rPr>
        <w:t>ción</w:t>
      </w:r>
      <w:r w:rsidR="00DC7B68" w:rsidRPr="00DC7B68">
        <w:rPr>
          <w:rFonts w:ascii="Arial" w:hAnsi="Arial" w:cs="Arial"/>
          <w:b/>
          <w:sz w:val="16"/>
          <w:szCs w:val="16"/>
          <w:lang w:val="es-EC"/>
        </w:rPr>
        <w:t>:</w:t>
      </w:r>
      <w:r w:rsidR="00DC7B68" w:rsidRPr="00DC7B68">
        <w:rPr>
          <w:rFonts w:ascii="Arial" w:hAnsi="Arial" w:cs="Arial"/>
          <w:sz w:val="16"/>
          <w:szCs w:val="16"/>
          <w:lang w:val="es-EC"/>
        </w:rPr>
        <w:t xml:space="preserve"> H</w:t>
      </w:r>
      <w:r w:rsidR="00847CA1">
        <w:rPr>
          <w:rFonts w:ascii="Arial" w:hAnsi="Arial" w:cs="Arial"/>
          <w:sz w:val="16"/>
          <w:szCs w:val="16"/>
          <w:lang w:val="es-EC"/>
        </w:rPr>
        <w:t>eydi</w:t>
      </w:r>
      <w:r w:rsidR="00DC7B68" w:rsidRPr="00DC7B68">
        <w:rPr>
          <w:rFonts w:ascii="Arial" w:hAnsi="Arial" w:cs="Arial"/>
          <w:sz w:val="16"/>
          <w:szCs w:val="16"/>
          <w:lang w:val="es-EC"/>
        </w:rPr>
        <w:t xml:space="preserve"> Roa</w:t>
      </w:r>
      <w:r w:rsidR="00847CA1">
        <w:rPr>
          <w:rFonts w:ascii="Arial" w:hAnsi="Arial" w:cs="Arial"/>
          <w:sz w:val="16"/>
          <w:szCs w:val="16"/>
          <w:lang w:val="es-EC"/>
        </w:rPr>
        <w:t xml:space="preserve"> López</w:t>
      </w:r>
    </w:p>
    <w:p w:rsidR="00BD2770" w:rsidRPr="00847CA1" w:rsidRDefault="00847CA1" w:rsidP="00847CA1">
      <w:pPr>
        <w:autoSpaceDE w:val="0"/>
        <w:autoSpaceDN w:val="0"/>
        <w:adjustRightInd w:val="0"/>
        <w:ind w:left="340"/>
        <w:jc w:val="center"/>
        <w:rPr>
          <w:rFonts w:ascii="Arial" w:hAnsi="Arial" w:cs="Arial"/>
          <w:b/>
          <w:sz w:val="16"/>
          <w:szCs w:val="16"/>
        </w:rPr>
      </w:pPr>
      <w:r>
        <w:rPr>
          <w:rFonts w:ascii="Arial" w:hAnsi="Arial" w:cs="Arial"/>
          <w:b/>
          <w:sz w:val="16"/>
          <w:szCs w:val="16"/>
        </w:rPr>
        <w:lastRenderedPageBreak/>
        <w:t>GRÁFICO 1</w:t>
      </w:r>
    </w:p>
    <w:p w:rsidR="00DC7B68" w:rsidRDefault="007E1FC3" w:rsidP="00540A9C">
      <w:pPr>
        <w:autoSpaceDE w:val="0"/>
        <w:autoSpaceDN w:val="0"/>
        <w:adjustRightInd w:val="0"/>
        <w:spacing w:line="360" w:lineRule="auto"/>
        <w:ind w:left="340"/>
        <w:jc w:val="center"/>
      </w:pPr>
      <w:r>
        <w:rPr>
          <w:noProof/>
          <w:lang w:val="en-US"/>
        </w:rPr>
        <w:drawing>
          <wp:inline distT="0" distB="0" distL="0" distR="0">
            <wp:extent cx="2247900" cy="1581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247900" cy="1581150"/>
                    </a:xfrm>
                    <a:prstGeom prst="rect">
                      <a:avLst/>
                    </a:prstGeom>
                    <a:noFill/>
                    <a:ln w="9525">
                      <a:noFill/>
                      <a:miter lim="800000"/>
                      <a:headEnd/>
                      <a:tailEnd/>
                    </a:ln>
                  </pic:spPr>
                </pic:pic>
              </a:graphicData>
            </a:graphic>
          </wp:inline>
        </w:drawing>
      </w:r>
    </w:p>
    <w:p w:rsidR="00847CA1" w:rsidRPr="00847CA1" w:rsidRDefault="00847CA1" w:rsidP="00847CA1">
      <w:pPr>
        <w:autoSpaceDE w:val="0"/>
        <w:autoSpaceDN w:val="0"/>
        <w:adjustRightInd w:val="0"/>
        <w:ind w:left="340"/>
        <w:jc w:val="center"/>
        <w:rPr>
          <w:rFonts w:ascii="Arial" w:hAnsi="Arial" w:cs="Arial"/>
          <w:sz w:val="16"/>
          <w:szCs w:val="16"/>
          <w:lang w:val="es-EC"/>
        </w:rPr>
      </w:pPr>
      <w:r>
        <w:rPr>
          <w:rFonts w:ascii="Arial" w:hAnsi="Arial" w:cs="Arial"/>
          <w:b/>
          <w:sz w:val="16"/>
          <w:szCs w:val="16"/>
        </w:rPr>
        <w:t xml:space="preserve">Elaboración: </w:t>
      </w:r>
      <w:r>
        <w:rPr>
          <w:rFonts w:ascii="Arial" w:hAnsi="Arial" w:cs="Arial"/>
          <w:sz w:val="16"/>
          <w:szCs w:val="16"/>
        </w:rPr>
        <w:t>Heydi Roa López</w:t>
      </w:r>
    </w:p>
    <w:p w:rsidR="00DC7B68" w:rsidRPr="00DC7B68" w:rsidRDefault="00DC7B68" w:rsidP="00DC7B68">
      <w:pPr>
        <w:autoSpaceDE w:val="0"/>
        <w:autoSpaceDN w:val="0"/>
        <w:adjustRightInd w:val="0"/>
        <w:ind w:left="340"/>
        <w:jc w:val="both"/>
        <w:rPr>
          <w:lang w:val="es-EC"/>
        </w:rPr>
      </w:pPr>
    </w:p>
    <w:p w:rsidR="00FA13D9" w:rsidRDefault="00FA13D9" w:rsidP="00FA13D9">
      <w:pPr>
        <w:autoSpaceDE w:val="0"/>
        <w:autoSpaceDN w:val="0"/>
        <w:adjustRightInd w:val="0"/>
        <w:ind w:left="357"/>
        <w:jc w:val="both"/>
        <w:rPr>
          <w:lang w:val="es-EC"/>
        </w:rPr>
      </w:pPr>
      <w:r w:rsidRPr="00FA13D9">
        <w:rPr>
          <w:lang w:val="es-EC"/>
        </w:rPr>
        <w:t>En el GRÁFICO 1 se puede visualizar la tendencia creciente de los pagos de siniestros a los asegurados desde 1.993 hasta 1.998, notándose claramente la reducción de los pagos en el año 1.999 y 2.000 por los temores económicos que en ese período se suscitaron; sin embargo a partir del 2.001 vuelve la tendencia creciente, una vez adoptado el dólar como moneda oficial.</w:t>
      </w:r>
    </w:p>
    <w:p w:rsidR="00FA13D9" w:rsidRPr="00BD2770" w:rsidRDefault="00FA13D9" w:rsidP="00BD2770">
      <w:pPr>
        <w:autoSpaceDE w:val="0"/>
        <w:autoSpaceDN w:val="0"/>
        <w:adjustRightInd w:val="0"/>
        <w:ind w:left="357"/>
        <w:jc w:val="both"/>
        <w:rPr>
          <w:lang w:val="es-EC"/>
        </w:rPr>
      </w:pPr>
    </w:p>
    <w:p w:rsidR="00BD2770" w:rsidRPr="00BD2770" w:rsidRDefault="00BD2770" w:rsidP="00BD2770">
      <w:pPr>
        <w:autoSpaceDE w:val="0"/>
        <w:autoSpaceDN w:val="0"/>
        <w:adjustRightInd w:val="0"/>
        <w:ind w:left="357"/>
        <w:jc w:val="both"/>
        <w:rPr>
          <w:lang w:val="es-EC"/>
        </w:rPr>
      </w:pPr>
      <w:r w:rsidRPr="00BD2770">
        <w:rPr>
          <w:lang w:val="es-EC"/>
        </w:rPr>
        <w:t>Para reflejar con precisión la evolución de los montos de siniestros pagados por las aseguradoras se ha procedido a calcular los números índices con año base 1.993 = 100. La conversión de los datos a índices facilita la estimación de la tendencia en una serie compuesta por números muy grandes con se está manejando (miles de dólares).</w:t>
      </w:r>
      <w:r>
        <w:rPr>
          <w:lang w:val="es-EC"/>
        </w:rPr>
        <w:t xml:space="preserve"> Ver TABLA I y GRÁFICO 2. </w:t>
      </w:r>
    </w:p>
    <w:p w:rsidR="00BD2770" w:rsidRDefault="00BD2770" w:rsidP="00DC7B68">
      <w:pPr>
        <w:pStyle w:val="Sangra2detindependiente"/>
        <w:ind w:left="340"/>
        <w:rPr>
          <w:lang w:val="es-EC"/>
        </w:rPr>
      </w:pPr>
    </w:p>
    <w:p w:rsidR="00BD2770" w:rsidRPr="00BD2770" w:rsidRDefault="00BD2770" w:rsidP="00BD2770">
      <w:pPr>
        <w:pStyle w:val="Epgrafe"/>
        <w:keepNext/>
        <w:ind w:firstLine="720"/>
        <w:jc w:val="center"/>
        <w:rPr>
          <w:rFonts w:ascii="Arial" w:hAnsi="Arial" w:cs="Arial"/>
          <w:sz w:val="16"/>
          <w:szCs w:val="16"/>
          <w:lang w:val="es-EC"/>
        </w:rPr>
      </w:pPr>
      <w:r w:rsidRPr="00BD2770">
        <w:rPr>
          <w:rFonts w:ascii="Arial" w:hAnsi="Arial" w:cs="Arial"/>
          <w:sz w:val="16"/>
          <w:szCs w:val="16"/>
          <w:lang w:val="es-EC"/>
        </w:rPr>
        <w:lastRenderedPageBreak/>
        <w:t xml:space="preserve">TABLA </w:t>
      </w:r>
      <w:r w:rsidRPr="009F5815">
        <w:rPr>
          <w:rFonts w:ascii="Arial" w:hAnsi="Arial" w:cs="Arial"/>
          <w:sz w:val="16"/>
          <w:szCs w:val="16"/>
          <w:lang w:val="es-EC"/>
        </w:rPr>
        <w:t>I</w:t>
      </w:r>
    </w:p>
    <w:p w:rsidR="00BD2770" w:rsidRDefault="00476857" w:rsidP="009F5815">
      <w:pPr>
        <w:pStyle w:val="Epgrafe"/>
        <w:ind w:left="360"/>
        <w:jc w:val="center"/>
        <w:rPr>
          <w:rFonts w:ascii="Arial" w:hAnsi="Arial" w:cs="Arial"/>
          <w:b w:val="0"/>
          <w:sz w:val="16"/>
          <w:szCs w:val="16"/>
          <w:lang w:val="es-EC"/>
        </w:rPr>
      </w:pPr>
      <w:r w:rsidRPr="00BD2770">
        <w:rPr>
          <w:rFonts w:ascii="Arial" w:hAnsi="Arial" w:cs="Arial"/>
          <w:b w:val="0"/>
          <w:sz w:val="16"/>
          <w:szCs w:val="16"/>
          <w:lang w:val="es-EC"/>
        </w:rPr>
        <w:t xml:space="preserve">MONTO </w:t>
      </w:r>
      <w:r>
        <w:rPr>
          <w:rFonts w:ascii="Arial" w:hAnsi="Arial" w:cs="Arial"/>
          <w:b w:val="0"/>
          <w:sz w:val="16"/>
          <w:szCs w:val="16"/>
          <w:lang w:val="es-EC"/>
        </w:rPr>
        <w:t xml:space="preserve">TOTAL DE INDEMNIZACIÓN PAGADA E </w:t>
      </w:r>
      <w:r w:rsidRPr="00BD2770">
        <w:rPr>
          <w:rFonts w:ascii="Arial" w:hAnsi="Arial" w:cs="Arial"/>
          <w:b w:val="0"/>
          <w:sz w:val="16"/>
          <w:szCs w:val="16"/>
          <w:lang w:val="es-EC"/>
        </w:rPr>
        <w:t>ÍNDICES</w:t>
      </w:r>
      <w:r>
        <w:rPr>
          <w:rFonts w:ascii="Arial" w:hAnsi="Arial" w:cs="Arial"/>
          <w:b w:val="0"/>
          <w:sz w:val="16"/>
          <w:szCs w:val="16"/>
          <w:lang w:val="es-EC"/>
        </w:rPr>
        <w:t xml:space="preserve"> </w:t>
      </w:r>
      <w:r w:rsidRPr="00BD2770">
        <w:rPr>
          <w:rFonts w:ascii="Arial" w:hAnsi="Arial" w:cs="Arial"/>
          <w:b w:val="0"/>
          <w:sz w:val="16"/>
          <w:szCs w:val="16"/>
          <w:lang w:val="es-EC"/>
        </w:rPr>
        <w:t>CON AÑO BASE 1.993 = 100</w:t>
      </w:r>
    </w:p>
    <w:p w:rsidR="00BD2770" w:rsidRDefault="007E1FC3" w:rsidP="009F5815">
      <w:pPr>
        <w:autoSpaceDE w:val="0"/>
        <w:autoSpaceDN w:val="0"/>
        <w:adjustRightInd w:val="0"/>
        <w:ind w:left="360"/>
        <w:jc w:val="center"/>
        <w:rPr>
          <w:rFonts w:ascii="Arial" w:hAnsi="Arial" w:cs="Arial"/>
          <w:sz w:val="16"/>
          <w:szCs w:val="16"/>
        </w:rPr>
      </w:pPr>
      <w:r>
        <w:rPr>
          <w:rFonts w:ascii="Arial" w:hAnsi="Arial" w:cs="Arial"/>
          <w:noProof/>
          <w:sz w:val="16"/>
          <w:szCs w:val="16"/>
          <w:lang w:val="en-US"/>
        </w:rPr>
        <w:drawing>
          <wp:inline distT="0" distB="0" distL="0" distR="0">
            <wp:extent cx="1600200" cy="19431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600200" cy="1943100"/>
                    </a:xfrm>
                    <a:prstGeom prst="rect">
                      <a:avLst/>
                    </a:prstGeom>
                    <a:noFill/>
                    <a:ln w="9525">
                      <a:noFill/>
                      <a:miter lim="800000"/>
                      <a:headEnd/>
                      <a:tailEnd/>
                    </a:ln>
                  </pic:spPr>
                </pic:pic>
              </a:graphicData>
            </a:graphic>
          </wp:inline>
        </w:drawing>
      </w:r>
    </w:p>
    <w:p w:rsidR="00BD2770" w:rsidRDefault="00BD2770" w:rsidP="009F5815">
      <w:pPr>
        <w:autoSpaceDE w:val="0"/>
        <w:autoSpaceDN w:val="0"/>
        <w:adjustRightInd w:val="0"/>
        <w:ind w:firstLine="540"/>
        <w:jc w:val="center"/>
        <w:rPr>
          <w:rFonts w:ascii="Arial" w:hAnsi="Arial" w:cs="Arial"/>
          <w:sz w:val="16"/>
          <w:szCs w:val="16"/>
          <w:lang w:val="es-EC"/>
        </w:rPr>
      </w:pPr>
      <w:r w:rsidRPr="009F5815">
        <w:rPr>
          <w:rFonts w:ascii="Arial" w:hAnsi="Arial" w:cs="Arial"/>
          <w:b/>
          <w:sz w:val="16"/>
          <w:szCs w:val="16"/>
          <w:lang w:val="es-EC"/>
        </w:rPr>
        <w:t>Elabora</w:t>
      </w:r>
      <w:r w:rsidR="009F5815">
        <w:rPr>
          <w:rFonts w:ascii="Arial" w:hAnsi="Arial" w:cs="Arial"/>
          <w:b/>
          <w:sz w:val="16"/>
          <w:szCs w:val="16"/>
          <w:lang w:val="es-EC"/>
        </w:rPr>
        <w:t>ción</w:t>
      </w:r>
      <w:r w:rsidRPr="009F5815">
        <w:rPr>
          <w:rFonts w:ascii="Arial" w:hAnsi="Arial" w:cs="Arial"/>
          <w:b/>
          <w:sz w:val="16"/>
          <w:szCs w:val="16"/>
          <w:lang w:val="es-EC"/>
        </w:rPr>
        <w:t>:</w:t>
      </w:r>
      <w:r w:rsidR="009F5815">
        <w:rPr>
          <w:rFonts w:ascii="Arial" w:hAnsi="Arial" w:cs="Arial"/>
          <w:sz w:val="16"/>
          <w:szCs w:val="16"/>
          <w:lang w:val="es-EC"/>
        </w:rPr>
        <w:t xml:space="preserve"> Heydi</w:t>
      </w:r>
      <w:r w:rsidRPr="009F5815">
        <w:rPr>
          <w:rFonts w:ascii="Arial" w:hAnsi="Arial" w:cs="Arial"/>
          <w:sz w:val="16"/>
          <w:szCs w:val="16"/>
          <w:lang w:val="es-EC"/>
        </w:rPr>
        <w:t xml:space="preserve"> Roa</w:t>
      </w:r>
      <w:r w:rsidR="009F5815">
        <w:rPr>
          <w:rFonts w:ascii="Arial" w:hAnsi="Arial" w:cs="Arial"/>
          <w:sz w:val="16"/>
          <w:szCs w:val="16"/>
          <w:lang w:val="es-EC"/>
        </w:rPr>
        <w:t xml:space="preserve"> López</w:t>
      </w:r>
    </w:p>
    <w:p w:rsidR="004137D2" w:rsidRDefault="004137D2" w:rsidP="009F5815">
      <w:pPr>
        <w:autoSpaceDE w:val="0"/>
        <w:autoSpaceDN w:val="0"/>
        <w:adjustRightInd w:val="0"/>
        <w:ind w:firstLine="540"/>
        <w:jc w:val="center"/>
        <w:rPr>
          <w:rFonts w:ascii="Arial" w:hAnsi="Arial" w:cs="Arial"/>
          <w:b/>
          <w:sz w:val="16"/>
          <w:szCs w:val="16"/>
          <w:lang w:val="es-EC"/>
        </w:rPr>
      </w:pPr>
    </w:p>
    <w:p w:rsidR="009F5815" w:rsidRDefault="009F5815" w:rsidP="009F5815">
      <w:pPr>
        <w:autoSpaceDE w:val="0"/>
        <w:autoSpaceDN w:val="0"/>
        <w:adjustRightInd w:val="0"/>
        <w:ind w:firstLine="540"/>
        <w:jc w:val="center"/>
        <w:rPr>
          <w:rFonts w:ascii="Arial" w:hAnsi="Arial" w:cs="Arial"/>
          <w:b/>
          <w:sz w:val="16"/>
          <w:szCs w:val="16"/>
          <w:lang w:val="es-EC"/>
        </w:rPr>
      </w:pPr>
      <w:r w:rsidRPr="009F5815">
        <w:rPr>
          <w:rFonts w:ascii="Arial" w:hAnsi="Arial" w:cs="Arial"/>
          <w:b/>
          <w:sz w:val="16"/>
          <w:szCs w:val="16"/>
          <w:lang w:val="es-EC"/>
        </w:rPr>
        <w:t>GRÁFICO 2</w:t>
      </w:r>
    </w:p>
    <w:p w:rsidR="009F5815" w:rsidRPr="009F5815" w:rsidRDefault="009F5815" w:rsidP="009F5815">
      <w:pPr>
        <w:autoSpaceDE w:val="0"/>
        <w:autoSpaceDN w:val="0"/>
        <w:adjustRightInd w:val="0"/>
        <w:ind w:firstLine="540"/>
        <w:jc w:val="center"/>
        <w:rPr>
          <w:rFonts w:ascii="Arial" w:hAnsi="Arial" w:cs="Arial"/>
          <w:b/>
          <w:sz w:val="12"/>
          <w:szCs w:val="12"/>
          <w:lang w:val="es-EC"/>
        </w:rPr>
      </w:pPr>
    </w:p>
    <w:p w:rsidR="00BD2770" w:rsidRPr="00DC7B68" w:rsidRDefault="007E1FC3" w:rsidP="009F5815">
      <w:pPr>
        <w:pStyle w:val="Sangra2detindependiente"/>
        <w:ind w:left="240"/>
        <w:jc w:val="center"/>
        <w:rPr>
          <w:lang w:val="es-EC"/>
        </w:rPr>
      </w:pPr>
      <w:r>
        <w:rPr>
          <w:noProof/>
          <w:lang w:val="en-US"/>
        </w:rPr>
        <w:drawing>
          <wp:inline distT="0" distB="0" distL="0" distR="0">
            <wp:extent cx="2133600" cy="13716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133600" cy="1371600"/>
                    </a:xfrm>
                    <a:prstGeom prst="rect">
                      <a:avLst/>
                    </a:prstGeom>
                    <a:noFill/>
                    <a:ln w="9525">
                      <a:noFill/>
                      <a:miter lim="800000"/>
                      <a:headEnd/>
                      <a:tailEnd/>
                    </a:ln>
                  </pic:spPr>
                </pic:pic>
              </a:graphicData>
            </a:graphic>
          </wp:inline>
        </w:drawing>
      </w:r>
    </w:p>
    <w:p w:rsidR="009F5815" w:rsidRDefault="009F5815" w:rsidP="009F5815">
      <w:pPr>
        <w:autoSpaceDE w:val="0"/>
        <w:autoSpaceDN w:val="0"/>
        <w:adjustRightInd w:val="0"/>
        <w:ind w:firstLine="540"/>
        <w:jc w:val="center"/>
        <w:rPr>
          <w:rFonts w:ascii="Arial" w:hAnsi="Arial" w:cs="Arial"/>
          <w:sz w:val="16"/>
          <w:szCs w:val="16"/>
          <w:lang w:val="es-EC"/>
        </w:rPr>
      </w:pPr>
      <w:r w:rsidRPr="009F5815">
        <w:rPr>
          <w:rFonts w:ascii="Arial" w:hAnsi="Arial" w:cs="Arial"/>
          <w:b/>
          <w:sz w:val="16"/>
          <w:szCs w:val="16"/>
          <w:lang w:val="es-EC"/>
        </w:rPr>
        <w:t>Elabora</w:t>
      </w:r>
      <w:r>
        <w:rPr>
          <w:rFonts w:ascii="Arial" w:hAnsi="Arial" w:cs="Arial"/>
          <w:b/>
          <w:sz w:val="16"/>
          <w:szCs w:val="16"/>
          <w:lang w:val="es-EC"/>
        </w:rPr>
        <w:t>ción</w:t>
      </w:r>
      <w:r w:rsidRPr="009F5815">
        <w:rPr>
          <w:rFonts w:ascii="Arial" w:hAnsi="Arial" w:cs="Arial"/>
          <w:b/>
          <w:sz w:val="16"/>
          <w:szCs w:val="16"/>
          <w:lang w:val="es-EC"/>
        </w:rPr>
        <w:t>:</w:t>
      </w:r>
      <w:r>
        <w:rPr>
          <w:rFonts w:ascii="Arial" w:hAnsi="Arial" w:cs="Arial"/>
          <w:sz w:val="16"/>
          <w:szCs w:val="16"/>
          <w:lang w:val="es-EC"/>
        </w:rPr>
        <w:t xml:space="preserve"> Heydi</w:t>
      </w:r>
      <w:r w:rsidRPr="009F5815">
        <w:rPr>
          <w:rFonts w:ascii="Arial" w:hAnsi="Arial" w:cs="Arial"/>
          <w:sz w:val="16"/>
          <w:szCs w:val="16"/>
          <w:lang w:val="es-EC"/>
        </w:rPr>
        <w:t xml:space="preserve"> Roa</w:t>
      </w:r>
      <w:r>
        <w:rPr>
          <w:rFonts w:ascii="Arial" w:hAnsi="Arial" w:cs="Arial"/>
          <w:sz w:val="16"/>
          <w:szCs w:val="16"/>
          <w:lang w:val="es-EC"/>
        </w:rPr>
        <w:t xml:space="preserve"> López</w:t>
      </w:r>
    </w:p>
    <w:p w:rsidR="00B61FE4" w:rsidRDefault="00B61FE4" w:rsidP="00025230">
      <w:pPr>
        <w:pStyle w:val="Sangra2detindependiente"/>
        <w:ind w:left="360"/>
        <w:rPr>
          <w:lang w:val="es-EC"/>
        </w:rPr>
      </w:pPr>
    </w:p>
    <w:p w:rsidR="009F5815" w:rsidRDefault="00025230" w:rsidP="00025230">
      <w:pPr>
        <w:pStyle w:val="Sangra2detindependiente"/>
        <w:ind w:left="360"/>
        <w:rPr>
          <w:lang w:val="es-EC"/>
        </w:rPr>
      </w:pPr>
      <w:r w:rsidRPr="00025230">
        <w:rPr>
          <w:lang w:val="es-EC"/>
        </w:rPr>
        <w:t>Actualmente en nuestro país, Ecuador, existen 40 compañías dedicadas al mercado asegurador, de las cuales 27 ofrecen pólizas de seguros para vehículos.</w:t>
      </w:r>
    </w:p>
    <w:p w:rsidR="00025230" w:rsidRDefault="00025230" w:rsidP="00025230">
      <w:pPr>
        <w:pStyle w:val="Sangra2detindependiente"/>
        <w:ind w:left="360"/>
        <w:rPr>
          <w:lang w:val="es-EC"/>
        </w:rPr>
      </w:pPr>
    </w:p>
    <w:p w:rsidR="00407ED7" w:rsidRDefault="00407ED7" w:rsidP="00025230">
      <w:pPr>
        <w:pStyle w:val="Sangra2detindependiente"/>
        <w:ind w:left="360"/>
        <w:rPr>
          <w:lang w:val="es-EC"/>
        </w:rPr>
      </w:pPr>
    </w:p>
    <w:p w:rsidR="00407ED7" w:rsidRDefault="00407ED7" w:rsidP="00B61FE4">
      <w:pPr>
        <w:pStyle w:val="Sangra2detindependiente"/>
        <w:numPr>
          <w:ilvl w:val="1"/>
          <w:numId w:val="21"/>
        </w:numPr>
        <w:tabs>
          <w:tab w:val="clear" w:pos="454"/>
          <w:tab w:val="num" w:pos="840"/>
        </w:tabs>
        <w:ind w:left="840" w:hanging="480"/>
        <w:rPr>
          <w:b/>
          <w:lang w:val="es-EC"/>
        </w:rPr>
      </w:pPr>
      <w:r w:rsidRPr="00025230">
        <w:rPr>
          <w:b/>
          <w:lang w:val="es-EC"/>
        </w:rPr>
        <w:t>PAGOS</w:t>
      </w:r>
      <w:r w:rsidR="00B61FE4">
        <w:rPr>
          <w:b/>
          <w:lang w:val="es-EC"/>
        </w:rPr>
        <w:t xml:space="preserve"> </w:t>
      </w:r>
      <w:r w:rsidRPr="00025230">
        <w:rPr>
          <w:b/>
          <w:lang w:val="es-EC"/>
        </w:rPr>
        <w:t>DE SINIESTROS EN</w:t>
      </w:r>
      <w:r>
        <w:rPr>
          <w:rFonts w:ascii="Arial" w:hAnsi="Arial" w:cs="Arial"/>
          <w:b/>
          <w:lang w:val="es-EC"/>
        </w:rPr>
        <w:t xml:space="preserve"> </w:t>
      </w:r>
      <w:r w:rsidRPr="00025230">
        <w:rPr>
          <w:b/>
          <w:lang w:val="es-EC"/>
        </w:rPr>
        <w:t>SEGUROS VEHICULARES</w:t>
      </w:r>
    </w:p>
    <w:p w:rsidR="00407ED7" w:rsidRDefault="00B61FE4" w:rsidP="00407ED7">
      <w:pPr>
        <w:pStyle w:val="Sangra2detindependiente"/>
        <w:ind w:left="709"/>
        <w:rPr>
          <w:lang w:val="es-EC"/>
        </w:rPr>
      </w:pPr>
      <w:r>
        <w:rPr>
          <w:lang w:val="es-EC"/>
        </w:rPr>
        <w:t>U</w:t>
      </w:r>
      <w:r w:rsidR="00407ED7" w:rsidRPr="00407ED7">
        <w:rPr>
          <w:lang w:val="es-EC"/>
        </w:rPr>
        <w:t xml:space="preserve">na de las </w:t>
      </w:r>
      <w:r>
        <w:rPr>
          <w:lang w:val="es-EC"/>
        </w:rPr>
        <w:t>compañías aseguradoras del país</w:t>
      </w:r>
      <w:r w:rsidR="00407ED7" w:rsidRPr="00407ED7">
        <w:rPr>
          <w:lang w:val="es-EC"/>
        </w:rPr>
        <w:t xml:space="preserve"> mayormente involucrada con el seguro de vehículos</w:t>
      </w:r>
      <w:r>
        <w:rPr>
          <w:lang w:val="es-EC"/>
        </w:rPr>
        <w:t xml:space="preserve"> es Seguros Equinoccial. </w:t>
      </w:r>
      <w:r w:rsidR="00407ED7" w:rsidRPr="00407ED7">
        <w:rPr>
          <w:lang w:val="es-EC"/>
        </w:rPr>
        <w:t xml:space="preserve">Durante la última década, esta compañía ha sido una de </w:t>
      </w:r>
      <w:r w:rsidR="00407ED7" w:rsidRPr="00407ED7">
        <w:rPr>
          <w:lang w:val="es-EC"/>
        </w:rPr>
        <w:lastRenderedPageBreak/>
        <w:t>las que mayores pagos ha realizado a sus clientes por siniestros vehiculares</w:t>
      </w:r>
      <w:r w:rsidR="00407ED7">
        <w:rPr>
          <w:lang w:val="es-EC"/>
        </w:rPr>
        <w:t xml:space="preserve">. </w:t>
      </w:r>
      <w:r w:rsidR="00407ED7" w:rsidRPr="00407ED7">
        <w:rPr>
          <w:lang w:val="es-EC"/>
        </w:rPr>
        <w:t>La información con la que se cuenta es con los montos pagados por siniestros vehiculares en cada una de sus sucursales desde el 2.000 hasta el 2.003.</w:t>
      </w:r>
    </w:p>
    <w:p w:rsidR="008421C7" w:rsidRDefault="008421C7" w:rsidP="00407ED7">
      <w:pPr>
        <w:pStyle w:val="Sangra2detindependiente"/>
        <w:ind w:left="709"/>
        <w:rPr>
          <w:lang w:val="es-EC"/>
        </w:rPr>
      </w:pPr>
    </w:p>
    <w:p w:rsidR="008421C7" w:rsidRDefault="008421C7" w:rsidP="008421C7">
      <w:pPr>
        <w:pStyle w:val="Epgrafe"/>
        <w:ind w:firstLine="540"/>
        <w:jc w:val="center"/>
        <w:rPr>
          <w:rFonts w:ascii="Arial" w:hAnsi="Arial" w:cs="Arial"/>
          <w:sz w:val="16"/>
          <w:szCs w:val="16"/>
          <w:lang w:val="es-EC"/>
        </w:rPr>
      </w:pPr>
      <w:r w:rsidRPr="008421C7">
        <w:rPr>
          <w:rFonts w:ascii="Arial" w:hAnsi="Arial" w:cs="Arial"/>
          <w:sz w:val="16"/>
          <w:szCs w:val="16"/>
          <w:lang w:val="es-EC"/>
        </w:rPr>
        <w:t>CUADRO 2</w:t>
      </w:r>
    </w:p>
    <w:p w:rsidR="008421C7" w:rsidRPr="008421C7" w:rsidRDefault="00476857" w:rsidP="00476857">
      <w:pPr>
        <w:pStyle w:val="Epgrafe"/>
        <w:ind w:left="600"/>
        <w:jc w:val="center"/>
        <w:rPr>
          <w:rFonts w:ascii="Arial" w:hAnsi="Arial" w:cs="Arial"/>
          <w:b w:val="0"/>
          <w:sz w:val="16"/>
          <w:szCs w:val="16"/>
          <w:lang w:val="es-EC"/>
        </w:rPr>
      </w:pPr>
      <w:r w:rsidRPr="008421C7">
        <w:rPr>
          <w:rFonts w:ascii="Arial" w:hAnsi="Arial" w:cs="Arial"/>
          <w:b w:val="0"/>
          <w:sz w:val="16"/>
          <w:szCs w:val="16"/>
          <w:lang w:val="es-EC"/>
        </w:rPr>
        <w:t>MONTOS PAGADOS POR SINIESTROS VEHICULARES</w:t>
      </w:r>
      <w:r>
        <w:rPr>
          <w:rFonts w:ascii="Arial" w:hAnsi="Arial" w:cs="Arial"/>
          <w:b w:val="0"/>
          <w:sz w:val="16"/>
          <w:szCs w:val="16"/>
          <w:lang w:val="es-EC"/>
        </w:rPr>
        <w:t xml:space="preserve"> </w:t>
      </w:r>
      <w:r w:rsidRPr="008421C7">
        <w:rPr>
          <w:rFonts w:ascii="Arial" w:hAnsi="Arial" w:cs="Arial"/>
          <w:b w:val="0"/>
          <w:sz w:val="16"/>
          <w:szCs w:val="16"/>
          <w:lang w:val="es-EC"/>
        </w:rPr>
        <w:t>POR SEGUROS EQUINOCCIAL</w:t>
      </w:r>
      <w:r>
        <w:rPr>
          <w:rFonts w:ascii="Arial" w:hAnsi="Arial" w:cs="Arial"/>
          <w:b w:val="0"/>
          <w:sz w:val="16"/>
          <w:szCs w:val="16"/>
          <w:lang w:val="es-EC"/>
        </w:rPr>
        <w:t xml:space="preserve"> </w:t>
      </w:r>
      <w:r w:rsidRPr="008421C7">
        <w:rPr>
          <w:rFonts w:ascii="Arial" w:hAnsi="Arial" w:cs="Arial"/>
          <w:b w:val="0"/>
          <w:sz w:val="16"/>
          <w:szCs w:val="16"/>
          <w:lang w:val="es-EC"/>
        </w:rPr>
        <w:t>(PERÍODO 2.000 – 2.003)</w:t>
      </w:r>
    </w:p>
    <w:p w:rsidR="008421C7" w:rsidRDefault="007E1FC3" w:rsidP="00540A9C">
      <w:pPr>
        <w:pStyle w:val="Epgrafe"/>
        <w:ind w:left="360"/>
        <w:jc w:val="center"/>
        <w:rPr>
          <w:rFonts w:ascii="Arial" w:hAnsi="Arial" w:cs="Arial"/>
          <w:b w:val="0"/>
          <w:sz w:val="24"/>
          <w:szCs w:val="24"/>
          <w:lang w:val="es-EC"/>
        </w:rPr>
      </w:pPr>
      <w:r>
        <w:rPr>
          <w:noProof/>
        </w:rPr>
        <w:drawing>
          <wp:inline distT="0" distB="0" distL="0" distR="0">
            <wp:extent cx="2105025" cy="2209800"/>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105025" cy="2209800"/>
                    </a:xfrm>
                    <a:prstGeom prst="rect">
                      <a:avLst/>
                    </a:prstGeom>
                    <a:noFill/>
                    <a:ln w="9525">
                      <a:noFill/>
                      <a:miter lim="800000"/>
                      <a:headEnd/>
                      <a:tailEnd/>
                    </a:ln>
                  </pic:spPr>
                </pic:pic>
              </a:graphicData>
            </a:graphic>
          </wp:inline>
        </w:drawing>
      </w:r>
    </w:p>
    <w:p w:rsidR="00540A9C" w:rsidRDefault="008421C7" w:rsidP="00540A9C">
      <w:pPr>
        <w:autoSpaceDE w:val="0"/>
        <w:autoSpaceDN w:val="0"/>
        <w:adjustRightInd w:val="0"/>
        <w:ind w:left="540"/>
        <w:rPr>
          <w:rFonts w:ascii="Arial" w:hAnsi="Arial" w:cs="Arial"/>
          <w:sz w:val="16"/>
          <w:szCs w:val="16"/>
          <w:lang w:val="es-EC"/>
        </w:rPr>
      </w:pPr>
      <w:r w:rsidRPr="008421C7">
        <w:rPr>
          <w:rFonts w:ascii="Arial" w:hAnsi="Arial" w:cs="Arial"/>
          <w:b/>
          <w:sz w:val="16"/>
          <w:szCs w:val="16"/>
          <w:lang w:val="es-EC"/>
        </w:rPr>
        <w:t>Fuente:</w:t>
      </w:r>
      <w:r w:rsidRPr="008421C7">
        <w:rPr>
          <w:rFonts w:ascii="Arial" w:hAnsi="Arial" w:cs="Arial"/>
          <w:sz w:val="16"/>
          <w:szCs w:val="16"/>
          <w:lang w:val="es-EC"/>
        </w:rPr>
        <w:t xml:space="preserve"> Base d</w:t>
      </w:r>
      <w:r>
        <w:rPr>
          <w:rFonts w:ascii="Arial" w:hAnsi="Arial" w:cs="Arial"/>
          <w:sz w:val="16"/>
          <w:szCs w:val="16"/>
          <w:lang w:val="es-EC"/>
        </w:rPr>
        <w:t xml:space="preserve">e Datos Seguros </w:t>
      </w:r>
    </w:p>
    <w:p w:rsidR="008421C7" w:rsidRPr="008421C7" w:rsidRDefault="008421C7" w:rsidP="00540A9C">
      <w:pPr>
        <w:autoSpaceDE w:val="0"/>
        <w:autoSpaceDN w:val="0"/>
        <w:adjustRightInd w:val="0"/>
        <w:ind w:left="1200"/>
        <w:rPr>
          <w:rFonts w:ascii="Arial" w:hAnsi="Arial" w:cs="Arial"/>
          <w:sz w:val="16"/>
          <w:szCs w:val="16"/>
          <w:lang w:val="es-EC"/>
        </w:rPr>
      </w:pPr>
      <w:r>
        <w:rPr>
          <w:rFonts w:ascii="Arial" w:hAnsi="Arial" w:cs="Arial"/>
          <w:sz w:val="16"/>
          <w:szCs w:val="16"/>
          <w:lang w:val="es-EC"/>
        </w:rPr>
        <w:t>Equinoccial del</w:t>
      </w:r>
      <w:r w:rsidR="00540A9C">
        <w:rPr>
          <w:rFonts w:ascii="Arial" w:hAnsi="Arial" w:cs="Arial"/>
          <w:sz w:val="16"/>
          <w:szCs w:val="16"/>
          <w:lang w:val="es-EC"/>
        </w:rPr>
        <w:t xml:space="preserve"> </w:t>
      </w:r>
      <w:r w:rsidRPr="008421C7">
        <w:rPr>
          <w:rFonts w:ascii="Arial" w:hAnsi="Arial" w:cs="Arial"/>
          <w:sz w:val="16"/>
          <w:szCs w:val="16"/>
          <w:lang w:val="es-EC"/>
        </w:rPr>
        <w:t>Ecuador</w:t>
      </w:r>
    </w:p>
    <w:p w:rsidR="008421C7" w:rsidRDefault="008421C7" w:rsidP="00540A9C">
      <w:pPr>
        <w:autoSpaceDE w:val="0"/>
        <w:autoSpaceDN w:val="0"/>
        <w:adjustRightInd w:val="0"/>
        <w:spacing w:line="480" w:lineRule="auto"/>
        <w:ind w:firstLine="540"/>
        <w:rPr>
          <w:rFonts w:ascii="Arial" w:hAnsi="Arial" w:cs="Arial"/>
          <w:sz w:val="16"/>
          <w:szCs w:val="16"/>
          <w:lang w:val="es-EC"/>
        </w:rPr>
      </w:pPr>
      <w:r w:rsidRPr="008421C7">
        <w:rPr>
          <w:rFonts w:ascii="Arial" w:hAnsi="Arial" w:cs="Arial"/>
          <w:b/>
          <w:sz w:val="16"/>
          <w:szCs w:val="16"/>
          <w:lang w:val="es-EC"/>
        </w:rPr>
        <w:t>Elabora</w:t>
      </w:r>
      <w:r w:rsidR="00476857">
        <w:rPr>
          <w:rFonts w:ascii="Arial" w:hAnsi="Arial" w:cs="Arial"/>
          <w:b/>
          <w:sz w:val="16"/>
          <w:szCs w:val="16"/>
          <w:lang w:val="es-EC"/>
        </w:rPr>
        <w:t>ción</w:t>
      </w:r>
      <w:r w:rsidRPr="008421C7">
        <w:rPr>
          <w:rFonts w:ascii="Arial" w:hAnsi="Arial" w:cs="Arial"/>
          <w:b/>
          <w:sz w:val="16"/>
          <w:szCs w:val="16"/>
          <w:lang w:val="es-EC"/>
        </w:rPr>
        <w:t>:</w:t>
      </w:r>
      <w:r w:rsidRPr="008421C7">
        <w:rPr>
          <w:rFonts w:ascii="Arial" w:hAnsi="Arial" w:cs="Arial"/>
          <w:sz w:val="16"/>
          <w:szCs w:val="16"/>
          <w:lang w:val="es-EC"/>
        </w:rPr>
        <w:t xml:space="preserve"> H</w:t>
      </w:r>
      <w:r w:rsidR="00476857">
        <w:rPr>
          <w:rFonts w:ascii="Arial" w:hAnsi="Arial" w:cs="Arial"/>
          <w:sz w:val="16"/>
          <w:szCs w:val="16"/>
          <w:lang w:val="es-EC"/>
        </w:rPr>
        <w:t>eydi</w:t>
      </w:r>
      <w:r w:rsidRPr="008421C7">
        <w:rPr>
          <w:rFonts w:ascii="Arial" w:hAnsi="Arial" w:cs="Arial"/>
          <w:sz w:val="16"/>
          <w:szCs w:val="16"/>
          <w:lang w:val="es-EC"/>
        </w:rPr>
        <w:t xml:space="preserve"> Roa</w:t>
      </w:r>
      <w:r w:rsidR="00476857">
        <w:rPr>
          <w:rFonts w:ascii="Arial" w:hAnsi="Arial" w:cs="Arial"/>
          <w:sz w:val="16"/>
          <w:szCs w:val="16"/>
          <w:lang w:val="es-EC"/>
        </w:rPr>
        <w:t xml:space="preserve"> López</w:t>
      </w:r>
    </w:p>
    <w:p w:rsidR="00D050A6" w:rsidRDefault="00D050A6" w:rsidP="00D050A6">
      <w:pPr>
        <w:autoSpaceDE w:val="0"/>
        <w:autoSpaceDN w:val="0"/>
        <w:adjustRightInd w:val="0"/>
        <w:spacing w:line="480" w:lineRule="auto"/>
        <w:rPr>
          <w:rFonts w:ascii="Arial" w:hAnsi="Arial" w:cs="Arial"/>
          <w:sz w:val="16"/>
          <w:szCs w:val="16"/>
          <w:lang w:val="es-EC"/>
        </w:rPr>
      </w:pPr>
    </w:p>
    <w:p w:rsidR="00D050A6" w:rsidRDefault="00D050A6" w:rsidP="00D050A6">
      <w:pPr>
        <w:autoSpaceDE w:val="0"/>
        <w:autoSpaceDN w:val="0"/>
        <w:adjustRightInd w:val="0"/>
        <w:ind w:left="357"/>
        <w:jc w:val="both"/>
        <w:rPr>
          <w:lang w:val="es-EC"/>
        </w:rPr>
      </w:pPr>
      <w:r w:rsidRPr="00D050A6">
        <w:rPr>
          <w:lang w:val="es-EC"/>
        </w:rPr>
        <w:t xml:space="preserve">Por la información presentada se puede concluir que los </w:t>
      </w:r>
      <w:r>
        <w:rPr>
          <w:lang w:val="es-EC"/>
        </w:rPr>
        <w:t xml:space="preserve">montos pagados por </w:t>
      </w:r>
      <w:r w:rsidRPr="00D050A6">
        <w:rPr>
          <w:lang w:val="es-EC"/>
        </w:rPr>
        <w:t xml:space="preserve">siniestros de vehículos </w:t>
      </w:r>
      <w:r>
        <w:rPr>
          <w:lang w:val="es-EC"/>
        </w:rPr>
        <w:t>aumentan</w:t>
      </w:r>
      <w:r w:rsidRPr="00D050A6">
        <w:rPr>
          <w:lang w:val="es-EC"/>
        </w:rPr>
        <w:t xml:space="preserve"> </w:t>
      </w:r>
      <w:r>
        <w:rPr>
          <w:lang w:val="es-EC"/>
        </w:rPr>
        <w:t xml:space="preserve">año a año y por </w:t>
      </w:r>
      <w:r w:rsidR="00300CF9">
        <w:rPr>
          <w:lang w:val="es-EC"/>
        </w:rPr>
        <w:t>ende</w:t>
      </w:r>
      <w:r>
        <w:rPr>
          <w:lang w:val="es-EC"/>
        </w:rPr>
        <w:t xml:space="preserve"> son </w:t>
      </w:r>
      <w:r w:rsidRPr="00D050A6">
        <w:rPr>
          <w:lang w:val="es-EC"/>
        </w:rPr>
        <w:t xml:space="preserve">el punto fijo de investigación por parte de los departamentos de siniestros, quienes tendrán de ahora en adelante la tarea de implementar </w:t>
      </w:r>
      <w:r w:rsidRPr="00D050A6">
        <w:rPr>
          <w:lang w:val="es-EC"/>
        </w:rPr>
        <w:lastRenderedPageBreak/>
        <w:t>nuevas técnicas de detección de fraude en las declaraciones de siniestros.</w:t>
      </w:r>
    </w:p>
    <w:p w:rsidR="00D050A6" w:rsidRDefault="00D050A6" w:rsidP="00D050A6">
      <w:pPr>
        <w:autoSpaceDE w:val="0"/>
        <w:autoSpaceDN w:val="0"/>
        <w:adjustRightInd w:val="0"/>
        <w:ind w:left="357"/>
        <w:jc w:val="both"/>
        <w:rPr>
          <w:lang w:val="es-EC"/>
        </w:rPr>
      </w:pPr>
    </w:p>
    <w:p w:rsidR="004137D2" w:rsidRPr="00D050A6" w:rsidRDefault="004137D2" w:rsidP="00D050A6">
      <w:pPr>
        <w:autoSpaceDE w:val="0"/>
        <w:autoSpaceDN w:val="0"/>
        <w:adjustRightInd w:val="0"/>
        <w:ind w:left="357"/>
        <w:jc w:val="both"/>
        <w:rPr>
          <w:lang w:val="es-EC"/>
        </w:rPr>
      </w:pPr>
    </w:p>
    <w:p w:rsidR="000C2C54" w:rsidRPr="003D7795" w:rsidRDefault="003D7795" w:rsidP="003D7795">
      <w:pPr>
        <w:pStyle w:val="Sangra2detindependiente"/>
        <w:numPr>
          <w:ilvl w:val="0"/>
          <w:numId w:val="10"/>
        </w:numPr>
        <w:rPr>
          <w:b/>
        </w:rPr>
      </w:pPr>
      <w:r>
        <w:rPr>
          <w:b/>
        </w:rPr>
        <w:t xml:space="preserve">LA METODOLOGÍA </w:t>
      </w:r>
      <w:r w:rsidRPr="003D7795">
        <w:rPr>
          <w:b/>
        </w:rPr>
        <w:t>PRIDIT</w:t>
      </w:r>
    </w:p>
    <w:p w:rsidR="000C2C54" w:rsidRPr="00025230" w:rsidRDefault="000C2C54" w:rsidP="003D7795">
      <w:pPr>
        <w:ind w:left="340"/>
        <w:jc w:val="both"/>
        <w:rPr>
          <w:lang w:val="es-ES"/>
        </w:rPr>
      </w:pPr>
    </w:p>
    <w:p w:rsidR="003D7795" w:rsidRDefault="003D7795" w:rsidP="00915627">
      <w:pPr>
        <w:ind w:left="340"/>
        <w:jc w:val="both"/>
        <w:rPr>
          <w:lang w:val="es-EC"/>
        </w:rPr>
      </w:pPr>
      <w:r w:rsidRPr="003D7795">
        <w:rPr>
          <w:lang w:val="es-EC"/>
        </w:rPr>
        <w:t>La metodología PRIDIT constituye una nueva técnica no-paramétrica más simple y fácil de entender e implementar</w:t>
      </w:r>
      <w:r>
        <w:rPr>
          <w:lang w:val="es-EC"/>
        </w:rPr>
        <w:t>,</w:t>
      </w:r>
      <w:r w:rsidRPr="003D7795">
        <w:rPr>
          <w:lang w:val="es-EC"/>
        </w:rPr>
        <w:t xml:space="preserve"> difiere de otras pruebas estadísticas no-paramétricas, como la Chi Cuadrado, en la cual se asume un orden natural de los datos, ya que esta técnica estadística puede emplearse incluso con variables categóricas que pueden estar en escalas subjetivas (severo, moderado, menor) o pueden tomar una forma numérica donde el sistema de medición confía fuertemente en el método experimental o en la habilidad técnica del científico involucradas en la medición de la variable en cuestión.</w:t>
      </w:r>
    </w:p>
    <w:p w:rsidR="00915627" w:rsidRDefault="00915627" w:rsidP="003D7795">
      <w:pPr>
        <w:ind w:left="539"/>
        <w:jc w:val="both"/>
        <w:rPr>
          <w:lang w:val="es-EC"/>
        </w:rPr>
      </w:pPr>
    </w:p>
    <w:p w:rsidR="00915627" w:rsidRDefault="00915627" w:rsidP="00915627">
      <w:pPr>
        <w:numPr>
          <w:ilvl w:val="1"/>
          <w:numId w:val="10"/>
        </w:numPr>
        <w:tabs>
          <w:tab w:val="num" w:pos="840"/>
        </w:tabs>
        <w:jc w:val="both"/>
        <w:rPr>
          <w:b/>
          <w:lang w:val="es-EC"/>
        </w:rPr>
      </w:pPr>
      <w:r w:rsidRPr="00915627">
        <w:rPr>
          <w:b/>
          <w:lang w:val="es-EC"/>
        </w:rPr>
        <w:t xml:space="preserve">TIPO DE DATOS </w:t>
      </w:r>
    </w:p>
    <w:p w:rsidR="004137D2" w:rsidRDefault="004137D2" w:rsidP="004137D2">
      <w:pPr>
        <w:ind w:left="360"/>
        <w:jc w:val="both"/>
        <w:rPr>
          <w:b/>
          <w:lang w:val="es-EC"/>
        </w:rPr>
      </w:pPr>
    </w:p>
    <w:p w:rsidR="004137D2" w:rsidRDefault="004137D2" w:rsidP="004137D2">
      <w:pPr>
        <w:ind w:left="539"/>
        <w:jc w:val="both"/>
        <w:rPr>
          <w:b/>
          <w:lang w:val="es-EC"/>
        </w:rPr>
      </w:pPr>
      <w:r w:rsidRPr="00915627">
        <w:rPr>
          <w:lang w:val="es-EC"/>
        </w:rPr>
        <w:t>La mayoría de los métodos estadísticos utilizados para este tipo de estudios requieren que los datos sean de tipo intervalo y en algunos casos estos métodos requieren que los datos sean continuos y estén normalmente distribuidos. Pero la metodología PRIDIT no pone ninguna restricción en lo que respecta a los datos, así esta metodología trabaja ya sea con variables ordinales discretas o con variables categóricas, pero para el caso de seguros de automóviles por lo general la mayoría de las variables son dicotómicas</w:t>
      </w:r>
      <w:r>
        <w:rPr>
          <w:rFonts w:ascii="Arial" w:hAnsi="Arial" w:cs="Arial"/>
          <w:lang w:val="es-EC"/>
        </w:rPr>
        <w:t xml:space="preserve">. </w:t>
      </w:r>
      <w:r>
        <w:rPr>
          <w:lang w:val="es-EC"/>
        </w:rPr>
        <w:t xml:space="preserve">Para el desarrollo de esta </w:t>
      </w:r>
      <w:r>
        <w:rPr>
          <w:lang w:val="es-EC"/>
        </w:rPr>
        <w:lastRenderedPageBreak/>
        <w:t>investigación se obtuvo información de 100 demandas de siniestros vehiculares</w:t>
      </w:r>
    </w:p>
    <w:p w:rsidR="00A1412E" w:rsidRDefault="00A1412E" w:rsidP="00A1412E">
      <w:pPr>
        <w:ind w:left="480"/>
        <w:jc w:val="both"/>
        <w:rPr>
          <w:lang w:val="es-EC"/>
        </w:rPr>
      </w:pPr>
    </w:p>
    <w:p w:rsidR="00B61FE4" w:rsidRPr="00A1412E" w:rsidRDefault="00B61FE4" w:rsidP="00A1412E">
      <w:pPr>
        <w:ind w:left="480"/>
        <w:jc w:val="both"/>
        <w:rPr>
          <w:lang w:val="es-EC"/>
        </w:rPr>
      </w:pPr>
    </w:p>
    <w:p w:rsidR="00915627" w:rsidRPr="004137D2" w:rsidRDefault="00915627" w:rsidP="004137D2">
      <w:pPr>
        <w:ind w:firstLine="600"/>
        <w:jc w:val="center"/>
        <w:rPr>
          <w:rFonts w:ascii="Arial" w:hAnsi="Arial" w:cs="Arial"/>
          <w:b/>
          <w:sz w:val="16"/>
          <w:szCs w:val="16"/>
          <w:lang w:val="es-EC"/>
        </w:rPr>
      </w:pPr>
      <w:r w:rsidRPr="004137D2">
        <w:rPr>
          <w:rFonts w:ascii="Arial" w:hAnsi="Arial" w:cs="Arial"/>
          <w:b/>
          <w:sz w:val="16"/>
          <w:szCs w:val="16"/>
          <w:lang w:val="es-EC"/>
        </w:rPr>
        <w:t>CUADRO 3</w:t>
      </w:r>
    </w:p>
    <w:p w:rsidR="00915627" w:rsidRPr="004137D2" w:rsidRDefault="00915627" w:rsidP="004137D2">
      <w:pPr>
        <w:pStyle w:val="Epgrafe"/>
        <w:ind w:left="600"/>
        <w:jc w:val="center"/>
        <w:rPr>
          <w:rFonts w:ascii="Arial" w:hAnsi="Arial" w:cs="Arial"/>
          <w:b w:val="0"/>
          <w:sz w:val="16"/>
          <w:szCs w:val="16"/>
          <w:lang w:val="es-EC"/>
        </w:rPr>
      </w:pPr>
      <w:r w:rsidRPr="004137D2">
        <w:rPr>
          <w:rFonts w:ascii="Arial" w:hAnsi="Arial" w:cs="Arial"/>
          <w:b w:val="0"/>
          <w:sz w:val="16"/>
          <w:szCs w:val="16"/>
          <w:lang w:val="es-EC"/>
        </w:rPr>
        <w:t>VARIABLES UTIL</w:t>
      </w:r>
      <w:r w:rsidR="008A580A" w:rsidRPr="004137D2">
        <w:rPr>
          <w:rFonts w:ascii="Arial" w:hAnsi="Arial" w:cs="Arial"/>
          <w:b w:val="0"/>
          <w:sz w:val="16"/>
          <w:szCs w:val="16"/>
          <w:lang w:val="es-EC"/>
        </w:rPr>
        <w:t xml:space="preserve">IZADAS EN LA </w:t>
      </w:r>
      <w:r w:rsidRPr="004137D2">
        <w:rPr>
          <w:rFonts w:ascii="Arial" w:hAnsi="Arial" w:cs="Arial"/>
          <w:b w:val="0"/>
          <w:sz w:val="16"/>
          <w:szCs w:val="16"/>
          <w:lang w:val="es-EC"/>
        </w:rPr>
        <w:t>INVESTIGACIÓN</w:t>
      </w:r>
    </w:p>
    <w:tbl>
      <w:tblPr>
        <w:tblStyle w:val="TablaWeb2"/>
        <w:tblpPr w:leftFromText="180" w:rightFromText="180" w:vertAnchor="text" w:horzAnchor="margin" w:tblpY="269"/>
        <w:tblW w:w="4111" w:type="dxa"/>
        <w:tblCellSpacing w:w="14" w:type="dxa"/>
        <w:tblLook w:val="01E0"/>
      </w:tblPr>
      <w:tblGrid>
        <w:gridCol w:w="1213"/>
        <w:gridCol w:w="2898"/>
      </w:tblGrid>
      <w:tr w:rsidR="00B61FE4" w:rsidRPr="00A17951">
        <w:trPr>
          <w:cnfStyle w:val="100000000000"/>
          <w:trHeight w:val="55"/>
          <w:tblCellSpacing w:w="14" w:type="dxa"/>
        </w:trPr>
        <w:tc>
          <w:tcPr>
            <w:tcW w:w="4055" w:type="dxa"/>
            <w:gridSpan w:val="2"/>
            <w:vAlign w:val="center"/>
          </w:tcPr>
          <w:p w:rsidR="00B61FE4" w:rsidRPr="00915627" w:rsidRDefault="00B61FE4" w:rsidP="00B61FE4">
            <w:pPr>
              <w:rPr>
                <w:rFonts w:ascii="Arial" w:hAnsi="Arial" w:cs="Arial"/>
                <w:sz w:val="16"/>
                <w:szCs w:val="16"/>
                <w:lang w:val="es-EC"/>
              </w:rPr>
            </w:pPr>
            <w:r w:rsidRPr="00915627">
              <w:rPr>
                <w:rFonts w:ascii="Arial" w:hAnsi="Arial" w:cs="Arial"/>
                <w:sz w:val="16"/>
                <w:szCs w:val="16"/>
                <w:lang w:val="es-EC"/>
              </w:rPr>
              <w:t>Características del Asegurado y de la Demanda</w:t>
            </w:r>
          </w:p>
        </w:tc>
      </w:tr>
      <w:tr w:rsidR="00B61FE4" w:rsidRPr="00A17951">
        <w:trPr>
          <w:trHeight w:val="51"/>
          <w:tblCellSpacing w:w="14" w:type="dxa"/>
        </w:trPr>
        <w:tc>
          <w:tcPr>
            <w:tcW w:w="1171" w:type="dxa"/>
            <w:vAlign w:val="center"/>
          </w:tcPr>
          <w:p w:rsidR="00B61FE4" w:rsidRPr="00915627" w:rsidRDefault="00B61FE4" w:rsidP="00B61FE4">
            <w:pPr>
              <w:rPr>
                <w:rFonts w:ascii="Arial" w:hAnsi="Arial" w:cs="Arial"/>
                <w:sz w:val="16"/>
                <w:szCs w:val="16"/>
                <w:lang w:val="es-EC"/>
              </w:rPr>
            </w:pPr>
            <w:r w:rsidRPr="00915627">
              <w:rPr>
                <w:rFonts w:ascii="Arial" w:hAnsi="Arial" w:cs="Arial"/>
                <w:b/>
                <w:i/>
                <w:sz w:val="16"/>
                <w:szCs w:val="16"/>
                <w:lang w:val="es-EC"/>
              </w:rPr>
              <w:t>COBERT</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El asegurado tiene cobertura de daños a terceros.</w:t>
            </w:r>
          </w:p>
        </w:tc>
      </w:tr>
      <w:tr w:rsidR="00B61FE4" w:rsidRPr="00E73638">
        <w:trPr>
          <w:trHeight w:val="51"/>
          <w:tblCellSpacing w:w="14" w:type="dxa"/>
        </w:trPr>
        <w:tc>
          <w:tcPr>
            <w:tcW w:w="1171" w:type="dxa"/>
            <w:vAlign w:val="center"/>
          </w:tcPr>
          <w:p w:rsidR="00B61FE4" w:rsidRPr="00915627" w:rsidRDefault="00B61FE4" w:rsidP="00B61FE4">
            <w:pPr>
              <w:rPr>
                <w:rFonts w:ascii="Arial" w:hAnsi="Arial" w:cs="Arial"/>
                <w:sz w:val="16"/>
                <w:szCs w:val="16"/>
                <w:lang w:val="es-EC"/>
              </w:rPr>
            </w:pPr>
            <w:r w:rsidRPr="00915627">
              <w:rPr>
                <w:rFonts w:ascii="Arial" w:hAnsi="Arial" w:cs="Arial"/>
                <w:b/>
                <w:i/>
                <w:sz w:val="16"/>
                <w:szCs w:val="16"/>
                <w:lang w:val="es-EC"/>
              </w:rPr>
              <w:t>FRAQCIA</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El asegurado tiene franquicia en la póliza.</w:t>
            </w:r>
          </w:p>
        </w:tc>
      </w:tr>
      <w:tr w:rsidR="00B61FE4" w:rsidRPr="00E73638">
        <w:trPr>
          <w:trHeight w:val="51"/>
          <w:tblCellSpacing w:w="14" w:type="dxa"/>
        </w:trPr>
        <w:tc>
          <w:tcPr>
            <w:tcW w:w="1171" w:type="dxa"/>
            <w:vAlign w:val="center"/>
          </w:tcPr>
          <w:p w:rsidR="00B61FE4" w:rsidRPr="00915627" w:rsidRDefault="00B61FE4" w:rsidP="00B61FE4">
            <w:pPr>
              <w:rPr>
                <w:rFonts w:ascii="Arial" w:hAnsi="Arial" w:cs="Arial"/>
                <w:sz w:val="16"/>
                <w:szCs w:val="16"/>
                <w:lang w:val="es-EC"/>
              </w:rPr>
            </w:pPr>
            <w:r w:rsidRPr="00915627">
              <w:rPr>
                <w:rFonts w:ascii="Arial" w:hAnsi="Arial" w:cs="Arial"/>
                <w:b/>
                <w:i/>
                <w:sz w:val="16"/>
                <w:szCs w:val="16"/>
                <w:lang w:val="es-EC"/>
              </w:rPr>
              <w:t>ACCESOR</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El asegurado tiene cobertura de accesorios.</w:t>
            </w:r>
          </w:p>
        </w:tc>
      </w:tr>
      <w:tr w:rsidR="00B61FE4" w:rsidRPr="00A17951">
        <w:trPr>
          <w:trHeight w:val="51"/>
          <w:tblCellSpacing w:w="14" w:type="dxa"/>
        </w:trPr>
        <w:tc>
          <w:tcPr>
            <w:tcW w:w="4055" w:type="dxa"/>
            <w:gridSpan w:val="2"/>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Características del Vehículo</w:t>
            </w:r>
          </w:p>
        </w:tc>
      </w:tr>
      <w:tr w:rsidR="00B61FE4" w:rsidRPr="00E73638">
        <w:trPr>
          <w:trHeight w:val="51"/>
          <w:tblCellSpacing w:w="14" w:type="dxa"/>
        </w:trPr>
        <w:tc>
          <w:tcPr>
            <w:tcW w:w="1171" w:type="dxa"/>
            <w:vAlign w:val="center"/>
          </w:tcPr>
          <w:p w:rsidR="00B61FE4" w:rsidRPr="00915627" w:rsidRDefault="00B61FE4" w:rsidP="00B61FE4">
            <w:pPr>
              <w:rPr>
                <w:rFonts w:ascii="Arial" w:hAnsi="Arial" w:cs="Arial"/>
                <w:sz w:val="16"/>
                <w:szCs w:val="16"/>
                <w:lang w:val="es-EC"/>
              </w:rPr>
            </w:pPr>
            <w:r w:rsidRPr="00915627">
              <w:rPr>
                <w:rFonts w:ascii="Arial" w:hAnsi="Arial" w:cs="Arial"/>
                <w:b/>
                <w:i/>
                <w:sz w:val="16"/>
                <w:szCs w:val="16"/>
                <w:lang w:val="es-EC"/>
              </w:rPr>
              <w:t>VEHUSO</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El vehículo es de uso privado del asegurado.</w:t>
            </w:r>
          </w:p>
        </w:tc>
      </w:tr>
      <w:tr w:rsidR="00B61FE4" w:rsidRPr="00A17951">
        <w:trPr>
          <w:trHeight w:val="51"/>
          <w:tblCellSpacing w:w="14" w:type="dxa"/>
        </w:trPr>
        <w:tc>
          <w:tcPr>
            <w:tcW w:w="4055" w:type="dxa"/>
            <w:gridSpan w:val="2"/>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Características del Accidente</w:t>
            </w:r>
          </w:p>
        </w:tc>
      </w:tr>
      <w:tr w:rsidR="00B61FE4" w:rsidRPr="00E73638">
        <w:trPr>
          <w:trHeight w:val="47"/>
          <w:tblCellSpacing w:w="14" w:type="dxa"/>
        </w:trPr>
        <w:tc>
          <w:tcPr>
            <w:tcW w:w="1171" w:type="dxa"/>
            <w:vAlign w:val="center"/>
          </w:tcPr>
          <w:p w:rsidR="00B61FE4" w:rsidRPr="00915627" w:rsidRDefault="00B61FE4" w:rsidP="00B61FE4">
            <w:pPr>
              <w:rPr>
                <w:rFonts w:ascii="Arial" w:hAnsi="Arial" w:cs="Arial"/>
                <w:sz w:val="16"/>
                <w:szCs w:val="16"/>
                <w:lang w:val="es-EC"/>
              </w:rPr>
            </w:pPr>
            <w:r w:rsidRPr="00915627">
              <w:rPr>
                <w:rFonts w:ascii="Arial" w:hAnsi="Arial" w:cs="Arial"/>
                <w:b/>
                <w:i/>
                <w:sz w:val="16"/>
                <w:szCs w:val="16"/>
                <w:lang w:val="es-EC"/>
              </w:rPr>
              <w:t>ACULPA</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El asegurado acepta la culpa del siniestro.</w:t>
            </w:r>
          </w:p>
        </w:tc>
      </w:tr>
      <w:tr w:rsidR="00B61FE4" w:rsidRPr="00A17951">
        <w:trPr>
          <w:trHeight w:val="47"/>
          <w:tblCellSpacing w:w="14" w:type="dxa"/>
        </w:trPr>
        <w:tc>
          <w:tcPr>
            <w:tcW w:w="1171" w:type="dxa"/>
            <w:vAlign w:val="center"/>
          </w:tcPr>
          <w:p w:rsidR="00B61FE4" w:rsidRPr="00915627" w:rsidRDefault="00B61FE4" w:rsidP="00B61FE4">
            <w:pPr>
              <w:spacing w:line="312" w:lineRule="auto"/>
              <w:rPr>
                <w:rFonts w:ascii="Arial" w:hAnsi="Arial" w:cs="Arial"/>
                <w:b/>
                <w:i/>
                <w:sz w:val="16"/>
                <w:szCs w:val="16"/>
                <w:lang w:val="es-EC"/>
              </w:rPr>
            </w:pPr>
            <w:r w:rsidRPr="00915627">
              <w:rPr>
                <w:rFonts w:ascii="Arial" w:hAnsi="Arial" w:cs="Arial"/>
                <w:b/>
                <w:i/>
                <w:sz w:val="16"/>
                <w:szCs w:val="16"/>
                <w:lang w:val="es-EC"/>
              </w:rPr>
              <w:t>ZNURB</w:t>
            </w:r>
          </w:p>
        </w:tc>
        <w:tc>
          <w:tcPr>
            <w:tcW w:w="2856" w:type="dxa"/>
            <w:vAlign w:val="center"/>
          </w:tcPr>
          <w:p w:rsidR="00B61FE4" w:rsidRPr="00915627" w:rsidRDefault="00B61FE4" w:rsidP="00B61FE4">
            <w:pPr>
              <w:spacing w:line="312" w:lineRule="auto"/>
              <w:jc w:val="both"/>
              <w:rPr>
                <w:rFonts w:ascii="Arial" w:hAnsi="Arial" w:cs="Arial"/>
                <w:sz w:val="16"/>
                <w:szCs w:val="16"/>
                <w:lang w:val="es-EC"/>
              </w:rPr>
            </w:pPr>
            <w:r w:rsidRPr="00915627">
              <w:rPr>
                <w:rFonts w:ascii="Arial" w:hAnsi="Arial" w:cs="Arial"/>
                <w:sz w:val="16"/>
                <w:szCs w:val="16"/>
                <w:lang w:val="es-EC"/>
              </w:rPr>
              <w:t>El siniestro ha ocurrido en una zona no urbana.</w:t>
            </w:r>
          </w:p>
        </w:tc>
      </w:tr>
      <w:tr w:rsidR="00B61FE4" w:rsidRPr="00A17951">
        <w:trPr>
          <w:trHeight w:val="47"/>
          <w:tblCellSpacing w:w="14" w:type="dxa"/>
        </w:trPr>
        <w:tc>
          <w:tcPr>
            <w:tcW w:w="1171" w:type="dxa"/>
            <w:vAlign w:val="center"/>
          </w:tcPr>
          <w:p w:rsidR="00B61FE4" w:rsidRPr="00915627" w:rsidRDefault="00B61FE4" w:rsidP="00B61FE4">
            <w:pPr>
              <w:rPr>
                <w:rFonts w:ascii="Arial" w:hAnsi="Arial" w:cs="Arial"/>
                <w:b/>
                <w:i/>
                <w:sz w:val="16"/>
                <w:szCs w:val="16"/>
                <w:lang w:val="es-EC"/>
              </w:rPr>
            </w:pPr>
            <w:r w:rsidRPr="00915627">
              <w:rPr>
                <w:rFonts w:ascii="Arial" w:hAnsi="Arial" w:cs="Arial"/>
                <w:b/>
                <w:i/>
                <w:sz w:val="16"/>
                <w:szCs w:val="16"/>
                <w:lang w:val="es-EC"/>
              </w:rPr>
              <w:t>ACCNOCHE</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El siniestro ocurrió en la noche.</w:t>
            </w:r>
          </w:p>
        </w:tc>
      </w:tr>
      <w:tr w:rsidR="00B61FE4" w:rsidRPr="00A17951">
        <w:trPr>
          <w:trHeight w:val="47"/>
          <w:tblCellSpacing w:w="14" w:type="dxa"/>
        </w:trPr>
        <w:tc>
          <w:tcPr>
            <w:tcW w:w="1171" w:type="dxa"/>
            <w:vAlign w:val="center"/>
          </w:tcPr>
          <w:p w:rsidR="00B61FE4" w:rsidRPr="00915627" w:rsidRDefault="00B61FE4" w:rsidP="00B61FE4">
            <w:pPr>
              <w:rPr>
                <w:rFonts w:ascii="Arial" w:hAnsi="Arial" w:cs="Arial"/>
                <w:b/>
                <w:i/>
                <w:sz w:val="16"/>
                <w:szCs w:val="16"/>
                <w:lang w:val="es-EC"/>
              </w:rPr>
            </w:pPr>
            <w:r w:rsidRPr="00915627">
              <w:rPr>
                <w:rFonts w:ascii="Arial" w:hAnsi="Arial" w:cs="Arial"/>
                <w:b/>
                <w:i/>
                <w:sz w:val="16"/>
                <w:szCs w:val="16"/>
                <w:lang w:val="es-EC"/>
              </w:rPr>
              <w:t>ACCFINS</w:t>
            </w:r>
          </w:p>
        </w:tc>
        <w:tc>
          <w:tcPr>
            <w:tcW w:w="2856" w:type="dxa"/>
            <w:vAlign w:val="center"/>
          </w:tcPr>
          <w:p w:rsidR="00B61FE4" w:rsidRPr="00915627" w:rsidRDefault="00B61FE4" w:rsidP="00B61FE4">
            <w:pPr>
              <w:spacing w:line="312" w:lineRule="auto"/>
              <w:jc w:val="both"/>
              <w:rPr>
                <w:rFonts w:ascii="Arial" w:hAnsi="Arial" w:cs="Arial"/>
                <w:sz w:val="16"/>
                <w:szCs w:val="16"/>
                <w:lang w:val="es-EC"/>
              </w:rPr>
            </w:pPr>
            <w:r w:rsidRPr="00915627">
              <w:rPr>
                <w:rFonts w:ascii="Arial" w:hAnsi="Arial" w:cs="Arial"/>
                <w:sz w:val="16"/>
                <w:szCs w:val="16"/>
                <w:lang w:val="es-EC"/>
              </w:rPr>
              <w:t>El siniestro ocurrió en el fin de semana.</w:t>
            </w:r>
          </w:p>
        </w:tc>
      </w:tr>
      <w:tr w:rsidR="00B61FE4" w:rsidRPr="00A17951">
        <w:trPr>
          <w:trHeight w:val="47"/>
          <w:tblCellSpacing w:w="14" w:type="dxa"/>
        </w:trPr>
        <w:tc>
          <w:tcPr>
            <w:tcW w:w="1171" w:type="dxa"/>
            <w:vAlign w:val="center"/>
          </w:tcPr>
          <w:p w:rsidR="00B61FE4" w:rsidRPr="00915627" w:rsidRDefault="00B61FE4" w:rsidP="00B61FE4">
            <w:pPr>
              <w:rPr>
                <w:rFonts w:ascii="Arial" w:hAnsi="Arial" w:cs="Arial"/>
                <w:b/>
                <w:i/>
                <w:sz w:val="16"/>
                <w:szCs w:val="16"/>
                <w:lang w:val="es-EC"/>
              </w:rPr>
            </w:pPr>
            <w:r w:rsidRPr="00915627">
              <w:rPr>
                <w:rFonts w:ascii="Arial" w:hAnsi="Arial" w:cs="Arial"/>
                <w:b/>
                <w:i/>
                <w:sz w:val="16"/>
                <w:szCs w:val="16"/>
                <w:lang w:val="es-EC"/>
              </w:rPr>
              <w:t>TESTIGOS</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Existen  testigos.</w:t>
            </w:r>
          </w:p>
        </w:tc>
      </w:tr>
      <w:tr w:rsidR="00B61FE4" w:rsidRPr="00A17951">
        <w:trPr>
          <w:trHeight w:val="47"/>
          <w:tblCellSpacing w:w="14" w:type="dxa"/>
        </w:trPr>
        <w:tc>
          <w:tcPr>
            <w:tcW w:w="1171" w:type="dxa"/>
            <w:vAlign w:val="center"/>
          </w:tcPr>
          <w:p w:rsidR="00B61FE4" w:rsidRPr="00915627" w:rsidRDefault="00B61FE4" w:rsidP="00B61FE4">
            <w:pPr>
              <w:rPr>
                <w:rFonts w:ascii="Arial" w:hAnsi="Arial" w:cs="Arial"/>
                <w:sz w:val="16"/>
                <w:szCs w:val="16"/>
                <w:lang w:val="es-EC"/>
              </w:rPr>
            </w:pPr>
            <w:r w:rsidRPr="00915627">
              <w:rPr>
                <w:rFonts w:ascii="Arial" w:hAnsi="Arial" w:cs="Arial"/>
                <w:b/>
                <w:i/>
                <w:sz w:val="16"/>
                <w:szCs w:val="16"/>
                <w:lang w:val="es-EC"/>
              </w:rPr>
              <w:t>REPPOLIC</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Existe un reporte policial.</w:t>
            </w:r>
          </w:p>
        </w:tc>
      </w:tr>
      <w:tr w:rsidR="00B61FE4" w:rsidRPr="00A17951">
        <w:trPr>
          <w:trHeight w:val="47"/>
          <w:tblCellSpacing w:w="14" w:type="dxa"/>
        </w:trPr>
        <w:tc>
          <w:tcPr>
            <w:tcW w:w="1171" w:type="dxa"/>
            <w:vAlign w:val="center"/>
          </w:tcPr>
          <w:p w:rsidR="00B61FE4" w:rsidRPr="00915627" w:rsidRDefault="00B61FE4" w:rsidP="00B61FE4">
            <w:pPr>
              <w:rPr>
                <w:rFonts w:ascii="Arial" w:hAnsi="Arial" w:cs="Arial"/>
                <w:sz w:val="16"/>
                <w:szCs w:val="16"/>
                <w:lang w:val="es-EC"/>
              </w:rPr>
            </w:pPr>
            <w:r w:rsidRPr="00915627">
              <w:rPr>
                <w:rFonts w:ascii="Arial" w:hAnsi="Arial" w:cs="Arial"/>
                <w:b/>
                <w:i/>
                <w:sz w:val="16"/>
                <w:szCs w:val="16"/>
                <w:lang w:val="es-EC"/>
              </w:rPr>
              <w:t>ZONA1</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El siniestro ocurrió en una zona de elevada siniestralidad.</w:t>
            </w:r>
          </w:p>
        </w:tc>
      </w:tr>
      <w:tr w:rsidR="00B61FE4" w:rsidRPr="00A17951">
        <w:trPr>
          <w:trHeight w:val="47"/>
          <w:tblCellSpacing w:w="14" w:type="dxa"/>
        </w:trPr>
        <w:tc>
          <w:tcPr>
            <w:tcW w:w="1171" w:type="dxa"/>
            <w:vAlign w:val="center"/>
          </w:tcPr>
          <w:p w:rsidR="00B61FE4" w:rsidRPr="00915627" w:rsidRDefault="00B61FE4" w:rsidP="00B61FE4">
            <w:pPr>
              <w:rPr>
                <w:rFonts w:ascii="Arial" w:hAnsi="Arial" w:cs="Arial"/>
                <w:sz w:val="16"/>
                <w:szCs w:val="16"/>
                <w:lang w:val="es-EC"/>
              </w:rPr>
            </w:pPr>
            <w:r w:rsidRPr="00915627">
              <w:rPr>
                <w:rFonts w:ascii="Arial" w:hAnsi="Arial" w:cs="Arial"/>
                <w:b/>
                <w:i/>
                <w:sz w:val="16"/>
                <w:szCs w:val="16"/>
                <w:lang w:val="es-EC"/>
              </w:rPr>
              <w:t>ZONA3</w:t>
            </w:r>
          </w:p>
        </w:tc>
        <w:tc>
          <w:tcPr>
            <w:tcW w:w="2856" w:type="dxa"/>
            <w:vAlign w:val="center"/>
          </w:tcPr>
          <w:p w:rsidR="00B61FE4" w:rsidRPr="00915627" w:rsidRDefault="00B61FE4" w:rsidP="00B61FE4">
            <w:pPr>
              <w:jc w:val="both"/>
              <w:rPr>
                <w:rFonts w:ascii="Arial" w:hAnsi="Arial" w:cs="Arial"/>
                <w:sz w:val="16"/>
                <w:szCs w:val="16"/>
                <w:lang w:val="es-EC"/>
              </w:rPr>
            </w:pPr>
            <w:r w:rsidRPr="00915627">
              <w:rPr>
                <w:rFonts w:ascii="Arial" w:hAnsi="Arial" w:cs="Arial"/>
                <w:sz w:val="16"/>
                <w:szCs w:val="16"/>
                <w:lang w:val="es-EC"/>
              </w:rPr>
              <w:t>El siniestro ocurrió en una zona de baja siniestralidad.</w:t>
            </w:r>
          </w:p>
        </w:tc>
      </w:tr>
      <w:tr w:rsidR="00B61FE4" w:rsidRPr="00A17951">
        <w:trPr>
          <w:trHeight w:val="47"/>
          <w:tblCellSpacing w:w="14" w:type="dxa"/>
        </w:trPr>
        <w:tc>
          <w:tcPr>
            <w:tcW w:w="1171" w:type="dxa"/>
            <w:vAlign w:val="center"/>
          </w:tcPr>
          <w:p w:rsidR="00B61FE4" w:rsidRPr="00915627" w:rsidRDefault="00B61FE4" w:rsidP="00B61FE4">
            <w:pPr>
              <w:rPr>
                <w:rFonts w:ascii="Arial" w:hAnsi="Arial" w:cs="Arial"/>
                <w:b/>
                <w:i/>
                <w:sz w:val="16"/>
                <w:szCs w:val="16"/>
                <w:lang w:val="es-EC"/>
              </w:rPr>
            </w:pPr>
            <w:r w:rsidRPr="00915627">
              <w:rPr>
                <w:rFonts w:ascii="Arial" w:hAnsi="Arial" w:cs="Arial"/>
                <w:b/>
                <w:i/>
                <w:sz w:val="16"/>
                <w:szCs w:val="16"/>
                <w:lang w:val="es-EC"/>
              </w:rPr>
              <w:t>REPSOSP</w:t>
            </w:r>
          </w:p>
        </w:tc>
        <w:tc>
          <w:tcPr>
            <w:tcW w:w="2856" w:type="dxa"/>
            <w:vAlign w:val="center"/>
          </w:tcPr>
          <w:p w:rsidR="00B61FE4" w:rsidRPr="00915627" w:rsidRDefault="00B61FE4" w:rsidP="00B61FE4">
            <w:pPr>
              <w:spacing w:line="312" w:lineRule="auto"/>
              <w:jc w:val="both"/>
              <w:rPr>
                <w:rFonts w:ascii="Arial" w:hAnsi="Arial" w:cs="Arial"/>
                <w:sz w:val="16"/>
                <w:szCs w:val="16"/>
                <w:lang w:val="es-EC"/>
              </w:rPr>
            </w:pPr>
            <w:r w:rsidRPr="00915627">
              <w:rPr>
                <w:rFonts w:ascii="Arial" w:hAnsi="Arial" w:cs="Arial"/>
                <w:sz w:val="16"/>
                <w:szCs w:val="16"/>
                <w:lang w:val="es-EC"/>
              </w:rPr>
              <w:t>Existe presencia de relatos sospechosos.</w:t>
            </w:r>
          </w:p>
        </w:tc>
      </w:tr>
      <w:tr w:rsidR="00B61FE4" w:rsidRPr="00A17951">
        <w:trPr>
          <w:trHeight w:val="47"/>
          <w:tblCellSpacing w:w="14" w:type="dxa"/>
        </w:trPr>
        <w:tc>
          <w:tcPr>
            <w:tcW w:w="1171" w:type="dxa"/>
            <w:vAlign w:val="center"/>
          </w:tcPr>
          <w:p w:rsidR="00B61FE4" w:rsidRPr="00915627" w:rsidRDefault="00B61FE4" w:rsidP="00B61FE4">
            <w:pPr>
              <w:spacing w:line="312" w:lineRule="auto"/>
              <w:rPr>
                <w:rFonts w:ascii="Arial" w:hAnsi="Arial" w:cs="Arial"/>
                <w:b/>
                <w:i/>
                <w:sz w:val="16"/>
                <w:szCs w:val="16"/>
                <w:lang w:val="es-EC"/>
              </w:rPr>
            </w:pPr>
            <w:r w:rsidRPr="00915627">
              <w:rPr>
                <w:rFonts w:ascii="Arial" w:hAnsi="Arial" w:cs="Arial"/>
                <w:b/>
                <w:i/>
                <w:sz w:val="16"/>
                <w:szCs w:val="16"/>
                <w:lang w:val="es-EC"/>
              </w:rPr>
              <w:t>PARENTEZ</w:t>
            </w:r>
          </w:p>
        </w:tc>
        <w:tc>
          <w:tcPr>
            <w:tcW w:w="2856" w:type="dxa"/>
            <w:vAlign w:val="center"/>
          </w:tcPr>
          <w:p w:rsidR="00B61FE4" w:rsidRPr="00915627" w:rsidRDefault="00B61FE4" w:rsidP="00B61FE4">
            <w:pPr>
              <w:spacing w:line="312" w:lineRule="auto"/>
              <w:jc w:val="both"/>
              <w:rPr>
                <w:rFonts w:ascii="Arial" w:hAnsi="Arial" w:cs="Arial"/>
                <w:sz w:val="16"/>
                <w:szCs w:val="16"/>
                <w:lang w:val="es-EC"/>
              </w:rPr>
            </w:pPr>
            <w:r w:rsidRPr="00915627">
              <w:rPr>
                <w:rFonts w:ascii="Arial" w:hAnsi="Arial" w:cs="Arial"/>
                <w:sz w:val="16"/>
                <w:szCs w:val="16"/>
                <w:lang w:val="es-EC"/>
              </w:rPr>
              <w:t>Existe coincidencia de apellidos entre las partes.</w:t>
            </w:r>
          </w:p>
        </w:tc>
      </w:tr>
      <w:tr w:rsidR="00B61FE4" w:rsidRPr="00A17951">
        <w:trPr>
          <w:trHeight w:val="47"/>
          <w:tblCellSpacing w:w="14" w:type="dxa"/>
        </w:trPr>
        <w:tc>
          <w:tcPr>
            <w:tcW w:w="1171" w:type="dxa"/>
            <w:vAlign w:val="center"/>
          </w:tcPr>
          <w:p w:rsidR="00B61FE4" w:rsidRPr="00915627" w:rsidRDefault="00B61FE4" w:rsidP="00B61FE4">
            <w:pPr>
              <w:spacing w:line="312" w:lineRule="auto"/>
              <w:rPr>
                <w:rFonts w:ascii="Arial" w:hAnsi="Arial" w:cs="Arial"/>
                <w:b/>
                <w:i/>
                <w:sz w:val="16"/>
                <w:szCs w:val="16"/>
                <w:lang w:val="es-EC"/>
              </w:rPr>
            </w:pPr>
            <w:r w:rsidRPr="00915627">
              <w:rPr>
                <w:rFonts w:ascii="Arial" w:hAnsi="Arial" w:cs="Arial"/>
                <w:b/>
                <w:i/>
                <w:sz w:val="16"/>
                <w:szCs w:val="16"/>
                <w:lang w:val="es-EC"/>
              </w:rPr>
              <w:t>RETRASO</w:t>
            </w:r>
          </w:p>
        </w:tc>
        <w:tc>
          <w:tcPr>
            <w:tcW w:w="2856" w:type="dxa"/>
            <w:vAlign w:val="center"/>
          </w:tcPr>
          <w:p w:rsidR="00B61FE4" w:rsidRPr="00915627" w:rsidRDefault="00B61FE4" w:rsidP="00B61FE4">
            <w:pPr>
              <w:spacing w:line="312" w:lineRule="auto"/>
              <w:jc w:val="both"/>
              <w:rPr>
                <w:rFonts w:ascii="Arial" w:hAnsi="Arial" w:cs="Arial"/>
                <w:sz w:val="16"/>
                <w:szCs w:val="16"/>
                <w:lang w:val="es-EC"/>
              </w:rPr>
            </w:pPr>
            <w:r w:rsidRPr="00915627">
              <w:rPr>
                <w:rFonts w:ascii="Arial" w:hAnsi="Arial" w:cs="Arial"/>
                <w:sz w:val="16"/>
                <w:szCs w:val="16"/>
                <w:lang w:val="es-EC"/>
              </w:rPr>
              <w:t>El siniestro no fue reportado a la compañía aseguradora dentro del período establecido.</w:t>
            </w:r>
          </w:p>
        </w:tc>
      </w:tr>
    </w:tbl>
    <w:p w:rsidR="008A580A" w:rsidRDefault="008A580A" w:rsidP="008A580A">
      <w:pPr>
        <w:spacing w:line="480" w:lineRule="auto"/>
        <w:ind w:left="540"/>
        <w:jc w:val="both"/>
        <w:rPr>
          <w:rFonts w:ascii="Arial" w:hAnsi="Arial" w:cs="Arial"/>
          <w:sz w:val="16"/>
          <w:szCs w:val="16"/>
          <w:lang w:val="es-EC"/>
        </w:rPr>
      </w:pPr>
      <w:r w:rsidRPr="008A580A">
        <w:rPr>
          <w:rFonts w:ascii="Arial" w:hAnsi="Arial" w:cs="Arial"/>
          <w:b/>
          <w:sz w:val="16"/>
          <w:szCs w:val="16"/>
          <w:lang w:val="es-EC"/>
        </w:rPr>
        <w:t>Elabora</w:t>
      </w:r>
      <w:r>
        <w:rPr>
          <w:rFonts w:ascii="Arial" w:hAnsi="Arial" w:cs="Arial"/>
          <w:b/>
          <w:sz w:val="16"/>
          <w:szCs w:val="16"/>
          <w:lang w:val="es-EC"/>
        </w:rPr>
        <w:t>ción</w:t>
      </w:r>
      <w:r w:rsidRPr="008A580A">
        <w:rPr>
          <w:rFonts w:ascii="Arial" w:hAnsi="Arial" w:cs="Arial"/>
          <w:b/>
          <w:sz w:val="16"/>
          <w:szCs w:val="16"/>
          <w:lang w:val="es-EC"/>
        </w:rPr>
        <w:t>:</w:t>
      </w:r>
      <w:r>
        <w:rPr>
          <w:rFonts w:ascii="Arial" w:hAnsi="Arial" w:cs="Arial"/>
          <w:sz w:val="16"/>
          <w:szCs w:val="16"/>
          <w:lang w:val="es-EC"/>
        </w:rPr>
        <w:t xml:space="preserve"> Heydi</w:t>
      </w:r>
      <w:r w:rsidRPr="008A580A">
        <w:rPr>
          <w:rFonts w:ascii="Arial" w:hAnsi="Arial" w:cs="Arial"/>
          <w:sz w:val="16"/>
          <w:szCs w:val="16"/>
          <w:lang w:val="es-EC"/>
        </w:rPr>
        <w:t xml:space="preserve"> Roa</w:t>
      </w:r>
      <w:r>
        <w:rPr>
          <w:rFonts w:ascii="Arial" w:hAnsi="Arial" w:cs="Arial"/>
          <w:sz w:val="16"/>
          <w:szCs w:val="16"/>
          <w:lang w:val="es-EC"/>
        </w:rPr>
        <w:t xml:space="preserve"> López</w:t>
      </w:r>
    </w:p>
    <w:p w:rsidR="00A1412E" w:rsidRDefault="00A1412E" w:rsidP="00146030">
      <w:pPr>
        <w:jc w:val="both"/>
        <w:rPr>
          <w:lang w:val="es-EC"/>
        </w:rPr>
      </w:pPr>
    </w:p>
    <w:p w:rsidR="00B61FE4" w:rsidRDefault="00B61FE4" w:rsidP="00146030">
      <w:pPr>
        <w:jc w:val="both"/>
        <w:rPr>
          <w:lang w:val="es-EC"/>
        </w:rPr>
      </w:pPr>
    </w:p>
    <w:p w:rsidR="00B61FE4" w:rsidRDefault="00B61FE4" w:rsidP="00146030">
      <w:pPr>
        <w:jc w:val="both"/>
        <w:rPr>
          <w:lang w:val="es-EC"/>
        </w:rPr>
      </w:pPr>
    </w:p>
    <w:p w:rsidR="00146030" w:rsidRDefault="00146030" w:rsidP="00146030">
      <w:pPr>
        <w:numPr>
          <w:ilvl w:val="1"/>
          <w:numId w:val="10"/>
        </w:numPr>
        <w:tabs>
          <w:tab w:val="left" w:pos="540"/>
        </w:tabs>
        <w:jc w:val="both"/>
        <w:rPr>
          <w:b/>
          <w:lang w:val="es-EC"/>
        </w:rPr>
      </w:pPr>
      <w:r>
        <w:rPr>
          <w:b/>
          <w:lang w:val="es-EC"/>
        </w:rPr>
        <w:lastRenderedPageBreak/>
        <w:t xml:space="preserve">TRANSFORMACIÓN DE LOS DATOS CATEGÓRICOS EN </w:t>
      </w:r>
      <w:r w:rsidRPr="00146030">
        <w:rPr>
          <w:b/>
          <w:lang w:val="es-EC"/>
        </w:rPr>
        <w:t xml:space="preserve">PUNTUACIONES </w:t>
      </w:r>
      <w:r>
        <w:rPr>
          <w:b/>
          <w:lang w:val="es-EC"/>
        </w:rPr>
        <w:t xml:space="preserve">RIDIT </w:t>
      </w:r>
    </w:p>
    <w:p w:rsidR="00146030" w:rsidRDefault="00146030" w:rsidP="00146030">
      <w:pPr>
        <w:tabs>
          <w:tab w:val="left" w:pos="540"/>
        </w:tabs>
        <w:ind w:left="360"/>
        <w:jc w:val="both"/>
        <w:rPr>
          <w:b/>
          <w:lang w:val="es-EC"/>
        </w:rPr>
      </w:pPr>
    </w:p>
    <w:p w:rsidR="00146030" w:rsidRDefault="00146030" w:rsidP="00146030">
      <w:pPr>
        <w:tabs>
          <w:tab w:val="left" w:pos="540"/>
        </w:tabs>
        <w:ind w:left="720"/>
        <w:jc w:val="both"/>
        <w:rPr>
          <w:lang w:val="es-EC"/>
        </w:rPr>
      </w:pPr>
      <w:r w:rsidRPr="00146030">
        <w:rPr>
          <w:lang w:val="es-EC"/>
        </w:rPr>
        <w:t>Un método de puntuación de mejor desempeño para variables categóricas</w:t>
      </w:r>
      <w:r>
        <w:rPr>
          <w:lang w:val="es-EC"/>
        </w:rPr>
        <w:t xml:space="preserve">, es el método de Puntuaciones RIDIT. </w:t>
      </w:r>
      <w:r w:rsidRPr="00146030">
        <w:rPr>
          <w:lang w:val="es-EC"/>
        </w:rPr>
        <w:t>El objetivo de este método de puntuación es cuantificar el nivel de sospecha de fraude producida por la representación categórica de cada variable indicadora de fraude en una declaración de siniestro</w:t>
      </w:r>
      <w:r>
        <w:rPr>
          <w:lang w:val="es-EC"/>
        </w:rPr>
        <w:t>.</w:t>
      </w:r>
    </w:p>
    <w:p w:rsidR="001F30A0" w:rsidRDefault="001F30A0" w:rsidP="00146030">
      <w:pPr>
        <w:tabs>
          <w:tab w:val="left" w:pos="540"/>
        </w:tabs>
        <w:ind w:left="720"/>
        <w:jc w:val="both"/>
        <w:rPr>
          <w:lang w:val="es-EC"/>
        </w:rPr>
      </w:pPr>
    </w:p>
    <w:p w:rsidR="001F30A0" w:rsidRDefault="001F30A0" w:rsidP="001F30A0">
      <w:pPr>
        <w:ind w:left="720"/>
        <w:jc w:val="both"/>
        <w:rPr>
          <w:lang w:val="es-EC"/>
        </w:rPr>
      </w:pPr>
      <w:r w:rsidRPr="001F30A0">
        <w:rPr>
          <w:lang w:val="es-EC"/>
        </w:rPr>
        <w:t xml:space="preserve">Sea </w:t>
      </w:r>
      <w:r w:rsidRPr="001F30A0">
        <w:rPr>
          <w:i/>
          <w:lang w:val="es-EC"/>
        </w:rPr>
        <w:t>k</w:t>
      </w:r>
      <w:r w:rsidRPr="001F30A0">
        <w:rPr>
          <w:i/>
          <w:vertAlign w:val="subscript"/>
          <w:lang w:val="es-EC"/>
        </w:rPr>
        <w:t>t</w:t>
      </w:r>
      <w:r w:rsidRPr="001F30A0">
        <w:rPr>
          <w:lang w:val="es-EC"/>
        </w:rPr>
        <w:t xml:space="preserve"> el número de categorías disponibles y ordenadas para la variable indicadora </w:t>
      </w:r>
      <w:r w:rsidRPr="001F30A0">
        <w:rPr>
          <w:i/>
          <w:lang w:val="es-EC"/>
        </w:rPr>
        <w:t>t</w:t>
      </w:r>
      <w:r w:rsidRPr="001F30A0">
        <w:rPr>
          <w:lang w:val="es-EC"/>
        </w:rPr>
        <w:t xml:space="preserve">, y sea </w:t>
      </w:r>
      <w:r w:rsidRPr="001F30A0">
        <w:rPr>
          <w:position w:val="-14"/>
          <w:lang w:val="es-EC"/>
        </w:rPr>
        <w:object w:dxaOrig="1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3.25pt;height:18.75pt" o:ole="">
            <v:imagedata r:id="rId10" o:title=""/>
          </v:shape>
          <o:OLEObject Type="Embed" ProgID="Equation.3" ShapeID="_x0000_i1030" DrawAspect="Content" ObjectID="_1343036516" r:id="rId11"/>
        </w:object>
      </w:r>
      <w:r w:rsidRPr="001F30A0">
        <w:rPr>
          <w:lang w:val="es-EC"/>
        </w:rPr>
        <w:t xml:space="preserve"> las proporciones de respuesta observadas en el conjunto entero de demandas. Se asume que las categorías están ordenadas en relación a la probabilidad de sospecha de fraude, en forma decreciente; por lo que una respuesta categórica más alta indica menos sospecha de fraude. Para la opción categórica </w:t>
      </w:r>
      <w:r w:rsidRPr="001F30A0">
        <w:rPr>
          <w:i/>
          <w:position w:val="-6"/>
          <w:lang w:val="es-EC"/>
        </w:rPr>
        <w:object w:dxaOrig="139" w:dyaOrig="260">
          <v:shape id="_x0000_i1031" type="#_x0000_t75" style="width:8.25pt;height:15.75pt" o:ole="">
            <v:imagedata r:id="rId12" o:title=""/>
          </v:shape>
          <o:OLEObject Type="Embed" ProgID="Equation.3" ShapeID="_x0000_i1031" DrawAspect="Content" ObjectID="_1343036517" r:id="rId13"/>
        </w:object>
      </w:r>
      <w:r w:rsidRPr="001F30A0">
        <w:rPr>
          <w:lang w:val="es-EC"/>
        </w:rPr>
        <w:t xml:space="preserve"> de la variable </w:t>
      </w:r>
      <w:r w:rsidRPr="001F30A0">
        <w:rPr>
          <w:i/>
          <w:position w:val="-6"/>
          <w:lang w:val="es-EC"/>
        </w:rPr>
        <w:object w:dxaOrig="139" w:dyaOrig="240">
          <v:shape id="_x0000_i1032" type="#_x0000_t75" style="width:8.25pt;height:14.25pt" o:ole="">
            <v:imagedata r:id="rId14" o:title=""/>
          </v:shape>
          <o:OLEObject Type="Embed" ProgID="Equation.3" ShapeID="_x0000_i1032" DrawAspect="Content" ObjectID="_1343036518" r:id="rId15"/>
        </w:object>
      </w:r>
      <w:r w:rsidRPr="001F30A0">
        <w:rPr>
          <w:lang w:val="es-EC"/>
        </w:rPr>
        <w:t>, se asigna el valor numérico o puntuación siguiente:</w:t>
      </w:r>
    </w:p>
    <w:p w:rsidR="001F30A0" w:rsidRDefault="001F30A0" w:rsidP="001F30A0">
      <w:pPr>
        <w:ind w:left="720"/>
        <w:jc w:val="both"/>
        <w:rPr>
          <w:lang w:val="es-EC"/>
        </w:rPr>
      </w:pPr>
    </w:p>
    <w:p w:rsidR="001F30A0" w:rsidRPr="001F30A0" w:rsidRDefault="001F30A0" w:rsidP="001F30A0">
      <w:pPr>
        <w:ind w:left="720"/>
        <w:jc w:val="both"/>
        <w:rPr>
          <w:lang w:val="es-EC"/>
        </w:rPr>
      </w:pPr>
    </w:p>
    <w:p w:rsidR="001F30A0" w:rsidRPr="001F30A0" w:rsidRDefault="001F30A0" w:rsidP="001F30A0">
      <w:pPr>
        <w:tabs>
          <w:tab w:val="left" w:pos="540"/>
        </w:tabs>
        <w:ind w:left="720"/>
        <w:jc w:val="both"/>
        <w:rPr>
          <w:b/>
          <w:sz w:val="20"/>
          <w:szCs w:val="20"/>
          <w:lang w:val="es-EC"/>
        </w:rPr>
      </w:pPr>
      <w:r w:rsidRPr="001F30A0">
        <w:rPr>
          <w:position w:val="-30"/>
          <w:lang w:val="es-EC"/>
        </w:rPr>
        <w:object w:dxaOrig="1860" w:dyaOrig="560">
          <v:shape id="_x0000_i1033" type="#_x0000_t75" style="width:107.25pt;height:32.25pt" o:ole="">
            <v:imagedata r:id="rId16" o:title=""/>
          </v:shape>
          <o:OLEObject Type="Embed" ProgID="Equation.3" ShapeID="_x0000_i1033" DrawAspect="Content" ObjectID="_1343036519" r:id="rId17"/>
        </w:object>
      </w:r>
      <w:r>
        <w:rPr>
          <w:rFonts w:ascii="Arial" w:hAnsi="Arial" w:cs="Arial"/>
          <w:lang w:val="es-EC"/>
        </w:rPr>
        <w:t xml:space="preserve">    </w:t>
      </w:r>
      <w:r w:rsidRPr="001F30A0">
        <w:rPr>
          <w:i/>
          <w:position w:val="-6"/>
          <w:sz w:val="20"/>
          <w:szCs w:val="20"/>
          <w:lang w:val="es-EC"/>
        </w:rPr>
        <w:object w:dxaOrig="139" w:dyaOrig="260">
          <v:shape id="_x0000_i1034" type="#_x0000_t75" style="width:8.25pt;height:15.75pt" o:ole="">
            <v:imagedata r:id="rId12" o:title=""/>
          </v:shape>
          <o:OLEObject Type="Embed" ProgID="Equation.3" ShapeID="_x0000_i1034" DrawAspect="Content" ObjectID="_1343036520" r:id="rId18"/>
        </w:object>
      </w:r>
      <w:r w:rsidRPr="001F30A0">
        <w:rPr>
          <w:sz w:val="20"/>
          <w:szCs w:val="20"/>
          <w:lang w:val="es-EC"/>
        </w:rPr>
        <w:t xml:space="preserve"> = 1, 2, …, </w:t>
      </w:r>
      <w:r w:rsidRPr="001F30A0">
        <w:rPr>
          <w:i/>
          <w:sz w:val="20"/>
          <w:szCs w:val="20"/>
          <w:lang w:val="es-EC"/>
        </w:rPr>
        <w:t>k</w:t>
      </w:r>
      <w:r w:rsidRPr="001F30A0">
        <w:rPr>
          <w:i/>
          <w:sz w:val="20"/>
          <w:szCs w:val="20"/>
          <w:vertAlign w:val="subscript"/>
          <w:lang w:val="es-EC"/>
        </w:rPr>
        <w:t>t</w:t>
      </w:r>
    </w:p>
    <w:p w:rsidR="00915627" w:rsidRDefault="001F30A0" w:rsidP="001F30A0">
      <w:pPr>
        <w:jc w:val="both"/>
        <w:rPr>
          <w:lang w:val="es-EC"/>
        </w:rPr>
      </w:pPr>
      <w:r>
        <w:rPr>
          <w:lang w:val="es-EC"/>
        </w:rPr>
        <w:tab/>
      </w:r>
    </w:p>
    <w:p w:rsidR="001F30A0" w:rsidRDefault="001F30A0" w:rsidP="001F30A0">
      <w:pPr>
        <w:ind w:left="720"/>
        <w:jc w:val="both"/>
        <w:rPr>
          <w:lang w:val="es-EC"/>
        </w:rPr>
      </w:pPr>
    </w:p>
    <w:p w:rsidR="001F30A0" w:rsidRDefault="001F30A0" w:rsidP="001F30A0">
      <w:pPr>
        <w:ind w:left="720"/>
        <w:jc w:val="both"/>
        <w:rPr>
          <w:lang w:val="es-EC"/>
        </w:rPr>
      </w:pPr>
      <w:r w:rsidRPr="001F30A0">
        <w:rPr>
          <w:lang w:val="es-EC"/>
        </w:rPr>
        <w:t xml:space="preserve">Así, este procedimiento transforma cualquier conjunto de respuestas categóricas en un conjunto de valores numéricos dentro de un intervalo </w:t>
      </w:r>
      <w:r>
        <w:rPr>
          <w:lang w:val="es-EC"/>
        </w:rPr>
        <w:t xml:space="preserve">     </w:t>
      </w:r>
      <w:r w:rsidRPr="001F30A0">
        <w:rPr>
          <w:lang w:val="es-EC"/>
        </w:rPr>
        <w:t xml:space="preserve">[-1, 1], lo cual refleja la relativa </w:t>
      </w:r>
      <w:r w:rsidRPr="001F30A0">
        <w:rPr>
          <w:lang w:val="es-EC"/>
        </w:rPr>
        <w:lastRenderedPageBreak/>
        <w:t>“anormalidad” de una respuesta particular.</w:t>
      </w:r>
    </w:p>
    <w:p w:rsidR="004137D2" w:rsidRDefault="004137D2" w:rsidP="001F30A0">
      <w:pPr>
        <w:pStyle w:val="Epgrafe"/>
        <w:ind w:firstLine="709"/>
        <w:jc w:val="center"/>
        <w:rPr>
          <w:rFonts w:ascii="Arial" w:hAnsi="Arial" w:cs="Arial"/>
          <w:sz w:val="16"/>
          <w:szCs w:val="16"/>
          <w:lang w:val="es-EC"/>
        </w:rPr>
      </w:pPr>
    </w:p>
    <w:p w:rsidR="001F30A0" w:rsidRPr="001F30A0" w:rsidRDefault="001F30A0" w:rsidP="001F30A0">
      <w:pPr>
        <w:pStyle w:val="Epgrafe"/>
        <w:ind w:firstLine="709"/>
        <w:jc w:val="center"/>
        <w:rPr>
          <w:rFonts w:ascii="Arial" w:hAnsi="Arial" w:cs="Arial"/>
          <w:sz w:val="16"/>
          <w:szCs w:val="16"/>
          <w:lang w:val="es-EC"/>
        </w:rPr>
      </w:pPr>
      <w:r w:rsidRPr="001F30A0">
        <w:rPr>
          <w:rFonts w:ascii="Arial" w:hAnsi="Arial" w:cs="Arial"/>
          <w:sz w:val="16"/>
          <w:szCs w:val="16"/>
          <w:lang w:val="es-EC"/>
        </w:rPr>
        <w:t>TABLA III</w:t>
      </w:r>
    </w:p>
    <w:p w:rsidR="001F30A0" w:rsidRPr="001F30A0" w:rsidRDefault="001F30A0" w:rsidP="001F30A0">
      <w:pPr>
        <w:pStyle w:val="Epgrafe"/>
        <w:ind w:left="720"/>
        <w:jc w:val="center"/>
        <w:rPr>
          <w:rFonts w:ascii="Arial" w:hAnsi="Arial" w:cs="Arial"/>
          <w:sz w:val="16"/>
          <w:szCs w:val="16"/>
          <w:lang w:val="es-EC"/>
        </w:rPr>
      </w:pPr>
      <w:r w:rsidRPr="001F30A0">
        <w:rPr>
          <w:rFonts w:ascii="Arial" w:hAnsi="Arial" w:cs="Arial"/>
          <w:sz w:val="16"/>
          <w:szCs w:val="16"/>
          <w:lang w:val="es-EC"/>
        </w:rPr>
        <w:t>CALCULO DE PUNTUACIONES RIDIT</w:t>
      </w:r>
    </w:p>
    <w:p w:rsidR="001F30A0" w:rsidRPr="005B4445" w:rsidRDefault="007E1FC3" w:rsidP="001F30A0">
      <w:pPr>
        <w:jc w:val="center"/>
        <w:rPr>
          <w:szCs w:val="20"/>
        </w:rPr>
      </w:pPr>
      <w:r>
        <w:rPr>
          <w:noProof/>
          <w:lang w:val="en-US"/>
        </w:rPr>
        <w:drawing>
          <wp:inline distT="0" distB="0" distL="0" distR="0">
            <wp:extent cx="2286000" cy="212407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2286000" cy="2124075"/>
                    </a:xfrm>
                    <a:prstGeom prst="rect">
                      <a:avLst/>
                    </a:prstGeom>
                    <a:noFill/>
                    <a:ln w="9525">
                      <a:noFill/>
                      <a:miter lim="800000"/>
                      <a:headEnd/>
                      <a:tailEnd/>
                    </a:ln>
                  </pic:spPr>
                </pic:pic>
              </a:graphicData>
            </a:graphic>
          </wp:inline>
        </w:drawing>
      </w:r>
    </w:p>
    <w:p w:rsidR="001F30A0" w:rsidRDefault="001F30A0" w:rsidP="001F30A0">
      <w:pPr>
        <w:rPr>
          <w:rFonts w:ascii="Arial" w:hAnsi="Arial" w:cs="Arial"/>
          <w:b/>
          <w:sz w:val="16"/>
          <w:szCs w:val="16"/>
          <w:lang w:val="es-EC"/>
        </w:rPr>
      </w:pPr>
      <w:r w:rsidRPr="001F30A0">
        <w:rPr>
          <w:rFonts w:ascii="Arial" w:hAnsi="Arial" w:cs="Arial"/>
          <w:b/>
          <w:sz w:val="16"/>
          <w:szCs w:val="16"/>
          <w:lang w:val="es-EC"/>
        </w:rPr>
        <w:t xml:space="preserve">  </w:t>
      </w:r>
    </w:p>
    <w:p w:rsidR="001F30A0" w:rsidRDefault="001F30A0" w:rsidP="001F30A0">
      <w:pPr>
        <w:ind w:left="709"/>
        <w:jc w:val="center"/>
        <w:rPr>
          <w:rFonts w:ascii="Arial" w:hAnsi="Arial" w:cs="Arial"/>
          <w:sz w:val="16"/>
          <w:szCs w:val="16"/>
          <w:lang w:val="es-EC"/>
        </w:rPr>
      </w:pPr>
      <w:r w:rsidRPr="001F30A0">
        <w:rPr>
          <w:rFonts w:ascii="Arial" w:hAnsi="Arial" w:cs="Arial"/>
          <w:b/>
          <w:sz w:val="16"/>
          <w:szCs w:val="16"/>
          <w:lang w:val="es-EC"/>
        </w:rPr>
        <w:t>Elabora</w:t>
      </w:r>
      <w:r>
        <w:rPr>
          <w:rFonts w:ascii="Arial" w:hAnsi="Arial" w:cs="Arial"/>
          <w:b/>
          <w:sz w:val="16"/>
          <w:szCs w:val="16"/>
          <w:lang w:val="es-EC"/>
        </w:rPr>
        <w:t>ción</w:t>
      </w:r>
      <w:r w:rsidRPr="001F30A0">
        <w:rPr>
          <w:rFonts w:ascii="Arial" w:hAnsi="Arial" w:cs="Arial"/>
          <w:b/>
          <w:sz w:val="16"/>
          <w:szCs w:val="16"/>
          <w:lang w:val="es-EC"/>
        </w:rPr>
        <w:t>:</w:t>
      </w:r>
      <w:r w:rsidRPr="001F30A0">
        <w:rPr>
          <w:rFonts w:ascii="Arial" w:hAnsi="Arial" w:cs="Arial"/>
          <w:sz w:val="16"/>
          <w:szCs w:val="16"/>
          <w:lang w:val="es-EC"/>
        </w:rPr>
        <w:t xml:space="preserve"> H</w:t>
      </w:r>
      <w:r>
        <w:rPr>
          <w:rFonts w:ascii="Arial" w:hAnsi="Arial" w:cs="Arial"/>
          <w:sz w:val="16"/>
          <w:szCs w:val="16"/>
          <w:lang w:val="es-EC"/>
        </w:rPr>
        <w:t>eydi</w:t>
      </w:r>
      <w:r w:rsidRPr="001F30A0">
        <w:rPr>
          <w:rFonts w:ascii="Arial" w:hAnsi="Arial" w:cs="Arial"/>
          <w:sz w:val="16"/>
          <w:szCs w:val="16"/>
          <w:lang w:val="es-EC"/>
        </w:rPr>
        <w:t xml:space="preserve"> Roa</w:t>
      </w:r>
      <w:r>
        <w:rPr>
          <w:rFonts w:ascii="Arial" w:hAnsi="Arial" w:cs="Arial"/>
          <w:sz w:val="16"/>
          <w:szCs w:val="16"/>
          <w:lang w:val="es-EC"/>
        </w:rPr>
        <w:t xml:space="preserve"> López</w:t>
      </w:r>
    </w:p>
    <w:p w:rsidR="00D07C5F" w:rsidRDefault="00D07C5F" w:rsidP="001F30A0">
      <w:pPr>
        <w:ind w:left="709"/>
        <w:jc w:val="center"/>
        <w:rPr>
          <w:rFonts w:ascii="Arial" w:hAnsi="Arial" w:cs="Arial"/>
          <w:sz w:val="16"/>
          <w:szCs w:val="16"/>
          <w:lang w:val="es-EC"/>
        </w:rPr>
      </w:pPr>
    </w:p>
    <w:p w:rsidR="00D07C5F" w:rsidRDefault="00D07C5F" w:rsidP="001F30A0">
      <w:pPr>
        <w:ind w:left="709"/>
        <w:jc w:val="center"/>
        <w:rPr>
          <w:rFonts w:ascii="Arial" w:hAnsi="Arial" w:cs="Arial"/>
          <w:sz w:val="16"/>
          <w:szCs w:val="16"/>
          <w:lang w:val="es-EC"/>
        </w:rPr>
      </w:pPr>
    </w:p>
    <w:p w:rsidR="00713652" w:rsidRDefault="00713652" w:rsidP="00713652">
      <w:pPr>
        <w:numPr>
          <w:ilvl w:val="1"/>
          <w:numId w:val="10"/>
        </w:numPr>
        <w:tabs>
          <w:tab w:val="left" w:pos="0"/>
        </w:tabs>
        <w:jc w:val="both"/>
        <w:rPr>
          <w:b/>
          <w:lang w:val="es-EC"/>
        </w:rPr>
      </w:pPr>
      <w:r>
        <w:rPr>
          <w:b/>
          <w:lang w:val="es-EC"/>
        </w:rPr>
        <w:t xml:space="preserve">OBTENCIÓN DE PONDERACIONES PRIDIT Y PUNTUACIÓN GLOBAL PARA UNA DEMANDA ENTERA </w:t>
      </w:r>
    </w:p>
    <w:p w:rsidR="00713652" w:rsidRDefault="00713652" w:rsidP="00713652">
      <w:pPr>
        <w:tabs>
          <w:tab w:val="left" w:pos="0"/>
          <w:tab w:val="left" w:pos="720"/>
        </w:tabs>
        <w:ind w:left="360"/>
        <w:jc w:val="both"/>
        <w:rPr>
          <w:b/>
          <w:lang w:val="es-EC"/>
        </w:rPr>
      </w:pPr>
    </w:p>
    <w:p w:rsidR="00713652" w:rsidRDefault="00713652" w:rsidP="00713652">
      <w:pPr>
        <w:tabs>
          <w:tab w:val="left" w:pos="720"/>
        </w:tabs>
        <w:ind w:left="680"/>
        <w:jc w:val="both"/>
        <w:rPr>
          <w:lang w:val="es-EC"/>
        </w:rPr>
      </w:pPr>
      <w:r w:rsidRPr="00713652">
        <w:rPr>
          <w:lang w:val="es-EC"/>
        </w:rPr>
        <w:t xml:space="preserve">Sea </w:t>
      </w:r>
      <w:r w:rsidRPr="00713652">
        <w:rPr>
          <w:position w:val="-12"/>
          <w:lang w:val="es-EC"/>
        </w:rPr>
        <w:object w:dxaOrig="859" w:dyaOrig="360">
          <v:shape id="_x0000_i1036" type="#_x0000_t75" style="width:41.25pt;height:17.25pt" o:ole="">
            <v:imagedata r:id="rId20" o:title=""/>
          </v:shape>
          <o:OLEObject Type="Embed" ProgID="Equation.3" ShapeID="_x0000_i1036" DrawAspect="Content" ObjectID="_1343036521" r:id="rId21"/>
        </w:object>
      </w:r>
      <w:r w:rsidRPr="00713652">
        <w:rPr>
          <w:lang w:val="es-EC"/>
        </w:rPr>
        <w:t xml:space="preserve"> la notación de la matriz de las puntuaciones individuales RIDIT para cada una de las </w:t>
      </w:r>
      <w:r w:rsidRPr="00713652">
        <w:rPr>
          <w:position w:val="-10"/>
          <w:lang w:val="es-EC"/>
        </w:rPr>
        <w:object w:dxaOrig="1140" w:dyaOrig="320">
          <v:shape id="_x0000_i1037" type="#_x0000_t75" style="width:60.75pt;height:17.25pt" o:ole="">
            <v:imagedata r:id="rId22" o:title=""/>
          </v:shape>
          <o:OLEObject Type="Embed" ProgID="Equation.3" ShapeID="_x0000_i1037" DrawAspect="Content" ObjectID="_1343036522" r:id="rId23"/>
        </w:object>
      </w:r>
      <w:r w:rsidRPr="00713652">
        <w:rPr>
          <w:lang w:val="es-EC"/>
        </w:rPr>
        <w:t xml:space="preserve"> variables, para cada una de las </w:t>
      </w:r>
      <w:r w:rsidRPr="00713652">
        <w:rPr>
          <w:position w:val="-10"/>
          <w:lang w:val="es-EC"/>
        </w:rPr>
        <w:object w:dxaOrig="1140" w:dyaOrig="320">
          <v:shape id="_x0000_i1038" type="#_x0000_t75" style="width:65.25pt;height:17.25pt" o:ole="">
            <v:imagedata r:id="rId24" o:title=""/>
          </v:shape>
          <o:OLEObject Type="Embed" ProgID="Equation.3" ShapeID="_x0000_i1038" DrawAspect="Content" ObjectID="_1343036523" r:id="rId25"/>
        </w:object>
      </w:r>
      <w:r w:rsidRPr="00713652">
        <w:rPr>
          <w:lang w:val="es-EC"/>
        </w:rPr>
        <w:t xml:space="preserve"> demandas. Esto es, </w:t>
      </w:r>
      <w:r w:rsidRPr="00713652">
        <w:rPr>
          <w:position w:val="-12"/>
          <w:lang w:val="es-EC"/>
        </w:rPr>
        <w:object w:dxaOrig="880" w:dyaOrig="360">
          <v:shape id="_x0000_i1039" type="#_x0000_t75" style="width:42.75pt;height:17.25pt" o:ole="">
            <v:imagedata r:id="rId26" o:title=""/>
          </v:shape>
          <o:OLEObject Type="Embed" ProgID="Equation.3" ShapeID="_x0000_i1039" DrawAspect="Content" ObjectID="_1343036524" r:id="rId27"/>
        </w:object>
      </w:r>
      <w:r w:rsidRPr="00713652">
        <w:rPr>
          <w:lang w:val="es-EC"/>
        </w:rPr>
        <w:t xml:space="preserve"> si la demanda </w:t>
      </w:r>
      <w:r w:rsidRPr="00713652">
        <w:rPr>
          <w:position w:val="-6"/>
          <w:lang w:val="es-EC"/>
        </w:rPr>
        <w:object w:dxaOrig="139" w:dyaOrig="260">
          <v:shape id="_x0000_i1040" type="#_x0000_t75" style="width:9pt;height:16.5pt" o:ole="">
            <v:imagedata r:id="rId12" o:title=""/>
          </v:shape>
          <o:OLEObject Type="Embed" ProgID="Equation.3" ShapeID="_x0000_i1040" DrawAspect="Content" ObjectID="_1343036525" r:id="rId28"/>
        </w:object>
      </w:r>
      <w:r w:rsidRPr="00713652">
        <w:rPr>
          <w:lang w:val="es-EC"/>
        </w:rPr>
        <w:t xml:space="preserve"> contiene </w:t>
      </w:r>
      <w:r w:rsidRPr="00713652">
        <w:rPr>
          <w:position w:val="-6"/>
          <w:lang w:val="es-EC"/>
        </w:rPr>
        <w:object w:dxaOrig="200" w:dyaOrig="279">
          <v:shape id="_x0000_i1041" type="#_x0000_t75" style="width:12pt;height:17.25pt" o:ole="">
            <v:imagedata r:id="rId29" o:title=""/>
          </v:shape>
          <o:OLEObject Type="Embed" ProgID="Equation.3" ShapeID="_x0000_i1041" DrawAspect="Content" ObjectID="_1343036526" r:id="rId30"/>
        </w:object>
      </w:r>
      <w:r w:rsidRPr="00713652">
        <w:rPr>
          <w:lang w:val="es-EC"/>
        </w:rPr>
        <w:t xml:space="preserve"> niveles de respuestas categóricas para la variable </w:t>
      </w:r>
      <w:r w:rsidRPr="00713652">
        <w:rPr>
          <w:position w:val="-6"/>
          <w:lang w:val="es-EC"/>
        </w:rPr>
        <w:object w:dxaOrig="139" w:dyaOrig="240">
          <v:shape id="_x0000_i1042" type="#_x0000_t75" style="width:9.75pt;height:17.25pt" o:ole="">
            <v:imagedata r:id="rId14" o:title=""/>
          </v:shape>
          <o:OLEObject Type="Embed" ProgID="Equation.3" ShapeID="_x0000_i1042" DrawAspect="Content" ObjectID="_1343036527" r:id="rId31"/>
        </w:object>
      </w:r>
      <w:r w:rsidRPr="00713652">
        <w:rPr>
          <w:lang w:val="es-EC"/>
        </w:rPr>
        <w:t xml:space="preserve">. Se obtiene una puntuación de sospecha global para cada demanda </w:t>
      </w:r>
      <w:r w:rsidRPr="00713652">
        <w:rPr>
          <w:lang w:val="es-EC"/>
        </w:rPr>
        <w:lastRenderedPageBreak/>
        <w:t xml:space="preserve">sumando simplemente las puntuaciones de las variables individuales respectivas. </w:t>
      </w:r>
    </w:p>
    <w:p w:rsidR="00713652" w:rsidRDefault="00713652" w:rsidP="00713652">
      <w:pPr>
        <w:tabs>
          <w:tab w:val="left" w:pos="720"/>
        </w:tabs>
        <w:ind w:left="720" w:hanging="720"/>
        <w:jc w:val="both"/>
        <w:rPr>
          <w:rFonts w:ascii="Arial" w:hAnsi="Arial" w:cs="Arial"/>
          <w:lang w:val="es-EC"/>
        </w:rPr>
      </w:pPr>
      <w:r>
        <w:rPr>
          <w:rFonts w:ascii="Arial" w:hAnsi="Arial" w:cs="Arial"/>
          <w:lang w:val="es-EC"/>
        </w:rPr>
        <w:tab/>
      </w:r>
    </w:p>
    <w:p w:rsidR="00713652" w:rsidRDefault="00713652" w:rsidP="00713652">
      <w:pPr>
        <w:tabs>
          <w:tab w:val="left" w:pos="720"/>
        </w:tabs>
        <w:ind w:left="720" w:hanging="720"/>
        <w:jc w:val="both"/>
        <w:rPr>
          <w:lang w:val="es-EC"/>
        </w:rPr>
      </w:pPr>
      <w:r>
        <w:rPr>
          <w:rFonts w:ascii="Arial" w:hAnsi="Arial" w:cs="Arial"/>
          <w:lang w:val="es-EC"/>
        </w:rPr>
        <w:tab/>
      </w:r>
      <w:r w:rsidRPr="00713652">
        <w:rPr>
          <w:lang w:val="es-EC"/>
        </w:rPr>
        <w:t xml:space="preserve">Sea </w:t>
      </w:r>
      <w:r w:rsidRPr="00713652">
        <w:rPr>
          <w:position w:val="-10"/>
          <w:lang w:val="es-EC"/>
        </w:rPr>
        <w:object w:dxaOrig="1500" w:dyaOrig="360">
          <v:shape id="_x0000_i1043" type="#_x0000_t75" style="width:1in;height:17.25pt" o:ole="">
            <v:imagedata r:id="rId32" o:title=""/>
          </v:shape>
          <o:OLEObject Type="Embed" ProgID="Equation.3" ShapeID="_x0000_i1043" DrawAspect="Content" ObjectID="_1343036528" r:id="rId33"/>
        </w:object>
      </w:r>
      <w:r w:rsidRPr="00713652">
        <w:rPr>
          <w:lang w:val="es-EC"/>
        </w:rPr>
        <w:t xml:space="preserve">, la notación del primer vector transpuesto. Luego el vector de la suma global de las puntuaciones de sospecha de fraude obtenidas para cada demanda denotada en la matriz es: </w:t>
      </w:r>
      <w:r w:rsidRPr="00713652">
        <w:rPr>
          <w:position w:val="-6"/>
          <w:lang w:val="es-EC"/>
        </w:rPr>
        <w:object w:dxaOrig="1240" w:dyaOrig="320">
          <v:shape id="_x0000_i1044" type="#_x0000_t75" style="width:68.25pt;height:17.25pt" o:ole="">
            <v:imagedata r:id="rId34" o:title=""/>
          </v:shape>
          <o:OLEObject Type="Embed" ProgID="Equation.3" ShapeID="_x0000_i1044" DrawAspect="Content" ObjectID="_1343036529" r:id="rId35"/>
        </w:object>
      </w:r>
      <w:r w:rsidRPr="00713652">
        <w:rPr>
          <w:lang w:val="es-EC"/>
        </w:rPr>
        <w:t xml:space="preserve">. Ahora, se tiene una medida de consistencia de la variable indicadora </w:t>
      </w:r>
      <w:r w:rsidRPr="00713652">
        <w:rPr>
          <w:position w:val="-6"/>
          <w:lang w:val="es-EC"/>
        </w:rPr>
        <w:object w:dxaOrig="139" w:dyaOrig="240">
          <v:shape id="_x0000_i1045" type="#_x0000_t75" style="width:9.75pt;height:17.25pt" o:ole="">
            <v:imagedata r:id="rId14" o:title=""/>
          </v:shape>
          <o:OLEObject Type="Embed" ProgID="Equation.3" ShapeID="_x0000_i1045" DrawAspect="Content" ObjectID="_1343036530" r:id="rId36"/>
        </w:object>
      </w:r>
      <w:r w:rsidRPr="00713652">
        <w:rPr>
          <w:lang w:val="es-EC"/>
        </w:rPr>
        <w:t xml:space="preserve"> con las puntuaciones globales de sospecha de fraude para las demandas.</w:t>
      </w:r>
    </w:p>
    <w:p w:rsidR="00370BF1" w:rsidRDefault="00370BF1" w:rsidP="00713652">
      <w:pPr>
        <w:tabs>
          <w:tab w:val="left" w:pos="720"/>
        </w:tabs>
        <w:ind w:left="720" w:hanging="720"/>
        <w:jc w:val="both"/>
        <w:rPr>
          <w:lang w:val="es-EC"/>
        </w:rPr>
      </w:pPr>
      <w:r>
        <w:rPr>
          <w:lang w:val="es-EC"/>
        </w:rPr>
        <w:tab/>
      </w:r>
    </w:p>
    <w:p w:rsidR="00370BF1" w:rsidRDefault="00370BF1" w:rsidP="00713652">
      <w:pPr>
        <w:tabs>
          <w:tab w:val="left" w:pos="720"/>
        </w:tabs>
        <w:ind w:left="720" w:hanging="720"/>
        <w:jc w:val="both"/>
        <w:rPr>
          <w:position w:val="-4"/>
          <w:lang w:val="es-EC"/>
        </w:rPr>
      </w:pPr>
      <w:r>
        <w:rPr>
          <w:lang w:val="es-EC"/>
        </w:rPr>
        <w:tab/>
        <w:t xml:space="preserve">A través del </w:t>
      </w:r>
      <w:r w:rsidRPr="00370BF1">
        <w:rPr>
          <w:b/>
          <w:lang w:val="es-EC"/>
        </w:rPr>
        <w:t>Teorema 1</w:t>
      </w:r>
      <w:r>
        <w:rPr>
          <w:lang w:val="es-EC"/>
        </w:rPr>
        <w:t xml:space="preserve"> se garantiza que el valor de W converge </w:t>
      </w:r>
      <w:r w:rsidRPr="00370BF1">
        <w:rPr>
          <w:lang w:val="es-EC"/>
        </w:rPr>
        <w:t xml:space="preserve">y la fijación del peso de la variable </w:t>
      </w:r>
      <w:r w:rsidR="007E1FC3">
        <w:rPr>
          <w:noProof/>
          <w:position w:val="-6"/>
          <w:lang w:val="en-US"/>
        </w:rPr>
        <w:drawing>
          <wp:inline distT="0" distB="0" distL="0" distR="0">
            <wp:extent cx="314325" cy="219075"/>
            <wp:effectExtent l="1905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srcRect/>
                    <a:stretch>
                      <a:fillRect/>
                    </a:stretch>
                  </pic:blipFill>
                  <pic:spPr bwMode="auto">
                    <a:xfrm>
                      <a:off x="0" y="0"/>
                      <a:ext cx="314325" cy="219075"/>
                    </a:xfrm>
                    <a:prstGeom prst="rect">
                      <a:avLst/>
                    </a:prstGeom>
                    <a:noFill/>
                    <a:ln w="9525">
                      <a:noFill/>
                      <a:miter lim="800000"/>
                      <a:headEnd/>
                      <a:tailEnd/>
                    </a:ln>
                  </pic:spPr>
                </pic:pic>
              </a:graphicData>
            </a:graphic>
          </wp:inline>
        </w:drawing>
      </w:r>
      <w:r w:rsidRPr="00370BF1">
        <w:rPr>
          <w:lang w:val="es-EC"/>
        </w:rPr>
        <w:t xml:space="preserve"> es la primera componente principal de </w:t>
      </w:r>
      <w:r w:rsidR="007E1FC3">
        <w:rPr>
          <w:noProof/>
          <w:position w:val="-4"/>
          <w:lang w:val="en-US"/>
        </w:rPr>
        <w:drawing>
          <wp:inline distT="0" distB="0" distL="0" distR="0">
            <wp:extent cx="314325" cy="16192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srcRect/>
                    <a:stretch>
                      <a:fillRect/>
                    </a:stretch>
                  </pic:blipFill>
                  <pic:spPr bwMode="auto">
                    <a:xfrm>
                      <a:off x="0" y="0"/>
                      <a:ext cx="314325" cy="161925"/>
                    </a:xfrm>
                    <a:prstGeom prst="rect">
                      <a:avLst/>
                    </a:prstGeom>
                    <a:noFill/>
                    <a:ln w="9525">
                      <a:noFill/>
                      <a:miter lim="800000"/>
                      <a:headEnd/>
                      <a:tailEnd/>
                    </a:ln>
                  </pic:spPr>
                </pic:pic>
              </a:graphicData>
            </a:graphic>
          </wp:inline>
        </w:drawing>
      </w:r>
      <w:r>
        <w:rPr>
          <w:position w:val="-4"/>
          <w:lang w:val="es-EC"/>
        </w:rPr>
        <w:t>.</w:t>
      </w:r>
    </w:p>
    <w:p w:rsidR="00370BF1" w:rsidRDefault="00370BF1" w:rsidP="00713652">
      <w:pPr>
        <w:tabs>
          <w:tab w:val="left" w:pos="720"/>
        </w:tabs>
        <w:ind w:left="720" w:hanging="720"/>
        <w:jc w:val="both"/>
        <w:rPr>
          <w:position w:val="-4"/>
          <w:lang w:val="es-EC"/>
        </w:rPr>
      </w:pPr>
      <w:r>
        <w:rPr>
          <w:position w:val="-4"/>
          <w:lang w:val="es-EC"/>
        </w:rPr>
        <w:tab/>
      </w:r>
    </w:p>
    <w:p w:rsidR="00370BF1" w:rsidRDefault="00370BF1" w:rsidP="00370BF1">
      <w:pPr>
        <w:ind w:left="720"/>
        <w:jc w:val="both"/>
        <w:rPr>
          <w:i/>
          <w:lang w:val="es-EC"/>
        </w:rPr>
      </w:pPr>
      <w:r w:rsidRPr="00370BF1">
        <w:rPr>
          <w:b/>
          <w:lang w:val="es-EC"/>
        </w:rPr>
        <w:t>Teorema 1:</w:t>
      </w:r>
      <w:r>
        <w:rPr>
          <w:lang w:val="es-EC"/>
        </w:rPr>
        <w:t xml:space="preserve"> </w:t>
      </w:r>
      <w:r w:rsidRPr="00370BF1">
        <w:rPr>
          <w:i/>
          <w:lang w:val="es-EC"/>
        </w:rPr>
        <w:t xml:space="preserve">Las secuencias de los pesos de las variables predictoras </w:t>
      </w:r>
      <w:r w:rsidR="007E1FC3">
        <w:rPr>
          <w:i/>
          <w:noProof/>
          <w:position w:val="-10"/>
          <w:lang w:val="en-US"/>
        </w:rPr>
        <w:drawing>
          <wp:inline distT="0" distB="0" distL="0" distR="0">
            <wp:extent cx="409575" cy="2286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srcRect/>
                    <a:stretch>
                      <a:fillRect/>
                    </a:stretch>
                  </pic:blipFill>
                  <pic:spPr bwMode="auto">
                    <a:xfrm>
                      <a:off x="0" y="0"/>
                      <a:ext cx="409575" cy="228600"/>
                    </a:xfrm>
                    <a:prstGeom prst="rect">
                      <a:avLst/>
                    </a:prstGeom>
                    <a:noFill/>
                    <a:ln w="9525">
                      <a:noFill/>
                      <a:miter lim="800000"/>
                      <a:headEnd/>
                      <a:tailEnd/>
                    </a:ln>
                  </pic:spPr>
                </pic:pic>
              </a:graphicData>
            </a:graphic>
          </wp:inline>
        </w:drawing>
      </w:r>
      <w:r w:rsidRPr="00370BF1">
        <w:rPr>
          <w:i/>
          <w:lang w:val="es-EC"/>
        </w:rPr>
        <w:t xml:space="preserve"> y la sumatoria global de las puntuaciones de sospecha de las demandas </w:t>
      </w:r>
      <w:r w:rsidRPr="00370BF1">
        <w:rPr>
          <w:i/>
          <w:position w:val="-10"/>
          <w:lang w:val="es-EC"/>
        </w:rPr>
        <w:object w:dxaOrig="560" w:dyaOrig="360">
          <v:shape id="_x0000_i1049" type="#_x0000_t75" style="width:27.75pt;height:18pt" o:ole="">
            <v:imagedata r:id="rId40" o:title=""/>
          </v:shape>
          <o:OLEObject Type="Embed" ProgID="Equation.3" ShapeID="_x0000_i1049" DrawAspect="Content" ObjectID="_1343036531" r:id="rId41"/>
        </w:object>
      </w:r>
      <w:r w:rsidRPr="00370BF1">
        <w:rPr>
          <w:i/>
          <w:lang w:val="es-EC"/>
        </w:rPr>
        <w:t xml:space="preserve"> convergen. De modo que, la fijación de peso de la variable predictora </w:t>
      </w:r>
      <w:r w:rsidRPr="00370BF1">
        <w:rPr>
          <w:i/>
          <w:position w:val="-6"/>
          <w:lang w:val="es-EC"/>
        </w:rPr>
        <w:object w:dxaOrig="499" w:dyaOrig="340">
          <v:shape id="_x0000_i1050" type="#_x0000_t75" style="width:24.75pt;height:17.25pt" o:ole="">
            <v:imagedata r:id="rId42" o:title=""/>
          </v:shape>
          <o:OLEObject Type="Embed" ProgID="Equation.3" ShapeID="_x0000_i1050" DrawAspect="Content" ObjectID="_1343036532" r:id="rId43"/>
        </w:object>
      </w:r>
      <w:r w:rsidRPr="00370BF1">
        <w:rPr>
          <w:i/>
          <w:lang w:val="es-EC"/>
        </w:rPr>
        <w:t xml:space="preserve"> es la primera componente principal de </w:t>
      </w:r>
      <w:r w:rsidRPr="00370BF1">
        <w:rPr>
          <w:i/>
          <w:position w:val="-4"/>
          <w:lang w:val="es-EC"/>
        </w:rPr>
        <w:object w:dxaOrig="499" w:dyaOrig="260">
          <v:shape id="_x0000_i1051" type="#_x0000_t75" style="width:24.75pt;height:12.75pt" o:ole="">
            <v:imagedata r:id="rId44" o:title=""/>
          </v:shape>
          <o:OLEObject Type="Embed" ProgID="Equation.3" ShapeID="_x0000_i1051" DrawAspect="Content" ObjectID="_1343036533" r:id="rId45"/>
        </w:object>
      </w:r>
      <w:r w:rsidRPr="00370BF1">
        <w:rPr>
          <w:i/>
          <w:lang w:val="es-EC"/>
        </w:rPr>
        <w:t xml:space="preserve">, la cual es una estimación consistente de la primera componente principal </w:t>
      </w:r>
      <w:r w:rsidRPr="00370BF1">
        <w:rPr>
          <w:i/>
          <w:position w:val="-6"/>
          <w:lang w:val="es-EC"/>
        </w:rPr>
        <w:object w:dxaOrig="499" w:dyaOrig="320">
          <v:shape id="_x0000_i1052" type="#_x0000_t75" style="width:24.75pt;height:15.75pt" o:ole="">
            <v:imagedata r:id="rId46" o:title=""/>
          </v:shape>
          <o:OLEObject Type="Embed" ProgID="Equation.3" ShapeID="_x0000_i1052" DrawAspect="Content" ObjectID="_1343036534" r:id="rId47"/>
        </w:object>
      </w:r>
      <w:r w:rsidRPr="00370BF1">
        <w:rPr>
          <w:i/>
          <w:lang w:val="es-EC"/>
        </w:rPr>
        <w:t xml:space="preserve"> del </w:t>
      </w:r>
      <w:r w:rsidRPr="00370BF1">
        <w:rPr>
          <w:i/>
          <w:position w:val="-10"/>
          <w:lang w:val="es-EC"/>
        </w:rPr>
        <w:object w:dxaOrig="900" w:dyaOrig="340">
          <v:shape id="_x0000_i1053" type="#_x0000_t75" style="width:45pt;height:17.25pt" o:ole="">
            <v:imagedata r:id="rId48" o:title=""/>
          </v:shape>
          <o:OLEObject Type="Embed" ProgID="Equation.3" ShapeID="_x0000_i1053" DrawAspect="Content" ObjectID="_1343036535" r:id="rId49"/>
        </w:object>
      </w:r>
      <w:r w:rsidRPr="00370BF1">
        <w:rPr>
          <w:i/>
          <w:lang w:val="es-EC"/>
        </w:rPr>
        <w:t>, la t-ésima componente principal se tiene explícitamente:</w:t>
      </w:r>
    </w:p>
    <w:p w:rsidR="00370BF1" w:rsidRPr="00370BF1" w:rsidRDefault="007E1FC3" w:rsidP="00370BF1">
      <w:pPr>
        <w:ind w:left="720"/>
        <w:jc w:val="center"/>
        <w:rPr>
          <w:i/>
          <w:lang w:val="es-EC"/>
        </w:rPr>
      </w:pPr>
      <w:r>
        <w:rPr>
          <w:rFonts w:ascii="Arial" w:hAnsi="Arial" w:cs="Arial"/>
          <w:noProof/>
          <w:position w:val="-68"/>
          <w:lang w:val="en-US"/>
        </w:rPr>
        <w:drawing>
          <wp:inline distT="0" distB="0" distL="0" distR="0">
            <wp:extent cx="1714500" cy="533400"/>
            <wp:effectExtent l="1905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a:srcRect/>
                    <a:stretch>
                      <a:fillRect/>
                    </a:stretch>
                  </pic:blipFill>
                  <pic:spPr bwMode="auto">
                    <a:xfrm>
                      <a:off x="0" y="0"/>
                      <a:ext cx="1714500" cy="533400"/>
                    </a:xfrm>
                    <a:prstGeom prst="rect">
                      <a:avLst/>
                    </a:prstGeom>
                    <a:noFill/>
                    <a:ln w="9525">
                      <a:noFill/>
                      <a:miter lim="800000"/>
                      <a:headEnd/>
                      <a:tailEnd/>
                    </a:ln>
                  </pic:spPr>
                </pic:pic>
              </a:graphicData>
            </a:graphic>
          </wp:inline>
        </w:drawing>
      </w:r>
    </w:p>
    <w:p w:rsidR="001B04A0" w:rsidRPr="001B04A0" w:rsidRDefault="001B04A0" w:rsidP="001B04A0">
      <w:pPr>
        <w:pStyle w:val="Epgrafe"/>
        <w:ind w:firstLine="570"/>
        <w:jc w:val="center"/>
        <w:rPr>
          <w:rFonts w:ascii="Arial" w:hAnsi="Arial" w:cs="Arial"/>
          <w:sz w:val="16"/>
          <w:szCs w:val="16"/>
          <w:lang w:val="es-EC"/>
        </w:rPr>
      </w:pPr>
      <w:r w:rsidRPr="001B04A0">
        <w:rPr>
          <w:rFonts w:ascii="Arial" w:hAnsi="Arial" w:cs="Arial"/>
          <w:sz w:val="16"/>
          <w:szCs w:val="16"/>
          <w:lang w:val="es-EC"/>
        </w:rPr>
        <w:lastRenderedPageBreak/>
        <w:t xml:space="preserve">TABLA </w:t>
      </w:r>
      <w:r w:rsidR="00174BE2">
        <w:rPr>
          <w:rFonts w:ascii="Arial" w:hAnsi="Arial" w:cs="Arial"/>
          <w:sz w:val="16"/>
          <w:szCs w:val="16"/>
          <w:lang w:val="es-EC"/>
        </w:rPr>
        <w:t>I</w:t>
      </w:r>
      <w:r w:rsidRPr="001B04A0">
        <w:rPr>
          <w:rFonts w:ascii="Arial" w:hAnsi="Arial" w:cs="Arial"/>
          <w:sz w:val="16"/>
          <w:szCs w:val="16"/>
          <w:lang w:val="es-EC"/>
        </w:rPr>
        <w:t>V</w:t>
      </w:r>
    </w:p>
    <w:p w:rsidR="001B04A0" w:rsidRPr="001B04A0" w:rsidRDefault="001B04A0" w:rsidP="001B04A0">
      <w:pPr>
        <w:spacing w:line="360" w:lineRule="auto"/>
        <w:ind w:firstLine="573"/>
        <w:jc w:val="center"/>
        <w:rPr>
          <w:rFonts w:ascii="Arial" w:hAnsi="Arial" w:cs="Arial"/>
          <w:sz w:val="16"/>
          <w:szCs w:val="16"/>
          <w:lang w:val="es-EC"/>
        </w:rPr>
      </w:pPr>
      <w:r w:rsidRPr="001B04A0">
        <w:rPr>
          <w:rFonts w:ascii="Arial" w:hAnsi="Arial" w:cs="Arial"/>
          <w:sz w:val="16"/>
          <w:szCs w:val="16"/>
          <w:lang w:val="es-EC"/>
        </w:rPr>
        <w:t>PONDERACIONES PRIDIT PARA</w:t>
      </w:r>
    </w:p>
    <w:p w:rsidR="001B04A0" w:rsidRPr="001B04A0" w:rsidRDefault="001B04A0" w:rsidP="001B04A0">
      <w:pPr>
        <w:spacing w:line="360" w:lineRule="auto"/>
        <w:ind w:left="573"/>
        <w:jc w:val="center"/>
        <w:rPr>
          <w:rFonts w:ascii="Arial" w:hAnsi="Arial" w:cs="Arial"/>
          <w:sz w:val="16"/>
          <w:szCs w:val="16"/>
          <w:lang w:val="es-EC"/>
        </w:rPr>
      </w:pPr>
      <w:r w:rsidRPr="001B04A0">
        <w:rPr>
          <w:rFonts w:ascii="Arial" w:hAnsi="Arial" w:cs="Arial"/>
          <w:sz w:val="16"/>
          <w:szCs w:val="16"/>
          <w:lang w:val="es-EC"/>
        </w:rPr>
        <w:t>LAS VARIABLES INDICADORAS DE FRAUDE</w:t>
      </w:r>
    </w:p>
    <w:p w:rsidR="001B04A0" w:rsidRPr="00856208" w:rsidRDefault="007E1FC3" w:rsidP="004137D2">
      <w:pPr>
        <w:autoSpaceDE w:val="0"/>
        <w:autoSpaceDN w:val="0"/>
        <w:adjustRightInd w:val="0"/>
        <w:ind w:firstLine="573"/>
        <w:jc w:val="center"/>
      </w:pPr>
      <w:r>
        <w:rPr>
          <w:noProof/>
          <w:lang w:val="en-US"/>
        </w:rPr>
        <w:drawing>
          <wp:inline distT="0" distB="0" distL="0" distR="0">
            <wp:extent cx="1819275" cy="281940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a:srcRect/>
                    <a:stretch>
                      <a:fillRect/>
                    </a:stretch>
                  </pic:blipFill>
                  <pic:spPr bwMode="auto">
                    <a:xfrm>
                      <a:off x="0" y="0"/>
                      <a:ext cx="1819275" cy="2819400"/>
                    </a:xfrm>
                    <a:prstGeom prst="rect">
                      <a:avLst/>
                    </a:prstGeom>
                    <a:noFill/>
                    <a:ln w="9525">
                      <a:noFill/>
                      <a:miter lim="800000"/>
                      <a:headEnd/>
                      <a:tailEnd/>
                    </a:ln>
                  </pic:spPr>
                </pic:pic>
              </a:graphicData>
            </a:graphic>
          </wp:inline>
        </w:drawing>
      </w:r>
    </w:p>
    <w:p w:rsidR="001B04A0" w:rsidRPr="00C327B1" w:rsidRDefault="001B04A0" w:rsidP="001B04A0">
      <w:pPr>
        <w:autoSpaceDE w:val="0"/>
        <w:autoSpaceDN w:val="0"/>
        <w:adjustRightInd w:val="0"/>
        <w:ind w:firstLine="540"/>
        <w:jc w:val="center"/>
        <w:rPr>
          <w:rFonts w:ascii="Arial" w:hAnsi="Arial" w:cs="Arial"/>
          <w:bCs/>
          <w:sz w:val="16"/>
          <w:szCs w:val="16"/>
          <w:lang w:val="es-EC"/>
        </w:rPr>
      </w:pPr>
      <w:r w:rsidRPr="00C327B1">
        <w:rPr>
          <w:rFonts w:ascii="Arial" w:hAnsi="Arial" w:cs="Arial"/>
          <w:b/>
          <w:bCs/>
          <w:sz w:val="16"/>
          <w:szCs w:val="16"/>
          <w:lang w:val="es-EC"/>
        </w:rPr>
        <w:t>Elaboración:</w:t>
      </w:r>
      <w:r w:rsidRPr="00C327B1">
        <w:rPr>
          <w:rFonts w:ascii="Arial" w:hAnsi="Arial" w:cs="Arial"/>
          <w:bCs/>
          <w:sz w:val="16"/>
          <w:szCs w:val="16"/>
          <w:lang w:val="es-EC"/>
        </w:rPr>
        <w:t xml:space="preserve"> Heydi Roa López</w:t>
      </w:r>
    </w:p>
    <w:p w:rsidR="00C327B1" w:rsidRDefault="00C327B1" w:rsidP="001B04A0">
      <w:pPr>
        <w:autoSpaceDE w:val="0"/>
        <w:autoSpaceDN w:val="0"/>
        <w:adjustRightInd w:val="0"/>
        <w:ind w:firstLine="540"/>
        <w:jc w:val="center"/>
        <w:rPr>
          <w:rFonts w:ascii="Arial" w:hAnsi="Arial" w:cs="Arial"/>
          <w:bCs/>
          <w:sz w:val="20"/>
          <w:szCs w:val="20"/>
          <w:lang w:val="es-EC"/>
        </w:rPr>
      </w:pPr>
    </w:p>
    <w:p w:rsidR="00C327B1" w:rsidRDefault="00C327B1" w:rsidP="001B04A0">
      <w:pPr>
        <w:autoSpaceDE w:val="0"/>
        <w:autoSpaceDN w:val="0"/>
        <w:adjustRightInd w:val="0"/>
        <w:ind w:firstLine="540"/>
        <w:jc w:val="center"/>
        <w:rPr>
          <w:rFonts w:ascii="Arial" w:hAnsi="Arial" w:cs="Arial"/>
          <w:bCs/>
          <w:sz w:val="20"/>
          <w:szCs w:val="20"/>
          <w:lang w:val="es-EC"/>
        </w:rPr>
      </w:pPr>
    </w:p>
    <w:p w:rsidR="00334E34" w:rsidRDefault="00334E34" w:rsidP="00334E34">
      <w:pPr>
        <w:autoSpaceDE w:val="0"/>
        <w:autoSpaceDN w:val="0"/>
        <w:adjustRightInd w:val="0"/>
        <w:ind w:left="540"/>
        <w:jc w:val="both"/>
        <w:rPr>
          <w:bCs/>
          <w:lang w:val="es-EC"/>
        </w:rPr>
      </w:pPr>
      <w:r w:rsidRPr="00334E34">
        <w:rPr>
          <w:bCs/>
          <w:lang w:val="es-EC"/>
        </w:rPr>
        <w:t xml:space="preserve">La TABLA </w:t>
      </w:r>
      <w:r>
        <w:rPr>
          <w:bCs/>
          <w:lang w:val="es-EC"/>
        </w:rPr>
        <w:t>I</w:t>
      </w:r>
      <w:r w:rsidRPr="00334E34">
        <w:rPr>
          <w:bCs/>
          <w:lang w:val="es-EC"/>
        </w:rPr>
        <w:t xml:space="preserve">V muestra que las variables indicadoras de fraude </w:t>
      </w:r>
      <w:r w:rsidRPr="00334E34">
        <w:rPr>
          <w:b/>
          <w:bCs/>
          <w:lang w:val="es-EC"/>
        </w:rPr>
        <w:t>VEHUSO</w:t>
      </w:r>
      <w:r w:rsidRPr="00334E34">
        <w:rPr>
          <w:bCs/>
          <w:lang w:val="es-EC"/>
        </w:rPr>
        <w:t xml:space="preserve"> y </w:t>
      </w:r>
      <w:r w:rsidRPr="00334E34">
        <w:rPr>
          <w:b/>
          <w:bCs/>
          <w:lang w:val="es-EC"/>
        </w:rPr>
        <w:t xml:space="preserve">ACULPA </w:t>
      </w:r>
      <w:r w:rsidRPr="00334E34">
        <w:rPr>
          <w:bCs/>
          <w:lang w:val="es-EC"/>
        </w:rPr>
        <w:t xml:space="preserve">llevan la mayor ponderación PRIDIT de 100 demandas analizadas, seguidas de </w:t>
      </w:r>
      <w:r w:rsidRPr="00334E34">
        <w:rPr>
          <w:b/>
          <w:bCs/>
          <w:lang w:val="es-EC"/>
        </w:rPr>
        <w:t>COBERT</w:t>
      </w:r>
      <w:r w:rsidRPr="00334E34">
        <w:rPr>
          <w:bCs/>
          <w:lang w:val="es-EC"/>
        </w:rPr>
        <w:t xml:space="preserve">, </w:t>
      </w:r>
      <w:r w:rsidRPr="00334E34">
        <w:rPr>
          <w:b/>
          <w:bCs/>
          <w:lang w:val="es-EC"/>
        </w:rPr>
        <w:t>ZONA1</w:t>
      </w:r>
      <w:r w:rsidRPr="00334E34">
        <w:rPr>
          <w:bCs/>
          <w:lang w:val="es-EC"/>
        </w:rPr>
        <w:t xml:space="preserve"> y </w:t>
      </w:r>
      <w:r w:rsidRPr="00334E34">
        <w:rPr>
          <w:b/>
          <w:bCs/>
          <w:lang w:val="es-EC"/>
        </w:rPr>
        <w:t>FRAQCIA</w:t>
      </w:r>
      <w:r w:rsidRPr="00334E34">
        <w:rPr>
          <w:bCs/>
          <w:lang w:val="es-EC"/>
        </w:rPr>
        <w:t>, es decir que éstas son las variables que tienen mayor pesos a la hora de determinar un nivel de sospecha de fraude.</w:t>
      </w:r>
    </w:p>
    <w:p w:rsidR="00C327B1" w:rsidRPr="00334E34" w:rsidRDefault="00C327B1" w:rsidP="00334E34">
      <w:pPr>
        <w:autoSpaceDE w:val="0"/>
        <w:autoSpaceDN w:val="0"/>
        <w:adjustRightInd w:val="0"/>
        <w:ind w:left="540"/>
        <w:jc w:val="both"/>
        <w:rPr>
          <w:bCs/>
          <w:lang w:val="es-EC"/>
        </w:rPr>
      </w:pPr>
    </w:p>
    <w:p w:rsidR="00B61FE4" w:rsidRDefault="00B61FE4" w:rsidP="00C82D02">
      <w:pPr>
        <w:pStyle w:val="Epgrafe"/>
        <w:ind w:firstLine="570"/>
        <w:jc w:val="center"/>
        <w:rPr>
          <w:rFonts w:ascii="Arial" w:hAnsi="Arial" w:cs="Arial"/>
          <w:sz w:val="16"/>
          <w:szCs w:val="16"/>
          <w:lang w:val="es-EC"/>
        </w:rPr>
      </w:pPr>
    </w:p>
    <w:p w:rsidR="00B61FE4" w:rsidRDefault="00B61FE4" w:rsidP="00C82D02">
      <w:pPr>
        <w:pStyle w:val="Epgrafe"/>
        <w:ind w:firstLine="570"/>
        <w:jc w:val="center"/>
        <w:rPr>
          <w:rFonts w:ascii="Arial" w:hAnsi="Arial" w:cs="Arial"/>
          <w:sz w:val="16"/>
          <w:szCs w:val="16"/>
          <w:lang w:val="es-EC"/>
        </w:rPr>
      </w:pPr>
    </w:p>
    <w:p w:rsidR="00B61FE4" w:rsidRDefault="00B61FE4" w:rsidP="00C82D02">
      <w:pPr>
        <w:pStyle w:val="Epgrafe"/>
        <w:ind w:firstLine="570"/>
        <w:jc w:val="center"/>
        <w:rPr>
          <w:rFonts w:ascii="Arial" w:hAnsi="Arial" w:cs="Arial"/>
          <w:sz w:val="16"/>
          <w:szCs w:val="16"/>
          <w:lang w:val="es-EC"/>
        </w:rPr>
      </w:pPr>
    </w:p>
    <w:p w:rsidR="00B61FE4" w:rsidRDefault="00B61FE4" w:rsidP="00C82D02">
      <w:pPr>
        <w:pStyle w:val="Epgrafe"/>
        <w:ind w:firstLine="570"/>
        <w:jc w:val="center"/>
        <w:rPr>
          <w:rFonts w:ascii="Arial" w:hAnsi="Arial" w:cs="Arial"/>
          <w:sz w:val="16"/>
          <w:szCs w:val="16"/>
          <w:lang w:val="es-EC"/>
        </w:rPr>
      </w:pPr>
    </w:p>
    <w:p w:rsidR="00C82D02" w:rsidRPr="00C327B1" w:rsidRDefault="00C82D02" w:rsidP="00C82D02">
      <w:pPr>
        <w:pStyle w:val="Epgrafe"/>
        <w:ind w:firstLine="570"/>
        <w:jc w:val="center"/>
        <w:rPr>
          <w:rFonts w:ascii="Arial" w:hAnsi="Arial" w:cs="Arial"/>
          <w:sz w:val="16"/>
          <w:szCs w:val="16"/>
          <w:lang w:val="es-EC"/>
        </w:rPr>
      </w:pPr>
      <w:r w:rsidRPr="00C327B1">
        <w:rPr>
          <w:rFonts w:ascii="Arial" w:hAnsi="Arial" w:cs="Arial"/>
          <w:sz w:val="16"/>
          <w:szCs w:val="16"/>
          <w:lang w:val="es-EC"/>
        </w:rPr>
        <w:lastRenderedPageBreak/>
        <w:t xml:space="preserve">TABLA </w:t>
      </w:r>
      <w:r>
        <w:rPr>
          <w:rFonts w:ascii="Arial" w:hAnsi="Arial" w:cs="Arial"/>
          <w:sz w:val="16"/>
          <w:szCs w:val="16"/>
          <w:lang w:val="es-EC"/>
        </w:rPr>
        <w:t>V</w:t>
      </w:r>
    </w:p>
    <w:p w:rsidR="00C82D02" w:rsidRPr="00C327B1" w:rsidRDefault="00C82D02" w:rsidP="00C82D02">
      <w:pPr>
        <w:spacing w:line="360" w:lineRule="auto"/>
        <w:ind w:firstLine="573"/>
        <w:jc w:val="center"/>
        <w:rPr>
          <w:rFonts w:ascii="Arial" w:hAnsi="Arial" w:cs="Arial"/>
          <w:sz w:val="16"/>
          <w:szCs w:val="16"/>
          <w:lang w:val="es-EC"/>
        </w:rPr>
      </w:pPr>
      <w:r w:rsidRPr="00C327B1">
        <w:rPr>
          <w:rFonts w:ascii="Arial" w:hAnsi="Arial" w:cs="Arial"/>
          <w:sz w:val="16"/>
          <w:szCs w:val="16"/>
          <w:lang w:val="es-EC"/>
        </w:rPr>
        <w:t>PUNTUACIÓN GLOBAL</w:t>
      </w:r>
    </w:p>
    <w:p w:rsidR="00C82D02" w:rsidRPr="00C327B1" w:rsidRDefault="00C82D02" w:rsidP="00C82D02">
      <w:pPr>
        <w:spacing w:line="360" w:lineRule="auto"/>
        <w:ind w:firstLine="573"/>
        <w:jc w:val="center"/>
        <w:rPr>
          <w:rFonts w:ascii="Arial" w:hAnsi="Arial" w:cs="Arial"/>
          <w:sz w:val="16"/>
          <w:szCs w:val="16"/>
          <w:lang w:val="es-EC"/>
        </w:rPr>
      </w:pPr>
      <w:r w:rsidRPr="00C327B1">
        <w:rPr>
          <w:rFonts w:ascii="Arial" w:hAnsi="Arial" w:cs="Arial"/>
          <w:sz w:val="16"/>
          <w:szCs w:val="16"/>
          <w:lang w:val="es-EC"/>
        </w:rPr>
        <w:t>PARA UNA DEMANDA COMPLETA</w:t>
      </w:r>
    </w:p>
    <w:p w:rsidR="00C82D02" w:rsidRPr="00CC3DE8" w:rsidRDefault="007E1FC3" w:rsidP="00C82D02">
      <w:pPr>
        <w:autoSpaceDE w:val="0"/>
        <w:autoSpaceDN w:val="0"/>
        <w:adjustRightInd w:val="0"/>
        <w:spacing w:line="360" w:lineRule="auto"/>
        <w:ind w:firstLine="539"/>
        <w:jc w:val="center"/>
      </w:pPr>
      <w:r>
        <w:rPr>
          <w:noProof/>
          <w:sz w:val="16"/>
          <w:szCs w:val="16"/>
          <w:lang w:val="en-US"/>
        </w:rPr>
        <w:drawing>
          <wp:inline distT="0" distB="0" distL="0" distR="0">
            <wp:extent cx="1371600" cy="2200275"/>
            <wp:effectExtent l="1905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srcRect/>
                    <a:stretch>
                      <a:fillRect/>
                    </a:stretch>
                  </pic:blipFill>
                  <pic:spPr bwMode="auto">
                    <a:xfrm>
                      <a:off x="0" y="0"/>
                      <a:ext cx="1371600" cy="2200275"/>
                    </a:xfrm>
                    <a:prstGeom prst="rect">
                      <a:avLst/>
                    </a:prstGeom>
                    <a:noFill/>
                    <a:ln w="9525">
                      <a:noFill/>
                      <a:miter lim="800000"/>
                      <a:headEnd/>
                      <a:tailEnd/>
                    </a:ln>
                  </pic:spPr>
                </pic:pic>
              </a:graphicData>
            </a:graphic>
          </wp:inline>
        </w:drawing>
      </w:r>
    </w:p>
    <w:p w:rsidR="00C82D02" w:rsidRDefault="00C82D02" w:rsidP="00C82D02">
      <w:pPr>
        <w:autoSpaceDE w:val="0"/>
        <w:autoSpaceDN w:val="0"/>
        <w:adjustRightInd w:val="0"/>
        <w:ind w:firstLine="540"/>
        <w:jc w:val="center"/>
        <w:rPr>
          <w:rFonts w:ascii="Arial" w:hAnsi="Arial" w:cs="Arial"/>
          <w:bCs/>
          <w:sz w:val="16"/>
          <w:szCs w:val="16"/>
          <w:lang w:val="es-EC"/>
        </w:rPr>
      </w:pPr>
      <w:r w:rsidRPr="00C327B1">
        <w:rPr>
          <w:rFonts w:ascii="Arial" w:hAnsi="Arial" w:cs="Arial"/>
          <w:b/>
          <w:bCs/>
          <w:sz w:val="16"/>
          <w:szCs w:val="16"/>
          <w:lang w:val="es-EC"/>
        </w:rPr>
        <w:t>Elabora</w:t>
      </w:r>
      <w:r>
        <w:rPr>
          <w:rFonts w:ascii="Arial" w:hAnsi="Arial" w:cs="Arial"/>
          <w:b/>
          <w:bCs/>
          <w:sz w:val="16"/>
          <w:szCs w:val="16"/>
          <w:lang w:val="es-EC"/>
        </w:rPr>
        <w:t>ción</w:t>
      </w:r>
      <w:r w:rsidRPr="00C327B1">
        <w:rPr>
          <w:rFonts w:ascii="Arial" w:hAnsi="Arial" w:cs="Arial"/>
          <w:b/>
          <w:bCs/>
          <w:sz w:val="16"/>
          <w:szCs w:val="16"/>
          <w:lang w:val="es-EC"/>
        </w:rPr>
        <w:t>:</w:t>
      </w:r>
      <w:r w:rsidRPr="00C327B1">
        <w:rPr>
          <w:rFonts w:ascii="Arial" w:hAnsi="Arial" w:cs="Arial"/>
          <w:bCs/>
          <w:sz w:val="16"/>
          <w:szCs w:val="16"/>
          <w:lang w:val="es-EC"/>
        </w:rPr>
        <w:t xml:space="preserve"> H</w:t>
      </w:r>
      <w:r>
        <w:rPr>
          <w:rFonts w:ascii="Arial" w:hAnsi="Arial" w:cs="Arial"/>
          <w:bCs/>
          <w:sz w:val="16"/>
          <w:szCs w:val="16"/>
          <w:lang w:val="es-EC"/>
        </w:rPr>
        <w:t>eydi</w:t>
      </w:r>
      <w:r w:rsidRPr="00C327B1">
        <w:rPr>
          <w:rFonts w:ascii="Arial" w:hAnsi="Arial" w:cs="Arial"/>
          <w:bCs/>
          <w:sz w:val="16"/>
          <w:szCs w:val="16"/>
          <w:lang w:val="es-EC"/>
        </w:rPr>
        <w:t xml:space="preserve"> Roa</w:t>
      </w:r>
      <w:r>
        <w:rPr>
          <w:rFonts w:ascii="Arial" w:hAnsi="Arial" w:cs="Arial"/>
          <w:bCs/>
          <w:sz w:val="16"/>
          <w:szCs w:val="16"/>
          <w:lang w:val="es-EC"/>
        </w:rPr>
        <w:t xml:space="preserve"> López</w:t>
      </w:r>
    </w:p>
    <w:p w:rsidR="00C82D02" w:rsidRDefault="00C82D02" w:rsidP="00C82D02">
      <w:pPr>
        <w:autoSpaceDE w:val="0"/>
        <w:autoSpaceDN w:val="0"/>
        <w:adjustRightInd w:val="0"/>
        <w:ind w:left="720"/>
        <w:rPr>
          <w:rFonts w:ascii="Arial" w:hAnsi="Arial" w:cs="Arial"/>
          <w:bCs/>
          <w:sz w:val="16"/>
          <w:szCs w:val="16"/>
          <w:lang w:val="es-EC"/>
        </w:rPr>
      </w:pPr>
    </w:p>
    <w:p w:rsidR="00504915" w:rsidRPr="008F3808" w:rsidRDefault="00504915" w:rsidP="00504915">
      <w:pPr>
        <w:autoSpaceDE w:val="0"/>
        <w:autoSpaceDN w:val="0"/>
        <w:adjustRightInd w:val="0"/>
        <w:ind w:left="720"/>
        <w:jc w:val="both"/>
        <w:rPr>
          <w:b/>
          <w:bCs/>
          <w:sz w:val="20"/>
          <w:szCs w:val="20"/>
          <w:lang w:val="es-EC"/>
        </w:rPr>
      </w:pPr>
      <w:r w:rsidRPr="008F3808">
        <w:rPr>
          <w:bCs/>
          <w:lang w:val="es-EC"/>
        </w:rPr>
        <w:t xml:space="preserve">Los valores </w:t>
      </w:r>
      <w:r w:rsidR="008F3808" w:rsidRPr="008F3808">
        <w:rPr>
          <w:bCs/>
          <w:lang w:val="es-EC"/>
        </w:rPr>
        <w:t>A</w:t>
      </w:r>
      <w:r w:rsidR="008F3808" w:rsidRPr="008F3808">
        <w:rPr>
          <w:bCs/>
          <w:vertAlign w:val="subscript"/>
          <w:lang w:val="es-EC"/>
        </w:rPr>
        <w:t>t</w:t>
      </w:r>
      <w:r w:rsidRPr="008F3808">
        <w:rPr>
          <w:bCs/>
          <w:lang w:val="es-EC"/>
        </w:rPr>
        <w:t xml:space="preserve"> de la TABLA V son </w:t>
      </w:r>
      <w:r w:rsidR="008F3808" w:rsidRPr="008F3808">
        <w:rPr>
          <w:bCs/>
          <w:lang w:val="es-EC"/>
        </w:rPr>
        <w:t>son una medida del poder discriminatorio de las t variables indicadoras de fraude para una demanda entera.</w:t>
      </w:r>
      <w:r w:rsidRPr="008F3808">
        <w:rPr>
          <w:bCs/>
          <w:lang w:val="es-EC"/>
        </w:rPr>
        <w:t xml:space="preserve">  </w:t>
      </w:r>
      <w:r w:rsidRPr="008F3808">
        <w:rPr>
          <w:b/>
          <w:bCs/>
          <w:sz w:val="20"/>
          <w:szCs w:val="20"/>
          <w:lang w:val="es-EC"/>
        </w:rPr>
        <w:t xml:space="preserve"> </w:t>
      </w:r>
    </w:p>
    <w:p w:rsidR="00C82D02" w:rsidRDefault="00C82D02" w:rsidP="00C82D02">
      <w:pPr>
        <w:autoSpaceDE w:val="0"/>
        <w:autoSpaceDN w:val="0"/>
        <w:adjustRightInd w:val="0"/>
        <w:ind w:left="720"/>
        <w:rPr>
          <w:bCs/>
          <w:sz w:val="20"/>
          <w:szCs w:val="20"/>
          <w:lang w:val="es-EC"/>
        </w:rPr>
      </w:pPr>
    </w:p>
    <w:p w:rsidR="00504915" w:rsidRDefault="00504915" w:rsidP="00C82D02">
      <w:pPr>
        <w:autoSpaceDE w:val="0"/>
        <w:autoSpaceDN w:val="0"/>
        <w:adjustRightInd w:val="0"/>
        <w:ind w:left="720"/>
        <w:rPr>
          <w:bCs/>
          <w:sz w:val="20"/>
          <w:szCs w:val="20"/>
          <w:lang w:val="es-EC"/>
        </w:rPr>
      </w:pPr>
    </w:p>
    <w:p w:rsidR="00504915" w:rsidRDefault="00504915" w:rsidP="00504915">
      <w:pPr>
        <w:numPr>
          <w:ilvl w:val="1"/>
          <w:numId w:val="10"/>
        </w:numPr>
        <w:ind w:left="714" w:hanging="357"/>
        <w:jc w:val="both"/>
        <w:rPr>
          <w:b/>
          <w:lang w:val="es-EC"/>
        </w:rPr>
      </w:pPr>
      <w:r w:rsidRPr="00504915">
        <w:rPr>
          <w:b/>
          <w:lang w:val="es-EC"/>
        </w:rPr>
        <w:t>CLASIFICACIÓN DE LAS DEMANDAS POR MEDIO DE LAS PONDERACIONES PRIDIT</w:t>
      </w:r>
    </w:p>
    <w:p w:rsidR="00504915" w:rsidRDefault="00504915" w:rsidP="00504915">
      <w:pPr>
        <w:jc w:val="both"/>
        <w:rPr>
          <w:b/>
          <w:lang w:val="es-EC"/>
        </w:rPr>
      </w:pPr>
    </w:p>
    <w:p w:rsidR="00504915" w:rsidRPr="00504915" w:rsidRDefault="00504915" w:rsidP="00504915">
      <w:pPr>
        <w:tabs>
          <w:tab w:val="left" w:pos="540"/>
        </w:tabs>
        <w:ind w:left="540" w:hanging="540"/>
        <w:jc w:val="both"/>
        <w:rPr>
          <w:lang w:val="es-EC"/>
        </w:rPr>
      </w:pPr>
      <w:r>
        <w:rPr>
          <w:rFonts w:ascii="Arial" w:hAnsi="Arial" w:cs="Arial"/>
          <w:lang w:val="es-EC"/>
        </w:rPr>
        <w:tab/>
      </w:r>
      <w:r w:rsidRPr="00504915">
        <w:rPr>
          <w:lang w:val="es-EC"/>
        </w:rPr>
        <w:t xml:space="preserve">Con respecto a la clasificación, se consideran dos casos para la proporción de demandas del grupo 1, </w:t>
      </w:r>
      <w:r w:rsidRPr="00504915">
        <w:rPr>
          <w:position w:val="-6"/>
          <w:lang w:val="es-EC"/>
        </w:rPr>
        <w:object w:dxaOrig="200" w:dyaOrig="279">
          <v:shape id="_x0000_i1057" type="#_x0000_t75" style="width:9.75pt;height:14.25pt" o:ole="">
            <v:imagedata r:id="rId53" o:title=""/>
          </v:shape>
          <o:OLEObject Type="Embed" ProgID="Equation.3" ShapeID="_x0000_i1057" DrawAspect="Content" ObjectID="_1343036536" r:id="rId54"/>
        </w:object>
      </w:r>
      <w:r w:rsidRPr="00504915">
        <w:rPr>
          <w:lang w:val="es-EC"/>
        </w:rPr>
        <w:t xml:space="preserve"> conocido y </w:t>
      </w:r>
      <w:r w:rsidRPr="00504915">
        <w:rPr>
          <w:position w:val="-6"/>
          <w:lang w:val="es-EC"/>
        </w:rPr>
        <w:object w:dxaOrig="200" w:dyaOrig="279">
          <v:shape id="_x0000_i1058" type="#_x0000_t75" style="width:9.75pt;height:14.25pt" o:ole="">
            <v:imagedata r:id="rId55" o:title=""/>
          </v:shape>
          <o:OLEObject Type="Embed" ProgID="Equation.3" ShapeID="_x0000_i1058" DrawAspect="Content" ObjectID="_1343036537" r:id="rId56"/>
        </w:object>
      </w:r>
      <w:r w:rsidRPr="00504915">
        <w:rPr>
          <w:lang w:val="es-EC"/>
        </w:rPr>
        <w:t xml:space="preserve"> desconocido. Cuando </w:t>
      </w:r>
      <w:r w:rsidRPr="00504915">
        <w:rPr>
          <w:position w:val="-6"/>
          <w:lang w:val="es-EC"/>
        </w:rPr>
        <w:object w:dxaOrig="200" w:dyaOrig="279">
          <v:shape id="_x0000_i1059" type="#_x0000_t75" style="width:9.75pt;height:14.25pt" o:ole="">
            <v:imagedata r:id="rId55" o:title=""/>
          </v:shape>
          <o:OLEObject Type="Embed" ProgID="Equation.3" ShapeID="_x0000_i1059" DrawAspect="Content" ObjectID="_1343036538" r:id="rId57"/>
        </w:object>
      </w:r>
      <w:r w:rsidRPr="00504915">
        <w:rPr>
          <w:lang w:val="es-EC"/>
        </w:rPr>
        <w:t xml:space="preserve"> es conocido, se ordenan las </w:t>
      </w:r>
      <w:r w:rsidRPr="00504915">
        <w:rPr>
          <w:position w:val="-6"/>
          <w:lang w:val="es-EC"/>
        </w:rPr>
        <w:object w:dxaOrig="279" w:dyaOrig="279">
          <v:shape id="_x0000_i1060" type="#_x0000_t75" style="width:14.25pt;height:14.25pt" o:ole="">
            <v:imagedata r:id="rId58" o:title=""/>
          </v:shape>
          <o:OLEObject Type="Embed" ProgID="Equation.3" ShapeID="_x0000_i1060" DrawAspect="Content" ObjectID="_1343036539" r:id="rId59"/>
        </w:object>
      </w:r>
      <w:r w:rsidRPr="00504915">
        <w:rPr>
          <w:lang w:val="es-EC"/>
        </w:rPr>
        <w:t xml:space="preserve"> demandas por medio de sus puntuaciones unidimensionales </w:t>
      </w:r>
      <w:r w:rsidRPr="00504915">
        <w:rPr>
          <w:position w:val="-16"/>
          <w:lang w:val="es-EC"/>
        </w:rPr>
        <w:object w:dxaOrig="1640" w:dyaOrig="460">
          <v:shape id="_x0000_i1061" type="#_x0000_t75" style="width:81.75pt;height:23.25pt" o:ole="">
            <v:imagedata r:id="rId60" o:title=""/>
          </v:shape>
          <o:OLEObject Type="Embed" ProgID="Equation.3" ShapeID="_x0000_i1061" DrawAspect="Content" ObjectID="_1343036540" r:id="rId61"/>
        </w:object>
      </w:r>
      <w:r w:rsidRPr="00504915">
        <w:rPr>
          <w:lang w:val="es-EC"/>
        </w:rPr>
        <w:t xml:space="preserve"> y luego se clasifican las primeras </w:t>
      </w:r>
      <w:r w:rsidRPr="00504915">
        <w:rPr>
          <w:position w:val="-6"/>
          <w:lang w:val="es-EC"/>
        </w:rPr>
        <w:object w:dxaOrig="400" w:dyaOrig="279">
          <v:shape id="_x0000_i1062" type="#_x0000_t75" style="width:20.25pt;height:14.25pt" o:ole="">
            <v:imagedata r:id="rId62" o:title=""/>
          </v:shape>
          <o:OLEObject Type="Embed" ProgID="Equation.3" ShapeID="_x0000_i1062" DrawAspect="Content" ObjectID="_1343036541" r:id="rId63"/>
        </w:object>
      </w:r>
      <w:r w:rsidRPr="00504915">
        <w:rPr>
          <w:lang w:val="es-EC"/>
        </w:rPr>
        <w:t xml:space="preserve"> demandas en el nivel alto del grupo 1 de sospecha de fraude. Aquí </w:t>
      </w:r>
      <w:r w:rsidRPr="00504915">
        <w:rPr>
          <w:position w:val="-12"/>
          <w:lang w:val="es-EC"/>
        </w:rPr>
        <w:object w:dxaOrig="320" w:dyaOrig="360">
          <v:shape id="_x0000_i1063" type="#_x0000_t75" style="width:15.75pt;height:18pt" o:ole="">
            <v:imagedata r:id="rId64" o:title=""/>
          </v:shape>
          <o:OLEObject Type="Embed" ProgID="Equation.3" ShapeID="_x0000_i1063" DrawAspect="Content" ObjectID="_1343036542" r:id="rId65"/>
        </w:object>
      </w:r>
      <w:r w:rsidRPr="00504915">
        <w:rPr>
          <w:lang w:val="es-EC"/>
        </w:rPr>
        <w:t xml:space="preserve"> es la puntuación calculada de la demanda obtenida para la variable </w:t>
      </w:r>
      <w:r w:rsidRPr="00504915">
        <w:rPr>
          <w:i/>
          <w:position w:val="-6"/>
          <w:lang w:val="es-EC"/>
        </w:rPr>
        <w:object w:dxaOrig="139" w:dyaOrig="240">
          <v:shape id="_x0000_i1064" type="#_x0000_t75" style="width:9pt;height:15pt" o:ole="">
            <v:imagedata r:id="rId14" o:title=""/>
          </v:shape>
          <o:OLEObject Type="Embed" ProgID="Equation.3" ShapeID="_x0000_i1064" DrawAspect="Content" ObjectID="_1343036543" r:id="rId66"/>
        </w:object>
      </w:r>
      <w:r w:rsidRPr="00504915">
        <w:rPr>
          <w:lang w:val="es-EC"/>
        </w:rPr>
        <w:t xml:space="preserve">, </w:t>
      </w:r>
      <w:r w:rsidRPr="00504915">
        <w:rPr>
          <w:position w:val="-16"/>
          <w:lang w:val="es-EC"/>
        </w:rPr>
        <w:object w:dxaOrig="3100" w:dyaOrig="460">
          <v:shape id="_x0000_i1065" type="#_x0000_t75" style="width:155.25pt;height:23.25pt" o:ole="">
            <v:imagedata r:id="rId67" o:title=""/>
          </v:shape>
          <o:OLEObject Type="Embed" ProgID="Equation.3" ShapeID="_x0000_i1065" DrawAspect="Content" ObjectID="_1343036544" r:id="rId68"/>
        </w:object>
      </w:r>
      <w:r w:rsidRPr="00504915">
        <w:rPr>
          <w:lang w:val="es-EC"/>
        </w:rPr>
        <w:t xml:space="preserve"> donde </w:t>
      </w:r>
      <w:r w:rsidRPr="00504915">
        <w:rPr>
          <w:position w:val="-10"/>
          <w:lang w:val="es-EC"/>
        </w:rPr>
        <w:object w:dxaOrig="279" w:dyaOrig="340">
          <v:shape id="_x0000_i1066" type="#_x0000_t75" style="width:14.25pt;height:17.25pt" o:ole="">
            <v:imagedata r:id="rId69" o:title=""/>
          </v:shape>
          <o:OLEObject Type="Embed" ProgID="Equation.3" ShapeID="_x0000_i1066" DrawAspect="Content" ObjectID="_1343036545" r:id="rId70"/>
        </w:object>
      </w:r>
      <w:r w:rsidRPr="00504915">
        <w:rPr>
          <w:lang w:val="es-EC"/>
        </w:rPr>
        <w:t xml:space="preserve"> es el indicador del conjunto </w:t>
      </w:r>
      <w:r w:rsidRPr="00504915">
        <w:rPr>
          <w:position w:val="-4"/>
          <w:lang w:val="es-EC"/>
        </w:rPr>
        <w:object w:dxaOrig="240" w:dyaOrig="260">
          <v:shape id="_x0000_i1067" type="#_x0000_t75" style="width:15pt;height:15.75pt" o:ole="">
            <v:imagedata r:id="rId71" o:title=""/>
          </v:shape>
          <o:OLEObject Type="Embed" ProgID="Equation.3" ShapeID="_x0000_i1067" DrawAspect="Content" ObjectID="_1343036546" r:id="rId72"/>
        </w:object>
      </w:r>
      <w:r w:rsidRPr="00504915">
        <w:rPr>
          <w:lang w:val="es-EC"/>
        </w:rPr>
        <w:t>.</w:t>
      </w:r>
    </w:p>
    <w:p w:rsidR="00504915" w:rsidRPr="00504915" w:rsidRDefault="00504915" w:rsidP="00504915">
      <w:pPr>
        <w:tabs>
          <w:tab w:val="left" w:pos="540"/>
        </w:tabs>
        <w:ind w:left="540" w:hanging="540"/>
        <w:jc w:val="both"/>
        <w:rPr>
          <w:lang w:val="es-EC"/>
        </w:rPr>
      </w:pPr>
    </w:p>
    <w:p w:rsidR="00504915" w:rsidRDefault="00504915" w:rsidP="00504915">
      <w:pPr>
        <w:ind w:left="540"/>
        <w:jc w:val="both"/>
        <w:rPr>
          <w:lang w:val="es-EC"/>
        </w:rPr>
      </w:pPr>
      <w:r w:rsidRPr="00504915">
        <w:rPr>
          <w:lang w:val="es-EC"/>
        </w:rPr>
        <w:t xml:space="preserve">Si </w:t>
      </w:r>
      <w:r w:rsidRPr="00504915">
        <w:rPr>
          <w:position w:val="-6"/>
          <w:lang w:val="es-EC"/>
        </w:rPr>
        <w:object w:dxaOrig="200" w:dyaOrig="279">
          <v:shape id="_x0000_i1068" type="#_x0000_t75" style="width:9.75pt;height:14.25pt" o:ole="">
            <v:imagedata r:id="rId55" o:title=""/>
          </v:shape>
          <o:OLEObject Type="Embed" ProgID="Equation.3" ShapeID="_x0000_i1068" DrawAspect="Content" ObjectID="_1343036547" r:id="rId73"/>
        </w:object>
      </w:r>
      <w:r w:rsidRPr="00504915">
        <w:rPr>
          <w:lang w:val="es-EC"/>
        </w:rPr>
        <w:t xml:space="preserve"> es desconocido (como es este caso), se separa los dos grupos de acuerdo a las puntuaciones globales positivas o negativas y se clasifican las demandas dentro del grupo de bajo nivel de sospecha de fraude si la puntuación global del nivel de sospecha de fraude es positivo, es decir en el grupo de las demandas no fraudulentas y las de valor negativo dentro del grupo de demandas fraudulentas</w:t>
      </w:r>
      <w:r>
        <w:rPr>
          <w:lang w:val="es-EC"/>
        </w:rPr>
        <w:t>.</w:t>
      </w:r>
    </w:p>
    <w:p w:rsidR="00504915" w:rsidRDefault="00504915" w:rsidP="00504915">
      <w:pPr>
        <w:ind w:left="540"/>
        <w:jc w:val="both"/>
        <w:rPr>
          <w:lang w:val="es-EC"/>
        </w:rPr>
      </w:pPr>
    </w:p>
    <w:p w:rsidR="00504915" w:rsidRPr="00504915" w:rsidRDefault="006406BB" w:rsidP="00504915">
      <w:pPr>
        <w:pStyle w:val="Epgrafe"/>
        <w:tabs>
          <w:tab w:val="center" w:pos="4409"/>
          <w:tab w:val="left" w:pos="5595"/>
        </w:tabs>
        <w:ind w:firstLine="540"/>
        <w:jc w:val="center"/>
        <w:rPr>
          <w:rFonts w:ascii="Arial" w:hAnsi="Arial" w:cs="Arial"/>
          <w:sz w:val="16"/>
          <w:szCs w:val="16"/>
          <w:lang w:val="es-EC"/>
        </w:rPr>
      </w:pPr>
      <w:r>
        <w:rPr>
          <w:rFonts w:ascii="Arial" w:hAnsi="Arial" w:cs="Arial"/>
          <w:sz w:val="16"/>
          <w:szCs w:val="16"/>
          <w:lang w:val="es-EC"/>
        </w:rPr>
        <w:t>TABLA VI</w:t>
      </w:r>
    </w:p>
    <w:p w:rsidR="00504915" w:rsidRPr="00504915" w:rsidRDefault="00504915" w:rsidP="00504915">
      <w:pPr>
        <w:spacing w:line="360" w:lineRule="auto"/>
        <w:ind w:firstLine="540"/>
        <w:jc w:val="center"/>
        <w:rPr>
          <w:rFonts w:ascii="Arial" w:hAnsi="Arial" w:cs="Arial"/>
          <w:sz w:val="16"/>
          <w:szCs w:val="16"/>
          <w:lang w:val="es-EC"/>
        </w:rPr>
      </w:pPr>
      <w:r w:rsidRPr="00504915">
        <w:rPr>
          <w:rFonts w:ascii="Arial" w:hAnsi="Arial" w:cs="Arial"/>
          <w:sz w:val="16"/>
          <w:szCs w:val="16"/>
          <w:lang w:val="es-EC"/>
        </w:rPr>
        <w:t>CLASIFICACIÓN DE LAS DEMANDAS</w:t>
      </w:r>
    </w:p>
    <w:p w:rsidR="00504915" w:rsidRDefault="007E1FC3" w:rsidP="004137D2">
      <w:pPr>
        <w:tabs>
          <w:tab w:val="left" w:pos="180"/>
        </w:tabs>
        <w:jc w:val="center"/>
        <w:rPr>
          <w:rFonts w:ascii="Arial" w:hAnsi="Arial" w:cs="Arial"/>
          <w:b/>
          <w:sz w:val="20"/>
          <w:szCs w:val="20"/>
          <w:lang w:val="es-EC"/>
        </w:rPr>
      </w:pPr>
      <w:r>
        <w:rPr>
          <w:noProof/>
          <w:lang w:val="en-US"/>
        </w:rPr>
        <w:drawing>
          <wp:inline distT="0" distB="0" distL="0" distR="0">
            <wp:extent cx="2438400" cy="1095375"/>
            <wp:effectExtent l="1905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4"/>
                    <a:srcRect/>
                    <a:stretch>
                      <a:fillRect/>
                    </a:stretch>
                  </pic:blipFill>
                  <pic:spPr bwMode="auto">
                    <a:xfrm>
                      <a:off x="0" y="0"/>
                      <a:ext cx="2438400" cy="1095375"/>
                    </a:xfrm>
                    <a:prstGeom prst="rect">
                      <a:avLst/>
                    </a:prstGeom>
                    <a:noFill/>
                    <a:ln w="9525">
                      <a:noFill/>
                      <a:miter lim="800000"/>
                      <a:headEnd/>
                      <a:tailEnd/>
                    </a:ln>
                  </pic:spPr>
                </pic:pic>
              </a:graphicData>
            </a:graphic>
          </wp:inline>
        </w:drawing>
      </w:r>
    </w:p>
    <w:p w:rsidR="00504915" w:rsidRDefault="00504915" w:rsidP="00504915">
      <w:pPr>
        <w:tabs>
          <w:tab w:val="left" w:pos="180"/>
        </w:tabs>
        <w:rPr>
          <w:rFonts w:ascii="Arial" w:hAnsi="Arial" w:cs="Arial"/>
          <w:b/>
          <w:sz w:val="20"/>
          <w:szCs w:val="20"/>
          <w:lang w:val="es-EC"/>
        </w:rPr>
      </w:pPr>
    </w:p>
    <w:p w:rsidR="00504915" w:rsidRPr="00504915" w:rsidRDefault="00504915" w:rsidP="00504915">
      <w:pPr>
        <w:tabs>
          <w:tab w:val="left" w:pos="180"/>
        </w:tabs>
        <w:rPr>
          <w:rFonts w:ascii="Arial" w:hAnsi="Arial" w:cs="Arial"/>
          <w:sz w:val="16"/>
          <w:szCs w:val="16"/>
          <w:lang w:val="es-EC"/>
        </w:rPr>
      </w:pPr>
      <w:r>
        <w:rPr>
          <w:rFonts w:ascii="Arial" w:hAnsi="Arial" w:cs="Arial"/>
          <w:b/>
          <w:sz w:val="20"/>
          <w:szCs w:val="20"/>
          <w:lang w:val="es-EC"/>
        </w:rPr>
        <w:tab/>
      </w:r>
      <w:r w:rsidRPr="00504915">
        <w:rPr>
          <w:rFonts w:ascii="Arial" w:hAnsi="Arial" w:cs="Arial"/>
          <w:b/>
          <w:sz w:val="16"/>
          <w:szCs w:val="16"/>
          <w:lang w:val="es-EC"/>
        </w:rPr>
        <w:t xml:space="preserve">      Elabora</w:t>
      </w:r>
      <w:r>
        <w:rPr>
          <w:rFonts w:ascii="Arial" w:hAnsi="Arial" w:cs="Arial"/>
          <w:b/>
          <w:sz w:val="16"/>
          <w:szCs w:val="16"/>
          <w:lang w:val="es-EC"/>
        </w:rPr>
        <w:t>ción</w:t>
      </w:r>
      <w:r w:rsidRPr="00504915">
        <w:rPr>
          <w:rFonts w:ascii="Arial" w:hAnsi="Arial" w:cs="Arial"/>
          <w:b/>
          <w:sz w:val="16"/>
          <w:szCs w:val="16"/>
          <w:lang w:val="es-EC"/>
        </w:rPr>
        <w:t xml:space="preserve">: </w:t>
      </w:r>
      <w:r w:rsidRPr="00504915">
        <w:rPr>
          <w:rFonts w:ascii="Arial" w:hAnsi="Arial" w:cs="Arial"/>
          <w:sz w:val="16"/>
          <w:szCs w:val="16"/>
          <w:lang w:val="es-EC"/>
        </w:rPr>
        <w:t>H</w:t>
      </w:r>
      <w:r>
        <w:rPr>
          <w:rFonts w:ascii="Arial" w:hAnsi="Arial" w:cs="Arial"/>
          <w:sz w:val="16"/>
          <w:szCs w:val="16"/>
          <w:lang w:val="es-EC"/>
        </w:rPr>
        <w:t xml:space="preserve">eydi </w:t>
      </w:r>
      <w:r w:rsidRPr="00504915">
        <w:rPr>
          <w:rFonts w:ascii="Arial" w:hAnsi="Arial" w:cs="Arial"/>
          <w:sz w:val="16"/>
          <w:szCs w:val="16"/>
          <w:lang w:val="es-EC"/>
        </w:rPr>
        <w:t>Roa</w:t>
      </w:r>
      <w:r>
        <w:rPr>
          <w:rFonts w:ascii="Arial" w:hAnsi="Arial" w:cs="Arial"/>
          <w:sz w:val="16"/>
          <w:szCs w:val="16"/>
          <w:lang w:val="es-EC"/>
        </w:rPr>
        <w:t xml:space="preserve"> López</w:t>
      </w:r>
    </w:p>
    <w:p w:rsidR="00B61FE4" w:rsidRDefault="00B61FE4" w:rsidP="008F3808">
      <w:pPr>
        <w:tabs>
          <w:tab w:val="left" w:pos="540"/>
        </w:tabs>
        <w:ind w:left="539"/>
        <w:jc w:val="both"/>
        <w:rPr>
          <w:lang w:val="es-EC"/>
        </w:rPr>
      </w:pPr>
    </w:p>
    <w:p w:rsidR="008F3808" w:rsidRPr="008F3808" w:rsidRDefault="008F3808" w:rsidP="008F3808">
      <w:pPr>
        <w:tabs>
          <w:tab w:val="left" w:pos="540"/>
        </w:tabs>
        <w:ind w:left="539"/>
        <w:jc w:val="both"/>
        <w:rPr>
          <w:lang w:val="es-EC"/>
        </w:rPr>
      </w:pPr>
      <w:r w:rsidRPr="008F3808">
        <w:rPr>
          <w:lang w:val="es-EC"/>
        </w:rPr>
        <w:t xml:space="preserve">Como se demuestra en la TABLA VI, cada una de las demandas tiene una ponderación o como se la ha llamado en este caso, Score, que permite clasificar cada demanda dentro del grupo que corresponde. Un score </w:t>
      </w:r>
      <w:r w:rsidRPr="008F3808">
        <w:rPr>
          <w:lang w:val="es-EC"/>
        </w:rPr>
        <w:lastRenderedPageBreak/>
        <w:t>positivo significa que la demanda pertenece al Grupo 2, es decir es una demanda no fraudulenta mientras que un score negativo significa que la demanda debe ser discriminada al grupo 1, que es el grupo de las demandas con cierto grado de fraude.</w:t>
      </w:r>
    </w:p>
    <w:p w:rsidR="000C2C54" w:rsidRPr="00504915" w:rsidRDefault="000C2C54" w:rsidP="00504915">
      <w:pPr>
        <w:ind w:left="360"/>
        <w:jc w:val="both"/>
      </w:pPr>
    </w:p>
    <w:p w:rsidR="00370BF1" w:rsidRPr="00504915" w:rsidRDefault="00370BF1" w:rsidP="00504915">
      <w:pPr>
        <w:ind w:left="360"/>
        <w:jc w:val="both"/>
      </w:pPr>
    </w:p>
    <w:p w:rsidR="000C2C54" w:rsidRPr="00504915" w:rsidRDefault="000C2C54" w:rsidP="00504915">
      <w:pPr>
        <w:ind w:left="360"/>
        <w:jc w:val="both"/>
        <w:rPr>
          <w:b/>
          <w:bCs/>
        </w:rPr>
      </w:pPr>
      <w:r w:rsidRPr="00504915">
        <w:rPr>
          <w:b/>
          <w:bCs/>
        </w:rPr>
        <w:t>CONCLUSIONES</w:t>
      </w:r>
    </w:p>
    <w:p w:rsidR="000C2C54" w:rsidRPr="00504915" w:rsidRDefault="000C2C54" w:rsidP="00504915">
      <w:pPr>
        <w:ind w:left="360"/>
        <w:jc w:val="both"/>
        <w:rPr>
          <w:b/>
          <w:bCs/>
        </w:rPr>
      </w:pPr>
    </w:p>
    <w:p w:rsidR="00911FCF" w:rsidRPr="00334E34" w:rsidRDefault="00911FCF" w:rsidP="00504915">
      <w:pPr>
        <w:numPr>
          <w:ilvl w:val="0"/>
          <w:numId w:val="22"/>
        </w:numPr>
        <w:jc w:val="both"/>
        <w:rPr>
          <w:b/>
          <w:sz w:val="32"/>
          <w:szCs w:val="32"/>
          <w:lang w:val="es-EC"/>
        </w:rPr>
      </w:pPr>
      <w:r w:rsidRPr="00504915">
        <w:rPr>
          <w:lang w:val="es-EC"/>
        </w:rPr>
        <w:t>La utilización de la técnica PRIDIT en la detección de fraudes dentro del campo de seguros de vehículos, es mucho más eficiente que las técnicas estadísticas tradicionales cuando dentro de las variables involucradas existen variables con respuestas del tipo categóricas, puesto que la técnica PRIDIT</w:t>
      </w:r>
      <w:r w:rsidRPr="00334E34">
        <w:rPr>
          <w:lang w:val="es-EC"/>
        </w:rPr>
        <w:t xml:space="preserve"> transforma el conjunto de respuestas categóricas en un conjunto de valores numéricos dentro de un intervalo [-1,1], lo cual refleja la relativa anormalidad de una respuesta en particular.  </w:t>
      </w:r>
    </w:p>
    <w:p w:rsidR="00911FCF" w:rsidRPr="00334E34" w:rsidRDefault="00911FCF" w:rsidP="00334E34">
      <w:pPr>
        <w:jc w:val="both"/>
        <w:rPr>
          <w:lang w:val="es-EC"/>
        </w:rPr>
      </w:pPr>
    </w:p>
    <w:p w:rsidR="00911FCF" w:rsidRPr="00334E34" w:rsidRDefault="00911FCF" w:rsidP="00334E34">
      <w:pPr>
        <w:numPr>
          <w:ilvl w:val="0"/>
          <w:numId w:val="22"/>
        </w:numPr>
        <w:jc w:val="both"/>
        <w:rPr>
          <w:lang w:val="es-EC"/>
        </w:rPr>
      </w:pPr>
      <w:r w:rsidRPr="00334E34">
        <w:rPr>
          <w:lang w:val="es-EC"/>
        </w:rPr>
        <w:t>La técnica PRIDIT provee además una medida que permite determinar qué variables son más consistentes, dando ponderaciones más altas a las variables indicadoras de fraude. En esta investigación las variables con mayor ponderación son: ACULPA, VEHUSO, COBERT, ZONA1, FRAQCIA. Estas variables son las que indican mayormente fraude.</w:t>
      </w:r>
    </w:p>
    <w:p w:rsidR="00911FCF" w:rsidRPr="00334E34" w:rsidRDefault="00911FCF" w:rsidP="00334E34">
      <w:pPr>
        <w:ind w:left="567"/>
        <w:jc w:val="both"/>
        <w:rPr>
          <w:lang w:val="es-EC"/>
        </w:rPr>
      </w:pPr>
    </w:p>
    <w:p w:rsidR="00911FCF" w:rsidRPr="00911FCF" w:rsidRDefault="00911FCF" w:rsidP="00334E34">
      <w:pPr>
        <w:numPr>
          <w:ilvl w:val="0"/>
          <w:numId w:val="22"/>
        </w:numPr>
        <w:jc w:val="both"/>
        <w:rPr>
          <w:lang w:val="es-EC"/>
        </w:rPr>
      </w:pPr>
      <w:r w:rsidRPr="00334E34">
        <w:rPr>
          <w:lang w:val="es-EC"/>
        </w:rPr>
        <w:t xml:space="preserve">Otra de las ventajas de la utilización de la metodología PRIDIT que se </w:t>
      </w:r>
      <w:r w:rsidRPr="00334E34">
        <w:rPr>
          <w:lang w:val="es-EC"/>
        </w:rPr>
        <w:lastRenderedPageBreak/>
        <w:t xml:space="preserve">comprobó en esta investigación, es que provee una medida del </w:t>
      </w:r>
      <w:r w:rsidRPr="00911FCF">
        <w:rPr>
          <w:lang w:val="es-EC"/>
        </w:rPr>
        <w:t>poder discriminatorio de las variables indicadoras de fraude. Las variables con mayor poder discriminatorio en esta investigación fueron: ACCESOR, ACULPA, ZONA1, VEHUSO, COBERT, FRAQCIA.</w:t>
      </w:r>
    </w:p>
    <w:p w:rsidR="00911FCF" w:rsidRPr="00911FCF" w:rsidRDefault="00911FCF" w:rsidP="00911FCF">
      <w:pPr>
        <w:jc w:val="both"/>
        <w:rPr>
          <w:lang w:val="es-EC"/>
        </w:rPr>
      </w:pPr>
    </w:p>
    <w:p w:rsidR="00911FCF" w:rsidRPr="00911FCF" w:rsidRDefault="00911FCF" w:rsidP="00911FCF">
      <w:pPr>
        <w:numPr>
          <w:ilvl w:val="0"/>
          <w:numId w:val="22"/>
        </w:numPr>
        <w:jc w:val="both"/>
        <w:rPr>
          <w:lang w:val="es-EC"/>
        </w:rPr>
      </w:pPr>
      <w:r w:rsidRPr="00911FCF">
        <w:rPr>
          <w:lang w:val="es-EC"/>
        </w:rPr>
        <w:t>La medida cuantitativa del poder discriminatorio que resulta de la técnica PRIDIT provee además la capacidad de determinar correlaciones con otras medidas cuantitativas tales como: edad del conductor, número de accidentes anteriores del asegurado, número de años que el asegurado tiene licencia, etcétera. Este procedimiento puede dejarse para un estudio posterior puesto que no es el objetivo de la actual investigación. Además que no se cuenta con datos reales que permitan determinar la verdadera correlación entre las variables.</w:t>
      </w:r>
    </w:p>
    <w:p w:rsidR="000C2C54" w:rsidRPr="00911FCF" w:rsidRDefault="000C2C54" w:rsidP="00911FCF">
      <w:pPr>
        <w:ind w:left="360"/>
        <w:jc w:val="both"/>
        <w:rPr>
          <w:b/>
          <w:bCs/>
          <w:lang w:val="es-EC"/>
        </w:rPr>
      </w:pPr>
    </w:p>
    <w:p w:rsidR="00B61FE4" w:rsidRDefault="00B61FE4" w:rsidP="00911FCF">
      <w:pPr>
        <w:ind w:left="360"/>
        <w:jc w:val="both"/>
        <w:rPr>
          <w:b/>
          <w:bCs/>
        </w:rPr>
      </w:pPr>
    </w:p>
    <w:p w:rsidR="00B61FE4" w:rsidRDefault="00B61FE4" w:rsidP="00911FCF">
      <w:pPr>
        <w:ind w:left="360"/>
        <w:jc w:val="both"/>
        <w:rPr>
          <w:b/>
          <w:bCs/>
        </w:rPr>
      </w:pPr>
    </w:p>
    <w:p w:rsidR="00B61FE4" w:rsidRDefault="00B61FE4" w:rsidP="00911FCF">
      <w:pPr>
        <w:ind w:left="360"/>
        <w:jc w:val="both"/>
        <w:rPr>
          <w:b/>
          <w:bCs/>
        </w:rPr>
      </w:pPr>
    </w:p>
    <w:p w:rsidR="000C2C54" w:rsidRPr="00911FCF" w:rsidRDefault="000C2C54" w:rsidP="00911FCF">
      <w:pPr>
        <w:ind w:left="360"/>
        <w:jc w:val="both"/>
        <w:rPr>
          <w:b/>
          <w:bCs/>
        </w:rPr>
      </w:pPr>
      <w:r w:rsidRPr="00911FCF">
        <w:rPr>
          <w:b/>
          <w:bCs/>
        </w:rPr>
        <w:lastRenderedPageBreak/>
        <w:t>REFERENCIAS</w:t>
      </w:r>
    </w:p>
    <w:p w:rsidR="007270F9" w:rsidRPr="00911FCF" w:rsidRDefault="007270F9" w:rsidP="00911FCF">
      <w:pPr>
        <w:ind w:left="360"/>
        <w:jc w:val="both"/>
        <w:rPr>
          <w:b/>
          <w:bCs/>
        </w:rPr>
      </w:pPr>
    </w:p>
    <w:p w:rsidR="005052FF" w:rsidRPr="005052FF" w:rsidRDefault="008F3808" w:rsidP="00911FCF">
      <w:pPr>
        <w:numPr>
          <w:ilvl w:val="0"/>
          <w:numId w:val="4"/>
        </w:numPr>
        <w:tabs>
          <w:tab w:val="clear" w:pos="720"/>
          <w:tab w:val="num" w:pos="480"/>
        </w:tabs>
        <w:ind w:left="480" w:hanging="480"/>
        <w:jc w:val="both"/>
        <w:rPr>
          <w:lang w:val="es-EC"/>
        </w:rPr>
      </w:pPr>
      <w:r>
        <w:rPr>
          <w:b/>
          <w:lang w:val="es-EC"/>
        </w:rPr>
        <w:t>ROA L. HEYDI</w:t>
      </w:r>
      <w:r w:rsidR="005052FF" w:rsidRPr="00911FCF">
        <w:rPr>
          <w:lang w:val="es-EC"/>
        </w:rPr>
        <w:t>, “</w:t>
      </w:r>
      <w:r>
        <w:rPr>
          <w:lang w:val="es-EC"/>
        </w:rPr>
        <w:t>Modelo de Detección de Fraudes en los Seguros de Vehículos utilizando Componentes Principales y Análisis RIDIT</w:t>
      </w:r>
      <w:r w:rsidR="005052FF">
        <w:rPr>
          <w:lang w:val="es-EC"/>
        </w:rPr>
        <w:t>”</w:t>
      </w:r>
      <w:r>
        <w:rPr>
          <w:lang w:val="es-EC"/>
        </w:rPr>
        <w:t xml:space="preserve">        </w:t>
      </w:r>
      <w:r w:rsidR="00263426">
        <w:rPr>
          <w:lang w:val="es-EC"/>
        </w:rPr>
        <w:t>(Tesis, Instituto de Ciencias Matemáticas, Escuela Superior Politécnica del Litoral, 2004)</w:t>
      </w:r>
    </w:p>
    <w:p w:rsidR="00592368" w:rsidRPr="00592368" w:rsidRDefault="00592368" w:rsidP="00592368">
      <w:pPr>
        <w:jc w:val="both"/>
      </w:pPr>
    </w:p>
    <w:p w:rsidR="00592368" w:rsidRPr="00592368" w:rsidRDefault="00592368" w:rsidP="00592368">
      <w:pPr>
        <w:numPr>
          <w:ilvl w:val="0"/>
          <w:numId w:val="4"/>
        </w:numPr>
        <w:tabs>
          <w:tab w:val="clear" w:pos="720"/>
          <w:tab w:val="num" w:pos="480"/>
        </w:tabs>
        <w:ind w:left="480" w:hanging="480"/>
        <w:jc w:val="both"/>
        <w:rPr>
          <w:lang w:val="es-EC"/>
        </w:rPr>
      </w:pPr>
      <w:r w:rsidRPr="00592368">
        <w:rPr>
          <w:b/>
        </w:rPr>
        <w:t>FREUN J, WALPOLE R.</w:t>
      </w:r>
      <w:r w:rsidR="00934563">
        <w:t xml:space="preserve"> </w:t>
      </w:r>
      <w:r w:rsidRPr="00934563">
        <w:rPr>
          <w:u w:val="single"/>
        </w:rPr>
        <w:t>Estadística Mate</w:t>
      </w:r>
      <w:r w:rsidR="00934563" w:rsidRPr="00934563">
        <w:rPr>
          <w:u w:val="single"/>
        </w:rPr>
        <w:t>mática con aplicaciones</w:t>
      </w:r>
      <w:r w:rsidRPr="00592368">
        <w:t xml:space="preserve">, </w:t>
      </w:r>
      <w:r w:rsidR="00934563">
        <w:t>(</w:t>
      </w:r>
      <w:r w:rsidRPr="00592368">
        <w:t>Prentice Hall Hispanoamericana Cuarta Edición. México</w:t>
      </w:r>
      <w:r w:rsidR="00934563">
        <w:t xml:space="preserve">, </w:t>
      </w:r>
      <w:r w:rsidR="00934563" w:rsidRPr="00592368">
        <w:t>1990)</w:t>
      </w:r>
    </w:p>
    <w:p w:rsidR="00592368" w:rsidRPr="00592368" w:rsidRDefault="00592368" w:rsidP="00592368">
      <w:pPr>
        <w:jc w:val="both"/>
        <w:rPr>
          <w:lang w:val="es-EC"/>
        </w:rPr>
      </w:pPr>
    </w:p>
    <w:p w:rsidR="00592368" w:rsidRPr="00592368" w:rsidRDefault="00592368" w:rsidP="00592368">
      <w:pPr>
        <w:numPr>
          <w:ilvl w:val="0"/>
          <w:numId w:val="4"/>
        </w:numPr>
        <w:tabs>
          <w:tab w:val="clear" w:pos="720"/>
          <w:tab w:val="num" w:pos="360"/>
        </w:tabs>
        <w:ind w:left="360"/>
        <w:jc w:val="both"/>
      </w:pPr>
      <w:r w:rsidRPr="00592368">
        <w:rPr>
          <w:b/>
        </w:rPr>
        <w:t>JOHNSON, D</w:t>
      </w:r>
      <w:r w:rsidRPr="00592368">
        <w:t>, (</w:t>
      </w:r>
      <w:r w:rsidRPr="00934563">
        <w:rPr>
          <w:u w:val="single"/>
        </w:rPr>
        <w:t>Métodos Multivariados aplicados al análisis de datos</w:t>
      </w:r>
      <w:r w:rsidRPr="00592368">
        <w:t xml:space="preserve">, </w:t>
      </w:r>
      <w:r w:rsidR="00934563">
        <w:t>(</w:t>
      </w:r>
      <w:r w:rsidRPr="00592368">
        <w:t>Internacional Thompson Editores, México</w:t>
      </w:r>
      <w:r w:rsidR="00934563">
        <w:t xml:space="preserve"> DF, México,</w:t>
      </w:r>
      <w:r w:rsidR="00934563" w:rsidRPr="00934563">
        <w:t xml:space="preserve"> </w:t>
      </w:r>
      <w:r w:rsidR="00934563" w:rsidRPr="00592368">
        <w:t>2000)</w:t>
      </w:r>
    </w:p>
    <w:p w:rsidR="00592368" w:rsidRPr="00592368" w:rsidRDefault="00592368" w:rsidP="00592368">
      <w:pPr>
        <w:jc w:val="both"/>
        <w:rPr>
          <w:lang w:val="es-EC"/>
        </w:rPr>
      </w:pPr>
    </w:p>
    <w:p w:rsidR="00592368" w:rsidRPr="005052FF" w:rsidRDefault="00592368" w:rsidP="00592368">
      <w:pPr>
        <w:numPr>
          <w:ilvl w:val="0"/>
          <w:numId w:val="4"/>
        </w:numPr>
        <w:tabs>
          <w:tab w:val="clear" w:pos="720"/>
          <w:tab w:val="num" w:pos="480"/>
        </w:tabs>
        <w:ind w:left="480" w:hanging="480"/>
        <w:jc w:val="both"/>
      </w:pPr>
      <w:r w:rsidRPr="005052FF">
        <w:rPr>
          <w:b/>
        </w:rPr>
        <w:t>F</w:t>
      </w:r>
      <w:r w:rsidRPr="005052FF">
        <w:rPr>
          <w:b/>
          <w:bCs/>
        </w:rPr>
        <w:t>ERRAN A.</w:t>
      </w:r>
      <w:r w:rsidRPr="005052FF">
        <w:t xml:space="preserve"> </w:t>
      </w:r>
      <w:r w:rsidRPr="005052FF">
        <w:rPr>
          <w:iCs/>
          <w:u w:val="single"/>
        </w:rPr>
        <w:t>SPSS para Windows: Análisis Estadístico</w:t>
      </w:r>
      <w:r w:rsidRPr="005052FF">
        <w:t>, McGraw-Hill, Madrid, España.</w:t>
      </w:r>
      <w:r w:rsidR="005052FF">
        <w:t>,2001)</w:t>
      </w:r>
    </w:p>
    <w:p w:rsidR="00934563" w:rsidRPr="00972EF1" w:rsidRDefault="00934563" w:rsidP="00934563">
      <w:pPr>
        <w:jc w:val="both"/>
        <w:rPr>
          <w:rFonts w:ascii="Arial" w:hAnsi="Arial" w:cs="Arial"/>
        </w:rPr>
      </w:pPr>
    </w:p>
    <w:p w:rsidR="00934563" w:rsidRDefault="00934563" w:rsidP="00934563">
      <w:pPr>
        <w:numPr>
          <w:ilvl w:val="0"/>
          <w:numId w:val="4"/>
        </w:numPr>
        <w:tabs>
          <w:tab w:val="clear" w:pos="720"/>
          <w:tab w:val="num" w:pos="480"/>
        </w:tabs>
        <w:ind w:left="480" w:hanging="480"/>
        <w:jc w:val="both"/>
        <w:rPr>
          <w:lang w:val="es-EC"/>
        </w:rPr>
      </w:pPr>
      <w:r w:rsidRPr="00592368">
        <w:rPr>
          <w:lang w:val="es-EC"/>
        </w:rPr>
        <w:t>Tutorial paquete estadístico SPSS 10.0 para Windows versión en español</w:t>
      </w:r>
    </w:p>
    <w:p w:rsidR="00A06F37" w:rsidRDefault="00A06F37" w:rsidP="00A06F37">
      <w:pPr>
        <w:jc w:val="both"/>
        <w:rPr>
          <w:lang w:val="es-EC"/>
        </w:rPr>
      </w:pPr>
    </w:p>
    <w:p w:rsidR="00A06F37" w:rsidRDefault="00A06F37" w:rsidP="00A06F37">
      <w:pPr>
        <w:jc w:val="both"/>
        <w:rPr>
          <w:lang w:val="es-EC"/>
        </w:rPr>
      </w:pPr>
    </w:p>
    <w:p w:rsidR="00A06F37" w:rsidRPr="00A06F37" w:rsidRDefault="00A06F37" w:rsidP="00A06F37">
      <w:pPr>
        <w:numPr>
          <w:ilvl w:val="0"/>
          <w:numId w:val="4"/>
        </w:numPr>
        <w:tabs>
          <w:tab w:val="clear" w:pos="720"/>
        </w:tabs>
        <w:ind w:left="480" w:hanging="480"/>
        <w:jc w:val="both"/>
        <w:rPr>
          <w:b/>
          <w:bCs/>
          <w:lang w:val="en-US"/>
        </w:rPr>
      </w:pPr>
      <w:r w:rsidRPr="00A4129D">
        <w:rPr>
          <w:b/>
          <w:lang w:val="en-US"/>
        </w:rPr>
        <w:t>The Journal of Risk and Insurance</w:t>
      </w:r>
      <w:r w:rsidRPr="00A4129D">
        <w:rPr>
          <w:lang w:val="en-US"/>
        </w:rPr>
        <w:t>,</w:t>
      </w:r>
      <w:r>
        <w:rPr>
          <w:lang w:val="en-US"/>
        </w:rPr>
        <w:t xml:space="preserve"> F</w:t>
      </w:r>
      <w:r w:rsidRPr="00A06F37">
        <w:rPr>
          <w:lang w:val="en-US"/>
        </w:rPr>
        <w:t xml:space="preserve">raud </w:t>
      </w:r>
      <w:r>
        <w:rPr>
          <w:lang w:val="en-US"/>
        </w:rPr>
        <w:t xml:space="preserve">Classification Using Principal Component Analysis of RIDIT’s, </w:t>
      </w:r>
      <w:r w:rsidRPr="00A4129D">
        <w:rPr>
          <w:lang w:val="en-US"/>
        </w:rPr>
        <w:t xml:space="preserve">Vol.69, No. </w:t>
      </w:r>
      <w:r>
        <w:rPr>
          <w:lang w:val="en-US"/>
        </w:rPr>
        <w:t xml:space="preserve">3, </w:t>
      </w:r>
      <w:r w:rsidRPr="00A4129D">
        <w:rPr>
          <w:lang w:val="en-US"/>
        </w:rPr>
        <w:t>2002</w:t>
      </w:r>
      <w:r>
        <w:rPr>
          <w:lang w:val="en-US"/>
        </w:rPr>
        <w:t>.</w:t>
      </w:r>
    </w:p>
    <w:p w:rsidR="00A06F37" w:rsidRDefault="00A06F37" w:rsidP="00A06F37">
      <w:pPr>
        <w:jc w:val="both"/>
        <w:rPr>
          <w:b/>
          <w:bCs/>
          <w:lang w:val="en-US"/>
        </w:rPr>
      </w:pPr>
    </w:p>
    <w:p w:rsidR="00A06F37" w:rsidRPr="009A6F44" w:rsidRDefault="009A6F44" w:rsidP="00A06F37">
      <w:pPr>
        <w:numPr>
          <w:ilvl w:val="0"/>
          <w:numId w:val="4"/>
        </w:numPr>
        <w:tabs>
          <w:tab w:val="clear" w:pos="720"/>
        </w:tabs>
        <w:ind w:left="480" w:hanging="480"/>
        <w:jc w:val="both"/>
        <w:rPr>
          <w:bCs/>
          <w:lang w:val="en-US"/>
        </w:rPr>
      </w:pPr>
      <w:r w:rsidRPr="009A6F44">
        <w:rPr>
          <w:b/>
          <w:bCs/>
          <w:lang w:val="en-US"/>
        </w:rPr>
        <w:t>2004</w:t>
      </w:r>
      <w:r w:rsidRPr="009A6F44">
        <w:rPr>
          <w:bCs/>
          <w:lang w:val="en-US"/>
        </w:rPr>
        <w:t>,</w:t>
      </w:r>
      <w:r>
        <w:rPr>
          <w:bCs/>
          <w:lang w:val="en-US"/>
        </w:rPr>
        <w:t xml:space="preserve"> </w:t>
      </w:r>
      <w:r w:rsidRPr="009A6F44">
        <w:rPr>
          <w:bCs/>
          <w:lang w:val="en-US"/>
        </w:rPr>
        <w:t>http://www.superban.gov.ec/pages/seguros_privados.htm</w:t>
      </w:r>
    </w:p>
    <w:sectPr w:rsidR="00A06F37" w:rsidRPr="009A6F44" w:rsidSect="00A074B1">
      <w:type w:val="continuous"/>
      <w:pgSz w:w="12240" w:h="15840"/>
      <w:pgMar w:top="2268" w:right="1361" w:bottom="2268" w:left="2268" w:header="720" w:footer="720" w:gutter="0"/>
      <w:cols w:num="2" w:space="720" w:equalWidth="0">
        <w:col w:w="3498" w:space="708"/>
        <w:col w:w="4405"/>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7097"/>
    <w:multiLevelType w:val="hybridMultilevel"/>
    <w:tmpl w:val="0FC6627A"/>
    <w:lvl w:ilvl="0" w:tplc="39C0016A">
      <w:start w:val="1"/>
      <w:numFmt w:val="decimal"/>
      <w:lvlText w:val="%1."/>
      <w:lvlJc w:val="left"/>
      <w:pPr>
        <w:tabs>
          <w:tab w:val="num" w:pos="907"/>
        </w:tabs>
        <w:ind w:left="907" w:hanging="340"/>
      </w:pPr>
      <w:rPr>
        <w:rFonts w:ascii="Times New Roman" w:hAnsi="Times New Roman" w:cs="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421A6"/>
    <w:multiLevelType w:val="multilevel"/>
    <w:tmpl w:val="EAF2E29E"/>
    <w:lvl w:ilvl="0">
      <w:start w:val="2"/>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454"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0671581C"/>
    <w:multiLevelType w:val="hybridMultilevel"/>
    <w:tmpl w:val="65F009AA"/>
    <w:lvl w:ilvl="0" w:tplc="38CC6212">
      <w:start w:val="1"/>
      <w:numFmt w:val="decimal"/>
      <w:lvlText w:val="%1."/>
      <w:lvlJc w:val="left"/>
      <w:pPr>
        <w:tabs>
          <w:tab w:val="num" w:pos="340"/>
        </w:tabs>
        <w:ind w:left="340" w:hanging="340"/>
      </w:pPr>
      <w:rPr>
        <w:rFonts w:ascii="Times New Roman" w:hAnsi="Times New Roman" w:hint="default"/>
        <w:b/>
        <w:i w:val="0"/>
        <w:sz w:val="24"/>
        <w:szCs w:val="24"/>
      </w:rPr>
    </w:lvl>
    <w:lvl w:ilvl="1" w:tplc="CF6E3162">
      <w:numFmt w:val="none"/>
      <w:lvlText w:val=""/>
      <w:lvlJc w:val="left"/>
      <w:pPr>
        <w:tabs>
          <w:tab w:val="num" w:pos="360"/>
        </w:tabs>
      </w:pPr>
    </w:lvl>
    <w:lvl w:ilvl="2" w:tplc="FC9225C6">
      <w:numFmt w:val="none"/>
      <w:lvlText w:val=""/>
      <w:lvlJc w:val="left"/>
      <w:pPr>
        <w:tabs>
          <w:tab w:val="num" w:pos="360"/>
        </w:tabs>
      </w:pPr>
    </w:lvl>
    <w:lvl w:ilvl="3" w:tplc="A0C661A8">
      <w:numFmt w:val="none"/>
      <w:lvlText w:val=""/>
      <w:lvlJc w:val="left"/>
      <w:pPr>
        <w:tabs>
          <w:tab w:val="num" w:pos="360"/>
        </w:tabs>
      </w:pPr>
    </w:lvl>
    <w:lvl w:ilvl="4" w:tplc="06569484">
      <w:numFmt w:val="none"/>
      <w:lvlText w:val=""/>
      <w:lvlJc w:val="left"/>
      <w:pPr>
        <w:tabs>
          <w:tab w:val="num" w:pos="360"/>
        </w:tabs>
      </w:pPr>
    </w:lvl>
    <w:lvl w:ilvl="5" w:tplc="2DEC0DCA">
      <w:numFmt w:val="none"/>
      <w:lvlText w:val=""/>
      <w:lvlJc w:val="left"/>
      <w:pPr>
        <w:tabs>
          <w:tab w:val="num" w:pos="360"/>
        </w:tabs>
      </w:pPr>
    </w:lvl>
    <w:lvl w:ilvl="6" w:tplc="79121CAE">
      <w:numFmt w:val="none"/>
      <w:lvlText w:val=""/>
      <w:lvlJc w:val="left"/>
      <w:pPr>
        <w:tabs>
          <w:tab w:val="num" w:pos="360"/>
        </w:tabs>
      </w:pPr>
    </w:lvl>
    <w:lvl w:ilvl="7" w:tplc="8CDAF8E8">
      <w:numFmt w:val="none"/>
      <w:lvlText w:val=""/>
      <w:lvlJc w:val="left"/>
      <w:pPr>
        <w:tabs>
          <w:tab w:val="num" w:pos="360"/>
        </w:tabs>
      </w:pPr>
    </w:lvl>
    <w:lvl w:ilvl="8" w:tplc="7034E378">
      <w:numFmt w:val="none"/>
      <w:lvlText w:val=""/>
      <w:lvlJc w:val="left"/>
      <w:pPr>
        <w:tabs>
          <w:tab w:val="num" w:pos="360"/>
        </w:tabs>
      </w:pPr>
    </w:lvl>
  </w:abstractNum>
  <w:abstractNum w:abstractNumId="3">
    <w:nsid w:val="0BBD7AD0"/>
    <w:multiLevelType w:val="multilevel"/>
    <w:tmpl w:val="04090025"/>
    <w:lvl w:ilvl="0">
      <w:start w:val="1"/>
      <w:numFmt w:val="decimal"/>
      <w:pStyle w:val="Ttulo1"/>
      <w:lvlText w:val="%1"/>
      <w:lvlJc w:val="left"/>
      <w:pPr>
        <w:tabs>
          <w:tab w:val="num" w:pos="432"/>
        </w:tabs>
        <w:ind w:left="432"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4">
    <w:nsid w:val="0DD962BE"/>
    <w:multiLevelType w:val="hybridMultilevel"/>
    <w:tmpl w:val="4D2C1672"/>
    <w:lvl w:ilvl="0" w:tplc="6BA073BA">
      <w:start w:val="1"/>
      <w:numFmt w:val="decimal"/>
      <w:lvlText w:val="%1"/>
      <w:lvlJc w:val="left"/>
      <w:pPr>
        <w:tabs>
          <w:tab w:val="num" w:pos="720"/>
        </w:tabs>
        <w:ind w:left="720" w:hanging="360"/>
      </w:pPr>
      <w:rPr>
        <w:rFonts w:hint="default"/>
        <w:b/>
        <w:sz w:val="24"/>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5">
    <w:nsid w:val="175A16DA"/>
    <w:multiLevelType w:val="hybridMultilevel"/>
    <w:tmpl w:val="C5781858"/>
    <w:lvl w:ilvl="0" w:tplc="450E8B08">
      <w:start w:val="1"/>
      <w:numFmt w:val="decimal"/>
      <w:lvlText w:val="%1."/>
      <w:lvlJc w:val="left"/>
      <w:pPr>
        <w:tabs>
          <w:tab w:val="num" w:pos="700"/>
        </w:tabs>
        <w:ind w:left="700"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6A64BC"/>
    <w:multiLevelType w:val="multilevel"/>
    <w:tmpl w:val="C542F9DA"/>
    <w:lvl w:ilvl="0">
      <w:start w:val="2"/>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454" w:hanging="114"/>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1D835339"/>
    <w:multiLevelType w:val="hybridMultilevel"/>
    <w:tmpl w:val="AC78F19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C74338"/>
    <w:multiLevelType w:val="hybridMultilevel"/>
    <w:tmpl w:val="18549C58"/>
    <w:lvl w:ilvl="0" w:tplc="1768551A">
      <w:start w:val="1"/>
      <w:numFmt w:val="decimal"/>
      <w:lvlText w:val="%1."/>
      <w:lvlJc w:val="left"/>
      <w:pPr>
        <w:tabs>
          <w:tab w:val="num" w:pos="340"/>
        </w:tabs>
        <w:ind w:left="340" w:hanging="340"/>
      </w:pPr>
      <w:rPr>
        <w:rFonts w:ascii="Arial" w:hAnsi="Arial"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A10824"/>
    <w:multiLevelType w:val="multilevel"/>
    <w:tmpl w:val="C5781858"/>
    <w:lvl w:ilvl="0">
      <w:start w:val="1"/>
      <w:numFmt w:val="decimal"/>
      <w:lvlText w:val="%1."/>
      <w:lvlJc w:val="left"/>
      <w:pPr>
        <w:tabs>
          <w:tab w:val="num" w:pos="700"/>
        </w:tabs>
        <w:ind w:left="700" w:hanging="340"/>
      </w:pPr>
      <w:rPr>
        <w:rFonts w:ascii="Times New Roman" w:hAnsi="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DC48EB"/>
    <w:multiLevelType w:val="hybridMultilevel"/>
    <w:tmpl w:val="FF0273BA"/>
    <w:lvl w:ilvl="0" w:tplc="11962C1C">
      <w:start w:val="1"/>
      <w:numFmt w:val="decimal"/>
      <w:lvlText w:val="%1."/>
      <w:lvlJc w:val="left"/>
      <w:pPr>
        <w:tabs>
          <w:tab w:val="num" w:pos="720"/>
        </w:tabs>
        <w:ind w:left="720" w:hanging="360"/>
      </w:pPr>
      <w:rPr>
        <w:rFonts w:hint="default"/>
      </w:rPr>
    </w:lvl>
    <w:lvl w:ilvl="1" w:tplc="98765B2C">
      <w:numFmt w:val="none"/>
      <w:lvlText w:val=""/>
      <w:lvlJc w:val="left"/>
      <w:pPr>
        <w:tabs>
          <w:tab w:val="num" w:pos="360"/>
        </w:tabs>
      </w:pPr>
    </w:lvl>
    <w:lvl w:ilvl="2" w:tplc="41F47E22">
      <w:numFmt w:val="none"/>
      <w:lvlText w:val=""/>
      <w:lvlJc w:val="left"/>
      <w:pPr>
        <w:tabs>
          <w:tab w:val="num" w:pos="360"/>
        </w:tabs>
      </w:pPr>
    </w:lvl>
    <w:lvl w:ilvl="3" w:tplc="7004E0AA">
      <w:numFmt w:val="none"/>
      <w:lvlText w:val=""/>
      <w:lvlJc w:val="left"/>
      <w:pPr>
        <w:tabs>
          <w:tab w:val="num" w:pos="360"/>
        </w:tabs>
      </w:pPr>
    </w:lvl>
    <w:lvl w:ilvl="4" w:tplc="5D96A8F6">
      <w:numFmt w:val="none"/>
      <w:lvlText w:val=""/>
      <w:lvlJc w:val="left"/>
      <w:pPr>
        <w:tabs>
          <w:tab w:val="num" w:pos="360"/>
        </w:tabs>
      </w:pPr>
    </w:lvl>
    <w:lvl w:ilvl="5" w:tplc="97C2522A">
      <w:numFmt w:val="none"/>
      <w:lvlText w:val=""/>
      <w:lvlJc w:val="left"/>
      <w:pPr>
        <w:tabs>
          <w:tab w:val="num" w:pos="360"/>
        </w:tabs>
      </w:pPr>
    </w:lvl>
    <w:lvl w:ilvl="6" w:tplc="8B0E3370">
      <w:numFmt w:val="none"/>
      <w:lvlText w:val=""/>
      <w:lvlJc w:val="left"/>
      <w:pPr>
        <w:tabs>
          <w:tab w:val="num" w:pos="360"/>
        </w:tabs>
      </w:pPr>
    </w:lvl>
    <w:lvl w:ilvl="7" w:tplc="DF904F5E">
      <w:numFmt w:val="none"/>
      <w:lvlText w:val=""/>
      <w:lvlJc w:val="left"/>
      <w:pPr>
        <w:tabs>
          <w:tab w:val="num" w:pos="360"/>
        </w:tabs>
      </w:pPr>
    </w:lvl>
    <w:lvl w:ilvl="8" w:tplc="447813B8">
      <w:numFmt w:val="none"/>
      <w:lvlText w:val=""/>
      <w:lvlJc w:val="left"/>
      <w:pPr>
        <w:tabs>
          <w:tab w:val="num" w:pos="360"/>
        </w:tabs>
      </w:pPr>
    </w:lvl>
  </w:abstractNum>
  <w:abstractNum w:abstractNumId="11">
    <w:nsid w:val="2569662D"/>
    <w:multiLevelType w:val="multilevel"/>
    <w:tmpl w:val="18549C58"/>
    <w:lvl w:ilvl="0">
      <w:start w:val="1"/>
      <w:numFmt w:val="decimal"/>
      <w:lvlText w:val="%1."/>
      <w:lvlJc w:val="left"/>
      <w:pPr>
        <w:tabs>
          <w:tab w:val="num" w:pos="340"/>
        </w:tabs>
        <w:ind w:left="340" w:hanging="340"/>
      </w:pPr>
      <w:rPr>
        <w:rFonts w:ascii="Arial" w:hAnsi="Arial"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9F2421F"/>
    <w:multiLevelType w:val="multilevel"/>
    <w:tmpl w:val="0804BD10"/>
    <w:lvl w:ilvl="0">
      <w:start w:val="2"/>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firstLine="0"/>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3A3428FE"/>
    <w:multiLevelType w:val="multilevel"/>
    <w:tmpl w:val="46302D10"/>
    <w:lvl w:ilvl="0">
      <w:start w:val="1"/>
      <w:numFmt w:val="decimal"/>
      <w:lvlText w:val="%1."/>
      <w:lvlJc w:val="left"/>
      <w:pPr>
        <w:tabs>
          <w:tab w:val="num" w:pos="340"/>
        </w:tabs>
        <w:ind w:left="340" w:hanging="340"/>
      </w:pPr>
      <w:rPr>
        <w:rFonts w:ascii="Times New Roman" w:hAnsi="Times New Roman" w:hint="default"/>
        <w:b/>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4397473"/>
    <w:multiLevelType w:val="multilevel"/>
    <w:tmpl w:val="0C52E2CE"/>
    <w:lvl w:ilvl="0">
      <w:start w:val="2"/>
      <w:numFmt w:val="decimal"/>
      <w:lvlText w:val="%1."/>
      <w:lvlJc w:val="left"/>
      <w:pPr>
        <w:tabs>
          <w:tab w:val="num" w:pos="454"/>
        </w:tabs>
        <w:ind w:left="454" w:hanging="454"/>
      </w:pPr>
      <w:rPr>
        <w:rFonts w:hint="default"/>
      </w:rPr>
    </w:lvl>
    <w:lvl w:ilvl="1">
      <w:start w:val="1"/>
      <w:numFmt w:val="decimal"/>
      <w:lvlText w:val="%1.%2."/>
      <w:lvlJc w:val="left"/>
      <w:pPr>
        <w:tabs>
          <w:tab w:val="num" w:pos="567"/>
        </w:tabs>
        <w:ind w:left="567" w:hanging="113"/>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4DB56D9"/>
    <w:multiLevelType w:val="multilevel"/>
    <w:tmpl w:val="B7B2D94C"/>
    <w:lvl w:ilvl="0">
      <w:start w:val="2"/>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1021" w:hanging="102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51D342C3"/>
    <w:multiLevelType w:val="multilevel"/>
    <w:tmpl w:val="3E7C8CFE"/>
    <w:lvl w:ilvl="0">
      <w:start w:val="2"/>
      <w:numFmt w:val="decimal"/>
      <w:lvlText w:val="%1."/>
      <w:lvlJc w:val="left"/>
      <w:pPr>
        <w:tabs>
          <w:tab w:val="num" w:pos="454"/>
        </w:tabs>
        <w:ind w:left="454" w:hanging="454"/>
      </w:pPr>
      <w:rPr>
        <w:rFonts w:hint="default"/>
      </w:rPr>
    </w:lvl>
    <w:lvl w:ilvl="1">
      <w:start w:val="1"/>
      <w:numFmt w:val="decimal"/>
      <w:lvlText w:val="%1.%2."/>
      <w:lvlJc w:val="left"/>
      <w:pPr>
        <w:tabs>
          <w:tab w:val="num" w:pos="680"/>
        </w:tabs>
        <w:ind w:left="1588" w:hanging="1021"/>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54532DDF"/>
    <w:multiLevelType w:val="multilevel"/>
    <w:tmpl w:val="0804BD10"/>
    <w:lvl w:ilvl="0">
      <w:start w:val="2"/>
      <w:numFmt w:val="decimal"/>
      <w:lvlText w:val="%1."/>
      <w:lvlJc w:val="left"/>
      <w:pPr>
        <w:tabs>
          <w:tab w:val="num" w:pos="340"/>
        </w:tabs>
        <w:ind w:left="340" w:hanging="340"/>
      </w:pPr>
      <w:rPr>
        <w:rFonts w:hint="default"/>
      </w:rPr>
    </w:lvl>
    <w:lvl w:ilvl="1">
      <w:start w:val="1"/>
      <w:numFmt w:val="decimal"/>
      <w:lvlText w:val="%1.%2."/>
      <w:lvlJc w:val="left"/>
      <w:pPr>
        <w:tabs>
          <w:tab w:val="num" w:pos="340"/>
        </w:tabs>
        <w:ind w:left="340" w:firstLine="0"/>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580E4BF0"/>
    <w:multiLevelType w:val="multilevel"/>
    <w:tmpl w:val="4ED4A984"/>
    <w:lvl w:ilvl="0">
      <w:start w:val="4"/>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87C5F7B"/>
    <w:multiLevelType w:val="multilevel"/>
    <w:tmpl w:val="C570EAA2"/>
    <w:lvl w:ilvl="0">
      <w:start w:val="1"/>
      <w:numFmt w:val="decimal"/>
      <w:lvlText w:val="%1."/>
      <w:lvlJc w:val="left"/>
      <w:pPr>
        <w:tabs>
          <w:tab w:val="num" w:pos="340"/>
        </w:tabs>
        <w:ind w:left="340" w:hanging="340"/>
      </w:pPr>
      <w:rPr>
        <w:rFonts w:ascii="Times New Roman" w:hAnsi="Times New Roman" w:hint="default"/>
        <w:b/>
        <w:i w:val="0"/>
        <w:sz w:val="24"/>
        <w:szCs w:val="24"/>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440"/>
        </w:tabs>
        <w:ind w:left="1440" w:hanging="720"/>
      </w:pPr>
      <w:rPr>
        <w:rFonts w:hint="default"/>
        <w:b/>
      </w:rPr>
    </w:lvl>
    <w:lvl w:ilvl="3">
      <w:start w:val="1"/>
      <w:numFmt w:val="decimal"/>
      <w:isLgl/>
      <w:lvlText w:val="%1.%2.%3.%4."/>
      <w:lvlJc w:val="left"/>
      <w:pPr>
        <w:tabs>
          <w:tab w:val="num" w:pos="1800"/>
        </w:tabs>
        <w:ind w:left="1800" w:hanging="720"/>
      </w:pPr>
      <w:rPr>
        <w:rFonts w:hint="default"/>
        <w:b/>
      </w:rPr>
    </w:lvl>
    <w:lvl w:ilvl="4">
      <w:start w:val="1"/>
      <w:numFmt w:val="decimal"/>
      <w:isLgl/>
      <w:lvlText w:val="%1.%2.%3.%4.%5."/>
      <w:lvlJc w:val="left"/>
      <w:pPr>
        <w:tabs>
          <w:tab w:val="num" w:pos="2520"/>
        </w:tabs>
        <w:ind w:left="2520" w:hanging="1080"/>
      </w:pPr>
      <w:rPr>
        <w:rFonts w:hint="default"/>
        <w:b/>
      </w:rPr>
    </w:lvl>
    <w:lvl w:ilvl="5">
      <w:start w:val="1"/>
      <w:numFmt w:val="decimal"/>
      <w:isLgl/>
      <w:lvlText w:val="%1.%2.%3.%4.%5.%6."/>
      <w:lvlJc w:val="left"/>
      <w:pPr>
        <w:tabs>
          <w:tab w:val="num" w:pos="2880"/>
        </w:tabs>
        <w:ind w:left="2880" w:hanging="1080"/>
      </w:pPr>
      <w:rPr>
        <w:rFonts w:hint="default"/>
        <w:b/>
      </w:rPr>
    </w:lvl>
    <w:lvl w:ilvl="6">
      <w:start w:val="1"/>
      <w:numFmt w:val="decimal"/>
      <w:isLgl/>
      <w:lvlText w:val="%1.%2.%3.%4.%5.%6.%7."/>
      <w:lvlJc w:val="left"/>
      <w:pPr>
        <w:tabs>
          <w:tab w:val="num" w:pos="3600"/>
        </w:tabs>
        <w:ind w:left="3600" w:hanging="1440"/>
      </w:pPr>
      <w:rPr>
        <w:rFonts w:hint="default"/>
        <w:b/>
      </w:rPr>
    </w:lvl>
    <w:lvl w:ilvl="7">
      <w:start w:val="1"/>
      <w:numFmt w:val="decimal"/>
      <w:isLgl/>
      <w:lvlText w:val="%1.%2.%3.%4.%5.%6.%7.%8."/>
      <w:lvlJc w:val="left"/>
      <w:pPr>
        <w:tabs>
          <w:tab w:val="num" w:pos="3960"/>
        </w:tabs>
        <w:ind w:left="3960" w:hanging="1440"/>
      </w:pPr>
      <w:rPr>
        <w:rFonts w:hint="default"/>
        <w:b/>
      </w:rPr>
    </w:lvl>
    <w:lvl w:ilvl="8">
      <w:start w:val="1"/>
      <w:numFmt w:val="decimal"/>
      <w:isLgl/>
      <w:lvlText w:val="%1.%2.%3.%4.%5.%6.%7.%8.%9."/>
      <w:lvlJc w:val="left"/>
      <w:pPr>
        <w:tabs>
          <w:tab w:val="num" w:pos="4680"/>
        </w:tabs>
        <w:ind w:left="4680" w:hanging="1800"/>
      </w:pPr>
      <w:rPr>
        <w:rFonts w:hint="default"/>
        <w:b/>
      </w:rPr>
    </w:lvl>
  </w:abstractNum>
  <w:abstractNum w:abstractNumId="20">
    <w:nsid w:val="5A0710BD"/>
    <w:multiLevelType w:val="multilevel"/>
    <w:tmpl w:val="080A001F"/>
    <w:numStyleLink w:val="111111"/>
  </w:abstractNum>
  <w:abstractNum w:abstractNumId="21">
    <w:nsid w:val="5DC81D7D"/>
    <w:multiLevelType w:val="multilevel"/>
    <w:tmpl w:val="EA38E96A"/>
    <w:lvl w:ilvl="0">
      <w:start w:val="2"/>
      <w:numFmt w:val="decimal"/>
      <w:lvlText w:val="%1."/>
      <w:lvlJc w:val="left"/>
      <w:pPr>
        <w:tabs>
          <w:tab w:val="num" w:pos="340"/>
        </w:tabs>
        <w:ind w:left="340" w:hanging="340"/>
      </w:pPr>
      <w:rPr>
        <w:rFonts w:hint="default"/>
      </w:rPr>
    </w:lvl>
    <w:lvl w:ilvl="1">
      <w:start w:val="1"/>
      <w:numFmt w:val="decimal"/>
      <w:lvlText w:val="3.%2."/>
      <w:lvlJc w:val="left"/>
      <w:pPr>
        <w:tabs>
          <w:tab w:val="num" w:pos="454"/>
        </w:tabs>
        <w:ind w:left="454" w:hanging="114"/>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FA17494"/>
    <w:multiLevelType w:val="multilevel"/>
    <w:tmpl w:val="C542F9DA"/>
    <w:lvl w:ilvl="0">
      <w:start w:val="2"/>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454" w:hanging="114"/>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13500BC"/>
    <w:multiLevelType w:val="multilevel"/>
    <w:tmpl w:val="48BE196C"/>
    <w:lvl w:ilvl="0">
      <w:start w:val="2"/>
      <w:numFmt w:val="decimal"/>
      <w:lvlText w:val="%1."/>
      <w:lvlJc w:val="left"/>
      <w:pPr>
        <w:tabs>
          <w:tab w:val="num" w:pos="454"/>
        </w:tabs>
        <w:ind w:left="454" w:hanging="454"/>
      </w:pPr>
      <w:rPr>
        <w:rFonts w:hint="default"/>
      </w:rPr>
    </w:lvl>
    <w:lvl w:ilvl="1">
      <w:start w:val="1"/>
      <w:numFmt w:val="decimal"/>
      <w:lvlText w:val="%1.%2."/>
      <w:lvlJc w:val="left"/>
      <w:pPr>
        <w:tabs>
          <w:tab w:val="num" w:pos="794"/>
        </w:tabs>
        <w:ind w:left="1304" w:hanging="107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615554A7"/>
    <w:multiLevelType w:val="multilevel"/>
    <w:tmpl w:val="CD4A4FFA"/>
    <w:lvl w:ilvl="0">
      <w:start w:val="2"/>
      <w:numFmt w:val="decimal"/>
      <w:lvlText w:val="%1."/>
      <w:lvlJc w:val="left"/>
      <w:pPr>
        <w:tabs>
          <w:tab w:val="num" w:pos="454"/>
        </w:tabs>
        <w:ind w:left="454" w:hanging="454"/>
      </w:pPr>
      <w:rPr>
        <w:rFonts w:hint="default"/>
      </w:rPr>
    </w:lvl>
    <w:lvl w:ilvl="1">
      <w:start w:val="1"/>
      <w:numFmt w:val="decimal"/>
      <w:lvlText w:val="%1.%2."/>
      <w:lvlJc w:val="left"/>
      <w:pPr>
        <w:tabs>
          <w:tab w:val="num" w:pos="454"/>
        </w:tabs>
        <w:ind w:left="454"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648F13A4"/>
    <w:multiLevelType w:val="multilevel"/>
    <w:tmpl w:val="08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65B35952"/>
    <w:multiLevelType w:val="hybridMultilevel"/>
    <w:tmpl w:val="3EA0F010"/>
    <w:lvl w:ilvl="0" w:tplc="0B5C364E">
      <w:start w:val="1"/>
      <w:numFmt w:val="bullet"/>
      <w:lvlText w:val=""/>
      <w:lvlJc w:val="left"/>
      <w:pPr>
        <w:tabs>
          <w:tab w:val="num" w:pos="851"/>
        </w:tabs>
        <w:ind w:left="851" w:hanging="28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E1315FF"/>
    <w:multiLevelType w:val="multilevel"/>
    <w:tmpl w:val="C542F9DA"/>
    <w:lvl w:ilvl="0">
      <w:start w:val="2"/>
      <w:numFmt w:val="decimal"/>
      <w:lvlText w:val="%1."/>
      <w:lvlJc w:val="left"/>
      <w:pPr>
        <w:tabs>
          <w:tab w:val="num" w:pos="340"/>
        </w:tabs>
        <w:ind w:left="340" w:hanging="340"/>
      </w:pPr>
      <w:rPr>
        <w:rFonts w:hint="default"/>
      </w:rPr>
    </w:lvl>
    <w:lvl w:ilvl="1">
      <w:start w:val="1"/>
      <w:numFmt w:val="decimal"/>
      <w:lvlText w:val="%1.%2."/>
      <w:lvlJc w:val="left"/>
      <w:pPr>
        <w:tabs>
          <w:tab w:val="num" w:pos="454"/>
        </w:tabs>
        <w:ind w:left="454" w:hanging="114"/>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710A4DAA"/>
    <w:multiLevelType w:val="hybridMultilevel"/>
    <w:tmpl w:val="87DCA152"/>
    <w:lvl w:ilvl="0" w:tplc="30220440">
      <w:start w:val="1"/>
      <w:numFmt w:val="decimal"/>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28"/>
  </w:num>
  <w:num w:numId="4">
    <w:abstractNumId w:val="4"/>
  </w:num>
  <w:num w:numId="5">
    <w:abstractNumId w:val="26"/>
  </w:num>
  <w:num w:numId="6">
    <w:abstractNumId w:val="8"/>
  </w:num>
  <w:num w:numId="7">
    <w:abstractNumId w:val="11"/>
  </w:num>
  <w:num w:numId="8">
    <w:abstractNumId w:val="5"/>
  </w:num>
  <w:num w:numId="9">
    <w:abstractNumId w:val="9"/>
  </w:num>
  <w:num w:numId="10">
    <w:abstractNumId w:val="2"/>
  </w:num>
  <w:num w:numId="11">
    <w:abstractNumId w:val="13"/>
  </w:num>
  <w:num w:numId="12">
    <w:abstractNumId w:val="23"/>
  </w:num>
  <w:num w:numId="13">
    <w:abstractNumId w:val="24"/>
  </w:num>
  <w:num w:numId="14">
    <w:abstractNumId w:val="15"/>
  </w:num>
  <w:num w:numId="15">
    <w:abstractNumId w:val="16"/>
  </w:num>
  <w:num w:numId="16">
    <w:abstractNumId w:val="14"/>
  </w:num>
  <w:num w:numId="17">
    <w:abstractNumId w:val="12"/>
  </w:num>
  <w:num w:numId="18">
    <w:abstractNumId w:val="1"/>
  </w:num>
  <w:num w:numId="19">
    <w:abstractNumId w:val="22"/>
  </w:num>
  <w:num w:numId="20">
    <w:abstractNumId w:val="17"/>
  </w:num>
  <w:num w:numId="21">
    <w:abstractNumId w:val="27"/>
  </w:num>
  <w:num w:numId="22">
    <w:abstractNumId w:val="0"/>
  </w:num>
  <w:num w:numId="23">
    <w:abstractNumId w:val="6"/>
  </w:num>
  <w:num w:numId="24">
    <w:abstractNumId w:val="21"/>
  </w:num>
  <w:num w:numId="25">
    <w:abstractNumId w:val="3"/>
  </w:num>
  <w:num w:numId="26">
    <w:abstractNumId w:val="18"/>
  </w:num>
  <w:num w:numId="27">
    <w:abstractNumId w:val="19"/>
  </w:num>
  <w:num w:numId="28">
    <w:abstractNumId w:val="25"/>
  </w:num>
  <w:num w:numId="29">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9"/>
  <w:hyphenationZone w:val="425"/>
  <w:drawingGridHorizontalSpacing w:val="120"/>
  <w:displayHorizontalDrawingGridEvery w:val="2"/>
  <w:displayVerticalDrawingGridEvery w:val="2"/>
  <w:noPunctuationKerning/>
  <w:characterSpacingControl w:val="doNotCompress"/>
  <w:compat/>
  <w:rsids>
    <w:rsidRoot w:val="000C2C54"/>
    <w:rsid w:val="00025230"/>
    <w:rsid w:val="00091067"/>
    <w:rsid w:val="000C2C54"/>
    <w:rsid w:val="000E23A0"/>
    <w:rsid w:val="00146030"/>
    <w:rsid w:val="00174BE2"/>
    <w:rsid w:val="00190816"/>
    <w:rsid w:val="001931BD"/>
    <w:rsid w:val="001B04A0"/>
    <w:rsid w:val="001C1437"/>
    <w:rsid w:val="001F30A0"/>
    <w:rsid w:val="0022318F"/>
    <w:rsid w:val="00225DCA"/>
    <w:rsid w:val="00263426"/>
    <w:rsid w:val="002E1717"/>
    <w:rsid w:val="00300CF9"/>
    <w:rsid w:val="00334E34"/>
    <w:rsid w:val="0034638F"/>
    <w:rsid w:val="00370BF1"/>
    <w:rsid w:val="003C50C5"/>
    <w:rsid w:val="003D7795"/>
    <w:rsid w:val="003F389C"/>
    <w:rsid w:val="00407ED7"/>
    <w:rsid w:val="004137D2"/>
    <w:rsid w:val="0046491D"/>
    <w:rsid w:val="004740C3"/>
    <w:rsid w:val="00476857"/>
    <w:rsid w:val="004814CE"/>
    <w:rsid w:val="004F1873"/>
    <w:rsid w:val="00504915"/>
    <w:rsid w:val="005052FF"/>
    <w:rsid w:val="00540A9C"/>
    <w:rsid w:val="00592368"/>
    <w:rsid w:val="005A029D"/>
    <w:rsid w:val="005E51A0"/>
    <w:rsid w:val="005F2B23"/>
    <w:rsid w:val="006406BB"/>
    <w:rsid w:val="00713652"/>
    <w:rsid w:val="007270F9"/>
    <w:rsid w:val="00752C4C"/>
    <w:rsid w:val="007E1FC3"/>
    <w:rsid w:val="00837FA8"/>
    <w:rsid w:val="008421C7"/>
    <w:rsid w:val="00847CA1"/>
    <w:rsid w:val="00870BEE"/>
    <w:rsid w:val="00896BCE"/>
    <w:rsid w:val="008A580A"/>
    <w:rsid w:val="008F3808"/>
    <w:rsid w:val="00911FCF"/>
    <w:rsid w:val="00915627"/>
    <w:rsid w:val="009315CB"/>
    <w:rsid w:val="00934563"/>
    <w:rsid w:val="009A6F44"/>
    <w:rsid w:val="009C1972"/>
    <w:rsid w:val="009D3379"/>
    <w:rsid w:val="009F5815"/>
    <w:rsid w:val="00A06F37"/>
    <w:rsid w:val="00A074B1"/>
    <w:rsid w:val="00A1412E"/>
    <w:rsid w:val="00A77B87"/>
    <w:rsid w:val="00B24978"/>
    <w:rsid w:val="00B61FE4"/>
    <w:rsid w:val="00B67FB3"/>
    <w:rsid w:val="00B750E8"/>
    <w:rsid w:val="00BD2770"/>
    <w:rsid w:val="00C327B1"/>
    <w:rsid w:val="00C82D02"/>
    <w:rsid w:val="00CA3EA8"/>
    <w:rsid w:val="00D050A6"/>
    <w:rsid w:val="00D07C5F"/>
    <w:rsid w:val="00D57144"/>
    <w:rsid w:val="00DC7B68"/>
    <w:rsid w:val="00DD3EE4"/>
    <w:rsid w:val="00E61824"/>
    <w:rsid w:val="00E6480E"/>
    <w:rsid w:val="00E64F9D"/>
    <w:rsid w:val="00EA7C99"/>
    <w:rsid w:val="00F6666C"/>
    <w:rsid w:val="00FA13D9"/>
    <w:rsid w:val="00FC22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C5F"/>
    <w:rPr>
      <w:sz w:val="24"/>
      <w:szCs w:val="24"/>
      <w:lang w:val="es-ES_tradnl"/>
    </w:rPr>
  </w:style>
  <w:style w:type="paragraph" w:styleId="Ttulo1">
    <w:name w:val="heading 1"/>
    <w:basedOn w:val="Normal"/>
    <w:next w:val="Normal"/>
    <w:qFormat/>
    <w:rsid w:val="000C2C54"/>
    <w:pPr>
      <w:keepNext/>
      <w:numPr>
        <w:numId w:val="25"/>
      </w:numPr>
      <w:jc w:val="both"/>
      <w:outlineLvl w:val="0"/>
    </w:pPr>
    <w:rPr>
      <w:b/>
      <w:bCs/>
    </w:rPr>
  </w:style>
  <w:style w:type="paragraph" w:styleId="Ttulo2">
    <w:name w:val="heading 2"/>
    <w:basedOn w:val="Normal"/>
    <w:next w:val="Normal"/>
    <w:qFormat/>
    <w:rsid w:val="000C2C54"/>
    <w:pPr>
      <w:keepNext/>
      <w:numPr>
        <w:ilvl w:val="1"/>
        <w:numId w:val="25"/>
      </w:numPr>
      <w:jc w:val="center"/>
      <w:outlineLvl w:val="1"/>
    </w:pPr>
    <w:rPr>
      <w:b/>
      <w:bCs/>
    </w:rPr>
  </w:style>
  <w:style w:type="paragraph" w:styleId="Ttulo3">
    <w:name w:val="heading 3"/>
    <w:basedOn w:val="Normal"/>
    <w:next w:val="Normal"/>
    <w:qFormat/>
    <w:rsid w:val="003D7795"/>
    <w:pPr>
      <w:keepNext/>
      <w:numPr>
        <w:ilvl w:val="2"/>
        <w:numId w:val="25"/>
      </w:numPr>
      <w:spacing w:before="240" w:after="60"/>
      <w:outlineLvl w:val="2"/>
    </w:pPr>
    <w:rPr>
      <w:rFonts w:ascii="Arial" w:hAnsi="Arial" w:cs="Arial"/>
      <w:b/>
      <w:bCs/>
      <w:sz w:val="26"/>
      <w:szCs w:val="26"/>
    </w:rPr>
  </w:style>
  <w:style w:type="paragraph" w:styleId="Ttulo4">
    <w:name w:val="heading 4"/>
    <w:basedOn w:val="Normal"/>
    <w:next w:val="Normal"/>
    <w:qFormat/>
    <w:rsid w:val="003D7795"/>
    <w:pPr>
      <w:keepNext/>
      <w:numPr>
        <w:ilvl w:val="3"/>
        <w:numId w:val="25"/>
      </w:numPr>
      <w:spacing w:before="240" w:after="60"/>
      <w:outlineLvl w:val="3"/>
    </w:pPr>
    <w:rPr>
      <w:b/>
      <w:bCs/>
      <w:sz w:val="28"/>
      <w:szCs w:val="28"/>
    </w:rPr>
  </w:style>
  <w:style w:type="paragraph" w:styleId="Ttulo5">
    <w:name w:val="heading 5"/>
    <w:basedOn w:val="Normal"/>
    <w:next w:val="Normal"/>
    <w:qFormat/>
    <w:rsid w:val="003D7795"/>
    <w:pPr>
      <w:numPr>
        <w:ilvl w:val="4"/>
        <w:numId w:val="25"/>
      </w:numPr>
      <w:spacing w:before="240" w:after="60"/>
      <w:outlineLvl w:val="4"/>
    </w:pPr>
    <w:rPr>
      <w:b/>
      <w:bCs/>
      <w:i/>
      <w:iCs/>
      <w:sz w:val="26"/>
      <w:szCs w:val="26"/>
    </w:rPr>
  </w:style>
  <w:style w:type="paragraph" w:styleId="Ttulo6">
    <w:name w:val="heading 6"/>
    <w:basedOn w:val="Normal"/>
    <w:next w:val="Normal"/>
    <w:qFormat/>
    <w:rsid w:val="003D7795"/>
    <w:pPr>
      <w:numPr>
        <w:ilvl w:val="5"/>
        <w:numId w:val="25"/>
      </w:numPr>
      <w:spacing w:before="240" w:after="60"/>
      <w:outlineLvl w:val="5"/>
    </w:pPr>
    <w:rPr>
      <w:b/>
      <w:bCs/>
      <w:sz w:val="22"/>
      <w:szCs w:val="22"/>
    </w:rPr>
  </w:style>
  <w:style w:type="paragraph" w:styleId="Ttulo7">
    <w:name w:val="heading 7"/>
    <w:basedOn w:val="Normal"/>
    <w:next w:val="Normal"/>
    <w:qFormat/>
    <w:rsid w:val="003D7795"/>
    <w:pPr>
      <w:numPr>
        <w:ilvl w:val="6"/>
        <w:numId w:val="25"/>
      </w:numPr>
      <w:spacing w:before="240" w:after="60"/>
      <w:outlineLvl w:val="6"/>
    </w:pPr>
  </w:style>
  <w:style w:type="paragraph" w:styleId="Ttulo8">
    <w:name w:val="heading 8"/>
    <w:basedOn w:val="Normal"/>
    <w:next w:val="Normal"/>
    <w:qFormat/>
    <w:rsid w:val="003D7795"/>
    <w:pPr>
      <w:numPr>
        <w:ilvl w:val="7"/>
        <w:numId w:val="25"/>
      </w:numPr>
      <w:spacing w:before="240" w:after="60"/>
      <w:outlineLvl w:val="7"/>
    </w:pPr>
    <w:rPr>
      <w:i/>
      <w:iCs/>
    </w:rPr>
  </w:style>
  <w:style w:type="paragraph" w:styleId="Ttulo9">
    <w:name w:val="heading 9"/>
    <w:basedOn w:val="Normal"/>
    <w:next w:val="Normal"/>
    <w:qFormat/>
    <w:rsid w:val="003D7795"/>
    <w:pPr>
      <w:numPr>
        <w:ilvl w:val="8"/>
        <w:numId w:val="25"/>
      </w:num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0C2C54"/>
    <w:pPr>
      <w:jc w:val="center"/>
    </w:pPr>
    <w:rPr>
      <w:b/>
      <w:bCs/>
    </w:rPr>
  </w:style>
  <w:style w:type="paragraph" w:styleId="Textoindependiente2">
    <w:name w:val="Body Text 2"/>
    <w:basedOn w:val="Normal"/>
    <w:rsid w:val="000C2C54"/>
    <w:pPr>
      <w:jc w:val="both"/>
    </w:pPr>
  </w:style>
  <w:style w:type="paragraph" w:styleId="Textoindependiente3">
    <w:name w:val="Body Text 3"/>
    <w:basedOn w:val="Normal"/>
    <w:rsid w:val="000C2C54"/>
    <w:pPr>
      <w:jc w:val="both"/>
    </w:pPr>
    <w:rPr>
      <w:i/>
      <w:iCs/>
      <w:sz w:val="20"/>
    </w:rPr>
  </w:style>
  <w:style w:type="paragraph" w:styleId="Textodebloque">
    <w:name w:val="Block Text"/>
    <w:basedOn w:val="Normal"/>
    <w:rsid w:val="000C2C54"/>
    <w:pPr>
      <w:ind w:left="900" w:right="1080"/>
      <w:jc w:val="both"/>
    </w:pPr>
    <w:rPr>
      <w:i/>
      <w:iCs/>
      <w:sz w:val="20"/>
    </w:rPr>
  </w:style>
  <w:style w:type="paragraph" w:styleId="Sangra2detindependiente">
    <w:name w:val="Body Text Indent 2"/>
    <w:basedOn w:val="Normal"/>
    <w:rsid w:val="000C2C54"/>
    <w:pPr>
      <w:ind w:left="1140"/>
      <w:jc w:val="both"/>
    </w:pPr>
  </w:style>
  <w:style w:type="table" w:styleId="TablaWeb1">
    <w:name w:val="Table Web 1"/>
    <w:basedOn w:val="Tablanormal"/>
    <w:rsid w:val="000C2C5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ipervnculo">
    <w:name w:val="Hyperlink"/>
    <w:basedOn w:val="Fuentedeprrafopredeter"/>
    <w:rsid w:val="00592368"/>
    <w:rPr>
      <w:color w:val="0000FF"/>
      <w:u w:val="single"/>
    </w:rPr>
  </w:style>
  <w:style w:type="paragraph" w:styleId="Textonotapie">
    <w:name w:val="footnote text"/>
    <w:basedOn w:val="Normal"/>
    <w:semiHidden/>
    <w:rsid w:val="00E61824"/>
    <w:rPr>
      <w:sz w:val="20"/>
      <w:szCs w:val="20"/>
      <w:lang w:val="en-US"/>
    </w:rPr>
  </w:style>
  <w:style w:type="character" w:styleId="Refdenotaalpie">
    <w:name w:val="footnote reference"/>
    <w:basedOn w:val="Fuentedeprrafopredeter"/>
    <w:semiHidden/>
    <w:rsid w:val="00E61824"/>
    <w:rPr>
      <w:vertAlign w:val="superscript"/>
    </w:rPr>
  </w:style>
  <w:style w:type="paragraph" w:styleId="Epgrafe">
    <w:name w:val="caption"/>
    <w:basedOn w:val="Normal"/>
    <w:next w:val="Normal"/>
    <w:qFormat/>
    <w:rsid w:val="00DC7B68"/>
    <w:pPr>
      <w:spacing w:before="120" w:after="120"/>
    </w:pPr>
    <w:rPr>
      <w:b/>
      <w:bCs/>
      <w:sz w:val="20"/>
      <w:szCs w:val="20"/>
      <w:lang w:val="en-US"/>
    </w:rPr>
  </w:style>
  <w:style w:type="table" w:styleId="TablaWeb2">
    <w:name w:val="Table Web 2"/>
    <w:basedOn w:val="Tablanormal"/>
    <w:rsid w:val="00915627"/>
    <w:rPr>
      <w:rFonts w:eastAsia="MS Minch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Sinlista"/>
    <w:rsid w:val="00A06F37"/>
    <w:pPr>
      <w:numPr>
        <w:numId w:val="28"/>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4.wmf"/><Relationship Id="rId39" Type="http://schemas.openxmlformats.org/officeDocument/2006/relationships/image" Target="media/image20.wmf"/><Relationship Id="rId21" Type="http://schemas.openxmlformats.org/officeDocument/2006/relationships/oleObject" Target="embeddings/oleObject6.bin"/><Relationship Id="rId34" Type="http://schemas.openxmlformats.org/officeDocument/2006/relationships/image" Target="media/image17.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image" Target="media/image30.wmf"/><Relationship Id="rId63" Type="http://schemas.openxmlformats.org/officeDocument/2006/relationships/oleObject" Target="embeddings/oleObject26.bin"/><Relationship Id="rId68" Type="http://schemas.openxmlformats.org/officeDocument/2006/relationships/oleObject" Target="embeddings/oleObject29.bin"/><Relationship Id="rId76" Type="http://schemas.openxmlformats.org/officeDocument/2006/relationships/theme" Target="theme/theme1.xml"/><Relationship Id="rId7" Type="http://schemas.openxmlformats.org/officeDocument/2006/relationships/image" Target="media/image3.emf"/><Relationship Id="rId71"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5.wmf"/><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6.wmf"/><Relationship Id="rId37" Type="http://schemas.openxmlformats.org/officeDocument/2006/relationships/image" Target="media/image18.wmf"/><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image" Target="media/image29.wmf"/><Relationship Id="rId58" Type="http://schemas.openxmlformats.org/officeDocument/2006/relationships/image" Target="media/image31.wmf"/><Relationship Id="rId66" Type="http://schemas.openxmlformats.org/officeDocument/2006/relationships/oleObject" Target="embeddings/oleObject28.bin"/><Relationship Id="rId74" Type="http://schemas.openxmlformats.org/officeDocument/2006/relationships/image" Target="media/image38.emf"/><Relationship Id="rId5" Type="http://schemas.openxmlformats.org/officeDocument/2006/relationships/image" Target="media/image1.emf"/><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oleObject" Target="embeddings/oleObject20.bin"/><Relationship Id="rId57" Type="http://schemas.openxmlformats.org/officeDocument/2006/relationships/oleObject" Target="embeddings/oleObject23.bin"/><Relationship Id="rId61" Type="http://schemas.openxmlformats.org/officeDocument/2006/relationships/oleObject" Target="embeddings/oleObject25.bin"/><Relationship Id="rId10" Type="http://schemas.openxmlformats.org/officeDocument/2006/relationships/image" Target="media/image6.wmf"/><Relationship Id="rId19" Type="http://schemas.openxmlformats.org/officeDocument/2006/relationships/image" Target="media/image10.emf"/><Relationship Id="rId31" Type="http://schemas.openxmlformats.org/officeDocument/2006/relationships/oleObject" Target="embeddings/oleObject12.bin"/><Relationship Id="rId44" Type="http://schemas.openxmlformats.org/officeDocument/2006/relationships/image" Target="media/image23.wmf"/><Relationship Id="rId52" Type="http://schemas.openxmlformats.org/officeDocument/2006/relationships/image" Target="media/image28.emf"/><Relationship Id="rId60" Type="http://schemas.openxmlformats.org/officeDocument/2006/relationships/image" Target="media/image32.wmf"/><Relationship Id="rId65" Type="http://schemas.openxmlformats.org/officeDocument/2006/relationships/oleObject" Target="embeddings/oleObject27.bin"/><Relationship Id="rId73" Type="http://schemas.openxmlformats.org/officeDocument/2006/relationships/oleObject" Target="embeddings/oleObject32.bin"/><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oleObject" Target="embeddings/oleObject22.bin"/><Relationship Id="rId64" Type="http://schemas.openxmlformats.org/officeDocument/2006/relationships/image" Target="media/image34.wmf"/><Relationship Id="rId69" Type="http://schemas.openxmlformats.org/officeDocument/2006/relationships/image" Target="media/image36.wmf"/><Relationship Id="rId8" Type="http://schemas.openxmlformats.org/officeDocument/2006/relationships/image" Target="media/image4.emf"/><Relationship Id="rId51" Type="http://schemas.openxmlformats.org/officeDocument/2006/relationships/image" Target="media/image27.wmf"/><Relationship Id="rId72" Type="http://schemas.openxmlformats.org/officeDocument/2006/relationships/oleObject" Target="embeddings/oleObject31.bin"/><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image" Target="media/image24.wmf"/><Relationship Id="rId59" Type="http://schemas.openxmlformats.org/officeDocument/2006/relationships/oleObject" Target="embeddings/oleObject24.bin"/><Relationship Id="rId67" Type="http://schemas.openxmlformats.org/officeDocument/2006/relationships/image" Target="media/image35.wmf"/><Relationship Id="rId20" Type="http://schemas.openxmlformats.org/officeDocument/2006/relationships/image" Target="media/image11.wmf"/><Relationship Id="rId41" Type="http://schemas.openxmlformats.org/officeDocument/2006/relationships/oleObject" Target="embeddings/oleObject16.bin"/><Relationship Id="rId54" Type="http://schemas.openxmlformats.org/officeDocument/2006/relationships/oleObject" Target="embeddings/oleObject21.bin"/><Relationship Id="rId62" Type="http://schemas.openxmlformats.org/officeDocument/2006/relationships/image" Target="media/image33.wmf"/><Relationship Id="rId70" Type="http://schemas.openxmlformats.org/officeDocument/2006/relationships/oleObject" Target="embeddings/oleObject30.bin"/><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2805</Words>
  <Characters>15994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ANALISIS ESTADISTICO EXPLRATORIO PARA LA CREACION DEL AREA DE HEMODINAMIA EN EL HOSPITAL NAVAL DE GUAYAQUIL</vt:lpstr>
    </vt:vector>
  </TitlesOfParts>
  <Company>CRZ</Company>
  <LinksUpToDate>false</LinksUpToDate>
  <CharactersWithSpaces>18762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ANALISIS ESTADISTICO EXPLRATORIO PARA LA CREACION DEL AREA DE HEMODINAMIA EN EL HOSPITAL NAVAL DE GUAYAQUIL</dc:title>
  <dc:subject/>
  <dc:creator>Ing. Víctor Avilés Sotomayor</dc:creator>
  <cp:keywords/>
  <dc:description/>
  <cp:lastModifiedBy>ehernand</cp:lastModifiedBy>
  <cp:revision>2</cp:revision>
  <cp:lastPrinted>2004-12-13T20:44:00Z</cp:lastPrinted>
  <dcterms:created xsi:type="dcterms:W3CDTF">2010-08-11T17:56:00Z</dcterms:created>
  <dcterms:modified xsi:type="dcterms:W3CDTF">2010-08-11T17:56:00Z</dcterms:modified>
</cp:coreProperties>
</file>