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BDF" w:rsidRPr="00C157E4" w:rsidRDefault="00AA4BDF" w:rsidP="0037025B">
      <w:pPr>
        <w:spacing w:after="0" w:line="240" w:lineRule="auto"/>
        <w:jc w:val="center"/>
        <w:rPr>
          <w:b/>
        </w:rPr>
      </w:pPr>
      <w:r w:rsidRPr="00C157E4">
        <w:rPr>
          <w:b/>
        </w:rPr>
        <w:t>INSTITUTO DE CIENCIAS MATEMÁTICAS – CARRERA DE AUDITORIA</w:t>
      </w:r>
    </w:p>
    <w:p w:rsidR="00AA4BDF" w:rsidRDefault="00AA4BDF" w:rsidP="0037025B">
      <w:pPr>
        <w:spacing w:after="0" w:line="240" w:lineRule="auto"/>
        <w:jc w:val="center"/>
        <w:rPr>
          <w:b/>
        </w:rPr>
      </w:pPr>
      <w:r w:rsidRPr="00C157E4">
        <w:rPr>
          <w:b/>
        </w:rPr>
        <w:t>EXAMEN PRIMER PARCIAL</w:t>
      </w:r>
    </w:p>
    <w:p w:rsidR="00AA4BDF" w:rsidRDefault="00AA4BDF" w:rsidP="0037025B">
      <w:pPr>
        <w:spacing w:after="0" w:line="240" w:lineRule="auto"/>
        <w:rPr>
          <w:b/>
        </w:rPr>
      </w:pPr>
    </w:p>
    <w:p w:rsidR="00FB4449" w:rsidRDefault="00AA4BDF" w:rsidP="0037025B">
      <w:pPr>
        <w:spacing w:after="0" w:line="240" w:lineRule="auto"/>
        <w:rPr>
          <w:b/>
        </w:rPr>
      </w:pPr>
      <w:r>
        <w:rPr>
          <w:b/>
        </w:rPr>
        <w:t xml:space="preserve">Nombre: ___________________________________________         Fecha: 07/Diciembre/2011       </w:t>
      </w:r>
    </w:p>
    <w:p w:rsidR="00FB4449" w:rsidRDefault="00FB4449" w:rsidP="0037025B">
      <w:pPr>
        <w:spacing w:after="0" w:line="240" w:lineRule="auto"/>
        <w:rPr>
          <w:b/>
        </w:rPr>
      </w:pPr>
    </w:p>
    <w:p w:rsidR="00AA4BDF" w:rsidRDefault="00AA4BDF" w:rsidP="0037025B">
      <w:pPr>
        <w:spacing w:after="0" w:line="240" w:lineRule="auto"/>
        <w:rPr>
          <w:b/>
        </w:rPr>
      </w:pPr>
      <w:r>
        <w:rPr>
          <w:b/>
        </w:rPr>
        <w:t>(TOTAL CI</w:t>
      </w:r>
      <w:r w:rsidR="000D3122">
        <w:rPr>
          <w:b/>
        </w:rPr>
        <w:t>EN</w:t>
      </w:r>
      <w:r>
        <w:rPr>
          <w:b/>
        </w:rPr>
        <w:t xml:space="preserve"> PUNTOS)</w:t>
      </w:r>
    </w:p>
    <w:p w:rsidR="00AA4BDF" w:rsidRDefault="00AA4BDF" w:rsidP="0037025B">
      <w:pPr>
        <w:spacing w:after="0" w:line="240" w:lineRule="auto"/>
        <w:rPr>
          <w:b/>
        </w:rPr>
      </w:pPr>
    </w:p>
    <w:p w:rsidR="00AA4BDF" w:rsidRPr="00351FF0" w:rsidRDefault="0037025B" w:rsidP="0037025B">
      <w:pPr>
        <w:spacing w:after="0" w:line="240" w:lineRule="auto"/>
        <w:jc w:val="both"/>
        <w:rPr>
          <w:b/>
        </w:rPr>
      </w:pPr>
      <w:r>
        <w:rPr>
          <w:b/>
        </w:rPr>
        <w:t xml:space="preserve">Tema 1: </w:t>
      </w:r>
      <w:r w:rsidRPr="0037025B">
        <w:rPr>
          <w:b/>
        </w:rPr>
        <w:t>Responda los siguientes ítems</w:t>
      </w:r>
      <w:r w:rsidR="009114A5">
        <w:rPr>
          <w:b/>
        </w:rPr>
        <w:t xml:space="preserve"> sobre el conocimiento del </w:t>
      </w:r>
      <w:r>
        <w:rPr>
          <w:b/>
        </w:rPr>
        <w:t xml:space="preserve">negocio. </w:t>
      </w:r>
      <w:r w:rsidR="00AA4BDF">
        <w:rPr>
          <w:b/>
        </w:rPr>
        <w:t>(</w:t>
      </w:r>
      <w:r w:rsidR="009114A5">
        <w:rPr>
          <w:b/>
        </w:rPr>
        <w:t xml:space="preserve">Treinta </w:t>
      </w:r>
      <w:r w:rsidR="00AA4BDF">
        <w:rPr>
          <w:b/>
        </w:rPr>
        <w:t>puntos)</w:t>
      </w:r>
    </w:p>
    <w:p w:rsidR="00FB4449" w:rsidRDefault="00FB4449" w:rsidP="0037025B">
      <w:pPr>
        <w:spacing w:after="0" w:line="240" w:lineRule="auto"/>
        <w:jc w:val="both"/>
      </w:pPr>
      <w:r>
        <w:t xml:space="preserve">A Mary </w:t>
      </w:r>
      <w:proofErr w:type="spellStart"/>
      <w:r>
        <w:t>Deming</w:t>
      </w:r>
      <w:proofErr w:type="spellEnd"/>
      <w:r>
        <w:t xml:space="preserve"> le pidieron que acepte auditar una institución financiera pequeña. Nunca antes ha auditado este tipo de institución.</w:t>
      </w:r>
      <w:r w:rsidR="0037025B">
        <w:t xml:space="preserve"> </w:t>
      </w:r>
    </w:p>
    <w:p w:rsidR="00FB4449" w:rsidRDefault="00FB4449" w:rsidP="0037025B">
      <w:pPr>
        <w:pStyle w:val="Prrafodelista"/>
        <w:numPr>
          <w:ilvl w:val="0"/>
          <w:numId w:val="1"/>
        </w:numPr>
        <w:spacing w:after="0" w:line="240" w:lineRule="auto"/>
        <w:contextualSpacing w:val="0"/>
        <w:jc w:val="both"/>
      </w:pPr>
      <w:r>
        <w:t xml:space="preserve">Describir los aspectos del conocimiento del cliente potencial y de su entorno que </w:t>
      </w:r>
      <w:proofErr w:type="spellStart"/>
      <w:r>
        <w:t>Deming</w:t>
      </w:r>
      <w:proofErr w:type="spellEnd"/>
      <w:r>
        <w:t xml:space="preserve"> debería obtener </w:t>
      </w:r>
      <w:r w:rsidR="0037025B">
        <w:t xml:space="preserve">de la institución financiera </w:t>
      </w:r>
      <w:r>
        <w:t>para planear la auditoría.</w:t>
      </w:r>
    </w:p>
    <w:p w:rsidR="00FB4449" w:rsidRDefault="00FB4449" w:rsidP="0037025B">
      <w:pPr>
        <w:pStyle w:val="Prrafodelista"/>
        <w:numPr>
          <w:ilvl w:val="0"/>
          <w:numId w:val="1"/>
        </w:numPr>
        <w:spacing w:after="0" w:line="240" w:lineRule="auto"/>
        <w:contextualSpacing w:val="0"/>
        <w:jc w:val="both"/>
      </w:pPr>
      <w:r>
        <w:t xml:space="preserve">Explicar cómo </w:t>
      </w:r>
      <w:proofErr w:type="spellStart"/>
      <w:r>
        <w:t>Deming</w:t>
      </w:r>
      <w:proofErr w:type="spellEnd"/>
      <w:r>
        <w:t xml:space="preserve"> puede obtener esa información.</w:t>
      </w:r>
    </w:p>
    <w:p w:rsidR="00FB4449" w:rsidRDefault="00FB4449" w:rsidP="0037025B">
      <w:pPr>
        <w:pStyle w:val="Prrafodelista"/>
        <w:numPr>
          <w:ilvl w:val="0"/>
          <w:numId w:val="1"/>
        </w:numPr>
        <w:spacing w:after="0" w:line="240" w:lineRule="auto"/>
        <w:contextualSpacing w:val="0"/>
        <w:jc w:val="both"/>
      </w:pPr>
      <w:r>
        <w:t xml:space="preserve">Explicar cómo este conocimiento le ayudará a </w:t>
      </w:r>
      <w:proofErr w:type="spellStart"/>
      <w:r>
        <w:t>Deming</w:t>
      </w:r>
      <w:proofErr w:type="spellEnd"/>
      <w:r>
        <w:t xml:space="preserve"> a planear y a realizar una auditoría conforme a las normas de auditoría generalmente aceptadas.</w:t>
      </w:r>
    </w:p>
    <w:p w:rsidR="00057FF0" w:rsidRDefault="00057FF0" w:rsidP="0037025B">
      <w:pPr>
        <w:spacing w:after="0" w:line="240" w:lineRule="auto"/>
        <w:jc w:val="both"/>
        <w:rPr>
          <w:b/>
        </w:rPr>
      </w:pPr>
    </w:p>
    <w:p w:rsidR="00271678" w:rsidRPr="0037025B" w:rsidRDefault="0037025B" w:rsidP="0037025B">
      <w:pPr>
        <w:spacing w:after="0" w:line="240" w:lineRule="auto"/>
        <w:jc w:val="both"/>
        <w:rPr>
          <w:b/>
        </w:rPr>
      </w:pPr>
      <w:r w:rsidRPr="0037025B">
        <w:rPr>
          <w:b/>
        </w:rPr>
        <w:t>Tema 2: Seleccione la mejor respuesta de los siguientes casos. Explique los motivos de su selección. (</w:t>
      </w:r>
      <w:r w:rsidR="009114A5">
        <w:rPr>
          <w:b/>
        </w:rPr>
        <w:t>Veinte</w:t>
      </w:r>
      <w:r w:rsidRPr="0037025B">
        <w:rPr>
          <w:b/>
        </w:rPr>
        <w:t xml:space="preserve"> puntos)</w:t>
      </w:r>
    </w:p>
    <w:p w:rsidR="00057FF0" w:rsidRDefault="00057FF0" w:rsidP="0037025B">
      <w:pPr>
        <w:spacing w:after="0" w:line="240" w:lineRule="auto"/>
        <w:jc w:val="both"/>
      </w:pPr>
    </w:p>
    <w:p w:rsidR="00271678" w:rsidRDefault="0037025B" w:rsidP="0037025B">
      <w:pPr>
        <w:spacing w:after="0" w:line="240" w:lineRule="auto"/>
        <w:jc w:val="both"/>
      </w:pPr>
      <w:r>
        <w:t xml:space="preserve">2.1 </w:t>
      </w:r>
      <w:r w:rsidR="00271678">
        <w:t>¿Cuál de los siguientes aspectos no debería incluirse normalmente en la carta compromiso de auditoría?</w:t>
      </w:r>
    </w:p>
    <w:p w:rsidR="00271678" w:rsidRDefault="00271678" w:rsidP="0037025B">
      <w:pPr>
        <w:pStyle w:val="Prrafodelista"/>
        <w:numPr>
          <w:ilvl w:val="0"/>
          <w:numId w:val="2"/>
        </w:numPr>
        <w:spacing w:after="0" w:line="240" w:lineRule="auto"/>
        <w:contextualSpacing w:val="0"/>
        <w:jc w:val="both"/>
      </w:pPr>
      <w:r>
        <w:t>Una descripción de las tareas del personal del cliente de ofrecer asistencia</w:t>
      </w:r>
    </w:p>
    <w:p w:rsidR="00271678" w:rsidRDefault="00271678" w:rsidP="0037025B">
      <w:pPr>
        <w:pStyle w:val="Prrafodelista"/>
        <w:numPr>
          <w:ilvl w:val="0"/>
          <w:numId w:val="2"/>
        </w:numPr>
        <w:spacing w:after="0" w:line="240" w:lineRule="auto"/>
        <w:contextualSpacing w:val="0"/>
        <w:jc w:val="both"/>
      </w:pPr>
      <w:r>
        <w:t>Una indicación del importe de los honorarios de la auditoría.</w:t>
      </w:r>
    </w:p>
    <w:p w:rsidR="00271678" w:rsidRDefault="00271678" w:rsidP="0037025B">
      <w:pPr>
        <w:pStyle w:val="Prrafodelista"/>
        <w:numPr>
          <w:ilvl w:val="0"/>
          <w:numId w:val="2"/>
        </w:numPr>
        <w:spacing w:after="0" w:line="240" w:lineRule="auto"/>
        <w:contextualSpacing w:val="0"/>
        <w:jc w:val="both"/>
      </w:pPr>
      <w:r>
        <w:t>Una descripción de las limitaciones de la auditoría.</w:t>
      </w:r>
    </w:p>
    <w:p w:rsidR="00271678" w:rsidRDefault="00271678" w:rsidP="0037025B">
      <w:pPr>
        <w:pStyle w:val="Prrafodelista"/>
        <w:numPr>
          <w:ilvl w:val="0"/>
          <w:numId w:val="2"/>
        </w:numPr>
        <w:spacing w:after="0" w:line="240" w:lineRule="auto"/>
        <w:contextualSpacing w:val="0"/>
        <w:jc w:val="both"/>
      </w:pPr>
      <w:r>
        <w:t>Una lista de las sucursales del cliente seleccionadas para la prueba.</w:t>
      </w:r>
    </w:p>
    <w:p w:rsidR="00057FF0" w:rsidRDefault="00057FF0" w:rsidP="0037025B">
      <w:pPr>
        <w:spacing w:after="0" w:line="240" w:lineRule="auto"/>
        <w:jc w:val="both"/>
      </w:pPr>
    </w:p>
    <w:p w:rsidR="009E5CE6" w:rsidRDefault="0037025B" w:rsidP="0037025B">
      <w:pPr>
        <w:spacing w:after="0" w:line="240" w:lineRule="auto"/>
        <w:jc w:val="both"/>
      </w:pPr>
      <w:r>
        <w:t xml:space="preserve">2.2 </w:t>
      </w:r>
      <w:r w:rsidR="00271678">
        <w:t>Como un paso al probar las transacciones de ventas, el contador público certificado sigue la pista de una muestra aleatoria en los asientos del diario de ventas hasta los cargos en el mayor auxiliar. Esta prueba ofrece evidencia sobre lo siguiente</w:t>
      </w:r>
      <w:r w:rsidR="009E5CE6">
        <w:t>:</w:t>
      </w:r>
    </w:p>
    <w:p w:rsidR="009E5CE6" w:rsidRDefault="009E5CE6" w:rsidP="0037025B">
      <w:pPr>
        <w:pStyle w:val="Prrafodelista"/>
        <w:numPr>
          <w:ilvl w:val="0"/>
          <w:numId w:val="3"/>
        </w:numPr>
        <w:spacing w:after="0" w:line="240" w:lineRule="auto"/>
        <w:contextualSpacing w:val="0"/>
        <w:jc w:val="both"/>
      </w:pPr>
      <w:r>
        <w:t>Las ventas registradas representan una transacción de buena fe.</w:t>
      </w:r>
    </w:p>
    <w:p w:rsidR="009E5CE6" w:rsidRDefault="009E5CE6" w:rsidP="0037025B">
      <w:pPr>
        <w:pStyle w:val="Prrafodelista"/>
        <w:numPr>
          <w:ilvl w:val="0"/>
          <w:numId w:val="3"/>
        </w:numPr>
        <w:spacing w:after="0" w:line="240" w:lineRule="auto"/>
        <w:contextualSpacing w:val="0"/>
        <w:jc w:val="both"/>
      </w:pPr>
      <w:r>
        <w:t>Todas las ventas han sido anotadas en el diario de ventas.</w:t>
      </w:r>
    </w:p>
    <w:p w:rsidR="00271678" w:rsidRDefault="009E5CE6" w:rsidP="0037025B">
      <w:pPr>
        <w:pStyle w:val="Prrafodelista"/>
        <w:numPr>
          <w:ilvl w:val="0"/>
          <w:numId w:val="3"/>
        </w:numPr>
        <w:spacing w:after="0" w:line="240" w:lineRule="auto"/>
        <w:contextualSpacing w:val="0"/>
        <w:jc w:val="both"/>
      </w:pPr>
      <w:r>
        <w:t>Todos los asientos de cargo en el auxiliar de cuentas por cobrar están debidamente soportados por los asientos en el diario de ventas.</w:t>
      </w:r>
    </w:p>
    <w:p w:rsidR="009E5CE6" w:rsidRDefault="009E5CE6" w:rsidP="0037025B">
      <w:pPr>
        <w:pStyle w:val="Prrafodelista"/>
        <w:numPr>
          <w:ilvl w:val="0"/>
          <w:numId w:val="3"/>
        </w:numPr>
        <w:spacing w:after="0" w:line="240" w:lineRule="auto"/>
        <w:contextualSpacing w:val="0"/>
        <w:jc w:val="both"/>
      </w:pPr>
      <w:r>
        <w:t>Las ventas han sido debidamente asentadas en las cuentas de los clientes.</w:t>
      </w:r>
    </w:p>
    <w:p w:rsidR="009E5CE6" w:rsidRDefault="009E5CE6" w:rsidP="0037025B">
      <w:pPr>
        <w:spacing w:after="0" w:line="240" w:lineRule="auto"/>
        <w:jc w:val="both"/>
      </w:pPr>
    </w:p>
    <w:p w:rsidR="006667F7" w:rsidRPr="00D80E5F" w:rsidRDefault="006667F7" w:rsidP="0037025B">
      <w:pPr>
        <w:spacing w:after="0" w:line="240" w:lineRule="auto"/>
        <w:jc w:val="both"/>
        <w:rPr>
          <w:b/>
        </w:rPr>
      </w:pPr>
      <w:r w:rsidRPr="00D80E5F">
        <w:rPr>
          <w:b/>
        </w:rPr>
        <w:t xml:space="preserve">Tema 3: </w:t>
      </w:r>
      <w:r w:rsidR="00D80E5F" w:rsidRPr="00D80E5F">
        <w:rPr>
          <w:b/>
        </w:rPr>
        <w:t>Analice los siguientes aspectos del Control Interno de una compañía</w:t>
      </w:r>
      <w:r w:rsidR="00D80E5F">
        <w:rPr>
          <w:b/>
        </w:rPr>
        <w:t>.</w:t>
      </w:r>
      <w:r w:rsidR="00D80E5F" w:rsidRPr="00D80E5F">
        <w:rPr>
          <w:b/>
        </w:rPr>
        <w:t xml:space="preserve"> (</w:t>
      </w:r>
      <w:r w:rsidR="00B01543">
        <w:rPr>
          <w:b/>
        </w:rPr>
        <w:t>Diez</w:t>
      </w:r>
      <w:r w:rsidR="00D80E5F" w:rsidRPr="00D80E5F">
        <w:rPr>
          <w:b/>
        </w:rPr>
        <w:t xml:space="preserve"> puntos)</w:t>
      </w:r>
    </w:p>
    <w:p w:rsidR="006667F7" w:rsidRDefault="006667F7" w:rsidP="0037025B">
      <w:pPr>
        <w:spacing w:after="0" w:line="240" w:lineRule="auto"/>
        <w:jc w:val="both"/>
      </w:pPr>
      <w:r>
        <w:t xml:space="preserve">A continuación se incluyen los controles ideados para administrar </w:t>
      </w:r>
      <w:proofErr w:type="spellStart"/>
      <w:r>
        <w:t>Cirus</w:t>
      </w:r>
      <w:proofErr w:type="spellEnd"/>
      <w:r>
        <w:t xml:space="preserve"> </w:t>
      </w:r>
      <w:proofErr w:type="spellStart"/>
      <w:r>
        <w:t>Manufacturing</w:t>
      </w:r>
      <w:proofErr w:type="spellEnd"/>
      <w:r>
        <w:t xml:space="preserve"> </w:t>
      </w:r>
      <w:proofErr w:type="spellStart"/>
      <w:r>
        <w:t>C</w:t>
      </w:r>
      <w:r w:rsidR="00D80E5F">
        <w:t>ia</w:t>
      </w:r>
      <w:proofErr w:type="spellEnd"/>
      <w:r w:rsidR="00D80E5F">
        <w:t>.</w:t>
      </w:r>
    </w:p>
    <w:p w:rsidR="00D80E5F" w:rsidRDefault="00D80E5F" w:rsidP="00D80E5F">
      <w:pPr>
        <w:pStyle w:val="Prrafodelista"/>
        <w:numPr>
          <w:ilvl w:val="0"/>
          <w:numId w:val="4"/>
        </w:numPr>
        <w:spacing w:after="0" w:line="240" w:lineRule="auto"/>
        <w:jc w:val="both"/>
      </w:pPr>
      <w:r>
        <w:t>Los ejecutivos encuestan a los clientes respecto a su satisfacción con el servicio de la compañía.</w:t>
      </w:r>
    </w:p>
    <w:p w:rsidR="00D80E5F" w:rsidRDefault="00D80E5F" w:rsidP="00D80E5F">
      <w:pPr>
        <w:pStyle w:val="Prrafodelista"/>
        <w:numPr>
          <w:ilvl w:val="0"/>
          <w:numId w:val="4"/>
        </w:numPr>
        <w:spacing w:after="0" w:line="240" w:lineRule="auto"/>
        <w:jc w:val="both"/>
      </w:pPr>
      <w:r>
        <w:t>El departamento de recursos humanos investiga la escolaridad de los candidatos a los puestos.</w:t>
      </w:r>
    </w:p>
    <w:p w:rsidR="00D80E5F" w:rsidRDefault="00D80E5F" w:rsidP="00D80E5F">
      <w:pPr>
        <w:pStyle w:val="Prrafodelista"/>
        <w:numPr>
          <w:ilvl w:val="0"/>
          <w:numId w:val="4"/>
        </w:numPr>
        <w:spacing w:after="0" w:line="240" w:lineRule="auto"/>
        <w:jc w:val="both"/>
      </w:pPr>
      <w:r>
        <w:t>Se revisa la veracidad de las facturas antes de enviarlas a los clientes.</w:t>
      </w:r>
    </w:p>
    <w:p w:rsidR="00D80E5F" w:rsidRDefault="00D80E5F" w:rsidP="00D80E5F">
      <w:pPr>
        <w:pStyle w:val="Prrafodelista"/>
        <w:numPr>
          <w:ilvl w:val="0"/>
          <w:numId w:val="4"/>
        </w:numPr>
        <w:spacing w:after="0" w:line="240" w:lineRule="auto"/>
        <w:jc w:val="both"/>
      </w:pPr>
      <w:r>
        <w:t>Los directivos evalúan periódicamente los riesgos que enfrentan al preparar estados financieros contables.</w:t>
      </w:r>
    </w:p>
    <w:p w:rsidR="00D80E5F" w:rsidRDefault="00D80E5F" w:rsidP="00D80E5F">
      <w:pPr>
        <w:pStyle w:val="Prrafodelista"/>
        <w:numPr>
          <w:ilvl w:val="0"/>
          <w:numId w:val="4"/>
        </w:numPr>
        <w:spacing w:after="0" w:line="240" w:lineRule="auto"/>
        <w:jc w:val="both"/>
      </w:pPr>
      <w:r>
        <w:t>Los auditores internos evalúan periódicamente los controles en varios departamentos de la compañía.</w:t>
      </w:r>
    </w:p>
    <w:p w:rsidR="00D80E5F" w:rsidRDefault="00D80E5F" w:rsidP="00D80E5F">
      <w:pPr>
        <w:pStyle w:val="Prrafodelista"/>
        <w:numPr>
          <w:ilvl w:val="0"/>
          <w:numId w:val="4"/>
        </w:numPr>
        <w:spacing w:after="0" w:line="240" w:lineRule="auto"/>
        <w:jc w:val="both"/>
      </w:pPr>
      <w:r>
        <w:t>La gerencia preparó y distribuyó un código de conducta.</w:t>
      </w:r>
    </w:p>
    <w:p w:rsidR="00D80E5F" w:rsidRDefault="00D80E5F" w:rsidP="00D80E5F">
      <w:pPr>
        <w:pStyle w:val="Prrafodelista"/>
        <w:numPr>
          <w:ilvl w:val="0"/>
          <w:numId w:val="4"/>
        </w:numPr>
        <w:spacing w:after="0" w:line="240" w:lineRule="auto"/>
        <w:jc w:val="both"/>
      </w:pPr>
      <w:r>
        <w:t>Los presupuestos y los pronósticos son utilizados por el departamento de producción para controlar los gastos.</w:t>
      </w:r>
    </w:p>
    <w:p w:rsidR="00D80E5F" w:rsidRDefault="00D80E5F" w:rsidP="00D80E5F">
      <w:pPr>
        <w:pStyle w:val="Prrafodelista"/>
        <w:numPr>
          <w:ilvl w:val="0"/>
          <w:numId w:val="4"/>
        </w:numPr>
        <w:spacing w:after="0" w:line="240" w:lineRule="auto"/>
        <w:jc w:val="both"/>
      </w:pPr>
      <w:r>
        <w:t>El departamento de contabilidad cuenta con un manual de políticas y procedimientos contables.</w:t>
      </w:r>
    </w:p>
    <w:p w:rsidR="00D80E5F" w:rsidRDefault="00D80E5F" w:rsidP="00D80E5F">
      <w:pPr>
        <w:pStyle w:val="Prrafodelista"/>
        <w:numPr>
          <w:ilvl w:val="0"/>
          <w:numId w:val="4"/>
        </w:numPr>
        <w:spacing w:after="0" w:line="240" w:lineRule="auto"/>
        <w:jc w:val="both"/>
      </w:pPr>
      <w:r>
        <w:t>El personal de seguridad controla rigurosamente el acceso a la bodega.</w:t>
      </w:r>
    </w:p>
    <w:p w:rsidR="00D80E5F" w:rsidRDefault="00D80E5F" w:rsidP="00D80E5F">
      <w:pPr>
        <w:pStyle w:val="Prrafodelista"/>
        <w:numPr>
          <w:ilvl w:val="0"/>
          <w:numId w:val="4"/>
        </w:numPr>
        <w:spacing w:after="0" w:line="240" w:lineRule="auto"/>
        <w:jc w:val="both"/>
      </w:pPr>
      <w:r>
        <w:t>La gerencia preparó y distribuyó un organigrama.</w:t>
      </w:r>
    </w:p>
    <w:p w:rsidR="00D80E5F" w:rsidRDefault="00D80E5F" w:rsidP="0037025B">
      <w:pPr>
        <w:spacing w:after="0" w:line="240" w:lineRule="auto"/>
        <w:jc w:val="both"/>
      </w:pPr>
      <w:r>
        <w:t>En cada control identificar el componente de control interno</w:t>
      </w:r>
      <w:r w:rsidR="00B01543">
        <w:t xml:space="preserve"> relacionado</w:t>
      </w:r>
      <w:r>
        <w:t>.</w:t>
      </w:r>
    </w:p>
    <w:p w:rsidR="000D3122" w:rsidRDefault="000D3122" w:rsidP="0037025B">
      <w:pPr>
        <w:spacing w:after="0" w:line="240" w:lineRule="auto"/>
        <w:jc w:val="both"/>
        <w:rPr>
          <w:b/>
        </w:rPr>
      </w:pPr>
      <w:r w:rsidRPr="009114A5">
        <w:rPr>
          <w:b/>
        </w:rPr>
        <w:lastRenderedPageBreak/>
        <w:t xml:space="preserve">Tema 4: </w:t>
      </w:r>
      <w:r w:rsidR="00B01543">
        <w:rPr>
          <w:b/>
        </w:rPr>
        <w:t>Preparación de flujos de procesos (</w:t>
      </w:r>
      <w:r w:rsidR="001F30DE">
        <w:rPr>
          <w:b/>
        </w:rPr>
        <w:t>Quince</w:t>
      </w:r>
      <w:r w:rsidR="00B01543">
        <w:rPr>
          <w:b/>
        </w:rPr>
        <w:t xml:space="preserve"> puntos)</w:t>
      </w:r>
    </w:p>
    <w:p w:rsidR="00B01543" w:rsidRDefault="00B01543" w:rsidP="0037025B">
      <w:pPr>
        <w:spacing w:after="0" w:line="240" w:lineRule="auto"/>
        <w:jc w:val="both"/>
      </w:pPr>
      <w:r>
        <w:t xml:space="preserve">Orange </w:t>
      </w:r>
      <w:proofErr w:type="spellStart"/>
      <w:r>
        <w:t>Corporation</w:t>
      </w:r>
      <w:proofErr w:type="spellEnd"/>
      <w:r>
        <w:t>, una compañía de alta tecnología, utiliza los siguientes procedimientos para registrar los materiales y transferirlos al trabajo en proceso.</w:t>
      </w:r>
    </w:p>
    <w:p w:rsidR="00B01543" w:rsidRDefault="00B01543" w:rsidP="00B01543">
      <w:pPr>
        <w:pStyle w:val="Prrafodelista"/>
        <w:numPr>
          <w:ilvl w:val="0"/>
          <w:numId w:val="5"/>
        </w:numPr>
        <w:spacing w:after="0" w:line="240" w:lineRule="auto"/>
        <w:jc w:val="both"/>
      </w:pPr>
      <w:r>
        <w:t>Una vez recibidas las materias primas por las tiendas, el tendero prepara un informe de existencias con el número y la cantidad de piezas, archiva el original por fecha y envía una copia a contabilidad.</w:t>
      </w:r>
    </w:p>
    <w:p w:rsidR="00B01543" w:rsidRDefault="00B01543" w:rsidP="00B01543">
      <w:pPr>
        <w:pStyle w:val="Prrafodelista"/>
        <w:numPr>
          <w:ilvl w:val="0"/>
          <w:numId w:val="5"/>
        </w:numPr>
        <w:spacing w:after="0" w:line="240" w:lineRule="auto"/>
        <w:jc w:val="both"/>
      </w:pPr>
      <w:r>
        <w:t>El encargado del inventario utiliza el informe de existencias para asentar los registros del inventario perpetuo usando los costos estándar; después archiva  el informe de existencias por fecha.</w:t>
      </w:r>
    </w:p>
    <w:p w:rsidR="00B01543" w:rsidRDefault="00B01543" w:rsidP="00B01543">
      <w:pPr>
        <w:pStyle w:val="Prrafodelista"/>
        <w:numPr>
          <w:ilvl w:val="0"/>
          <w:numId w:val="5"/>
        </w:numPr>
        <w:spacing w:after="0" w:line="240" w:lineRule="auto"/>
        <w:jc w:val="both"/>
      </w:pPr>
      <w:r>
        <w:t>El encargado de producción prepara las requisiciones de materias primas, que muestran el número y la cantidad de piezas; las aprueba el supervisor de producción. Se envía una copia de la requisición a contabilidad y el original se archiva por orden de trabajo.</w:t>
      </w:r>
    </w:p>
    <w:p w:rsidR="00B01543" w:rsidRDefault="00B01543" w:rsidP="00B01543">
      <w:pPr>
        <w:pStyle w:val="Prrafodelista"/>
        <w:numPr>
          <w:ilvl w:val="0"/>
          <w:numId w:val="5"/>
        </w:numPr>
        <w:spacing w:after="0" w:line="240" w:lineRule="auto"/>
        <w:jc w:val="both"/>
      </w:pPr>
      <w:r>
        <w:t>El encargado del inventario revisa la integridad de las requisiciones, transfiere el costo de las materias primas al trabajo en proceso y archiva la requisición por fecha.</w:t>
      </w:r>
    </w:p>
    <w:p w:rsidR="00B01543" w:rsidRDefault="00B01543" w:rsidP="00B01543">
      <w:pPr>
        <w:spacing w:after="0" w:line="240" w:lineRule="auto"/>
        <w:jc w:val="both"/>
      </w:pPr>
    </w:p>
    <w:p w:rsidR="00B01543" w:rsidRDefault="00B01543" w:rsidP="00B01543">
      <w:pPr>
        <w:spacing w:after="0" w:line="240" w:lineRule="auto"/>
        <w:jc w:val="both"/>
      </w:pPr>
      <w:r>
        <w:t>Preparar un diagrama de flujo que describa el sistema con que se registran las materias primas y con que se transfieren al trabajo en proceso.</w:t>
      </w:r>
    </w:p>
    <w:p w:rsidR="00B01543" w:rsidRDefault="00B01543" w:rsidP="00B01543">
      <w:pPr>
        <w:spacing w:after="0" w:line="240" w:lineRule="auto"/>
        <w:jc w:val="both"/>
      </w:pPr>
    </w:p>
    <w:p w:rsidR="00B01543" w:rsidRDefault="00B01543" w:rsidP="00B01543">
      <w:pPr>
        <w:spacing w:after="0" w:line="240" w:lineRule="auto"/>
        <w:jc w:val="both"/>
        <w:rPr>
          <w:b/>
        </w:rPr>
      </w:pPr>
      <w:r w:rsidRPr="003742A6">
        <w:rPr>
          <w:b/>
        </w:rPr>
        <w:t xml:space="preserve">Tema 5: </w:t>
      </w:r>
      <w:r w:rsidR="003742A6" w:rsidRPr="003742A6">
        <w:rPr>
          <w:b/>
        </w:rPr>
        <w:t>Muestreo de Auditoría (Veint</w:t>
      </w:r>
      <w:r w:rsidR="001F30DE">
        <w:rPr>
          <w:b/>
        </w:rPr>
        <w:t>icinco</w:t>
      </w:r>
      <w:r w:rsidR="003742A6" w:rsidRPr="003742A6">
        <w:rPr>
          <w:b/>
        </w:rPr>
        <w:t xml:space="preserve"> puntos)</w:t>
      </w:r>
    </w:p>
    <w:p w:rsidR="003742A6" w:rsidRDefault="00031E8F" w:rsidP="00B01543">
      <w:pPr>
        <w:spacing w:after="0" w:line="240" w:lineRule="auto"/>
        <w:jc w:val="both"/>
      </w:pPr>
      <w:r>
        <w:t>Mediante el muestreo de media por unidad los auditores quieren evaluar la verosimilitud del valor en libros de las cuentas por cobrar de Smith Inc. Esta compañía tiene 10,000 cuentas por cobrar con un valor total en libros de $1’500,000. Estiman que la desviación estándar de la población es $25. Tras examinar el plan global de auditoría, creen que el error tolerable de la cuenta es $60,000 y que un riesgo de rechazo incorrecto del 5% y un riesgo de aceptación incorrecta del 10% son adecuados.</w:t>
      </w:r>
    </w:p>
    <w:p w:rsidR="00031E8F" w:rsidRDefault="00031E8F" w:rsidP="00031E8F">
      <w:pPr>
        <w:pStyle w:val="Prrafodelista"/>
        <w:numPr>
          <w:ilvl w:val="0"/>
          <w:numId w:val="6"/>
        </w:numPr>
        <w:spacing w:after="0" w:line="240" w:lineRule="auto"/>
        <w:jc w:val="both"/>
      </w:pPr>
      <w:r>
        <w:t>Calcular el tamaño requerido de la muestra</w:t>
      </w:r>
    </w:p>
    <w:p w:rsidR="00031E8F" w:rsidRDefault="00031E8F" w:rsidP="00B01543">
      <w:pPr>
        <w:spacing w:after="0" w:line="240" w:lineRule="auto"/>
        <w:jc w:val="both"/>
      </w:pPr>
      <w:r>
        <w:t xml:space="preserve">Suponer los siguientes resultados: El valor auditado promedio es $146 y la </w:t>
      </w:r>
      <w:r w:rsidR="00A970AC">
        <w:t>d</w:t>
      </w:r>
      <w:r>
        <w:t>esviación estándar de la muestra es $28</w:t>
      </w:r>
    </w:p>
    <w:p w:rsidR="00031E8F" w:rsidRDefault="00031E8F" w:rsidP="00031E8F">
      <w:pPr>
        <w:pStyle w:val="Prrafodelista"/>
        <w:numPr>
          <w:ilvl w:val="0"/>
          <w:numId w:val="6"/>
        </w:numPr>
        <w:spacing w:after="0" w:line="240" w:lineRule="auto"/>
        <w:jc w:val="both"/>
      </w:pPr>
      <w:r>
        <w:t>Calcule la estimación puntual del valor auditado de la cuenta</w:t>
      </w:r>
    </w:p>
    <w:p w:rsidR="00031E8F" w:rsidRDefault="00031E8F" w:rsidP="00031E8F">
      <w:pPr>
        <w:pStyle w:val="Prrafodelista"/>
        <w:numPr>
          <w:ilvl w:val="0"/>
          <w:numId w:val="6"/>
        </w:numPr>
        <w:spacing w:after="0" w:line="240" w:lineRule="auto"/>
        <w:jc w:val="both"/>
      </w:pPr>
      <w:r>
        <w:t>Calcule el error proyectado de la población</w:t>
      </w:r>
    </w:p>
    <w:p w:rsidR="00031E8F" w:rsidRDefault="00031E8F" w:rsidP="00031E8F">
      <w:pPr>
        <w:pStyle w:val="Prrafodelista"/>
        <w:numPr>
          <w:ilvl w:val="0"/>
          <w:numId w:val="6"/>
        </w:numPr>
        <w:spacing w:after="0" w:line="240" w:lineRule="auto"/>
        <w:jc w:val="both"/>
      </w:pPr>
      <w:r>
        <w:t>Calcule la provisión ajustada del riesgo del muestreo</w:t>
      </w:r>
    </w:p>
    <w:p w:rsidR="00031E8F" w:rsidRDefault="00031E8F" w:rsidP="00031E8F">
      <w:pPr>
        <w:pStyle w:val="Prrafodelista"/>
        <w:numPr>
          <w:ilvl w:val="0"/>
          <w:numId w:val="6"/>
        </w:numPr>
        <w:spacing w:after="0" w:line="240" w:lineRule="auto"/>
        <w:jc w:val="both"/>
      </w:pPr>
      <w:r>
        <w:t>Indique la conclusión de los auditores en este caso.</w:t>
      </w:r>
    </w:p>
    <w:p w:rsidR="00031E8F" w:rsidRDefault="00031E8F" w:rsidP="00B01543">
      <w:pPr>
        <w:spacing w:after="0" w:line="240" w:lineRule="auto"/>
        <w:jc w:val="both"/>
      </w:pPr>
    </w:p>
    <w:p w:rsidR="002F757C" w:rsidRDefault="002F757C" w:rsidP="00B01543">
      <w:pPr>
        <w:spacing w:after="0" w:line="240" w:lineRule="auto"/>
        <w:jc w:val="both"/>
      </w:pPr>
    </w:p>
    <w:p w:rsidR="009A5580" w:rsidRDefault="009A5580" w:rsidP="002F757C">
      <w:pPr>
        <w:spacing w:after="0" w:line="240" w:lineRule="auto"/>
        <w:jc w:val="center"/>
        <w:rPr>
          <w:b/>
          <w:u w:val="single"/>
        </w:rPr>
      </w:pPr>
      <w:r w:rsidRPr="009A5580">
        <w:rPr>
          <w:b/>
          <w:u w:val="single"/>
        </w:rPr>
        <w:t>ANEXOS</w:t>
      </w:r>
    </w:p>
    <w:p w:rsidR="00B079F8" w:rsidRDefault="00B079F8" w:rsidP="002F757C">
      <w:pPr>
        <w:spacing w:after="0" w:line="240" w:lineRule="auto"/>
        <w:jc w:val="center"/>
        <w:rPr>
          <w:b/>
          <w:u w:val="single"/>
        </w:rPr>
      </w:pPr>
    </w:p>
    <w:p w:rsidR="009A5580" w:rsidRPr="00B079F8" w:rsidRDefault="00B079F8" w:rsidP="002F757C">
      <w:pPr>
        <w:spacing w:after="0" w:line="240" w:lineRule="auto"/>
        <w:jc w:val="center"/>
        <w:rPr>
          <w:rFonts w:eastAsiaTheme="minorEastAsia"/>
          <w:sz w:val="16"/>
          <w:szCs w:val="16"/>
        </w:rPr>
      </w:pPr>
      <m:oMathPara>
        <m:oMathParaPr>
          <m:jc m:val="center"/>
        </m:oMathParaPr>
        <m:oMath>
          <m:r>
            <m:rPr>
              <m:sty m:val="p"/>
            </m:rPr>
            <w:rPr>
              <w:rFonts w:ascii="Cambria Math" w:hAnsi="Cambria Math"/>
              <w:sz w:val="16"/>
              <w:szCs w:val="16"/>
            </w:rPr>
            <m:t>Tamaño de muestra</m:t>
          </m:r>
          <m:r>
            <m:rPr>
              <m:sty m:val="p"/>
            </m:rPr>
            <w:rPr>
              <w:rFonts w:ascii="Cambria Math" w:hAnsi="Cambria Math"/>
              <w:sz w:val="16"/>
              <w:szCs w:val="16"/>
            </w:rPr>
            <m:t>=</m:t>
          </m:r>
          <m:sSup>
            <m:sSupPr>
              <m:ctrlPr>
                <w:rPr>
                  <w:rFonts w:ascii="Cambria Math" w:hAnsi="Cambria Math"/>
                  <w:sz w:val="16"/>
                  <w:szCs w:val="16"/>
                </w:rPr>
              </m:ctrlPr>
            </m:sSupPr>
            <m:e>
              <m:d>
                <m:dPr>
                  <m:ctrlPr>
                    <w:rPr>
                      <w:rFonts w:ascii="Cambria Math" w:hAnsi="Cambria Math"/>
                      <w:sz w:val="16"/>
                      <w:szCs w:val="16"/>
                    </w:rPr>
                  </m:ctrlPr>
                </m:dPr>
                <m:e>
                  <m:f>
                    <m:fPr>
                      <m:ctrlPr>
                        <w:rPr>
                          <w:rFonts w:ascii="Cambria Math" w:hAnsi="Cambria Math"/>
                          <w:sz w:val="16"/>
                          <w:szCs w:val="16"/>
                        </w:rPr>
                      </m:ctrlPr>
                    </m:fPr>
                    <m:num>
                      <m:r>
                        <m:rPr>
                          <m:sty m:val="p"/>
                        </m:rPr>
                        <w:rPr>
                          <w:rFonts w:ascii="Cambria Math" w:hAnsi="Cambria Math"/>
                          <w:sz w:val="16"/>
                          <w:szCs w:val="16"/>
                        </w:rPr>
                        <m:t>Tamaño Población*Coeficiente rechazo incorrecto*Desv</m:t>
                      </m:r>
                      <m:r>
                        <m:rPr>
                          <m:sty m:val="p"/>
                        </m:rPr>
                        <w:rPr>
                          <w:rFonts w:ascii="Cambria Math" w:hAnsi="Cambria Math"/>
                          <w:sz w:val="16"/>
                          <w:szCs w:val="16"/>
                        </w:rPr>
                        <m:t>. está</m:t>
                      </m:r>
                      <m:r>
                        <m:rPr>
                          <m:sty m:val="p"/>
                        </m:rPr>
                        <w:rPr>
                          <w:rFonts w:ascii="Cambria Math" w:hAnsi="Cambria Math"/>
                          <w:sz w:val="16"/>
                          <w:szCs w:val="16"/>
                        </w:rPr>
                        <m:t>ndar estimada</m:t>
                      </m:r>
                    </m:num>
                    <m:den>
                      <m:r>
                        <m:rPr>
                          <m:sty m:val="p"/>
                        </m:rPr>
                        <w:rPr>
                          <w:rFonts w:ascii="Cambria Math" w:hAnsi="Cambria Math"/>
                          <w:sz w:val="16"/>
                          <w:szCs w:val="16"/>
                        </w:rPr>
                        <m:t>Provisión planeada de riesgo muestreo</m:t>
                      </m:r>
                    </m:den>
                  </m:f>
                </m:e>
              </m:d>
            </m:e>
            <m:sup>
              <m:r>
                <m:rPr>
                  <m:sty m:val="p"/>
                </m:rPr>
                <w:rPr>
                  <w:rFonts w:ascii="Cambria Math" w:hAnsi="Cambria Math"/>
                  <w:sz w:val="16"/>
                  <w:szCs w:val="16"/>
                </w:rPr>
                <m:t>2</m:t>
              </m:r>
            </m:sup>
          </m:sSup>
        </m:oMath>
      </m:oMathPara>
    </w:p>
    <w:p w:rsidR="00B079F8" w:rsidRDefault="00B079F8" w:rsidP="002F757C">
      <w:pPr>
        <w:spacing w:after="0" w:line="240" w:lineRule="auto"/>
        <w:jc w:val="center"/>
        <w:rPr>
          <w:rFonts w:eastAsiaTheme="minorEastAsia"/>
          <w:sz w:val="16"/>
          <w:szCs w:val="16"/>
        </w:rPr>
      </w:pPr>
    </w:p>
    <w:p w:rsidR="00B079F8" w:rsidRDefault="00B079F8" w:rsidP="002F757C">
      <w:pPr>
        <w:spacing w:after="0" w:line="240" w:lineRule="auto"/>
        <w:jc w:val="center"/>
        <w:rPr>
          <w:rFonts w:eastAsiaTheme="minorEastAsia"/>
          <w:sz w:val="16"/>
          <w:szCs w:val="16"/>
        </w:rPr>
      </w:pPr>
      <m:oMathPara>
        <m:oMathParaPr>
          <m:jc m:val="center"/>
        </m:oMathParaPr>
        <m:oMath>
          <m:r>
            <m:rPr>
              <m:sty m:val="p"/>
            </m:rPr>
            <w:rPr>
              <w:rFonts w:ascii="Cambria Math" w:hAnsi="Cambria Math"/>
              <w:sz w:val="16"/>
              <w:szCs w:val="16"/>
            </w:rPr>
            <m:t>Provisión planeada de riesgo muestreo</m:t>
          </m:r>
          <m:r>
            <m:rPr>
              <m:sty m:val="p"/>
            </m:rPr>
            <w:rPr>
              <w:rFonts w:ascii="Cambria Math" w:hAnsi="Cambria Math"/>
              <w:sz w:val="16"/>
              <w:szCs w:val="16"/>
            </w:rPr>
            <m:t>=</m:t>
          </m:r>
          <m:r>
            <m:rPr>
              <m:sty m:val="p"/>
            </m:rPr>
            <w:rPr>
              <w:rFonts w:ascii="Cambria Math" w:hAnsi="Cambria Math"/>
              <w:sz w:val="16"/>
              <w:szCs w:val="16"/>
            </w:rPr>
            <m:t>Error tolerable*</m:t>
          </m:r>
          <m:d>
            <m:dPr>
              <m:ctrlPr>
                <w:rPr>
                  <w:rFonts w:ascii="Cambria Math" w:hAnsi="Cambria Math"/>
                  <w:sz w:val="16"/>
                  <w:szCs w:val="16"/>
                </w:rPr>
              </m:ctrlPr>
            </m:dPr>
            <m:e>
              <m:f>
                <m:fPr>
                  <m:ctrlPr>
                    <w:rPr>
                      <w:rFonts w:ascii="Cambria Math" w:hAnsi="Cambria Math"/>
                      <w:sz w:val="16"/>
                      <w:szCs w:val="16"/>
                    </w:rPr>
                  </m:ctrlPr>
                </m:fPr>
                <m:num>
                  <m:r>
                    <m:rPr>
                      <m:sty m:val="p"/>
                    </m:rPr>
                    <w:rPr>
                      <w:rFonts w:ascii="Cambria Math" w:hAnsi="Cambria Math"/>
                      <w:sz w:val="16"/>
                      <w:szCs w:val="16"/>
                    </w:rPr>
                    <m:t>Coef. rechazo incorrecto</m:t>
                  </m:r>
                </m:num>
                <m:den>
                  <m:r>
                    <m:rPr>
                      <m:sty m:val="p"/>
                    </m:rPr>
                    <w:rPr>
                      <w:rFonts w:ascii="Cambria Math" w:hAnsi="Cambria Math"/>
                      <w:sz w:val="16"/>
                      <w:szCs w:val="16"/>
                    </w:rPr>
                    <m:t>Coef. rechazo incorrecto+Coef. aceptación incorrecta</m:t>
                  </m:r>
                </m:den>
              </m:f>
            </m:e>
          </m:d>
        </m:oMath>
      </m:oMathPara>
    </w:p>
    <w:p w:rsidR="00B079F8" w:rsidRDefault="00B079F8" w:rsidP="002F757C">
      <w:pPr>
        <w:spacing w:after="0" w:line="240" w:lineRule="auto"/>
        <w:jc w:val="center"/>
        <w:rPr>
          <w:rFonts w:eastAsiaTheme="minorEastAsia"/>
          <w:sz w:val="16"/>
          <w:szCs w:val="16"/>
        </w:rPr>
      </w:pPr>
    </w:p>
    <w:p w:rsidR="00B079F8" w:rsidRDefault="00B079F8" w:rsidP="002F757C">
      <w:pPr>
        <w:spacing w:after="0" w:line="240" w:lineRule="auto"/>
        <w:jc w:val="center"/>
        <w:rPr>
          <w:rFonts w:eastAsiaTheme="minorEastAsia"/>
          <w:sz w:val="16"/>
          <w:szCs w:val="16"/>
        </w:rPr>
      </w:pPr>
      <m:oMathPara>
        <m:oMathParaPr>
          <m:jc m:val="center"/>
        </m:oMathParaPr>
        <m:oMath>
          <m:r>
            <m:rPr>
              <m:sty m:val="p"/>
            </m:rPr>
            <w:rPr>
              <w:rFonts w:ascii="Cambria Math" w:hAnsi="Cambria Math"/>
              <w:sz w:val="16"/>
              <w:szCs w:val="16"/>
            </w:rPr>
            <m:t xml:space="preserve">Provisión </m:t>
          </m:r>
          <m:r>
            <m:rPr>
              <m:sty m:val="p"/>
            </m:rPr>
            <w:rPr>
              <w:rFonts w:ascii="Cambria Math" w:hAnsi="Cambria Math"/>
              <w:sz w:val="16"/>
              <w:szCs w:val="16"/>
            </w:rPr>
            <m:t xml:space="preserve">ajustada= </m:t>
          </m:r>
          <m:r>
            <m:rPr>
              <m:sty m:val="p"/>
            </m:rPr>
            <w:rPr>
              <w:rFonts w:ascii="Cambria Math" w:hAnsi="Cambria Math"/>
              <w:sz w:val="16"/>
              <w:szCs w:val="16"/>
            </w:rPr>
            <m:t>Error tolerable</m:t>
          </m:r>
          <m:r>
            <m:rPr>
              <m:sty m:val="p"/>
            </m:rPr>
            <w:rPr>
              <w:rFonts w:ascii="Cambria Math" w:hAnsi="Cambria Math"/>
              <w:sz w:val="16"/>
              <w:szCs w:val="16"/>
            </w:rPr>
            <m:t xml:space="preserve">- </m:t>
          </m:r>
          <m:f>
            <m:fPr>
              <m:ctrlPr>
                <w:rPr>
                  <w:rFonts w:ascii="Cambria Math" w:hAnsi="Cambria Math"/>
                  <w:sz w:val="16"/>
                  <w:szCs w:val="16"/>
                </w:rPr>
              </m:ctrlPr>
            </m:fPr>
            <m:num>
              <m:r>
                <m:rPr>
                  <m:sty m:val="p"/>
                </m:rPr>
                <w:rPr>
                  <w:rFonts w:ascii="Cambria Math" w:hAnsi="Cambria Math"/>
                  <w:sz w:val="16"/>
                  <w:szCs w:val="16"/>
                </w:rPr>
                <m:t>Tamaño población*Coef.aceptación incorrecta*Desv.estándar muestra</m:t>
              </m:r>
            </m:num>
            <m:den>
              <m:rad>
                <m:radPr>
                  <m:degHide m:val="on"/>
                  <m:ctrlPr>
                    <w:rPr>
                      <w:rFonts w:ascii="Cambria Math" w:hAnsi="Cambria Math"/>
                      <w:sz w:val="16"/>
                      <w:szCs w:val="16"/>
                    </w:rPr>
                  </m:ctrlPr>
                </m:radPr>
                <m:deg/>
                <m:e>
                  <m:r>
                    <m:rPr>
                      <m:sty m:val="p"/>
                    </m:rPr>
                    <w:rPr>
                      <w:rFonts w:ascii="Cambria Math" w:hAnsi="Cambria Math"/>
                      <w:sz w:val="16"/>
                      <w:szCs w:val="16"/>
                    </w:rPr>
                    <m:t>Tamaño de muestra</m:t>
                  </m:r>
                </m:e>
              </m:rad>
            </m:den>
          </m:f>
        </m:oMath>
      </m:oMathPara>
    </w:p>
    <w:p w:rsidR="00B079F8" w:rsidRDefault="00B079F8" w:rsidP="002F757C">
      <w:pPr>
        <w:spacing w:after="0" w:line="240" w:lineRule="auto"/>
        <w:jc w:val="center"/>
        <w:rPr>
          <w:rFonts w:eastAsiaTheme="minorEastAsia"/>
          <w:sz w:val="16"/>
          <w:szCs w:val="16"/>
        </w:rPr>
      </w:pPr>
    </w:p>
    <w:p w:rsidR="00B079F8" w:rsidRDefault="00774605" w:rsidP="002F757C">
      <w:pPr>
        <w:spacing w:after="0" w:line="240" w:lineRule="auto"/>
        <w:jc w:val="center"/>
        <w:rPr>
          <w:rFonts w:eastAsiaTheme="minorEastAsia"/>
          <w:sz w:val="16"/>
          <w:szCs w:val="16"/>
        </w:rPr>
      </w:pPr>
      <m:oMathPara>
        <m:oMathParaPr>
          <m:jc m:val="center"/>
        </m:oMathParaPr>
        <m:oMath>
          <m:r>
            <m:rPr>
              <m:sty m:val="p"/>
            </m:rPr>
            <w:rPr>
              <w:rFonts w:ascii="Cambria Math" w:hAnsi="Cambria Math"/>
              <w:sz w:val="16"/>
              <w:szCs w:val="16"/>
            </w:rPr>
            <m:t>Valor estimado y auditado total=Valor medio auditado*número de cuenta</m:t>
          </m:r>
          <m:r>
            <m:rPr>
              <m:sty m:val="p"/>
            </m:rPr>
            <w:rPr>
              <w:rFonts w:ascii="Cambria Math" w:hAnsi="Cambria Math"/>
              <w:sz w:val="16"/>
              <w:szCs w:val="16"/>
            </w:rPr>
            <m:t>s</m:t>
          </m:r>
        </m:oMath>
      </m:oMathPara>
    </w:p>
    <w:p w:rsidR="00774605" w:rsidRDefault="00774605" w:rsidP="002F757C">
      <w:pPr>
        <w:spacing w:after="0" w:line="240" w:lineRule="auto"/>
        <w:jc w:val="center"/>
        <w:rPr>
          <w:rFonts w:eastAsiaTheme="minorEastAsia"/>
          <w:sz w:val="16"/>
          <w:szCs w:val="16"/>
        </w:rPr>
      </w:pPr>
    </w:p>
    <w:p w:rsidR="00774605" w:rsidRDefault="00774605" w:rsidP="002F757C">
      <w:pPr>
        <w:spacing w:after="0" w:line="240" w:lineRule="auto"/>
        <w:jc w:val="center"/>
        <w:rPr>
          <w:rFonts w:eastAsiaTheme="minorEastAsia"/>
          <w:sz w:val="16"/>
          <w:szCs w:val="16"/>
        </w:rPr>
      </w:pPr>
      <m:oMathPara>
        <m:oMathParaPr>
          <m:jc m:val="center"/>
        </m:oMathParaPr>
        <m:oMath>
          <m:r>
            <m:rPr>
              <m:sty m:val="p"/>
            </m:rPr>
            <w:rPr>
              <w:rFonts w:ascii="Cambria Math" w:hAnsi="Cambria Math"/>
              <w:sz w:val="16"/>
              <w:szCs w:val="16"/>
            </w:rPr>
            <m:t>Intervalo de aceptación=Valor estimado y auditado total ±Provisión para el riesgo de muestre</m:t>
          </m:r>
          <m:r>
            <m:rPr>
              <m:sty m:val="p"/>
            </m:rPr>
            <w:rPr>
              <w:rFonts w:ascii="Cambria Math" w:hAnsi="Cambria Math"/>
              <w:sz w:val="16"/>
              <w:szCs w:val="16"/>
            </w:rPr>
            <m:t>o</m:t>
          </m:r>
        </m:oMath>
      </m:oMathPara>
    </w:p>
    <w:p w:rsidR="002C1203" w:rsidRDefault="002C1203" w:rsidP="002F757C">
      <w:pPr>
        <w:spacing w:after="0" w:line="240" w:lineRule="auto"/>
        <w:jc w:val="center"/>
        <w:rPr>
          <w:rFonts w:eastAsiaTheme="minorEastAsia"/>
          <w:sz w:val="16"/>
          <w:szCs w:val="16"/>
        </w:rPr>
      </w:pPr>
    </w:p>
    <w:p w:rsidR="002C1203" w:rsidRDefault="002C1203" w:rsidP="002F757C">
      <w:pPr>
        <w:spacing w:after="0" w:line="240" w:lineRule="auto"/>
        <w:jc w:val="center"/>
        <w:rPr>
          <w:rFonts w:eastAsiaTheme="minorEastAsia"/>
          <w:sz w:val="16"/>
          <w:szCs w:val="16"/>
        </w:rPr>
      </w:pPr>
      <m:oMathPara>
        <m:oMathParaPr>
          <m:jc m:val="center"/>
        </m:oMathParaPr>
        <m:oMath>
          <m:r>
            <m:rPr>
              <m:sty m:val="p"/>
            </m:rPr>
            <w:rPr>
              <w:rFonts w:ascii="Cambria Math" w:hAnsi="Cambria Math"/>
              <w:sz w:val="16"/>
              <w:szCs w:val="16"/>
            </w:rPr>
            <m:t>Error proyectado=Valor estimado y auditado total-Valor en libros de la població</m:t>
          </m:r>
          <m:r>
            <m:rPr>
              <m:sty m:val="p"/>
            </m:rPr>
            <w:rPr>
              <w:rFonts w:ascii="Cambria Math" w:hAnsi="Cambria Math"/>
              <w:sz w:val="16"/>
              <w:szCs w:val="16"/>
            </w:rPr>
            <m:t>n</m:t>
          </m:r>
        </m:oMath>
      </m:oMathPara>
    </w:p>
    <w:p w:rsidR="002F757C" w:rsidRDefault="002F757C" w:rsidP="002F757C">
      <w:pPr>
        <w:spacing w:after="0" w:line="240" w:lineRule="auto"/>
        <w:jc w:val="center"/>
        <w:rPr>
          <w:rFonts w:eastAsiaTheme="minorEastAsia"/>
          <w:sz w:val="16"/>
          <w:szCs w:val="16"/>
        </w:rPr>
      </w:pPr>
    </w:p>
    <w:p w:rsidR="002F757C" w:rsidRDefault="002F757C" w:rsidP="002F757C">
      <w:pPr>
        <w:spacing w:after="0" w:line="240" w:lineRule="auto"/>
        <w:jc w:val="center"/>
        <w:rPr>
          <w:rFonts w:eastAsiaTheme="minorEastAsia"/>
          <w:sz w:val="16"/>
          <w:szCs w:val="16"/>
        </w:rPr>
      </w:pPr>
    </w:p>
    <w:p w:rsidR="002F757C" w:rsidRDefault="002F757C" w:rsidP="002F757C">
      <w:pPr>
        <w:spacing w:after="0" w:line="240" w:lineRule="auto"/>
        <w:jc w:val="center"/>
        <w:rPr>
          <w:rFonts w:eastAsiaTheme="minorEastAsia"/>
          <w:sz w:val="16"/>
          <w:szCs w:val="16"/>
        </w:rPr>
      </w:pPr>
      <w:r>
        <w:rPr>
          <w:rFonts w:eastAsiaTheme="minorEastAsia"/>
          <w:sz w:val="16"/>
          <w:szCs w:val="16"/>
        </w:rPr>
        <w:t>Tabla de Coeficientes de riesgo</w:t>
      </w:r>
    </w:p>
    <w:tbl>
      <w:tblPr>
        <w:tblStyle w:val="Tablaconcuadrcula"/>
        <w:tblW w:w="8111" w:type="dxa"/>
        <w:jc w:val="center"/>
        <w:tblLook w:val="04A0"/>
      </w:tblPr>
      <w:tblGrid>
        <w:gridCol w:w="2493"/>
        <w:gridCol w:w="501"/>
        <w:gridCol w:w="613"/>
        <w:gridCol w:w="500"/>
        <w:gridCol w:w="572"/>
        <w:gridCol w:w="572"/>
        <w:gridCol w:w="572"/>
        <w:gridCol w:w="572"/>
        <w:gridCol w:w="572"/>
        <w:gridCol w:w="572"/>
        <w:gridCol w:w="572"/>
      </w:tblGrid>
      <w:tr w:rsidR="002F757C" w:rsidTr="002F757C">
        <w:trPr>
          <w:jc w:val="center"/>
        </w:trPr>
        <w:tc>
          <w:tcPr>
            <w:tcW w:w="2493" w:type="dxa"/>
          </w:tcPr>
          <w:p w:rsidR="002F757C" w:rsidRPr="002F757C" w:rsidRDefault="002F757C" w:rsidP="002F757C">
            <w:pPr>
              <w:jc w:val="center"/>
              <w:rPr>
                <w:sz w:val="16"/>
                <w:szCs w:val="16"/>
              </w:rPr>
            </w:pPr>
            <w:r w:rsidRPr="002F757C">
              <w:rPr>
                <w:sz w:val="16"/>
                <w:szCs w:val="16"/>
              </w:rPr>
              <w:t>Nivel de riesgo</w:t>
            </w:r>
          </w:p>
        </w:tc>
        <w:tc>
          <w:tcPr>
            <w:tcW w:w="501" w:type="dxa"/>
          </w:tcPr>
          <w:p w:rsidR="002F757C" w:rsidRPr="002F757C" w:rsidRDefault="002F757C" w:rsidP="002F757C">
            <w:pPr>
              <w:jc w:val="center"/>
              <w:rPr>
                <w:sz w:val="16"/>
                <w:szCs w:val="16"/>
              </w:rPr>
            </w:pPr>
            <w:r>
              <w:rPr>
                <w:sz w:val="16"/>
                <w:szCs w:val="16"/>
              </w:rPr>
              <w:t>1%</w:t>
            </w:r>
          </w:p>
        </w:tc>
        <w:tc>
          <w:tcPr>
            <w:tcW w:w="613" w:type="dxa"/>
          </w:tcPr>
          <w:p w:rsidR="002F757C" w:rsidRPr="002F757C" w:rsidRDefault="002F757C" w:rsidP="002F757C">
            <w:pPr>
              <w:jc w:val="center"/>
              <w:rPr>
                <w:sz w:val="16"/>
                <w:szCs w:val="16"/>
              </w:rPr>
            </w:pPr>
            <w:r>
              <w:rPr>
                <w:sz w:val="16"/>
                <w:szCs w:val="16"/>
              </w:rPr>
              <w:t>4.6%</w:t>
            </w:r>
          </w:p>
        </w:tc>
        <w:tc>
          <w:tcPr>
            <w:tcW w:w="500" w:type="dxa"/>
          </w:tcPr>
          <w:p w:rsidR="002F757C" w:rsidRPr="002F757C" w:rsidRDefault="002F757C" w:rsidP="002F757C">
            <w:pPr>
              <w:jc w:val="center"/>
              <w:rPr>
                <w:sz w:val="16"/>
                <w:szCs w:val="16"/>
              </w:rPr>
            </w:pPr>
            <w:r>
              <w:rPr>
                <w:sz w:val="16"/>
                <w:szCs w:val="16"/>
              </w:rPr>
              <w:t>5%</w:t>
            </w:r>
          </w:p>
        </w:tc>
        <w:tc>
          <w:tcPr>
            <w:tcW w:w="572" w:type="dxa"/>
          </w:tcPr>
          <w:p w:rsidR="002F757C" w:rsidRPr="002F757C" w:rsidRDefault="002F757C" w:rsidP="002F757C">
            <w:pPr>
              <w:jc w:val="center"/>
              <w:rPr>
                <w:sz w:val="16"/>
                <w:szCs w:val="16"/>
              </w:rPr>
            </w:pPr>
            <w:r>
              <w:rPr>
                <w:sz w:val="16"/>
                <w:szCs w:val="16"/>
              </w:rPr>
              <w:t>10%</w:t>
            </w:r>
          </w:p>
        </w:tc>
        <w:tc>
          <w:tcPr>
            <w:tcW w:w="572" w:type="dxa"/>
          </w:tcPr>
          <w:p w:rsidR="002F757C" w:rsidRPr="002F757C" w:rsidRDefault="002F757C" w:rsidP="002F757C">
            <w:pPr>
              <w:jc w:val="center"/>
              <w:rPr>
                <w:sz w:val="16"/>
                <w:szCs w:val="16"/>
              </w:rPr>
            </w:pPr>
            <w:r>
              <w:rPr>
                <w:sz w:val="16"/>
                <w:szCs w:val="16"/>
              </w:rPr>
              <w:t>15%</w:t>
            </w:r>
          </w:p>
        </w:tc>
        <w:tc>
          <w:tcPr>
            <w:tcW w:w="572" w:type="dxa"/>
          </w:tcPr>
          <w:p w:rsidR="002F757C" w:rsidRPr="002F757C" w:rsidRDefault="002F757C" w:rsidP="002F757C">
            <w:pPr>
              <w:jc w:val="center"/>
              <w:rPr>
                <w:sz w:val="16"/>
                <w:szCs w:val="16"/>
              </w:rPr>
            </w:pPr>
            <w:r>
              <w:rPr>
                <w:sz w:val="16"/>
                <w:szCs w:val="16"/>
              </w:rPr>
              <w:t>20%</w:t>
            </w:r>
          </w:p>
        </w:tc>
        <w:tc>
          <w:tcPr>
            <w:tcW w:w="572" w:type="dxa"/>
          </w:tcPr>
          <w:p w:rsidR="002F757C" w:rsidRPr="002F757C" w:rsidRDefault="002F757C" w:rsidP="002F757C">
            <w:pPr>
              <w:jc w:val="center"/>
              <w:rPr>
                <w:sz w:val="16"/>
                <w:szCs w:val="16"/>
              </w:rPr>
            </w:pPr>
            <w:r>
              <w:rPr>
                <w:sz w:val="16"/>
                <w:szCs w:val="16"/>
              </w:rPr>
              <w:t>25%</w:t>
            </w:r>
          </w:p>
        </w:tc>
        <w:tc>
          <w:tcPr>
            <w:tcW w:w="572" w:type="dxa"/>
          </w:tcPr>
          <w:p w:rsidR="002F757C" w:rsidRPr="002F757C" w:rsidRDefault="002F757C" w:rsidP="002F757C">
            <w:pPr>
              <w:jc w:val="center"/>
              <w:rPr>
                <w:sz w:val="16"/>
                <w:szCs w:val="16"/>
              </w:rPr>
            </w:pPr>
            <w:r>
              <w:rPr>
                <w:sz w:val="16"/>
                <w:szCs w:val="16"/>
              </w:rPr>
              <w:t>30%</w:t>
            </w:r>
          </w:p>
        </w:tc>
        <w:tc>
          <w:tcPr>
            <w:tcW w:w="572" w:type="dxa"/>
          </w:tcPr>
          <w:p w:rsidR="002F757C" w:rsidRPr="002F757C" w:rsidRDefault="002F757C" w:rsidP="002F757C">
            <w:pPr>
              <w:jc w:val="center"/>
              <w:rPr>
                <w:sz w:val="16"/>
                <w:szCs w:val="16"/>
              </w:rPr>
            </w:pPr>
            <w:r>
              <w:rPr>
                <w:sz w:val="16"/>
                <w:szCs w:val="16"/>
              </w:rPr>
              <w:t>40%</w:t>
            </w:r>
          </w:p>
        </w:tc>
        <w:tc>
          <w:tcPr>
            <w:tcW w:w="572" w:type="dxa"/>
          </w:tcPr>
          <w:p w:rsidR="002F757C" w:rsidRDefault="002F757C" w:rsidP="002F757C">
            <w:pPr>
              <w:jc w:val="center"/>
              <w:rPr>
                <w:sz w:val="16"/>
                <w:szCs w:val="16"/>
              </w:rPr>
            </w:pPr>
            <w:r>
              <w:rPr>
                <w:sz w:val="16"/>
                <w:szCs w:val="16"/>
              </w:rPr>
              <w:t>50%</w:t>
            </w:r>
          </w:p>
        </w:tc>
      </w:tr>
      <w:tr w:rsidR="002F757C" w:rsidTr="002F757C">
        <w:trPr>
          <w:jc w:val="center"/>
        </w:trPr>
        <w:tc>
          <w:tcPr>
            <w:tcW w:w="2493" w:type="dxa"/>
          </w:tcPr>
          <w:p w:rsidR="002F757C" w:rsidRPr="002F757C" w:rsidRDefault="002F757C" w:rsidP="002F757C">
            <w:pPr>
              <w:jc w:val="center"/>
              <w:rPr>
                <w:sz w:val="16"/>
                <w:szCs w:val="16"/>
              </w:rPr>
            </w:pPr>
            <w:r w:rsidRPr="002F757C">
              <w:rPr>
                <w:sz w:val="16"/>
                <w:szCs w:val="16"/>
              </w:rPr>
              <w:t>Coef</w:t>
            </w:r>
            <w:r>
              <w:rPr>
                <w:sz w:val="16"/>
                <w:szCs w:val="16"/>
              </w:rPr>
              <w:t>iciente</w:t>
            </w:r>
            <w:r w:rsidRPr="002F757C">
              <w:rPr>
                <w:sz w:val="16"/>
                <w:szCs w:val="16"/>
              </w:rPr>
              <w:t xml:space="preserve"> Aceptación incorrecta</w:t>
            </w:r>
          </w:p>
        </w:tc>
        <w:tc>
          <w:tcPr>
            <w:tcW w:w="501" w:type="dxa"/>
          </w:tcPr>
          <w:p w:rsidR="002F757C" w:rsidRPr="002F757C" w:rsidRDefault="002F757C" w:rsidP="002F757C">
            <w:pPr>
              <w:jc w:val="center"/>
              <w:rPr>
                <w:sz w:val="16"/>
                <w:szCs w:val="16"/>
              </w:rPr>
            </w:pPr>
            <w:r>
              <w:rPr>
                <w:sz w:val="16"/>
                <w:szCs w:val="16"/>
              </w:rPr>
              <w:t>2.33</w:t>
            </w:r>
          </w:p>
        </w:tc>
        <w:tc>
          <w:tcPr>
            <w:tcW w:w="613" w:type="dxa"/>
          </w:tcPr>
          <w:p w:rsidR="002F757C" w:rsidRPr="002F757C" w:rsidRDefault="002F757C" w:rsidP="002F757C">
            <w:pPr>
              <w:jc w:val="center"/>
              <w:rPr>
                <w:sz w:val="16"/>
                <w:szCs w:val="16"/>
              </w:rPr>
            </w:pPr>
            <w:r>
              <w:rPr>
                <w:sz w:val="16"/>
                <w:szCs w:val="16"/>
              </w:rPr>
              <w:t>1.68</w:t>
            </w:r>
          </w:p>
        </w:tc>
        <w:tc>
          <w:tcPr>
            <w:tcW w:w="500" w:type="dxa"/>
          </w:tcPr>
          <w:p w:rsidR="002F757C" w:rsidRPr="002F757C" w:rsidRDefault="002F757C" w:rsidP="002F757C">
            <w:pPr>
              <w:jc w:val="center"/>
              <w:rPr>
                <w:sz w:val="16"/>
                <w:szCs w:val="16"/>
              </w:rPr>
            </w:pPr>
            <w:r>
              <w:rPr>
                <w:sz w:val="16"/>
                <w:szCs w:val="16"/>
              </w:rPr>
              <w:t>1.64</w:t>
            </w:r>
          </w:p>
        </w:tc>
        <w:tc>
          <w:tcPr>
            <w:tcW w:w="572" w:type="dxa"/>
          </w:tcPr>
          <w:p w:rsidR="002F757C" w:rsidRPr="002F757C" w:rsidRDefault="002F757C" w:rsidP="002F757C">
            <w:pPr>
              <w:jc w:val="center"/>
              <w:rPr>
                <w:sz w:val="16"/>
                <w:szCs w:val="16"/>
              </w:rPr>
            </w:pPr>
            <w:r>
              <w:rPr>
                <w:sz w:val="16"/>
                <w:szCs w:val="16"/>
              </w:rPr>
              <w:t>1.28</w:t>
            </w:r>
          </w:p>
        </w:tc>
        <w:tc>
          <w:tcPr>
            <w:tcW w:w="572" w:type="dxa"/>
          </w:tcPr>
          <w:p w:rsidR="002F757C" w:rsidRPr="002F757C" w:rsidRDefault="002F757C" w:rsidP="002F757C">
            <w:pPr>
              <w:jc w:val="center"/>
              <w:rPr>
                <w:sz w:val="16"/>
                <w:szCs w:val="16"/>
              </w:rPr>
            </w:pPr>
            <w:r>
              <w:rPr>
                <w:sz w:val="16"/>
                <w:szCs w:val="16"/>
              </w:rPr>
              <w:t>1.04</w:t>
            </w:r>
          </w:p>
        </w:tc>
        <w:tc>
          <w:tcPr>
            <w:tcW w:w="572" w:type="dxa"/>
          </w:tcPr>
          <w:p w:rsidR="002F757C" w:rsidRPr="002F757C" w:rsidRDefault="002F757C" w:rsidP="002F757C">
            <w:pPr>
              <w:jc w:val="center"/>
              <w:rPr>
                <w:sz w:val="16"/>
                <w:szCs w:val="16"/>
              </w:rPr>
            </w:pPr>
            <w:r>
              <w:rPr>
                <w:sz w:val="16"/>
                <w:szCs w:val="16"/>
              </w:rPr>
              <w:t>0.84</w:t>
            </w:r>
          </w:p>
        </w:tc>
        <w:tc>
          <w:tcPr>
            <w:tcW w:w="572" w:type="dxa"/>
          </w:tcPr>
          <w:p w:rsidR="002F757C" w:rsidRPr="002F757C" w:rsidRDefault="002F757C" w:rsidP="002F757C">
            <w:pPr>
              <w:jc w:val="center"/>
              <w:rPr>
                <w:sz w:val="16"/>
                <w:szCs w:val="16"/>
              </w:rPr>
            </w:pPr>
            <w:r>
              <w:rPr>
                <w:sz w:val="16"/>
                <w:szCs w:val="16"/>
              </w:rPr>
              <w:t>0.67</w:t>
            </w:r>
          </w:p>
        </w:tc>
        <w:tc>
          <w:tcPr>
            <w:tcW w:w="572" w:type="dxa"/>
          </w:tcPr>
          <w:p w:rsidR="002F757C" w:rsidRPr="002F757C" w:rsidRDefault="002F757C" w:rsidP="002F757C">
            <w:pPr>
              <w:jc w:val="center"/>
              <w:rPr>
                <w:sz w:val="16"/>
                <w:szCs w:val="16"/>
              </w:rPr>
            </w:pPr>
            <w:r>
              <w:rPr>
                <w:sz w:val="16"/>
                <w:szCs w:val="16"/>
              </w:rPr>
              <w:t>0.52</w:t>
            </w:r>
          </w:p>
        </w:tc>
        <w:tc>
          <w:tcPr>
            <w:tcW w:w="572" w:type="dxa"/>
          </w:tcPr>
          <w:p w:rsidR="002F757C" w:rsidRPr="002F757C" w:rsidRDefault="002F757C" w:rsidP="002F757C">
            <w:pPr>
              <w:jc w:val="center"/>
              <w:rPr>
                <w:sz w:val="16"/>
                <w:szCs w:val="16"/>
              </w:rPr>
            </w:pPr>
            <w:r>
              <w:rPr>
                <w:sz w:val="16"/>
                <w:szCs w:val="16"/>
              </w:rPr>
              <w:t>0.25</w:t>
            </w:r>
          </w:p>
        </w:tc>
        <w:tc>
          <w:tcPr>
            <w:tcW w:w="572" w:type="dxa"/>
          </w:tcPr>
          <w:p w:rsidR="002F757C" w:rsidRPr="002F757C" w:rsidRDefault="002F757C" w:rsidP="002F757C">
            <w:pPr>
              <w:jc w:val="center"/>
              <w:rPr>
                <w:sz w:val="16"/>
                <w:szCs w:val="16"/>
              </w:rPr>
            </w:pPr>
            <w:r>
              <w:rPr>
                <w:sz w:val="16"/>
                <w:szCs w:val="16"/>
              </w:rPr>
              <w:t>0.00</w:t>
            </w:r>
          </w:p>
        </w:tc>
      </w:tr>
      <w:tr w:rsidR="002F757C" w:rsidTr="002F757C">
        <w:trPr>
          <w:jc w:val="center"/>
        </w:trPr>
        <w:tc>
          <w:tcPr>
            <w:tcW w:w="2493" w:type="dxa"/>
          </w:tcPr>
          <w:p w:rsidR="002F757C" w:rsidRPr="002F757C" w:rsidRDefault="002F757C" w:rsidP="002F757C">
            <w:pPr>
              <w:jc w:val="center"/>
              <w:rPr>
                <w:sz w:val="16"/>
                <w:szCs w:val="16"/>
              </w:rPr>
            </w:pPr>
            <w:r>
              <w:rPr>
                <w:sz w:val="16"/>
                <w:szCs w:val="16"/>
              </w:rPr>
              <w:t>Coeficiente Rechazo incorrecto</w:t>
            </w:r>
          </w:p>
        </w:tc>
        <w:tc>
          <w:tcPr>
            <w:tcW w:w="501" w:type="dxa"/>
          </w:tcPr>
          <w:p w:rsidR="002F757C" w:rsidRPr="002F757C" w:rsidRDefault="002F757C" w:rsidP="002F757C">
            <w:pPr>
              <w:jc w:val="center"/>
              <w:rPr>
                <w:sz w:val="16"/>
                <w:szCs w:val="16"/>
              </w:rPr>
            </w:pPr>
            <w:r>
              <w:rPr>
                <w:sz w:val="16"/>
                <w:szCs w:val="16"/>
              </w:rPr>
              <w:t>2.58</w:t>
            </w:r>
          </w:p>
        </w:tc>
        <w:tc>
          <w:tcPr>
            <w:tcW w:w="613" w:type="dxa"/>
          </w:tcPr>
          <w:p w:rsidR="002F757C" w:rsidRPr="002F757C" w:rsidRDefault="002F757C" w:rsidP="002F757C">
            <w:pPr>
              <w:jc w:val="center"/>
              <w:rPr>
                <w:sz w:val="16"/>
                <w:szCs w:val="16"/>
              </w:rPr>
            </w:pPr>
            <w:r>
              <w:rPr>
                <w:sz w:val="16"/>
                <w:szCs w:val="16"/>
              </w:rPr>
              <w:t>2.00</w:t>
            </w:r>
          </w:p>
        </w:tc>
        <w:tc>
          <w:tcPr>
            <w:tcW w:w="500" w:type="dxa"/>
          </w:tcPr>
          <w:p w:rsidR="002F757C" w:rsidRPr="002F757C" w:rsidRDefault="002F757C" w:rsidP="002F757C">
            <w:pPr>
              <w:jc w:val="center"/>
              <w:rPr>
                <w:sz w:val="16"/>
                <w:szCs w:val="16"/>
              </w:rPr>
            </w:pPr>
            <w:r>
              <w:rPr>
                <w:sz w:val="16"/>
                <w:szCs w:val="16"/>
              </w:rPr>
              <w:t>1.96</w:t>
            </w:r>
          </w:p>
        </w:tc>
        <w:tc>
          <w:tcPr>
            <w:tcW w:w="572" w:type="dxa"/>
          </w:tcPr>
          <w:p w:rsidR="002F757C" w:rsidRPr="002F757C" w:rsidRDefault="002F757C" w:rsidP="002F757C">
            <w:pPr>
              <w:jc w:val="center"/>
              <w:rPr>
                <w:sz w:val="16"/>
                <w:szCs w:val="16"/>
              </w:rPr>
            </w:pPr>
            <w:r>
              <w:rPr>
                <w:sz w:val="16"/>
                <w:szCs w:val="16"/>
              </w:rPr>
              <w:t>1.64</w:t>
            </w:r>
          </w:p>
        </w:tc>
        <w:tc>
          <w:tcPr>
            <w:tcW w:w="572" w:type="dxa"/>
          </w:tcPr>
          <w:p w:rsidR="002F757C" w:rsidRPr="002F757C" w:rsidRDefault="002F757C" w:rsidP="002F757C">
            <w:pPr>
              <w:jc w:val="center"/>
              <w:rPr>
                <w:sz w:val="16"/>
                <w:szCs w:val="16"/>
              </w:rPr>
            </w:pPr>
            <w:r>
              <w:rPr>
                <w:sz w:val="16"/>
                <w:szCs w:val="16"/>
              </w:rPr>
              <w:t>1.44</w:t>
            </w:r>
          </w:p>
        </w:tc>
        <w:tc>
          <w:tcPr>
            <w:tcW w:w="572" w:type="dxa"/>
          </w:tcPr>
          <w:p w:rsidR="002F757C" w:rsidRPr="002F757C" w:rsidRDefault="002F757C" w:rsidP="002F757C">
            <w:pPr>
              <w:jc w:val="center"/>
              <w:rPr>
                <w:sz w:val="16"/>
                <w:szCs w:val="16"/>
              </w:rPr>
            </w:pPr>
            <w:r>
              <w:rPr>
                <w:sz w:val="16"/>
                <w:szCs w:val="16"/>
              </w:rPr>
              <w:t>1.28</w:t>
            </w:r>
          </w:p>
        </w:tc>
        <w:tc>
          <w:tcPr>
            <w:tcW w:w="572" w:type="dxa"/>
          </w:tcPr>
          <w:p w:rsidR="002F757C" w:rsidRPr="002F757C" w:rsidRDefault="002F757C" w:rsidP="002F757C">
            <w:pPr>
              <w:jc w:val="center"/>
              <w:rPr>
                <w:sz w:val="16"/>
                <w:szCs w:val="16"/>
              </w:rPr>
            </w:pPr>
            <w:r>
              <w:rPr>
                <w:sz w:val="16"/>
                <w:szCs w:val="16"/>
              </w:rPr>
              <w:t>1.15</w:t>
            </w:r>
          </w:p>
        </w:tc>
        <w:tc>
          <w:tcPr>
            <w:tcW w:w="572" w:type="dxa"/>
          </w:tcPr>
          <w:p w:rsidR="002F757C" w:rsidRPr="002F757C" w:rsidRDefault="002F757C" w:rsidP="002F757C">
            <w:pPr>
              <w:jc w:val="center"/>
              <w:rPr>
                <w:sz w:val="16"/>
                <w:szCs w:val="16"/>
              </w:rPr>
            </w:pPr>
            <w:r>
              <w:rPr>
                <w:sz w:val="16"/>
                <w:szCs w:val="16"/>
              </w:rPr>
              <w:t>1.04</w:t>
            </w:r>
          </w:p>
        </w:tc>
        <w:tc>
          <w:tcPr>
            <w:tcW w:w="572" w:type="dxa"/>
          </w:tcPr>
          <w:p w:rsidR="002F757C" w:rsidRPr="002F757C" w:rsidRDefault="002F757C" w:rsidP="002F757C">
            <w:pPr>
              <w:jc w:val="center"/>
              <w:rPr>
                <w:sz w:val="16"/>
                <w:szCs w:val="16"/>
              </w:rPr>
            </w:pPr>
            <w:r>
              <w:rPr>
                <w:sz w:val="16"/>
                <w:szCs w:val="16"/>
              </w:rPr>
              <w:t>0.84</w:t>
            </w:r>
          </w:p>
        </w:tc>
        <w:tc>
          <w:tcPr>
            <w:tcW w:w="572" w:type="dxa"/>
          </w:tcPr>
          <w:p w:rsidR="002F757C" w:rsidRPr="002F757C" w:rsidRDefault="002F757C" w:rsidP="002F757C">
            <w:pPr>
              <w:jc w:val="center"/>
              <w:rPr>
                <w:sz w:val="16"/>
                <w:szCs w:val="16"/>
              </w:rPr>
            </w:pPr>
            <w:r>
              <w:rPr>
                <w:sz w:val="16"/>
                <w:szCs w:val="16"/>
              </w:rPr>
              <w:t>0.67</w:t>
            </w:r>
          </w:p>
        </w:tc>
      </w:tr>
    </w:tbl>
    <w:p w:rsidR="002F757C" w:rsidRPr="00B079F8" w:rsidRDefault="002F757C" w:rsidP="009A5580">
      <w:pPr>
        <w:spacing w:after="0" w:line="240" w:lineRule="auto"/>
        <w:rPr>
          <w:b/>
          <w:sz w:val="16"/>
          <w:szCs w:val="16"/>
        </w:rPr>
      </w:pPr>
    </w:p>
    <w:sectPr w:rsidR="002F757C" w:rsidRPr="00B079F8" w:rsidSect="002F757C">
      <w:pgSz w:w="11906" w:h="16838" w:code="9"/>
      <w:pgMar w:top="851"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51E"/>
    <w:multiLevelType w:val="hybridMultilevel"/>
    <w:tmpl w:val="73146AC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243F46FD"/>
    <w:multiLevelType w:val="hybridMultilevel"/>
    <w:tmpl w:val="8BE40E82"/>
    <w:lvl w:ilvl="0" w:tplc="300A0019">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2B0A4C68"/>
    <w:multiLevelType w:val="hybridMultilevel"/>
    <w:tmpl w:val="2634F27E"/>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39CA3EC1"/>
    <w:multiLevelType w:val="hybridMultilevel"/>
    <w:tmpl w:val="C5746516"/>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54187135"/>
    <w:multiLevelType w:val="hybridMultilevel"/>
    <w:tmpl w:val="F692C076"/>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5BB33D5C"/>
    <w:multiLevelType w:val="hybridMultilevel"/>
    <w:tmpl w:val="45AEB442"/>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6F5E318C"/>
    <w:multiLevelType w:val="hybridMultilevel"/>
    <w:tmpl w:val="E7124C2A"/>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A4BDF"/>
    <w:rsid w:val="00031E8F"/>
    <w:rsid w:val="00057FF0"/>
    <w:rsid w:val="000B6FD4"/>
    <w:rsid w:val="000D3122"/>
    <w:rsid w:val="001A4E0E"/>
    <w:rsid w:val="001F30DE"/>
    <w:rsid w:val="00271678"/>
    <w:rsid w:val="002C1203"/>
    <w:rsid w:val="002F757C"/>
    <w:rsid w:val="0037025B"/>
    <w:rsid w:val="003742A6"/>
    <w:rsid w:val="004010BE"/>
    <w:rsid w:val="00442A94"/>
    <w:rsid w:val="004C5722"/>
    <w:rsid w:val="006667F7"/>
    <w:rsid w:val="00774605"/>
    <w:rsid w:val="009114A5"/>
    <w:rsid w:val="009A5580"/>
    <w:rsid w:val="009E5CE6"/>
    <w:rsid w:val="00A970AC"/>
    <w:rsid w:val="00AA4BDF"/>
    <w:rsid w:val="00B01543"/>
    <w:rsid w:val="00B079F8"/>
    <w:rsid w:val="00CE04B9"/>
    <w:rsid w:val="00D045A2"/>
    <w:rsid w:val="00D45F1A"/>
    <w:rsid w:val="00D80E5F"/>
    <w:rsid w:val="00EC1C8E"/>
    <w:rsid w:val="00FB4449"/>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BD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4449"/>
    <w:pPr>
      <w:ind w:left="720"/>
      <w:contextualSpacing/>
    </w:pPr>
  </w:style>
  <w:style w:type="paragraph" w:styleId="Textodeglobo">
    <w:name w:val="Balloon Text"/>
    <w:basedOn w:val="Normal"/>
    <w:link w:val="TextodegloboCar"/>
    <w:uiPriority w:val="99"/>
    <w:semiHidden/>
    <w:unhideWhenUsed/>
    <w:rsid w:val="00B079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79F8"/>
    <w:rPr>
      <w:rFonts w:ascii="Tahoma" w:hAnsi="Tahoma" w:cs="Tahoma"/>
      <w:sz w:val="16"/>
      <w:szCs w:val="16"/>
    </w:rPr>
  </w:style>
  <w:style w:type="table" w:styleId="Tablaconcuadrcula">
    <w:name w:val="Table Grid"/>
    <w:basedOn w:val="Tablanormal"/>
    <w:uiPriority w:val="59"/>
    <w:rsid w:val="002F75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922</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efqj051205</dc:creator>
  <cp:keywords/>
  <dc:description/>
  <cp:lastModifiedBy>efqj051205</cp:lastModifiedBy>
  <cp:revision>16</cp:revision>
  <dcterms:created xsi:type="dcterms:W3CDTF">2011-12-07T15:42:00Z</dcterms:created>
  <dcterms:modified xsi:type="dcterms:W3CDTF">2011-12-07T17:19:00Z</dcterms:modified>
</cp:coreProperties>
</file>