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2" w:rsidRDefault="000D6362">
      <w:pPr>
        <w:jc w:val="both"/>
        <w:rPr>
          <w:sz w:val="20"/>
        </w:rPr>
      </w:pPr>
      <w:r>
        <w:rPr>
          <w:sz w:val="20"/>
        </w:rPr>
        <w:t>Nombre:</w: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0"/>
        </w:rPr>
      </w:pPr>
      <w:r>
        <w:rPr>
          <w:sz w:val="20"/>
        </w:rPr>
        <w:t xml:space="preserve">Indique el nombre de los siguientes símbolos de </w:t>
      </w:r>
      <w:proofErr w:type="spellStart"/>
      <w:r>
        <w:rPr>
          <w:sz w:val="20"/>
        </w:rPr>
        <w:t>flujogramas</w:t>
      </w:r>
      <w:proofErr w:type="spellEnd"/>
      <w:r>
        <w:rPr>
          <w:sz w:val="20"/>
        </w:rPr>
        <w:t>: (</w:t>
      </w:r>
      <w:r w:rsidR="00BA5AD3">
        <w:rPr>
          <w:sz w:val="20"/>
        </w:rPr>
        <w:t>10</w:t>
      </w:r>
      <w:r>
        <w:rPr>
          <w:sz w:val="20"/>
        </w:rPr>
        <w:t>)</w: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  <w:sectPr w:rsidR="000D636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lastRenderedPageBreak/>
        <w:pict>
          <v:oval id="_x0000_s1027" style="position:absolute;left:0;text-align:left;margin-left:18pt;margin-top:.2pt;width:12pt;height:12pt;z-index:251651584;mso-wrap-style:none;v-text-anchor:middle" filled="f" fillcolor="#0c9">
            <o:lock v:ext="edit" aspectratio="t"/>
          </v:oval>
        </w:pict>
      </w: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8pt;margin-top:9.7pt;width:12pt;height:12pt;z-index:251652608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5.55pt;margin-top:7.7pt;width:20.45pt;height:15pt;z-index:251653632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6" type="#_x0000_t128" style="position:absolute;left:0;text-align:left;margin-left:18pt;margin-top:5.7pt;width:12pt;height:12pt;z-index:251650560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0" type="#_x0000_t135" style="position:absolute;left:0;text-align:left;margin-left:18pt;margin-top:3.7pt;width:9pt;height:12pt;z-index:251654656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 id="_x0000_s1031" type="#_x0000_t109" style="position:absolute;left:0;text-align:left;margin-left:15pt;margin-top:7.7pt;width:15pt;height:15pt;z-index:251655680;mso-wrap-style:none;v-text-anchor:middle" filled="f" fillcolor="#0c9">
            <o:lock v:ext="edit" aspectratio="t"/>
          </v:shape>
        </w:pict>
      </w:r>
      <w:r>
        <w:rPr>
          <w:noProof/>
          <w:sz w:val="20"/>
        </w:rPr>
        <w:pict>
          <v:oval id="_x0000_s1032" style="position:absolute;left:0;text-align:left;margin-left:15pt;margin-top:7.7pt;width:15pt;height:15pt;z-index:251656704;mso-wrap-style:none;v-text-anchor:middle" filled="f" fillcolor="#0c9">
            <o:lock v:ext="edit" aspectratio="t"/>
          </v:oval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oval id="_x0000_s1034" style="position:absolute;left:0;text-align:left;margin-left:15pt;margin-top:5.7pt;width:15pt;height:15pt;z-index:251658752;mso-wrap-style:none;v-text-anchor:middle" filled="f" fillcolor="#0c9">
            <o:lock v:ext="edit" aspectratio="t"/>
          </v:oval>
        </w:pict>
      </w: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line id="_x0000_s1035" style="position:absolute;left:0;text-align:left;z-index:251659776" from="21pt,.2pt" to="30pt,.25pt">
            <v:stroke endarrow="block"/>
            <o:lock v:ext="edit" aspectratio="t"/>
          </v:line>
        </w:pict>
      </w: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 id="_x0000_s1033" type="#_x0000_t109" style="position:absolute;left:0;text-align:left;margin-left:15pt;margin-top:9.7pt;width:15pt;height:15pt;z-index:251657728;mso-wrap-style:none;v-text-anchor:middle" filled="f" fillcolor="#0c9">
            <o:lock v:ext="edit" aspectratio="t"/>
          </v:shape>
        </w:pict>
      </w:r>
      <w:r>
        <w:rPr>
          <w:noProof/>
          <w:sz w:val="2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left:0;text-align:left;margin-left:15pt;margin-top:9.7pt;width:15pt;height:15pt;z-index:251660800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7" type="#_x0000_t127" style="position:absolute;left:0;text-align:left;margin-left:12pt;margin-top:10.7pt;width:19.5pt;height:16.5pt;z-index:251661824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 id="_x0000_s1038" style="position:absolute;left:0;text-align:left;margin-left:12pt;margin-top:8.2pt;width:15pt;height:6pt;z-index:251662848;mso-position-horizontal:absolute;mso-position-vertical:absolute" coordsize="480,104" path="m,56c48,28,96,,144,8v48,8,88,96,144,96c344,104,412,56,480,8e" filled="f" fillcolor="#0c9">
            <v:path arrowok="t"/>
            <o:lock v:ext="edit" aspectratio="t"/>
          </v:shape>
        </w:pict>
      </w:r>
      <w:r>
        <w:rPr>
          <w:noProof/>
          <w:sz w:val="20"/>
        </w:rPr>
        <w:pict>
          <v:shape id="_x0000_s1039" style="position:absolute;left:0;text-align:left;margin-left:18pt;margin-top:5.2pt;width:7.5pt;height:3pt;z-index:251663872;mso-position-horizontal:absolute;mso-position-vertical:absolute" coordsize="480,104" path="m,56c48,28,96,,144,8v48,8,88,96,144,96c344,104,412,56,480,8e" filled="f" fillcolor="#0c9">
            <v:path arrowok="t"/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  <w:r>
        <w:rPr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0" type="#_x0000_t110" style="position:absolute;left:0;text-align:left;margin-left:15pt;margin-top:3.2pt;width:21pt;height:12pt;z-index:251664896;mso-wrap-style:none;v-text-anchor:middle" filled="f" fillcolor="#0c9">
            <o:lock v:ext="edit" aspectratio="t"/>
          </v:shape>
        </w:pict>
      </w: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  <w:sectPr w:rsidR="000D6362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</w:p>
    <w:p w:rsidR="000D6362" w:rsidRDefault="000D6362">
      <w:pPr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</w:p>
    <w:p w:rsidR="000D6362" w:rsidRDefault="000D6362" w:rsidP="005B284F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sz w:val="20"/>
        </w:rPr>
      </w:pPr>
      <w:r>
        <w:rPr>
          <w:sz w:val="20"/>
        </w:rPr>
        <w:t>Clasificación de los diagramas de flujo.(</w:t>
      </w:r>
      <w:r w:rsidR="00BA5AD3">
        <w:rPr>
          <w:sz w:val="20"/>
        </w:rPr>
        <w:t>10</w:t>
      </w:r>
      <w:r>
        <w:rPr>
          <w:sz w:val="20"/>
        </w:rPr>
        <w:t>)</w:t>
      </w:r>
    </w:p>
    <w:p w:rsidR="00E80087" w:rsidRDefault="00E80087" w:rsidP="00E80087">
      <w:pPr>
        <w:ind w:left="360"/>
        <w:jc w:val="both"/>
        <w:rPr>
          <w:sz w:val="20"/>
        </w:rPr>
      </w:pPr>
    </w:p>
    <w:p w:rsidR="000D6362" w:rsidRDefault="000D6362" w:rsidP="005B284F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Realizar un </w:t>
      </w:r>
      <w:proofErr w:type="spellStart"/>
      <w:r>
        <w:rPr>
          <w:sz w:val="20"/>
        </w:rPr>
        <w:t>cursograma</w:t>
      </w:r>
      <w:proofErr w:type="spellEnd"/>
      <w:r>
        <w:rPr>
          <w:sz w:val="20"/>
        </w:rPr>
        <w:t xml:space="preserve"> de forma </w:t>
      </w:r>
      <w:r w:rsidR="00BA5AD3">
        <w:rPr>
          <w:sz w:val="20"/>
        </w:rPr>
        <w:t xml:space="preserve">(formato horizontal) </w:t>
      </w:r>
      <w:r w:rsidR="00E80087">
        <w:rPr>
          <w:sz w:val="20"/>
        </w:rPr>
        <w:t xml:space="preserve">Norma ASME </w:t>
      </w:r>
      <w:r>
        <w:rPr>
          <w:sz w:val="20"/>
        </w:rPr>
        <w:t>con los siguientes datos:</w:t>
      </w:r>
      <w:r w:rsidR="00FC1663">
        <w:rPr>
          <w:sz w:val="20"/>
        </w:rPr>
        <w:t xml:space="preserve"> (50)</w:t>
      </w:r>
    </w:p>
    <w:p w:rsidR="000D6362" w:rsidRDefault="000D6362">
      <w:pPr>
        <w:ind w:left="360"/>
        <w:jc w:val="both"/>
        <w:rPr>
          <w:sz w:val="20"/>
        </w:rPr>
      </w:pPr>
      <w:r>
        <w:rPr>
          <w:sz w:val="20"/>
        </w:rPr>
        <w:t>Una solicitud de proveeduría que hace el departamento de Auditoría de la empresa ABC debe atravesar un proceso antes de su destino final, el cual detallamos a continuación: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La solicitud comprende un original y 3 copias (original papel blanco 25 grs., duplicado papel celeste 10 grs., triplicado papel amarillo 10 grs., cuadruplicado papel verde 10 grs.).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La requisición (original) es </w:t>
      </w:r>
      <w:r w:rsidRPr="00E80087">
        <w:rPr>
          <w:b/>
          <w:sz w:val="20"/>
          <w:u w:val="single"/>
        </w:rPr>
        <w:t>elaborada</w:t>
      </w:r>
      <w:r>
        <w:rPr>
          <w:sz w:val="20"/>
        </w:rPr>
        <w:t xml:space="preserve"> por el Auditor Junior.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Luego es </w:t>
      </w:r>
      <w:r w:rsidRPr="00E80087">
        <w:rPr>
          <w:b/>
          <w:sz w:val="20"/>
          <w:u w:val="single"/>
        </w:rPr>
        <w:t>revisada</w:t>
      </w:r>
      <w:r>
        <w:rPr>
          <w:sz w:val="20"/>
        </w:rPr>
        <w:t xml:space="preserve"> por el Auditor </w:t>
      </w:r>
      <w:proofErr w:type="spellStart"/>
      <w:r>
        <w:rPr>
          <w:sz w:val="20"/>
        </w:rPr>
        <w:t>Senior</w:t>
      </w:r>
      <w:proofErr w:type="spellEnd"/>
      <w:r>
        <w:rPr>
          <w:sz w:val="20"/>
        </w:rPr>
        <w:t>, y recomienda su aprobación.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La misma es </w:t>
      </w:r>
      <w:r w:rsidRPr="00E80087">
        <w:rPr>
          <w:b/>
          <w:sz w:val="20"/>
          <w:u w:val="single"/>
        </w:rPr>
        <w:t>trasladada</w:t>
      </w:r>
      <w:r>
        <w:rPr>
          <w:sz w:val="20"/>
        </w:rPr>
        <w:t xml:space="preserve"> al gerente de Auditoría, quien la </w:t>
      </w:r>
      <w:r w:rsidRPr="00E80087">
        <w:rPr>
          <w:b/>
          <w:sz w:val="20"/>
          <w:u w:val="single"/>
        </w:rPr>
        <w:t>autoriza</w:t>
      </w:r>
      <w:r>
        <w:rPr>
          <w:sz w:val="20"/>
        </w:rPr>
        <w:t>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La secretaria del </w:t>
      </w:r>
      <w:r w:rsidR="00DE4242">
        <w:rPr>
          <w:sz w:val="20"/>
        </w:rPr>
        <w:t>Auditor General</w:t>
      </w:r>
      <w:r>
        <w:rPr>
          <w:sz w:val="20"/>
        </w:rPr>
        <w:t xml:space="preserve"> la </w:t>
      </w:r>
      <w:r w:rsidRPr="00E80087">
        <w:rPr>
          <w:b/>
          <w:sz w:val="20"/>
          <w:u w:val="single"/>
        </w:rPr>
        <w:t xml:space="preserve">recibe y </w:t>
      </w:r>
      <w:r w:rsidR="00DE4242" w:rsidRPr="00E80087">
        <w:rPr>
          <w:b/>
          <w:sz w:val="20"/>
          <w:u w:val="single"/>
        </w:rPr>
        <w:t>la entrega</w:t>
      </w:r>
      <w:r w:rsidR="00DE4242">
        <w:rPr>
          <w:sz w:val="20"/>
        </w:rPr>
        <w:t xml:space="preserve"> a su Jefe </w:t>
      </w:r>
      <w:r>
        <w:rPr>
          <w:sz w:val="20"/>
        </w:rPr>
        <w:t xml:space="preserve">para su </w:t>
      </w:r>
      <w:r w:rsidRPr="00E80087">
        <w:rPr>
          <w:b/>
          <w:sz w:val="20"/>
          <w:u w:val="single"/>
        </w:rPr>
        <w:t>aprobación</w:t>
      </w:r>
      <w:r>
        <w:rPr>
          <w:sz w:val="20"/>
        </w:rPr>
        <w:t xml:space="preserve"> final.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Una vez aprobada por el Auditor General, la secretaria la </w:t>
      </w:r>
      <w:r w:rsidRPr="00E80087">
        <w:rPr>
          <w:b/>
          <w:sz w:val="20"/>
          <w:u w:val="single"/>
        </w:rPr>
        <w:t>envía</w:t>
      </w:r>
      <w:r>
        <w:rPr>
          <w:sz w:val="20"/>
        </w:rPr>
        <w:t xml:space="preserve"> al departamento de Proveeduría, </w:t>
      </w:r>
      <w:r w:rsidR="00DE4242">
        <w:rPr>
          <w:sz w:val="20"/>
        </w:rPr>
        <w:t xml:space="preserve">departamento que </w:t>
      </w:r>
      <w:r w:rsidRPr="00E80087">
        <w:rPr>
          <w:b/>
          <w:sz w:val="20"/>
          <w:u w:val="single"/>
        </w:rPr>
        <w:t>despacha</w:t>
      </w:r>
      <w:r>
        <w:rPr>
          <w:sz w:val="20"/>
        </w:rPr>
        <w:t xml:space="preserve"> el pedido y se queda con la </w:t>
      </w:r>
      <w:r w:rsidR="00DE4242">
        <w:rPr>
          <w:sz w:val="20"/>
        </w:rPr>
        <w:t xml:space="preserve">solicitud </w:t>
      </w:r>
      <w:r>
        <w:rPr>
          <w:sz w:val="20"/>
        </w:rPr>
        <w:t>original.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La secretaria recibe el pedido, </w:t>
      </w:r>
      <w:r w:rsidRPr="00E80087">
        <w:rPr>
          <w:b/>
          <w:sz w:val="20"/>
          <w:u w:val="single"/>
        </w:rPr>
        <w:t>verifica</w:t>
      </w:r>
      <w:r>
        <w:rPr>
          <w:sz w:val="20"/>
        </w:rPr>
        <w:t xml:space="preserve"> y reparte la proveeduría, se queda con el duplicado y entrega el triplicado al Gerente y el cuadruplicado al Auditor </w:t>
      </w:r>
      <w:proofErr w:type="spellStart"/>
      <w:r>
        <w:rPr>
          <w:sz w:val="20"/>
        </w:rPr>
        <w:t>Senior</w:t>
      </w:r>
      <w:proofErr w:type="spellEnd"/>
      <w:r>
        <w:rPr>
          <w:sz w:val="20"/>
        </w:rPr>
        <w:t>.</w:t>
      </w:r>
    </w:p>
    <w:p w:rsidR="000D6362" w:rsidRDefault="000D636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Todos los traslados son realizados por </w:t>
      </w:r>
      <w:r w:rsidR="00263EB1">
        <w:rPr>
          <w:sz w:val="20"/>
        </w:rPr>
        <w:t xml:space="preserve">cada subalterno hacia su superior, </w:t>
      </w:r>
      <w:r>
        <w:rPr>
          <w:sz w:val="20"/>
        </w:rPr>
        <w:t xml:space="preserve">un mensajero de Auditoría </w:t>
      </w:r>
      <w:r w:rsidR="00DE4242">
        <w:rPr>
          <w:sz w:val="20"/>
        </w:rPr>
        <w:t>hace el traslado del requerimiento desde la Secretaria del Auditor General hasta el Departamento de Proveeduría y viceversa</w:t>
      </w:r>
      <w:r>
        <w:rPr>
          <w:sz w:val="20"/>
        </w:rPr>
        <w:t>.</w:t>
      </w:r>
    </w:p>
    <w:p w:rsidR="00840FB9" w:rsidRDefault="00840FB9">
      <w:pPr>
        <w:ind w:left="360" w:hanging="360"/>
        <w:jc w:val="both"/>
        <w:rPr>
          <w:sz w:val="20"/>
        </w:rPr>
      </w:pPr>
    </w:p>
    <w:p w:rsidR="000D6362" w:rsidRDefault="00E80087">
      <w:pPr>
        <w:ind w:left="360" w:hanging="360"/>
        <w:jc w:val="both"/>
        <w:rPr>
          <w:sz w:val="20"/>
        </w:rPr>
      </w:pPr>
      <w:r>
        <w:rPr>
          <w:sz w:val="20"/>
        </w:rPr>
        <w:t>4</w:t>
      </w:r>
      <w:r w:rsidR="000D6362">
        <w:rPr>
          <w:sz w:val="20"/>
        </w:rPr>
        <w:t>.</w:t>
      </w:r>
      <w:r w:rsidR="000D6362">
        <w:rPr>
          <w:sz w:val="20"/>
        </w:rPr>
        <w:tab/>
        <w:t xml:space="preserve">Ejercicio. </w:t>
      </w:r>
      <w:r w:rsidR="00FC1663">
        <w:rPr>
          <w:sz w:val="20"/>
        </w:rPr>
        <w:t>(30)</w:t>
      </w:r>
    </w:p>
    <w:p w:rsidR="000D6362" w:rsidRDefault="000D6362">
      <w:pPr>
        <w:ind w:left="360" w:hanging="360"/>
        <w:jc w:val="both"/>
        <w:rPr>
          <w:sz w:val="20"/>
        </w:rPr>
      </w:pPr>
      <w:r>
        <w:rPr>
          <w:sz w:val="20"/>
        </w:rPr>
        <w:tab/>
        <w:t xml:space="preserve">Realizar un </w:t>
      </w:r>
      <w:proofErr w:type="spellStart"/>
      <w:r>
        <w:rPr>
          <w:sz w:val="20"/>
        </w:rPr>
        <w:t>flujograma</w:t>
      </w:r>
      <w:proofErr w:type="spellEnd"/>
      <w:r>
        <w:rPr>
          <w:sz w:val="20"/>
        </w:rPr>
        <w:t xml:space="preserve"> arquitectónico en un edificio de tres plantas de la ruta de una cuenta por cobrar: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El departamento de ventas realiza una venta a crédito y presenta a Contraloría la factura de la misma para su autorización. (1er. Piso)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Contraloría autoriza el monto de la venta y envía la documentación al departamento de Revisoría y Control para que inspeccione que toda la documentación está completa. (1er. Piso)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Revisoría y Control revisa y traslada los documentos a Caja para que recoja la firma del cliente-comprador. (1er. Piso)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Caja envía la documentación a Contabilidad para su registro en el libro diario. (2do. Piso)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Contabilidad registra y envía la documentación al archivo en el departamento administrativo. (3er. Piso)</w:t>
      </w:r>
    </w:p>
    <w:p w:rsidR="000D6362" w:rsidRDefault="000D6362">
      <w:pPr>
        <w:numPr>
          <w:ilvl w:val="2"/>
          <w:numId w:val="3"/>
        </w:numPr>
        <w:tabs>
          <w:tab w:val="clear" w:pos="2160"/>
        </w:tabs>
        <w:ind w:left="720"/>
        <w:jc w:val="both"/>
        <w:rPr>
          <w:sz w:val="20"/>
        </w:rPr>
      </w:pPr>
      <w:r>
        <w:rPr>
          <w:sz w:val="20"/>
        </w:rPr>
        <w:t>Previo a la llegada al archivo el departamento de Auditoría intercepta la documentación y la revisa. (3er. Piso)</w:t>
      </w:r>
    </w:p>
    <w:p w:rsidR="000D6362" w:rsidRDefault="000D6362">
      <w:pPr>
        <w:ind w:left="360"/>
        <w:jc w:val="both"/>
        <w:rPr>
          <w:sz w:val="20"/>
        </w:rPr>
      </w:pPr>
    </w:p>
    <w:p w:rsidR="000D6362" w:rsidRDefault="000D6362">
      <w:pPr>
        <w:ind w:left="360"/>
        <w:jc w:val="both"/>
        <w:rPr>
          <w:sz w:val="20"/>
        </w:rPr>
      </w:pPr>
      <w:r>
        <w:rPr>
          <w:sz w:val="20"/>
        </w:rPr>
        <w:t xml:space="preserve">NOTAS: </w:t>
      </w:r>
    </w:p>
    <w:p w:rsidR="000D6362" w:rsidRDefault="000D6362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Existen 7 departamentos involucrados en el proceso.</w:t>
      </w:r>
    </w:p>
    <w:p w:rsidR="000D6362" w:rsidRDefault="000D6362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El piso indicado en los literales refleja en donde culmina la operación.</w:t>
      </w:r>
    </w:p>
    <w:p w:rsidR="000D6362" w:rsidRDefault="000D6362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Cuando Contabilidad recibe algo para su registro, primero lo revisa, pero en este caso sólo tomaremos en cuenta el registro.</w:t>
      </w:r>
    </w:p>
    <w:p w:rsidR="000D6362" w:rsidRDefault="000D6362">
      <w:pPr>
        <w:jc w:val="both"/>
        <w:rPr>
          <w:sz w:val="20"/>
        </w:rPr>
      </w:pPr>
    </w:p>
    <w:p w:rsidR="005B284F" w:rsidRDefault="005B284F" w:rsidP="00E80087">
      <w:pPr>
        <w:ind w:left="360" w:hanging="360"/>
        <w:jc w:val="both"/>
        <w:rPr>
          <w:sz w:val="20"/>
        </w:rPr>
      </w:pPr>
    </w:p>
    <w:p w:rsidR="005B284F" w:rsidRDefault="005B284F" w:rsidP="005B284F">
      <w:pPr>
        <w:jc w:val="both"/>
        <w:rPr>
          <w:sz w:val="20"/>
          <w:szCs w:val="20"/>
        </w:rPr>
      </w:pPr>
    </w:p>
    <w:p w:rsidR="00840FB9" w:rsidRDefault="00840FB9" w:rsidP="005B284F">
      <w:pPr>
        <w:jc w:val="both"/>
        <w:rPr>
          <w:sz w:val="20"/>
          <w:szCs w:val="20"/>
        </w:rPr>
      </w:pPr>
    </w:p>
    <w:sectPr w:rsidR="00840FB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F9" w:rsidRDefault="00202DF9">
      <w:r>
        <w:separator/>
      </w:r>
    </w:p>
  </w:endnote>
  <w:endnote w:type="continuationSeparator" w:id="0">
    <w:p w:rsidR="00202DF9" w:rsidRDefault="00202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F9" w:rsidRDefault="00202DF9">
      <w:r>
        <w:separator/>
      </w:r>
    </w:p>
  </w:footnote>
  <w:footnote w:type="continuationSeparator" w:id="0">
    <w:p w:rsidR="00202DF9" w:rsidRDefault="00202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D3" w:rsidRDefault="00BA5AD3">
    <w:pPr>
      <w:pStyle w:val="Encabezado"/>
      <w:jc w:val="center"/>
    </w:pPr>
    <w:r>
      <w:t>Escuela Superior Politécnica del Litoral</w:t>
    </w:r>
  </w:p>
  <w:p w:rsidR="00BA5AD3" w:rsidRDefault="00BA5AD3">
    <w:pPr>
      <w:pStyle w:val="Encabezado"/>
      <w:jc w:val="center"/>
    </w:pPr>
    <w:r>
      <w:t>Instituto de Ciencias Matemáticas</w:t>
    </w:r>
  </w:p>
  <w:p w:rsidR="00BA5AD3" w:rsidRDefault="00BA5AD3">
    <w:pPr>
      <w:pStyle w:val="Encabezado"/>
      <w:jc w:val="center"/>
    </w:pPr>
    <w:r>
      <w:t xml:space="preserve">Examen de Mejoramiento de </w:t>
    </w:r>
    <w:r w:rsidR="00FD79E9">
      <w:t>Desarrollo Organizacional</w:t>
    </w:r>
    <w:r>
      <w:t xml:space="preserve"> – Término I</w:t>
    </w:r>
  </w:p>
  <w:p w:rsidR="00BA5AD3" w:rsidRDefault="00E80087">
    <w:pPr>
      <w:pStyle w:val="Encabezado"/>
    </w:pPr>
    <w:r>
      <w:t>13</w:t>
    </w:r>
    <w:r w:rsidR="00BA5AD3">
      <w:t xml:space="preserve"> de febrero de 20</w:t>
    </w:r>
    <w: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7025"/>
    <w:multiLevelType w:val="multilevel"/>
    <w:tmpl w:val="202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C41"/>
    <w:multiLevelType w:val="hybridMultilevel"/>
    <w:tmpl w:val="91A62F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3235B"/>
    <w:multiLevelType w:val="hybridMultilevel"/>
    <w:tmpl w:val="41B078BE"/>
    <w:lvl w:ilvl="0" w:tplc="808CF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50F49"/>
    <w:multiLevelType w:val="hybridMultilevel"/>
    <w:tmpl w:val="26CA77D8"/>
    <w:lvl w:ilvl="0" w:tplc="343C2F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E3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95FD3"/>
    <w:multiLevelType w:val="hybridMultilevel"/>
    <w:tmpl w:val="C52473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377C1"/>
    <w:multiLevelType w:val="hybridMultilevel"/>
    <w:tmpl w:val="17D22854"/>
    <w:lvl w:ilvl="0" w:tplc="5B4E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446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9F363F"/>
    <w:multiLevelType w:val="hybridMultilevel"/>
    <w:tmpl w:val="BD6A06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66C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77DDE"/>
    <w:multiLevelType w:val="hybridMultilevel"/>
    <w:tmpl w:val="A58C8A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240771"/>
    <w:multiLevelType w:val="hybridMultilevel"/>
    <w:tmpl w:val="D65C46EA"/>
    <w:lvl w:ilvl="0" w:tplc="DF2AF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2266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2E"/>
    <w:rsid w:val="000D6362"/>
    <w:rsid w:val="00202DF9"/>
    <w:rsid w:val="00263EB1"/>
    <w:rsid w:val="004C0A6D"/>
    <w:rsid w:val="005B284F"/>
    <w:rsid w:val="00676548"/>
    <w:rsid w:val="00840FB9"/>
    <w:rsid w:val="009670FE"/>
    <w:rsid w:val="00BA5AD3"/>
    <w:rsid w:val="00CF6A2E"/>
    <w:rsid w:val="00DE4242"/>
    <w:rsid w:val="00E80087"/>
    <w:rsid w:val="00F7462B"/>
    <w:rsid w:val="00FC1663"/>
    <w:rsid w:val="00F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540"/>
      <w:jc w:val="both"/>
    </w:pPr>
    <w:rPr>
      <w:sz w:val="28"/>
    </w:rPr>
  </w:style>
  <w:style w:type="paragraph" w:styleId="Sangradetextonormal">
    <w:name w:val="Body Text Indent"/>
    <w:basedOn w:val="Normal"/>
    <w:pPr>
      <w:ind w:left="360"/>
      <w:jc w:val="both"/>
    </w:pPr>
    <w:rPr>
      <w:sz w:val="20"/>
    </w:rPr>
  </w:style>
  <w:style w:type="table" w:styleId="Tablaconcuadrcula">
    <w:name w:val="Table Grid"/>
    <w:basedOn w:val="Tablanormal"/>
    <w:rsid w:val="005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Personal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Ing. Arturo Salcedo</dc:creator>
  <cp:lastModifiedBy>asalcedo</cp:lastModifiedBy>
  <cp:revision>10</cp:revision>
  <cp:lastPrinted>2012-02-13T20:49:00Z</cp:lastPrinted>
  <dcterms:created xsi:type="dcterms:W3CDTF">2012-02-13T20:39:00Z</dcterms:created>
  <dcterms:modified xsi:type="dcterms:W3CDTF">2012-02-14T14:06:00Z</dcterms:modified>
</cp:coreProperties>
</file>