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D8E" w:rsidRPr="00A42D8E" w:rsidRDefault="00A42D8E" w:rsidP="00A42D8E">
      <w:pPr>
        <w:jc w:val="center"/>
        <w:rPr>
          <w:rFonts w:asciiTheme="minorHAnsi" w:hAnsiTheme="minorHAnsi" w:cstheme="minorHAnsi"/>
          <w:b/>
          <w:sz w:val="22"/>
          <w:szCs w:val="22"/>
        </w:rPr>
      </w:pPr>
      <w:r w:rsidRPr="00A42D8E">
        <w:rPr>
          <w:rFonts w:asciiTheme="minorHAnsi" w:hAnsiTheme="minorHAnsi" w:cstheme="minorHAnsi"/>
          <w:b/>
          <w:sz w:val="22"/>
          <w:szCs w:val="22"/>
        </w:rPr>
        <w:t>ESCUELA SUPERIOR POLITECNICA DEL LITORAL</w:t>
      </w:r>
    </w:p>
    <w:p w:rsidR="00A42D8E" w:rsidRPr="00A42D8E" w:rsidRDefault="00A42D8E" w:rsidP="00A42D8E">
      <w:pPr>
        <w:jc w:val="center"/>
        <w:rPr>
          <w:rFonts w:asciiTheme="minorHAnsi" w:hAnsiTheme="minorHAnsi" w:cstheme="minorHAnsi"/>
          <w:b/>
          <w:sz w:val="22"/>
          <w:szCs w:val="22"/>
        </w:rPr>
      </w:pPr>
      <w:r w:rsidRPr="00A42D8E">
        <w:rPr>
          <w:rFonts w:asciiTheme="minorHAnsi" w:hAnsiTheme="minorHAnsi" w:cstheme="minorHAnsi"/>
          <w:b/>
          <w:sz w:val="22"/>
          <w:szCs w:val="22"/>
        </w:rPr>
        <w:t>INSTITUTO DE CIENCIAS MATEMATICAS</w:t>
      </w:r>
    </w:p>
    <w:p w:rsidR="00A42D8E" w:rsidRPr="00A42D8E" w:rsidRDefault="00A42D8E" w:rsidP="00A42D8E">
      <w:pPr>
        <w:jc w:val="center"/>
        <w:rPr>
          <w:rFonts w:asciiTheme="minorHAnsi" w:hAnsiTheme="minorHAnsi" w:cstheme="minorHAnsi"/>
          <w:b/>
          <w:sz w:val="22"/>
          <w:szCs w:val="22"/>
        </w:rPr>
      </w:pPr>
      <w:r w:rsidRPr="00A42D8E">
        <w:rPr>
          <w:rFonts w:asciiTheme="minorHAnsi" w:hAnsiTheme="minorHAnsi" w:cstheme="minorHAnsi"/>
          <w:b/>
          <w:sz w:val="22"/>
          <w:szCs w:val="22"/>
        </w:rPr>
        <w:t>TERCERA EVALUACIÓN DE MATEMATICAS FINANCIERAS</w:t>
      </w:r>
    </w:p>
    <w:p w:rsidR="00A42D8E" w:rsidRPr="00A42D8E" w:rsidRDefault="00A42D8E" w:rsidP="00A42D8E">
      <w:pPr>
        <w:jc w:val="center"/>
        <w:rPr>
          <w:rFonts w:asciiTheme="minorHAnsi" w:hAnsiTheme="minorHAnsi" w:cstheme="minorHAnsi"/>
          <w:b/>
          <w:sz w:val="20"/>
          <w:szCs w:val="20"/>
        </w:rPr>
      </w:pPr>
    </w:p>
    <w:p w:rsidR="00A42D8E" w:rsidRPr="00A42D8E" w:rsidRDefault="00A42D8E" w:rsidP="00A42D8E">
      <w:pPr>
        <w:jc w:val="right"/>
        <w:rPr>
          <w:rFonts w:asciiTheme="minorHAnsi" w:hAnsiTheme="minorHAnsi" w:cstheme="minorHAnsi"/>
          <w:b/>
          <w:sz w:val="20"/>
          <w:szCs w:val="20"/>
        </w:rPr>
      </w:pPr>
      <w:r w:rsidRPr="00A42D8E">
        <w:rPr>
          <w:rFonts w:asciiTheme="minorHAnsi" w:hAnsiTheme="minorHAnsi" w:cstheme="minorHAnsi"/>
          <w:b/>
          <w:sz w:val="20"/>
          <w:szCs w:val="20"/>
        </w:rPr>
        <w:t xml:space="preserve">Guayaquil, </w:t>
      </w:r>
      <w:r>
        <w:rPr>
          <w:rFonts w:asciiTheme="minorHAnsi" w:hAnsiTheme="minorHAnsi" w:cstheme="minorHAnsi"/>
          <w:b/>
          <w:sz w:val="20"/>
          <w:szCs w:val="20"/>
        </w:rPr>
        <w:t>15 de Febrero</w:t>
      </w:r>
      <w:r w:rsidRPr="00A42D8E">
        <w:rPr>
          <w:rFonts w:asciiTheme="minorHAnsi" w:hAnsiTheme="minorHAnsi" w:cstheme="minorHAnsi"/>
          <w:b/>
          <w:sz w:val="20"/>
          <w:szCs w:val="20"/>
        </w:rPr>
        <w:t xml:space="preserve"> del 201</w:t>
      </w:r>
      <w:r w:rsidR="00A65529">
        <w:rPr>
          <w:rFonts w:asciiTheme="minorHAnsi" w:hAnsiTheme="minorHAnsi" w:cstheme="minorHAnsi"/>
          <w:b/>
          <w:sz w:val="20"/>
          <w:szCs w:val="20"/>
        </w:rPr>
        <w:t>2</w:t>
      </w:r>
    </w:p>
    <w:p w:rsidR="00A42D8E" w:rsidRPr="00A42D8E" w:rsidRDefault="00A42D8E" w:rsidP="00A42D8E">
      <w:pPr>
        <w:jc w:val="center"/>
        <w:rPr>
          <w:rFonts w:asciiTheme="minorHAnsi" w:hAnsiTheme="minorHAnsi" w:cstheme="minorHAnsi"/>
          <w:b/>
          <w:sz w:val="20"/>
          <w:szCs w:val="20"/>
        </w:rPr>
      </w:pPr>
    </w:p>
    <w:p w:rsidR="00A42D8E" w:rsidRPr="00A42D8E" w:rsidRDefault="00A42D8E" w:rsidP="00A42D8E">
      <w:pPr>
        <w:rPr>
          <w:rFonts w:asciiTheme="minorHAnsi" w:hAnsiTheme="minorHAnsi" w:cstheme="minorHAnsi"/>
          <w:b/>
          <w:sz w:val="20"/>
          <w:szCs w:val="20"/>
        </w:rPr>
      </w:pPr>
      <w:r w:rsidRPr="00A42D8E">
        <w:rPr>
          <w:rFonts w:asciiTheme="minorHAnsi" w:hAnsiTheme="minorHAnsi" w:cstheme="minorHAnsi"/>
          <w:b/>
          <w:sz w:val="20"/>
          <w:szCs w:val="20"/>
        </w:rPr>
        <w:t>Nombre:</w:t>
      </w:r>
      <w:r w:rsidRPr="00A42D8E">
        <w:rPr>
          <w:rFonts w:asciiTheme="minorHAnsi" w:hAnsiTheme="minorHAnsi" w:cstheme="minorHAnsi"/>
          <w:b/>
          <w:sz w:val="20"/>
          <w:szCs w:val="20"/>
        </w:rPr>
        <w:tab/>
      </w:r>
      <w:r w:rsidRPr="00A42D8E">
        <w:rPr>
          <w:rFonts w:asciiTheme="minorHAnsi" w:hAnsiTheme="minorHAnsi" w:cstheme="minorHAnsi"/>
          <w:b/>
          <w:sz w:val="20"/>
          <w:szCs w:val="20"/>
        </w:rPr>
        <w:tab/>
      </w:r>
      <w:r w:rsidRPr="00A42D8E">
        <w:rPr>
          <w:rFonts w:asciiTheme="minorHAnsi" w:hAnsiTheme="minorHAnsi" w:cstheme="minorHAnsi"/>
          <w:b/>
          <w:sz w:val="20"/>
          <w:szCs w:val="20"/>
        </w:rPr>
        <w:tab/>
      </w:r>
      <w:r>
        <w:rPr>
          <w:rFonts w:asciiTheme="minorHAnsi" w:hAnsiTheme="minorHAnsi" w:cstheme="minorHAnsi"/>
          <w:b/>
          <w:sz w:val="20"/>
          <w:szCs w:val="20"/>
        </w:rPr>
        <w:tab/>
      </w:r>
      <w:r w:rsidRPr="00A42D8E">
        <w:rPr>
          <w:rFonts w:asciiTheme="minorHAnsi" w:hAnsiTheme="minorHAnsi" w:cstheme="minorHAnsi"/>
          <w:b/>
          <w:sz w:val="20"/>
          <w:szCs w:val="20"/>
        </w:rPr>
        <w:tab/>
      </w:r>
      <w:r w:rsidRPr="00A42D8E">
        <w:rPr>
          <w:rFonts w:asciiTheme="minorHAnsi" w:hAnsiTheme="minorHAnsi" w:cstheme="minorHAnsi"/>
          <w:b/>
          <w:sz w:val="20"/>
          <w:szCs w:val="20"/>
        </w:rPr>
        <w:tab/>
      </w:r>
      <w:r w:rsidRPr="00A42D8E">
        <w:rPr>
          <w:rFonts w:asciiTheme="minorHAnsi" w:hAnsiTheme="minorHAnsi" w:cstheme="minorHAnsi"/>
          <w:b/>
          <w:sz w:val="20"/>
          <w:szCs w:val="20"/>
        </w:rPr>
        <w:tab/>
      </w:r>
      <w:r w:rsidRPr="00A42D8E">
        <w:rPr>
          <w:rFonts w:asciiTheme="minorHAnsi" w:hAnsiTheme="minorHAnsi" w:cstheme="minorHAnsi"/>
          <w:b/>
          <w:sz w:val="20"/>
          <w:szCs w:val="20"/>
        </w:rPr>
        <w:tab/>
      </w:r>
      <w:r w:rsidRPr="00A42D8E">
        <w:rPr>
          <w:rFonts w:asciiTheme="minorHAnsi" w:hAnsiTheme="minorHAnsi" w:cstheme="minorHAnsi"/>
          <w:b/>
          <w:sz w:val="20"/>
          <w:szCs w:val="20"/>
        </w:rPr>
        <w:tab/>
      </w:r>
      <w:r w:rsidRPr="00A42D8E">
        <w:rPr>
          <w:rFonts w:asciiTheme="minorHAnsi" w:hAnsiTheme="minorHAnsi" w:cstheme="minorHAnsi"/>
          <w:b/>
          <w:sz w:val="20"/>
          <w:szCs w:val="20"/>
        </w:rPr>
        <w:tab/>
        <w:t>Paralelo:</w:t>
      </w:r>
    </w:p>
    <w:p w:rsidR="00A42D8E" w:rsidRPr="00A42D8E" w:rsidRDefault="00A42D8E" w:rsidP="00A42D8E">
      <w:pPr>
        <w:jc w:val="center"/>
        <w:rPr>
          <w:rFonts w:asciiTheme="minorHAnsi" w:hAnsiTheme="minorHAnsi" w:cstheme="minorHAnsi"/>
          <w:b/>
          <w:sz w:val="20"/>
          <w:szCs w:val="20"/>
        </w:rPr>
      </w:pPr>
      <w:bookmarkStart w:id="0" w:name="_GoBack"/>
      <w:bookmarkEnd w:id="0"/>
    </w:p>
    <w:p w:rsidR="001C2A64" w:rsidRPr="00A42D8E" w:rsidRDefault="001C2A64" w:rsidP="001C2A64">
      <w:pPr>
        <w:jc w:val="both"/>
        <w:rPr>
          <w:rFonts w:asciiTheme="minorHAnsi" w:hAnsiTheme="minorHAnsi" w:cstheme="minorHAnsi"/>
          <w:i/>
          <w:sz w:val="20"/>
          <w:szCs w:val="20"/>
        </w:rPr>
      </w:pPr>
      <w:r w:rsidRPr="00A42D8E">
        <w:rPr>
          <w:rFonts w:asciiTheme="minorHAnsi" w:hAnsiTheme="minorHAnsi" w:cstheme="minorHAnsi"/>
          <w:sz w:val="20"/>
          <w:szCs w:val="20"/>
        </w:rPr>
        <w:t>1. Juanito Fernández se endeuda con un Banco en la suma de $ 200.000 con un periodo de seis meses de gracia, es decir, no cancela durante seis meses el capital prestado. Finalizado este periodo deberá empezar a depositar mensualmente a partir del final del sexto mes durante seis años la cuota correspondiente que cancele la deuda contraída con una tasa del 16% nominal anual capitalizable trimestralmente. Sin embargo inmediatamente de realizar el depósito No. 30 y debido a una crisis financiera, el banco decide cambiar la tasa de interés al 18% anual compuesto semestralmente a partir de ese momento hasta finalizar el pago de la deuda, lo cual modifica el valor de la cuota que Juanito Fernández deberá depositar mensualmente para cancelar el saldo restante de la deuda</w:t>
      </w:r>
      <w:r w:rsidRPr="00A42D8E">
        <w:rPr>
          <w:rFonts w:asciiTheme="minorHAnsi" w:hAnsiTheme="minorHAnsi" w:cstheme="minorHAnsi"/>
          <w:i/>
          <w:sz w:val="20"/>
          <w:szCs w:val="20"/>
        </w:rPr>
        <w:t xml:space="preserve">. </w:t>
      </w:r>
    </w:p>
    <w:p w:rsidR="001C2A64" w:rsidRPr="00A42D8E" w:rsidRDefault="001C2A64" w:rsidP="001C2A64">
      <w:pPr>
        <w:pStyle w:val="Prrafodelista"/>
        <w:numPr>
          <w:ilvl w:val="0"/>
          <w:numId w:val="5"/>
        </w:numPr>
        <w:jc w:val="both"/>
        <w:rPr>
          <w:rFonts w:asciiTheme="minorHAnsi" w:hAnsiTheme="minorHAnsi" w:cstheme="minorHAnsi"/>
          <w:sz w:val="20"/>
          <w:szCs w:val="20"/>
        </w:rPr>
      </w:pPr>
      <w:r w:rsidRPr="00A42D8E">
        <w:rPr>
          <w:rFonts w:asciiTheme="minorHAnsi" w:hAnsiTheme="minorHAnsi" w:cstheme="minorHAnsi"/>
          <w:sz w:val="20"/>
          <w:szCs w:val="20"/>
        </w:rPr>
        <w:t>Determine el valor de los pagos antes y después del cambio de tasa.</w:t>
      </w:r>
    </w:p>
    <w:p w:rsidR="001C2A64" w:rsidRPr="00A42D8E" w:rsidRDefault="001C2A64" w:rsidP="001C2A64">
      <w:pPr>
        <w:rPr>
          <w:rFonts w:asciiTheme="minorHAnsi" w:hAnsiTheme="minorHAnsi" w:cstheme="minorHAnsi"/>
          <w:sz w:val="20"/>
          <w:szCs w:val="20"/>
        </w:rPr>
      </w:pPr>
    </w:p>
    <w:p w:rsidR="001C2A64" w:rsidRPr="00A42D8E" w:rsidRDefault="001C2A64" w:rsidP="001C2A64">
      <w:pPr>
        <w:jc w:val="both"/>
        <w:rPr>
          <w:rFonts w:asciiTheme="minorHAnsi" w:hAnsiTheme="minorHAnsi" w:cstheme="minorHAnsi"/>
          <w:sz w:val="20"/>
          <w:szCs w:val="20"/>
        </w:rPr>
      </w:pPr>
      <w:r w:rsidRPr="00A42D8E">
        <w:rPr>
          <w:rFonts w:asciiTheme="minorHAnsi" w:hAnsiTheme="minorHAnsi" w:cstheme="minorHAnsi"/>
          <w:sz w:val="20"/>
          <w:szCs w:val="20"/>
        </w:rPr>
        <w:t>2. El día de hoy el Economista Ayala compra bonos seriados de $ 12.500 al 5% convertible trimestralmente, con la intención de que le rindan el 10% efectivo anual. Su compra se detalla a continuación:</w:t>
      </w:r>
    </w:p>
    <w:p w:rsidR="001C2A64" w:rsidRPr="00A42D8E" w:rsidRDefault="001C2A64" w:rsidP="001C2A64">
      <w:pPr>
        <w:numPr>
          <w:ilvl w:val="0"/>
          <w:numId w:val="1"/>
        </w:numPr>
        <w:jc w:val="both"/>
        <w:rPr>
          <w:rFonts w:asciiTheme="minorHAnsi" w:hAnsiTheme="minorHAnsi" w:cstheme="minorHAnsi"/>
          <w:sz w:val="20"/>
          <w:szCs w:val="20"/>
        </w:rPr>
      </w:pPr>
      <w:r w:rsidRPr="00A42D8E">
        <w:rPr>
          <w:rFonts w:asciiTheme="minorHAnsi" w:hAnsiTheme="minorHAnsi" w:cstheme="minorHAnsi"/>
          <w:sz w:val="20"/>
          <w:szCs w:val="20"/>
        </w:rPr>
        <w:t>20 bonos con vencimiento el 2 de Agosto de 2020</w:t>
      </w:r>
    </w:p>
    <w:p w:rsidR="001C2A64" w:rsidRPr="00A42D8E" w:rsidRDefault="001C2A64" w:rsidP="001C2A64">
      <w:pPr>
        <w:numPr>
          <w:ilvl w:val="0"/>
          <w:numId w:val="1"/>
        </w:numPr>
        <w:jc w:val="both"/>
        <w:rPr>
          <w:rFonts w:asciiTheme="minorHAnsi" w:hAnsiTheme="minorHAnsi" w:cstheme="minorHAnsi"/>
          <w:sz w:val="20"/>
          <w:szCs w:val="20"/>
        </w:rPr>
      </w:pPr>
      <w:r w:rsidRPr="00A42D8E">
        <w:rPr>
          <w:rFonts w:asciiTheme="minorHAnsi" w:hAnsiTheme="minorHAnsi" w:cstheme="minorHAnsi"/>
          <w:sz w:val="20"/>
          <w:szCs w:val="20"/>
        </w:rPr>
        <w:t>25 bonos con vencimiento el 2 de Noviembre de 2021</w:t>
      </w:r>
    </w:p>
    <w:p w:rsidR="001C2A64" w:rsidRPr="00A42D8E" w:rsidRDefault="001C2A64" w:rsidP="001C2A64">
      <w:pPr>
        <w:numPr>
          <w:ilvl w:val="0"/>
          <w:numId w:val="1"/>
        </w:numPr>
        <w:jc w:val="both"/>
        <w:rPr>
          <w:rFonts w:asciiTheme="minorHAnsi" w:hAnsiTheme="minorHAnsi" w:cstheme="minorHAnsi"/>
          <w:sz w:val="20"/>
          <w:szCs w:val="20"/>
        </w:rPr>
      </w:pPr>
      <w:r w:rsidRPr="00A42D8E">
        <w:rPr>
          <w:rFonts w:asciiTheme="minorHAnsi" w:hAnsiTheme="minorHAnsi" w:cstheme="minorHAnsi"/>
          <w:sz w:val="20"/>
          <w:szCs w:val="20"/>
        </w:rPr>
        <w:t>30 bonos con vencimiento el 2 de Febrero de 2022</w:t>
      </w:r>
    </w:p>
    <w:p w:rsidR="001C2A64" w:rsidRPr="00A42D8E" w:rsidRDefault="001C2A64" w:rsidP="001C2A64">
      <w:pPr>
        <w:pStyle w:val="Prrafodelista"/>
        <w:numPr>
          <w:ilvl w:val="0"/>
          <w:numId w:val="5"/>
        </w:numPr>
        <w:jc w:val="both"/>
        <w:rPr>
          <w:rFonts w:asciiTheme="minorHAnsi" w:hAnsiTheme="minorHAnsi" w:cstheme="minorHAnsi"/>
          <w:sz w:val="20"/>
          <w:szCs w:val="20"/>
        </w:rPr>
      </w:pPr>
      <w:r w:rsidRPr="00A42D8E">
        <w:rPr>
          <w:rFonts w:asciiTheme="minorHAnsi" w:hAnsiTheme="minorHAnsi" w:cstheme="minorHAnsi"/>
          <w:sz w:val="20"/>
          <w:szCs w:val="20"/>
        </w:rPr>
        <w:t>Si estos bonos son redimibles a la par, determinar el total pagado por el Economista Ayala</w:t>
      </w:r>
    </w:p>
    <w:p w:rsidR="001C2A64" w:rsidRPr="00A42D8E" w:rsidRDefault="001C2A64" w:rsidP="001C2A64">
      <w:pPr>
        <w:jc w:val="both"/>
        <w:rPr>
          <w:rFonts w:asciiTheme="minorHAnsi" w:hAnsiTheme="minorHAnsi" w:cstheme="minorHAnsi"/>
          <w:sz w:val="20"/>
          <w:szCs w:val="20"/>
        </w:rPr>
      </w:pPr>
    </w:p>
    <w:p w:rsidR="001C2A64" w:rsidRPr="00A42D8E" w:rsidRDefault="001C2A64" w:rsidP="001C2A64">
      <w:pPr>
        <w:jc w:val="both"/>
        <w:rPr>
          <w:rFonts w:asciiTheme="minorHAnsi" w:hAnsiTheme="minorHAnsi" w:cstheme="minorHAnsi"/>
          <w:sz w:val="20"/>
          <w:szCs w:val="20"/>
        </w:rPr>
      </w:pPr>
      <w:r w:rsidRPr="00A42D8E">
        <w:rPr>
          <w:rFonts w:asciiTheme="minorHAnsi" w:hAnsiTheme="minorHAnsi" w:cstheme="minorHAnsi"/>
          <w:sz w:val="20"/>
          <w:szCs w:val="20"/>
        </w:rPr>
        <w:t xml:space="preserve">3. Para un proceso de producción continua, se consideran dos máquinas: A y B, cuyos costos se detallan en la tabla adjunta. </w:t>
      </w:r>
    </w:p>
    <w:tbl>
      <w:tblPr>
        <w:tblStyle w:val="Tablaconcuadrcula"/>
        <w:tblW w:w="0" w:type="auto"/>
        <w:jc w:val="center"/>
        <w:tblLook w:val="01E0" w:firstRow="1" w:lastRow="1" w:firstColumn="1" w:lastColumn="1" w:noHBand="0" w:noVBand="0"/>
      </w:tblPr>
      <w:tblGrid>
        <w:gridCol w:w="2906"/>
        <w:gridCol w:w="1563"/>
        <w:gridCol w:w="1563"/>
      </w:tblGrid>
      <w:tr w:rsidR="001C2A64" w:rsidRPr="00A42D8E" w:rsidTr="001C2A64">
        <w:trPr>
          <w:jc w:val="center"/>
        </w:trPr>
        <w:tc>
          <w:tcPr>
            <w:tcW w:w="2906" w:type="dxa"/>
          </w:tcPr>
          <w:p w:rsidR="001C2A64" w:rsidRPr="00A42D8E" w:rsidRDefault="001C2A64" w:rsidP="00EF5B49">
            <w:pPr>
              <w:jc w:val="both"/>
              <w:rPr>
                <w:rFonts w:asciiTheme="minorHAnsi" w:hAnsiTheme="minorHAnsi" w:cstheme="minorHAnsi"/>
                <w:sz w:val="20"/>
                <w:szCs w:val="20"/>
              </w:rPr>
            </w:pPr>
          </w:p>
        </w:tc>
        <w:tc>
          <w:tcPr>
            <w:tcW w:w="1563" w:type="dxa"/>
          </w:tcPr>
          <w:p w:rsidR="001C2A64" w:rsidRPr="00A42D8E" w:rsidRDefault="001C2A64" w:rsidP="00EF5B49">
            <w:pPr>
              <w:jc w:val="both"/>
              <w:rPr>
                <w:rFonts w:asciiTheme="minorHAnsi" w:hAnsiTheme="minorHAnsi" w:cstheme="minorHAnsi"/>
                <w:sz w:val="20"/>
                <w:szCs w:val="20"/>
              </w:rPr>
            </w:pPr>
            <w:r w:rsidRPr="00A42D8E">
              <w:rPr>
                <w:rFonts w:asciiTheme="minorHAnsi" w:hAnsiTheme="minorHAnsi" w:cstheme="minorHAnsi"/>
                <w:sz w:val="20"/>
                <w:szCs w:val="20"/>
              </w:rPr>
              <w:t>Máquina A</w:t>
            </w:r>
          </w:p>
        </w:tc>
        <w:tc>
          <w:tcPr>
            <w:tcW w:w="1563" w:type="dxa"/>
          </w:tcPr>
          <w:p w:rsidR="001C2A64" w:rsidRPr="00A42D8E" w:rsidRDefault="001C2A64" w:rsidP="00EF5B49">
            <w:pPr>
              <w:jc w:val="both"/>
              <w:rPr>
                <w:rFonts w:asciiTheme="minorHAnsi" w:hAnsiTheme="minorHAnsi" w:cstheme="minorHAnsi"/>
                <w:sz w:val="20"/>
                <w:szCs w:val="20"/>
              </w:rPr>
            </w:pPr>
            <w:r w:rsidRPr="00A42D8E">
              <w:rPr>
                <w:rFonts w:asciiTheme="minorHAnsi" w:hAnsiTheme="minorHAnsi" w:cstheme="minorHAnsi"/>
                <w:sz w:val="20"/>
                <w:szCs w:val="20"/>
              </w:rPr>
              <w:t>Máquina B</w:t>
            </w:r>
          </w:p>
        </w:tc>
      </w:tr>
      <w:tr w:rsidR="001C2A64" w:rsidRPr="00A42D8E" w:rsidTr="001C2A64">
        <w:trPr>
          <w:jc w:val="center"/>
        </w:trPr>
        <w:tc>
          <w:tcPr>
            <w:tcW w:w="2906" w:type="dxa"/>
          </w:tcPr>
          <w:p w:rsidR="001C2A64" w:rsidRPr="00A42D8E" w:rsidRDefault="001C2A64" w:rsidP="00EF5B49">
            <w:pPr>
              <w:jc w:val="both"/>
              <w:rPr>
                <w:rFonts w:asciiTheme="minorHAnsi" w:hAnsiTheme="minorHAnsi" w:cstheme="minorHAnsi"/>
                <w:sz w:val="20"/>
                <w:szCs w:val="20"/>
              </w:rPr>
            </w:pPr>
            <w:r w:rsidRPr="00A42D8E">
              <w:rPr>
                <w:rFonts w:asciiTheme="minorHAnsi" w:hAnsiTheme="minorHAnsi" w:cstheme="minorHAnsi"/>
                <w:sz w:val="20"/>
                <w:szCs w:val="20"/>
              </w:rPr>
              <w:t>Costo inicial</w:t>
            </w:r>
          </w:p>
        </w:tc>
        <w:tc>
          <w:tcPr>
            <w:tcW w:w="1563" w:type="dxa"/>
          </w:tcPr>
          <w:p w:rsidR="001C2A64" w:rsidRPr="00A42D8E" w:rsidRDefault="001C2A64" w:rsidP="00A42D8E">
            <w:pPr>
              <w:jc w:val="right"/>
              <w:rPr>
                <w:rFonts w:asciiTheme="minorHAnsi" w:hAnsiTheme="minorHAnsi" w:cstheme="minorHAnsi"/>
                <w:sz w:val="20"/>
                <w:szCs w:val="20"/>
              </w:rPr>
            </w:pPr>
            <w:r w:rsidRPr="00A42D8E">
              <w:rPr>
                <w:rFonts w:asciiTheme="minorHAnsi" w:hAnsiTheme="minorHAnsi" w:cstheme="minorHAnsi"/>
                <w:sz w:val="20"/>
                <w:szCs w:val="20"/>
              </w:rPr>
              <w:t>$ 19</w:t>
            </w:r>
            <w:r w:rsidR="00A42D8E" w:rsidRPr="00A42D8E">
              <w:rPr>
                <w:rFonts w:asciiTheme="minorHAnsi" w:hAnsiTheme="minorHAnsi" w:cstheme="minorHAnsi"/>
                <w:sz w:val="20"/>
                <w:szCs w:val="20"/>
              </w:rPr>
              <w:t>5</w:t>
            </w:r>
            <w:r w:rsidRPr="00A42D8E">
              <w:rPr>
                <w:rFonts w:asciiTheme="minorHAnsi" w:hAnsiTheme="minorHAnsi" w:cstheme="minorHAnsi"/>
                <w:sz w:val="20"/>
                <w:szCs w:val="20"/>
              </w:rPr>
              <w:t>.000</w:t>
            </w:r>
          </w:p>
        </w:tc>
        <w:tc>
          <w:tcPr>
            <w:tcW w:w="1563" w:type="dxa"/>
          </w:tcPr>
          <w:p w:rsidR="001C2A64" w:rsidRPr="00A42D8E" w:rsidRDefault="001C2A64" w:rsidP="001C2A64">
            <w:pPr>
              <w:jc w:val="right"/>
              <w:rPr>
                <w:rFonts w:asciiTheme="minorHAnsi" w:hAnsiTheme="minorHAnsi" w:cstheme="minorHAnsi"/>
                <w:sz w:val="20"/>
                <w:szCs w:val="20"/>
              </w:rPr>
            </w:pPr>
            <w:r w:rsidRPr="00A42D8E">
              <w:rPr>
                <w:rFonts w:asciiTheme="minorHAnsi" w:hAnsiTheme="minorHAnsi" w:cstheme="minorHAnsi"/>
                <w:sz w:val="20"/>
                <w:szCs w:val="20"/>
              </w:rPr>
              <w:t>$210.000</w:t>
            </w:r>
          </w:p>
        </w:tc>
      </w:tr>
      <w:tr w:rsidR="001C2A64" w:rsidRPr="00A42D8E" w:rsidTr="001C2A64">
        <w:trPr>
          <w:jc w:val="center"/>
        </w:trPr>
        <w:tc>
          <w:tcPr>
            <w:tcW w:w="2906" w:type="dxa"/>
          </w:tcPr>
          <w:p w:rsidR="001C2A64" w:rsidRPr="00A42D8E" w:rsidRDefault="001C2A64" w:rsidP="00EF5B49">
            <w:pPr>
              <w:jc w:val="both"/>
              <w:rPr>
                <w:rFonts w:asciiTheme="minorHAnsi" w:hAnsiTheme="minorHAnsi" w:cstheme="minorHAnsi"/>
                <w:sz w:val="20"/>
                <w:szCs w:val="20"/>
              </w:rPr>
            </w:pPr>
            <w:r w:rsidRPr="00A42D8E">
              <w:rPr>
                <w:rFonts w:asciiTheme="minorHAnsi" w:hAnsiTheme="minorHAnsi" w:cstheme="minorHAnsi"/>
                <w:sz w:val="20"/>
                <w:szCs w:val="20"/>
              </w:rPr>
              <w:t>Costo semestral de operación</w:t>
            </w:r>
          </w:p>
        </w:tc>
        <w:tc>
          <w:tcPr>
            <w:tcW w:w="1563" w:type="dxa"/>
          </w:tcPr>
          <w:p w:rsidR="001C2A64" w:rsidRPr="00A42D8E" w:rsidRDefault="001C2A64" w:rsidP="00EF5B49">
            <w:pPr>
              <w:jc w:val="right"/>
              <w:rPr>
                <w:rFonts w:asciiTheme="minorHAnsi" w:hAnsiTheme="minorHAnsi" w:cstheme="minorHAnsi"/>
                <w:sz w:val="20"/>
                <w:szCs w:val="20"/>
              </w:rPr>
            </w:pPr>
            <w:r w:rsidRPr="00A42D8E">
              <w:rPr>
                <w:rFonts w:asciiTheme="minorHAnsi" w:hAnsiTheme="minorHAnsi" w:cstheme="minorHAnsi"/>
                <w:sz w:val="20"/>
                <w:szCs w:val="20"/>
              </w:rPr>
              <w:t>$ 95.000</w:t>
            </w:r>
          </w:p>
        </w:tc>
        <w:tc>
          <w:tcPr>
            <w:tcW w:w="1563" w:type="dxa"/>
          </w:tcPr>
          <w:p w:rsidR="001C2A64" w:rsidRPr="00A42D8E" w:rsidRDefault="001C2A64" w:rsidP="00EF5B49">
            <w:pPr>
              <w:jc w:val="right"/>
              <w:rPr>
                <w:rFonts w:asciiTheme="minorHAnsi" w:hAnsiTheme="minorHAnsi" w:cstheme="minorHAnsi"/>
                <w:sz w:val="20"/>
                <w:szCs w:val="20"/>
              </w:rPr>
            </w:pPr>
            <w:r w:rsidRPr="00A42D8E">
              <w:rPr>
                <w:rFonts w:asciiTheme="minorHAnsi" w:hAnsiTheme="minorHAnsi" w:cstheme="minorHAnsi"/>
                <w:sz w:val="20"/>
                <w:szCs w:val="20"/>
              </w:rPr>
              <w:t>$ 100.000</w:t>
            </w:r>
          </w:p>
        </w:tc>
      </w:tr>
      <w:tr w:rsidR="001C2A64" w:rsidRPr="00A42D8E" w:rsidTr="001C2A64">
        <w:trPr>
          <w:jc w:val="center"/>
        </w:trPr>
        <w:tc>
          <w:tcPr>
            <w:tcW w:w="2906" w:type="dxa"/>
          </w:tcPr>
          <w:p w:rsidR="001C2A64" w:rsidRPr="00A42D8E" w:rsidRDefault="001C2A64" w:rsidP="00EF5B49">
            <w:pPr>
              <w:jc w:val="both"/>
              <w:rPr>
                <w:rFonts w:asciiTheme="minorHAnsi" w:hAnsiTheme="minorHAnsi" w:cstheme="minorHAnsi"/>
                <w:sz w:val="20"/>
                <w:szCs w:val="20"/>
              </w:rPr>
            </w:pPr>
            <w:r w:rsidRPr="00A42D8E">
              <w:rPr>
                <w:rFonts w:asciiTheme="minorHAnsi" w:hAnsiTheme="minorHAnsi" w:cstheme="minorHAnsi"/>
                <w:sz w:val="20"/>
                <w:szCs w:val="20"/>
              </w:rPr>
              <w:t>Valor de salvamento</w:t>
            </w:r>
          </w:p>
        </w:tc>
        <w:tc>
          <w:tcPr>
            <w:tcW w:w="1563" w:type="dxa"/>
          </w:tcPr>
          <w:p w:rsidR="001C2A64" w:rsidRPr="00A42D8E" w:rsidRDefault="001C2A64" w:rsidP="00EF5B49">
            <w:pPr>
              <w:jc w:val="right"/>
              <w:rPr>
                <w:rFonts w:asciiTheme="minorHAnsi" w:hAnsiTheme="minorHAnsi" w:cstheme="minorHAnsi"/>
                <w:sz w:val="20"/>
                <w:szCs w:val="20"/>
              </w:rPr>
            </w:pPr>
          </w:p>
        </w:tc>
        <w:tc>
          <w:tcPr>
            <w:tcW w:w="1563" w:type="dxa"/>
          </w:tcPr>
          <w:p w:rsidR="001C2A64" w:rsidRPr="00A42D8E" w:rsidRDefault="001C2A64" w:rsidP="00EF5B49">
            <w:pPr>
              <w:jc w:val="right"/>
              <w:rPr>
                <w:rFonts w:asciiTheme="minorHAnsi" w:hAnsiTheme="minorHAnsi" w:cstheme="minorHAnsi"/>
                <w:sz w:val="20"/>
                <w:szCs w:val="20"/>
              </w:rPr>
            </w:pPr>
            <w:r w:rsidRPr="00A42D8E">
              <w:rPr>
                <w:rFonts w:asciiTheme="minorHAnsi" w:hAnsiTheme="minorHAnsi" w:cstheme="minorHAnsi"/>
                <w:sz w:val="20"/>
                <w:szCs w:val="20"/>
              </w:rPr>
              <w:t>$ 10.000</w:t>
            </w:r>
          </w:p>
        </w:tc>
      </w:tr>
      <w:tr w:rsidR="001C2A64" w:rsidRPr="00A42D8E" w:rsidTr="001C2A64">
        <w:trPr>
          <w:jc w:val="center"/>
        </w:trPr>
        <w:tc>
          <w:tcPr>
            <w:tcW w:w="2906" w:type="dxa"/>
          </w:tcPr>
          <w:p w:rsidR="001C2A64" w:rsidRPr="00A42D8E" w:rsidRDefault="001C2A64" w:rsidP="00EF5B49">
            <w:pPr>
              <w:jc w:val="both"/>
              <w:rPr>
                <w:rFonts w:asciiTheme="minorHAnsi" w:hAnsiTheme="minorHAnsi" w:cstheme="minorHAnsi"/>
                <w:sz w:val="20"/>
                <w:szCs w:val="20"/>
              </w:rPr>
            </w:pPr>
            <w:r w:rsidRPr="00A42D8E">
              <w:rPr>
                <w:rFonts w:asciiTheme="minorHAnsi" w:hAnsiTheme="minorHAnsi" w:cstheme="minorHAnsi"/>
                <w:sz w:val="20"/>
                <w:szCs w:val="20"/>
              </w:rPr>
              <w:t>Vida (años)</w:t>
            </w:r>
          </w:p>
        </w:tc>
        <w:tc>
          <w:tcPr>
            <w:tcW w:w="1563" w:type="dxa"/>
          </w:tcPr>
          <w:p w:rsidR="001C2A64" w:rsidRPr="00A42D8E" w:rsidRDefault="001C2A64" w:rsidP="00EF5B49">
            <w:pPr>
              <w:jc w:val="right"/>
              <w:rPr>
                <w:rFonts w:asciiTheme="minorHAnsi" w:hAnsiTheme="minorHAnsi" w:cstheme="minorHAnsi"/>
                <w:sz w:val="20"/>
                <w:szCs w:val="20"/>
              </w:rPr>
            </w:pPr>
            <w:r w:rsidRPr="00A42D8E">
              <w:rPr>
                <w:rFonts w:asciiTheme="minorHAnsi" w:hAnsiTheme="minorHAnsi" w:cstheme="minorHAnsi"/>
                <w:sz w:val="20"/>
                <w:szCs w:val="20"/>
              </w:rPr>
              <w:sym w:font="Symbol" w:char="F0A5"/>
            </w:r>
          </w:p>
        </w:tc>
        <w:tc>
          <w:tcPr>
            <w:tcW w:w="1563" w:type="dxa"/>
          </w:tcPr>
          <w:p w:rsidR="001C2A64" w:rsidRPr="00A42D8E" w:rsidRDefault="001C2A64" w:rsidP="00EF5B49">
            <w:pPr>
              <w:jc w:val="right"/>
              <w:rPr>
                <w:rFonts w:asciiTheme="minorHAnsi" w:hAnsiTheme="minorHAnsi" w:cstheme="minorHAnsi"/>
                <w:sz w:val="20"/>
                <w:szCs w:val="20"/>
              </w:rPr>
            </w:pPr>
            <w:r w:rsidRPr="00A42D8E">
              <w:rPr>
                <w:rFonts w:asciiTheme="minorHAnsi" w:hAnsiTheme="minorHAnsi" w:cstheme="minorHAnsi"/>
                <w:sz w:val="20"/>
                <w:szCs w:val="20"/>
              </w:rPr>
              <w:t>10</w:t>
            </w:r>
          </w:p>
        </w:tc>
      </w:tr>
    </w:tbl>
    <w:p w:rsidR="001C2A64" w:rsidRPr="00A42D8E" w:rsidRDefault="001C2A64" w:rsidP="001C2A64">
      <w:pPr>
        <w:jc w:val="both"/>
        <w:rPr>
          <w:rFonts w:asciiTheme="minorHAnsi" w:hAnsiTheme="minorHAnsi" w:cstheme="minorHAnsi"/>
          <w:sz w:val="20"/>
          <w:szCs w:val="20"/>
        </w:rPr>
      </w:pPr>
    </w:p>
    <w:p w:rsidR="001C2A64" w:rsidRPr="00A42D8E" w:rsidRDefault="001C2A64" w:rsidP="001C2A64">
      <w:pPr>
        <w:pStyle w:val="Prrafodelista"/>
        <w:numPr>
          <w:ilvl w:val="0"/>
          <w:numId w:val="5"/>
        </w:numPr>
        <w:jc w:val="both"/>
        <w:rPr>
          <w:rFonts w:asciiTheme="minorHAnsi" w:hAnsiTheme="minorHAnsi" w:cstheme="minorHAnsi"/>
          <w:sz w:val="20"/>
          <w:szCs w:val="20"/>
        </w:rPr>
      </w:pPr>
      <w:r w:rsidRPr="00A42D8E">
        <w:rPr>
          <w:rFonts w:asciiTheme="minorHAnsi" w:hAnsiTheme="minorHAnsi" w:cstheme="minorHAnsi"/>
          <w:sz w:val="20"/>
          <w:szCs w:val="20"/>
        </w:rPr>
        <w:t>Utilizando una tasa de interés del 10% capitalizable semestralmente, determine cuál alternativa debe seleccionarse, en función de su costo anual uniforme equivalente.</w:t>
      </w:r>
    </w:p>
    <w:p w:rsidR="001C2A64" w:rsidRPr="00A42D8E" w:rsidRDefault="001C2A64" w:rsidP="001C2A64">
      <w:pPr>
        <w:ind w:left="360"/>
        <w:jc w:val="both"/>
        <w:rPr>
          <w:rFonts w:ascii="Calibri" w:hAnsi="Calibri" w:cs="Calibri"/>
          <w:sz w:val="20"/>
          <w:szCs w:val="20"/>
        </w:rPr>
      </w:pPr>
    </w:p>
    <w:p w:rsidR="001C2A64" w:rsidRPr="00A42D8E" w:rsidRDefault="001C2A64" w:rsidP="001C2A64">
      <w:pPr>
        <w:jc w:val="both"/>
        <w:rPr>
          <w:rFonts w:asciiTheme="minorHAnsi" w:hAnsiTheme="minorHAnsi" w:cstheme="minorHAnsi"/>
          <w:sz w:val="20"/>
          <w:szCs w:val="20"/>
        </w:rPr>
      </w:pPr>
      <w:r w:rsidRPr="00A42D8E">
        <w:rPr>
          <w:rFonts w:asciiTheme="minorHAnsi" w:hAnsiTheme="minorHAnsi" w:cstheme="minorHAnsi"/>
          <w:sz w:val="20"/>
          <w:szCs w:val="20"/>
        </w:rPr>
        <w:t>4. Evalúe desde un punto financiero lo siguiente:</w:t>
      </w:r>
    </w:p>
    <w:p w:rsidR="001C2A64" w:rsidRPr="00A42D8E" w:rsidRDefault="001C2A64" w:rsidP="001C2A64">
      <w:pPr>
        <w:pStyle w:val="Prrafodelista"/>
        <w:numPr>
          <w:ilvl w:val="0"/>
          <w:numId w:val="8"/>
        </w:numPr>
        <w:jc w:val="both"/>
        <w:rPr>
          <w:rFonts w:ascii="Calibri" w:hAnsi="Calibri" w:cs="Calibri"/>
          <w:sz w:val="20"/>
          <w:szCs w:val="20"/>
        </w:rPr>
      </w:pPr>
      <w:r w:rsidRPr="00A42D8E">
        <w:rPr>
          <w:rFonts w:ascii="Calibri" w:hAnsi="Calibri" w:cs="Calibri"/>
          <w:sz w:val="20"/>
          <w:szCs w:val="20"/>
        </w:rPr>
        <w:t>El costo capitalizado de un proyecto que tiene un costo inicial de $ 160.000 y una inversión adicional de $ 60.000 después de 10 años. El costo anual de operación será de $ 6.000 durante los primeros 4 años y $ 9.000 de allí en adelante. Además se espera que haya un costo de adaptación considerable de tipo recurrente por $ 15.000 cada 13 años. Suponga que la tasa de interés es del 10% efectivo anual.</w:t>
      </w:r>
    </w:p>
    <w:p w:rsidR="00A42D8E" w:rsidRDefault="00A42D8E" w:rsidP="001C2A64">
      <w:pPr>
        <w:pStyle w:val="Prrafodelista"/>
        <w:numPr>
          <w:ilvl w:val="0"/>
          <w:numId w:val="8"/>
        </w:numPr>
        <w:jc w:val="both"/>
        <w:rPr>
          <w:rFonts w:ascii="Calibri" w:hAnsi="Calibri" w:cs="Calibri"/>
          <w:sz w:val="20"/>
          <w:szCs w:val="20"/>
        </w:rPr>
      </w:pPr>
      <w:r w:rsidRPr="00A42D8E">
        <w:rPr>
          <w:rFonts w:ascii="Calibri" w:hAnsi="Calibri" w:cs="Calibri"/>
          <w:sz w:val="20"/>
          <w:szCs w:val="20"/>
        </w:rPr>
        <w:t xml:space="preserve">A usted le han ofrecido un bono de $20.000 al 6% con un descuento del 4%. Si el interés se paga trimestralmente y el bono vence en 15 años, ¿Qué tasa de retorno por trimestre </w:t>
      </w:r>
      <w:r>
        <w:rPr>
          <w:rFonts w:ascii="Calibri" w:hAnsi="Calibri" w:cs="Calibri"/>
          <w:sz w:val="20"/>
          <w:szCs w:val="20"/>
        </w:rPr>
        <w:t xml:space="preserve">TIR </w:t>
      </w:r>
      <w:r w:rsidRPr="00A42D8E">
        <w:rPr>
          <w:rFonts w:ascii="Calibri" w:hAnsi="Calibri" w:cs="Calibri"/>
          <w:sz w:val="20"/>
          <w:szCs w:val="20"/>
        </w:rPr>
        <w:t>podría usted obtener si comprara el bono?</w:t>
      </w:r>
    </w:p>
    <w:p w:rsidR="001C2A64" w:rsidRPr="00A42D8E" w:rsidRDefault="001C2A64" w:rsidP="001C2A64">
      <w:pPr>
        <w:pStyle w:val="Prrafodelista"/>
        <w:numPr>
          <w:ilvl w:val="0"/>
          <w:numId w:val="8"/>
        </w:numPr>
        <w:jc w:val="both"/>
        <w:rPr>
          <w:rFonts w:ascii="Calibri" w:hAnsi="Calibri" w:cs="Calibri"/>
          <w:sz w:val="20"/>
          <w:szCs w:val="20"/>
        </w:rPr>
      </w:pPr>
      <w:r w:rsidRPr="00A42D8E">
        <w:rPr>
          <w:rFonts w:ascii="Calibri" w:hAnsi="Calibri" w:cs="Calibri"/>
          <w:sz w:val="20"/>
          <w:szCs w:val="20"/>
        </w:rPr>
        <w:t>¿Cuántos dólares se requieren ahora para tener el mismo poder de compra de  $ 100.000 hace 10 años, si la tasa de interés es del 10% anual y la tasa de inflación promedio fue del 4% anual?</w:t>
      </w:r>
    </w:p>
    <w:p w:rsidR="00A42D8E" w:rsidRDefault="00A42D8E" w:rsidP="001C2A64">
      <w:pPr>
        <w:pStyle w:val="Prrafodelista"/>
        <w:numPr>
          <w:ilvl w:val="0"/>
          <w:numId w:val="8"/>
        </w:numPr>
        <w:jc w:val="both"/>
        <w:rPr>
          <w:rFonts w:ascii="Calibri" w:hAnsi="Calibri" w:cs="Calibri"/>
          <w:sz w:val="20"/>
          <w:szCs w:val="20"/>
        </w:rPr>
      </w:pPr>
      <w:r w:rsidRPr="00A42D8E">
        <w:rPr>
          <w:rFonts w:ascii="Calibri" w:hAnsi="Calibri" w:cs="Calibri"/>
          <w:sz w:val="20"/>
          <w:szCs w:val="20"/>
        </w:rPr>
        <w:t>Si se invierten $5.000 ahora en acciones comunes, los cuales se espera que produzcan $100 anualmente durante 10 años y $8.000 al final de estos 10 años. ¿Cuál es la tasa interna de retorno TIR?</w:t>
      </w:r>
    </w:p>
    <w:p w:rsidR="00A42D8E" w:rsidRDefault="00A42D8E" w:rsidP="001C2A64">
      <w:pPr>
        <w:pStyle w:val="Prrafodelista"/>
        <w:numPr>
          <w:ilvl w:val="0"/>
          <w:numId w:val="8"/>
        </w:numPr>
        <w:jc w:val="both"/>
        <w:rPr>
          <w:rFonts w:ascii="Calibri" w:hAnsi="Calibri" w:cs="Calibri"/>
          <w:sz w:val="20"/>
          <w:szCs w:val="20"/>
        </w:rPr>
      </w:pPr>
      <w:r w:rsidRPr="00A42D8E">
        <w:rPr>
          <w:rFonts w:ascii="Calibri" w:hAnsi="Calibri" w:cs="Calibri"/>
          <w:sz w:val="20"/>
          <w:szCs w:val="20"/>
        </w:rPr>
        <w:t>Un pagaré por valo</w:t>
      </w:r>
      <w:r>
        <w:rPr>
          <w:rFonts w:ascii="Calibri" w:hAnsi="Calibri" w:cs="Calibri"/>
          <w:sz w:val="20"/>
          <w:szCs w:val="20"/>
        </w:rPr>
        <w:t>r de $ 75.000 vence el 15/12/2020</w:t>
      </w:r>
      <w:r w:rsidRPr="00A42D8E">
        <w:rPr>
          <w:rFonts w:ascii="Calibri" w:hAnsi="Calibri" w:cs="Calibri"/>
          <w:sz w:val="20"/>
          <w:szCs w:val="20"/>
        </w:rPr>
        <w:t xml:space="preserve"> y se descuenta el día de hoy  al 10% anual. Calcular el valor descontado y el valor líquido del pagaré.</w:t>
      </w:r>
    </w:p>
    <w:p w:rsidR="001C2A64" w:rsidRPr="00A42D8E" w:rsidRDefault="001C2A64">
      <w:pPr>
        <w:rPr>
          <w:rFonts w:asciiTheme="minorHAnsi" w:hAnsiTheme="minorHAnsi" w:cstheme="minorHAnsi"/>
          <w:sz w:val="20"/>
          <w:szCs w:val="20"/>
        </w:rPr>
      </w:pPr>
    </w:p>
    <w:p w:rsidR="001C2A64" w:rsidRPr="00A42D8E" w:rsidRDefault="00302C45" w:rsidP="001C2A64">
      <w:pPr>
        <w:jc w:val="both"/>
        <w:rPr>
          <w:rFonts w:ascii="Calibri" w:hAnsi="Calibri" w:cs="Calibri"/>
          <w:sz w:val="20"/>
          <w:szCs w:val="20"/>
          <w:lang w:val="es-ES"/>
        </w:rPr>
      </w:pPr>
      <w:r>
        <w:rPr>
          <w:rFonts w:asciiTheme="minorHAnsi" w:hAnsiTheme="minorHAnsi" w:cstheme="minorHAnsi"/>
          <w:sz w:val="20"/>
          <w:szCs w:val="20"/>
        </w:rPr>
        <w:t>5</w:t>
      </w:r>
      <w:r w:rsidR="001C2A64" w:rsidRPr="00A42D8E">
        <w:rPr>
          <w:rFonts w:asciiTheme="minorHAnsi" w:hAnsiTheme="minorHAnsi" w:cstheme="minorHAnsi"/>
          <w:sz w:val="20"/>
          <w:szCs w:val="20"/>
        </w:rPr>
        <w:t xml:space="preserve">. </w:t>
      </w:r>
      <w:r w:rsidR="001C2A64" w:rsidRPr="00A42D8E">
        <w:rPr>
          <w:rFonts w:ascii="Calibri" w:hAnsi="Calibri" w:cs="Calibri"/>
          <w:sz w:val="20"/>
          <w:szCs w:val="20"/>
          <w:lang w:val="es-ES"/>
        </w:rPr>
        <w:t>Considerando una Tasa Mínima Atractiva de Retorno TMAR del 15%</w:t>
      </w:r>
      <w:r w:rsidR="001C2A64" w:rsidRPr="00A42D8E">
        <w:rPr>
          <w:rFonts w:asciiTheme="minorHAnsi" w:hAnsiTheme="minorHAnsi" w:cstheme="minorHAnsi"/>
          <w:sz w:val="20"/>
          <w:szCs w:val="20"/>
          <w:lang w:val="es-ES"/>
        </w:rPr>
        <w:t xml:space="preserve"> anual</w:t>
      </w:r>
      <w:r w:rsidR="001C2A64" w:rsidRPr="00A42D8E">
        <w:rPr>
          <w:rFonts w:ascii="Calibri" w:hAnsi="Calibri" w:cs="Calibri"/>
          <w:sz w:val="20"/>
          <w:szCs w:val="20"/>
          <w:lang w:val="es-ES"/>
        </w:rPr>
        <w:t>, a través del análisis incremental, evalúe financieramente las siguientes alternativas:</w:t>
      </w:r>
    </w:p>
    <w:p w:rsidR="001C2A64" w:rsidRPr="00A42D8E" w:rsidRDefault="001C2A64" w:rsidP="001C2A64">
      <w:pPr>
        <w:jc w:val="both"/>
        <w:rPr>
          <w:rFonts w:ascii="Calibri" w:hAnsi="Calibri" w:cs="Calibri"/>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1943"/>
        <w:gridCol w:w="1537"/>
        <w:gridCol w:w="1598"/>
      </w:tblGrid>
      <w:tr w:rsidR="001C2A64" w:rsidRPr="00A42D8E" w:rsidTr="001C2A64">
        <w:trPr>
          <w:jc w:val="center"/>
        </w:trPr>
        <w:tc>
          <w:tcPr>
            <w:tcW w:w="3110" w:type="dxa"/>
            <w:shd w:val="clear" w:color="auto" w:fill="auto"/>
          </w:tcPr>
          <w:p w:rsidR="001C2A64" w:rsidRPr="00A42D8E" w:rsidRDefault="001C2A64" w:rsidP="00EF5B49">
            <w:pPr>
              <w:jc w:val="center"/>
              <w:rPr>
                <w:rFonts w:ascii="Calibri" w:hAnsi="Calibri" w:cs="Calibri"/>
                <w:b/>
                <w:sz w:val="20"/>
                <w:szCs w:val="20"/>
                <w:lang w:val="es-ES"/>
              </w:rPr>
            </w:pPr>
          </w:p>
        </w:tc>
        <w:tc>
          <w:tcPr>
            <w:tcW w:w="1943" w:type="dxa"/>
            <w:shd w:val="clear" w:color="auto" w:fill="auto"/>
          </w:tcPr>
          <w:p w:rsidR="001C2A64" w:rsidRPr="00A42D8E" w:rsidRDefault="001C2A64" w:rsidP="00EF5B49">
            <w:pPr>
              <w:jc w:val="center"/>
              <w:rPr>
                <w:rFonts w:ascii="Calibri" w:hAnsi="Calibri" w:cs="Calibri"/>
                <w:b/>
                <w:sz w:val="20"/>
                <w:szCs w:val="20"/>
                <w:lang w:val="es-ES"/>
              </w:rPr>
            </w:pPr>
            <w:r w:rsidRPr="00A42D8E">
              <w:rPr>
                <w:rFonts w:ascii="Calibri" w:hAnsi="Calibri" w:cs="Calibri"/>
                <w:b/>
                <w:sz w:val="20"/>
                <w:szCs w:val="20"/>
                <w:lang w:val="es-ES"/>
              </w:rPr>
              <w:t>Situación Actual</w:t>
            </w:r>
          </w:p>
        </w:tc>
        <w:tc>
          <w:tcPr>
            <w:tcW w:w="1537" w:type="dxa"/>
            <w:shd w:val="clear" w:color="auto" w:fill="auto"/>
          </w:tcPr>
          <w:p w:rsidR="001C2A64" w:rsidRPr="00A42D8E" w:rsidRDefault="001C2A64" w:rsidP="00EF5B49">
            <w:pPr>
              <w:jc w:val="center"/>
              <w:rPr>
                <w:rFonts w:ascii="Calibri" w:hAnsi="Calibri" w:cs="Calibri"/>
                <w:b/>
                <w:sz w:val="20"/>
                <w:szCs w:val="20"/>
                <w:lang w:val="es-ES"/>
              </w:rPr>
            </w:pPr>
            <w:r w:rsidRPr="00A42D8E">
              <w:rPr>
                <w:rFonts w:ascii="Calibri" w:hAnsi="Calibri" w:cs="Calibri"/>
                <w:b/>
                <w:sz w:val="20"/>
                <w:szCs w:val="20"/>
                <w:lang w:val="es-ES"/>
              </w:rPr>
              <w:t>Propuesta I</w:t>
            </w:r>
          </w:p>
        </w:tc>
        <w:tc>
          <w:tcPr>
            <w:tcW w:w="1598" w:type="dxa"/>
            <w:shd w:val="clear" w:color="auto" w:fill="auto"/>
          </w:tcPr>
          <w:p w:rsidR="001C2A64" w:rsidRPr="00A42D8E" w:rsidRDefault="001C2A64" w:rsidP="00EF5B49">
            <w:pPr>
              <w:jc w:val="center"/>
              <w:rPr>
                <w:rFonts w:ascii="Calibri" w:hAnsi="Calibri" w:cs="Calibri"/>
                <w:b/>
                <w:sz w:val="20"/>
                <w:szCs w:val="20"/>
                <w:lang w:val="es-ES"/>
              </w:rPr>
            </w:pPr>
            <w:r w:rsidRPr="00A42D8E">
              <w:rPr>
                <w:rFonts w:ascii="Calibri" w:hAnsi="Calibri" w:cs="Calibri"/>
                <w:b/>
                <w:sz w:val="20"/>
                <w:szCs w:val="20"/>
                <w:lang w:val="es-ES"/>
              </w:rPr>
              <w:t>Propuesta II</w:t>
            </w:r>
          </w:p>
        </w:tc>
      </w:tr>
      <w:tr w:rsidR="001C2A64" w:rsidRPr="00A42D8E" w:rsidTr="001C2A64">
        <w:trPr>
          <w:jc w:val="center"/>
        </w:trPr>
        <w:tc>
          <w:tcPr>
            <w:tcW w:w="3110" w:type="dxa"/>
            <w:shd w:val="clear" w:color="auto" w:fill="auto"/>
          </w:tcPr>
          <w:p w:rsidR="001C2A64" w:rsidRPr="00A42D8E" w:rsidRDefault="001C2A64" w:rsidP="00EF5B49">
            <w:pPr>
              <w:jc w:val="both"/>
              <w:rPr>
                <w:rFonts w:ascii="Calibri" w:hAnsi="Calibri" w:cs="Calibri"/>
                <w:sz w:val="20"/>
                <w:szCs w:val="20"/>
                <w:lang w:val="es-ES"/>
              </w:rPr>
            </w:pPr>
            <w:r w:rsidRPr="00A42D8E">
              <w:rPr>
                <w:rFonts w:ascii="Calibri" w:hAnsi="Calibri" w:cs="Calibri"/>
                <w:sz w:val="20"/>
                <w:szCs w:val="20"/>
                <w:lang w:val="es-ES"/>
              </w:rPr>
              <w:t>Costo inicial</w:t>
            </w:r>
          </w:p>
        </w:tc>
        <w:tc>
          <w:tcPr>
            <w:tcW w:w="1943" w:type="dxa"/>
            <w:shd w:val="clear" w:color="auto" w:fill="auto"/>
          </w:tcPr>
          <w:p w:rsidR="001C2A64" w:rsidRPr="00A42D8E" w:rsidRDefault="001C2A64" w:rsidP="00EF5B49">
            <w:pPr>
              <w:jc w:val="right"/>
              <w:rPr>
                <w:rFonts w:ascii="Calibri" w:hAnsi="Calibri" w:cs="Calibri"/>
                <w:sz w:val="20"/>
                <w:szCs w:val="20"/>
                <w:lang w:val="es-ES"/>
              </w:rPr>
            </w:pPr>
            <w:r w:rsidRPr="00A42D8E">
              <w:rPr>
                <w:rFonts w:ascii="Calibri" w:hAnsi="Calibri" w:cs="Calibri"/>
                <w:sz w:val="20"/>
                <w:szCs w:val="20"/>
                <w:lang w:val="es-ES"/>
              </w:rPr>
              <w:t>-</w:t>
            </w:r>
          </w:p>
        </w:tc>
        <w:tc>
          <w:tcPr>
            <w:tcW w:w="1537" w:type="dxa"/>
            <w:shd w:val="clear" w:color="auto" w:fill="auto"/>
          </w:tcPr>
          <w:p w:rsidR="001C2A64" w:rsidRPr="00A42D8E" w:rsidRDefault="001C2A64" w:rsidP="00EF5B49">
            <w:pPr>
              <w:jc w:val="right"/>
              <w:rPr>
                <w:rFonts w:ascii="Calibri" w:hAnsi="Calibri" w:cs="Calibri"/>
                <w:sz w:val="20"/>
                <w:szCs w:val="20"/>
                <w:lang w:val="es-ES"/>
              </w:rPr>
            </w:pPr>
            <w:r w:rsidRPr="00A42D8E">
              <w:rPr>
                <w:rFonts w:ascii="Calibri" w:hAnsi="Calibri" w:cs="Calibri"/>
                <w:sz w:val="20"/>
                <w:szCs w:val="20"/>
                <w:lang w:val="es-ES"/>
              </w:rPr>
              <w:t>$ 10.000</w:t>
            </w:r>
          </w:p>
        </w:tc>
        <w:tc>
          <w:tcPr>
            <w:tcW w:w="1598" w:type="dxa"/>
            <w:shd w:val="clear" w:color="auto" w:fill="auto"/>
          </w:tcPr>
          <w:p w:rsidR="001C2A64" w:rsidRPr="00A42D8E" w:rsidRDefault="001C2A64" w:rsidP="00EF5B49">
            <w:pPr>
              <w:jc w:val="right"/>
              <w:rPr>
                <w:rFonts w:ascii="Calibri" w:hAnsi="Calibri" w:cs="Calibri"/>
                <w:sz w:val="20"/>
                <w:szCs w:val="20"/>
                <w:lang w:val="es-ES"/>
              </w:rPr>
            </w:pPr>
            <w:r w:rsidRPr="00A42D8E">
              <w:rPr>
                <w:rFonts w:ascii="Calibri" w:hAnsi="Calibri" w:cs="Calibri"/>
                <w:sz w:val="20"/>
                <w:szCs w:val="20"/>
                <w:lang w:val="es-ES"/>
              </w:rPr>
              <w:t>$ 18.000</w:t>
            </w:r>
          </w:p>
        </w:tc>
      </w:tr>
      <w:tr w:rsidR="001C2A64" w:rsidRPr="00A42D8E" w:rsidTr="001C2A64">
        <w:trPr>
          <w:jc w:val="center"/>
        </w:trPr>
        <w:tc>
          <w:tcPr>
            <w:tcW w:w="3110" w:type="dxa"/>
            <w:shd w:val="clear" w:color="auto" w:fill="auto"/>
          </w:tcPr>
          <w:p w:rsidR="001C2A64" w:rsidRPr="00A42D8E" w:rsidRDefault="001C2A64" w:rsidP="00EF5B49">
            <w:pPr>
              <w:jc w:val="both"/>
              <w:rPr>
                <w:rFonts w:ascii="Calibri" w:hAnsi="Calibri" w:cs="Calibri"/>
                <w:sz w:val="20"/>
                <w:szCs w:val="20"/>
                <w:lang w:val="es-ES"/>
              </w:rPr>
            </w:pPr>
            <w:r w:rsidRPr="00A42D8E">
              <w:rPr>
                <w:rFonts w:ascii="Calibri" w:hAnsi="Calibri" w:cs="Calibri"/>
                <w:sz w:val="20"/>
                <w:szCs w:val="20"/>
                <w:lang w:val="es-ES"/>
              </w:rPr>
              <w:t>Ingresos anuales</w:t>
            </w:r>
          </w:p>
        </w:tc>
        <w:tc>
          <w:tcPr>
            <w:tcW w:w="1943" w:type="dxa"/>
            <w:shd w:val="clear" w:color="auto" w:fill="auto"/>
          </w:tcPr>
          <w:p w:rsidR="001C2A64" w:rsidRPr="00A42D8E" w:rsidRDefault="001C2A64" w:rsidP="00EF5B49">
            <w:pPr>
              <w:jc w:val="right"/>
              <w:rPr>
                <w:rFonts w:ascii="Calibri" w:hAnsi="Calibri" w:cs="Calibri"/>
                <w:sz w:val="20"/>
                <w:szCs w:val="20"/>
                <w:lang w:val="es-ES"/>
              </w:rPr>
            </w:pPr>
            <w:r w:rsidRPr="00A42D8E">
              <w:rPr>
                <w:rFonts w:ascii="Calibri" w:hAnsi="Calibri" w:cs="Calibri"/>
                <w:sz w:val="20"/>
                <w:szCs w:val="20"/>
                <w:lang w:val="es-ES"/>
              </w:rPr>
              <w:t>$ 4.500</w:t>
            </w:r>
          </w:p>
        </w:tc>
        <w:tc>
          <w:tcPr>
            <w:tcW w:w="1537" w:type="dxa"/>
            <w:shd w:val="clear" w:color="auto" w:fill="auto"/>
          </w:tcPr>
          <w:p w:rsidR="001C2A64" w:rsidRPr="00A42D8E" w:rsidRDefault="001C2A64" w:rsidP="00EF5B49">
            <w:pPr>
              <w:jc w:val="right"/>
              <w:rPr>
                <w:rFonts w:ascii="Calibri" w:hAnsi="Calibri" w:cs="Calibri"/>
                <w:sz w:val="20"/>
                <w:szCs w:val="20"/>
                <w:lang w:val="es-ES"/>
              </w:rPr>
            </w:pPr>
            <w:r w:rsidRPr="00A42D8E">
              <w:rPr>
                <w:rFonts w:ascii="Calibri" w:hAnsi="Calibri" w:cs="Calibri"/>
                <w:sz w:val="20"/>
                <w:szCs w:val="20"/>
                <w:lang w:val="es-ES"/>
              </w:rPr>
              <w:t>$ 8.000</w:t>
            </w:r>
          </w:p>
        </w:tc>
        <w:tc>
          <w:tcPr>
            <w:tcW w:w="1598" w:type="dxa"/>
            <w:shd w:val="clear" w:color="auto" w:fill="auto"/>
          </w:tcPr>
          <w:p w:rsidR="001C2A64" w:rsidRPr="00A42D8E" w:rsidRDefault="001C2A64" w:rsidP="00EF5B49">
            <w:pPr>
              <w:jc w:val="right"/>
              <w:rPr>
                <w:rFonts w:ascii="Calibri" w:hAnsi="Calibri" w:cs="Calibri"/>
                <w:sz w:val="20"/>
                <w:szCs w:val="20"/>
                <w:lang w:val="es-ES"/>
              </w:rPr>
            </w:pPr>
            <w:r w:rsidRPr="00A42D8E">
              <w:rPr>
                <w:rFonts w:ascii="Calibri" w:hAnsi="Calibri" w:cs="Calibri"/>
                <w:sz w:val="20"/>
                <w:szCs w:val="20"/>
                <w:lang w:val="es-ES"/>
              </w:rPr>
              <w:t>$ 13.000</w:t>
            </w:r>
          </w:p>
        </w:tc>
      </w:tr>
      <w:tr w:rsidR="001C2A64" w:rsidRPr="00A42D8E" w:rsidTr="001C2A64">
        <w:trPr>
          <w:jc w:val="center"/>
        </w:trPr>
        <w:tc>
          <w:tcPr>
            <w:tcW w:w="3110" w:type="dxa"/>
            <w:shd w:val="clear" w:color="auto" w:fill="auto"/>
          </w:tcPr>
          <w:p w:rsidR="001C2A64" w:rsidRPr="00A42D8E" w:rsidRDefault="001C2A64" w:rsidP="00EF5B49">
            <w:pPr>
              <w:jc w:val="both"/>
              <w:rPr>
                <w:rFonts w:ascii="Calibri" w:hAnsi="Calibri" w:cs="Calibri"/>
                <w:sz w:val="20"/>
                <w:szCs w:val="20"/>
                <w:lang w:val="es-ES"/>
              </w:rPr>
            </w:pPr>
            <w:r w:rsidRPr="00A42D8E">
              <w:rPr>
                <w:rFonts w:ascii="Calibri" w:hAnsi="Calibri" w:cs="Calibri"/>
                <w:sz w:val="20"/>
                <w:szCs w:val="20"/>
                <w:lang w:val="es-ES"/>
              </w:rPr>
              <w:t>Costos operativos anuales</w:t>
            </w:r>
          </w:p>
        </w:tc>
        <w:tc>
          <w:tcPr>
            <w:tcW w:w="1943" w:type="dxa"/>
            <w:shd w:val="clear" w:color="auto" w:fill="auto"/>
          </w:tcPr>
          <w:p w:rsidR="001C2A64" w:rsidRPr="00A42D8E" w:rsidRDefault="001C2A64" w:rsidP="00EF5B49">
            <w:pPr>
              <w:jc w:val="right"/>
              <w:rPr>
                <w:rFonts w:ascii="Calibri" w:hAnsi="Calibri" w:cs="Calibri"/>
                <w:sz w:val="20"/>
                <w:szCs w:val="20"/>
                <w:lang w:val="es-ES"/>
              </w:rPr>
            </w:pPr>
            <w:r w:rsidRPr="00A42D8E">
              <w:rPr>
                <w:rFonts w:ascii="Calibri" w:hAnsi="Calibri" w:cs="Calibri"/>
                <w:sz w:val="20"/>
                <w:szCs w:val="20"/>
                <w:lang w:val="es-ES"/>
              </w:rPr>
              <w:t>$  2.500</w:t>
            </w:r>
          </w:p>
        </w:tc>
        <w:tc>
          <w:tcPr>
            <w:tcW w:w="1537" w:type="dxa"/>
            <w:shd w:val="clear" w:color="auto" w:fill="auto"/>
          </w:tcPr>
          <w:p w:rsidR="001C2A64" w:rsidRPr="00A42D8E" w:rsidRDefault="001C2A64" w:rsidP="00EF5B49">
            <w:pPr>
              <w:jc w:val="right"/>
              <w:rPr>
                <w:rFonts w:ascii="Calibri" w:hAnsi="Calibri" w:cs="Calibri"/>
                <w:sz w:val="20"/>
                <w:szCs w:val="20"/>
                <w:lang w:val="es-ES"/>
              </w:rPr>
            </w:pPr>
            <w:r w:rsidRPr="00A42D8E">
              <w:rPr>
                <w:rFonts w:ascii="Calibri" w:hAnsi="Calibri" w:cs="Calibri"/>
                <w:sz w:val="20"/>
                <w:szCs w:val="20"/>
                <w:lang w:val="es-ES"/>
              </w:rPr>
              <w:t>$ 3.000</w:t>
            </w:r>
          </w:p>
        </w:tc>
        <w:tc>
          <w:tcPr>
            <w:tcW w:w="1598" w:type="dxa"/>
            <w:shd w:val="clear" w:color="auto" w:fill="auto"/>
          </w:tcPr>
          <w:p w:rsidR="001C2A64" w:rsidRPr="00A42D8E" w:rsidRDefault="001C2A64" w:rsidP="00EF5B49">
            <w:pPr>
              <w:jc w:val="right"/>
              <w:rPr>
                <w:rFonts w:ascii="Calibri" w:hAnsi="Calibri" w:cs="Calibri"/>
                <w:sz w:val="20"/>
                <w:szCs w:val="20"/>
                <w:lang w:val="es-ES"/>
              </w:rPr>
            </w:pPr>
            <w:r w:rsidRPr="00A42D8E">
              <w:rPr>
                <w:rFonts w:ascii="Calibri" w:hAnsi="Calibri" w:cs="Calibri"/>
                <w:sz w:val="20"/>
                <w:szCs w:val="20"/>
                <w:lang w:val="es-ES"/>
              </w:rPr>
              <w:t>$ 4.500</w:t>
            </w:r>
          </w:p>
        </w:tc>
      </w:tr>
      <w:tr w:rsidR="001C2A64" w:rsidRPr="00A42D8E" w:rsidTr="001C2A64">
        <w:trPr>
          <w:jc w:val="center"/>
        </w:trPr>
        <w:tc>
          <w:tcPr>
            <w:tcW w:w="3110" w:type="dxa"/>
            <w:shd w:val="clear" w:color="auto" w:fill="auto"/>
          </w:tcPr>
          <w:p w:rsidR="001C2A64" w:rsidRPr="00A42D8E" w:rsidRDefault="001C2A64" w:rsidP="00EF5B49">
            <w:pPr>
              <w:jc w:val="both"/>
              <w:rPr>
                <w:rFonts w:ascii="Calibri" w:hAnsi="Calibri" w:cs="Calibri"/>
                <w:sz w:val="20"/>
                <w:szCs w:val="20"/>
                <w:lang w:val="es-ES"/>
              </w:rPr>
            </w:pPr>
            <w:r w:rsidRPr="00A42D8E">
              <w:rPr>
                <w:rFonts w:ascii="Calibri" w:hAnsi="Calibri" w:cs="Calibri"/>
                <w:sz w:val="20"/>
                <w:szCs w:val="20"/>
                <w:lang w:val="es-ES"/>
              </w:rPr>
              <w:t>Valor de salvamento</w:t>
            </w:r>
          </w:p>
        </w:tc>
        <w:tc>
          <w:tcPr>
            <w:tcW w:w="1943" w:type="dxa"/>
            <w:shd w:val="clear" w:color="auto" w:fill="auto"/>
          </w:tcPr>
          <w:p w:rsidR="001C2A64" w:rsidRPr="00A42D8E" w:rsidRDefault="001C2A64" w:rsidP="00EF5B49">
            <w:pPr>
              <w:jc w:val="right"/>
              <w:rPr>
                <w:rFonts w:ascii="Calibri" w:hAnsi="Calibri" w:cs="Calibri"/>
                <w:sz w:val="20"/>
                <w:szCs w:val="20"/>
                <w:lang w:val="es-ES"/>
              </w:rPr>
            </w:pPr>
            <w:r w:rsidRPr="00A42D8E">
              <w:rPr>
                <w:rFonts w:ascii="Calibri" w:hAnsi="Calibri" w:cs="Calibri"/>
                <w:sz w:val="20"/>
                <w:szCs w:val="20"/>
                <w:lang w:val="es-ES"/>
              </w:rPr>
              <w:t>$ 500</w:t>
            </w:r>
          </w:p>
        </w:tc>
        <w:tc>
          <w:tcPr>
            <w:tcW w:w="1537" w:type="dxa"/>
            <w:shd w:val="clear" w:color="auto" w:fill="auto"/>
          </w:tcPr>
          <w:p w:rsidR="001C2A64" w:rsidRPr="00A42D8E" w:rsidRDefault="001C2A64" w:rsidP="00EF5B49">
            <w:pPr>
              <w:jc w:val="right"/>
              <w:rPr>
                <w:rFonts w:ascii="Calibri" w:hAnsi="Calibri" w:cs="Calibri"/>
                <w:sz w:val="20"/>
                <w:szCs w:val="20"/>
                <w:lang w:val="es-ES"/>
              </w:rPr>
            </w:pPr>
            <w:r w:rsidRPr="00A42D8E">
              <w:rPr>
                <w:rFonts w:ascii="Calibri" w:hAnsi="Calibri" w:cs="Calibri"/>
                <w:sz w:val="20"/>
                <w:szCs w:val="20"/>
                <w:lang w:val="es-ES"/>
              </w:rPr>
              <w:t>$ 1.000</w:t>
            </w:r>
          </w:p>
        </w:tc>
        <w:tc>
          <w:tcPr>
            <w:tcW w:w="1598" w:type="dxa"/>
            <w:shd w:val="clear" w:color="auto" w:fill="auto"/>
          </w:tcPr>
          <w:p w:rsidR="001C2A64" w:rsidRPr="00A42D8E" w:rsidRDefault="001C2A64" w:rsidP="00EF5B49">
            <w:pPr>
              <w:jc w:val="right"/>
              <w:rPr>
                <w:rFonts w:ascii="Calibri" w:hAnsi="Calibri" w:cs="Calibri"/>
                <w:sz w:val="20"/>
                <w:szCs w:val="20"/>
                <w:lang w:val="es-ES"/>
              </w:rPr>
            </w:pPr>
            <w:r w:rsidRPr="00A42D8E">
              <w:rPr>
                <w:rFonts w:ascii="Calibri" w:hAnsi="Calibri" w:cs="Calibri"/>
                <w:sz w:val="20"/>
                <w:szCs w:val="20"/>
                <w:lang w:val="es-ES"/>
              </w:rPr>
              <w:t>$ 2.000</w:t>
            </w:r>
          </w:p>
        </w:tc>
      </w:tr>
      <w:tr w:rsidR="001C2A64" w:rsidRPr="00A42D8E" w:rsidTr="001C2A64">
        <w:trPr>
          <w:jc w:val="center"/>
        </w:trPr>
        <w:tc>
          <w:tcPr>
            <w:tcW w:w="3110" w:type="dxa"/>
            <w:shd w:val="clear" w:color="auto" w:fill="auto"/>
          </w:tcPr>
          <w:p w:rsidR="001C2A64" w:rsidRPr="00A42D8E" w:rsidRDefault="001C2A64" w:rsidP="00EF5B49">
            <w:pPr>
              <w:jc w:val="both"/>
              <w:rPr>
                <w:rFonts w:ascii="Calibri" w:hAnsi="Calibri" w:cs="Calibri"/>
                <w:sz w:val="20"/>
                <w:szCs w:val="20"/>
                <w:lang w:val="es-ES"/>
              </w:rPr>
            </w:pPr>
            <w:r w:rsidRPr="00A42D8E">
              <w:rPr>
                <w:rFonts w:ascii="Calibri" w:hAnsi="Calibri" w:cs="Calibri"/>
                <w:sz w:val="20"/>
                <w:szCs w:val="20"/>
                <w:lang w:val="es-ES"/>
              </w:rPr>
              <w:t>Vida (años)</w:t>
            </w:r>
          </w:p>
        </w:tc>
        <w:tc>
          <w:tcPr>
            <w:tcW w:w="1943" w:type="dxa"/>
            <w:shd w:val="clear" w:color="auto" w:fill="auto"/>
          </w:tcPr>
          <w:p w:rsidR="001C2A64" w:rsidRPr="00A42D8E" w:rsidRDefault="001C2A64" w:rsidP="00EF5B49">
            <w:pPr>
              <w:jc w:val="right"/>
              <w:rPr>
                <w:rFonts w:ascii="Calibri" w:hAnsi="Calibri" w:cs="Calibri"/>
                <w:sz w:val="20"/>
                <w:szCs w:val="20"/>
                <w:lang w:val="es-ES"/>
              </w:rPr>
            </w:pPr>
            <w:r w:rsidRPr="00A42D8E">
              <w:rPr>
                <w:rFonts w:ascii="Calibri" w:hAnsi="Calibri" w:cs="Calibri"/>
                <w:sz w:val="20"/>
                <w:szCs w:val="20"/>
                <w:lang w:val="es-ES"/>
              </w:rPr>
              <w:t>10</w:t>
            </w:r>
          </w:p>
        </w:tc>
        <w:tc>
          <w:tcPr>
            <w:tcW w:w="1537" w:type="dxa"/>
            <w:shd w:val="clear" w:color="auto" w:fill="auto"/>
          </w:tcPr>
          <w:p w:rsidR="001C2A64" w:rsidRPr="00A42D8E" w:rsidRDefault="001C2A64" w:rsidP="00EF5B49">
            <w:pPr>
              <w:jc w:val="right"/>
              <w:rPr>
                <w:rFonts w:ascii="Calibri" w:hAnsi="Calibri" w:cs="Calibri"/>
                <w:sz w:val="20"/>
                <w:szCs w:val="20"/>
                <w:lang w:val="es-ES"/>
              </w:rPr>
            </w:pPr>
            <w:r w:rsidRPr="00A42D8E">
              <w:rPr>
                <w:rFonts w:ascii="Calibri" w:hAnsi="Calibri" w:cs="Calibri"/>
                <w:sz w:val="20"/>
                <w:szCs w:val="20"/>
                <w:lang w:val="es-ES"/>
              </w:rPr>
              <w:t>10</w:t>
            </w:r>
          </w:p>
        </w:tc>
        <w:tc>
          <w:tcPr>
            <w:tcW w:w="1598" w:type="dxa"/>
            <w:shd w:val="clear" w:color="auto" w:fill="auto"/>
          </w:tcPr>
          <w:p w:rsidR="001C2A64" w:rsidRPr="00A42D8E" w:rsidRDefault="001C2A64" w:rsidP="00EF5B49">
            <w:pPr>
              <w:jc w:val="right"/>
              <w:rPr>
                <w:rFonts w:ascii="Calibri" w:hAnsi="Calibri" w:cs="Calibri"/>
                <w:sz w:val="20"/>
                <w:szCs w:val="20"/>
                <w:lang w:val="es-ES"/>
              </w:rPr>
            </w:pPr>
            <w:r w:rsidRPr="00A42D8E">
              <w:rPr>
                <w:rFonts w:ascii="Calibri" w:hAnsi="Calibri" w:cs="Calibri"/>
                <w:sz w:val="20"/>
                <w:szCs w:val="20"/>
                <w:lang w:val="es-ES"/>
              </w:rPr>
              <w:t>10</w:t>
            </w:r>
          </w:p>
        </w:tc>
      </w:tr>
    </w:tbl>
    <w:p w:rsidR="001C2A64" w:rsidRPr="00A42D8E" w:rsidRDefault="001C2A64" w:rsidP="001C2A64">
      <w:pPr>
        <w:jc w:val="both"/>
        <w:rPr>
          <w:rFonts w:ascii="Calibri" w:hAnsi="Calibri" w:cs="Calibri"/>
          <w:sz w:val="20"/>
          <w:szCs w:val="20"/>
          <w:lang w:val="es-ES"/>
        </w:rPr>
      </w:pPr>
    </w:p>
    <w:p w:rsidR="001C2A64" w:rsidRDefault="001C2A64">
      <w:pPr>
        <w:rPr>
          <w:rFonts w:asciiTheme="minorHAnsi" w:hAnsiTheme="minorHAnsi" w:cstheme="minorHAnsi"/>
          <w:sz w:val="20"/>
          <w:szCs w:val="20"/>
        </w:rPr>
      </w:pPr>
    </w:p>
    <w:p w:rsidR="00642EA2" w:rsidRPr="00A42D8E" w:rsidRDefault="00302C45" w:rsidP="00642EA2">
      <w:pPr>
        <w:jc w:val="both"/>
        <w:rPr>
          <w:rFonts w:asciiTheme="minorHAnsi" w:hAnsiTheme="minorHAnsi" w:cstheme="minorHAnsi"/>
          <w:sz w:val="20"/>
          <w:szCs w:val="20"/>
        </w:rPr>
      </w:pPr>
      <w:r>
        <w:rPr>
          <w:rFonts w:asciiTheme="minorHAnsi" w:hAnsiTheme="minorHAnsi" w:cstheme="minorHAnsi"/>
          <w:sz w:val="20"/>
          <w:szCs w:val="20"/>
        </w:rPr>
        <w:t>6</w:t>
      </w:r>
      <w:r w:rsidR="00642EA2">
        <w:rPr>
          <w:rFonts w:asciiTheme="minorHAnsi" w:hAnsiTheme="minorHAnsi" w:cstheme="minorHAnsi"/>
          <w:sz w:val="20"/>
          <w:szCs w:val="20"/>
        </w:rPr>
        <w:t xml:space="preserve">. </w:t>
      </w:r>
      <w:r w:rsidR="00642EA2" w:rsidRPr="00642EA2">
        <w:rPr>
          <w:rFonts w:asciiTheme="minorHAnsi" w:hAnsiTheme="minorHAnsi" w:cstheme="minorHAnsi"/>
          <w:sz w:val="20"/>
          <w:szCs w:val="20"/>
        </w:rPr>
        <w:t>Un industrial tiene dos alternativas para comprar una máquina. La primera máquina se la ofrecen con un costo inicial de $800.000 y tiene una vida útil de 10 años, al final de los cuales deberá ser reemplazada a un costo de $1.000.000. La segunda máquina la ofrecen a un costo de $1.100.000; su vida útil es de 15 años y su costo de reemplazo es de $1.400.000. Si se supone que el interés efectivo es del 10%. ¿Cuál máquina debe comprar?</w:t>
      </w:r>
    </w:p>
    <w:sectPr w:rsidR="00642EA2" w:rsidRPr="00A42D8E" w:rsidSect="00E859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15pt;height:8.7pt" o:bullet="t">
        <v:imagedata r:id="rId1" o:title="bullet1"/>
      </v:shape>
    </w:pict>
  </w:numPicBullet>
  <w:numPicBullet w:numPicBulletId="1">
    <w:pict>
      <v:shape id="_x0000_i1030" type="#_x0000_t75" style="width:3.15pt;height:8.7pt" o:bullet="t">
        <v:imagedata r:id="rId2" o:title="bullet2"/>
      </v:shape>
    </w:pict>
  </w:numPicBullet>
  <w:numPicBullet w:numPicBulletId="2">
    <w:pict>
      <v:shape id="_x0000_i1031" type="#_x0000_t75" style="width:3.15pt;height:8.7pt" o:bullet="t">
        <v:imagedata r:id="rId3" o:title="bullet3"/>
      </v:shape>
    </w:pict>
  </w:numPicBullet>
  <w:abstractNum w:abstractNumId="0">
    <w:nsid w:val="0CC91A5D"/>
    <w:multiLevelType w:val="hybridMultilevel"/>
    <w:tmpl w:val="E14CE134"/>
    <w:lvl w:ilvl="0" w:tplc="ADB8D85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51C10A9"/>
    <w:multiLevelType w:val="hybridMultilevel"/>
    <w:tmpl w:val="B9CEBC74"/>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
    <w:nsid w:val="22F9733E"/>
    <w:multiLevelType w:val="hybridMultilevel"/>
    <w:tmpl w:val="488EFA80"/>
    <w:lvl w:ilvl="0" w:tplc="2DC096A0">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2DCA6217"/>
    <w:multiLevelType w:val="hybridMultilevel"/>
    <w:tmpl w:val="CA129C92"/>
    <w:lvl w:ilvl="0" w:tplc="300A000F">
      <w:start w:val="1"/>
      <w:numFmt w:val="decimal"/>
      <w:lvlText w:val="%1."/>
      <w:lvlJc w:val="left"/>
      <w:pPr>
        <w:tabs>
          <w:tab w:val="num" w:pos="720"/>
        </w:tabs>
        <w:ind w:left="720" w:hanging="360"/>
      </w:pPr>
      <w:rPr>
        <w:rFonts w:hint="default"/>
      </w:rPr>
    </w:lvl>
    <w:lvl w:ilvl="1" w:tplc="FF6A143E">
      <w:start w:val="1"/>
      <w:numFmt w:val="lowerLetter"/>
      <w:lvlText w:val="%2."/>
      <w:lvlJc w:val="left"/>
      <w:pPr>
        <w:tabs>
          <w:tab w:val="num" w:pos="1440"/>
        </w:tabs>
        <w:ind w:left="1440" w:hanging="360"/>
      </w:pPr>
      <w:rPr>
        <w:rFont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nsid w:val="481048EB"/>
    <w:multiLevelType w:val="hybridMultilevel"/>
    <w:tmpl w:val="63A04BE8"/>
    <w:lvl w:ilvl="0" w:tplc="AB6824F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6F12794"/>
    <w:multiLevelType w:val="hybridMultilevel"/>
    <w:tmpl w:val="F3F0002A"/>
    <w:lvl w:ilvl="0" w:tplc="DC727F5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E355207"/>
    <w:multiLevelType w:val="hybridMultilevel"/>
    <w:tmpl w:val="404616E2"/>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78B1662F"/>
    <w:multiLevelType w:val="multilevel"/>
    <w:tmpl w:val="A0B4C040"/>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7"/>
  </w:num>
  <w:num w:numId="2">
    <w:abstractNumId w:val="5"/>
  </w:num>
  <w:num w:numId="3">
    <w:abstractNumId w:val="0"/>
  </w:num>
  <w:num w:numId="4">
    <w:abstractNumId w:val="1"/>
  </w:num>
  <w:num w:numId="5">
    <w:abstractNumId w:val="2"/>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2"/>
  </w:compat>
  <w:rsids>
    <w:rsidRoot w:val="001C2A64"/>
    <w:rsid w:val="001C2A64"/>
    <w:rsid w:val="002A0875"/>
    <w:rsid w:val="00302C45"/>
    <w:rsid w:val="00642EA2"/>
    <w:rsid w:val="00A42D8E"/>
    <w:rsid w:val="00A65529"/>
    <w:rsid w:val="00E8597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A64"/>
    <w:pPr>
      <w:spacing w:after="0" w:line="240" w:lineRule="auto"/>
    </w:pPr>
    <w:rPr>
      <w:rFonts w:ascii="Verdana" w:eastAsia="Times New Roman" w:hAnsi="Verdana" w:cs="Times New Roman"/>
      <w:color w:val="00000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2A64"/>
    <w:pPr>
      <w:ind w:left="720"/>
      <w:contextualSpacing/>
    </w:pPr>
  </w:style>
  <w:style w:type="table" w:styleId="Tablaconcuadrcula">
    <w:name w:val="Table Grid"/>
    <w:basedOn w:val="Tablanormal"/>
    <w:rsid w:val="001C2A64"/>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611</Words>
  <Characters>3365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Academico</cp:lastModifiedBy>
  <cp:revision>3</cp:revision>
  <dcterms:created xsi:type="dcterms:W3CDTF">2012-02-13T14:24:00Z</dcterms:created>
  <dcterms:modified xsi:type="dcterms:W3CDTF">2012-02-22T18:54:00Z</dcterms:modified>
</cp:coreProperties>
</file>