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91" w:rsidRPr="004069F7" w:rsidRDefault="00F62B91" w:rsidP="00F62B91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069F7">
        <w:rPr>
          <w:b/>
          <w:sz w:val="24"/>
          <w:szCs w:val="24"/>
        </w:rPr>
        <w:t xml:space="preserve">EXAMEN </w:t>
      </w:r>
      <w:r>
        <w:rPr>
          <w:b/>
          <w:sz w:val="24"/>
          <w:szCs w:val="24"/>
        </w:rPr>
        <w:t xml:space="preserve">FINAL </w:t>
      </w:r>
      <w:r w:rsidRPr="004069F7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>INGENIERIA ECONOMICA II</w:t>
      </w:r>
    </w:p>
    <w:p w:rsidR="00F62B91" w:rsidRPr="004069F7" w:rsidRDefault="00F62B91" w:rsidP="00F62B91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069F7">
        <w:rPr>
          <w:b/>
          <w:sz w:val="24"/>
          <w:szCs w:val="24"/>
        </w:rPr>
        <w:t xml:space="preserve"> IIT </w:t>
      </w:r>
      <w:r>
        <w:rPr>
          <w:b/>
          <w:sz w:val="24"/>
          <w:szCs w:val="24"/>
        </w:rPr>
        <w:t>2011-2012</w:t>
      </w:r>
    </w:p>
    <w:p w:rsidR="00F62B91" w:rsidRPr="004069F7" w:rsidRDefault="00F62B91" w:rsidP="00F62B91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F62B91" w:rsidRPr="004069F7" w:rsidRDefault="00F62B91" w:rsidP="00F62B91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069F7">
        <w:rPr>
          <w:rFonts w:asciiTheme="minorHAnsi" w:hAnsiTheme="minorHAnsi" w:cstheme="minorHAnsi"/>
          <w:color w:val="auto"/>
        </w:rPr>
        <w:t>APELLIDOS: ..............................</w:t>
      </w:r>
      <w:r>
        <w:rPr>
          <w:rFonts w:asciiTheme="minorHAnsi" w:hAnsiTheme="minorHAnsi" w:cstheme="minorHAnsi"/>
          <w:color w:val="auto"/>
        </w:rPr>
        <w:t>............................N</w:t>
      </w:r>
      <w:r w:rsidRPr="004069F7">
        <w:rPr>
          <w:rFonts w:asciiTheme="minorHAnsi" w:hAnsiTheme="minorHAnsi" w:cstheme="minorHAnsi"/>
          <w:color w:val="auto"/>
        </w:rPr>
        <w:t>OMBRES:</w:t>
      </w:r>
      <w:r>
        <w:rPr>
          <w:rFonts w:asciiTheme="minorHAnsi" w:hAnsiTheme="minorHAnsi" w:cstheme="minorHAnsi"/>
          <w:color w:val="auto"/>
        </w:rPr>
        <w:t>.............................................</w:t>
      </w:r>
      <w:r w:rsidRPr="004069F7">
        <w:rPr>
          <w:rFonts w:asciiTheme="minorHAnsi" w:hAnsiTheme="minorHAnsi" w:cstheme="minorHAnsi"/>
          <w:color w:val="auto"/>
        </w:rPr>
        <w:t xml:space="preserve">                                         </w:t>
      </w:r>
    </w:p>
    <w:p w:rsidR="00F62B91" w:rsidRPr="007E31D1" w:rsidRDefault="00F62B91" w:rsidP="00F62B91">
      <w:pPr>
        <w:spacing w:line="360" w:lineRule="auto"/>
        <w:rPr>
          <w:rFonts w:cstheme="minorHAnsi"/>
        </w:rPr>
      </w:pPr>
      <w:r w:rsidRPr="004069F7">
        <w:rPr>
          <w:rFonts w:cstheme="minorHAnsi"/>
          <w:sz w:val="24"/>
          <w:szCs w:val="24"/>
        </w:rPr>
        <w:t>MATRICULA: ........................</w:t>
      </w:r>
      <w:r w:rsidRPr="004069F7">
        <w:rPr>
          <w:rFonts w:cstheme="minorHAnsi"/>
          <w:sz w:val="24"/>
          <w:szCs w:val="24"/>
        </w:rPr>
        <w:tab/>
      </w:r>
      <w:r w:rsidRPr="004069F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F62B91" w:rsidRPr="00F638C4" w:rsidRDefault="00F62B91" w:rsidP="00F62B91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F62B91" w:rsidRDefault="00F62B91" w:rsidP="00F62B91">
      <w:pPr>
        <w:tabs>
          <w:tab w:val="left" w:pos="3355"/>
          <w:tab w:val="center" w:pos="4252"/>
        </w:tabs>
        <w:spacing w:line="360" w:lineRule="auto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 w:rsidRPr="001B6643"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z-index:251658240;visibility:visible;mso-position-horizontal-relative:text;mso-position-vertical-relative:text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F62B91" w:rsidRDefault="00F62B91" w:rsidP="00F62B9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F62B91" w:rsidRDefault="008B43EA" w:rsidP="008B43EA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B43EA">
        <w:rPr>
          <w:rFonts w:cstheme="minorHAnsi"/>
          <w:b/>
          <w:sz w:val="24"/>
          <w:szCs w:val="24"/>
          <w:u w:val="single"/>
        </w:rPr>
        <w:t>Tema 1</w:t>
      </w:r>
      <w:r w:rsidR="00982B86">
        <w:rPr>
          <w:rFonts w:cstheme="minorHAnsi"/>
          <w:b/>
          <w:sz w:val="24"/>
          <w:szCs w:val="24"/>
          <w:u w:val="single"/>
        </w:rPr>
        <w:t xml:space="preserve"> (20</w:t>
      </w:r>
      <w:r w:rsidRPr="008B43EA">
        <w:rPr>
          <w:rFonts w:cstheme="minorHAnsi"/>
          <w:b/>
          <w:sz w:val="24"/>
          <w:szCs w:val="24"/>
          <w:u w:val="single"/>
        </w:rPr>
        <w:t xml:space="preserve"> puntos)</w:t>
      </w:r>
    </w:p>
    <w:p w:rsidR="008B43EA" w:rsidRDefault="008B43EA" w:rsidP="008B43EA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 rutas se encuentran bajo consideración para la construcción de un nuevo tramo de una carretera interprovincial. La ruta larga mide 25 kilómetros y tendría un costo inicial de $21 millones. La ruta corta a trav</w:t>
      </w:r>
      <w:r w:rsidR="00982B86">
        <w:rPr>
          <w:rFonts w:cstheme="minorHAnsi"/>
          <w:sz w:val="24"/>
          <w:szCs w:val="24"/>
        </w:rPr>
        <w:t>és de las montañ</w:t>
      </w:r>
      <w:r>
        <w:rPr>
          <w:rFonts w:cstheme="minorHAnsi"/>
          <w:sz w:val="24"/>
          <w:szCs w:val="24"/>
        </w:rPr>
        <w:t xml:space="preserve">as abarcaría 10 kilómetros con un costo inicial de $45 millones. Los costos de mantenimiento se estiman en $40,000 anuales en caso de la ruta larga y de $15,000 anuales en el caso de la ruta corta. Además, se requerirá una reparación mayor y repavimentación cada 10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 a un costo de 10% del costo inicial de cada ruta. Sin importar la ruta que se elija, se espera que el volumen de tráfico sea de 400,000 vehículos al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>. Si se considera un gasto de operación por vehículo de $0.35 por kilómetro y se estima que el valor del tiempo de viaje</w:t>
      </w:r>
      <w:r w:rsidR="003F1934">
        <w:rPr>
          <w:rFonts w:cstheme="minorHAnsi"/>
          <w:sz w:val="24"/>
          <w:szCs w:val="24"/>
        </w:rPr>
        <w:t xml:space="preserve"> reducido por la ruta corta es de $900,000 anuales, determine qué ruta debería elegirse aplicando un B/C convencional. Suponga una vida infinita para cada ruta, una tasa de interés de 6% anual y el hecho de que se construirá uno de los caminos.</w:t>
      </w:r>
    </w:p>
    <w:p w:rsidR="003F1934" w:rsidRPr="003F1934" w:rsidRDefault="00982B86" w:rsidP="008B43EA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Tema 2 (20</w:t>
      </w:r>
      <w:r w:rsidR="003F1934" w:rsidRPr="003F1934">
        <w:rPr>
          <w:rFonts w:cstheme="minorHAnsi"/>
          <w:b/>
          <w:sz w:val="24"/>
          <w:szCs w:val="24"/>
          <w:u w:val="single"/>
        </w:rPr>
        <w:t xml:space="preserve"> puntos)</w:t>
      </w:r>
    </w:p>
    <w:p w:rsidR="008B43EA" w:rsidRDefault="00355A51" w:rsidP="00355A5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Hace tres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s, un hospital mejoró en forma significativa un equipo para dar cierto tratamiento a un costo de $275,000 y después puede usarse durante tres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 más. Si el sistema se reemplaza hoy, el hospital podría obtener $20,000. Si lo conservara, se calcula los valores de mercado y costos de operación mostrados en la tabla. Un equipo nuevo, durante sus primeros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 es más barato de operar y comprar, </w:t>
      </w:r>
      <w:r w:rsidR="00982B86">
        <w:rPr>
          <w:rFonts w:cstheme="minorHAnsi"/>
          <w:sz w:val="24"/>
          <w:szCs w:val="24"/>
        </w:rPr>
        <w:t xml:space="preserve">el costo es de </w:t>
      </w:r>
      <w:r>
        <w:rPr>
          <w:rFonts w:cstheme="minorHAnsi"/>
          <w:sz w:val="24"/>
          <w:szCs w:val="24"/>
        </w:rPr>
        <w:t xml:space="preserve"> $150,000. Tiene una vida máxima de 6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 pero después de tres los valores de mercado y COA cambian de modo significativo debido al deterioro. Además después de 4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s de uso, se prevé un costo recurrente de $40,000 por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 xml:space="preserve"> para inspeccionar y repetir el trabajo. Los valores de mercado, costo de operación y repetición del trabajo aparecen en la tabla. Basándose en estas estimaciones y con i=15% anual, diga cuáles son los montos de VES y VA para defensor y retador, y en cuántos </w:t>
      </w:r>
      <w:r w:rsidR="00982B86">
        <w:rPr>
          <w:rFonts w:cstheme="minorHAnsi"/>
          <w:sz w:val="24"/>
          <w:szCs w:val="24"/>
        </w:rPr>
        <w:t>año</w:t>
      </w:r>
      <w:r>
        <w:rPr>
          <w:rFonts w:cstheme="minorHAnsi"/>
          <w:sz w:val="24"/>
          <w:szCs w:val="24"/>
        </w:rPr>
        <w:t>s debe reemplazarse el sistema actual.</w:t>
      </w:r>
    </w:p>
    <w:p w:rsidR="00376E94" w:rsidRDefault="00376E94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76E94" w:rsidRDefault="00376E94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W w:w="6596" w:type="dxa"/>
        <w:tblInd w:w="968" w:type="dxa"/>
        <w:tblCellMar>
          <w:left w:w="70" w:type="dxa"/>
          <w:right w:w="70" w:type="dxa"/>
        </w:tblCellMar>
        <w:tblLook w:val="04A0"/>
      </w:tblPr>
      <w:tblGrid>
        <w:gridCol w:w="510"/>
        <w:gridCol w:w="1141"/>
        <w:gridCol w:w="945"/>
        <w:gridCol w:w="1113"/>
        <w:gridCol w:w="922"/>
        <w:gridCol w:w="1965"/>
      </w:tblGrid>
      <w:tr w:rsidR="00376E94" w:rsidRPr="00376E94" w:rsidTr="00982B86">
        <w:trPr>
          <w:trHeight w:val="300"/>
        </w:trPr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lastRenderedPageBreak/>
              <w:t>Sistema actual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Sistema propuesto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Valor de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Valor de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Material del trabajo</w:t>
            </w:r>
          </w:p>
        </w:tc>
      </w:tr>
      <w:tr w:rsidR="00376E94" w:rsidRPr="00376E94" w:rsidTr="00982B86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mercado, $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COA, $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mercado, $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COA, $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repetido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$ 10,000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-$ 50,000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$ 65,000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-$ 10,000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$ 6,000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-$ 60,000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$ 45,000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-$ 14,000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$ 2,000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-$ 70,000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$ 25,000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-$ 18,000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$ 5,000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-$ 22,000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76E94" w:rsidRPr="00376E94" w:rsidTr="00982B86">
        <w:trPr>
          <w:trHeight w:val="30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-$ 26,000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-$ 40,000</w:t>
            </w:r>
          </w:p>
        </w:tc>
      </w:tr>
      <w:tr w:rsidR="00376E94" w:rsidRPr="00376E94" w:rsidTr="00982B86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$ 0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-$ 30,000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6E94" w:rsidRPr="00376E94" w:rsidRDefault="00376E94" w:rsidP="00376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376E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-$ 40,000</w:t>
            </w:r>
          </w:p>
        </w:tc>
      </w:tr>
    </w:tbl>
    <w:p w:rsidR="00376E94" w:rsidRDefault="00376E94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76E94" w:rsidRPr="00A9259E" w:rsidRDefault="00A9259E" w:rsidP="00355A51">
      <w:p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259E">
        <w:rPr>
          <w:rFonts w:cstheme="minorHAnsi"/>
          <w:b/>
          <w:sz w:val="24"/>
          <w:szCs w:val="24"/>
          <w:u w:val="single"/>
        </w:rPr>
        <w:t>Tema 3 (20 Puntos)</w:t>
      </w:r>
    </w:p>
    <w:p w:rsidR="00355A51" w:rsidRDefault="00A9259E" w:rsidP="00355A51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Una empresa tiene $20,000 para asignar a nuevos proyectos. Cualquiera de los cinco proyectos de la tabla siguiente pueden aceptarse. Seleccione el proyecto o conjunto de proyectos m</w:t>
      </w:r>
      <w:r w:rsidR="00982B86">
        <w:rPr>
          <w:rFonts w:cstheme="minorHAnsi"/>
          <w:sz w:val="24"/>
          <w:szCs w:val="24"/>
        </w:rPr>
        <w:t>ás conveniente si la TMAR es del 15%.</w:t>
      </w:r>
    </w:p>
    <w:p w:rsidR="00982B86" w:rsidRDefault="00982B86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W w:w="5364" w:type="dxa"/>
        <w:tblInd w:w="1577" w:type="dxa"/>
        <w:tblCellMar>
          <w:left w:w="70" w:type="dxa"/>
          <w:right w:w="70" w:type="dxa"/>
        </w:tblCellMar>
        <w:tblLook w:val="04A0"/>
      </w:tblPr>
      <w:tblGrid>
        <w:gridCol w:w="956"/>
        <w:gridCol w:w="988"/>
        <w:gridCol w:w="1660"/>
        <w:gridCol w:w="1760"/>
      </w:tblGrid>
      <w:tr w:rsidR="00C60570" w:rsidRPr="00C60570" w:rsidTr="00982B86">
        <w:trPr>
          <w:trHeight w:val="300"/>
        </w:trPr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Inversión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Flujo de efectivo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Vida del proyecto</w:t>
            </w:r>
          </w:p>
        </w:tc>
      </w:tr>
      <w:tr w:rsidR="00C60570" w:rsidRPr="00C60570" w:rsidTr="00982B86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Proyecto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Inicial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neto anual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 años</w:t>
            </w:r>
          </w:p>
        </w:tc>
      </w:tr>
      <w:tr w:rsidR="00C60570" w:rsidRPr="00C60570" w:rsidTr="00982B86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-$ 8,000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$ 3,870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</w:tr>
      <w:tr w:rsidR="00C60570" w:rsidRPr="00C60570" w:rsidTr="00982B86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-$ 15,000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$ 2,930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</w:tr>
      <w:tr w:rsidR="00C60570" w:rsidRPr="00C60570" w:rsidTr="00982B86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-$ 8,000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$ 2,680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  <w:tr w:rsidR="00C60570" w:rsidRPr="00C60570" w:rsidTr="00982B86">
        <w:trPr>
          <w:trHeight w:val="300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-$ 8,000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$ 2,540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</w:tr>
      <w:tr w:rsidR="00C60570" w:rsidRPr="00C60570" w:rsidTr="00982B86">
        <w:trPr>
          <w:trHeight w:val="315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-$ 19,000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$ 8,000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70" w:rsidRPr="00C60570" w:rsidRDefault="00C60570" w:rsidP="00C60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60570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</w:tr>
    </w:tbl>
    <w:p w:rsidR="00C60570" w:rsidRDefault="00C60570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5A51" w:rsidRDefault="00355A51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5A51" w:rsidRDefault="00355A51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355A51" w:rsidRPr="008B43EA" w:rsidRDefault="00355A51" w:rsidP="00355A51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355A51" w:rsidRPr="008B43EA" w:rsidSect="00B92BB5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982B86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>
      <w:rPr>
        <w:i/>
        <w:color w:val="0070C0"/>
        <w:lang w:val="es-MX"/>
      </w:rPr>
      <w:t>Eco. Mauro Calles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Pr="00982B86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Pr="00982B86">
      <w:rPr>
        <w:noProof/>
        <w:color w:val="0070C0"/>
      </w:rPr>
      <w:t>2</w:t>
    </w:r>
    <w:r w:rsidRPr="00B065F8">
      <w:rPr>
        <w:color w:val="0070C0"/>
        <w:lang w:val="es-MX"/>
      </w:rPr>
      <w:fldChar w:fldCharType="end"/>
    </w:r>
  </w:p>
  <w:p w:rsidR="00E94D53" w:rsidRPr="00B065F8" w:rsidRDefault="00982B86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color w:val="0070C0"/>
        <w:lang w:val="es-MX"/>
      </w:rPr>
      <w:t>Ene-31</w:t>
    </w:r>
    <w:r>
      <w:rPr>
        <w:color w:val="0070C0"/>
        <w:lang w:val="es-MX"/>
      </w:rPr>
      <w:t>-</w:t>
    </w:r>
    <w:r>
      <w:rPr>
        <w:color w:val="0070C0"/>
        <w:lang w:val="es-MX"/>
      </w:rPr>
      <w:t>2012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982B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</w:t>
    </w:r>
    <w:r w:rsidRPr="007E31D1">
      <w:rPr>
        <w:b/>
        <w:sz w:val="28"/>
        <w:szCs w:val="28"/>
      </w:rPr>
      <w:t>ELA SUPERIOR POLITECNICA DEL LITORAL</w:t>
    </w:r>
  </w:p>
  <w:p w:rsidR="00B065F8" w:rsidRDefault="00982B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982B8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F62B91"/>
    <w:rsid w:val="00355A51"/>
    <w:rsid w:val="00376E94"/>
    <w:rsid w:val="003F1934"/>
    <w:rsid w:val="008B43EA"/>
    <w:rsid w:val="00982B86"/>
    <w:rsid w:val="00A9259E"/>
    <w:rsid w:val="00AF148E"/>
    <w:rsid w:val="00B437EF"/>
    <w:rsid w:val="00C60570"/>
    <w:rsid w:val="00F6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62B9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62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B91"/>
  </w:style>
  <w:style w:type="paragraph" w:styleId="Piedepgina">
    <w:name w:val="footer"/>
    <w:basedOn w:val="Normal"/>
    <w:link w:val="PiedepginaCar"/>
    <w:uiPriority w:val="99"/>
    <w:unhideWhenUsed/>
    <w:rsid w:val="00F62B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3</cp:revision>
  <dcterms:created xsi:type="dcterms:W3CDTF">2012-02-01T23:13:00Z</dcterms:created>
  <dcterms:modified xsi:type="dcterms:W3CDTF">2012-02-02T05:04:00Z</dcterms:modified>
</cp:coreProperties>
</file>