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38D" w:rsidRPr="00941EEB" w:rsidRDefault="0048138D" w:rsidP="0048138D">
      <w:pPr>
        <w:pStyle w:val="Ttulo"/>
        <w:rPr>
          <w:sz w:val="20"/>
          <w:szCs w:val="20"/>
        </w:rPr>
      </w:pPr>
      <w:r>
        <w:rPr>
          <w:b w:val="0"/>
          <w:bCs w:val="0"/>
          <w:noProof/>
          <w:sz w:val="20"/>
          <w:szCs w:val="20"/>
          <w:lang w:val="es-EC"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-56515</wp:posOffset>
            </wp:positionH>
            <wp:positionV relativeFrom="paragraph">
              <wp:posOffset>-108585</wp:posOffset>
            </wp:positionV>
            <wp:extent cx="704850" cy="704850"/>
            <wp:effectExtent l="19050" t="0" r="0" b="0"/>
            <wp:wrapSquare wrapText="bothSides"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41EEB">
        <w:rPr>
          <w:sz w:val="20"/>
          <w:szCs w:val="20"/>
        </w:rPr>
        <w:t>ESCUELA SUPERIOR POLITÉCNICA DEL LITORAL</w:t>
      </w:r>
    </w:p>
    <w:p w:rsidR="0048138D" w:rsidRPr="00941EEB" w:rsidRDefault="0048138D" w:rsidP="0048138D">
      <w:pPr>
        <w:jc w:val="center"/>
        <w:rPr>
          <w:b/>
          <w:bCs/>
        </w:rPr>
      </w:pPr>
      <w:r w:rsidRPr="00941EEB">
        <w:rPr>
          <w:b/>
          <w:bCs/>
        </w:rPr>
        <w:t>INSTITUTO DE CIENCIAS MATEMÁTICAS</w:t>
      </w:r>
    </w:p>
    <w:p w:rsidR="0048138D" w:rsidRPr="00941EEB" w:rsidRDefault="0048138D" w:rsidP="0048138D">
      <w:pPr>
        <w:jc w:val="center"/>
        <w:rPr>
          <w:b/>
          <w:bCs/>
        </w:rPr>
      </w:pPr>
      <w:r w:rsidRPr="00941EEB">
        <w:rPr>
          <w:b/>
          <w:bCs/>
        </w:rPr>
        <w:t xml:space="preserve">EXAMEN </w:t>
      </w:r>
      <w:r>
        <w:rPr>
          <w:b/>
          <w:bCs/>
        </w:rPr>
        <w:t>FINAL</w:t>
      </w:r>
      <w:r w:rsidRPr="00941EEB">
        <w:rPr>
          <w:b/>
          <w:bCs/>
        </w:rPr>
        <w:t xml:space="preserve"> DE CONTABILIDAD III</w:t>
      </w:r>
    </w:p>
    <w:p w:rsidR="0048138D" w:rsidRDefault="0048138D" w:rsidP="0048138D">
      <w:pPr>
        <w:jc w:val="center"/>
        <w:rPr>
          <w:b/>
          <w:bCs/>
        </w:rPr>
      </w:pPr>
      <w:r w:rsidRPr="00941EEB">
        <w:rPr>
          <w:b/>
          <w:bCs/>
        </w:rPr>
        <w:t>Guayaquil,</w:t>
      </w:r>
      <w:r>
        <w:rPr>
          <w:b/>
          <w:bCs/>
        </w:rPr>
        <w:t xml:space="preserve"> 31</w:t>
      </w:r>
      <w:r w:rsidRPr="00941EEB">
        <w:rPr>
          <w:b/>
          <w:bCs/>
        </w:rPr>
        <w:t xml:space="preserve"> de</w:t>
      </w:r>
      <w:r>
        <w:rPr>
          <w:b/>
          <w:bCs/>
        </w:rPr>
        <w:t xml:space="preserve"> agosto</w:t>
      </w:r>
      <w:r w:rsidRPr="00941EEB">
        <w:rPr>
          <w:b/>
          <w:bCs/>
        </w:rPr>
        <w:t xml:space="preserve"> de 20</w:t>
      </w:r>
      <w:r>
        <w:rPr>
          <w:b/>
          <w:bCs/>
        </w:rPr>
        <w:t>12</w:t>
      </w:r>
    </w:p>
    <w:p w:rsidR="0048138D" w:rsidRDefault="0048138D" w:rsidP="0048138D">
      <w:pPr>
        <w:jc w:val="center"/>
      </w:pPr>
    </w:p>
    <w:p w:rsidR="0048138D" w:rsidRDefault="0048138D" w:rsidP="0048138D">
      <w:pPr>
        <w:pStyle w:val="Ttulo2"/>
      </w:pPr>
      <w:r>
        <w:t>NOMBRE:_________________________________________  P ARALELO: _________</w:t>
      </w:r>
    </w:p>
    <w:p w:rsidR="0048138D" w:rsidRDefault="0048138D" w:rsidP="0048138D">
      <w:pPr>
        <w:jc w:val="both"/>
      </w:pPr>
    </w:p>
    <w:p w:rsidR="008430DC" w:rsidRDefault="008430DC" w:rsidP="008430DC">
      <w:pPr>
        <w:pStyle w:val="Prrafodelista"/>
        <w:ind w:left="360"/>
      </w:pPr>
    </w:p>
    <w:p w:rsidR="008430DC" w:rsidRPr="008430DC" w:rsidRDefault="008430DC" w:rsidP="008430DC">
      <w:pPr>
        <w:ind w:left="360" w:right="44"/>
        <w:rPr>
          <w:b/>
          <w:sz w:val="24"/>
          <w:szCs w:val="24"/>
          <w:lang w:val="es-MX"/>
        </w:rPr>
      </w:pPr>
    </w:p>
    <w:p w:rsidR="00457789" w:rsidRPr="00936EFB" w:rsidRDefault="00E75842" w:rsidP="00936EFB">
      <w:pPr>
        <w:numPr>
          <w:ilvl w:val="0"/>
          <w:numId w:val="1"/>
        </w:numPr>
        <w:ind w:right="44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936EFB">
        <w:rPr>
          <w:rFonts w:ascii="Arial Narrow" w:hAnsi="Arial Narrow"/>
          <w:sz w:val="22"/>
          <w:szCs w:val="22"/>
        </w:rPr>
        <w:t xml:space="preserve">De acuerdo a la </w:t>
      </w:r>
      <w:r w:rsidR="00A0510C">
        <w:rPr>
          <w:rFonts w:ascii="Arial Narrow" w:hAnsi="Arial Narrow"/>
          <w:sz w:val="22"/>
          <w:szCs w:val="22"/>
        </w:rPr>
        <w:t>NIC 39 defina la medición inicial y posterior de los activos financieros</w:t>
      </w:r>
      <w:r w:rsidR="00457789" w:rsidRPr="00936EFB">
        <w:rPr>
          <w:rFonts w:ascii="Arial Narrow" w:hAnsi="Arial Narrow"/>
          <w:sz w:val="22"/>
          <w:szCs w:val="22"/>
        </w:rPr>
        <w:t xml:space="preserve">.  </w:t>
      </w:r>
      <w:r w:rsidR="00457789" w:rsidRPr="00936EFB">
        <w:rPr>
          <w:rFonts w:ascii="Arial Narrow" w:hAnsi="Arial Narrow"/>
          <w:b/>
          <w:sz w:val="22"/>
          <w:szCs w:val="22"/>
        </w:rPr>
        <w:t xml:space="preserve">(Vale </w:t>
      </w:r>
      <w:r w:rsidR="00F97ADE">
        <w:rPr>
          <w:rFonts w:ascii="Arial Narrow" w:hAnsi="Arial Narrow"/>
          <w:b/>
          <w:sz w:val="22"/>
          <w:szCs w:val="22"/>
        </w:rPr>
        <w:t>10</w:t>
      </w:r>
      <w:r w:rsidR="00457789" w:rsidRPr="00936EFB">
        <w:rPr>
          <w:rFonts w:ascii="Arial Narrow" w:hAnsi="Arial Narrow"/>
          <w:b/>
          <w:sz w:val="22"/>
          <w:szCs w:val="22"/>
        </w:rPr>
        <w:t xml:space="preserve"> puntos).</w:t>
      </w:r>
    </w:p>
    <w:p w:rsidR="00457789" w:rsidRDefault="00457789" w:rsidP="00936EFB">
      <w:pPr>
        <w:ind w:left="360" w:right="44"/>
        <w:jc w:val="both"/>
        <w:rPr>
          <w:rFonts w:ascii="Arial Narrow" w:hAnsi="Arial Narrow"/>
          <w:b/>
          <w:sz w:val="22"/>
          <w:szCs w:val="22"/>
          <w:lang w:val="es-MX"/>
        </w:rPr>
      </w:pPr>
    </w:p>
    <w:p w:rsidR="0080544E" w:rsidRPr="00936EFB" w:rsidRDefault="0080544E" w:rsidP="00936EFB">
      <w:pPr>
        <w:ind w:left="360" w:right="44"/>
        <w:jc w:val="both"/>
        <w:rPr>
          <w:rFonts w:ascii="Arial Narrow" w:hAnsi="Arial Narrow"/>
          <w:b/>
          <w:sz w:val="22"/>
          <w:szCs w:val="22"/>
          <w:lang w:val="es-MX"/>
        </w:rPr>
      </w:pPr>
    </w:p>
    <w:p w:rsidR="00457789" w:rsidRPr="00936EFB" w:rsidRDefault="001607D3" w:rsidP="00936EFB">
      <w:pPr>
        <w:numPr>
          <w:ilvl w:val="0"/>
          <w:numId w:val="1"/>
        </w:numPr>
        <w:ind w:right="44"/>
        <w:jc w:val="both"/>
        <w:rPr>
          <w:rFonts w:ascii="Arial Narrow" w:hAnsi="Arial Narrow"/>
          <w:sz w:val="22"/>
          <w:szCs w:val="22"/>
          <w:lang w:val="es-MX"/>
        </w:rPr>
      </w:pPr>
      <w:r w:rsidRPr="00936EFB">
        <w:rPr>
          <w:rFonts w:ascii="Arial Narrow" w:hAnsi="Arial Narrow"/>
          <w:sz w:val="22"/>
          <w:szCs w:val="22"/>
          <w:lang w:val="es-MX"/>
        </w:rPr>
        <w:t>La subsidiaria durante el año 2011 vendió en $16.000 a matriz, mercaderías cuyo costo fue $11.000.  Al cierre del ejercicio estaba impago $3.000</w:t>
      </w:r>
      <w:r w:rsidR="00457789" w:rsidRPr="00936EFB">
        <w:rPr>
          <w:rFonts w:ascii="Arial Narrow" w:hAnsi="Arial Narrow"/>
          <w:sz w:val="22"/>
          <w:szCs w:val="22"/>
          <w:lang w:val="es-MX"/>
        </w:rPr>
        <w:t>.</w:t>
      </w:r>
      <w:r w:rsidRPr="00936EFB">
        <w:rPr>
          <w:rFonts w:ascii="Arial Narrow" w:hAnsi="Arial Narrow"/>
          <w:sz w:val="22"/>
          <w:szCs w:val="22"/>
          <w:lang w:val="es-MX"/>
        </w:rPr>
        <w:t xml:space="preserve">  De las mercaderías adquiridas, matriz mantenía en existencia un 25% y había vendido a terceros el 75% restante.</w:t>
      </w:r>
      <w:r w:rsidR="00457789" w:rsidRPr="00936EFB">
        <w:rPr>
          <w:rFonts w:ascii="Arial Narrow" w:hAnsi="Arial Narrow"/>
          <w:sz w:val="22"/>
          <w:szCs w:val="22"/>
          <w:lang w:val="es-MX"/>
        </w:rPr>
        <w:t xml:space="preserve">  </w:t>
      </w:r>
    </w:p>
    <w:p w:rsidR="00195EA8" w:rsidRPr="00936EFB" w:rsidRDefault="00457789" w:rsidP="00936EFB">
      <w:pPr>
        <w:tabs>
          <w:tab w:val="left" w:pos="7200"/>
        </w:tabs>
        <w:ind w:left="360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936EFB">
        <w:rPr>
          <w:rFonts w:ascii="Arial Narrow" w:hAnsi="Arial Narrow"/>
          <w:b/>
          <w:sz w:val="22"/>
          <w:szCs w:val="22"/>
          <w:lang w:val="es-MX"/>
        </w:rPr>
        <w:t>Se pide</w:t>
      </w:r>
      <w:r w:rsidRPr="00936EFB">
        <w:rPr>
          <w:rFonts w:ascii="Arial Narrow" w:hAnsi="Arial Narrow"/>
          <w:sz w:val="22"/>
          <w:szCs w:val="22"/>
          <w:lang w:val="es-MX"/>
        </w:rPr>
        <w:t xml:space="preserve">.  </w:t>
      </w:r>
      <w:r w:rsidR="001607D3" w:rsidRPr="00936EFB">
        <w:rPr>
          <w:rFonts w:ascii="Arial Narrow" w:hAnsi="Arial Narrow"/>
          <w:sz w:val="22"/>
          <w:szCs w:val="22"/>
          <w:lang w:val="es-MX"/>
        </w:rPr>
        <w:t>A</w:t>
      </w:r>
      <w:r w:rsidRPr="00936EFB">
        <w:rPr>
          <w:rFonts w:ascii="Arial Narrow" w:hAnsi="Arial Narrow"/>
          <w:sz w:val="22"/>
          <w:szCs w:val="22"/>
          <w:lang w:val="es-MX"/>
        </w:rPr>
        <w:t>siento</w:t>
      </w:r>
      <w:r w:rsidR="001607D3" w:rsidRPr="00936EFB">
        <w:rPr>
          <w:rFonts w:ascii="Arial Narrow" w:hAnsi="Arial Narrow"/>
          <w:sz w:val="22"/>
          <w:szCs w:val="22"/>
          <w:lang w:val="es-MX"/>
        </w:rPr>
        <w:t>s</w:t>
      </w:r>
      <w:r w:rsidRPr="00936EFB">
        <w:rPr>
          <w:rFonts w:ascii="Arial Narrow" w:hAnsi="Arial Narrow"/>
          <w:sz w:val="22"/>
          <w:szCs w:val="22"/>
          <w:lang w:val="es-MX"/>
        </w:rPr>
        <w:t xml:space="preserve"> contable</w:t>
      </w:r>
      <w:r w:rsidR="001607D3" w:rsidRPr="00936EFB">
        <w:rPr>
          <w:rFonts w:ascii="Arial Narrow" w:hAnsi="Arial Narrow"/>
          <w:sz w:val="22"/>
          <w:szCs w:val="22"/>
          <w:lang w:val="es-MX"/>
        </w:rPr>
        <w:t>s</w:t>
      </w:r>
      <w:r w:rsidRPr="00936EFB">
        <w:rPr>
          <w:rFonts w:ascii="Arial Narrow" w:hAnsi="Arial Narrow"/>
          <w:sz w:val="22"/>
          <w:szCs w:val="22"/>
          <w:lang w:val="es-MX"/>
        </w:rPr>
        <w:t xml:space="preserve"> de eliminación, de acuerdo a lo revisado en la NIC 2</w:t>
      </w:r>
      <w:r w:rsidR="00413526" w:rsidRPr="00936EFB">
        <w:rPr>
          <w:rFonts w:ascii="Arial Narrow" w:hAnsi="Arial Narrow"/>
          <w:sz w:val="22"/>
          <w:szCs w:val="22"/>
          <w:lang w:val="es-MX"/>
        </w:rPr>
        <w:t>7</w:t>
      </w:r>
      <w:r w:rsidRPr="00936EFB">
        <w:rPr>
          <w:rFonts w:ascii="Arial Narrow" w:hAnsi="Arial Narrow"/>
          <w:sz w:val="22"/>
          <w:szCs w:val="22"/>
          <w:lang w:val="es-MX"/>
        </w:rPr>
        <w:t xml:space="preserve"> </w:t>
      </w:r>
      <w:r w:rsidRPr="00936EFB">
        <w:rPr>
          <w:rFonts w:ascii="Arial Narrow" w:hAnsi="Arial Narrow"/>
          <w:b/>
          <w:sz w:val="22"/>
          <w:szCs w:val="22"/>
          <w:lang w:val="es-MX"/>
        </w:rPr>
        <w:t xml:space="preserve">(Vale </w:t>
      </w:r>
      <w:r w:rsidR="00F97ADE">
        <w:rPr>
          <w:rFonts w:ascii="Arial Narrow" w:hAnsi="Arial Narrow"/>
          <w:b/>
          <w:sz w:val="22"/>
          <w:szCs w:val="22"/>
          <w:lang w:val="es-MX"/>
        </w:rPr>
        <w:t>20</w:t>
      </w:r>
      <w:r w:rsidRPr="00936EFB">
        <w:rPr>
          <w:rFonts w:ascii="Arial Narrow" w:hAnsi="Arial Narrow"/>
          <w:b/>
          <w:sz w:val="22"/>
          <w:szCs w:val="22"/>
          <w:lang w:val="es-MX"/>
        </w:rPr>
        <w:t xml:space="preserve"> puntos)</w:t>
      </w:r>
      <w:r w:rsidR="00413526" w:rsidRPr="00936EFB">
        <w:rPr>
          <w:rFonts w:ascii="Arial Narrow" w:hAnsi="Arial Narrow"/>
          <w:b/>
          <w:sz w:val="22"/>
          <w:szCs w:val="22"/>
          <w:lang w:val="es-MX"/>
        </w:rPr>
        <w:t>.</w:t>
      </w:r>
    </w:p>
    <w:p w:rsidR="00195EA8" w:rsidRDefault="00195EA8" w:rsidP="00936EFB">
      <w:pPr>
        <w:tabs>
          <w:tab w:val="left" w:pos="7200"/>
        </w:tabs>
        <w:ind w:left="360"/>
        <w:jc w:val="both"/>
        <w:rPr>
          <w:rFonts w:ascii="Arial Narrow" w:hAnsi="Arial Narrow"/>
          <w:b/>
          <w:sz w:val="22"/>
          <w:szCs w:val="22"/>
          <w:lang w:val="es-MX"/>
        </w:rPr>
      </w:pPr>
    </w:p>
    <w:p w:rsidR="0080544E" w:rsidRPr="00936EFB" w:rsidRDefault="0080544E" w:rsidP="00936EFB">
      <w:pPr>
        <w:tabs>
          <w:tab w:val="left" w:pos="7200"/>
        </w:tabs>
        <w:ind w:left="360"/>
        <w:jc w:val="both"/>
        <w:rPr>
          <w:rFonts w:ascii="Arial Narrow" w:hAnsi="Arial Narrow"/>
          <w:b/>
          <w:sz w:val="22"/>
          <w:szCs w:val="22"/>
          <w:lang w:val="es-MX"/>
        </w:rPr>
      </w:pPr>
    </w:p>
    <w:p w:rsidR="0080544E" w:rsidRPr="00A86EDD" w:rsidRDefault="0080544E" w:rsidP="0080544E">
      <w:pPr>
        <w:numPr>
          <w:ilvl w:val="0"/>
          <w:numId w:val="1"/>
        </w:numPr>
        <w:tabs>
          <w:tab w:val="left" w:pos="8504"/>
        </w:tabs>
        <w:ind w:right="-1"/>
        <w:jc w:val="both"/>
        <w:rPr>
          <w:b/>
          <w:sz w:val="24"/>
          <w:szCs w:val="24"/>
          <w:lang w:val="es-MX"/>
        </w:rPr>
      </w:pPr>
      <w:r w:rsidRPr="00A86EDD">
        <w:rPr>
          <w:sz w:val="24"/>
          <w:szCs w:val="24"/>
          <w:lang w:val="es-MX"/>
        </w:rPr>
        <w:t xml:space="preserve">Efectúe el proceso contable del siguiente instrumento financiero,  de acuerdo a lo que indica la NIC 39. </w:t>
      </w:r>
      <w:r w:rsidRPr="00A86EDD">
        <w:rPr>
          <w:b/>
          <w:sz w:val="24"/>
          <w:szCs w:val="24"/>
          <w:lang w:val="es-MX"/>
        </w:rPr>
        <w:t xml:space="preserve">(Vale </w:t>
      </w:r>
      <w:r>
        <w:rPr>
          <w:b/>
          <w:sz w:val="24"/>
          <w:szCs w:val="24"/>
          <w:lang w:val="es-MX"/>
        </w:rPr>
        <w:t>20</w:t>
      </w:r>
      <w:r w:rsidRPr="00A86EDD">
        <w:rPr>
          <w:b/>
          <w:sz w:val="24"/>
          <w:szCs w:val="24"/>
          <w:lang w:val="es-MX"/>
        </w:rPr>
        <w:t xml:space="preserve"> puntos).</w:t>
      </w:r>
    </w:p>
    <w:p w:rsidR="0080544E" w:rsidRDefault="0080544E" w:rsidP="0080544E">
      <w:pPr>
        <w:ind w:left="360" w:right="474"/>
        <w:rPr>
          <w:b/>
          <w:lang w:val="es-MX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4394"/>
      </w:tblGrid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EMISOR: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Banco del Pacífico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PAPEL: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Póliza de Acumulación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FECHA EMISION: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Junio 15.2011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FECHA VCTO: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Octubre 13.2011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PLAZO: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120 días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MONTO:</w:t>
            </w:r>
          </w:p>
        </w:tc>
        <w:tc>
          <w:tcPr>
            <w:tcW w:w="4394" w:type="dxa"/>
          </w:tcPr>
          <w:p w:rsidR="0080544E" w:rsidRPr="00A86EDD" w:rsidRDefault="0080544E" w:rsidP="00F24AC9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$</w:t>
            </w:r>
            <w:r w:rsidR="00F24AC9">
              <w:rPr>
                <w:rFonts w:ascii="Tahoma" w:hAnsi="Tahoma" w:cs="Tahoma"/>
              </w:rPr>
              <w:t>165</w:t>
            </w:r>
            <w:r w:rsidRPr="00A86EDD">
              <w:rPr>
                <w:rFonts w:ascii="Tahoma" w:hAnsi="Tahoma" w:cs="Tahoma"/>
              </w:rPr>
              <w:t>.000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TASA: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7%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PERIODICIDAD: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Al vencimiento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CALIFICACÓN EMISOR: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AAA</w:t>
            </w:r>
          </w:p>
        </w:tc>
      </w:tr>
      <w:tr w:rsidR="0080544E" w:rsidTr="00646C7E">
        <w:tc>
          <w:tcPr>
            <w:tcW w:w="3085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INTENCIONALIDAD.</w:t>
            </w:r>
          </w:p>
        </w:tc>
        <w:tc>
          <w:tcPr>
            <w:tcW w:w="4394" w:type="dxa"/>
          </w:tcPr>
          <w:p w:rsidR="0080544E" w:rsidRPr="00A86EDD" w:rsidRDefault="0080544E" w:rsidP="00646C7E">
            <w:pPr>
              <w:rPr>
                <w:rFonts w:ascii="Tahoma" w:hAnsi="Tahoma" w:cs="Tahoma"/>
              </w:rPr>
            </w:pPr>
            <w:r w:rsidRPr="00A86EDD">
              <w:rPr>
                <w:rFonts w:ascii="Tahoma" w:hAnsi="Tahoma" w:cs="Tahoma"/>
              </w:rPr>
              <w:t>Mantenerla hasta el vencimiento</w:t>
            </w:r>
          </w:p>
        </w:tc>
      </w:tr>
    </w:tbl>
    <w:p w:rsidR="0080544E" w:rsidRDefault="0080544E" w:rsidP="0080544E">
      <w:pPr>
        <w:ind w:left="360" w:right="474"/>
        <w:rPr>
          <w:b/>
          <w:lang w:val="es-MX"/>
        </w:rPr>
      </w:pPr>
    </w:p>
    <w:p w:rsidR="004D76BB" w:rsidRPr="00936EFB" w:rsidRDefault="004D76BB" w:rsidP="00E847BF">
      <w:pPr>
        <w:pStyle w:val="Prrafodelista"/>
        <w:ind w:left="360"/>
        <w:rPr>
          <w:rFonts w:ascii="Arial Narrow" w:hAnsi="Arial Narrow"/>
          <w:sz w:val="22"/>
          <w:szCs w:val="22"/>
        </w:rPr>
      </w:pPr>
    </w:p>
    <w:p w:rsidR="004D76BB" w:rsidRPr="00936EFB" w:rsidRDefault="004D76BB" w:rsidP="004D76BB">
      <w:pPr>
        <w:numPr>
          <w:ilvl w:val="0"/>
          <w:numId w:val="5"/>
        </w:numPr>
        <w:ind w:right="44"/>
        <w:jc w:val="both"/>
        <w:rPr>
          <w:rFonts w:ascii="Arial Narrow" w:hAnsi="Arial Narrow"/>
          <w:b/>
          <w:sz w:val="22"/>
          <w:szCs w:val="22"/>
          <w:lang w:val="es-MX"/>
        </w:rPr>
      </w:pPr>
      <w:r w:rsidRPr="00936EFB">
        <w:rPr>
          <w:rFonts w:ascii="Arial Narrow" w:hAnsi="Arial Narrow"/>
          <w:sz w:val="22"/>
          <w:szCs w:val="22"/>
          <w:lang w:val="es-MX"/>
        </w:rPr>
        <w:t xml:space="preserve">Con los siguientes datos prepare la conversión del Estado de Cambios en el Patrimonio a Moneda Extranjera por el año 2010  </w:t>
      </w:r>
      <w:r w:rsidRPr="00936EFB">
        <w:rPr>
          <w:rFonts w:ascii="Arial Narrow" w:hAnsi="Arial Narrow"/>
          <w:b/>
          <w:sz w:val="22"/>
          <w:szCs w:val="22"/>
          <w:lang w:val="es-MX"/>
        </w:rPr>
        <w:t xml:space="preserve">(Vale </w:t>
      </w:r>
      <w:r w:rsidR="00AD7B45">
        <w:rPr>
          <w:rFonts w:ascii="Arial Narrow" w:hAnsi="Arial Narrow"/>
          <w:b/>
          <w:sz w:val="22"/>
          <w:szCs w:val="22"/>
          <w:lang w:val="es-MX"/>
        </w:rPr>
        <w:t>2</w:t>
      </w:r>
      <w:r w:rsidR="00F97ADE">
        <w:rPr>
          <w:rFonts w:ascii="Arial Narrow" w:hAnsi="Arial Narrow"/>
          <w:b/>
          <w:sz w:val="22"/>
          <w:szCs w:val="22"/>
          <w:lang w:val="es-MX"/>
        </w:rPr>
        <w:t>0</w:t>
      </w:r>
      <w:r w:rsidRPr="00936EFB">
        <w:rPr>
          <w:rFonts w:ascii="Arial Narrow" w:hAnsi="Arial Narrow"/>
          <w:b/>
          <w:sz w:val="22"/>
          <w:szCs w:val="22"/>
          <w:lang w:val="es-MX"/>
        </w:rPr>
        <w:t>puntos).</w:t>
      </w:r>
    </w:p>
    <w:tbl>
      <w:tblPr>
        <w:tblW w:w="9422" w:type="dxa"/>
        <w:tblInd w:w="70" w:type="dxa"/>
        <w:tblCellMar>
          <w:left w:w="70" w:type="dxa"/>
          <w:right w:w="70" w:type="dxa"/>
        </w:tblCellMar>
        <w:tblLook w:val="04A0"/>
      </w:tblPr>
      <w:tblGrid>
        <w:gridCol w:w="2770"/>
        <w:gridCol w:w="1222"/>
        <w:gridCol w:w="1222"/>
        <w:gridCol w:w="1473"/>
        <w:gridCol w:w="1513"/>
        <w:gridCol w:w="1222"/>
      </w:tblGrid>
      <w:tr w:rsidR="004D76BB" w:rsidRPr="00936EFB" w:rsidTr="003D573F">
        <w:trPr>
          <w:trHeight w:val="262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>Fénix S.A.</w:t>
            </w:r>
          </w:p>
        </w:tc>
      </w:tr>
      <w:tr w:rsidR="004D76BB" w:rsidRPr="00936EFB" w:rsidTr="003D573F">
        <w:trPr>
          <w:trHeight w:val="262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Estado de cambios en el Patrimonio </w:t>
            </w:r>
          </w:p>
        </w:tc>
      </w:tr>
      <w:tr w:rsidR="004D76BB" w:rsidRPr="00936EFB" w:rsidTr="003D573F">
        <w:trPr>
          <w:trHeight w:val="262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>Al 31 de diciembre de 2010</w:t>
            </w:r>
          </w:p>
        </w:tc>
      </w:tr>
      <w:tr w:rsidR="004D76BB" w:rsidRPr="00936EFB" w:rsidTr="003D573F">
        <w:trPr>
          <w:trHeight w:val="262"/>
        </w:trPr>
        <w:tc>
          <w:tcPr>
            <w:tcW w:w="942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>(en dólares)</w:t>
            </w:r>
          </w:p>
        </w:tc>
      </w:tr>
      <w:tr w:rsidR="004D76BB" w:rsidRPr="00936EFB" w:rsidTr="003D573F">
        <w:trPr>
          <w:trHeight w:val="786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 Capital Social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 Reserva Legal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 Superávit por revaluación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 Utilidades acumuladas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D76BB" w:rsidRPr="00936EFB" w:rsidRDefault="004D76BB" w:rsidP="003D573F">
            <w:pPr>
              <w:jc w:val="center"/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b/>
                <w:bCs/>
                <w:sz w:val="22"/>
                <w:szCs w:val="22"/>
                <w:lang w:val="es-EC" w:eastAsia="es-EC"/>
              </w:rPr>
              <w:t xml:space="preserve"> Total </w:t>
            </w:r>
          </w:p>
        </w:tc>
      </w:tr>
      <w:tr w:rsidR="004D76BB" w:rsidRPr="00936EFB" w:rsidTr="003D573F">
        <w:trPr>
          <w:trHeight w:val="262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Saldo al 31 Diciembre 2009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56.000,00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17.200,00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 27.302,00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 79.642,00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180.144,00 </w:t>
            </w:r>
          </w:p>
        </w:tc>
      </w:tr>
      <w:tr w:rsidR="004D76BB" w:rsidRPr="00936EFB" w:rsidTr="003D573F">
        <w:trPr>
          <w:trHeight w:val="262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Revaluación de activos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 70.242,00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70.242,00 </w:t>
            </w:r>
          </w:p>
        </w:tc>
      </w:tr>
      <w:tr w:rsidR="004D76BB" w:rsidRPr="00936EFB" w:rsidTr="003D573F">
        <w:trPr>
          <w:trHeight w:val="277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Utilidad del período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 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199.205,00 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199.205,00 </w:t>
            </w:r>
          </w:p>
        </w:tc>
      </w:tr>
      <w:tr w:rsidR="004D76BB" w:rsidRPr="00936EFB" w:rsidTr="003D573F">
        <w:trPr>
          <w:trHeight w:val="262"/>
        </w:trPr>
        <w:tc>
          <w:tcPr>
            <w:tcW w:w="2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>Saldos al 31 Diciembre 2010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56.000,00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17.200,00 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 97.544,00 </w:t>
            </w: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     278.847,00 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D76BB" w:rsidRPr="00936EFB" w:rsidRDefault="004D76BB" w:rsidP="003D573F">
            <w:pPr>
              <w:rPr>
                <w:rFonts w:ascii="Arial Narrow" w:hAnsi="Arial Narrow" w:cs="Arial"/>
                <w:sz w:val="22"/>
                <w:szCs w:val="22"/>
                <w:lang w:val="es-EC" w:eastAsia="es-EC"/>
              </w:rPr>
            </w:pPr>
            <w:r w:rsidRPr="00936EFB">
              <w:rPr>
                <w:rFonts w:ascii="Arial Narrow" w:hAnsi="Arial Narrow" w:cs="Arial"/>
                <w:sz w:val="22"/>
                <w:szCs w:val="22"/>
                <w:lang w:val="es-EC" w:eastAsia="es-EC"/>
              </w:rPr>
              <w:t xml:space="preserve"> 449.591,00 </w:t>
            </w:r>
          </w:p>
        </w:tc>
      </w:tr>
    </w:tbl>
    <w:p w:rsidR="007222C7" w:rsidRPr="00936EFB" w:rsidRDefault="007222C7" w:rsidP="007222C7">
      <w:pPr>
        <w:jc w:val="both"/>
        <w:rPr>
          <w:rFonts w:ascii="Arial Narrow" w:hAnsi="Arial Narrow"/>
          <w:sz w:val="22"/>
          <w:szCs w:val="22"/>
          <w:u w:val="single"/>
          <w:lang w:val="es-MX"/>
        </w:rPr>
      </w:pPr>
      <w:r w:rsidRPr="00936EFB">
        <w:rPr>
          <w:rFonts w:ascii="Arial Narrow" w:hAnsi="Arial Narrow"/>
          <w:sz w:val="22"/>
          <w:szCs w:val="22"/>
          <w:u w:val="single"/>
          <w:lang w:val="es-MX"/>
        </w:rPr>
        <w:t>Datos adicionales:</w:t>
      </w:r>
    </w:p>
    <w:p w:rsidR="007222C7" w:rsidRPr="00936EFB" w:rsidRDefault="007222C7" w:rsidP="007222C7">
      <w:pPr>
        <w:jc w:val="both"/>
        <w:rPr>
          <w:rFonts w:ascii="Arial Narrow" w:hAnsi="Arial Narrow"/>
          <w:sz w:val="22"/>
          <w:szCs w:val="22"/>
        </w:rPr>
      </w:pPr>
      <w:r w:rsidRPr="00936EFB">
        <w:rPr>
          <w:rFonts w:ascii="Arial Narrow" w:hAnsi="Arial Narrow"/>
          <w:sz w:val="22"/>
          <w:szCs w:val="22"/>
        </w:rPr>
        <w:t>La empresa requiere la conversión para uso externo  y su moneda funcional es la local.  No efectuó conversión en año anterior y la revaluación se efectuó a diciembre 31 del 2010.</w:t>
      </w:r>
    </w:p>
    <w:p w:rsidR="004809BA" w:rsidRPr="00936EFB" w:rsidRDefault="007222C7" w:rsidP="007222C7">
      <w:pPr>
        <w:jc w:val="both"/>
        <w:rPr>
          <w:rFonts w:ascii="Arial Narrow" w:hAnsi="Arial Narrow"/>
          <w:sz w:val="22"/>
          <w:szCs w:val="22"/>
          <w:lang w:val="es-MX"/>
        </w:rPr>
      </w:pPr>
      <w:r w:rsidRPr="00936EFB">
        <w:rPr>
          <w:rFonts w:ascii="Arial Narrow" w:hAnsi="Arial Narrow"/>
          <w:sz w:val="22"/>
          <w:szCs w:val="22"/>
        </w:rPr>
        <w:t xml:space="preserve">Tipo de cambio: para efectos de la conversión de moneda la empresa utiliza como base los tipos de cambio de compra y venta publicados por el Banco Central. Al 31 de diciembre de 2009 el tipo de cambio vigente era €1 = $1,1204. Así mismo el tipo de cambio vigente al 31 diciembre del 2010 era  €1 = $1,1305. </w:t>
      </w:r>
    </w:p>
    <w:sectPr w:rsidR="004809BA" w:rsidRPr="00936EFB" w:rsidSect="00936EFB">
      <w:pgSz w:w="12240" w:h="15840"/>
      <w:pgMar w:top="900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71663"/>
    <w:multiLevelType w:val="hybridMultilevel"/>
    <w:tmpl w:val="CA9EC66C"/>
    <w:lvl w:ilvl="0" w:tplc="8BDCFF4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B352AE6"/>
    <w:multiLevelType w:val="hybridMultilevel"/>
    <w:tmpl w:val="F96A164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E57E9C"/>
    <w:multiLevelType w:val="singleLevel"/>
    <w:tmpl w:val="9B1856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">
    <w:nsid w:val="5A9011B2"/>
    <w:multiLevelType w:val="hybridMultilevel"/>
    <w:tmpl w:val="08B8EDD8"/>
    <w:lvl w:ilvl="0" w:tplc="30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965865"/>
    <w:multiLevelType w:val="hybridMultilevel"/>
    <w:tmpl w:val="B15A49C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80711DB"/>
    <w:multiLevelType w:val="hybridMultilevel"/>
    <w:tmpl w:val="498E5B54"/>
    <w:lvl w:ilvl="0" w:tplc="B97C6ED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7789"/>
    <w:rsid w:val="00084663"/>
    <w:rsid w:val="00097E43"/>
    <w:rsid w:val="001607D3"/>
    <w:rsid w:val="00195EA8"/>
    <w:rsid w:val="002523CA"/>
    <w:rsid w:val="002D45B1"/>
    <w:rsid w:val="00347723"/>
    <w:rsid w:val="003A67EA"/>
    <w:rsid w:val="00413526"/>
    <w:rsid w:val="00457789"/>
    <w:rsid w:val="004809BA"/>
    <w:rsid w:val="0048138D"/>
    <w:rsid w:val="004D76BB"/>
    <w:rsid w:val="005874B2"/>
    <w:rsid w:val="005B1E77"/>
    <w:rsid w:val="00620E8A"/>
    <w:rsid w:val="00691790"/>
    <w:rsid w:val="007222C7"/>
    <w:rsid w:val="0080544E"/>
    <w:rsid w:val="008069FF"/>
    <w:rsid w:val="0081773D"/>
    <w:rsid w:val="008430DC"/>
    <w:rsid w:val="008545FE"/>
    <w:rsid w:val="00861A63"/>
    <w:rsid w:val="008A616F"/>
    <w:rsid w:val="00936EFB"/>
    <w:rsid w:val="009B3CCF"/>
    <w:rsid w:val="00A0510C"/>
    <w:rsid w:val="00A34290"/>
    <w:rsid w:val="00AD7B45"/>
    <w:rsid w:val="00B16FE0"/>
    <w:rsid w:val="00BE0C18"/>
    <w:rsid w:val="00CC5678"/>
    <w:rsid w:val="00CE66ED"/>
    <w:rsid w:val="00D04E61"/>
    <w:rsid w:val="00D05AB2"/>
    <w:rsid w:val="00D6654C"/>
    <w:rsid w:val="00E00343"/>
    <w:rsid w:val="00E75842"/>
    <w:rsid w:val="00E847BF"/>
    <w:rsid w:val="00ED45BC"/>
    <w:rsid w:val="00EE109C"/>
    <w:rsid w:val="00F10E0B"/>
    <w:rsid w:val="00F24AC9"/>
    <w:rsid w:val="00F70DDA"/>
    <w:rsid w:val="00F96301"/>
    <w:rsid w:val="00F97ADE"/>
    <w:rsid w:val="00FF1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7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qFormat/>
    <w:rsid w:val="0048138D"/>
    <w:pPr>
      <w:keepNext/>
      <w:outlineLvl w:val="1"/>
    </w:pPr>
    <w:rPr>
      <w:rFonts w:eastAsia="Calibri"/>
      <w:b/>
      <w:bCs/>
      <w:sz w:val="24"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13526"/>
    <w:pPr>
      <w:ind w:left="720"/>
      <w:contextualSpacing/>
    </w:pPr>
  </w:style>
  <w:style w:type="table" w:styleId="Tablaconcuadrcula">
    <w:name w:val="Table Grid"/>
    <w:basedOn w:val="Tablanormal"/>
    <w:uiPriority w:val="59"/>
    <w:rsid w:val="008430DC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2Car">
    <w:name w:val="Título 2 Car"/>
    <w:basedOn w:val="Fuentedeprrafopredeter"/>
    <w:link w:val="Ttulo2"/>
    <w:rsid w:val="0048138D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48138D"/>
    <w:pPr>
      <w:jc w:val="center"/>
    </w:pPr>
    <w:rPr>
      <w:rFonts w:eastAsia="Calibri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rsid w:val="0048138D"/>
    <w:rPr>
      <w:rFonts w:ascii="Times New Roman" w:eastAsia="Calibri" w:hAnsi="Times New Roman" w:cs="Times New Roman"/>
      <w:b/>
      <w:bCs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14763-72C2-41D4-82E6-A9924687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345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pramirez</dc:creator>
  <cp:lastModifiedBy>pramirez</cp:lastModifiedBy>
  <cp:revision>4</cp:revision>
  <dcterms:created xsi:type="dcterms:W3CDTF">2012-08-30T20:12:00Z</dcterms:created>
  <dcterms:modified xsi:type="dcterms:W3CDTF">2012-08-30T20:17:00Z</dcterms:modified>
</cp:coreProperties>
</file>