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F8" w:rsidRPr="00BD32F8" w:rsidRDefault="00BD32F8" w:rsidP="00BD32F8">
      <w:pPr>
        <w:jc w:val="center"/>
        <w:rPr>
          <w:b/>
          <w:sz w:val="28"/>
        </w:rPr>
      </w:pPr>
      <w:r w:rsidRPr="00BD32F8">
        <w:rPr>
          <w:b/>
          <w:sz w:val="28"/>
        </w:rPr>
        <w:t>“</w:t>
      </w:r>
      <w:r>
        <w:rPr>
          <w:b/>
          <w:sz w:val="28"/>
        </w:rPr>
        <w:t>A</w:t>
      </w:r>
      <w:r w:rsidRPr="00BD32F8">
        <w:rPr>
          <w:b/>
          <w:sz w:val="28"/>
        </w:rPr>
        <w:t xml:space="preserve">nálisis y </w:t>
      </w:r>
      <w:r>
        <w:rPr>
          <w:b/>
          <w:sz w:val="28"/>
        </w:rPr>
        <w:t>C</w:t>
      </w:r>
      <w:r w:rsidRPr="00BD32F8">
        <w:rPr>
          <w:b/>
          <w:sz w:val="28"/>
        </w:rPr>
        <w:t xml:space="preserve">ontrol del </w:t>
      </w:r>
      <w:r>
        <w:rPr>
          <w:b/>
          <w:sz w:val="28"/>
        </w:rPr>
        <w:t>C</w:t>
      </w:r>
      <w:r w:rsidRPr="00BD32F8">
        <w:rPr>
          <w:b/>
          <w:sz w:val="28"/>
        </w:rPr>
        <w:t xml:space="preserve">umplimiento </w:t>
      </w:r>
      <w:r>
        <w:rPr>
          <w:b/>
          <w:sz w:val="28"/>
        </w:rPr>
        <w:t>T</w:t>
      </w:r>
      <w:r w:rsidRPr="00BD32F8">
        <w:rPr>
          <w:b/>
          <w:sz w:val="28"/>
        </w:rPr>
        <w:t xml:space="preserve">ributario en el </w:t>
      </w:r>
      <w:r>
        <w:rPr>
          <w:b/>
          <w:sz w:val="28"/>
        </w:rPr>
        <w:t>E</w:t>
      </w:r>
      <w:r w:rsidRPr="00BD32F8">
        <w:rPr>
          <w:b/>
          <w:sz w:val="28"/>
        </w:rPr>
        <w:t xml:space="preserve">jercicio </w:t>
      </w:r>
      <w:r>
        <w:rPr>
          <w:b/>
          <w:sz w:val="28"/>
        </w:rPr>
        <w:t>F</w:t>
      </w:r>
      <w:r w:rsidRPr="00BD32F8">
        <w:rPr>
          <w:b/>
          <w:sz w:val="28"/>
        </w:rPr>
        <w:t xml:space="preserve">iscal 2008 de una </w:t>
      </w:r>
      <w:r>
        <w:rPr>
          <w:b/>
          <w:sz w:val="28"/>
        </w:rPr>
        <w:t>E</w:t>
      </w:r>
      <w:r w:rsidRPr="00BD32F8">
        <w:rPr>
          <w:b/>
          <w:sz w:val="28"/>
        </w:rPr>
        <w:t xml:space="preserve">mpresa </w:t>
      </w:r>
      <w:r>
        <w:rPr>
          <w:b/>
          <w:sz w:val="28"/>
        </w:rPr>
        <w:t>L</w:t>
      </w:r>
      <w:r w:rsidRPr="00BD32F8">
        <w:rPr>
          <w:b/>
          <w:sz w:val="28"/>
        </w:rPr>
        <w:t xml:space="preserve">ocalizada en la </w:t>
      </w:r>
      <w:r>
        <w:rPr>
          <w:b/>
          <w:sz w:val="28"/>
        </w:rPr>
        <w:t>C</w:t>
      </w:r>
      <w:r w:rsidRPr="00BD32F8">
        <w:rPr>
          <w:b/>
          <w:sz w:val="28"/>
        </w:rPr>
        <w:t xml:space="preserve">iudad de </w:t>
      </w:r>
      <w:r>
        <w:rPr>
          <w:b/>
          <w:sz w:val="28"/>
        </w:rPr>
        <w:t>G</w:t>
      </w:r>
      <w:r w:rsidRPr="00BD32F8">
        <w:rPr>
          <w:b/>
          <w:sz w:val="28"/>
        </w:rPr>
        <w:t xml:space="preserve">uayaquil que se </w:t>
      </w:r>
      <w:r>
        <w:rPr>
          <w:b/>
          <w:sz w:val="28"/>
        </w:rPr>
        <w:t>D</w:t>
      </w:r>
      <w:r w:rsidRPr="00BD32F8">
        <w:rPr>
          <w:b/>
          <w:sz w:val="28"/>
        </w:rPr>
        <w:t xml:space="preserve">edica a la </w:t>
      </w:r>
      <w:r>
        <w:rPr>
          <w:b/>
          <w:sz w:val="28"/>
        </w:rPr>
        <w:t>E</w:t>
      </w:r>
      <w:r w:rsidRPr="00BD32F8">
        <w:rPr>
          <w:b/>
          <w:sz w:val="28"/>
        </w:rPr>
        <w:t xml:space="preserve">laboración, </w:t>
      </w:r>
      <w:r>
        <w:rPr>
          <w:b/>
          <w:sz w:val="28"/>
        </w:rPr>
        <w:t>P</w:t>
      </w:r>
      <w:r w:rsidRPr="00BD32F8">
        <w:rPr>
          <w:b/>
          <w:sz w:val="28"/>
        </w:rPr>
        <w:t xml:space="preserve">roducción y </w:t>
      </w:r>
      <w:r>
        <w:rPr>
          <w:b/>
          <w:sz w:val="28"/>
        </w:rPr>
        <w:t>E</w:t>
      </w:r>
      <w:r w:rsidRPr="00BD32F8">
        <w:rPr>
          <w:b/>
          <w:sz w:val="28"/>
        </w:rPr>
        <w:t xml:space="preserve">xportación de aceite de </w:t>
      </w:r>
      <w:r>
        <w:rPr>
          <w:b/>
          <w:sz w:val="28"/>
        </w:rPr>
        <w:t>P</w:t>
      </w:r>
      <w:r w:rsidRPr="00BD32F8">
        <w:rPr>
          <w:b/>
          <w:sz w:val="28"/>
        </w:rPr>
        <w:t>escado”</w:t>
      </w:r>
    </w:p>
    <w:p w:rsidR="00825F1D" w:rsidRDefault="00825F1D" w:rsidP="00825F1D">
      <w:pPr>
        <w:autoSpaceDE w:val="0"/>
        <w:autoSpaceDN w:val="0"/>
        <w:adjustRightInd w:val="0"/>
        <w:jc w:val="center"/>
        <w:rPr>
          <w:bCs/>
          <w:sz w:val="20"/>
          <w:szCs w:val="18"/>
        </w:rPr>
      </w:pPr>
    </w:p>
    <w:p w:rsidR="00825F1D" w:rsidRDefault="00825F1D" w:rsidP="00825F1D">
      <w:pPr>
        <w:autoSpaceDE w:val="0"/>
        <w:autoSpaceDN w:val="0"/>
        <w:adjustRightInd w:val="0"/>
        <w:jc w:val="center"/>
        <w:rPr>
          <w:bCs/>
          <w:sz w:val="20"/>
          <w:szCs w:val="18"/>
        </w:rPr>
      </w:pPr>
      <w:r>
        <w:rPr>
          <w:bCs/>
          <w:sz w:val="20"/>
          <w:szCs w:val="18"/>
        </w:rPr>
        <w:t>Autores:</w:t>
      </w:r>
    </w:p>
    <w:p w:rsidR="00825F1D" w:rsidRPr="002171B2" w:rsidRDefault="00825F1D" w:rsidP="00825F1D">
      <w:pPr>
        <w:autoSpaceDE w:val="0"/>
        <w:autoSpaceDN w:val="0"/>
        <w:adjustRightInd w:val="0"/>
        <w:jc w:val="center"/>
        <w:rPr>
          <w:bCs/>
          <w:sz w:val="20"/>
          <w:szCs w:val="18"/>
          <w:vertAlign w:val="superscript"/>
          <w:lang w:val="pt-BR"/>
        </w:rPr>
      </w:pPr>
      <w:r w:rsidRPr="002171B2">
        <w:rPr>
          <w:bCs/>
          <w:sz w:val="20"/>
          <w:szCs w:val="18"/>
          <w:lang w:val="pt-BR"/>
        </w:rPr>
        <w:t>P</w:t>
      </w:r>
      <w:r w:rsidR="00037219" w:rsidRPr="002171B2">
        <w:rPr>
          <w:bCs/>
          <w:sz w:val="20"/>
          <w:szCs w:val="18"/>
          <w:lang w:val="pt-BR"/>
        </w:rPr>
        <w:t>edro</w:t>
      </w:r>
      <w:r w:rsidRPr="002171B2">
        <w:rPr>
          <w:bCs/>
          <w:sz w:val="20"/>
          <w:szCs w:val="18"/>
          <w:lang w:val="pt-BR"/>
        </w:rPr>
        <w:t xml:space="preserve"> </w:t>
      </w:r>
      <w:r w:rsidR="00037219" w:rsidRPr="002171B2">
        <w:rPr>
          <w:bCs/>
          <w:sz w:val="20"/>
          <w:szCs w:val="18"/>
          <w:lang w:val="pt-BR"/>
        </w:rPr>
        <w:t>Tigrero C</w:t>
      </w:r>
      <w:r w:rsidRPr="002171B2">
        <w:rPr>
          <w:bCs/>
          <w:sz w:val="20"/>
          <w:szCs w:val="18"/>
          <w:lang w:val="pt-BR"/>
        </w:rPr>
        <w:t>.</w:t>
      </w:r>
      <w:r w:rsidR="002171B2" w:rsidRPr="002171B2">
        <w:rPr>
          <w:bCs/>
          <w:sz w:val="20"/>
          <w:szCs w:val="18"/>
          <w:vertAlign w:val="superscript"/>
          <w:lang w:val="pt-BR"/>
        </w:rPr>
        <w:t>(1</w:t>
      </w:r>
      <w:r w:rsidR="002171B2">
        <w:rPr>
          <w:bCs/>
          <w:sz w:val="20"/>
          <w:szCs w:val="18"/>
          <w:vertAlign w:val="superscript"/>
          <w:lang w:val="pt-BR"/>
        </w:rPr>
        <w:t>)</w:t>
      </w:r>
      <w:r w:rsidR="0038069C" w:rsidRPr="002171B2">
        <w:rPr>
          <w:bCs/>
          <w:sz w:val="20"/>
          <w:szCs w:val="18"/>
          <w:lang w:val="pt-BR"/>
        </w:rPr>
        <w:t xml:space="preserve">, </w:t>
      </w:r>
      <w:r w:rsidR="00037219" w:rsidRPr="002171B2">
        <w:rPr>
          <w:bCs/>
          <w:sz w:val="20"/>
          <w:szCs w:val="18"/>
          <w:lang w:val="pt-BR"/>
        </w:rPr>
        <w:t>Javier Ordoñez H</w:t>
      </w:r>
      <w:r w:rsidR="002171B2">
        <w:rPr>
          <w:bCs/>
          <w:sz w:val="20"/>
          <w:szCs w:val="18"/>
          <w:vertAlign w:val="superscript"/>
          <w:lang w:val="pt-BR"/>
        </w:rPr>
        <w:t>(1)</w:t>
      </w:r>
      <w:r w:rsidRPr="002171B2">
        <w:rPr>
          <w:bCs/>
          <w:sz w:val="20"/>
          <w:szCs w:val="18"/>
          <w:lang w:val="pt-BR"/>
        </w:rPr>
        <w:t>.</w:t>
      </w:r>
      <w:r w:rsidR="0038069C" w:rsidRPr="002171B2">
        <w:rPr>
          <w:bCs/>
          <w:sz w:val="20"/>
          <w:szCs w:val="18"/>
          <w:lang w:val="pt-BR"/>
        </w:rPr>
        <w:t xml:space="preserve">, </w:t>
      </w:r>
      <w:r w:rsidR="002171B2">
        <w:rPr>
          <w:bCs/>
          <w:sz w:val="20"/>
          <w:szCs w:val="18"/>
          <w:lang w:val="pt-BR"/>
        </w:rPr>
        <w:t xml:space="preserve">CPA. </w:t>
      </w:r>
      <w:r w:rsidR="00031F21" w:rsidRPr="002171B2">
        <w:rPr>
          <w:bCs/>
          <w:sz w:val="20"/>
          <w:szCs w:val="18"/>
          <w:lang w:val="pt-BR"/>
        </w:rPr>
        <w:t>Azucena Torres N.</w:t>
      </w:r>
      <w:r w:rsidR="002171B2">
        <w:rPr>
          <w:bCs/>
          <w:sz w:val="20"/>
          <w:szCs w:val="18"/>
          <w:vertAlign w:val="superscript"/>
          <w:lang w:val="pt-BR"/>
        </w:rPr>
        <w:t>(2)</w:t>
      </w:r>
    </w:p>
    <w:p w:rsidR="00825F1D" w:rsidRDefault="00825F1D" w:rsidP="00825F1D">
      <w:pPr>
        <w:autoSpaceDE w:val="0"/>
        <w:autoSpaceDN w:val="0"/>
        <w:adjustRightInd w:val="0"/>
        <w:jc w:val="center"/>
        <w:rPr>
          <w:bCs/>
          <w:sz w:val="20"/>
          <w:szCs w:val="18"/>
        </w:rPr>
      </w:pPr>
      <w:r>
        <w:rPr>
          <w:bCs/>
          <w:sz w:val="20"/>
          <w:szCs w:val="18"/>
        </w:rPr>
        <w:t>Instituto de Ciencias Matemáticas</w:t>
      </w:r>
    </w:p>
    <w:p w:rsidR="00825F1D" w:rsidRDefault="00825F1D" w:rsidP="00825F1D">
      <w:pPr>
        <w:autoSpaceDE w:val="0"/>
        <w:autoSpaceDN w:val="0"/>
        <w:adjustRightInd w:val="0"/>
        <w:jc w:val="center"/>
        <w:rPr>
          <w:bCs/>
          <w:sz w:val="20"/>
          <w:szCs w:val="18"/>
        </w:rPr>
      </w:pPr>
      <w:r>
        <w:rPr>
          <w:bCs/>
          <w:sz w:val="20"/>
          <w:szCs w:val="18"/>
        </w:rPr>
        <w:t>Escuela Superior Politécnica del L</w:t>
      </w:r>
      <w:r w:rsidR="00037219">
        <w:rPr>
          <w:bCs/>
          <w:sz w:val="20"/>
          <w:szCs w:val="18"/>
        </w:rPr>
        <w:t>i</w:t>
      </w:r>
      <w:r>
        <w:rPr>
          <w:bCs/>
          <w:sz w:val="20"/>
          <w:szCs w:val="18"/>
        </w:rPr>
        <w:t>toral</w:t>
      </w:r>
    </w:p>
    <w:p w:rsidR="00825F1D" w:rsidRDefault="00825F1D" w:rsidP="00825F1D">
      <w:pPr>
        <w:jc w:val="center"/>
        <w:rPr>
          <w:bCs/>
          <w:sz w:val="20"/>
          <w:szCs w:val="18"/>
        </w:rPr>
      </w:pPr>
      <w:r>
        <w:rPr>
          <w:bCs/>
          <w:sz w:val="20"/>
          <w:szCs w:val="18"/>
        </w:rPr>
        <w:t>Guayaquil - Ecuador</w:t>
      </w:r>
    </w:p>
    <w:p w:rsidR="00825F1D" w:rsidRPr="002577DC" w:rsidRDefault="008722E6" w:rsidP="00825F1D">
      <w:pPr>
        <w:jc w:val="center"/>
        <w:rPr>
          <w:bCs/>
          <w:sz w:val="20"/>
          <w:szCs w:val="18"/>
        </w:rPr>
      </w:pPr>
      <w:hyperlink r:id="rId8" w:history="1">
        <w:r w:rsidRPr="00347B75">
          <w:rPr>
            <w:rStyle w:val="Hipervnculo"/>
            <w:bCs/>
            <w:sz w:val="20"/>
            <w:szCs w:val="18"/>
          </w:rPr>
          <w:t>ptigrero@espol.edu.ec</w:t>
        </w:r>
      </w:hyperlink>
      <w:r>
        <w:rPr>
          <w:bCs/>
          <w:sz w:val="20"/>
          <w:szCs w:val="18"/>
        </w:rPr>
        <w:t xml:space="preserve">, </w:t>
      </w:r>
      <w:hyperlink r:id="rId9" w:history="1">
        <w:r w:rsidR="00037219" w:rsidRPr="00641C87">
          <w:rPr>
            <w:rStyle w:val="Hipervnculo"/>
            <w:bCs/>
            <w:sz w:val="20"/>
            <w:szCs w:val="18"/>
          </w:rPr>
          <w:t>javanord@espol.edu.ec</w:t>
        </w:r>
      </w:hyperlink>
      <w:r w:rsidR="00825F1D">
        <w:rPr>
          <w:bCs/>
          <w:sz w:val="20"/>
          <w:szCs w:val="18"/>
        </w:rPr>
        <w:t xml:space="preserve">, </w:t>
      </w:r>
      <w:hyperlink r:id="rId10" w:history="1">
        <w:r w:rsidR="00825F1D" w:rsidRPr="002F371B">
          <w:rPr>
            <w:rStyle w:val="Hipervnculo"/>
            <w:bCs/>
            <w:sz w:val="20"/>
            <w:szCs w:val="18"/>
          </w:rPr>
          <w:t>atorres@espol.edu.ec</w:t>
        </w:r>
      </w:hyperlink>
      <w:r w:rsidR="00825F1D">
        <w:rPr>
          <w:bCs/>
          <w:sz w:val="20"/>
          <w:szCs w:val="18"/>
        </w:rPr>
        <w:t xml:space="preserve"> </w:t>
      </w:r>
    </w:p>
    <w:p w:rsidR="00825F1D" w:rsidRDefault="00825F1D" w:rsidP="008003B9">
      <w:pPr>
        <w:jc w:val="center"/>
        <w:rPr>
          <w:b/>
        </w:rPr>
      </w:pPr>
    </w:p>
    <w:p w:rsidR="008003B9" w:rsidRDefault="008003B9" w:rsidP="008003B9">
      <w:pPr>
        <w:jc w:val="center"/>
        <w:rPr>
          <w:b/>
        </w:rPr>
      </w:pPr>
      <w:r w:rsidRPr="008003B9">
        <w:rPr>
          <w:b/>
        </w:rPr>
        <w:t>Resumen</w:t>
      </w:r>
    </w:p>
    <w:p w:rsidR="008003B9" w:rsidRDefault="008003B9" w:rsidP="008003B9">
      <w:pPr>
        <w:jc w:val="center"/>
        <w:rPr>
          <w:b/>
        </w:rPr>
      </w:pPr>
    </w:p>
    <w:p w:rsidR="00DD11D3" w:rsidRPr="00DD11D3" w:rsidRDefault="008003B9" w:rsidP="00DD11D3">
      <w:pPr>
        <w:jc w:val="both"/>
        <w:rPr>
          <w:i/>
          <w:sz w:val="20"/>
          <w:szCs w:val="20"/>
        </w:rPr>
      </w:pPr>
      <w:r w:rsidRPr="008003B9">
        <w:rPr>
          <w:i/>
          <w:sz w:val="20"/>
          <w:szCs w:val="20"/>
        </w:rPr>
        <w:t xml:space="preserve">Los </w:t>
      </w:r>
      <w:r w:rsidR="009C6A6F">
        <w:rPr>
          <w:i/>
          <w:sz w:val="20"/>
          <w:szCs w:val="20"/>
        </w:rPr>
        <w:t>Impuestos (Tributos)</w:t>
      </w:r>
      <w:r w:rsidRPr="008003B9">
        <w:rPr>
          <w:i/>
          <w:sz w:val="20"/>
          <w:szCs w:val="20"/>
        </w:rPr>
        <w:t xml:space="preserve"> son las prestaciones que el Estado </w:t>
      </w:r>
      <w:r w:rsidR="00D142FF">
        <w:rPr>
          <w:i/>
          <w:sz w:val="20"/>
          <w:szCs w:val="20"/>
        </w:rPr>
        <w:t>o</w:t>
      </w:r>
      <w:r w:rsidRPr="008003B9">
        <w:rPr>
          <w:i/>
          <w:sz w:val="20"/>
          <w:szCs w:val="20"/>
        </w:rPr>
        <w:t xml:space="preserve"> un ente público autorizado al efecto por aquel, exige de sujetos económicos sometidos </w:t>
      </w:r>
      <w:r w:rsidR="00A12E6A">
        <w:rPr>
          <w:i/>
          <w:sz w:val="20"/>
          <w:szCs w:val="20"/>
        </w:rPr>
        <w:t>al mismo</w:t>
      </w:r>
      <w:r w:rsidRPr="008003B9">
        <w:rPr>
          <w:i/>
          <w:sz w:val="20"/>
          <w:szCs w:val="20"/>
        </w:rPr>
        <w:t>.</w:t>
      </w:r>
      <w:r w:rsidR="00DD11D3" w:rsidRPr="00DD11D3">
        <w:rPr>
          <w:i/>
          <w:sz w:val="20"/>
          <w:szCs w:val="20"/>
        </w:rPr>
        <w:t xml:space="preserve"> </w:t>
      </w:r>
      <w:r w:rsidR="00DD11D3">
        <w:rPr>
          <w:i/>
          <w:sz w:val="20"/>
          <w:szCs w:val="20"/>
        </w:rPr>
        <w:t>En este trabajo s</w:t>
      </w:r>
      <w:r w:rsidR="00DD11D3" w:rsidRPr="00DD11D3">
        <w:rPr>
          <w:i/>
          <w:sz w:val="20"/>
          <w:szCs w:val="20"/>
        </w:rPr>
        <w:t xml:space="preserve">e mostrará la descripción de la empresa, sus procesos, así mismo como el análisis de la situación contable. El propósito principal es verificar si dichos procedimientos contables cumplen </w:t>
      </w:r>
      <w:r w:rsidR="00807977">
        <w:rPr>
          <w:i/>
          <w:sz w:val="20"/>
          <w:szCs w:val="20"/>
        </w:rPr>
        <w:t>con</w:t>
      </w:r>
      <w:r w:rsidR="00DD11D3" w:rsidRPr="00DD11D3">
        <w:rPr>
          <w:i/>
          <w:sz w:val="20"/>
          <w:szCs w:val="20"/>
        </w:rPr>
        <w:t xml:space="preserve"> las leyes orgánicas tributarias, con sus obligaciones tributarias en el periodo fiscal  2008, mediante el análisis de las cuentas y las conciliaciones  de las declaraciones realizadas al SRI y los registros contables.</w:t>
      </w:r>
    </w:p>
    <w:p w:rsidR="00DD11D3" w:rsidRDefault="00DD11D3" w:rsidP="00DD11D3">
      <w:pPr>
        <w:jc w:val="both"/>
        <w:rPr>
          <w:i/>
          <w:sz w:val="20"/>
          <w:szCs w:val="20"/>
        </w:rPr>
      </w:pPr>
      <w:r w:rsidRPr="00DD11D3">
        <w:rPr>
          <w:i/>
          <w:sz w:val="20"/>
          <w:szCs w:val="20"/>
        </w:rPr>
        <w:t xml:space="preserve">Se realizará en conformidad con las normas de Auditoria Generalmente Aceptadas, los Principios de Contabilidad Generalmente Aceptados, y las Leyes Tributarias </w:t>
      </w:r>
      <w:r>
        <w:rPr>
          <w:i/>
          <w:sz w:val="20"/>
          <w:szCs w:val="20"/>
        </w:rPr>
        <w:t xml:space="preserve">para poder </w:t>
      </w:r>
      <w:r w:rsidR="000C355B">
        <w:rPr>
          <w:i/>
          <w:sz w:val="20"/>
          <w:szCs w:val="20"/>
        </w:rPr>
        <w:t>efectuar un correcto análisis del cumplimiento tributario</w:t>
      </w:r>
      <w:r>
        <w:rPr>
          <w:rFonts w:ascii="Arial" w:hAnsi="Arial" w:cs="Arial"/>
        </w:rPr>
        <w:t xml:space="preserve"> </w:t>
      </w:r>
      <w:r w:rsidR="000C355B" w:rsidRPr="00DD11D3">
        <w:rPr>
          <w:i/>
          <w:sz w:val="20"/>
          <w:szCs w:val="20"/>
        </w:rPr>
        <w:t>cor</w:t>
      </w:r>
      <w:r w:rsidR="000C355B">
        <w:rPr>
          <w:i/>
          <w:sz w:val="20"/>
          <w:szCs w:val="20"/>
        </w:rPr>
        <w:t>respondientes al año fiscal 2008</w:t>
      </w:r>
      <w:r w:rsidR="00807977">
        <w:rPr>
          <w:i/>
          <w:sz w:val="20"/>
          <w:szCs w:val="20"/>
        </w:rPr>
        <w:t>,</w:t>
      </w:r>
      <w:r w:rsidR="000C355B">
        <w:rPr>
          <w:i/>
          <w:sz w:val="20"/>
          <w:szCs w:val="20"/>
        </w:rPr>
        <w:t xml:space="preserve"> </w:t>
      </w:r>
      <w:r w:rsidR="000C355B" w:rsidRPr="008003B9">
        <w:rPr>
          <w:i/>
          <w:sz w:val="20"/>
          <w:szCs w:val="20"/>
        </w:rPr>
        <w:t xml:space="preserve">de una empresa comercial ubicada en la ciudad de Guayaquil, dedicada a la </w:t>
      </w:r>
      <w:r w:rsidR="001B63CA">
        <w:rPr>
          <w:i/>
          <w:sz w:val="20"/>
          <w:szCs w:val="20"/>
        </w:rPr>
        <w:t>E</w:t>
      </w:r>
      <w:r w:rsidR="000C355B">
        <w:rPr>
          <w:i/>
          <w:sz w:val="20"/>
          <w:szCs w:val="20"/>
        </w:rPr>
        <w:t xml:space="preserve">laboración, Producción y Exportación </w:t>
      </w:r>
      <w:r w:rsidR="000C355B" w:rsidRPr="008003B9">
        <w:rPr>
          <w:i/>
          <w:sz w:val="20"/>
          <w:szCs w:val="20"/>
        </w:rPr>
        <w:t>de</w:t>
      </w:r>
      <w:r w:rsidR="000C355B">
        <w:rPr>
          <w:i/>
          <w:sz w:val="20"/>
          <w:szCs w:val="20"/>
        </w:rPr>
        <w:t xml:space="preserve"> aceite de pescado.</w:t>
      </w:r>
    </w:p>
    <w:p w:rsidR="00C851A0" w:rsidRDefault="00C851A0" w:rsidP="00825F1D">
      <w:pPr>
        <w:jc w:val="both"/>
        <w:rPr>
          <w:i/>
          <w:sz w:val="20"/>
          <w:szCs w:val="20"/>
        </w:rPr>
      </w:pPr>
    </w:p>
    <w:p w:rsidR="00C851A0" w:rsidRDefault="00C851A0" w:rsidP="00825F1D">
      <w:pPr>
        <w:jc w:val="both"/>
        <w:rPr>
          <w:i/>
          <w:sz w:val="20"/>
          <w:szCs w:val="20"/>
        </w:rPr>
      </w:pPr>
      <w:r>
        <w:rPr>
          <w:b/>
          <w:sz w:val="20"/>
          <w:szCs w:val="20"/>
        </w:rPr>
        <w:t xml:space="preserve">     </w:t>
      </w:r>
      <w:r w:rsidRPr="00C851A0">
        <w:rPr>
          <w:b/>
          <w:sz w:val="20"/>
          <w:szCs w:val="20"/>
        </w:rPr>
        <w:t>Palabras Claves:</w:t>
      </w:r>
      <w:r>
        <w:rPr>
          <w:sz w:val="20"/>
          <w:szCs w:val="20"/>
        </w:rPr>
        <w:t xml:space="preserve"> </w:t>
      </w:r>
      <w:r w:rsidR="001E48AB">
        <w:rPr>
          <w:i/>
          <w:sz w:val="20"/>
          <w:szCs w:val="20"/>
        </w:rPr>
        <w:t xml:space="preserve">Tributos, </w:t>
      </w:r>
      <w:r w:rsidR="00A21051">
        <w:rPr>
          <w:i/>
          <w:sz w:val="20"/>
          <w:szCs w:val="20"/>
        </w:rPr>
        <w:t>Auditorí</w:t>
      </w:r>
      <w:r>
        <w:rPr>
          <w:i/>
          <w:sz w:val="20"/>
          <w:szCs w:val="20"/>
        </w:rPr>
        <w:t xml:space="preserve">a Tributaria, Código Tributario, Ley Orgánica del Régimen Tributario Interno, Reglamento para </w:t>
      </w:r>
      <w:smartTag w:uri="urn:schemas-microsoft-com:office:smarttags" w:element="PersonName">
        <w:smartTagPr>
          <w:attr w:name="ProductID" w:val="la Aplicaci￳n"/>
        </w:smartTagPr>
        <w:r>
          <w:rPr>
            <w:i/>
            <w:sz w:val="20"/>
            <w:szCs w:val="20"/>
          </w:rPr>
          <w:t>la Aplicación</w:t>
        </w:r>
      </w:smartTag>
      <w:r>
        <w:rPr>
          <w:i/>
          <w:sz w:val="20"/>
          <w:szCs w:val="20"/>
        </w:rPr>
        <w:t xml:space="preserve"> de </w:t>
      </w:r>
      <w:smartTag w:uri="urn:schemas-microsoft-com:office:smarttags" w:element="PersonName">
        <w:smartTagPr>
          <w:attr w:name="ProductID" w:val="la Ley Org￡nica"/>
        </w:smartTagPr>
        <w:smartTag w:uri="urn:schemas-microsoft-com:office:smarttags" w:element="PersonName">
          <w:smartTagPr>
            <w:attr w:name="ProductID" w:val="la Ley"/>
          </w:smartTagPr>
          <w:r>
            <w:rPr>
              <w:i/>
              <w:sz w:val="20"/>
              <w:szCs w:val="20"/>
            </w:rPr>
            <w:t>la Ley</w:t>
          </w:r>
        </w:smartTag>
        <w:r>
          <w:rPr>
            <w:i/>
            <w:sz w:val="20"/>
            <w:szCs w:val="20"/>
          </w:rPr>
          <w:t xml:space="preserve"> Orgánica</w:t>
        </w:r>
      </w:smartTag>
      <w:r>
        <w:rPr>
          <w:i/>
          <w:sz w:val="20"/>
          <w:szCs w:val="20"/>
        </w:rPr>
        <w:t xml:space="preserve"> del Régimen Tributario Interno, Contribuyentes, Persona Natural.</w:t>
      </w:r>
    </w:p>
    <w:p w:rsidR="000F4E9D" w:rsidRDefault="000F4E9D" w:rsidP="008003B9">
      <w:pPr>
        <w:spacing w:line="360" w:lineRule="auto"/>
        <w:jc w:val="both"/>
        <w:rPr>
          <w:i/>
          <w:sz w:val="20"/>
          <w:szCs w:val="20"/>
        </w:rPr>
      </w:pPr>
    </w:p>
    <w:p w:rsidR="00044D4D" w:rsidRDefault="00044D4D" w:rsidP="00044D4D">
      <w:pPr>
        <w:jc w:val="center"/>
        <w:rPr>
          <w:b/>
          <w:lang w:val="en-US"/>
        </w:rPr>
      </w:pPr>
      <w:r w:rsidRPr="00044D4D">
        <w:rPr>
          <w:b/>
          <w:lang w:val="en-US"/>
        </w:rPr>
        <w:t>Abstract</w:t>
      </w:r>
    </w:p>
    <w:p w:rsidR="009F3887" w:rsidRDefault="009F3887" w:rsidP="00044D4D">
      <w:pPr>
        <w:jc w:val="center"/>
        <w:rPr>
          <w:b/>
          <w:lang w:val="en-US"/>
        </w:rPr>
      </w:pPr>
    </w:p>
    <w:p w:rsidR="00FC6223" w:rsidRPr="00FC6223" w:rsidRDefault="00FC6223" w:rsidP="00FC6223">
      <w:pPr>
        <w:autoSpaceDE w:val="0"/>
        <w:autoSpaceDN w:val="0"/>
        <w:adjustRightInd w:val="0"/>
        <w:jc w:val="both"/>
        <w:rPr>
          <w:i/>
          <w:iCs/>
          <w:sz w:val="20"/>
          <w:szCs w:val="20"/>
          <w:lang w:val="en-US" w:eastAsia="es-EC"/>
        </w:rPr>
      </w:pPr>
      <w:r>
        <w:rPr>
          <w:i/>
          <w:iCs/>
          <w:sz w:val="20"/>
          <w:szCs w:val="20"/>
          <w:lang w:val="en-US" w:eastAsia="es-EC"/>
        </w:rPr>
        <w:t>Taxes (Tributes</w:t>
      </w:r>
      <w:r w:rsidR="00A21051">
        <w:rPr>
          <w:i/>
          <w:iCs/>
          <w:sz w:val="20"/>
          <w:szCs w:val="20"/>
          <w:lang w:val="en-US" w:eastAsia="es-EC"/>
        </w:rPr>
        <w:t>) are the social benefits that</w:t>
      </w:r>
      <w:r w:rsidRPr="00FC6223">
        <w:rPr>
          <w:i/>
          <w:iCs/>
          <w:sz w:val="20"/>
          <w:szCs w:val="20"/>
          <w:lang w:val="en-US" w:eastAsia="es-EC"/>
        </w:rPr>
        <w:t xml:space="preserve"> the State or a</w:t>
      </w:r>
      <w:r w:rsidR="00A21051">
        <w:rPr>
          <w:i/>
          <w:iCs/>
          <w:sz w:val="20"/>
          <w:szCs w:val="20"/>
          <w:lang w:val="en-US" w:eastAsia="es-EC"/>
        </w:rPr>
        <w:t>n</w:t>
      </w:r>
      <w:r w:rsidRPr="00FC6223">
        <w:rPr>
          <w:i/>
          <w:iCs/>
          <w:sz w:val="20"/>
          <w:szCs w:val="20"/>
          <w:lang w:val="en-US" w:eastAsia="es-EC"/>
        </w:rPr>
        <w:t xml:space="preserve"> </w:t>
      </w:r>
      <w:r w:rsidR="00A21051">
        <w:rPr>
          <w:i/>
          <w:iCs/>
          <w:sz w:val="20"/>
          <w:szCs w:val="20"/>
          <w:lang w:val="en-US" w:eastAsia="es-EC"/>
        </w:rPr>
        <w:t xml:space="preserve">authorized </w:t>
      </w:r>
      <w:r w:rsidRPr="00FC6223">
        <w:rPr>
          <w:i/>
          <w:iCs/>
          <w:sz w:val="20"/>
          <w:szCs w:val="20"/>
          <w:lang w:val="en-US" w:eastAsia="es-EC"/>
        </w:rPr>
        <w:t xml:space="preserve">public entity for the purpose by that one, demand of cost-reducing submitted subjects </w:t>
      </w:r>
      <w:r w:rsidR="00A21051">
        <w:rPr>
          <w:i/>
          <w:iCs/>
          <w:sz w:val="20"/>
          <w:szCs w:val="20"/>
          <w:lang w:val="en-US" w:eastAsia="es-EC"/>
        </w:rPr>
        <w:t>at</w:t>
      </w:r>
      <w:r w:rsidRPr="00FC6223">
        <w:rPr>
          <w:i/>
          <w:iCs/>
          <w:sz w:val="20"/>
          <w:szCs w:val="20"/>
          <w:lang w:val="en-US" w:eastAsia="es-EC"/>
        </w:rPr>
        <w:t xml:space="preserve"> the same. </w:t>
      </w:r>
      <w:r w:rsidR="000A2BED">
        <w:rPr>
          <w:i/>
          <w:iCs/>
          <w:sz w:val="20"/>
          <w:szCs w:val="20"/>
          <w:lang w:val="en-US" w:eastAsia="es-EC"/>
        </w:rPr>
        <w:t>In this work will show the description of the company</w:t>
      </w:r>
      <w:r w:rsidRPr="00FC6223">
        <w:rPr>
          <w:i/>
          <w:iCs/>
          <w:sz w:val="20"/>
          <w:szCs w:val="20"/>
          <w:lang w:val="en-US" w:eastAsia="es-EC"/>
        </w:rPr>
        <w:t xml:space="preserve">, his processes, likewise </w:t>
      </w:r>
      <w:r w:rsidR="000A2BED">
        <w:rPr>
          <w:i/>
          <w:iCs/>
          <w:sz w:val="20"/>
          <w:szCs w:val="20"/>
          <w:lang w:val="en-US" w:eastAsia="es-EC"/>
        </w:rPr>
        <w:t xml:space="preserve">as the analysis of </w:t>
      </w:r>
      <w:r w:rsidRPr="00FC6223">
        <w:rPr>
          <w:i/>
          <w:iCs/>
          <w:sz w:val="20"/>
          <w:szCs w:val="20"/>
          <w:lang w:val="en-US" w:eastAsia="es-EC"/>
        </w:rPr>
        <w:t>the countable situation.</w:t>
      </w:r>
      <w:r w:rsidRPr="00FC6223">
        <w:rPr>
          <w:sz w:val="20"/>
          <w:szCs w:val="20"/>
          <w:lang w:val="en-US" w:eastAsia="es-EC"/>
        </w:rPr>
        <w:t xml:space="preserve"> </w:t>
      </w:r>
      <w:r w:rsidRPr="00FC6223">
        <w:rPr>
          <w:i/>
          <w:iCs/>
          <w:sz w:val="20"/>
          <w:szCs w:val="20"/>
          <w:lang w:val="en-US" w:eastAsia="es-EC"/>
        </w:rPr>
        <w:t xml:space="preserve">The </w:t>
      </w:r>
      <w:r w:rsidR="000A2BED">
        <w:rPr>
          <w:i/>
          <w:iCs/>
          <w:sz w:val="20"/>
          <w:szCs w:val="20"/>
          <w:lang w:val="en-US" w:eastAsia="es-EC"/>
        </w:rPr>
        <w:t xml:space="preserve">main </w:t>
      </w:r>
      <w:r w:rsidR="001F374F">
        <w:rPr>
          <w:i/>
          <w:iCs/>
          <w:sz w:val="20"/>
          <w:szCs w:val="20"/>
          <w:lang w:val="en-US" w:eastAsia="es-EC"/>
        </w:rPr>
        <w:t xml:space="preserve">purpose is to verify if such countable procedures fulfill with the tributaries, with his tributaries obligations in the fiscal period 2008, </w:t>
      </w:r>
      <w:r w:rsidR="009D1BCF">
        <w:rPr>
          <w:i/>
          <w:iCs/>
          <w:sz w:val="20"/>
          <w:szCs w:val="20"/>
          <w:lang w:val="en-US" w:eastAsia="es-EC"/>
        </w:rPr>
        <w:t xml:space="preserve">through </w:t>
      </w:r>
      <w:r w:rsidR="009D1BCF" w:rsidRPr="00FC6223">
        <w:rPr>
          <w:i/>
          <w:iCs/>
          <w:sz w:val="20"/>
          <w:szCs w:val="20"/>
          <w:lang w:val="en-US" w:eastAsia="es-EC"/>
        </w:rPr>
        <w:t>the</w:t>
      </w:r>
      <w:r w:rsidRPr="00FC6223">
        <w:rPr>
          <w:i/>
          <w:iCs/>
          <w:sz w:val="20"/>
          <w:szCs w:val="20"/>
          <w:lang w:val="en-US" w:eastAsia="es-EC"/>
        </w:rPr>
        <w:t xml:space="preserve"> analysis of the accounts and the conciliations of the </w:t>
      </w:r>
      <w:r w:rsidR="001F374F">
        <w:rPr>
          <w:i/>
          <w:iCs/>
          <w:sz w:val="20"/>
          <w:szCs w:val="20"/>
          <w:lang w:val="en-US" w:eastAsia="es-EC"/>
        </w:rPr>
        <w:t xml:space="preserve">statements realized </w:t>
      </w:r>
      <w:r w:rsidRPr="00FC6223">
        <w:rPr>
          <w:i/>
          <w:iCs/>
          <w:sz w:val="20"/>
          <w:szCs w:val="20"/>
          <w:lang w:val="en-US" w:eastAsia="es-EC"/>
        </w:rPr>
        <w:t>to t</w:t>
      </w:r>
      <w:r w:rsidR="009D1BCF">
        <w:rPr>
          <w:i/>
          <w:iCs/>
          <w:sz w:val="20"/>
          <w:szCs w:val="20"/>
          <w:lang w:val="en-US" w:eastAsia="es-EC"/>
        </w:rPr>
        <w:t>he SRI and the countable registers</w:t>
      </w:r>
      <w:r w:rsidRPr="00FC6223">
        <w:rPr>
          <w:i/>
          <w:iCs/>
          <w:sz w:val="20"/>
          <w:szCs w:val="20"/>
          <w:lang w:val="en-US" w:eastAsia="es-EC"/>
        </w:rPr>
        <w:t>.</w:t>
      </w:r>
    </w:p>
    <w:p w:rsidR="00FC6223" w:rsidRDefault="009D1BCF" w:rsidP="00FC6223">
      <w:pPr>
        <w:autoSpaceDE w:val="0"/>
        <w:autoSpaceDN w:val="0"/>
        <w:adjustRightInd w:val="0"/>
        <w:jc w:val="both"/>
        <w:rPr>
          <w:i/>
          <w:iCs/>
          <w:sz w:val="20"/>
          <w:szCs w:val="20"/>
          <w:lang w:val="en-US" w:eastAsia="es-EC"/>
        </w:rPr>
      </w:pPr>
      <w:r>
        <w:rPr>
          <w:i/>
          <w:iCs/>
          <w:sz w:val="20"/>
          <w:szCs w:val="20"/>
          <w:lang w:val="en-US" w:eastAsia="es-EC"/>
        </w:rPr>
        <w:t>It will realize</w:t>
      </w:r>
      <w:r w:rsidR="00FC6223" w:rsidRPr="00FC6223">
        <w:rPr>
          <w:i/>
          <w:iCs/>
          <w:sz w:val="20"/>
          <w:szCs w:val="20"/>
          <w:lang w:val="en-US" w:eastAsia="es-EC"/>
        </w:rPr>
        <w:t xml:space="preserve"> in compliance with Auditoria's standards Generally Accepted, </w:t>
      </w:r>
      <w:r>
        <w:rPr>
          <w:i/>
          <w:iCs/>
          <w:sz w:val="20"/>
          <w:szCs w:val="20"/>
          <w:lang w:val="en-US" w:eastAsia="es-EC"/>
        </w:rPr>
        <w:t>the</w:t>
      </w:r>
      <w:r w:rsidR="00FC6223" w:rsidRPr="00FC6223">
        <w:rPr>
          <w:i/>
          <w:iCs/>
          <w:sz w:val="20"/>
          <w:szCs w:val="20"/>
          <w:lang w:val="en-US" w:eastAsia="es-EC"/>
        </w:rPr>
        <w:t xml:space="preserve"> Principles</w:t>
      </w:r>
      <w:r>
        <w:rPr>
          <w:i/>
          <w:iCs/>
          <w:sz w:val="20"/>
          <w:szCs w:val="20"/>
          <w:lang w:val="en-US" w:eastAsia="es-EC"/>
        </w:rPr>
        <w:t xml:space="preserve"> of Accounting</w:t>
      </w:r>
      <w:r w:rsidR="00FC6223" w:rsidRPr="00FC6223">
        <w:rPr>
          <w:i/>
          <w:iCs/>
          <w:sz w:val="20"/>
          <w:szCs w:val="20"/>
          <w:lang w:val="en-US" w:eastAsia="es-EC"/>
        </w:rPr>
        <w:t xml:space="preserve"> Gener</w:t>
      </w:r>
      <w:r>
        <w:rPr>
          <w:i/>
          <w:iCs/>
          <w:sz w:val="20"/>
          <w:szCs w:val="20"/>
          <w:lang w:val="en-US" w:eastAsia="es-EC"/>
        </w:rPr>
        <w:t>ally Accepted, and the Tributaries</w:t>
      </w:r>
      <w:r w:rsidR="00FC6223" w:rsidRPr="00FC6223">
        <w:rPr>
          <w:i/>
          <w:iCs/>
          <w:sz w:val="20"/>
          <w:szCs w:val="20"/>
          <w:lang w:val="en-US" w:eastAsia="es-EC"/>
        </w:rPr>
        <w:t xml:space="preserve"> Laws to be able to make a correct analysis of the tributary fulfillment</w:t>
      </w:r>
      <w:r>
        <w:rPr>
          <w:i/>
          <w:iCs/>
          <w:sz w:val="20"/>
          <w:szCs w:val="20"/>
          <w:lang w:val="en-US" w:eastAsia="es-EC"/>
        </w:rPr>
        <w:t xml:space="preserve"> corresponding</w:t>
      </w:r>
      <w:r w:rsidR="00FC6223" w:rsidRPr="00FC6223">
        <w:rPr>
          <w:i/>
          <w:iCs/>
          <w:sz w:val="20"/>
          <w:szCs w:val="20"/>
          <w:lang w:val="en-US" w:eastAsia="es-EC"/>
        </w:rPr>
        <w:t xml:space="preserve"> to the</w:t>
      </w:r>
      <w:r w:rsidR="001B63CA">
        <w:rPr>
          <w:i/>
          <w:iCs/>
          <w:sz w:val="20"/>
          <w:szCs w:val="20"/>
          <w:lang w:val="en-US" w:eastAsia="es-EC"/>
        </w:rPr>
        <w:t xml:space="preserve"> fiscal year 2008, of a commercial company</w:t>
      </w:r>
      <w:r w:rsidR="00FC6223" w:rsidRPr="00FC6223">
        <w:rPr>
          <w:i/>
          <w:iCs/>
          <w:sz w:val="20"/>
          <w:szCs w:val="20"/>
          <w:lang w:val="en-US" w:eastAsia="es-EC"/>
        </w:rPr>
        <w:t xml:space="preserve">  </w:t>
      </w:r>
      <w:r w:rsidR="001B63CA" w:rsidRPr="00FC6223">
        <w:rPr>
          <w:i/>
          <w:iCs/>
          <w:sz w:val="20"/>
          <w:szCs w:val="20"/>
          <w:lang w:val="en-US" w:eastAsia="es-EC"/>
        </w:rPr>
        <w:t>placed</w:t>
      </w:r>
      <w:r w:rsidR="001B63CA">
        <w:rPr>
          <w:i/>
          <w:iCs/>
          <w:sz w:val="20"/>
          <w:szCs w:val="20"/>
          <w:lang w:val="en-US" w:eastAsia="es-EC"/>
        </w:rPr>
        <w:t xml:space="preserve"> at Guayaquil's city, dedicated to the Elaboration</w:t>
      </w:r>
      <w:r w:rsidR="00FC6223" w:rsidRPr="00FC6223">
        <w:rPr>
          <w:i/>
          <w:iCs/>
          <w:sz w:val="20"/>
          <w:szCs w:val="20"/>
          <w:lang w:val="en-US" w:eastAsia="es-EC"/>
        </w:rPr>
        <w:t>, Produc</w:t>
      </w:r>
      <w:r w:rsidR="00FC6223">
        <w:rPr>
          <w:i/>
          <w:iCs/>
          <w:sz w:val="20"/>
          <w:szCs w:val="20"/>
          <w:lang w:val="en-US" w:eastAsia="es-EC"/>
        </w:rPr>
        <w:t>t</w:t>
      </w:r>
      <w:r w:rsidR="00FC6223" w:rsidRPr="00FC6223">
        <w:rPr>
          <w:i/>
          <w:iCs/>
          <w:sz w:val="20"/>
          <w:szCs w:val="20"/>
          <w:lang w:val="en-US" w:eastAsia="es-EC"/>
        </w:rPr>
        <w:t>i</w:t>
      </w:r>
      <w:r w:rsidR="00FC6223">
        <w:rPr>
          <w:i/>
          <w:iCs/>
          <w:sz w:val="20"/>
          <w:szCs w:val="20"/>
          <w:lang w:val="en-US" w:eastAsia="es-EC"/>
        </w:rPr>
        <w:t>o</w:t>
      </w:r>
      <w:r w:rsidR="00FC6223" w:rsidRPr="00FC6223">
        <w:rPr>
          <w:i/>
          <w:iCs/>
          <w:sz w:val="20"/>
          <w:szCs w:val="20"/>
          <w:lang w:val="en-US" w:eastAsia="es-EC"/>
        </w:rPr>
        <w:t>n and Exporta</w:t>
      </w:r>
      <w:r w:rsidR="00FC6223">
        <w:rPr>
          <w:i/>
          <w:iCs/>
          <w:sz w:val="20"/>
          <w:szCs w:val="20"/>
          <w:lang w:val="en-US" w:eastAsia="es-EC"/>
        </w:rPr>
        <w:t>tion of  fish´s oil.</w:t>
      </w:r>
    </w:p>
    <w:p w:rsidR="00A21051" w:rsidRDefault="00A21051" w:rsidP="00FC6223">
      <w:pPr>
        <w:autoSpaceDE w:val="0"/>
        <w:autoSpaceDN w:val="0"/>
        <w:adjustRightInd w:val="0"/>
        <w:jc w:val="both"/>
        <w:rPr>
          <w:i/>
          <w:iCs/>
          <w:sz w:val="20"/>
          <w:szCs w:val="20"/>
          <w:lang w:val="en-US" w:eastAsia="es-EC"/>
        </w:rPr>
      </w:pPr>
    </w:p>
    <w:p w:rsidR="00A21051" w:rsidRPr="005F1F1E" w:rsidRDefault="001B63CA" w:rsidP="00A21051">
      <w:pPr>
        <w:jc w:val="both"/>
        <w:rPr>
          <w:i/>
          <w:sz w:val="20"/>
          <w:szCs w:val="20"/>
          <w:lang w:val="en-US"/>
        </w:rPr>
      </w:pPr>
      <w:r w:rsidRPr="005F1F1E">
        <w:rPr>
          <w:b/>
          <w:sz w:val="20"/>
          <w:szCs w:val="20"/>
          <w:lang w:val="en-US"/>
        </w:rPr>
        <w:t xml:space="preserve">     </w:t>
      </w:r>
      <w:r w:rsidR="00A21051" w:rsidRPr="005F1F1E">
        <w:rPr>
          <w:b/>
          <w:sz w:val="20"/>
          <w:szCs w:val="20"/>
          <w:lang w:val="en-US"/>
        </w:rPr>
        <w:t>Key Words:</w:t>
      </w:r>
      <w:r w:rsidR="00A21051" w:rsidRPr="005F1F1E">
        <w:rPr>
          <w:sz w:val="20"/>
          <w:szCs w:val="20"/>
          <w:lang w:val="en-US"/>
        </w:rPr>
        <w:t xml:space="preserve"> </w:t>
      </w:r>
      <w:r w:rsidR="00A21051" w:rsidRPr="005F1F1E">
        <w:rPr>
          <w:i/>
          <w:sz w:val="20"/>
          <w:szCs w:val="20"/>
          <w:lang w:val="en-US"/>
        </w:rPr>
        <w:t xml:space="preserve">Tributes, </w:t>
      </w:r>
      <w:r w:rsidRPr="005F1F1E">
        <w:rPr>
          <w:i/>
          <w:sz w:val="20"/>
          <w:szCs w:val="20"/>
          <w:lang w:val="en-US"/>
        </w:rPr>
        <w:t>Tributary Auditory</w:t>
      </w:r>
      <w:r w:rsidR="00A21051" w:rsidRPr="005F1F1E">
        <w:rPr>
          <w:i/>
          <w:sz w:val="20"/>
          <w:szCs w:val="20"/>
          <w:lang w:val="en-US"/>
        </w:rPr>
        <w:t xml:space="preserve">, </w:t>
      </w:r>
      <w:r w:rsidRPr="005F1F1E">
        <w:rPr>
          <w:i/>
          <w:sz w:val="20"/>
          <w:szCs w:val="20"/>
          <w:lang w:val="en-US"/>
        </w:rPr>
        <w:t>Tributary Code</w:t>
      </w:r>
      <w:r w:rsidR="005F1F1E">
        <w:rPr>
          <w:i/>
          <w:sz w:val="20"/>
          <w:szCs w:val="20"/>
          <w:lang w:val="en-US"/>
        </w:rPr>
        <w:t>,</w:t>
      </w:r>
      <w:r w:rsidRPr="005F1F1E">
        <w:rPr>
          <w:i/>
          <w:sz w:val="20"/>
          <w:szCs w:val="20"/>
          <w:lang w:val="en-US"/>
        </w:rPr>
        <w:t xml:space="preserve"> </w:t>
      </w:r>
      <w:r w:rsidR="005F1F1E">
        <w:rPr>
          <w:i/>
          <w:sz w:val="20"/>
          <w:szCs w:val="20"/>
          <w:lang w:val="en-US"/>
        </w:rPr>
        <w:t>Orga</w:t>
      </w:r>
      <w:r w:rsidRPr="005F1F1E">
        <w:rPr>
          <w:i/>
          <w:sz w:val="20"/>
          <w:szCs w:val="20"/>
          <w:lang w:val="en-US"/>
        </w:rPr>
        <w:t>nic Law of the</w:t>
      </w:r>
      <w:r w:rsidR="005F1F1E" w:rsidRPr="005F1F1E">
        <w:rPr>
          <w:i/>
          <w:sz w:val="20"/>
          <w:szCs w:val="20"/>
          <w:lang w:val="en-US"/>
        </w:rPr>
        <w:t xml:space="preserve"> Internal Regime Tributary, Regulation for the</w:t>
      </w:r>
      <w:r w:rsidR="005F1F1E">
        <w:rPr>
          <w:i/>
          <w:sz w:val="20"/>
          <w:szCs w:val="20"/>
          <w:lang w:val="en-US"/>
        </w:rPr>
        <w:t xml:space="preserve"> Application of the</w:t>
      </w:r>
      <w:r w:rsidR="00A21051" w:rsidRPr="005F1F1E">
        <w:rPr>
          <w:i/>
          <w:sz w:val="20"/>
          <w:szCs w:val="20"/>
          <w:lang w:val="en-US"/>
        </w:rPr>
        <w:t xml:space="preserve"> </w:t>
      </w:r>
      <w:r w:rsidR="005F1F1E">
        <w:rPr>
          <w:i/>
          <w:sz w:val="20"/>
          <w:szCs w:val="20"/>
          <w:lang w:val="en-US"/>
        </w:rPr>
        <w:t>Orga</w:t>
      </w:r>
      <w:r w:rsidR="005F1F1E" w:rsidRPr="005F1F1E">
        <w:rPr>
          <w:i/>
          <w:sz w:val="20"/>
          <w:szCs w:val="20"/>
          <w:lang w:val="en-US"/>
        </w:rPr>
        <w:t>nic Law of the Internal Regime Tributary</w:t>
      </w:r>
      <w:r w:rsidR="005F1F1E">
        <w:rPr>
          <w:i/>
          <w:sz w:val="20"/>
          <w:szCs w:val="20"/>
          <w:lang w:val="en-US"/>
        </w:rPr>
        <w:t>, Taxpayers,</w:t>
      </w:r>
      <w:r w:rsidR="00A21051" w:rsidRPr="005F1F1E">
        <w:rPr>
          <w:i/>
          <w:sz w:val="20"/>
          <w:szCs w:val="20"/>
          <w:lang w:val="en-US"/>
        </w:rPr>
        <w:t xml:space="preserve"> Natural</w:t>
      </w:r>
      <w:r w:rsidR="005F1F1E">
        <w:rPr>
          <w:i/>
          <w:sz w:val="20"/>
          <w:szCs w:val="20"/>
          <w:lang w:val="en-US"/>
        </w:rPr>
        <w:t xml:space="preserve"> Person</w:t>
      </w:r>
      <w:r w:rsidR="00A21051" w:rsidRPr="005F1F1E">
        <w:rPr>
          <w:i/>
          <w:sz w:val="20"/>
          <w:szCs w:val="20"/>
          <w:lang w:val="en-US"/>
        </w:rPr>
        <w:t>.</w:t>
      </w:r>
    </w:p>
    <w:p w:rsidR="00A21051" w:rsidRPr="005F1F1E" w:rsidRDefault="00A21051" w:rsidP="00FC6223">
      <w:pPr>
        <w:autoSpaceDE w:val="0"/>
        <w:autoSpaceDN w:val="0"/>
        <w:adjustRightInd w:val="0"/>
        <w:jc w:val="both"/>
        <w:rPr>
          <w:i/>
          <w:iCs/>
          <w:sz w:val="20"/>
          <w:szCs w:val="20"/>
          <w:lang w:val="en-US" w:eastAsia="es-EC"/>
        </w:rPr>
      </w:pPr>
    </w:p>
    <w:p w:rsidR="00FC6223" w:rsidRPr="005F1F1E" w:rsidRDefault="00FC6223" w:rsidP="00044D4D">
      <w:pPr>
        <w:jc w:val="center"/>
        <w:rPr>
          <w:b/>
          <w:lang w:val="en-US"/>
        </w:rPr>
      </w:pPr>
    </w:p>
    <w:p w:rsidR="00657C4C" w:rsidRPr="005F1F1E" w:rsidRDefault="00657C4C" w:rsidP="00044D4D">
      <w:pPr>
        <w:jc w:val="center"/>
        <w:rPr>
          <w:b/>
          <w:lang w:val="en-US"/>
        </w:rPr>
      </w:pPr>
    </w:p>
    <w:p w:rsidR="00031F21" w:rsidRPr="005F1F1E" w:rsidRDefault="00031F21" w:rsidP="00044D4D">
      <w:pPr>
        <w:jc w:val="center"/>
        <w:rPr>
          <w:b/>
          <w:lang w:val="en-US"/>
        </w:rPr>
      </w:pPr>
    </w:p>
    <w:p w:rsidR="00031F21" w:rsidRPr="005F1F1E" w:rsidRDefault="00031F21" w:rsidP="00044D4D">
      <w:pPr>
        <w:jc w:val="center"/>
        <w:rPr>
          <w:b/>
          <w:lang w:val="en-US"/>
        </w:rPr>
      </w:pPr>
    </w:p>
    <w:p w:rsidR="009F3887" w:rsidRPr="005F1F1E" w:rsidRDefault="009F3887" w:rsidP="009F3887">
      <w:pPr>
        <w:jc w:val="both"/>
        <w:rPr>
          <w:b/>
          <w:i/>
          <w:sz w:val="20"/>
          <w:szCs w:val="20"/>
          <w:lang w:val="en-US"/>
        </w:rPr>
      </w:pPr>
    </w:p>
    <w:p w:rsidR="000A2BED" w:rsidRPr="005F1F1E" w:rsidRDefault="000A2BED" w:rsidP="00C851A0">
      <w:pPr>
        <w:spacing w:line="360" w:lineRule="auto"/>
        <w:rPr>
          <w:b/>
          <w:lang w:val="en-US"/>
        </w:rPr>
      </w:pPr>
    </w:p>
    <w:p w:rsidR="000A2BED" w:rsidRPr="005F1F1E" w:rsidRDefault="000A2BED" w:rsidP="00C851A0">
      <w:pPr>
        <w:spacing w:line="360" w:lineRule="auto"/>
        <w:rPr>
          <w:b/>
          <w:sz w:val="28"/>
          <w:szCs w:val="28"/>
          <w:lang w:val="en-US"/>
        </w:rPr>
        <w:sectPr w:rsidR="000A2BED" w:rsidRPr="005F1F1E" w:rsidSect="002171B2">
          <w:headerReference w:type="default" r:id="rId11"/>
          <w:pgSz w:w="11906" w:h="16838"/>
          <w:pgMar w:top="2234" w:right="1701" w:bottom="1622" w:left="1701" w:header="397" w:footer="0" w:gutter="0"/>
          <w:cols w:space="708"/>
          <w:docGrid w:linePitch="360"/>
        </w:sectPr>
      </w:pPr>
    </w:p>
    <w:p w:rsidR="00C851A0" w:rsidRPr="006F3B46" w:rsidRDefault="00C851A0" w:rsidP="00C851A0">
      <w:pPr>
        <w:spacing w:line="360" w:lineRule="auto"/>
        <w:rPr>
          <w:b/>
          <w:szCs w:val="28"/>
        </w:rPr>
      </w:pPr>
      <w:r w:rsidRPr="006F3B46">
        <w:rPr>
          <w:b/>
          <w:szCs w:val="28"/>
        </w:rPr>
        <w:lastRenderedPageBreak/>
        <w:t>1.</w:t>
      </w:r>
      <w:r w:rsidR="006F3B46">
        <w:rPr>
          <w:b/>
          <w:szCs w:val="28"/>
        </w:rPr>
        <w:t xml:space="preserve"> </w:t>
      </w:r>
      <w:r w:rsidRPr="006F3B46">
        <w:rPr>
          <w:b/>
          <w:szCs w:val="28"/>
        </w:rPr>
        <w:t>Introducción</w:t>
      </w:r>
    </w:p>
    <w:p w:rsidR="00C851A0" w:rsidRDefault="00C851A0" w:rsidP="00C851A0">
      <w:pPr>
        <w:spacing w:line="360" w:lineRule="auto"/>
        <w:rPr>
          <w:b/>
          <w:sz w:val="20"/>
          <w:szCs w:val="20"/>
        </w:rPr>
      </w:pPr>
    </w:p>
    <w:p w:rsidR="00D42C5D" w:rsidRPr="00D42C5D" w:rsidRDefault="00D42C5D" w:rsidP="004F219D">
      <w:pPr>
        <w:pStyle w:val="Prrafodelista"/>
        <w:spacing w:line="240" w:lineRule="auto"/>
        <w:ind w:left="0"/>
        <w:jc w:val="both"/>
        <w:rPr>
          <w:rFonts w:ascii="Times New Roman" w:eastAsia="Times New Roman" w:hAnsi="Times New Roman"/>
          <w:sz w:val="20"/>
          <w:szCs w:val="20"/>
          <w:lang w:eastAsia="es-ES"/>
        </w:rPr>
      </w:pPr>
      <w:r w:rsidRPr="00D42C5D">
        <w:rPr>
          <w:rFonts w:ascii="Times New Roman" w:eastAsia="Times New Roman" w:hAnsi="Times New Roman"/>
          <w:sz w:val="20"/>
          <w:szCs w:val="20"/>
          <w:lang w:eastAsia="es-ES"/>
        </w:rPr>
        <w:t>TIGANT S.A. fue constituida en la ciudad de Guayaquil en Noviembre del 1975, una empresa dedicada principalmente a la comercialización, refinación, semirefinaciòn y en general a la industrialización de aceites y grasas de pescado.</w:t>
      </w:r>
    </w:p>
    <w:p w:rsidR="00D42C5D" w:rsidRPr="00D42C5D" w:rsidRDefault="00D42C5D" w:rsidP="004F219D">
      <w:pPr>
        <w:pStyle w:val="Prrafodelista"/>
        <w:spacing w:line="240" w:lineRule="auto"/>
        <w:ind w:left="0"/>
        <w:jc w:val="both"/>
        <w:rPr>
          <w:rFonts w:ascii="Times New Roman" w:eastAsia="Times New Roman" w:hAnsi="Times New Roman"/>
          <w:sz w:val="20"/>
          <w:szCs w:val="20"/>
          <w:lang w:eastAsia="es-ES"/>
        </w:rPr>
      </w:pPr>
      <w:r w:rsidRPr="00D42C5D">
        <w:rPr>
          <w:rFonts w:ascii="Times New Roman" w:eastAsia="Times New Roman" w:hAnsi="Times New Roman"/>
          <w:sz w:val="20"/>
          <w:szCs w:val="20"/>
          <w:lang w:eastAsia="es-ES"/>
        </w:rPr>
        <w:t>La compañía está constituida por una planta y una oficina administrativa. La oficina administrativa se encuentra ubicada en Guayaquil y la  instalación de la  planta industrial  se encuentra ubicada en el km. 24.5 de la vía               Guayaquil – Daule, cuenta con una planta de refinación de aceite de pescado marca Alfa Laval, Sistema Short Mix  y varios tanques de almacenamiento con capacidad para 6.700 T.M. de aceite, esta es dedicada para la elaboración y producción de aceite crudo de pescado para después comercializarlo.</w:t>
      </w:r>
    </w:p>
    <w:p w:rsidR="00196877" w:rsidRDefault="00D42C5D" w:rsidP="00DB1281">
      <w:pPr>
        <w:pStyle w:val="Prrafodelista"/>
        <w:spacing w:line="240" w:lineRule="auto"/>
        <w:ind w:left="0"/>
        <w:jc w:val="both"/>
        <w:rPr>
          <w:b/>
        </w:rPr>
      </w:pPr>
      <w:r w:rsidRPr="00D42C5D">
        <w:rPr>
          <w:rFonts w:ascii="Times New Roman" w:eastAsia="Times New Roman" w:hAnsi="Times New Roman"/>
          <w:sz w:val="20"/>
          <w:szCs w:val="20"/>
          <w:lang w:eastAsia="es-ES"/>
        </w:rPr>
        <w:t>El área financiera y contable funciona en la oficina administrativa que se encuentra en Guayaquil.</w:t>
      </w:r>
    </w:p>
    <w:p w:rsidR="00196877" w:rsidRDefault="00196877" w:rsidP="00D37156">
      <w:pPr>
        <w:jc w:val="both"/>
        <w:rPr>
          <w:b/>
        </w:rPr>
      </w:pPr>
    </w:p>
    <w:p w:rsidR="000F4E9D" w:rsidRDefault="006F3B46" w:rsidP="00D37156">
      <w:pPr>
        <w:jc w:val="both"/>
        <w:rPr>
          <w:b/>
        </w:rPr>
      </w:pPr>
      <w:r>
        <w:rPr>
          <w:b/>
        </w:rPr>
        <w:t xml:space="preserve">2. </w:t>
      </w:r>
      <w:r w:rsidRPr="006F3B46">
        <w:rPr>
          <w:b/>
        </w:rPr>
        <w:t xml:space="preserve">Evaluación de </w:t>
      </w:r>
      <w:r w:rsidR="00131E42">
        <w:rPr>
          <w:b/>
        </w:rPr>
        <w:t>r</w:t>
      </w:r>
      <w:r w:rsidRPr="006F3B46">
        <w:rPr>
          <w:b/>
        </w:rPr>
        <w:t xml:space="preserve">iesgos de la </w:t>
      </w:r>
      <w:r w:rsidR="00131E42">
        <w:rPr>
          <w:b/>
        </w:rPr>
        <w:t>c</w:t>
      </w:r>
      <w:r w:rsidRPr="006F3B46">
        <w:rPr>
          <w:b/>
        </w:rPr>
        <w:t>ompañía</w:t>
      </w:r>
    </w:p>
    <w:p w:rsidR="006F3B46" w:rsidRDefault="006F3B46" w:rsidP="000F4E9D">
      <w:pPr>
        <w:jc w:val="both"/>
        <w:rPr>
          <w:b/>
        </w:rPr>
      </w:pPr>
    </w:p>
    <w:p w:rsidR="006F3B46" w:rsidRDefault="006F3B46" w:rsidP="000F4E9D">
      <w:pPr>
        <w:jc w:val="both"/>
        <w:rPr>
          <w:b/>
          <w:sz w:val="22"/>
        </w:rPr>
      </w:pPr>
      <w:r>
        <w:rPr>
          <w:b/>
          <w:sz w:val="22"/>
        </w:rPr>
        <w:t xml:space="preserve">2.1. </w:t>
      </w:r>
      <w:r w:rsidR="007174F8">
        <w:rPr>
          <w:b/>
          <w:sz w:val="22"/>
        </w:rPr>
        <w:t xml:space="preserve">Riesgo </w:t>
      </w:r>
      <w:r w:rsidR="00131E42">
        <w:rPr>
          <w:b/>
          <w:sz w:val="22"/>
        </w:rPr>
        <w:t>i</w:t>
      </w:r>
      <w:r w:rsidR="007174F8">
        <w:rPr>
          <w:b/>
          <w:sz w:val="22"/>
        </w:rPr>
        <w:t>nherente</w:t>
      </w:r>
    </w:p>
    <w:p w:rsidR="007174F8" w:rsidRDefault="007174F8" w:rsidP="000F4E9D">
      <w:pPr>
        <w:jc w:val="both"/>
        <w:rPr>
          <w:b/>
          <w:sz w:val="22"/>
        </w:rPr>
      </w:pPr>
    </w:p>
    <w:p w:rsidR="007174F8" w:rsidRDefault="007174F8" w:rsidP="007174F8">
      <w:pPr>
        <w:pStyle w:val="Sinespaciado"/>
        <w:jc w:val="both"/>
        <w:rPr>
          <w:rFonts w:ascii="Times New Roman" w:hAnsi="Times New Roman"/>
          <w:sz w:val="20"/>
          <w:szCs w:val="24"/>
        </w:rPr>
      </w:pPr>
      <w:r w:rsidRPr="007174F8">
        <w:rPr>
          <w:rFonts w:ascii="Times New Roman" w:hAnsi="Times New Roman"/>
          <w:sz w:val="20"/>
          <w:szCs w:val="24"/>
        </w:rPr>
        <w:t>Hemos procedido a evaluar el Riesgo Inherente de cada transacción que nosotros hemos identificado con la ayuda pertinente de las personas claves del proceso.</w:t>
      </w:r>
    </w:p>
    <w:p w:rsidR="007174F8" w:rsidRDefault="007174F8" w:rsidP="007174F8">
      <w:pPr>
        <w:pStyle w:val="Sinespaciado"/>
        <w:spacing w:line="360" w:lineRule="auto"/>
        <w:jc w:val="center"/>
        <w:rPr>
          <w:rFonts w:ascii="Arial" w:hAnsi="Arial" w:cs="Arial"/>
          <w:i/>
          <w:sz w:val="20"/>
        </w:rPr>
      </w:pPr>
    </w:p>
    <w:p w:rsidR="00F6756D" w:rsidRDefault="00F6756D" w:rsidP="00F6756D">
      <w:pPr>
        <w:spacing w:before="120" w:after="120"/>
        <w:jc w:val="center"/>
        <w:rPr>
          <w:rFonts w:ascii="Helvetica" w:hAnsi="Helvetica"/>
          <w:sz w:val="18"/>
        </w:rPr>
      </w:pPr>
      <w:r w:rsidRPr="00287C70">
        <w:rPr>
          <w:rFonts w:ascii="Helvetica" w:hAnsi="Helvetica" w:cs="Helvetica"/>
          <w:b/>
          <w:bCs/>
          <w:sz w:val="18"/>
        </w:rPr>
        <w:t>Tabla</w:t>
      </w:r>
      <w:r>
        <w:rPr>
          <w:rFonts w:ascii="Helvetica" w:hAnsi="Helvetica"/>
          <w:b/>
          <w:bCs/>
          <w:sz w:val="18"/>
        </w:rPr>
        <w:t xml:space="preserve"> 1.</w:t>
      </w:r>
      <w:r>
        <w:rPr>
          <w:rFonts w:ascii="Helvetica" w:hAnsi="Helvetica"/>
          <w:sz w:val="18"/>
        </w:rPr>
        <w:t xml:space="preserve">  </w:t>
      </w:r>
      <w:r w:rsidRPr="007174F8">
        <w:rPr>
          <w:rFonts w:ascii="Helvetica" w:hAnsi="Helvetica" w:cs="Helvetica"/>
          <w:sz w:val="18"/>
        </w:rPr>
        <w:t>Evaluación del Riesgo Inherente</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261"/>
        <w:gridCol w:w="1189"/>
        <w:gridCol w:w="1663"/>
      </w:tblGrid>
      <w:tr w:rsidR="007174F8" w:rsidRPr="007174F8" w:rsidTr="00F6756D">
        <w:tc>
          <w:tcPr>
            <w:tcW w:w="1261" w:type="dxa"/>
            <w:tcBorders>
              <w:top w:val="single" w:sz="8" w:space="0" w:color="FFFFFF"/>
              <w:left w:val="single" w:sz="8" w:space="0" w:color="FFFFFF"/>
              <w:bottom w:val="single" w:sz="24" w:space="0" w:color="FFFFFF"/>
              <w:right w:val="single" w:sz="8"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CUENTA</w:t>
            </w:r>
          </w:p>
        </w:tc>
        <w:tc>
          <w:tcPr>
            <w:tcW w:w="1189" w:type="dxa"/>
            <w:tcBorders>
              <w:top w:val="single" w:sz="8" w:space="0" w:color="FFFFFF"/>
              <w:left w:val="single" w:sz="8" w:space="0" w:color="FFFFFF"/>
              <w:bottom w:val="single" w:sz="24" w:space="0" w:color="FFFFFF"/>
              <w:right w:val="single" w:sz="8"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RIESGO INHERENTE</w:t>
            </w:r>
          </w:p>
        </w:tc>
        <w:tc>
          <w:tcPr>
            <w:tcW w:w="1663" w:type="dxa"/>
            <w:tcBorders>
              <w:top w:val="single" w:sz="8" w:space="0" w:color="FFFFFF"/>
              <w:left w:val="single" w:sz="8" w:space="0" w:color="FFFFFF"/>
              <w:bottom w:val="single" w:sz="24" w:space="0" w:color="FFFFFF"/>
              <w:right w:val="single" w:sz="8"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ANÁLISIS</w:t>
            </w:r>
          </w:p>
        </w:tc>
      </w:tr>
      <w:tr w:rsidR="007174F8" w:rsidRPr="007174F8" w:rsidTr="00F6756D">
        <w:trPr>
          <w:trHeight w:val="909"/>
        </w:trPr>
        <w:tc>
          <w:tcPr>
            <w:tcW w:w="1261" w:type="dxa"/>
            <w:tcBorders>
              <w:top w:val="single" w:sz="8" w:space="0" w:color="FFFFFF"/>
              <w:left w:val="single" w:sz="8" w:space="0" w:color="FFFFFF"/>
              <w:bottom w:val="nil"/>
              <w:right w:val="single" w:sz="24"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Cuentas por cobrar</w:t>
            </w:r>
          </w:p>
        </w:tc>
        <w:tc>
          <w:tcPr>
            <w:tcW w:w="1189" w:type="dxa"/>
            <w:tcBorders>
              <w:top w:val="single" w:sz="8" w:space="0" w:color="FFFFFF"/>
              <w:left w:val="single" w:sz="8" w:space="0" w:color="FFFFFF"/>
              <w:bottom w:val="single" w:sz="8" w:space="0" w:color="FFFFFF"/>
              <w:right w:val="single" w:sz="8" w:space="0" w:color="FFFFFF"/>
            </w:tcBorders>
            <w:shd w:val="clear" w:color="auto" w:fill="FBCAA2"/>
            <w:vAlign w:val="center"/>
          </w:tcPr>
          <w:p w:rsidR="007174F8" w:rsidRPr="007174F8" w:rsidRDefault="007174F8" w:rsidP="007174F8">
            <w:pPr>
              <w:pStyle w:val="Sinespaciado"/>
              <w:jc w:val="center"/>
              <w:rPr>
                <w:sz w:val="14"/>
              </w:rPr>
            </w:pPr>
            <w:r w:rsidRPr="007174F8">
              <w:rPr>
                <w:sz w:val="14"/>
              </w:rPr>
              <w:t>Muy alto</w:t>
            </w:r>
          </w:p>
        </w:tc>
        <w:tc>
          <w:tcPr>
            <w:tcW w:w="1663" w:type="dxa"/>
            <w:tcBorders>
              <w:top w:val="single" w:sz="8" w:space="0" w:color="FFFFFF"/>
              <w:left w:val="single" w:sz="8" w:space="0" w:color="FFFFFF"/>
              <w:bottom w:val="single" w:sz="8" w:space="0" w:color="FFFFFF"/>
              <w:right w:val="single" w:sz="8" w:space="0" w:color="FFFFFF"/>
            </w:tcBorders>
            <w:shd w:val="clear" w:color="auto" w:fill="FBCAA2"/>
            <w:vAlign w:val="center"/>
          </w:tcPr>
          <w:p w:rsidR="007174F8" w:rsidRPr="007174F8" w:rsidRDefault="007174F8" w:rsidP="007174F8">
            <w:pPr>
              <w:pStyle w:val="Sinespaciado"/>
              <w:jc w:val="center"/>
              <w:rPr>
                <w:sz w:val="14"/>
              </w:rPr>
            </w:pPr>
            <w:r w:rsidRPr="007174F8">
              <w:rPr>
                <w:sz w:val="14"/>
              </w:rPr>
              <w:t>Cuenta muy propensa a fraude,  lo que incrementa el riesgo inherente</w:t>
            </w:r>
          </w:p>
        </w:tc>
      </w:tr>
      <w:tr w:rsidR="007174F8" w:rsidRPr="007174F8" w:rsidTr="00F6756D">
        <w:tc>
          <w:tcPr>
            <w:tcW w:w="1261" w:type="dxa"/>
            <w:tcBorders>
              <w:left w:val="single" w:sz="8" w:space="0" w:color="FFFFFF"/>
              <w:bottom w:val="nil"/>
              <w:right w:val="single" w:sz="24"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Depreciación P.P.E.</w:t>
            </w:r>
          </w:p>
        </w:tc>
        <w:tc>
          <w:tcPr>
            <w:tcW w:w="1189" w:type="dxa"/>
            <w:shd w:val="clear" w:color="auto" w:fill="FDE4D0"/>
            <w:vAlign w:val="center"/>
          </w:tcPr>
          <w:p w:rsidR="007174F8" w:rsidRPr="007174F8" w:rsidRDefault="007174F8" w:rsidP="007174F8">
            <w:pPr>
              <w:pStyle w:val="Sinespaciado"/>
              <w:jc w:val="center"/>
              <w:rPr>
                <w:sz w:val="14"/>
              </w:rPr>
            </w:pPr>
            <w:r w:rsidRPr="007174F8">
              <w:rPr>
                <w:sz w:val="14"/>
              </w:rPr>
              <w:t>Muy bajo</w:t>
            </w:r>
          </w:p>
        </w:tc>
        <w:tc>
          <w:tcPr>
            <w:tcW w:w="1663" w:type="dxa"/>
            <w:shd w:val="clear" w:color="auto" w:fill="FDE4D0"/>
            <w:vAlign w:val="center"/>
          </w:tcPr>
          <w:p w:rsidR="007174F8" w:rsidRPr="007174F8" w:rsidRDefault="007174F8" w:rsidP="007174F8">
            <w:pPr>
              <w:pStyle w:val="Sinespaciado"/>
              <w:jc w:val="center"/>
              <w:rPr>
                <w:sz w:val="14"/>
              </w:rPr>
            </w:pPr>
            <w:r w:rsidRPr="007174F8">
              <w:rPr>
                <w:sz w:val="14"/>
              </w:rPr>
              <w:t>Por usar el método de línea recta tiene un riesgo inherente bajo</w:t>
            </w:r>
          </w:p>
        </w:tc>
      </w:tr>
      <w:tr w:rsidR="007174F8" w:rsidRPr="007174F8" w:rsidTr="00F6756D">
        <w:tc>
          <w:tcPr>
            <w:tcW w:w="1261" w:type="dxa"/>
            <w:tcBorders>
              <w:top w:val="single" w:sz="8" w:space="0" w:color="FFFFFF"/>
              <w:left w:val="single" w:sz="8" w:space="0" w:color="FFFFFF"/>
              <w:bottom w:val="nil"/>
              <w:right w:val="single" w:sz="24"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Inventario</w:t>
            </w:r>
          </w:p>
        </w:tc>
        <w:tc>
          <w:tcPr>
            <w:tcW w:w="1189" w:type="dxa"/>
            <w:tcBorders>
              <w:top w:val="single" w:sz="8" w:space="0" w:color="FFFFFF"/>
              <w:left w:val="single" w:sz="8" w:space="0" w:color="FFFFFF"/>
              <w:bottom w:val="single" w:sz="8" w:space="0" w:color="FFFFFF"/>
              <w:right w:val="single" w:sz="8" w:space="0" w:color="FFFFFF"/>
            </w:tcBorders>
            <w:shd w:val="clear" w:color="auto" w:fill="FBCAA2"/>
            <w:vAlign w:val="center"/>
          </w:tcPr>
          <w:p w:rsidR="007174F8" w:rsidRPr="007174F8" w:rsidRDefault="007174F8" w:rsidP="007174F8">
            <w:pPr>
              <w:pStyle w:val="Sinespaciado"/>
              <w:jc w:val="center"/>
              <w:rPr>
                <w:sz w:val="14"/>
              </w:rPr>
            </w:pPr>
            <w:r w:rsidRPr="007174F8">
              <w:rPr>
                <w:sz w:val="14"/>
              </w:rPr>
              <w:t>Muy bajo</w:t>
            </w:r>
          </w:p>
        </w:tc>
        <w:tc>
          <w:tcPr>
            <w:tcW w:w="1663" w:type="dxa"/>
            <w:tcBorders>
              <w:top w:val="single" w:sz="8" w:space="0" w:color="FFFFFF"/>
              <w:left w:val="single" w:sz="8" w:space="0" w:color="FFFFFF"/>
              <w:bottom w:val="single" w:sz="8" w:space="0" w:color="FFFFFF"/>
              <w:right w:val="single" w:sz="8" w:space="0" w:color="FFFFFF"/>
            </w:tcBorders>
            <w:shd w:val="clear" w:color="auto" w:fill="FBCAA2"/>
            <w:vAlign w:val="center"/>
          </w:tcPr>
          <w:p w:rsidR="007174F8" w:rsidRPr="007174F8" w:rsidRDefault="007174F8" w:rsidP="007174F8">
            <w:pPr>
              <w:pStyle w:val="Sinespaciado"/>
              <w:jc w:val="center"/>
              <w:rPr>
                <w:sz w:val="14"/>
              </w:rPr>
            </w:pPr>
            <w:r w:rsidRPr="007174F8">
              <w:rPr>
                <w:sz w:val="14"/>
              </w:rPr>
              <w:t>Es realizado a diario y físicamente lo que reduce el riesgo</w:t>
            </w:r>
          </w:p>
        </w:tc>
      </w:tr>
      <w:tr w:rsidR="007174F8" w:rsidRPr="007174F8" w:rsidTr="00F6756D">
        <w:tc>
          <w:tcPr>
            <w:tcW w:w="1261" w:type="dxa"/>
            <w:tcBorders>
              <w:left w:val="single" w:sz="8" w:space="0" w:color="FFFFFF"/>
              <w:bottom w:val="nil"/>
              <w:right w:val="single" w:sz="24"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Costo de Venta</w:t>
            </w:r>
          </w:p>
        </w:tc>
        <w:tc>
          <w:tcPr>
            <w:tcW w:w="1189" w:type="dxa"/>
            <w:shd w:val="clear" w:color="auto" w:fill="FDE4D0"/>
            <w:vAlign w:val="center"/>
          </w:tcPr>
          <w:p w:rsidR="007174F8" w:rsidRPr="007174F8" w:rsidRDefault="007174F8" w:rsidP="007174F8">
            <w:pPr>
              <w:pStyle w:val="Sinespaciado"/>
              <w:jc w:val="center"/>
              <w:rPr>
                <w:sz w:val="14"/>
              </w:rPr>
            </w:pPr>
            <w:r w:rsidRPr="007174F8">
              <w:rPr>
                <w:sz w:val="14"/>
              </w:rPr>
              <w:t>Muy alto</w:t>
            </w:r>
          </w:p>
        </w:tc>
        <w:tc>
          <w:tcPr>
            <w:tcW w:w="1663" w:type="dxa"/>
            <w:shd w:val="clear" w:color="auto" w:fill="FDE4D0"/>
            <w:vAlign w:val="center"/>
          </w:tcPr>
          <w:p w:rsidR="007174F8" w:rsidRPr="007174F8" w:rsidRDefault="007174F8" w:rsidP="007174F8">
            <w:pPr>
              <w:pStyle w:val="Sinespaciado"/>
              <w:jc w:val="center"/>
              <w:rPr>
                <w:sz w:val="14"/>
              </w:rPr>
            </w:pPr>
            <w:r w:rsidRPr="007174F8">
              <w:rPr>
                <w:sz w:val="14"/>
              </w:rPr>
              <w:t>La empresa posee un alto volumen de productos</w:t>
            </w:r>
          </w:p>
        </w:tc>
      </w:tr>
      <w:tr w:rsidR="007174F8" w:rsidRPr="007174F8" w:rsidTr="00F6756D">
        <w:tc>
          <w:tcPr>
            <w:tcW w:w="1261" w:type="dxa"/>
            <w:tcBorders>
              <w:top w:val="single" w:sz="8" w:space="0" w:color="FFFFFF"/>
              <w:left w:val="single" w:sz="8" w:space="0" w:color="FFFFFF"/>
              <w:bottom w:val="nil"/>
              <w:right w:val="single" w:sz="24"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Estimación y Caducidad del Inventario</w:t>
            </w:r>
          </w:p>
        </w:tc>
        <w:tc>
          <w:tcPr>
            <w:tcW w:w="1189" w:type="dxa"/>
            <w:tcBorders>
              <w:top w:val="single" w:sz="8" w:space="0" w:color="FFFFFF"/>
              <w:left w:val="single" w:sz="8" w:space="0" w:color="FFFFFF"/>
              <w:bottom w:val="single" w:sz="8" w:space="0" w:color="FFFFFF"/>
              <w:right w:val="single" w:sz="8" w:space="0" w:color="FFFFFF"/>
            </w:tcBorders>
            <w:shd w:val="clear" w:color="auto" w:fill="FBCAA2"/>
            <w:vAlign w:val="center"/>
          </w:tcPr>
          <w:p w:rsidR="007174F8" w:rsidRPr="007174F8" w:rsidRDefault="007174F8" w:rsidP="007174F8">
            <w:pPr>
              <w:pStyle w:val="Sinespaciado"/>
              <w:jc w:val="center"/>
              <w:rPr>
                <w:sz w:val="14"/>
              </w:rPr>
            </w:pPr>
            <w:r w:rsidRPr="007174F8">
              <w:rPr>
                <w:sz w:val="14"/>
              </w:rPr>
              <w:t>Muy alto</w:t>
            </w:r>
          </w:p>
        </w:tc>
        <w:tc>
          <w:tcPr>
            <w:tcW w:w="1663" w:type="dxa"/>
            <w:tcBorders>
              <w:top w:val="single" w:sz="8" w:space="0" w:color="FFFFFF"/>
              <w:left w:val="single" w:sz="8" w:space="0" w:color="FFFFFF"/>
              <w:bottom w:val="single" w:sz="8" w:space="0" w:color="FFFFFF"/>
              <w:right w:val="single" w:sz="8" w:space="0" w:color="FFFFFF"/>
            </w:tcBorders>
            <w:shd w:val="clear" w:color="auto" w:fill="FBCAA2"/>
            <w:vAlign w:val="center"/>
          </w:tcPr>
          <w:p w:rsidR="007174F8" w:rsidRPr="007174F8" w:rsidRDefault="007174F8" w:rsidP="007174F8">
            <w:pPr>
              <w:pStyle w:val="Sinespaciado"/>
              <w:jc w:val="center"/>
              <w:rPr>
                <w:sz w:val="14"/>
              </w:rPr>
            </w:pPr>
            <w:r w:rsidRPr="007174F8">
              <w:rPr>
                <w:sz w:val="14"/>
              </w:rPr>
              <w:t>Cuenta relacionada con riesgo de fraude, lo que aumenta el riesgo</w:t>
            </w:r>
          </w:p>
        </w:tc>
      </w:tr>
      <w:tr w:rsidR="007174F8" w:rsidRPr="007174F8" w:rsidTr="00F6756D">
        <w:tc>
          <w:tcPr>
            <w:tcW w:w="1261" w:type="dxa"/>
            <w:tcBorders>
              <w:left w:val="single" w:sz="8" w:space="0" w:color="FFFFFF"/>
              <w:bottom w:val="nil"/>
              <w:right w:val="single" w:sz="24"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Impuestos y Cuentas de Gasto Relacionadas</w:t>
            </w:r>
          </w:p>
        </w:tc>
        <w:tc>
          <w:tcPr>
            <w:tcW w:w="1189" w:type="dxa"/>
            <w:shd w:val="clear" w:color="auto" w:fill="FDE4D0"/>
            <w:vAlign w:val="center"/>
          </w:tcPr>
          <w:p w:rsidR="007174F8" w:rsidRPr="007174F8" w:rsidRDefault="007174F8" w:rsidP="007174F8">
            <w:pPr>
              <w:pStyle w:val="Sinespaciado"/>
              <w:jc w:val="center"/>
              <w:rPr>
                <w:sz w:val="14"/>
              </w:rPr>
            </w:pPr>
            <w:r w:rsidRPr="007174F8">
              <w:rPr>
                <w:sz w:val="14"/>
              </w:rPr>
              <w:t>Muy bajo</w:t>
            </w:r>
          </w:p>
        </w:tc>
        <w:tc>
          <w:tcPr>
            <w:tcW w:w="1663" w:type="dxa"/>
            <w:shd w:val="clear" w:color="auto" w:fill="FDE4D0"/>
            <w:vAlign w:val="center"/>
          </w:tcPr>
          <w:p w:rsidR="007174F8" w:rsidRPr="007174F8" w:rsidRDefault="007174F8" w:rsidP="007174F8">
            <w:pPr>
              <w:pStyle w:val="Sinespaciado"/>
              <w:jc w:val="center"/>
              <w:rPr>
                <w:sz w:val="14"/>
              </w:rPr>
            </w:pPr>
            <w:r w:rsidRPr="007174F8">
              <w:rPr>
                <w:sz w:val="14"/>
              </w:rPr>
              <w:t>Las transacciones son sencillas y dentro de lo establecido por la ley</w:t>
            </w:r>
          </w:p>
        </w:tc>
      </w:tr>
      <w:tr w:rsidR="007174F8" w:rsidRPr="007174F8" w:rsidTr="00F6756D">
        <w:tc>
          <w:tcPr>
            <w:tcW w:w="1261" w:type="dxa"/>
            <w:tcBorders>
              <w:top w:val="single" w:sz="8" w:space="0" w:color="FFFFFF"/>
              <w:left w:val="single" w:sz="8" w:space="0" w:color="FFFFFF"/>
              <w:bottom w:val="nil"/>
              <w:right w:val="single" w:sz="24"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Nómina</w:t>
            </w:r>
          </w:p>
        </w:tc>
        <w:tc>
          <w:tcPr>
            <w:tcW w:w="1189" w:type="dxa"/>
            <w:tcBorders>
              <w:top w:val="single" w:sz="8" w:space="0" w:color="FFFFFF"/>
              <w:left w:val="single" w:sz="8" w:space="0" w:color="FFFFFF"/>
              <w:bottom w:val="single" w:sz="8" w:space="0" w:color="FFFFFF"/>
              <w:right w:val="single" w:sz="8" w:space="0" w:color="FFFFFF"/>
            </w:tcBorders>
            <w:shd w:val="clear" w:color="auto" w:fill="FBCAA2"/>
            <w:vAlign w:val="center"/>
          </w:tcPr>
          <w:p w:rsidR="007174F8" w:rsidRPr="007174F8" w:rsidRDefault="007174F8" w:rsidP="007174F8">
            <w:pPr>
              <w:pStyle w:val="Sinespaciado"/>
              <w:jc w:val="center"/>
              <w:rPr>
                <w:sz w:val="14"/>
              </w:rPr>
            </w:pPr>
            <w:r w:rsidRPr="007174F8">
              <w:rPr>
                <w:sz w:val="14"/>
              </w:rPr>
              <w:t>Muy bajo</w:t>
            </w:r>
          </w:p>
        </w:tc>
        <w:tc>
          <w:tcPr>
            <w:tcW w:w="1663" w:type="dxa"/>
            <w:tcBorders>
              <w:top w:val="single" w:sz="8" w:space="0" w:color="FFFFFF"/>
              <w:left w:val="single" w:sz="8" w:space="0" w:color="FFFFFF"/>
              <w:bottom w:val="single" w:sz="8" w:space="0" w:color="FFFFFF"/>
              <w:right w:val="single" w:sz="8" w:space="0" w:color="FFFFFF"/>
            </w:tcBorders>
            <w:shd w:val="clear" w:color="auto" w:fill="FBCAA2"/>
            <w:vAlign w:val="center"/>
          </w:tcPr>
          <w:p w:rsidR="007174F8" w:rsidRPr="007174F8" w:rsidRDefault="007174F8" w:rsidP="007174F8">
            <w:pPr>
              <w:pStyle w:val="Sinespaciado"/>
              <w:jc w:val="center"/>
              <w:rPr>
                <w:sz w:val="14"/>
              </w:rPr>
            </w:pPr>
            <w:r w:rsidRPr="007174F8">
              <w:rPr>
                <w:sz w:val="14"/>
              </w:rPr>
              <w:t>Todo se realiza dentro de lo establecido por la ley</w:t>
            </w:r>
          </w:p>
        </w:tc>
      </w:tr>
      <w:tr w:rsidR="007174F8" w:rsidRPr="007174F8" w:rsidTr="00F6756D">
        <w:tc>
          <w:tcPr>
            <w:tcW w:w="1261" w:type="dxa"/>
            <w:tcBorders>
              <w:left w:val="single" w:sz="8" w:space="0" w:color="FFFFFF"/>
              <w:right w:val="single" w:sz="24" w:space="0" w:color="FFFFFF"/>
            </w:tcBorders>
            <w:shd w:val="clear" w:color="auto" w:fill="F79646"/>
            <w:vAlign w:val="center"/>
          </w:tcPr>
          <w:p w:rsidR="007174F8" w:rsidRPr="007174F8" w:rsidRDefault="007174F8" w:rsidP="007174F8">
            <w:pPr>
              <w:pStyle w:val="Sinespaciado"/>
              <w:jc w:val="center"/>
              <w:rPr>
                <w:b/>
                <w:bCs/>
                <w:color w:val="FFFFFF"/>
                <w:sz w:val="14"/>
              </w:rPr>
            </w:pPr>
            <w:r w:rsidRPr="007174F8">
              <w:rPr>
                <w:b/>
                <w:bCs/>
                <w:color w:val="FFFFFF"/>
                <w:sz w:val="14"/>
              </w:rPr>
              <w:t>Gastos Financieros</w:t>
            </w:r>
          </w:p>
        </w:tc>
        <w:tc>
          <w:tcPr>
            <w:tcW w:w="1189" w:type="dxa"/>
            <w:shd w:val="clear" w:color="auto" w:fill="FDE4D0"/>
            <w:vAlign w:val="center"/>
          </w:tcPr>
          <w:p w:rsidR="007174F8" w:rsidRPr="007174F8" w:rsidRDefault="007174F8" w:rsidP="007174F8">
            <w:pPr>
              <w:pStyle w:val="Sinespaciado"/>
              <w:jc w:val="center"/>
              <w:rPr>
                <w:sz w:val="14"/>
              </w:rPr>
            </w:pPr>
            <w:r w:rsidRPr="007174F8">
              <w:rPr>
                <w:sz w:val="14"/>
              </w:rPr>
              <w:t>Muy bajo</w:t>
            </w:r>
          </w:p>
        </w:tc>
        <w:tc>
          <w:tcPr>
            <w:tcW w:w="1663" w:type="dxa"/>
            <w:shd w:val="clear" w:color="auto" w:fill="FDE4D0"/>
            <w:vAlign w:val="center"/>
          </w:tcPr>
          <w:p w:rsidR="007174F8" w:rsidRPr="007174F8" w:rsidRDefault="007174F8" w:rsidP="007174F8">
            <w:pPr>
              <w:pStyle w:val="Sinespaciado"/>
              <w:jc w:val="center"/>
              <w:rPr>
                <w:sz w:val="14"/>
              </w:rPr>
            </w:pPr>
            <w:r w:rsidRPr="007174F8">
              <w:rPr>
                <w:sz w:val="14"/>
              </w:rPr>
              <w:t>Transacciones normales en el año</w:t>
            </w:r>
          </w:p>
        </w:tc>
      </w:tr>
    </w:tbl>
    <w:p w:rsidR="007174F8" w:rsidRPr="006F3B46" w:rsidRDefault="007174F8" w:rsidP="000F4E9D">
      <w:pPr>
        <w:jc w:val="both"/>
        <w:rPr>
          <w:b/>
          <w:sz w:val="22"/>
        </w:rPr>
      </w:pPr>
    </w:p>
    <w:p w:rsidR="00083805" w:rsidRDefault="00131E42" w:rsidP="00083805">
      <w:pPr>
        <w:jc w:val="both"/>
        <w:rPr>
          <w:b/>
          <w:sz w:val="22"/>
          <w:lang w:val="es-EC"/>
        </w:rPr>
      </w:pPr>
      <w:r>
        <w:rPr>
          <w:b/>
          <w:sz w:val="22"/>
          <w:lang w:val="es-EC"/>
        </w:rPr>
        <w:lastRenderedPageBreak/>
        <w:t xml:space="preserve">2.2. </w:t>
      </w:r>
      <w:r w:rsidR="00D96BF7">
        <w:rPr>
          <w:b/>
          <w:sz w:val="22"/>
          <w:lang w:val="es-EC"/>
        </w:rPr>
        <w:t xml:space="preserve">Riesgo de </w:t>
      </w:r>
      <w:r>
        <w:rPr>
          <w:b/>
          <w:sz w:val="22"/>
          <w:lang w:val="es-EC"/>
        </w:rPr>
        <w:t>c</w:t>
      </w:r>
      <w:r w:rsidR="00D96BF7">
        <w:rPr>
          <w:b/>
          <w:sz w:val="22"/>
          <w:lang w:val="es-EC"/>
        </w:rPr>
        <w:t>ontrol</w:t>
      </w:r>
    </w:p>
    <w:p w:rsidR="00A56926" w:rsidRPr="00825F1D" w:rsidRDefault="00A56926" w:rsidP="00083805">
      <w:pPr>
        <w:jc w:val="both"/>
        <w:rPr>
          <w:sz w:val="20"/>
          <w:szCs w:val="20"/>
          <w:lang w:val="es-EC"/>
        </w:rPr>
      </w:pPr>
    </w:p>
    <w:p w:rsidR="00D96BF7" w:rsidRPr="00D96BF7" w:rsidRDefault="00D96BF7" w:rsidP="00D96BF7">
      <w:pPr>
        <w:pStyle w:val="Sinespaciado"/>
        <w:jc w:val="both"/>
        <w:rPr>
          <w:rFonts w:ascii="Times New Roman" w:hAnsi="Times New Roman"/>
          <w:sz w:val="20"/>
        </w:rPr>
      </w:pPr>
      <w:r w:rsidRPr="00D96BF7">
        <w:rPr>
          <w:rFonts w:ascii="Times New Roman" w:hAnsi="Times New Roman"/>
          <w:sz w:val="20"/>
        </w:rPr>
        <w:t>Es el riesgo de que los controles internos fallen en detectar errores e irregularidades.</w:t>
      </w:r>
    </w:p>
    <w:p w:rsidR="00D96BF7" w:rsidRPr="00D96BF7" w:rsidRDefault="00D96BF7" w:rsidP="00D96BF7">
      <w:pPr>
        <w:pStyle w:val="Sinespaciado"/>
        <w:jc w:val="both"/>
        <w:rPr>
          <w:rFonts w:ascii="Times New Roman" w:hAnsi="Times New Roman"/>
          <w:sz w:val="20"/>
        </w:rPr>
      </w:pPr>
    </w:p>
    <w:p w:rsidR="00D96BF7" w:rsidRPr="00D96BF7" w:rsidRDefault="00D96BF7" w:rsidP="00D96BF7">
      <w:pPr>
        <w:pStyle w:val="Sinespaciado"/>
        <w:numPr>
          <w:ilvl w:val="0"/>
          <w:numId w:val="12"/>
        </w:numPr>
        <w:jc w:val="both"/>
        <w:rPr>
          <w:rFonts w:ascii="Times New Roman" w:hAnsi="Times New Roman"/>
          <w:sz w:val="20"/>
        </w:rPr>
      </w:pPr>
      <w:r w:rsidRPr="00D96BF7">
        <w:rPr>
          <w:rFonts w:ascii="Times New Roman" w:hAnsi="Times New Roman"/>
          <w:sz w:val="20"/>
        </w:rPr>
        <w:t>Política débil de control interno.</w:t>
      </w:r>
    </w:p>
    <w:p w:rsidR="00D96BF7" w:rsidRPr="00D96BF7" w:rsidRDefault="00D96BF7" w:rsidP="00D96BF7">
      <w:pPr>
        <w:pStyle w:val="Sinespaciado"/>
        <w:numPr>
          <w:ilvl w:val="0"/>
          <w:numId w:val="12"/>
        </w:numPr>
        <w:jc w:val="both"/>
        <w:rPr>
          <w:rFonts w:ascii="Times New Roman" w:hAnsi="Times New Roman"/>
          <w:sz w:val="20"/>
        </w:rPr>
      </w:pPr>
      <w:r w:rsidRPr="00D96BF7">
        <w:rPr>
          <w:rFonts w:ascii="Times New Roman" w:hAnsi="Times New Roman"/>
          <w:sz w:val="20"/>
        </w:rPr>
        <w:t>Ausencia de procedimientos de control tributario.</w:t>
      </w:r>
    </w:p>
    <w:p w:rsidR="00D96BF7" w:rsidRPr="00D96BF7" w:rsidRDefault="00D96BF7" w:rsidP="00D96BF7">
      <w:pPr>
        <w:pStyle w:val="Sinespaciado"/>
        <w:numPr>
          <w:ilvl w:val="0"/>
          <w:numId w:val="12"/>
        </w:numPr>
        <w:jc w:val="both"/>
        <w:rPr>
          <w:rFonts w:ascii="Times New Roman" w:hAnsi="Times New Roman"/>
          <w:b/>
          <w:sz w:val="16"/>
          <w:szCs w:val="20"/>
          <w:lang w:val="es-EC"/>
        </w:rPr>
      </w:pPr>
      <w:r w:rsidRPr="00D96BF7">
        <w:rPr>
          <w:rFonts w:ascii="Times New Roman" w:hAnsi="Times New Roman"/>
          <w:sz w:val="20"/>
        </w:rPr>
        <w:t>No definición de funciones departamentales.</w:t>
      </w:r>
    </w:p>
    <w:p w:rsidR="00083805" w:rsidRPr="00D96BF7" w:rsidRDefault="00D96BF7" w:rsidP="00D96BF7">
      <w:pPr>
        <w:pStyle w:val="Sinespaciado"/>
        <w:numPr>
          <w:ilvl w:val="0"/>
          <w:numId w:val="12"/>
        </w:numPr>
        <w:jc w:val="both"/>
        <w:rPr>
          <w:rFonts w:ascii="Times New Roman" w:hAnsi="Times New Roman"/>
          <w:b/>
          <w:sz w:val="16"/>
          <w:szCs w:val="20"/>
          <w:lang w:val="es-EC"/>
        </w:rPr>
      </w:pPr>
      <w:r w:rsidRPr="00D96BF7">
        <w:rPr>
          <w:rFonts w:ascii="Times New Roman" w:hAnsi="Times New Roman"/>
          <w:sz w:val="20"/>
        </w:rPr>
        <w:t xml:space="preserve">Desconocimiento del marco teórico legal vigente en nuestro país por parte del </w:t>
      </w:r>
      <w:r w:rsidR="00D93310">
        <w:rPr>
          <w:rFonts w:ascii="Times New Roman" w:hAnsi="Times New Roman"/>
          <w:sz w:val="20"/>
        </w:rPr>
        <w:t>recurso humano de las compañías</w:t>
      </w:r>
      <w:r w:rsidRPr="00D96BF7">
        <w:rPr>
          <w:rFonts w:ascii="Times New Roman" w:hAnsi="Times New Roman"/>
          <w:sz w:val="20"/>
        </w:rPr>
        <w:t xml:space="preserve"> (funcionarios, empleados, trabajadores asesores, auditores, etc.)</w:t>
      </w:r>
    </w:p>
    <w:p w:rsidR="00A56926" w:rsidRDefault="00A56926" w:rsidP="00A56926">
      <w:pPr>
        <w:pStyle w:val="Sinespaciado"/>
        <w:spacing w:line="360" w:lineRule="auto"/>
        <w:ind w:left="720"/>
        <w:jc w:val="center"/>
        <w:rPr>
          <w:rFonts w:ascii="Arial" w:hAnsi="Arial" w:cs="Arial"/>
          <w:i/>
          <w:sz w:val="20"/>
        </w:rPr>
      </w:pPr>
    </w:p>
    <w:p w:rsidR="00A56926" w:rsidRDefault="00A56926" w:rsidP="00A56926">
      <w:pPr>
        <w:pStyle w:val="Sinespaciado"/>
        <w:spacing w:line="360" w:lineRule="auto"/>
        <w:ind w:left="720"/>
        <w:jc w:val="center"/>
        <w:rPr>
          <w:b/>
          <w:lang w:val="es-EC"/>
        </w:rPr>
      </w:pPr>
      <w:r w:rsidRPr="00A56926">
        <w:rPr>
          <w:rFonts w:ascii="Helvetica" w:eastAsia="Times New Roman" w:hAnsi="Helvetica" w:cs="Helvetica"/>
          <w:b/>
          <w:bCs/>
          <w:sz w:val="18"/>
          <w:szCs w:val="24"/>
          <w:lang w:eastAsia="es-ES"/>
        </w:rPr>
        <w:t xml:space="preserve">Tabla </w:t>
      </w:r>
      <w:r>
        <w:rPr>
          <w:rFonts w:ascii="Helvetica" w:eastAsia="Times New Roman" w:hAnsi="Helvetica" w:cs="Helvetica"/>
          <w:b/>
          <w:bCs/>
          <w:sz w:val="18"/>
          <w:szCs w:val="24"/>
          <w:lang w:eastAsia="es-ES"/>
        </w:rPr>
        <w:t>2</w:t>
      </w:r>
      <w:r w:rsidRPr="00A56926">
        <w:rPr>
          <w:rFonts w:ascii="Helvetica" w:eastAsia="Times New Roman" w:hAnsi="Helvetica" w:cs="Helvetica"/>
          <w:b/>
          <w:bCs/>
          <w:sz w:val="18"/>
          <w:szCs w:val="24"/>
          <w:lang w:eastAsia="es-ES"/>
        </w:rPr>
        <w:t xml:space="preserve">. </w:t>
      </w:r>
      <w:r w:rsidRPr="00A56926">
        <w:rPr>
          <w:rFonts w:ascii="Helvetica" w:eastAsia="Times New Roman" w:hAnsi="Helvetica" w:cs="Helvetica"/>
          <w:bCs/>
          <w:sz w:val="18"/>
          <w:szCs w:val="24"/>
          <w:lang w:eastAsia="es-ES"/>
        </w:rPr>
        <w:t>Evaluación del Riesgo de Control</w:t>
      </w:r>
      <w:r w:rsidRPr="00A56926">
        <w:rPr>
          <w:rFonts w:ascii="Arial" w:hAnsi="Arial" w:cs="Arial"/>
          <w:sz w:val="20"/>
        </w:rPr>
        <w:t>.</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1284"/>
        <w:gridCol w:w="1166"/>
        <w:gridCol w:w="1663"/>
      </w:tblGrid>
      <w:tr w:rsidR="00A56926" w:rsidRPr="00A56926" w:rsidTr="00A56926">
        <w:tc>
          <w:tcPr>
            <w:tcW w:w="1284" w:type="dxa"/>
            <w:tcBorders>
              <w:top w:val="single" w:sz="8" w:space="0" w:color="FFFFFF"/>
              <w:left w:val="single" w:sz="8" w:space="0" w:color="FFFFFF"/>
              <w:bottom w:val="single" w:sz="24" w:space="0" w:color="FFFFFF"/>
              <w:right w:val="single" w:sz="8" w:space="0" w:color="FFFFFF"/>
            </w:tcBorders>
            <w:shd w:val="clear" w:color="auto" w:fill="C0504D"/>
            <w:vAlign w:val="center"/>
          </w:tcPr>
          <w:p w:rsidR="00A56926" w:rsidRPr="00A56926" w:rsidRDefault="00A56926" w:rsidP="00A56926">
            <w:pPr>
              <w:pStyle w:val="Sinespaciado"/>
              <w:jc w:val="center"/>
              <w:rPr>
                <w:b/>
                <w:bCs/>
                <w:color w:val="FFFFFF"/>
                <w:sz w:val="14"/>
              </w:rPr>
            </w:pPr>
            <w:r w:rsidRPr="00A56926">
              <w:rPr>
                <w:b/>
                <w:bCs/>
                <w:color w:val="FFFFFF"/>
                <w:sz w:val="14"/>
              </w:rPr>
              <w:t>CUENTA</w:t>
            </w:r>
          </w:p>
        </w:tc>
        <w:tc>
          <w:tcPr>
            <w:tcW w:w="1166" w:type="dxa"/>
            <w:tcBorders>
              <w:top w:val="single" w:sz="8" w:space="0" w:color="FFFFFF"/>
              <w:left w:val="single" w:sz="8" w:space="0" w:color="FFFFFF"/>
              <w:bottom w:val="single" w:sz="24" w:space="0" w:color="FFFFFF"/>
              <w:right w:val="single" w:sz="8" w:space="0" w:color="FFFFFF"/>
            </w:tcBorders>
            <w:shd w:val="clear" w:color="auto" w:fill="C0504D"/>
            <w:vAlign w:val="center"/>
          </w:tcPr>
          <w:p w:rsidR="00A56926" w:rsidRPr="00A56926" w:rsidRDefault="00A56926" w:rsidP="00A56926">
            <w:pPr>
              <w:pStyle w:val="Sinespaciado"/>
              <w:jc w:val="center"/>
              <w:rPr>
                <w:b/>
                <w:bCs/>
                <w:color w:val="FFFFFF"/>
                <w:sz w:val="14"/>
              </w:rPr>
            </w:pPr>
            <w:r w:rsidRPr="00A56926">
              <w:rPr>
                <w:b/>
                <w:bCs/>
                <w:color w:val="FFFFFF"/>
                <w:sz w:val="14"/>
              </w:rPr>
              <w:t>RIESGO DE CONTROL</w:t>
            </w:r>
          </w:p>
        </w:tc>
        <w:tc>
          <w:tcPr>
            <w:tcW w:w="1663" w:type="dxa"/>
            <w:tcBorders>
              <w:top w:val="single" w:sz="8" w:space="0" w:color="FFFFFF"/>
              <w:left w:val="single" w:sz="8" w:space="0" w:color="FFFFFF"/>
              <w:bottom w:val="single" w:sz="24" w:space="0" w:color="FFFFFF"/>
              <w:right w:val="single" w:sz="8" w:space="0" w:color="FFFFFF"/>
            </w:tcBorders>
            <w:shd w:val="clear" w:color="auto" w:fill="C0504D"/>
            <w:vAlign w:val="center"/>
          </w:tcPr>
          <w:p w:rsidR="00A56926" w:rsidRPr="00A56926" w:rsidRDefault="00A56926" w:rsidP="00A56926">
            <w:pPr>
              <w:pStyle w:val="Sinespaciado"/>
              <w:jc w:val="center"/>
              <w:rPr>
                <w:b/>
                <w:bCs/>
                <w:color w:val="FFFFFF"/>
                <w:sz w:val="14"/>
              </w:rPr>
            </w:pPr>
            <w:r w:rsidRPr="00A56926">
              <w:rPr>
                <w:b/>
                <w:bCs/>
                <w:color w:val="FFFFFF"/>
                <w:sz w:val="14"/>
              </w:rPr>
              <w:t>ANÁLISIS</w:t>
            </w:r>
          </w:p>
        </w:tc>
      </w:tr>
      <w:tr w:rsidR="00A56926" w:rsidRPr="00A56926" w:rsidTr="00A56926">
        <w:tc>
          <w:tcPr>
            <w:tcW w:w="1284" w:type="dxa"/>
            <w:tcBorders>
              <w:top w:val="single" w:sz="8" w:space="0" w:color="FFFFFF"/>
              <w:left w:val="single" w:sz="8" w:space="0" w:color="FFFFFF"/>
              <w:bottom w:val="nil"/>
              <w:right w:val="single" w:sz="24" w:space="0" w:color="FFFFFF"/>
            </w:tcBorders>
            <w:shd w:val="clear" w:color="auto" w:fill="C0504D"/>
            <w:vAlign w:val="center"/>
          </w:tcPr>
          <w:p w:rsidR="00A56926" w:rsidRPr="00A56926" w:rsidRDefault="00A56926" w:rsidP="00A56926">
            <w:pPr>
              <w:pStyle w:val="Sinespaciado"/>
              <w:jc w:val="center"/>
              <w:rPr>
                <w:b/>
                <w:bCs/>
                <w:color w:val="FFFFFF"/>
                <w:sz w:val="14"/>
                <w:szCs w:val="20"/>
              </w:rPr>
            </w:pPr>
            <w:r w:rsidRPr="00A56926">
              <w:rPr>
                <w:b/>
                <w:bCs/>
                <w:color w:val="FFFFFF"/>
                <w:sz w:val="14"/>
                <w:szCs w:val="20"/>
              </w:rPr>
              <w:t>Cuentas por cobrar</w:t>
            </w:r>
          </w:p>
        </w:tc>
        <w:tc>
          <w:tcPr>
            <w:tcW w:w="1166" w:type="dxa"/>
            <w:tcBorders>
              <w:top w:val="single" w:sz="8" w:space="0" w:color="FFFFFF"/>
              <w:left w:val="single" w:sz="8" w:space="0" w:color="FFFFFF"/>
              <w:bottom w:val="single" w:sz="8" w:space="0" w:color="FFFFFF"/>
              <w:right w:val="single" w:sz="8" w:space="0" w:color="FFFFFF"/>
            </w:tcBorders>
            <w:shd w:val="clear" w:color="auto" w:fill="DFA7A6"/>
            <w:vAlign w:val="center"/>
          </w:tcPr>
          <w:p w:rsidR="00A56926" w:rsidRPr="00A56926" w:rsidRDefault="00A56926" w:rsidP="00A56926">
            <w:pPr>
              <w:pStyle w:val="Sinespaciado"/>
              <w:jc w:val="center"/>
              <w:rPr>
                <w:sz w:val="14"/>
                <w:szCs w:val="20"/>
              </w:rPr>
            </w:pPr>
            <w:r w:rsidRPr="00A56926">
              <w:rPr>
                <w:sz w:val="14"/>
                <w:szCs w:val="20"/>
              </w:rPr>
              <w:t>Moderado</w:t>
            </w:r>
          </w:p>
        </w:tc>
        <w:tc>
          <w:tcPr>
            <w:tcW w:w="1663" w:type="dxa"/>
            <w:tcBorders>
              <w:top w:val="single" w:sz="8" w:space="0" w:color="FFFFFF"/>
              <w:left w:val="single" w:sz="8" w:space="0" w:color="FFFFFF"/>
              <w:bottom w:val="single" w:sz="8" w:space="0" w:color="FFFFFF"/>
              <w:right w:val="single" w:sz="8" w:space="0" w:color="FFFFFF"/>
            </w:tcBorders>
            <w:shd w:val="clear" w:color="auto" w:fill="DFA7A6"/>
            <w:vAlign w:val="center"/>
          </w:tcPr>
          <w:p w:rsidR="00A56926" w:rsidRPr="00A56926" w:rsidRDefault="00A56926" w:rsidP="00A56926">
            <w:pPr>
              <w:pStyle w:val="Sinespaciado"/>
              <w:jc w:val="center"/>
              <w:rPr>
                <w:sz w:val="14"/>
                <w:szCs w:val="20"/>
              </w:rPr>
            </w:pPr>
            <w:r w:rsidRPr="00A56926">
              <w:rPr>
                <w:sz w:val="14"/>
                <w:szCs w:val="20"/>
              </w:rPr>
              <w:t>Los controles identificados no parecen ser muy efectivos por lo que se tomará una estrategia sustantiva</w:t>
            </w:r>
          </w:p>
        </w:tc>
      </w:tr>
      <w:tr w:rsidR="00A56926" w:rsidRPr="00A56926" w:rsidTr="00A56926">
        <w:tc>
          <w:tcPr>
            <w:tcW w:w="1284" w:type="dxa"/>
            <w:tcBorders>
              <w:left w:val="single" w:sz="8" w:space="0" w:color="FFFFFF"/>
              <w:bottom w:val="nil"/>
              <w:right w:val="single" w:sz="24" w:space="0" w:color="FFFFFF"/>
            </w:tcBorders>
            <w:shd w:val="clear" w:color="auto" w:fill="C0504D"/>
            <w:vAlign w:val="center"/>
          </w:tcPr>
          <w:p w:rsidR="00A56926" w:rsidRPr="00A56926" w:rsidRDefault="00A56926" w:rsidP="00A56926">
            <w:pPr>
              <w:pStyle w:val="Sinespaciado"/>
              <w:jc w:val="center"/>
              <w:rPr>
                <w:b/>
                <w:bCs/>
                <w:color w:val="FFFFFF"/>
                <w:sz w:val="14"/>
                <w:szCs w:val="20"/>
              </w:rPr>
            </w:pPr>
            <w:r w:rsidRPr="00A56926">
              <w:rPr>
                <w:b/>
                <w:bCs/>
                <w:color w:val="FFFFFF"/>
                <w:sz w:val="14"/>
                <w:szCs w:val="20"/>
              </w:rPr>
              <w:t>Depreciación P.P.E.</w:t>
            </w:r>
          </w:p>
        </w:tc>
        <w:tc>
          <w:tcPr>
            <w:tcW w:w="1166" w:type="dxa"/>
            <w:shd w:val="clear" w:color="auto" w:fill="EFD3D2"/>
            <w:vAlign w:val="center"/>
          </w:tcPr>
          <w:p w:rsidR="00A56926" w:rsidRPr="00A56926" w:rsidRDefault="00A56926" w:rsidP="00A56926">
            <w:pPr>
              <w:pStyle w:val="Sinespaciado"/>
              <w:jc w:val="center"/>
              <w:rPr>
                <w:sz w:val="14"/>
                <w:szCs w:val="20"/>
              </w:rPr>
            </w:pPr>
            <w:r w:rsidRPr="00A56926">
              <w:rPr>
                <w:sz w:val="14"/>
                <w:szCs w:val="20"/>
              </w:rPr>
              <w:t>Moderado</w:t>
            </w:r>
          </w:p>
        </w:tc>
        <w:tc>
          <w:tcPr>
            <w:tcW w:w="1663" w:type="dxa"/>
            <w:shd w:val="clear" w:color="auto" w:fill="EFD3D2"/>
            <w:vAlign w:val="center"/>
          </w:tcPr>
          <w:p w:rsidR="00A56926" w:rsidRPr="00A56926" w:rsidRDefault="00A56926" w:rsidP="00A56926">
            <w:pPr>
              <w:jc w:val="center"/>
              <w:rPr>
                <w:sz w:val="14"/>
                <w:szCs w:val="20"/>
              </w:rPr>
            </w:pPr>
            <w:r w:rsidRPr="00A56926">
              <w:rPr>
                <w:sz w:val="14"/>
                <w:szCs w:val="20"/>
              </w:rPr>
              <w:t>Los controles identificados no parecen ser muy efectivos por lo que se tomará una estrategia sustantiva</w:t>
            </w:r>
          </w:p>
        </w:tc>
      </w:tr>
      <w:tr w:rsidR="00A56926" w:rsidRPr="00A56926" w:rsidTr="00A56926">
        <w:tc>
          <w:tcPr>
            <w:tcW w:w="1284" w:type="dxa"/>
            <w:tcBorders>
              <w:top w:val="single" w:sz="8" w:space="0" w:color="FFFFFF"/>
              <w:left w:val="single" w:sz="8" w:space="0" w:color="FFFFFF"/>
              <w:bottom w:val="nil"/>
              <w:right w:val="single" w:sz="24" w:space="0" w:color="FFFFFF"/>
            </w:tcBorders>
            <w:shd w:val="clear" w:color="auto" w:fill="C0504D"/>
            <w:vAlign w:val="center"/>
          </w:tcPr>
          <w:p w:rsidR="00A56926" w:rsidRPr="00A56926" w:rsidRDefault="00A56926" w:rsidP="00A56926">
            <w:pPr>
              <w:pStyle w:val="Sinespaciado"/>
              <w:jc w:val="center"/>
              <w:rPr>
                <w:b/>
                <w:bCs/>
                <w:color w:val="FFFFFF"/>
                <w:sz w:val="14"/>
                <w:szCs w:val="20"/>
              </w:rPr>
            </w:pPr>
            <w:r w:rsidRPr="00A56926">
              <w:rPr>
                <w:b/>
                <w:bCs/>
                <w:color w:val="FFFFFF"/>
                <w:sz w:val="14"/>
                <w:szCs w:val="20"/>
              </w:rPr>
              <w:t>Inventario</w:t>
            </w:r>
          </w:p>
        </w:tc>
        <w:tc>
          <w:tcPr>
            <w:tcW w:w="1166" w:type="dxa"/>
            <w:tcBorders>
              <w:top w:val="single" w:sz="8" w:space="0" w:color="FFFFFF"/>
              <w:left w:val="single" w:sz="8" w:space="0" w:color="FFFFFF"/>
              <w:bottom w:val="single" w:sz="8" w:space="0" w:color="FFFFFF"/>
              <w:right w:val="single" w:sz="8" w:space="0" w:color="FFFFFF"/>
            </w:tcBorders>
            <w:shd w:val="clear" w:color="auto" w:fill="DFA7A6"/>
            <w:vAlign w:val="center"/>
          </w:tcPr>
          <w:p w:rsidR="00A56926" w:rsidRPr="00A56926" w:rsidRDefault="00A56926" w:rsidP="00A56926">
            <w:pPr>
              <w:pStyle w:val="Sinespaciado"/>
              <w:jc w:val="center"/>
              <w:rPr>
                <w:sz w:val="14"/>
                <w:szCs w:val="20"/>
              </w:rPr>
            </w:pPr>
            <w:r w:rsidRPr="00A56926">
              <w:rPr>
                <w:sz w:val="14"/>
                <w:szCs w:val="20"/>
              </w:rPr>
              <w:t>Moderado</w:t>
            </w:r>
          </w:p>
        </w:tc>
        <w:tc>
          <w:tcPr>
            <w:tcW w:w="1663" w:type="dxa"/>
            <w:tcBorders>
              <w:top w:val="single" w:sz="8" w:space="0" w:color="FFFFFF"/>
              <w:left w:val="single" w:sz="8" w:space="0" w:color="FFFFFF"/>
              <w:bottom w:val="single" w:sz="8" w:space="0" w:color="FFFFFF"/>
              <w:right w:val="single" w:sz="8" w:space="0" w:color="FFFFFF"/>
            </w:tcBorders>
            <w:shd w:val="clear" w:color="auto" w:fill="DFA7A6"/>
            <w:vAlign w:val="center"/>
          </w:tcPr>
          <w:p w:rsidR="00A56926" w:rsidRPr="00A56926" w:rsidRDefault="00A56926" w:rsidP="00A56926">
            <w:pPr>
              <w:jc w:val="center"/>
              <w:rPr>
                <w:sz w:val="14"/>
                <w:szCs w:val="20"/>
              </w:rPr>
            </w:pPr>
            <w:r w:rsidRPr="00A56926">
              <w:rPr>
                <w:sz w:val="14"/>
                <w:szCs w:val="20"/>
              </w:rPr>
              <w:t>Los controles identificados no parecen ser muy efectivos por lo que se tomará una estrategia sustantiva</w:t>
            </w:r>
          </w:p>
        </w:tc>
      </w:tr>
      <w:tr w:rsidR="00A56926" w:rsidRPr="00A56926" w:rsidTr="00A56926">
        <w:tc>
          <w:tcPr>
            <w:tcW w:w="1284" w:type="dxa"/>
            <w:tcBorders>
              <w:left w:val="single" w:sz="8" w:space="0" w:color="FFFFFF"/>
              <w:bottom w:val="nil"/>
              <w:right w:val="single" w:sz="24" w:space="0" w:color="FFFFFF"/>
            </w:tcBorders>
            <w:shd w:val="clear" w:color="auto" w:fill="C0504D"/>
            <w:vAlign w:val="center"/>
          </w:tcPr>
          <w:p w:rsidR="00A56926" w:rsidRPr="00A56926" w:rsidRDefault="00A56926" w:rsidP="00A56926">
            <w:pPr>
              <w:pStyle w:val="Sinespaciado"/>
              <w:jc w:val="center"/>
              <w:rPr>
                <w:b/>
                <w:bCs/>
                <w:color w:val="FFFFFF"/>
                <w:sz w:val="14"/>
                <w:szCs w:val="20"/>
              </w:rPr>
            </w:pPr>
            <w:r w:rsidRPr="00A56926">
              <w:rPr>
                <w:b/>
                <w:bCs/>
                <w:color w:val="FFFFFF"/>
                <w:sz w:val="14"/>
                <w:szCs w:val="20"/>
              </w:rPr>
              <w:t>Costo de Venta</w:t>
            </w:r>
          </w:p>
        </w:tc>
        <w:tc>
          <w:tcPr>
            <w:tcW w:w="1166" w:type="dxa"/>
            <w:shd w:val="clear" w:color="auto" w:fill="EFD3D2"/>
            <w:vAlign w:val="center"/>
          </w:tcPr>
          <w:p w:rsidR="00A56926" w:rsidRPr="00A56926" w:rsidRDefault="00A56926" w:rsidP="00A56926">
            <w:pPr>
              <w:pStyle w:val="Sinespaciado"/>
              <w:jc w:val="center"/>
              <w:rPr>
                <w:sz w:val="14"/>
                <w:szCs w:val="20"/>
              </w:rPr>
            </w:pPr>
            <w:r w:rsidRPr="00A56926">
              <w:rPr>
                <w:sz w:val="14"/>
                <w:szCs w:val="20"/>
              </w:rPr>
              <w:t>Moderado</w:t>
            </w:r>
          </w:p>
        </w:tc>
        <w:tc>
          <w:tcPr>
            <w:tcW w:w="1663" w:type="dxa"/>
            <w:shd w:val="clear" w:color="auto" w:fill="EFD3D2"/>
            <w:vAlign w:val="center"/>
          </w:tcPr>
          <w:p w:rsidR="00A56926" w:rsidRPr="00A56926" w:rsidRDefault="00A56926" w:rsidP="00A56926">
            <w:pPr>
              <w:jc w:val="center"/>
              <w:rPr>
                <w:sz w:val="14"/>
                <w:szCs w:val="20"/>
              </w:rPr>
            </w:pPr>
            <w:r w:rsidRPr="00A56926">
              <w:rPr>
                <w:sz w:val="14"/>
                <w:szCs w:val="20"/>
              </w:rPr>
              <w:t>Los controles identificados no parecen ser muy efectivos por lo que se tomará una estrategia sustantiva</w:t>
            </w:r>
          </w:p>
        </w:tc>
      </w:tr>
      <w:tr w:rsidR="00A56926" w:rsidRPr="00A56926" w:rsidTr="00A56926">
        <w:tc>
          <w:tcPr>
            <w:tcW w:w="1284" w:type="dxa"/>
            <w:tcBorders>
              <w:top w:val="single" w:sz="8" w:space="0" w:color="FFFFFF"/>
              <w:left w:val="single" w:sz="8" w:space="0" w:color="FFFFFF"/>
              <w:bottom w:val="nil"/>
              <w:right w:val="single" w:sz="24" w:space="0" w:color="FFFFFF"/>
            </w:tcBorders>
            <w:shd w:val="clear" w:color="auto" w:fill="C0504D"/>
            <w:vAlign w:val="center"/>
          </w:tcPr>
          <w:p w:rsidR="00A56926" w:rsidRPr="00A56926" w:rsidRDefault="00A56926" w:rsidP="00A56926">
            <w:pPr>
              <w:pStyle w:val="Sinespaciado"/>
              <w:jc w:val="center"/>
              <w:rPr>
                <w:b/>
                <w:bCs/>
                <w:color w:val="FFFFFF"/>
                <w:sz w:val="14"/>
                <w:szCs w:val="20"/>
              </w:rPr>
            </w:pPr>
            <w:r w:rsidRPr="00A56926">
              <w:rPr>
                <w:b/>
                <w:bCs/>
                <w:color w:val="FFFFFF"/>
                <w:sz w:val="14"/>
                <w:szCs w:val="20"/>
              </w:rPr>
              <w:t>Estimación y Caducidad del Inventario</w:t>
            </w:r>
          </w:p>
        </w:tc>
        <w:tc>
          <w:tcPr>
            <w:tcW w:w="1166" w:type="dxa"/>
            <w:tcBorders>
              <w:top w:val="single" w:sz="8" w:space="0" w:color="FFFFFF"/>
              <w:left w:val="single" w:sz="8" w:space="0" w:color="FFFFFF"/>
              <w:bottom w:val="single" w:sz="8" w:space="0" w:color="FFFFFF"/>
              <w:right w:val="single" w:sz="8" w:space="0" w:color="FFFFFF"/>
            </w:tcBorders>
            <w:shd w:val="clear" w:color="auto" w:fill="DFA7A6"/>
            <w:vAlign w:val="center"/>
          </w:tcPr>
          <w:p w:rsidR="00A56926" w:rsidRPr="00A56926" w:rsidRDefault="00A56926" w:rsidP="00A56926">
            <w:pPr>
              <w:pStyle w:val="Sinespaciado"/>
              <w:jc w:val="center"/>
              <w:rPr>
                <w:sz w:val="14"/>
                <w:szCs w:val="20"/>
              </w:rPr>
            </w:pPr>
            <w:r w:rsidRPr="00A56926">
              <w:rPr>
                <w:sz w:val="14"/>
                <w:szCs w:val="20"/>
              </w:rPr>
              <w:t>Moderado</w:t>
            </w:r>
          </w:p>
        </w:tc>
        <w:tc>
          <w:tcPr>
            <w:tcW w:w="1663" w:type="dxa"/>
            <w:tcBorders>
              <w:top w:val="single" w:sz="8" w:space="0" w:color="FFFFFF"/>
              <w:left w:val="single" w:sz="8" w:space="0" w:color="FFFFFF"/>
              <w:bottom w:val="single" w:sz="8" w:space="0" w:color="FFFFFF"/>
              <w:right w:val="single" w:sz="8" w:space="0" w:color="FFFFFF"/>
            </w:tcBorders>
            <w:shd w:val="clear" w:color="auto" w:fill="DFA7A6"/>
            <w:vAlign w:val="center"/>
          </w:tcPr>
          <w:p w:rsidR="00A56926" w:rsidRPr="00A56926" w:rsidRDefault="00A56926" w:rsidP="00A56926">
            <w:pPr>
              <w:jc w:val="center"/>
              <w:rPr>
                <w:sz w:val="14"/>
                <w:szCs w:val="20"/>
              </w:rPr>
            </w:pPr>
            <w:r w:rsidRPr="00A56926">
              <w:rPr>
                <w:sz w:val="14"/>
                <w:szCs w:val="20"/>
              </w:rPr>
              <w:t>Los controles identificados no parecen ser muy efectivos por lo que se tomará una estrategia sustantiva</w:t>
            </w:r>
          </w:p>
        </w:tc>
      </w:tr>
      <w:tr w:rsidR="00A56926" w:rsidRPr="00A56926" w:rsidTr="00A56926">
        <w:tc>
          <w:tcPr>
            <w:tcW w:w="1284" w:type="dxa"/>
            <w:tcBorders>
              <w:left w:val="single" w:sz="8" w:space="0" w:color="FFFFFF"/>
              <w:bottom w:val="nil"/>
              <w:right w:val="single" w:sz="24" w:space="0" w:color="FFFFFF"/>
            </w:tcBorders>
            <w:shd w:val="clear" w:color="auto" w:fill="C0504D"/>
            <w:vAlign w:val="center"/>
          </w:tcPr>
          <w:p w:rsidR="00A56926" w:rsidRPr="00A56926" w:rsidRDefault="00A56926" w:rsidP="00A56926">
            <w:pPr>
              <w:pStyle w:val="Sinespaciado"/>
              <w:jc w:val="center"/>
              <w:rPr>
                <w:b/>
                <w:bCs/>
                <w:color w:val="FFFFFF"/>
                <w:sz w:val="14"/>
                <w:szCs w:val="20"/>
              </w:rPr>
            </w:pPr>
            <w:r w:rsidRPr="00A56926">
              <w:rPr>
                <w:b/>
                <w:bCs/>
                <w:color w:val="FFFFFF"/>
                <w:sz w:val="14"/>
                <w:szCs w:val="20"/>
              </w:rPr>
              <w:t>Impuestos y Cuentas de Gasto Relacionadas</w:t>
            </w:r>
          </w:p>
        </w:tc>
        <w:tc>
          <w:tcPr>
            <w:tcW w:w="1166" w:type="dxa"/>
            <w:shd w:val="clear" w:color="auto" w:fill="EFD3D2"/>
            <w:vAlign w:val="center"/>
          </w:tcPr>
          <w:p w:rsidR="00A56926" w:rsidRPr="00A56926" w:rsidRDefault="00A56926" w:rsidP="00A56926">
            <w:pPr>
              <w:pStyle w:val="Sinespaciado"/>
              <w:jc w:val="center"/>
              <w:rPr>
                <w:sz w:val="14"/>
                <w:szCs w:val="20"/>
              </w:rPr>
            </w:pPr>
            <w:r w:rsidRPr="00A56926">
              <w:rPr>
                <w:sz w:val="14"/>
                <w:szCs w:val="20"/>
              </w:rPr>
              <w:t>Moderado</w:t>
            </w:r>
          </w:p>
        </w:tc>
        <w:tc>
          <w:tcPr>
            <w:tcW w:w="1663" w:type="dxa"/>
            <w:shd w:val="clear" w:color="auto" w:fill="EFD3D2"/>
            <w:vAlign w:val="center"/>
          </w:tcPr>
          <w:p w:rsidR="00A56926" w:rsidRPr="00A56926" w:rsidRDefault="00A56926" w:rsidP="00A56926">
            <w:pPr>
              <w:jc w:val="center"/>
              <w:rPr>
                <w:sz w:val="14"/>
                <w:szCs w:val="20"/>
              </w:rPr>
            </w:pPr>
            <w:r w:rsidRPr="00A56926">
              <w:rPr>
                <w:sz w:val="14"/>
                <w:szCs w:val="20"/>
              </w:rPr>
              <w:t>Los controles identificados no parecen ser muy efectivos por lo que se tomará una estrategia sustantiva</w:t>
            </w:r>
          </w:p>
        </w:tc>
      </w:tr>
      <w:tr w:rsidR="00A56926" w:rsidRPr="00A56926" w:rsidTr="00A56926">
        <w:tc>
          <w:tcPr>
            <w:tcW w:w="1284" w:type="dxa"/>
            <w:tcBorders>
              <w:top w:val="single" w:sz="8" w:space="0" w:color="FFFFFF"/>
              <w:left w:val="single" w:sz="8" w:space="0" w:color="FFFFFF"/>
              <w:bottom w:val="nil"/>
              <w:right w:val="single" w:sz="24" w:space="0" w:color="FFFFFF"/>
            </w:tcBorders>
            <w:shd w:val="clear" w:color="auto" w:fill="C0504D"/>
            <w:vAlign w:val="center"/>
          </w:tcPr>
          <w:p w:rsidR="00A56926" w:rsidRPr="00A56926" w:rsidRDefault="00A56926" w:rsidP="00A56926">
            <w:pPr>
              <w:pStyle w:val="Sinespaciado"/>
              <w:jc w:val="center"/>
              <w:rPr>
                <w:b/>
                <w:bCs/>
                <w:color w:val="FFFFFF"/>
                <w:sz w:val="14"/>
                <w:szCs w:val="20"/>
              </w:rPr>
            </w:pPr>
            <w:r w:rsidRPr="00A56926">
              <w:rPr>
                <w:b/>
                <w:bCs/>
                <w:color w:val="FFFFFF"/>
                <w:sz w:val="14"/>
                <w:szCs w:val="20"/>
              </w:rPr>
              <w:t>Nómina</w:t>
            </w:r>
          </w:p>
        </w:tc>
        <w:tc>
          <w:tcPr>
            <w:tcW w:w="1166" w:type="dxa"/>
            <w:tcBorders>
              <w:top w:val="single" w:sz="8" w:space="0" w:color="FFFFFF"/>
              <w:left w:val="single" w:sz="8" w:space="0" w:color="FFFFFF"/>
              <w:bottom w:val="single" w:sz="8" w:space="0" w:color="FFFFFF"/>
              <w:right w:val="single" w:sz="8" w:space="0" w:color="FFFFFF"/>
            </w:tcBorders>
            <w:shd w:val="clear" w:color="auto" w:fill="DFA7A6"/>
            <w:vAlign w:val="center"/>
          </w:tcPr>
          <w:p w:rsidR="00A56926" w:rsidRPr="00A56926" w:rsidRDefault="00A56926" w:rsidP="00A56926">
            <w:pPr>
              <w:pStyle w:val="Sinespaciado"/>
              <w:jc w:val="center"/>
              <w:rPr>
                <w:sz w:val="14"/>
                <w:szCs w:val="20"/>
              </w:rPr>
            </w:pPr>
            <w:r w:rsidRPr="00A56926">
              <w:rPr>
                <w:sz w:val="14"/>
                <w:szCs w:val="20"/>
              </w:rPr>
              <w:t>Moderado</w:t>
            </w:r>
          </w:p>
        </w:tc>
        <w:tc>
          <w:tcPr>
            <w:tcW w:w="1663" w:type="dxa"/>
            <w:tcBorders>
              <w:top w:val="single" w:sz="8" w:space="0" w:color="FFFFFF"/>
              <w:left w:val="single" w:sz="8" w:space="0" w:color="FFFFFF"/>
              <w:bottom w:val="single" w:sz="8" w:space="0" w:color="FFFFFF"/>
              <w:right w:val="single" w:sz="8" w:space="0" w:color="FFFFFF"/>
            </w:tcBorders>
            <w:shd w:val="clear" w:color="auto" w:fill="DFA7A6"/>
            <w:vAlign w:val="center"/>
          </w:tcPr>
          <w:p w:rsidR="00A56926" w:rsidRPr="00A56926" w:rsidRDefault="00A56926" w:rsidP="00A56926">
            <w:pPr>
              <w:jc w:val="center"/>
              <w:rPr>
                <w:sz w:val="14"/>
                <w:szCs w:val="20"/>
              </w:rPr>
            </w:pPr>
            <w:r w:rsidRPr="00A56926">
              <w:rPr>
                <w:sz w:val="14"/>
                <w:szCs w:val="20"/>
              </w:rPr>
              <w:t>Los controles identificados no parecen ser muy efectivos por lo que se tomará una estrategia sustantiva</w:t>
            </w:r>
          </w:p>
        </w:tc>
      </w:tr>
      <w:tr w:rsidR="00A56926" w:rsidRPr="00A56926" w:rsidTr="00A56926">
        <w:tc>
          <w:tcPr>
            <w:tcW w:w="1284" w:type="dxa"/>
            <w:tcBorders>
              <w:left w:val="single" w:sz="8" w:space="0" w:color="FFFFFF"/>
              <w:right w:val="single" w:sz="24" w:space="0" w:color="FFFFFF"/>
            </w:tcBorders>
            <w:shd w:val="clear" w:color="auto" w:fill="C0504D"/>
            <w:vAlign w:val="center"/>
          </w:tcPr>
          <w:p w:rsidR="00A56926" w:rsidRPr="00A56926" w:rsidRDefault="00A56926" w:rsidP="00A56926">
            <w:pPr>
              <w:pStyle w:val="Sinespaciado"/>
              <w:jc w:val="center"/>
              <w:rPr>
                <w:b/>
                <w:bCs/>
                <w:color w:val="FFFFFF"/>
                <w:sz w:val="14"/>
                <w:szCs w:val="20"/>
              </w:rPr>
            </w:pPr>
            <w:r w:rsidRPr="00A56926">
              <w:rPr>
                <w:b/>
                <w:bCs/>
                <w:color w:val="FFFFFF"/>
                <w:sz w:val="14"/>
                <w:szCs w:val="20"/>
              </w:rPr>
              <w:t>Gastos Financieros</w:t>
            </w:r>
          </w:p>
        </w:tc>
        <w:tc>
          <w:tcPr>
            <w:tcW w:w="1166" w:type="dxa"/>
            <w:shd w:val="clear" w:color="auto" w:fill="EFD3D2"/>
            <w:vAlign w:val="center"/>
          </w:tcPr>
          <w:p w:rsidR="00A56926" w:rsidRPr="00A56926" w:rsidRDefault="00A56926" w:rsidP="00A56926">
            <w:pPr>
              <w:pStyle w:val="Sinespaciado"/>
              <w:jc w:val="center"/>
              <w:rPr>
                <w:sz w:val="14"/>
                <w:szCs w:val="20"/>
              </w:rPr>
            </w:pPr>
            <w:r w:rsidRPr="00A56926">
              <w:rPr>
                <w:sz w:val="14"/>
                <w:szCs w:val="20"/>
              </w:rPr>
              <w:t>Moderado</w:t>
            </w:r>
          </w:p>
        </w:tc>
        <w:tc>
          <w:tcPr>
            <w:tcW w:w="1663" w:type="dxa"/>
            <w:shd w:val="clear" w:color="auto" w:fill="EFD3D2"/>
            <w:vAlign w:val="center"/>
          </w:tcPr>
          <w:p w:rsidR="00A56926" w:rsidRPr="00A56926" w:rsidRDefault="00A56926" w:rsidP="00A56926">
            <w:pPr>
              <w:jc w:val="center"/>
              <w:rPr>
                <w:sz w:val="14"/>
                <w:szCs w:val="20"/>
              </w:rPr>
            </w:pPr>
            <w:r w:rsidRPr="00A56926">
              <w:rPr>
                <w:sz w:val="14"/>
                <w:szCs w:val="20"/>
              </w:rPr>
              <w:t>Los controles identificados no parecen ser muy efectivos por lo que se tomará una estrategia sustantiva</w:t>
            </w:r>
          </w:p>
        </w:tc>
      </w:tr>
    </w:tbl>
    <w:p w:rsidR="00A56926" w:rsidRDefault="00A56926" w:rsidP="00A56926">
      <w:pPr>
        <w:jc w:val="both"/>
        <w:rPr>
          <w:b/>
          <w:sz w:val="22"/>
          <w:lang w:val="es-EC"/>
        </w:rPr>
      </w:pPr>
    </w:p>
    <w:p w:rsidR="00A56926" w:rsidRDefault="00A56926" w:rsidP="00A56926">
      <w:pPr>
        <w:jc w:val="both"/>
        <w:rPr>
          <w:b/>
          <w:sz w:val="22"/>
          <w:lang w:val="es-EC"/>
        </w:rPr>
      </w:pPr>
      <w:r>
        <w:rPr>
          <w:b/>
          <w:sz w:val="22"/>
          <w:lang w:val="es-EC"/>
        </w:rPr>
        <w:t>2.2. Riesgo combinado</w:t>
      </w:r>
    </w:p>
    <w:p w:rsidR="00A56926" w:rsidRDefault="00A56926" w:rsidP="00A56926">
      <w:pPr>
        <w:jc w:val="both"/>
        <w:rPr>
          <w:b/>
          <w:sz w:val="22"/>
          <w:lang w:val="es-EC"/>
        </w:rPr>
      </w:pPr>
    </w:p>
    <w:p w:rsidR="00083805" w:rsidRDefault="00A56926" w:rsidP="00A56926">
      <w:pPr>
        <w:jc w:val="both"/>
        <w:rPr>
          <w:sz w:val="20"/>
        </w:rPr>
      </w:pPr>
      <w:r w:rsidRPr="00A56926">
        <w:rPr>
          <w:sz w:val="20"/>
        </w:rPr>
        <w:t>Se hizo evaluaciones del Riesgo Combinado, basados en las evaluaciones que hicimos del Riesgo Inherente y del Riesgo de Control para cada cuenta relevante de los Estados Financieros. Podemos apreciar en el siguiente cuadro una tabla donde se puede apreciar como es evaluado el Riesgo Combinado</w:t>
      </w:r>
      <w:r>
        <w:rPr>
          <w:sz w:val="20"/>
        </w:rPr>
        <w:t>.</w:t>
      </w:r>
    </w:p>
    <w:p w:rsidR="000A228A" w:rsidRDefault="000A228A" w:rsidP="00A56926">
      <w:pPr>
        <w:jc w:val="both"/>
        <w:rPr>
          <w:sz w:val="20"/>
        </w:rPr>
      </w:pPr>
    </w:p>
    <w:p w:rsidR="000A228A" w:rsidRPr="000A228A" w:rsidRDefault="000A228A" w:rsidP="000A228A">
      <w:pPr>
        <w:jc w:val="center"/>
        <w:rPr>
          <w:rFonts w:ascii="Helvetica" w:hAnsi="Helvetica"/>
          <w:b/>
          <w:bCs/>
          <w:sz w:val="18"/>
        </w:rPr>
      </w:pPr>
      <w:r w:rsidRPr="000A228A">
        <w:rPr>
          <w:rFonts w:ascii="Helvetica" w:hAnsi="Helvetica"/>
          <w:b/>
          <w:bCs/>
          <w:sz w:val="18"/>
        </w:rPr>
        <w:lastRenderedPageBreak/>
        <w:t xml:space="preserve">Tabla 3. </w:t>
      </w:r>
      <w:r w:rsidRPr="000A228A">
        <w:rPr>
          <w:rFonts w:ascii="Helvetica" w:hAnsi="Helvetica"/>
          <w:bCs/>
          <w:sz w:val="18"/>
        </w:rPr>
        <w:t>Riesgo combinado</w:t>
      </w:r>
    </w:p>
    <w:p w:rsidR="00A56926" w:rsidRDefault="00A56926" w:rsidP="00A56926">
      <w:pPr>
        <w:jc w:val="both"/>
        <w:rPr>
          <w:sz w:val="20"/>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938"/>
        <w:gridCol w:w="631"/>
        <w:gridCol w:w="736"/>
        <w:gridCol w:w="984"/>
        <w:gridCol w:w="824"/>
      </w:tblGrid>
      <w:tr w:rsidR="00A56926" w:rsidRPr="00A56926" w:rsidTr="002C4684">
        <w:tc>
          <w:tcPr>
            <w:tcW w:w="1291" w:type="dxa"/>
            <w:tcBorders>
              <w:top w:val="nil"/>
              <w:left w:val="nil"/>
              <w:bottom w:val="nil"/>
              <w:right w:val="nil"/>
            </w:tcBorders>
            <w:shd w:val="clear" w:color="auto" w:fill="FFFFFF"/>
          </w:tcPr>
          <w:p w:rsidR="00A56926" w:rsidRPr="00A56926" w:rsidRDefault="00A56926" w:rsidP="00A56926">
            <w:pPr>
              <w:jc w:val="both"/>
              <w:rPr>
                <w:rFonts w:ascii="Arial" w:hAnsi="Arial" w:cs="Arial"/>
                <w:b/>
                <w:bCs/>
                <w:color w:val="FFFFFF"/>
                <w:sz w:val="12"/>
              </w:rPr>
            </w:pPr>
          </w:p>
        </w:tc>
        <w:tc>
          <w:tcPr>
            <w:tcW w:w="1683" w:type="dxa"/>
            <w:tcBorders>
              <w:top w:val="nil"/>
              <w:left w:val="nil"/>
              <w:bottom w:val="nil"/>
              <w:right w:val="single" w:sz="4" w:space="0" w:color="000000"/>
            </w:tcBorders>
            <w:shd w:val="clear" w:color="auto" w:fill="FFFFFF"/>
          </w:tcPr>
          <w:p w:rsidR="00A56926" w:rsidRPr="00A56926" w:rsidRDefault="00A56926" w:rsidP="00A56926">
            <w:pPr>
              <w:jc w:val="both"/>
              <w:rPr>
                <w:rFonts w:ascii="Arial" w:hAnsi="Arial" w:cs="Arial"/>
                <w:b/>
                <w:bCs/>
                <w:color w:val="FFFFFF"/>
                <w:sz w:val="12"/>
              </w:rPr>
            </w:pPr>
          </w:p>
        </w:tc>
        <w:tc>
          <w:tcPr>
            <w:tcW w:w="5051" w:type="dxa"/>
            <w:gridSpan w:val="3"/>
            <w:tcBorders>
              <w:top w:val="single" w:sz="4" w:space="0" w:color="000000"/>
              <w:left w:val="single" w:sz="4" w:space="0" w:color="000000"/>
              <w:bottom w:val="single" w:sz="4" w:space="0" w:color="000000"/>
              <w:right w:val="single" w:sz="4" w:space="0" w:color="000000"/>
            </w:tcBorders>
            <w:shd w:val="clear" w:color="auto" w:fill="943634"/>
          </w:tcPr>
          <w:p w:rsidR="00A56926" w:rsidRPr="00A56926" w:rsidRDefault="00A56926" w:rsidP="00A56926">
            <w:pPr>
              <w:jc w:val="center"/>
              <w:rPr>
                <w:rFonts w:ascii="Arial" w:hAnsi="Arial" w:cs="Arial"/>
                <w:b/>
                <w:bCs/>
                <w:color w:val="FFFFFF"/>
                <w:sz w:val="12"/>
              </w:rPr>
            </w:pPr>
          </w:p>
          <w:p w:rsidR="00A56926" w:rsidRPr="00A56926" w:rsidRDefault="00A56926" w:rsidP="00A56926">
            <w:pPr>
              <w:jc w:val="center"/>
              <w:rPr>
                <w:rFonts w:ascii="Arial" w:hAnsi="Arial" w:cs="Arial"/>
                <w:b/>
                <w:bCs/>
                <w:color w:val="FFFFFF"/>
                <w:sz w:val="12"/>
              </w:rPr>
            </w:pPr>
            <w:r w:rsidRPr="00A56926">
              <w:rPr>
                <w:rFonts w:ascii="Arial" w:hAnsi="Arial" w:cs="Arial"/>
                <w:b/>
                <w:bCs/>
                <w:color w:val="FFFFFF"/>
                <w:sz w:val="12"/>
              </w:rPr>
              <w:t>RIESGO DE CONTROL</w:t>
            </w:r>
          </w:p>
        </w:tc>
      </w:tr>
      <w:tr w:rsidR="00A56926" w:rsidRPr="00A56926" w:rsidTr="002C4684">
        <w:tc>
          <w:tcPr>
            <w:tcW w:w="1291" w:type="dxa"/>
            <w:tcBorders>
              <w:top w:val="nil"/>
              <w:left w:val="single" w:sz="8" w:space="0" w:color="FFFFFF"/>
              <w:bottom w:val="single" w:sz="4" w:space="0" w:color="000000"/>
              <w:right w:val="single" w:sz="24" w:space="0" w:color="FFFFFF"/>
            </w:tcBorders>
            <w:shd w:val="clear" w:color="auto" w:fill="FFFFFF"/>
          </w:tcPr>
          <w:p w:rsidR="00A56926" w:rsidRPr="00A56926" w:rsidRDefault="00A56926" w:rsidP="00A56926">
            <w:pPr>
              <w:jc w:val="both"/>
              <w:rPr>
                <w:rFonts w:ascii="Arial" w:hAnsi="Arial" w:cs="Arial"/>
                <w:b/>
                <w:bCs/>
                <w:color w:val="FFFFFF"/>
                <w:sz w:val="12"/>
              </w:rPr>
            </w:pPr>
          </w:p>
        </w:tc>
        <w:tc>
          <w:tcPr>
            <w:tcW w:w="1683" w:type="dxa"/>
            <w:tcBorders>
              <w:top w:val="nil"/>
              <w:left w:val="single" w:sz="8" w:space="0" w:color="FFFFFF"/>
              <w:bottom w:val="single" w:sz="4" w:space="0" w:color="000000"/>
              <w:right w:val="single" w:sz="4" w:space="0" w:color="000000"/>
            </w:tcBorders>
            <w:shd w:val="clear" w:color="auto" w:fill="FFFFFF"/>
          </w:tcPr>
          <w:p w:rsidR="00A56926" w:rsidRPr="00A56926" w:rsidRDefault="00A56926" w:rsidP="00A56926">
            <w:pPr>
              <w:jc w:val="both"/>
              <w:rPr>
                <w:rFonts w:ascii="Arial" w:hAnsi="Arial" w:cs="Arial"/>
                <w:sz w:val="12"/>
              </w:rPr>
            </w:pPr>
          </w:p>
        </w:tc>
        <w:tc>
          <w:tcPr>
            <w:tcW w:w="1683" w:type="dxa"/>
            <w:tcBorders>
              <w:top w:val="single" w:sz="4" w:space="0" w:color="000000"/>
              <w:left w:val="single" w:sz="4" w:space="0" w:color="000000"/>
              <w:bottom w:val="single" w:sz="4" w:space="0" w:color="000000"/>
              <w:right w:val="single" w:sz="4" w:space="0" w:color="000000"/>
            </w:tcBorders>
            <w:shd w:val="clear" w:color="auto" w:fill="D99594"/>
          </w:tcPr>
          <w:p w:rsidR="00A56926" w:rsidRPr="00A56926" w:rsidRDefault="00A56926" w:rsidP="00A56926">
            <w:pPr>
              <w:jc w:val="center"/>
              <w:rPr>
                <w:rFonts w:ascii="Arial" w:hAnsi="Arial" w:cs="Arial"/>
                <w:b/>
                <w:sz w:val="12"/>
              </w:rPr>
            </w:pPr>
          </w:p>
          <w:p w:rsidR="00A56926" w:rsidRPr="00A56926" w:rsidRDefault="00A56926" w:rsidP="00A56926">
            <w:pPr>
              <w:jc w:val="center"/>
              <w:rPr>
                <w:rFonts w:ascii="Arial" w:hAnsi="Arial" w:cs="Arial"/>
                <w:b/>
                <w:sz w:val="12"/>
              </w:rPr>
            </w:pPr>
            <w:r w:rsidRPr="00A56926">
              <w:rPr>
                <w:rFonts w:ascii="Arial" w:hAnsi="Arial" w:cs="Arial"/>
                <w:b/>
                <w:sz w:val="12"/>
              </w:rPr>
              <w:t>MINIMO</w:t>
            </w:r>
          </w:p>
        </w:tc>
        <w:tc>
          <w:tcPr>
            <w:tcW w:w="1684" w:type="dxa"/>
            <w:tcBorders>
              <w:top w:val="single" w:sz="4" w:space="0" w:color="000000"/>
              <w:left w:val="single" w:sz="4" w:space="0" w:color="000000"/>
              <w:bottom w:val="single" w:sz="4" w:space="0" w:color="000000"/>
              <w:right w:val="single" w:sz="4" w:space="0" w:color="000000"/>
            </w:tcBorders>
            <w:shd w:val="clear" w:color="auto" w:fill="D99594"/>
          </w:tcPr>
          <w:p w:rsidR="00A56926" w:rsidRPr="00A56926" w:rsidRDefault="00A56926" w:rsidP="00A56926">
            <w:pPr>
              <w:jc w:val="center"/>
              <w:rPr>
                <w:rFonts w:ascii="Arial" w:hAnsi="Arial" w:cs="Arial"/>
                <w:b/>
                <w:sz w:val="12"/>
              </w:rPr>
            </w:pPr>
          </w:p>
          <w:p w:rsidR="00A56926" w:rsidRPr="00A56926" w:rsidRDefault="00A56926" w:rsidP="00A56926">
            <w:pPr>
              <w:jc w:val="center"/>
              <w:rPr>
                <w:rFonts w:ascii="Arial" w:hAnsi="Arial" w:cs="Arial"/>
                <w:b/>
                <w:sz w:val="12"/>
              </w:rPr>
            </w:pPr>
            <w:r w:rsidRPr="00A56926">
              <w:rPr>
                <w:rFonts w:ascii="Arial" w:hAnsi="Arial" w:cs="Arial"/>
                <w:b/>
                <w:sz w:val="12"/>
              </w:rPr>
              <w:t>MODERADO</w:t>
            </w:r>
          </w:p>
        </w:tc>
        <w:tc>
          <w:tcPr>
            <w:tcW w:w="1684" w:type="dxa"/>
            <w:tcBorders>
              <w:top w:val="single" w:sz="4" w:space="0" w:color="000000"/>
              <w:left w:val="single" w:sz="4" w:space="0" w:color="000000"/>
              <w:bottom w:val="single" w:sz="4" w:space="0" w:color="000000"/>
              <w:right w:val="single" w:sz="4" w:space="0" w:color="000000"/>
            </w:tcBorders>
            <w:shd w:val="clear" w:color="auto" w:fill="D99594"/>
          </w:tcPr>
          <w:p w:rsidR="00A56926" w:rsidRPr="00A56926" w:rsidRDefault="00A56926" w:rsidP="00A56926">
            <w:pPr>
              <w:jc w:val="center"/>
              <w:rPr>
                <w:rFonts w:ascii="Arial" w:hAnsi="Arial" w:cs="Arial"/>
                <w:b/>
                <w:sz w:val="12"/>
              </w:rPr>
            </w:pPr>
          </w:p>
          <w:p w:rsidR="00A56926" w:rsidRPr="00A56926" w:rsidRDefault="00A56926" w:rsidP="00A56926">
            <w:pPr>
              <w:jc w:val="center"/>
              <w:rPr>
                <w:rFonts w:ascii="Arial" w:hAnsi="Arial" w:cs="Arial"/>
                <w:b/>
                <w:sz w:val="12"/>
              </w:rPr>
            </w:pPr>
            <w:r w:rsidRPr="00A56926">
              <w:rPr>
                <w:rFonts w:ascii="Arial" w:hAnsi="Arial" w:cs="Arial"/>
                <w:b/>
                <w:sz w:val="12"/>
              </w:rPr>
              <w:t>MÁXIMO</w:t>
            </w:r>
          </w:p>
        </w:tc>
      </w:tr>
      <w:tr w:rsidR="00A56926" w:rsidRPr="00A56926" w:rsidTr="002C4684">
        <w:trPr>
          <w:cantSplit/>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F79646"/>
          </w:tcPr>
          <w:p w:rsidR="00A56926" w:rsidRPr="00A56926" w:rsidRDefault="00A56926" w:rsidP="00A56926">
            <w:pPr>
              <w:jc w:val="center"/>
              <w:rPr>
                <w:rFonts w:ascii="Arial" w:hAnsi="Arial" w:cs="Arial"/>
                <w:b/>
                <w:bCs/>
                <w:color w:val="FFFFFF"/>
                <w:sz w:val="12"/>
              </w:rPr>
            </w:pPr>
          </w:p>
          <w:p w:rsidR="00A56926" w:rsidRPr="00A56926" w:rsidRDefault="00A56926" w:rsidP="00A56926">
            <w:pPr>
              <w:jc w:val="center"/>
              <w:rPr>
                <w:rFonts w:ascii="Arial" w:hAnsi="Arial" w:cs="Arial"/>
                <w:b/>
                <w:bCs/>
                <w:color w:val="FFFFFF"/>
                <w:sz w:val="12"/>
              </w:rPr>
            </w:pPr>
            <w:r w:rsidRPr="00A56926">
              <w:rPr>
                <w:rFonts w:ascii="Arial" w:hAnsi="Arial" w:cs="Arial"/>
                <w:b/>
                <w:bCs/>
                <w:color w:val="FFFFFF"/>
                <w:sz w:val="12"/>
              </w:rPr>
              <w:t>RIESGO</w:t>
            </w:r>
          </w:p>
          <w:p w:rsidR="00A56926" w:rsidRPr="00A56926" w:rsidRDefault="00A56926" w:rsidP="00A56926">
            <w:pPr>
              <w:jc w:val="center"/>
              <w:rPr>
                <w:rFonts w:ascii="Arial" w:hAnsi="Arial" w:cs="Arial"/>
                <w:b/>
                <w:bCs/>
                <w:color w:val="FFFFFF"/>
                <w:sz w:val="12"/>
              </w:rPr>
            </w:pPr>
            <w:r w:rsidRPr="00A56926">
              <w:rPr>
                <w:rFonts w:ascii="Arial" w:hAnsi="Arial" w:cs="Arial"/>
                <w:b/>
                <w:bCs/>
                <w:color w:val="FFFFFF"/>
                <w:sz w:val="12"/>
              </w:rPr>
              <w:t>INHERENTE</w:t>
            </w:r>
          </w:p>
        </w:tc>
        <w:tc>
          <w:tcPr>
            <w:tcW w:w="1683" w:type="dxa"/>
            <w:tcBorders>
              <w:top w:val="single" w:sz="4" w:space="0" w:color="000000"/>
              <w:left w:val="single" w:sz="4" w:space="0" w:color="000000"/>
              <w:bottom w:val="single" w:sz="4" w:space="0" w:color="000000"/>
              <w:right w:val="single" w:sz="4" w:space="0" w:color="000000"/>
            </w:tcBorders>
            <w:shd w:val="clear" w:color="auto" w:fill="FABF8F"/>
          </w:tcPr>
          <w:p w:rsidR="00A56926" w:rsidRPr="00A56926" w:rsidRDefault="00A56926" w:rsidP="00A56926">
            <w:pPr>
              <w:jc w:val="center"/>
              <w:rPr>
                <w:rFonts w:ascii="Arial" w:hAnsi="Arial" w:cs="Arial"/>
                <w:b/>
                <w:sz w:val="12"/>
              </w:rPr>
            </w:pPr>
          </w:p>
          <w:p w:rsidR="00A56926" w:rsidRPr="00A56926" w:rsidRDefault="00A56926" w:rsidP="00A56926">
            <w:pPr>
              <w:jc w:val="center"/>
              <w:rPr>
                <w:rFonts w:ascii="Arial" w:hAnsi="Arial" w:cs="Arial"/>
                <w:b/>
                <w:sz w:val="12"/>
              </w:rPr>
            </w:pPr>
            <w:r w:rsidRPr="00A56926">
              <w:rPr>
                <w:rFonts w:ascii="Arial" w:hAnsi="Arial" w:cs="Arial"/>
                <w:b/>
                <w:sz w:val="12"/>
              </w:rPr>
              <w:t>MUY BAJO</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rsidR="00A56926" w:rsidRPr="00A56926" w:rsidRDefault="00A56926" w:rsidP="00A56926">
            <w:pPr>
              <w:jc w:val="center"/>
              <w:rPr>
                <w:rFonts w:ascii="Arial" w:hAnsi="Arial" w:cs="Arial"/>
                <w:sz w:val="12"/>
              </w:rPr>
            </w:pPr>
          </w:p>
          <w:p w:rsidR="00A56926" w:rsidRPr="00A56926" w:rsidRDefault="00A56926" w:rsidP="00A56926">
            <w:pPr>
              <w:jc w:val="center"/>
              <w:rPr>
                <w:rFonts w:ascii="Arial" w:hAnsi="Arial" w:cs="Arial"/>
                <w:sz w:val="12"/>
              </w:rPr>
            </w:pPr>
            <w:r w:rsidRPr="00A56926">
              <w:rPr>
                <w:rFonts w:ascii="Arial" w:hAnsi="Arial" w:cs="Arial"/>
                <w:sz w:val="12"/>
              </w:rPr>
              <w:t>Mínimo</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Pr>
          <w:p w:rsidR="00A56926" w:rsidRPr="00A56926" w:rsidRDefault="00A56926" w:rsidP="00A56926">
            <w:pPr>
              <w:jc w:val="center"/>
              <w:rPr>
                <w:rFonts w:ascii="Arial" w:hAnsi="Arial" w:cs="Arial"/>
                <w:sz w:val="12"/>
              </w:rPr>
            </w:pPr>
          </w:p>
          <w:p w:rsidR="00A56926" w:rsidRPr="00A56926" w:rsidRDefault="00A56926" w:rsidP="00A56926">
            <w:pPr>
              <w:jc w:val="center"/>
              <w:rPr>
                <w:rFonts w:ascii="Arial" w:hAnsi="Arial" w:cs="Arial"/>
                <w:sz w:val="12"/>
              </w:rPr>
            </w:pPr>
            <w:r w:rsidRPr="00A56926">
              <w:rPr>
                <w:rFonts w:ascii="Arial" w:hAnsi="Arial" w:cs="Arial"/>
                <w:sz w:val="12"/>
              </w:rPr>
              <w:t>Bajo</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Pr>
          <w:p w:rsidR="00A56926" w:rsidRPr="00A56926" w:rsidRDefault="00A56926" w:rsidP="00A56926">
            <w:pPr>
              <w:jc w:val="center"/>
              <w:rPr>
                <w:rFonts w:ascii="Arial" w:hAnsi="Arial" w:cs="Arial"/>
                <w:sz w:val="12"/>
              </w:rPr>
            </w:pPr>
          </w:p>
          <w:p w:rsidR="00A56926" w:rsidRPr="00A56926" w:rsidRDefault="00A56926" w:rsidP="00A56926">
            <w:pPr>
              <w:jc w:val="center"/>
              <w:rPr>
                <w:rFonts w:ascii="Arial" w:hAnsi="Arial" w:cs="Arial"/>
                <w:sz w:val="12"/>
              </w:rPr>
            </w:pPr>
            <w:r w:rsidRPr="00A56926">
              <w:rPr>
                <w:rFonts w:ascii="Arial" w:hAnsi="Arial" w:cs="Arial"/>
                <w:sz w:val="12"/>
              </w:rPr>
              <w:t>Moderado</w:t>
            </w:r>
          </w:p>
        </w:tc>
      </w:tr>
      <w:tr w:rsidR="00A56926" w:rsidRPr="00A56926" w:rsidTr="002C4684">
        <w:trPr>
          <w:cantSplit/>
        </w:trPr>
        <w:tc>
          <w:tcPr>
            <w:tcW w:w="1291" w:type="dxa"/>
            <w:vMerge/>
            <w:tcBorders>
              <w:top w:val="single" w:sz="4" w:space="0" w:color="000000"/>
              <w:left w:val="single" w:sz="4" w:space="0" w:color="000000"/>
              <w:bottom w:val="single" w:sz="4" w:space="0" w:color="000000"/>
              <w:right w:val="single" w:sz="4" w:space="0" w:color="000000"/>
            </w:tcBorders>
            <w:shd w:val="clear" w:color="auto" w:fill="F79646"/>
          </w:tcPr>
          <w:p w:rsidR="00A56926" w:rsidRPr="00A56926" w:rsidRDefault="00A56926" w:rsidP="00A56926">
            <w:pPr>
              <w:jc w:val="center"/>
              <w:rPr>
                <w:rFonts w:ascii="Arial" w:hAnsi="Arial" w:cs="Arial"/>
                <w:b/>
                <w:bCs/>
                <w:color w:val="FFFFFF"/>
                <w:sz w:val="12"/>
              </w:rPr>
            </w:pPr>
          </w:p>
        </w:tc>
        <w:tc>
          <w:tcPr>
            <w:tcW w:w="1683" w:type="dxa"/>
            <w:tcBorders>
              <w:top w:val="single" w:sz="4" w:space="0" w:color="000000"/>
              <w:left w:val="single" w:sz="4" w:space="0" w:color="000000"/>
              <w:bottom w:val="single" w:sz="4" w:space="0" w:color="000000"/>
              <w:right w:val="single" w:sz="4" w:space="0" w:color="000000"/>
            </w:tcBorders>
            <w:shd w:val="clear" w:color="auto" w:fill="FABF8F"/>
          </w:tcPr>
          <w:p w:rsidR="00A56926" w:rsidRPr="00A56926" w:rsidRDefault="00A56926" w:rsidP="00A56926">
            <w:pPr>
              <w:jc w:val="center"/>
              <w:rPr>
                <w:rFonts w:ascii="Arial" w:hAnsi="Arial" w:cs="Arial"/>
                <w:b/>
                <w:sz w:val="12"/>
              </w:rPr>
            </w:pPr>
          </w:p>
          <w:p w:rsidR="00A56926" w:rsidRPr="00A56926" w:rsidRDefault="00A56926" w:rsidP="00A56926">
            <w:pPr>
              <w:jc w:val="center"/>
              <w:rPr>
                <w:rFonts w:ascii="Arial" w:hAnsi="Arial" w:cs="Arial"/>
                <w:b/>
                <w:sz w:val="12"/>
              </w:rPr>
            </w:pPr>
            <w:r w:rsidRPr="00A56926">
              <w:rPr>
                <w:rFonts w:ascii="Arial" w:hAnsi="Arial" w:cs="Arial"/>
                <w:b/>
                <w:sz w:val="12"/>
              </w:rPr>
              <w:t>MUY ALTO</w:t>
            </w: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rsidR="00A56926" w:rsidRPr="00A56926" w:rsidRDefault="00A56926" w:rsidP="00A56926">
            <w:pPr>
              <w:jc w:val="center"/>
              <w:rPr>
                <w:rFonts w:ascii="Arial" w:hAnsi="Arial" w:cs="Arial"/>
                <w:sz w:val="12"/>
              </w:rPr>
            </w:pPr>
          </w:p>
          <w:p w:rsidR="00A56926" w:rsidRPr="00A56926" w:rsidRDefault="00A56926" w:rsidP="00A56926">
            <w:pPr>
              <w:jc w:val="center"/>
              <w:rPr>
                <w:rFonts w:ascii="Arial" w:hAnsi="Arial" w:cs="Arial"/>
                <w:sz w:val="12"/>
              </w:rPr>
            </w:pPr>
            <w:r w:rsidRPr="00A56926">
              <w:rPr>
                <w:rFonts w:ascii="Arial" w:hAnsi="Arial" w:cs="Arial"/>
                <w:sz w:val="12"/>
              </w:rPr>
              <w:t>Bajo</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Pr>
          <w:p w:rsidR="00A56926" w:rsidRPr="00A56926" w:rsidRDefault="00A56926" w:rsidP="00A56926">
            <w:pPr>
              <w:jc w:val="center"/>
              <w:rPr>
                <w:rFonts w:ascii="Arial" w:hAnsi="Arial" w:cs="Arial"/>
                <w:sz w:val="12"/>
              </w:rPr>
            </w:pPr>
          </w:p>
          <w:p w:rsidR="00A56926" w:rsidRPr="00A56926" w:rsidRDefault="00A56926" w:rsidP="00A56926">
            <w:pPr>
              <w:jc w:val="center"/>
              <w:rPr>
                <w:rFonts w:ascii="Arial" w:hAnsi="Arial" w:cs="Arial"/>
                <w:sz w:val="12"/>
              </w:rPr>
            </w:pPr>
            <w:r w:rsidRPr="00A56926">
              <w:rPr>
                <w:rFonts w:ascii="Arial" w:hAnsi="Arial" w:cs="Arial"/>
                <w:sz w:val="12"/>
              </w:rPr>
              <w:t>Moderado</w:t>
            </w:r>
          </w:p>
        </w:tc>
        <w:tc>
          <w:tcPr>
            <w:tcW w:w="1684" w:type="dxa"/>
            <w:tcBorders>
              <w:top w:val="single" w:sz="4" w:space="0" w:color="000000"/>
              <w:left w:val="single" w:sz="4" w:space="0" w:color="000000"/>
              <w:bottom w:val="single" w:sz="4" w:space="0" w:color="000000"/>
              <w:right w:val="single" w:sz="4" w:space="0" w:color="000000"/>
            </w:tcBorders>
            <w:shd w:val="clear" w:color="auto" w:fill="FFFFFF"/>
          </w:tcPr>
          <w:p w:rsidR="00A56926" w:rsidRPr="00A56926" w:rsidRDefault="00A56926" w:rsidP="00A56926">
            <w:pPr>
              <w:jc w:val="center"/>
              <w:rPr>
                <w:rFonts w:ascii="Arial" w:hAnsi="Arial" w:cs="Arial"/>
                <w:sz w:val="12"/>
              </w:rPr>
            </w:pPr>
          </w:p>
          <w:p w:rsidR="00A56926" w:rsidRPr="00A56926" w:rsidRDefault="00A56926" w:rsidP="00A56926">
            <w:pPr>
              <w:jc w:val="center"/>
              <w:rPr>
                <w:rFonts w:ascii="Arial" w:hAnsi="Arial" w:cs="Arial"/>
                <w:sz w:val="12"/>
              </w:rPr>
            </w:pPr>
            <w:r w:rsidRPr="00A56926">
              <w:rPr>
                <w:rFonts w:ascii="Arial" w:hAnsi="Arial" w:cs="Arial"/>
                <w:sz w:val="12"/>
              </w:rPr>
              <w:t>Alto</w:t>
            </w:r>
          </w:p>
        </w:tc>
      </w:tr>
    </w:tbl>
    <w:p w:rsidR="00A56926" w:rsidRPr="00A56926" w:rsidRDefault="00A56926" w:rsidP="00A56926">
      <w:pPr>
        <w:jc w:val="both"/>
        <w:rPr>
          <w:sz w:val="16"/>
          <w:szCs w:val="20"/>
        </w:rPr>
      </w:pPr>
    </w:p>
    <w:p w:rsidR="00A56926" w:rsidRDefault="00A56926" w:rsidP="00083805">
      <w:pPr>
        <w:spacing w:line="360" w:lineRule="auto"/>
        <w:jc w:val="both"/>
        <w:rPr>
          <w:b/>
          <w:lang w:val="es-EC"/>
        </w:rPr>
      </w:pPr>
    </w:p>
    <w:p w:rsidR="00083805" w:rsidRDefault="002E2068" w:rsidP="00D37156">
      <w:pPr>
        <w:jc w:val="both"/>
        <w:rPr>
          <w:b/>
          <w:lang w:val="es-EC"/>
        </w:rPr>
      </w:pPr>
      <w:r>
        <w:rPr>
          <w:b/>
          <w:lang w:val="es-EC"/>
        </w:rPr>
        <w:t>3</w:t>
      </w:r>
      <w:r w:rsidR="003E4745" w:rsidRPr="00196877">
        <w:rPr>
          <w:b/>
          <w:lang w:val="es-EC"/>
        </w:rPr>
        <w:t>.</w:t>
      </w:r>
      <w:r w:rsidR="00083805" w:rsidRPr="00196877">
        <w:rPr>
          <w:b/>
          <w:lang w:val="es-EC"/>
        </w:rPr>
        <w:t xml:space="preserve"> Análisis de </w:t>
      </w:r>
      <w:r w:rsidR="00D37156">
        <w:rPr>
          <w:b/>
          <w:lang w:val="es-EC"/>
        </w:rPr>
        <w:t>compras y v</w:t>
      </w:r>
      <w:r w:rsidR="00083805" w:rsidRPr="00196877">
        <w:rPr>
          <w:b/>
          <w:lang w:val="es-EC"/>
        </w:rPr>
        <w:t>entas del Período Fiscal del 2008</w:t>
      </w:r>
    </w:p>
    <w:p w:rsidR="00D37156" w:rsidRDefault="00D37156" w:rsidP="00083805">
      <w:pPr>
        <w:spacing w:line="360" w:lineRule="auto"/>
        <w:jc w:val="both"/>
        <w:rPr>
          <w:sz w:val="22"/>
          <w:lang w:val="es-EC"/>
        </w:rPr>
      </w:pPr>
    </w:p>
    <w:p w:rsidR="00880385" w:rsidRDefault="00880385" w:rsidP="00083805">
      <w:pPr>
        <w:spacing w:line="360" w:lineRule="auto"/>
        <w:jc w:val="both"/>
        <w:rPr>
          <w:b/>
          <w:sz w:val="22"/>
          <w:lang w:val="es-EC"/>
        </w:rPr>
      </w:pPr>
      <w:r>
        <w:rPr>
          <w:b/>
          <w:sz w:val="22"/>
          <w:lang w:val="es-EC"/>
        </w:rPr>
        <w:t>3.1</w:t>
      </w:r>
      <w:r w:rsidR="00853E94">
        <w:rPr>
          <w:b/>
          <w:sz w:val="22"/>
          <w:lang w:val="es-EC"/>
        </w:rPr>
        <w:t>.</w:t>
      </w:r>
      <w:r>
        <w:rPr>
          <w:b/>
          <w:sz w:val="22"/>
          <w:lang w:val="es-EC"/>
        </w:rPr>
        <w:t xml:space="preserve"> Compras realizadas en el año 2008</w:t>
      </w:r>
    </w:p>
    <w:p w:rsidR="00001CE4" w:rsidRPr="00001CE4" w:rsidRDefault="00001CE4" w:rsidP="00001CE4">
      <w:pPr>
        <w:pStyle w:val="Prrafodelista"/>
        <w:tabs>
          <w:tab w:val="left" w:pos="1985"/>
        </w:tabs>
        <w:spacing w:line="240" w:lineRule="auto"/>
        <w:ind w:left="0"/>
        <w:jc w:val="both"/>
        <w:rPr>
          <w:rFonts w:ascii="Times New Roman" w:hAnsi="Times New Roman"/>
          <w:sz w:val="20"/>
          <w:szCs w:val="24"/>
        </w:rPr>
      </w:pPr>
      <w:r w:rsidRPr="00001CE4">
        <w:rPr>
          <w:rFonts w:ascii="Times New Roman" w:hAnsi="Times New Roman"/>
          <w:sz w:val="20"/>
          <w:szCs w:val="24"/>
        </w:rPr>
        <w:t>Las compras realizadas durante el año de TIGANT S.A. son principalmente son Soda Caustica, Ácido Sulfúrico, Ácido Fosfórico y Sal, los cuales son requeridos por TIGANT S.A. para la elaboración de aceite de pescado.</w:t>
      </w:r>
    </w:p>
    <w:p w:rsidR="00196877" w:rsidRDefault="007D35EB" w:rsidP="0026306B">
      <w:pPr>
        <w:spacing w:line="360" w:lineRule="auto"/>
        <w:rPr>
          <w:b/>
          <w:color w:val="000000"/>
          <w:sz w:val="20"/>
          <w:szCs w:val="20"/>
          <w:lang w:val="es-EC"/>
        </w:rPr>
      </w:pPr>
      <w:r>
        <w:rPr>
          <w:b/>
          <w:noProof/>
          <w:sz w:val="22"/>
          <w:lang w:val="en-US" w:eastAsia="en-US"/>
        </w:rPr>
        <w:drawing>
          <wp:anchor distT="0" distB="0" distL="114300" distR="114300" simplePos="0" relativeHeight="251656704" behindDoc="1" locked="0" layoutInCell="1" allowOverlap="1">
            <wp:simplePos x="0" y="0"/>
            <wp:positionH relativeFrom="column">
              <wp:posOffset>26212</wp:posOffset>
            </wp:positionH>
            <wp:positionV relativeFrom="paragraph">
              <wp:posOffset>259127</wp:posOffset>
            </wp:positionV>
            <wp:extent cx="2627615" cy="1739218"/>
            <wp:effectExtent l="7162" t="3857" r="4283" b="1905"/>
            <wp:wrapThrough wrapText="bothSides">
              <wp:wrapPolygon edited="0">
                <wp:start x="-94" y="0"/>
                <wp:lineTo x="-94" y="21466"/>
                <wp:lineTo x="21600" y="21466"/>
                <wp:lineTo x="21600" y="0"/>
                <wp:lineTo x="-94" y="0"/>
              </wp:wrapPolygon>
            </wp:wrapThrough>
            <wp:docPr id="6"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01CE4" w:rsidRPr="00001CE4" w:rsidRDefault="007D35EB" w:rsidP="00001CE4">
      <w:pPr>
        <w:jc w:val="center"/>
        <w:rPr>
          <w:rFonts w:ascii="Helvetica" w:hAnsi="Helvetica"/>
          <w:bCs/>
          <w:sz w:val="18"/>
        </w:rPr>
      </w:pPr>
      <w:r>
        <w:rPr>
          <w:noProof/>
          <w:sz w:val="20"/>
          <w:lang w:val="en-US" w:eastAsia="en-US"/>
        </w:rPr>
        <w:drawing>
          <wp:anchor distT="0" distB="0" distL="114300" distR="114300" simplePos="0" relativeHeight="251658752" behindDoc="0" locked="0" layoutInCell="1" allowOverlap="1">
            <wp:simplePos x="0" y="0"/>
            <wp:positionH relativeFrom="column">
              <wp:posOffset>2926888</wp:posOffset>
            </wp:positionH>
            <wp:positionV relativeFrom="paragraph">
              <wp:posOffset>115365</wp:posOffset>
            </wp:positionV>
            <wp:extent cx="2623203" cy="1908429"/>
            <wp:effectExtent l="12238" t="4240" r="4889" b="5031"/>
            <wp:wrapSquare wrapText="bothSides"/>
            <wp:docPr id="8"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001CE4" w:rsidRPr="00001CE4">
        <w:rPr>
          <w:rFonts w:ascii="Helvetica" w:hAnsi="Helvetica"/>
          <w:b/>
          <w:bCs/>
          <w:sz w:val="18"/>
        </w:rPr>
        <w:t xml:space="preserve">Gráfico 1. </w:t>
      </w:r>
      <w:r w:rsidR="00001CE4" w:rsidRPr="00001CE4">
        <w:rPr>
          <w:rFonts w:ascii="Helvetica" w:hAnsi="Helvetica"/>
          <w:bCs/>
          <w:sz w:val="18"/>
        </w:rPr>
        <w:t>Compras año 2008</w:t>
      </w:r>
    </w:p>
    <w:p w:rsidR="00196877" w:rsidRDefault="00196877" w:rsidP="0026306B">
      <w:pPr>
        <w:spacing w:line="360" w:lineRule="auto"/>
        <w:rPr>
          <w:b/>
          <w:color w:val="000000"/>
          <w:sz w:val="20"/>
          <w:szCs w:val="20"/>
          <w:lang w:val="es-EC"/>
        </w:rPr>
      </w:pPr>
    </w:p>
    <w:p w:rsidR="00001CE4" w:rsidRDefault="00001CE4" w:rsidP="00001CE4">
      <w:pPr>
        <w:spacing w:line="360" w:lineRule="auto"/>
        <w:jc w:val="both"/>
        <w:rPr>
          <w:b/>
          <w:sz w:val="22"/>
          <w:lang w:val="es-EC"/>
        </w:rPr>
      </w:pPr>
      <w:r>
        <w:rPr>
          <w:b/>
          <w:sz w:val="22"/>
          <w:lang w:val="es-EC"/>
        </w:rPr>
        <w:t>3.</w:t>
      </w:r>
      <w:r w:rsidR="00853E94">
        <w:rPr>
          <w:b/>
          <w:sz w:val="22"/>
          <w:lang w:val="es-EC"/>
        </w:rPr>
        <w:t>2.</w:t>
      </w:r>
      <w:r>
        <w:rPr>
          <w:b/>
          <w:sz w:val="22"/>
          <w:lang w:val="es-EC"/>
        </w:rPr>
        <w:t xml:space="preserve"> Ventas realizadas en el año 2008</w:t>
      </w:r>
    </w:p>
    <w:p w:rsidR="003E745B" w:rsidRDefault="003E745B" w:rsidP="003E745B">
      <w:pPr>
        <w:jc w:val="both"/>
        <w:rPr>
          <w:sz w:val="20"/>
          <w:lang w:val="es-EC"/>
        </w:rPr>
      </w:pPr>
      <w:r>
        <w:rPr>
          <w:sz w:val="20"/>
          <w:lang w:val="es-EC"/>
        </w:rPr>
        <w:t>Se detallan las ventas que TIGANT S.A. realizó durante el año 2008 con tarifa 12% y las exportaciones que realizó.</w:t>
      </w:r>
    </w:p>
    <w:p w:rsidR="003E745B" w:rsidRDefault="003E745B" w:rsidP="003E745B">
      <w:pPr>
        <w:jc w:val="both"/>
        <w:rPr>
          <w:sz w:val="20"/>
          <w:lang w:val="es-EC"/>
        </w:rPr>
      </w:pPr>
    </w:p>
    <w:p w:rsidR="003E745B" w:rsidRPr="003E745B" w:rsidRDefault="003E745B" w:rsidP="003E745B">
      <w:pPr>
        <w:jc w:val="center"/>
        <w:rPr>
          <w:rFonts w:ascii="Helvetica" w:hAnsi="Helvetica"/>
          <w:b/>
          <w:bCs/>
          <w:sz w:val="18"/>
        </w:rPr>
      </w:pPr>
      <w:r w:rsidRPr="003E745B">
        <w:rPr>
          <w:rFonts w:ascii="Helvetica" w:hAnsi="Helvetica"/>
          <w:b/>
          <w:bCs/>
          <w:sz w:val="18"/>
        </w:rPr>
        <w:t xml:space="preserve">Tabla 4. </w:t>
      </w:r>
      <w:r w:rsidRPr="003E745B">
        <w:rPr>
          <w:rFonts w:ascii="Helvetica" w:hAnsi="Helvetica"/>
          <w:bCs/>
          <w:sz w:val="18"/>
        </w:rPr>
        <w:t>Ventas durante año 2008</w:t>
      </w:r>
    </w:p>
    <w:tbl>
      <w:tblPr>
        <w:tblW w:w="4300" w:type="dxa"/>
        <w:tblCellMar>
          <w:left w:w="70" w:type="dxa"/>
          <w:right w:w="70" w:type="dxa"/>
        </w:tblCellMar>
        <w:tblLook w:val="04A0"/>
      </w:tblPr>
      <w:tblGrid>
        <w:gridCol w:w="920"/>
        <w:gridCol w:w="1200"/>
        <w:gridCol w:w="1078"/>
        <w:gridCol w:w="1120"/>
      </w:tblGrid>
      <w:tr w:rsidR="003E745B" w:rsidRPr="003E745B" w:rsidTr="003E745B">
        <w:trPr>
          <w:trHeight w:val="690"/>
        </w:trPr>
        <w:tc>
          <w:tcPr>
            <w:tcW w:w="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E745B" w:rsidRPr="003E745B" w:rsidRDefault="003E745B" w:rsidP="003E745B">
            <w:pPr>
              <w:jc w:val="center"/>
              <w:rPr>
                <w:rFonts w:ascii="Calibri" w:hAnsi="Calibri"/>
                <w:b/>
                <w:bCs/>
                <w:sz w:val="16"/>
                <w:szCs w:val="16"/>
                <w:lang w:val="es-EC" w:eastAsia="es-EC"/>
              </w:rPr>
            </w:pPr>
            <w:r w:rsidRPr="003E745B">
              <w:rPr>
                <w:rFonts w:ascii="Calibri" w:hAnsi="Calibri"/>
                <w:b/>
                <w:bCs/>
                <w:sz w:val="16"/>
                <w:szCs w:val="16"/>
                <w:lang w:val="es-EC" w:eastAsia="es-EC"/>
              </w:rPr>
              <w:t>Mes</w:t>
            </w:r>
          </w:p>
        </w:tc>
        <w:tc>
          <w:tcPr>
            <w:tcW w:w="1200" w:type="dxa"/>
            <w:tcBorders>
              <w:top w:val="single" w:sz="8" w:space="0" w:color="auto"/>
              <w:left w:val="nil"/>
              <w:bottom w:val="single" w:sz="8" w:space="0" w:color="auto"/>
              <w:right w:val="nil"/>
            </w:tcBorders>
            <w:shd w:val="clear" w:color="auto" w:fill="auto"/>
            <w:vAlign w:val="center"/>
            <w:hideMark/>
          </w:tcPr>
          <w:p w:rsidR="003E745B" w:rsidRPr="003E745B" w:rsidRDefault="003E745B" w:rsidP="003E745B">
            <w:pPr>
              <w:jc w:val="center"/>
              <w:rPr>
                <w:rFonts w:ascii="Calibri" w:hAnsi="Calibri"/>
                <w:b/>
                <w:bCs/>
                <w:sz w:val="16"/>
                <w:szCs w:val="16"/>
                <w:lang w:val="es-EC" w:eastAsia="es-EC"/>
              </w:rPr>
            </w:pPr>
            <w:r w:rsidRPr="003E745B">
              <w:rPr>
                <w:rFonts w:ascii="Calibri" w:hAnsi="Calibri"/>
                <w:b/>
                <w:bCs/>
                <w:sz w:val="16"/>
                <w:szCs w:val="16"/>
                <w:lang w:val="es-EC" w:eastAsia="es-EC"/>
              </w:rPr>
              <w:t xml:space="preserve">Ventas Netas Gravadas con tarifa 12% </w:t>
            </w: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E745B" w:rsidRPr="003E745B" w:rsidRDefault="003E745B" w:rsidP="003E745B">
            <w:pPr>
              <w:jc w:val="center"/>
              <w:rPr>
                <w:rFonts w:ascii="Calibri" w:hAnsi="Calibri"/>
                <w:b/>
                <w:bCs/>
                <w:sz w:val="16"/>
                <w:szCs w:val="16"/>
                <w:lang w:val="es-EC" w:eastAsia="es-EC"/>
              </w:rPr>
            </w:pPr>
            <w:r w:rsidRPr="003E745B">
              <w:rPr>
                <w:rFonts w:ascii="Calibri" w:hAnsi="Calibri"/>
                <w:b/>
                <w:bCs/>
                <w:sz w:val="16"/>
                <w:szCs w:val="16"/>
                <w:lang w:val="es-EC" w:eastAsia="es-EC"/>
              </w:rPr>
              <w:t xml:space="preserve">Exportaciones de Bienes </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3E745B" w:rsidRPr="003E745B" w:rsidRDefault="003E745B" w:rsidP="003E745B">
            <w:pPr>
              <w:jc w:val="center"/>
              <w:rPr>
                <w:rFonts w:ascii="Calibri" w:hAnsi="Calibri"/>
                <w:b/>
                <w:bCs/>
                <w:color w:val="000000"/>
                <w:sz w:val="16"/>
                <w:szCs w:val="16"/>
                <w:lang w:val="es-EC" w:eastAsia="es-EC"/>
              </w:rPr>
            </w:pPr>
            <w:r w:rsidRPr="003E745B">
              <w:rPr>
                <w:rFonts w:ascii="Calibri" w:hAnsi="Calibri"/>
                <w:b/>
                <w:bCs/>
                <w:color w:val="000000"/>
                <w:sz w:val="16"/>
                <w:szCs w:val="16"/>
                <w:lang w:val="es-EC" w:eastAsia="es-EC"/>
              </w:rPr>
              <w:t xml:space="preserve">Total Ventas y </w:t>
            </w:r>
            <w:r w:rsidRPr="003E745B">
              <w:rPr>
                <w:rFonts w:ascii="Calibri" w:hAnsi="Calibri"/>
                <w:b/>
                <w:bCs/>
                <w:color w:val="000000"/>
                <w:sz w:val="16"/>
                <w:szCs w:val="16"/>
                <w:lang w:val="es-EC" w:eastAsia="es-EC"/>
              </w:rPr>
              <w:br/>
              <w:t>Exportaciones</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Enero</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0,00</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0</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Febrero</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15.511,14</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15511,14</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Marzo</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10.732,04</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225.750,00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236482,04</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Abril</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16.382,71</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16382,71</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Mayo</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24.136,57</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161.250,00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185386,57</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Junio</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29.453,10</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29453,1</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Julio</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43.754,80</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516.000,00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559754,8</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Agosto</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22.604,17</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22604,17</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Septiembre</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54.710,28</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159.100,00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213810,28</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Octubre</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15.664,46</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198.875,00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214539,46</w:t>
            </w:r>
          </w:p>
        </w:tc>
      </w:tr>
      <w:tr w:rsidR="003E745B" w:rsidRPr="003E745B" w:rsidTr="003E745B">
        <w:trPr>
          <w:trHeight w:val="225"/>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Noviembre</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6.816,76</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6816,76</w:t>
            </w:r>
          </w:p>
        </w:tc>
      </w:tr>
      <w:tr w:rsidR="003E745B" w:rsidRPr="003E745B" w:rsidTr="003E745B">
        <w:trPr>
          <w:trHeight w:val="240"/>
        </w:trPr>
        <w:tc>
          <w:tcPr>
            <w:tcW w:w="92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rPr>
                <w:rFonts w:ascii="Calibri" w:hAnsi="Calibri"/>
                <w:sz w:val="16"/>
                <w:szCs w:val="16"/>
                <w:lang w:val="es-EC" w:eastAsia="es-EC"/>
              </w:rPr>
            </w:pPr>
            <w:r w:rsidRPr="003E745B">
              <w:rPr>
                <w:rFonts w:ascii="Calibri" w:hAnsi="Calibri"/>
                <w:sz w:val="16"/>
                <w:szCs w:val="16"/>
                <w:lang w:val="es-EC" w:eastAsia="es-EC"/>
              </w:rPr>
              <w:t>Diciembre</w:t>
            </w:r>
          </w:p>
        </w:tc>
        <w:tc>
          <w:tcPr>
            <w:tcW w:w="1200" w:type="dxa"/>
            <w:tcBorders>
              <w:top w:val="nil"/>
              <w:left w:val="nil"/>
              <w:bottom w:val="nil"/>
              <w:right w:val="nil"/>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8.691,87</w:t>
            </w:r>
          </w:p>
        </w:tc>
        <w:tc>
          <w:tcPr>
            <w:tcW w:w="1060" w:type="dxa"/>
            <w:tcBorders>
              <w:top w:val="nil"/>
              <w:left w:val="single" w:sz="8" w:space="0" w:color="auto"/>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sz w:val="16"/>
                <w:szCs w:val="16"/>
                <w:lang w:val="es-EC" w:eastAsia="es-EC"/>
              </w:rPr>
            </w:pPr>
            <w:r w:rsidRPr="003E745B">
              <w:rPr>
                <w:rFonts w:ascii="Calibri" w:hAnsi="Calibri"/>
                <w:sz w:val="16"/>
                <w:szCs w:val="16"/>
                <w:lang w:val="es-EC" w:eastAsia="es-EC"/>
              </w:rPr>
              <w:t>159.100,00</w:t>
            </w:r>
          </w:p>
        </w:tc>
        <w:tc>
          <w:tcPr>
            <w:tcW w:w="1120" w:type="dxa"/>
            <w:tcBorders>
              <w:top w:val="nil"/>
              <w:left w:val="nil"/>
              <w:bottom w:val="nil"/>
              <w:right w:val="single" w:sz="8" w:space="0" w:color="auto"/>
            </w:tcBorders>
            <w:shd w:val="clear" w:color="auto" w:fill="auto"/>
            <w:noWrap/>
            <w:vAlign w:val="bottom"/>
            <w:hideMark/>
          </w:tcPr>
          <w:p w:rsidR="003E745B" w:rsidRPr="003E745B" w:rsidRDefault="003E745B" w:rsidP="003E745B">
            <w:pPr>
              <w:jc w:val="right"/>
              <w:rPr>
                <w:rFonts w:ascii="Calibri" w:hAnsi="Calibri"/>
                <w:color w:val="000000"/>
                <w:sz w:val="16"/>
                <w:szCs w:val="16"/>
                <w:lang w:val="es-EC" w:eastAsia="es-EC"/>
              </w:rPr>
            </w:pPr>
            <w:r w:rsidRPr="003E745B">
              <w:rPr>
                <w:rFonts w:ascii="Calibri" w:hAnsi="Calibri"/>
                <w:color w:val="000000"/>
                <w:sz w:val="16"/>
                <w:szCs w:val="16"/>
                <w:lang w:val="es-EC" w:eastAsia="es-EC"/>
              </w:rPr>
              <w:t>167791,87</w:t>
            </w:r>
          </w:p>
        </w:tc>
      </w:tr>
      <w:tr w:rsidR="003E745B" w:rsidRPr="003E745B" w:rsidTr="003E745B">
        <w:trPr>
          <w:trHeight w:val="240"/>
        </w:trPr>
        <w:tc>
          <w:tcPr>
            <w:tcW w:w="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E745B" w:rsidRPr="003E745B" w:rsidRDefault="003E745B" w:rsidP="003E745B">
            <w:pPr>
              <w:rPr>
                <w:rFonts w:ascii="Calibri" w:hAnsi="Calibri"/>
                <w:b/>
                <w:bCs/>
                <w:sz w:val="16"/>
                <w:szCs w:val="16"/>
                <w:lang w:val="es-EC" w:eastAsia="es-EC"/>
              </w:rPr>
            </w:pPr>
            <w:r w:rsidRPr="003E745B">
              <w:rPr>
                <w:rFonts w:ascii="Calibri" w:hAnsi="Calibri"/>
                <w:b/>
                <w:bCs/>
                <w:sz w:val="16"/>
                <w:szCs w:val="16"/>
                <w:lang w:val="es-EC" w:eastAsia="es-EC"/>
              </w:rPr>
              <w:t>TOTAL</w:t>
            </w:r>
          </w:p>
        </w:tc>
        <w:tc>
          <w:tcPr>
            <w:tcW w:w="1200" w:type="dxa"/>
            <w:tcBorders>
              <w:top w:val="single" w:sz="8" w:space="0" w:color="auto"/>
              <w:left w:val="nil"/>
              <w:bottom w:val="single" w:sz="8" w:space="0" w:color="auto"/>
              <w:right w:val="nil"/>
            </w:tcBorders>
            <w:shd w:val="clear" w:color="auto" w:fill="auto"/>
            <w:noWrap/>
            <w:vAlign w:val="bottom"/>
            <w:hideMark/>
          </w:tcPr>
          <w:p w:rsidR="003E745B" w:rsidRPr="003E745B" w:rsidRDefault="003E745B" w:rsidP="003E745B">
            <w:pPr>
              <w:jc w:val="right"/>
              <w:rPr>
                <w:rFonts w:ascii="Calibri" w:hAnsi="Calibri"/>
                <w:b/>
                <w:bCs/>
                <w:sz w:val="16"/>
                <w:szCs w:val="16"/>
                <w:lang w:val="es-EC" w:eastAsia="es-EC"/>
              </w:rPr>
            </w:pPr>
            <w:r w:rsidRPr="003E745B">
              <w:rPr>
                <w:rFonts w:ascii="Calibri" w:hAnsi="Calibri"/>
                <w:b/>
                <w:bCs/>
                <w:sz w:val="16"/>
                <w:szCs w:val="16"/>
                <w:lang w:val="es-EC" w:eastAsia="es-EC"/>
              </w:rPr>
              <w:t>248.457,90</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E745B" w:rsidRPr="003E745B" w:rsidRDefault="003E745B" w:rsidP="003E745B">
            <w:pPr>
              <w:jc w:val="right"/>
              <w:rPr>
                <w:rFonts w:ascii="Calibri" w:hAnsi="Calibri"/>
                <w:b/>
                <w:bCs/>
                <w:sz w:val="16"/>
                <w:szCs w:val="16"/>
                <w:lang w:val="es-EC" w:eastAsia="es-EC"/>
              </w:rPr>
            </w:pPr>
            <w:r w:rsidRPr="003E745B">
              <w:rPr>
                <w:rFonts w:ascii="Calibri" w:hAnsi="Calibri"/>
                <w:b/>
                <w:bCs/>
                <w:sz w:val="16"/>
                <w:szCs w:val="16"/>
                <w:lang w:val="es-EC" w:eastAsia="es-EC"/>
              </w:rPr>
              <w:t>1.420.075,00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3E745B" w:rsidRPr="003E745B" w:rsidRDefault="003E745B" w:rsidP="003E745B">
            <w:pPr>
              <w:jc w:val="right"/>
              <w:rPr>
                <w:rFonts w:ascii="Calibri" w:hAnsi="Calibri"/>
                <w:b/>
                <w:bCs/>
                <w:color w:val="000000"/>
                <w:sz w:val="16"/>
                <w:szCs w:val="16"/>
                <w:lang w:val="es-EC" w:eastAsia="es-EC"/>
              </w:rPr>
            </w:pPr>
            <w:r w:rsidRPr="003E745B">
              <w:rPr>
                <w:rFonts w:ascii="Calibri" w:hAnsi="Calibri"/>
                <w:b/>
                <w:bCs/>
                <w:color w:val="000000"/>
                <w:sz w:val="16"/>
                <w:szCs w:val="16"/>
                <w:lang w:val="es-EC" w:eastAsia="es-EC"/>
              </w:rPr>
              <w:t>1668532,9</w:t>
            </w:r>
          </w:p>
        </w:tc>
      </w:tr>
    </w:tbl>
    <w:p w:rsidR="00735AFE" w:rsidRDefault="00460529" w:rsidP="00460529">
      <w:pPr>
        <w:jc w:val="both"/>
        <w:rPr>
          <w:b/>
        </w:rPr>
      </w:pPr>
      <w:r>
        <w:rPr>
          <w:b/>
        </w:rPr>
        <w:lastRenderedPageBreak/>
        <w:t>4</w:t>
      </w:r>
      <w:r w:rsidR="006E0D9E" w:rsidRPr="00196877">
        <w:rPr>
          <w:b/>
        </w:rPr>
        <w:t xml:space="preserve">. </w:t>
      </w:r>
      <w:r w:rsidR="00735AFE">
        <w:rPr>
          <w:b/>
        </w:rPr>
        <w:t xml:space="preserve">Impuestos y retenciones </w:t>
      </w:r>
    </w:p>
    <w:p w:rsidR="00460529" w:rsidRPr="00735AFE" w:rsidRDefault="00735AFE" w:rsidP="00460529">
      <w:pPr>
        <w:jc w:val="both"/>
        <w:rPr>
          <w:b/>
          <w:sz w:val="22"/>
        </w:rPr>
      </w:pPr>
      <w:r w:rsidRPr="00735AFE">
        <w:rPr>
          <w:b/>
          <w:sz w:val="22"/>
        </w:rPr>
        <w:t xml:space="preserve">4.1. Impuesto </w:t>
      </w:r>
      <w:r w:rsidR="00460529" w:rsidRPr="00735AFE">
        <w:rPr>
          <w:b/>
          <w:sz w:val="22"/>
        </w:rPr>
        <w:t>al valor agregado.</w:t>
      </w:r>
    </w:p>
    <w:p w:rsidR="00460529" w:rsidRDefault="00460529" w:rsidP="00460529">
      <w:pPr>
        <w:jc w:val="both"/>
        <w:rPr>
          <w:b/>
        </w:rPr>
      </w:pPr>
    </w:p>
    <w:p w:rsidR="00460529" w:rsidRDefault="007D35EB" w:rsidP="00460529">
      <w:pPr>
        <w:tabs>
          <w:tab w:val="left" w:pos="2171"/>
        </w:tabs>
        <w:jc w:val="both"/>
        <w:rPr>
          <w:sz w:val="20"/>
        </w:rPr>
      </w:pPr>
      <w:r>
        <w:rPr>
          <w:noProof/>
          <w:lang w:val="en-US" w:eastAsia="en-US"/>
        </w:rPr>
        <w:drawing>
          <wp:anchor distT="0" distB="0" distL="114300" distR="114300" simplePos="0" relativeHeight="251657728" behindDoc="1" locked="0" layoutInCell="1" allowOverlap="1">
            <wp:simplePos x="0" y="0"/>
            <wp:positionH relativeFrom="column">
              <wp:posOffset>1781</wp:posOffset>
            </wp:positionH>
            <wp:positionV relativeFrom="paragraph">
              <wp:posOffset>592567</wp:posOffset>
            </wp:positionV>
            <wp:extent cx="2503707" cy="1765376"/>
            <wp:effectExtent l="6226" t="3922" r="9112" b="4257"/>
            <wp:wrapTight wrapText="bothSides">
              <wp:wrapPolygon edited="0">
                <wp:start x="-82" y="0"/>
                <wp:lineTo x="-82" y="21484"/>
                <wp:lineTo x="21600" y="21484"/>
                <wp:lineTo x="21600" y="0"/>
                <wp:lineTo x="-82" y="0"/>
              </wp:wrapPolygon>
            </wp:wrapTight>
            <wp:docPr id="7"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460529" w:rsidRPr="00460529">
        <w:rPr>
          <w:sz w:val="20"/>
        </w:rPr>
        <w:t>Estos valores de IVA declarados corresponden en su totalidad al IVA retenido en compras, y muestra las retención del IVA que TIGANT S.A. ha realizado a sus proveedores.</w:t>
      </w:r>
    </w:p>
    <w:p w:rsidR="00460529" w:rsidRPr="00001CE4" w:rsidRDefault="00460529" w:rsidP="00460529">
      <w:pPr>
        <w:jc w:val="center"/>
        <w:rPr>
          <w:rFonts w:ascii="Helvetica" w:hAnsi="Helvetica"/>
          <w:bCs/>
          <w:sz w:val="18"/>
        </w:rPr>
      </w:pPr>
      <w:r w:rsidRPr="00001CE4">
        <w:rPr>
          <w:rFonts w:ascii="Helvetica" w:hAnsi="Helvetica"/>
          <w:b/>
          <w:bCs/>
          <w:sz w:val="18"/>
        </w:rPr>
        <w:t xml:space="preserve">Gráfico </w:t>
      </w:r>
      <w:r>
        <w:rPr>
          <w:rFonts w:ascii="Helvetica" w:hAnsi="Helvetica"/>
          <w:b/>
          <w:bCs/>
          <w:sz w:val="18"/>
        </w:rPr>
        <w:t>2</w:t>
      </w:r>
      <w:r w:rsidRPr="00001CE4">
        <w:rPr>
          <w:rFonts w:ascii="Helvetica" w:hAnsi="Helvetica"/>
          <w:b/>
          <w:bCs/>
          <w:sz w:val="18"/>
        </w:rPr>
        <w:t xml:space="preserve">. </w:t>
      </w:r>
      <w:r w:rsidRPr="00460529">
        <w:rPr>
          <w:rFonts w:ascii="Helvetica" w:hAnsi="Helvetica"/>
          <w:bCs/>
          <w:sz w:val="18"/>
        </w:rPr>
        <w:t>Retenciones de IVA</w:t>
      </w:r>
      <w:r w:rsidRPr="00001CE4">
        <w:rPr>
          <w:rFonts w:ascii="Helvetica" w:hAnsi="Helvetica"/>
          <w:bCs/>
          <w:sz w:val="18"/>
        </w:rPr>
        <w:t xml:space="preserve"> 2008</w:t>
      </w:r>
    </w:p>
    <w:p w:rsidR="00460529" w:rsidRDefault="00460529" w:rsidP="00460529">
      <w:pPr>
        <w:tabs>
          <w:tab w:val="left" w:pos="2171"/>
        </w:tabs>
        <w:jc w:val="center"/>
        <w:rPr>
          <w:sz w:val="20"/>
        </w:rPr>
      </w:pPr>
    </w:p>
    <w:p w:rsidR="00FB571D" w:rsidRDefault="00FB571D" w:rsidP="00FB571D">
      <w:pPr>
        <w:tabs>
          <w:tab w:val="left" w:pos="2171"/>
        </w:tabs>
        <w:jc w:val="both"/>
        <w:rPr>
          <w:sz w:val="20"/>
        </w:rPr>
      </w:pPr>
      <w:r w:rsidRPr="00FB571D">
        <w:rPr>
          <w:sz w:val="20"/>
          <w:szCs w:val="20"/>
        </w:rPr>
        <w:t>Podemos apreciar que en el mes de Septiembre es en donde se ha recaudado más en los tres porcentajes que globalmente</w:t>
      </w:r>
      <w:r w:rsidRPr="00FB571D">
        <w:rPr>
          <w:sz w:val="18"/>
        </w:rPr>
        <w:t xml:space="preserve"> </w:t>
      </w:r>
      <w:r w:rsidRPr="00FB571D">
        <w:rPr>
          <w:sz w:val="20"/>
        </w:rPr>
        <w:t>suman $3.458,92, en cambio en el mes de Enero es donde se ha recaudado menos en los tres porcentaje</w:t>
      </w:r>
      <w:r w:rsidR="003A72F2">
        <w:rPr>
          <w:sz w:val="20"/>
        </w:rPr>
        <w:t>s que globalmente suman $535,17.</w:t>
      </w:r>
    </w:p>
    <w:p w:rsidR="003A72F2" w:rsidRDefault="003A72F2" w:rsidP="00FB571D">
      <w:pPr>
        <w:tabs>
          <w:tab w:val="left" w:pos="2171"/>
        </w:tabs>
        <w:jc w:val="both"/>
        <w:rPr>
          <w:sz w:val="20"/>
        </w:rPr>
      </w:pPr>
    </w:p>
    <w:p w:rsidR="003A72F2" w:rsidRDefault="00735AFE" w:rsidP="00FB571D">
      <w:pPr>
        <w:tabs>
          <w:tab w:val="left" w:pos="2171"/>
        </w:tabs>
        <w:jc w:val="both"/>
        <w:rPr>
          <w:b/>
          <w:sz w:val="22"/>
        </w:rPr>
      </w:pPr>
      <w:r>
        <w:rPr>
          <w:b/>
          <w:sz w:val="22"/>
        </w:rPr>
        <w:t>4.2. Retenciones en la fuente del impuesto a la renta</w:t>
      </w:r>
    </w:p>
    <w:p w:rsidR="00735AFE" w:rsidRDefault="00735AFE" w:rsidP="00FB571D">
      <w:pPr>
        <w:tabs>
          <w:tab w:val="left" w:pos="2171"/>
        </w:tabs>
        <w:jc w:val="both"/>
        <w:rPr>
          <w:sz w:val="20"/>
        </w:rPr>
      </w:pPr>
    </w:p>
    <w:p w:rsidR="00735AFE" w:rsidRPr="00850BFD" w:rsidRDefault="00850BFD" w:rsidP="00850BFD">
      <w:pPr>
        <w:tabs>
          <w:tab w:val="left" w:pos="2171"/>
        </w:tabs>
        <w:jc w:val="both"/>
        <w:rPr>
          <w:sz w:val="16"/>
        </w:rPr>
      </w:pPr>
      <w:r w:rsidRPr="00850BFD">
        <w:rPr>
          <w:sz w:val="20"/>
        </w:rPr>
        <w:t>TIGANT S.A. también está obligada a declarar mensualmente las Retenciones en la Fuente mediante el formulario 103. Los valores mensuales declarados son los siguientes:</w:t>
      </w:r>
    </w:p>
    <w:p w:rsidR="003A72F2" w:rsidRPr="00FB571D" w:rsidRDefault="003A72F2" w:rsidP="00FB571D">
      <w:pPr>
        <w:tabs>
          <w:tab w:val="left" w:pos="2171"/>
        </w:tabs>
        <w:jc w:val="both"/>
        <w:rPr>
          <w:sz w:val="20"/>
        </w:rPr>
      </w:pPr>
    </w:p>
    <w:p w:rsidR="00460529" w:rsidRDefault="00850BFD" w:rsidP="00850BFD">
      <w:pPr>
        <w:jc w:val="center"/>
        <w:rPr>
          <w:sz w:val="20"/>
        </w:rPr>
      </w:pPr>
      <w:r w:rsidRPr="00001CE4">
        <w:rPr>
          <w:rFonts w:ascii="Helvetica" w:hAnsi="Helvetica"/>
          <w:b/>
          <w:bCs/>
          <w:sz w:val="18"/>
        </w:rPr>
        <w:t xml:space="preserve">Gráfico </w:t>
      </w:r>
      <w:r>
        <w:rPr>
          <w:rFonts w:ascii="Helvetica" w:hAnsi="Helvetica"/>
          <w:b/>
          <w:bCs/>
          <w:sz w:val="18"/>
        </w:rPr>
        <w:t>3</w:t>
      </w:r>
      <w:r w:rsidRPr="00001CE4">
        <w:rPr>
          <w:rFonts w:ascii="Helvetica" w:hAnsi="Helvetica"/>
          <w:b/>
          <w:bCs/>
          <w:sz w:val="18"/>
        </w:rPr>
        <w:t xml:space="preserve">. </w:t>
      </w:r>
      <w:r w:rsidRPr="00460529">
        <w:rPr>
          <w:rFonts w:ascii="Helvetica" w:hAnsi="Helvetica"/>
          <w:bCs/>
          <w:sz w:val="18"/>
        </w:rPr>
        <w:t xml:space="preserve">Retenciones </w:t>
      </w:r>
      <w:r>
        <w:rPr>
          <w:rFonts w:ascii="Helvetica" w:hAnsi="Helvetica"/>
          <w:bCs/>
          <w:sz w:val="18"/>
        </w:rPr>
        <w:t>en la fuente</w:t>
      </w:r>
      <w:r w:rsidRPr="00001CE4">
        <w:rPr>
          <w:rFonts w:ascii="Helvetica" w:hAnsi="Helvetica"/>
          <w:bCs/>
          <w:sz w:val="18"/>
        </w:rPr>
        <w:t xml:space="preserve"> 2008</w:t>
      </w:r>
    </w:p>
    <w:p w:rsidR="00850BFD" w:rsidRDefault="00850BFD" w:rsidP="00FB571D">
      <w:pPr>
        <w:tabs>
          <w:tab w:val="left" w:pos="2171"/>
        </w:tabs>
        <w:rPr>
          <w:sz w:val="20"/>
        </w:rPr>
      </w:pPr>
    </w:p>
    <w:p w:rsidR="00460529" w:rsidRDefault="00850BFD" w:rsidP="00850BFD">
      <w:pPr>
        <w:tabs>
          <w:tab w:val="left" w:pos="2171"/>
        </w:tabs>
        <w:jc w:val="both"/>
        <w:rPr>
          <w:sz w:val="20"/>
        </w:rPr>
      </w:pPr>
      <w:r w:rsidRPr="00850BFD">
        <w:rPr>
          <w:sz w:val="20"/>
        </w:rPr>
        <w:t>En este grafico se muestra las retenciones en la fuente. Las retenciones del 1% son del transporte mientras que la retención del 2% al mes de abril cambio al 1% por lo que hace que la empresa tenga que retener un porcentaje mayor. La empresa declara unido lo de servicio básico que es agua y luz y se lo retiene pero no en mayores proporciones.</w:t>
      </w:r>
    </w:p>
    <w:p w:rsidR="006E0D9E" w:rsidRPr="00196877" w:rsidRDefault="001F5886" w:rsidP="001F5886">
      <w:pPr>
        <w:tabs>
          <w:tab w:val="left" w:pos="2171"/>
        </w:tabs>
        <w:jc w:val="both"/>
        <w:rPr>
          <w:b/>
        </w:rPr>
      </w:pPr>
      <w:r>
        <w:rPr>
          <w:b/>
        </w:rPr>
        <w:lastRenderedPageBreak/>
        <w:t xml:space="preserve">5. </w:t>
      </w:r>
      <w:r w:rsidR="006E0D9E" w:rsidRPr="00196877">
        <w:rPr>
          <w:b/>
        </w:rPr>
        <w:t>Planificación y Ejecución de la Auditoría Tributaria</w:t>
      </w:r>
    </w:p>
    <w:p w:rsidR="006E0D9E" w:rsidRPr="00196877" w:rsidRDefault="006E0D9E" w:rsidP="006E0D9E">
      <w:pPr>
        <w:rPr>
          <w:b/>
        </w:rPr>
      </w:pPr>
    </w:p>
    <w:p w:rsidR="006E0D9E" w:rsidRDefault="001F5886" w:rsidP="006E0D9E">
      <w:pPr>
        <w:rPr>
          <w:b/>
          <w:sz w:val="22"/>
        </w:rPr>
      </w:pPr>
      <w:r w:rsidRPr="001F5886">
        <w:rPr>
          <w:b/>
          <w:sz w:val="22"/>
        </w:rPr>
        <w:t>5</w:t>
      </w:r>
      <w:r w:rsidR="006E0D9E" w:rsidRPr="001F5886">
        <w:rPr>
          <w:b/>
          <w:sz w:val="22"/>
        </w:rPr>
        <w:t>.1</w:t>
      </w:r>
      <w:r w:rsidR="003E4745" w:rsidRPr="001F5886">
        <w:rPr>
          <w:b/>
          <w:sz w:val="22"/>
        </w:rPr>
        <w:t>.</w:t>
      </w:r>
      <w:r w:rsidR="006E0D9E" w:rsidRPr="001F5886">
        <w:rPr>
          <w:b/>
          <w:sz w:val="22"/>
        </w:rPr>
        <w:t xml:space="preserve"> Planificación</w:t>
      </w:r>
    </w:p>
    <w:p w:rsidR="00D8764B" w:rsidRDefault="00D8764B" w:rsidP="006E0D9E">
      <w:pPr>
        <w:rPr>
          <w:b/>
          <w:sz w:val="22"/>
        </w:rPr>
      </w:pPr>
    </w:p>
    <w:p w:rsidR="00D8764B" w:rsidRDefault="00D8764B" w:rsidP="00D8764B">
      <w:pPr>
        <w:pStyle w:val="Sinespaciado"/>
        <w:jc w:val="both"/>
        <w:rPr>
          <w:rFonts w:ascii="Times New Roman" w:hAnsi="Times New Roman"/>
          <w:sz w:val="20"/>
          <w:szCs w:val="24"/>
        </w:rPr>
      </w:pPr>
      <w:r w:rsidRPr="00D8764B">
        <w:rPr>
          <w:rFonts w:ascii="Times New Roman" w:hAnsi="Times New Roman"/>
          <w:sz w:val="20"/>
          <w:szCs w:val="24"/>
        </w:rPr>
        <w:t>Este capítulo contiene los procedimientos y pruebas que se realizaron para llevar a cabo nuestra auditoría.</w:t>
      </w:r>
    </w:p>
    <w:p w:rsidR="00D8764B" w:rsidRDefault="00D8764B" w:rsidP="00D8764B">
      <w:pPr>
        <w:pStyle w:val="Sinespaciado"/>
        <w:jc w:val="both"/>
        <w:rPr>
          <w:rFonts w:ascii="Times New Roman" w:hAnsi="Times New Roman"/>
          <w:sz w:val="20"/>
          <w:szCs w:val="24"/>
        </w:rPr>
      </w:pPr>
    </w:p>
    <w:p w:rsidR="006E0D9E" w:rsidRDefault="001F5886" w:rsidP="006E0D9E">
      <w:pPr>
        <w:rPr>
          <w:b/>
          <w:sz w:val="20"/>
        </w:rPr>
      </w:pPr>
      <w:r w:rsidRPr="00D8764B">
        <w:rPr>
          <w:b/>
          <w:sz w:val="20"/>
        </w:rPr>
        <w:t>5</w:t>
      </w:r>
      <w:r w:rsidR="006E0D9E" w:rsidRPr="00D8764B">
        <w:rPr>
          <w:b/>
          <w:sz w:val="20"/>
        </w:rPr>
        <w:t>.1.1</w:t>
      </w:r>
      <w:r w:rsidR="003E4745" w:rsidRPr="00D8764B">
        <w:rPr>
          <w:b/>
          <w:sz w:val="20"/>
        </w:rPr>
        <w:t>.</w:t>
      </w:r>
      <w:r w:rsidR="006E0D9E" w:rsidRPr="00D8764B">
        <w:rPr>
          <w:b/>
          <w:sz w:val="20"/>
        </w:rPr>
        <w:t xml:space="preserve"> Antecedentes</w:t>
      </w:r>
    </w:p>
    <w:p w:rsidR="005559E7" w:rsidRDefault="005559E7" w:rsidP="006E0D9E">
      <w:pPr>
        <w:rPr>
          <w:b/>
          <w:sz w:val="20"/>
        </w:rPr>
      </w:pPr>
    </w:p>
    <w:p w:rsidR="005559E7" w:rsidRPr="005559E7" w:rsidRDefault="005559E7" w:rsidP="005559E7">
      <w:pPr>
        <w:pStyle w:val="Sinespaciado"/>
        <w:jc w:val="both"/>
        <w:rPr>
          <w:rFonts w:ascii="Times New Roman" w:hAnsi="Times New Roman"/>
          <w:sz w:val="20"/>
          <w:szCs w:val="24"/>
        </w:rPr>
      </w:pPr>
      <w:r w:rsidRPr="005559E7">
        <w:rPr>
          <w:rFonts w:ascii="Times New Roman" w:hAnsi="Times New Roman"/>
          <w:sz w:val="20"/>
          <w:szCs w:val="24"/>
        </w:rPr>
        <w:t xml:space="preserve">Nunca se ha realizado auditoría alguna en años anteriores, por ser contribuyente especial cada año la empresa realiza un informe tributario que es revisado por una firma auditora externa para presentar al S.R.I. </w:t>
      </w:r>
    </w:p>
    <w:p w:rsidR="005559E7" w:rsidRPr="005559E7" w:rsidRDefault="005559E7" w:rsidP="005559E7">
      <w:pPr>
        <w:pStyle w:val="Sinespaciado"/>
        <w:jc w:val="both"/>
        <w:rPr>
          <w:rFonts w:ascii="Times New Roman" w:hAnsi="Times New Roman"/>
          <w:sz w:val="20"/>
          <w:szCs w:val="24"/>
        </w:rPr>
      </w:pPr>
    </w:p>
    <w:p w:rsidR="005559E7" w:rsidRPr="005559E7" w:rsidRDefault="005559E7" w:rsidP="005559E7">
      <w:pPr>
        <w:pStyle w:val="Sinespaciado"/>
        <w:jc w:val="both"/>
        <w:rPr>
          <w:rFonts w:ascii="Times New Roman" w:hAnsi="Times New Roman"/>
          <w:sz w:val="20"/>
          <w:szCs w:val="24"/>
        </w:rPr>
      </w:pPr>
      <w:r w:rsidRPr="005559E7">
        <w:rPr>
          <w:rFonts w:ascii="Times New Roman" w:hAnsi="Times New Roman"/>
          <w:sz w:val="20"/>
          <w:szCs w:val="24"/>
        </w:rPr>
        <w:t>Cabe resaltar que será la primera vez que se realizará una auditoría tributaría a TIGANT S.A.</w:t>
      </w:r>
    </w:p>
    <w:p w:rsidR="005559E7" w:rsidRPr="00D8764B" w:rsidRDefault="005559E7" w:rsidP="006E0D9E">
      <w:pPr>
        <w:rPr>
          <w:b/>
          <w:sz w:val="20"/>
        </w:rPr>
      </w:pPr>
    </w:p>
    <w:p w:rsidR="006E0D9E" w:rsidRPr="0028128B" w:rsidRDefault="006E0D9E" w:rsidP="006E0D9E">
      <w:pPr>
        <w:jc w:val="both"/>
        <w:rPr>
          <w:b/>
          <w:sz w:val="20"/>
        </w:rPr>
      </w:pPr>
      <w:r w:rsidRPr="0028128B">
        <w:rPr>
          <w:b/>
          <w:sz w:val="20"/>
        </w:rPr>
        <w:t>3.1.</w:t>
      </w:r>
      <w:r w:rsidR="00DA27B1" w:rsidRPr="0028128B">
        <w:rPr>
          <w:b/>
          <w:sz w:val="20"/>
        </w:rPr>
        <w:t>2</w:t>
      </w:r>
      <w:r w:rsidR="003E4745" w:rsidRPr="0028128B">
        <w:rPr>
          <w:b/>
          <w:sz w:val="20"/>
        </w:rPr>
        <w:t>.</w:t>
      </w:r>
      <w:r w:rsidRPr="0028128B">
        <w:rPr>
          <w:b/>
          <w:sz w:val="20"/>
        </w:rPr>
        <w:t xml:space="preserve"> Metodología</w:t>
      </w:r>
      <w:r w:rsidR="0028128B" w:rsidRPr="0028128B">
        <w:rPr>
          <w:b/>
          <w:sz w:val="20"/>
        </w:rPr>
        <w:t xml:space="preserve"> para la recopilación de información</w:t>
      </w:r>
    </w:p>
    <w:p w:rsidR="006E0D9E" w:rsidRDefault="006E0D9E" w:rsidP="006E0D9E">
      <w:pPr>
        <w:jc w:val="both"/>
      </w:pPr>
    </w:p>
    <w:p w:rsidR="0028128B" w:rsidRPr="0028128B" w:rsidRDefault="0028128B" w:rsidP="0028128B">
      <w:pPr>
        <w:pStyle w:val="Sinespaciado"/>
        <w:jc w:val="both"/>
        <w:rPr>
          <w:rFonts w:ascii="Times New Roman" w:hAnsi="Times New Roman"/>
          <w:sz w:val="20"/>
          <w:szCs w:val="24"/>
        </w:rPr>
      </w:pPr>
      <w:r w:rsidRPr="0028128B">
        <w:rPr>
          <w:rFonts w:ascii="Times New Roman" w:hAnsi="Times New Roman"/>
          <w:sz w:val="20"/>
          <w:szCs w:val="24"/>
        </w:rPr>
        <w:t>La metodología que utilizaremos para recopilar la información de   TIGANT S.A. será mediante:</w:t>
      </w:r>
    </w:p>
    <w:p w:rsidR="0028128B" w:rsidRPr="0028128B" w:rsidRDefault="0028128B" w:rsidP="0028128B">
      <w:pPr>
        <w:pStyle w:val="Sinespaciado"/>
        <w:jc w:val="both"/>
        <w:rPr>
          <w:rFonts w:ascii="Times New Roman" w:hAnsi="Times New Roman"/>
          <w:sz w:val="20"/>
          <w:szCs w:val="24"/>
        </w:rPr>
      </w:pPr>
    </w:p>
    <w:p w:rsidR="0028128B" w:rsidRPr="0028128B" w:rsidRDefault="0028128B" w:rsidP="0028128B">
      <w:pPr>
        <w:pStyle w:val="Sinespaciado"/>
        <w:numPr>
          <w:ilvl w:val="0"/>
          <w:numId w:val="13"/>
        </w:numPr>
        <w:jc w:val="both"/>
        <w:rPr>
          <w:rFonts w:ascii="Times New Roman" w:hAnsi="Times New Roman"/>
          <w:sz w:val="20"/>
          <w:szCs w:val="24"/>
        </w:rPr>
      </w:pPr>
      <w:r w:rsidRPr="0028128B">
        <w:rPr>
          <w:rFonts w:ascii="Times New Roman" w:hAnsi="Times New Roman"/>
          <w:sz w:val="20"/>
          <w:szCs w:val="24"/>
        </w:rPr>
        <w:t>Entrevistas directas con el personal del área de contabilidad.</w:t>
      </w:r>
    </w:p>
    <w:p w:rsidR="0028128B" w:rsidRPr="0028128B" w:rsidRDefault="0028128B" w:rsidP="0028128B">
      <w:pPr>
        <w:pStyle w:val="Sinespaciado"/>
        <w:ind w:left="780"/>
        <w:jc w:val="both"/>
        <w:rPr>
          <w:rFonts w:ascii="Times New Roman" w:hAnsi="Times New Roman"/>
          <w:sz w:val="20"/>
          <w:szCs w:val="24"/>
        </w:rPr>
      </w:pPr>
    </w:p>
    <w:p w:rsidR="0028128B" w:rsidRPr="0028128B" w:rsidRDefault="0028128B" w:rsidP="0028128B">
      <w:pPr>
        <w:pStyle w:val="Sinespaciado"/>
        <w:numPr>
          <w:ilvl w:val="0"/>
          <w:numId w:val="13"/>
        </w:numPr>
        <w:jc w:val="both"/>
        <w:rPr>
          <w:rFonts w:ascii="Times New Roman" w:hAnsi="Times New Roman"/>
          <w:sz w:val="20"/>
          <w:szCs w:val="24"/>
        </w:rPr>
      </w:pPr>
      <w:r w:rsidRPr="0028128B">
        <w:rPr>
          <w:rFonts w:ascii="Times New Roman" w:hAnsi="Times New Roman"/>
          <w:sz w:val="20"/>
          <w:szCs w:val="24"/>
        </w:rPr>
        <w:t>Recopilación de documentos necesarios previamente solicitados para realizar la auditoría.</w:t>
      </w:r>
    </w:p>
    <w:p w:rsidR="0028128B" w:rsidRPr="00196877" w:rsidRDefault="0028128B" w:rsidP="006E0D9E">
      <w:pPr>
        <w:jc w:val="both"/>
      </w:pPr>
    </w:p>
    <w:p w:rsidR="006E0D9E" w:rsidRDefault="003B0ADA" w:rsidP="006E0D9E">
      <w:pPr>
        <w:jc w:val="both"/>
        <w:rPr>
          <w:b/>
        </w:rPr>
      </w:pPr>
      <w:r>
        <w:rPr>
          <w:b/>
        </w:rPr>
        <w:t>5.2.</w:t>
      </w:r>
      <w:r w:rsidR="00DA27B1" w:rsidRPr="00196877">
        <w:rPr>
          <w:b/>
        </w:rPr>
        <w:t xml:space="preserve"> </w:t>
      </w:r>
      <w:r w:rsidR="006E0D9E" w:rsidRPr="00196877">
        <w:rPr>
          <w:b/>
        </w:rPr>
        <w:t xml:space="preserve">Procedimientos </w:t>
      </w:r>
      <w:r>
        <w:rPr>
          <w:b/>
        </w:rPr>
        <w:t>sustantivos de auditoría</w:t>
      </w:r>
    </w:p>
    <w:p w:rsidR="003B0ADA" w:rsidRPr="00196877" w:rsidRDefault="003B0ADA" w:rsidP="006E0D9E">
      <w:pPr>
        <w:jc w:val="both"/>
        <w:rPr>
          <w:b/>
        </w:rPr>
      </w:pPr>
    </w:p>
    <w:p w:rsidR="006E0D9E" w:rsidRDefault="003B0ADA" w:rsidP="006E0D9E">
      <w:pPr>
        <w:jc w:val="both"/>
        <w:rPr>
          <w:b/>
          <w:sz w:val="22"/>
        </w:rPr>
      </w:pPr>
      <w:r w:rsidRPr="003B0ADA">
        <w:rPr>
          <w:b/>
          <w:sz w:val="22"/>
        </w:rPr>
        <w:t>5.2.1. Pruebas de auditoría</w:t>
      </w:r>
    </w:p>
    <w:p w:rsidR="003B0ADA" w:rsidRDefault="003B0ADA" w:rsidP="006E0D9E">
      <w:pPr>
        <w:jc w:val="both"/>
        <w:rPr>
          <w:b/>
          <w:sz w:val="22"/>
        </w:rPr>
      </w:pPr>
    </w:p>
    <w:p w:rsidR="006241AC" w:rsidRPr="006241AC" w:rsidRDefault="006241AC" w:rsidP="006241AC">
      <w:pPr>
        <w:pStyle w:val="Sinespaciado"/>
        <w:jc w:val="both"/>
        <w:rPr>
          <w:rFonts w:ascii="Times New Roman" w:hAnsi="Times New Roman"/>
          <w:sz w:val="20"/>
          <w:szCs w:val="24"/>
        </w:rPr>
      </w:pPr>
      <w:r w:rsidRPr="006241AC">
        <w:rPr>
          <w:rFonts w:ascii="Times New Roman" w:hAnsi="Times New Roman"/>
          <w:sz w:val="20"/>
          <w:szCs w:val="24"/>
        </w:rPr>
        <w:t>Para la realización de nuestra auditoría llevaremos a cabo pruebas sustantivas, entre las principales pruebas se encuentran:</w:t>
      </w:r>
    </w:p>
    <w:p w:rsidR="006241AC" w:rsidRPr="006241AC" w:rsidRDefault="006241AC" w:rsidP="006241AC">
      <w:pPr>
        <w:pStyle w:val="Sinespaciado"/>
        <w:jc w:val="both"/>
        <w:rPr>
          <w:rFonts w:ascii="Times New Roman" w:hAnsi="Times New Roman"/>
          <w:sz w:val="20"/>
          <w:szCs w:val="24"/>
        </w:rPr>
      </w:pPr>
    </w:p>
    <w:p w:rsidR="006241AC" w:rsidRPr="006241AC" w:rsidRDefault="006241AC" w:rsidP="006241AC">
      <w:pPr>
        <w:pStyle w:val="Sinespaciado"/>
        <w:numPr>
          <w:ilvl w:val="0"/>
          <w:numId w:val="5"/>
        </w:numPr>
        <w:jc w:val="both"/>
        <w:rPr>
          <w:rFonts w:ascii="Times New Roman" w:hAnsi="Times New Roman"/>
          <w:sz w:val="20"/>
          <w:szCs w:val="24"/>
        </w:rPr>
      </w:pPr>
      <w:r w:rsidRPr="006241AC">
        <w:rPr>
          <w:rFonts w:ascii="Times New Roman" w:hAnsi="Times New Roman"/>
          <w:sz w:val="20"/>
          <w:szCs w:val="24"/>
        </w:rPr>
        <w:t>Prueba de Costo de Venta</w:t>
      </w:r>
    </w:p>
    <w:p w:rsidR="006241AC" w:rsidRPr="006241AC" w:rsidRDefault="006241AC" w:rsidP="006241AC">
      <w:pPr>
        <w:pStyle w:val="Sinespaciado"/>
        <w:numPr>
          <w:ilvl w:val="0"/>
          <w:numId w:val="5"/>
        </w:numPr>
        <w:jc w:val="both"/>
        <w:rPr>
          <w:rFonts w:ascii="Times New Roman" w:hAnsi="Times New Roman"/>
          <w:sz w:val="20"/>
          <w:szCs w:val="24"/>
        </w:rPr>
      </w:pPr>
      <w:r w:rsidRPr="006241AC">
        <w:rPr>
          <w:rFonts w:ascii="Times New Roman" w:hAnsi="Times New Roman"/>
          <w:sz w:val="20"/>
          <w:szCs w:val="24"/>
        </w:rPr>
        <w:t>Prueba de Gastos</w:t>
      </w:r>
    </w:p>
    <w:p w:rsidR="006241AC" w:rsidRPr="006241AC" w:rsidRDefault="006241AC" w:rsidP="006241AC">
      <w:pPr>
        <w:pStyle w:val="Sinespaciado"/>
        <w:numPr>
          <w:ilvl w:val="0"/>
          <w:numId w:val="5"/>
        </w:numPr>
        <w:jc w:val="both"/>
        <w:rPr>
          <w:rFonts w:ascii="Times New Roman" w:hAnsi="Times New Roman"/>
          <w:sz w:val="20"/>
          <w:szCs w:val="24"/>
        </w:rPr>
      </w:pPr>
      <w:r w:rsidRPr="006241AC">
        <w:rPr>
          <w:rFonts w:ascii="Times New Roman" w:hAnsi="Times New Roman"/>
          <w:sz w:val="20"/>
          <w:szCs w:val="24"/>
        </w:rPr>
        <w:t>Prueba de IVA</w:t>
      </w:r>
    </w:p>
    <w:p w:rsidR="006241AC" w:rsidRPr="006241AC" w:rsidRDefault="006241AC" w:rsidP="006241AC">
      <w:pPr>
        <w:pStyle w:val="Sinespaciado"/>
        <w:numPr>
          <w:ilvl w:val="0"/>
          <w:numId w:val="5"/>
        </w:numPr>
        <w:jc w:val="both"/>
        <w:rPr>
          <w:rFonts w:ascii="Times New Roman" w:hAnsi="Times New Roman"/>
          <w:sz w:val="20"/>
          <w:szCs w:val="24"/>
        </w:rPr>
      </w:pPr>
      <w:r w:rsidRPr="006241AC">
        <w:rPr>
          <w:rFonts w:ascii="Times New Roman" w:hAnsi="Times New Roman"/>
          <w:sz w:val="20"/>
          <w:szCs w:val="24"/>
        </w:rPr>
        <w:t>Prueba de Impuesto a la Renta</w:t>
      </w:r>
    </w:p>
    <w:p w:rsidR="006241AC" w:rsidRPr="006241AC" w:rsidRDefault="006241AC" w:rsidP="006241AC">
      <w:pPr>
        <w:pStyle w:val="Sinespaciado"/>
        <w:numPr>
          <w:ilvl w:val="0"/>
          <w:numId w:val="5"/>
        </w:numPr>
        <w:jc w:val="both"/>
        <w:rPr>
          <w:rFonts w:ascii="Times New Roman" w:hAnsi="Times New Roman"/>
          <w:sz w:val="20"/>
          <w:szCs w:val="24"/>
        </w:rPr>
      </w:pPr>
      <w:r w:rsidRPr="006241AC">
        <w:rPr>
          <w:rFonts w:ascii="Times New Roman" w:hAnsi="Times New Roman"/>
          <w:sz w:val="20"/>
          <w:szCs w:val="24"/>
        </w:rPr>
        <w:t>Prueba de Retenciones</w:t>
      </w:r>
    </w:p>
    <w:p w:rsidR="006241AC" w:rsidRDefault="006241AC" w:rsidP="006241AC">
      <w:pPr>
        <w:pStyle w:val="Sinespaciado"/>
        <w:numPr>
          <w:ilvl w:val="0"/>
          <w:numId w:val="5"/>
        </w:numPr>
        <w:jc w:val="both"/>
        <w:rPr>
          <w:rFonts w:ascii="Times New Roman" w:hAnsi="Times New Roman"/>
          <w:sz w:val="20"/>
          <w:szCs w:val="24"/>
        </w:rPr>
      </w:pPr>
      <w:r w:rsidRPr="006241AC">
        <w:rPr>
          <w:rFonts w:ascii="Times New Roman" w:hAnsi="Times New Roman"/>
          <w:sz w:val="20"/>
          <w:szCs w:val="24"/>
        </w:rPr>
        <w:t>Prueba de consistencias entre declaraciones</w:t>
      </w:r>
    </w:p>
    <w:p w:rsidR="006241AC" w:rsidRDefault="006241AC" w:rsidP="006241AC">
      <w:pPr>
        <w:pStyle w:val="Sinespaciado"/>
        <w:numPr>
          <w:ilvl w:val="0"/>
          <w:numId w:val="5"/>
        </w:numPr>
        <w:jc w:val="both"/>
        <w:rPr>
          <w:rFonts w:ascii="Times New Roman" w:hAnsi="Times New Roman"/>
          <w:sz w:val="20"/>
          <w:szCs w:val="24"/>
        </w:rPr>
      </w:pPr>
      <w:r w:rsidRPr="006241AC">
        <w:rPr>
          <w:rFonts w:ascii="Times New Roman" w:hAnsi="Times New Roman"/>
          <w:sz w:val="20"/>
          <w:szCs w:val="24"/>
        </w:rPr>
        <w:t>Prueba de Nómina</w:t>
      </w:r>
    </w:p>
    <w:p w:rsidR="003B0ADA" w:rsidRPr="006241AC" w:rsidRDefault="003B0ADA" w:rsidP="006241AC">
      <w:pPr>
        <w:jc w:val="both"/>
        <w:rPr>
          <w:b/>
          <w:sz w:val="18"/>
        </w:rPr>
      </w:pPr>
    </w:p>
    <w:p w:rsidR="007F60BB" w:rsidRPr="00825F1D" w:rsidRDefault="007F60BB" w:rsidP="007F60BB">
      <w:pPr>
        <w:jc w:val="both"/>
        <w:rPr>
          <w:sz w:val="20"/>
          <w:szCs w:val="20"/>
        </w:rPr>
      </w:pPr>
    </w:p>
    <w:p w:rsidR="00DA27B1" w:rsidRPr="00196877" w:rsidRDefault="00D36D94" w:rsidP="00DA27B1">
      <w:pPr>
        <w:jc w:val="both"/>
        <w:rPr>
          <w:b/>
        </w:rPr>
      </w:pPr>
      <w:r>
        <w:rPr>
          <w:b/>
        </w:rPr>
        <w:t>6</w:t>
      </w:r>
      <w:r w:rsidR="00DA27B1" w:rsidRPr="00196877">
        <w:rPr>
          <w:b/>
        </w:rPr>
        <w:t>. Conclusiones</w:t>
      </w:r>
      <w:r>
        <w:rPr>
          <w:b/>
        </w:rPr>
        <w:t xml:space="preserve"> y recomendaciones</w:t>
      </w:r>
    </w:p>
    <w:p w:rsidR="00DA27B1" w:rsidRPr="00825F1D" w:rsidRDefault="00DA27B1" w:rsidP="00DA27B1">
      <w:pPr>
        <w:jc w:val="both"/>
        <w:rPr>
          <w:b/>
          <w:sz w:val="20"/>
          <w:szCs w:val="20"/>
        </w:rPr>
      </w:pPr>
    </w:p>
    <w:p w:rsidR="00D36D94" w:rsidRPr="00D36D94" w:rsidRDefault="00D36D94" w:rsidP="00D36D94">
      <w:pPr>
        <w:jc w:val="both"/>
        <w:rPr>
          <w:sz w:val="20"/>
        </w:rPr>
      </w:pPr>
      <w:r w:rsidRPr="00D36D94">
        <w:rPr>
          <w:sz w:val="20"/>
        </w:rPr>
        <w:t xml:space="preserve">La auditoria tributaria en las empresas en el Ecuador depende de gran medida de las normas y reestructuraciones que se hagan en el país </w:t>
      </w:r>
      <w:r w:rsidRPr="00D36D94">
        <w:rPr>
          <w:sz w:val="20"/>
        </w:rPr>
        <w:lastRenderedPageBreak/>
        <w:t>tanto en aspecto s políticos como económicos, esto hace que la incertidumbre y la desconfianza aumenten por parte de las autoridades tributarias. Es por esto que necesitamos profesionales que guíen las empresas de manera correcta aplicando las leyes tributarias de manera correcta y actualizada.</w:t>
      </w:r>
    </w:p>
    <w:p w:rsidR="00D36D94" w:rsidRPr="00D36D94" w:rsidRDefault="00D36D94" w:rsidP="00D36D94">
      <w:pPr>
        <w:jc w:val="both"/>
        <w:rPr>
          <w:sz w:val="20"/>
        </w:rPr>
      </w:pPr>
      <w:r w:rsidRPr="00D36D94">
        <w:rPr>
          <w:sz w:val="20"/>
        </w:rPr>
        <w:t>Es compromiso palpable  de TIGANT S.A. cumplir de manera ordenada reglamentos y leyes que certifican a la empresa comprometida con los clientes y con el país.</w:t>
      </w:r>
    </w:p>
    <w:p w:rsidR="00D36D94" w:rsidRPr="00D36D94" w:rsidRDefault="00D36D94" w:rsidP="00D36D94">
      <w:pPr>
        <w:jc w:val="both"/>
        <w:rPr>
          <w:sz w:val="20"/>
        </w:rPr>
      </w:pPr>
      <w:r w:rsidRPr="00D36D94">
        <w:rPr>
          <w:sz w:val="20"/>
        </w:rPr>
        <w:t xml:space="preserve">No se encontraron contingencias tributarias significativas a excepción del pago de impuestos por retención de impuestos a los empleados. </w:t>
      </w:r>
    </w:p>
    <w:p w:rsidR="00D36D94" w:rsidRPr="00D36D94" w:rsidRDefault="00D36D94" w:rsidP="00D36D94">
      <w:pPr>
        <w:jc w:val="both"/>
        <w:rPr>
          <w:sz w:val="20"/>
        </w:rPr>
      </w:pPr>
      <w:r w:rsidRPr="00D36D94">
        <w:rPr>
          <w:sz w:val="20"/>
        </w:rPr>
        <w:t>Los pagos de las declaraciones, tanto del Impuesto a la Renta como el pago del Impuesto al Valor Agregado se realizaron dentro del plazo que establece la ley de Régimen Tributario Interno.</w:t>
      </w:r>
    </w:p>
    <w:p w:rsidR="00D36D94" w:rsidRPr="00D36D94" w:rsidRDefault="00D36D94" w:rsidP="00D36D94">
      <w:pPr>
        <w:jc w:val="both"/>
        <w:rPr>
          <w:sz w:val="20"/>
        </w:rPr>
      </w:pPr>
      <w:r w:rsidRPr="00D36D94">
        <w:rPr>
          <w:sz w:val="20"/>
        </w:rPr>
        <w:t>Las pruebas de  control interno no son  aplicadas eficientemente  lo que hace que no sea tan fácil identificar al paso las diferencias entre declaraciones y anexos, contabilidad realiza un trabajo correcto lo que evita que estas pruebas sean indispensables.</w:t>
      </w:r>
    </w:p>
    <w:p w:rsidR="00D36D94" w:rsidRPr="00D36D94" w:rsidRDefault="00D36D94" w:rsidP="00D36D94">
      <w:pPr>
        <w:jc w:val="both"/>
        <w:rPr>
          <w:sz w:val="20"/>
        </w:rPr>
      </w:pPr>
      <w:r w:rsidRPr="00D36D94">
        <w:rPr>
          <w:sz w:val="20"/>
        </w:rPr>
        <w:t>Cabe recordar que las contingencias tributarias pueden darse al desconocimiento de la ley o a la incorrecta interpretación de las normas o leyes, por lo que hay que crear cultura tributaria no solo dentro de la organización sino en todos los ecuatorianos ya que cada vez formamos parte de un todo, hablando en términos de leyes tributarias.</w:t>
      </w:r>
    </w:p>
    <w:p w:rsidR="00D36D94" w:rsidRDefault="00D36D94" w:rsidP="00DA27B1">
      <w:pPr>
        <w:jc w:val="both"/>
        <w:rPr>
          <w:sz w:val="20"/>
          <w:szCs w:val="20"/>
        </w:rPr>
      </w:pPr>
    </w:p>
    <w:p w:rsidR="00DA27B1" w:rsidRPr="00825F1D" w:rsidRDefault="00DA27B1" w:rsidP="00DA27B1">
      <w:pPr>
        <w:jc w:val="both"/>
        <w:rPr>
          <w:sz w:val="20"/>
          <w:szCs w:val="20"/>
        </w:rPr>
      </w:pPr>
      <w:r w:rsidRPr="00825F1D">
        <w:rPr>
          <w:sz w:val="20"/>
          <w:szCs w:val="20"/>
        </w:rPr>
        <w:t>De acuerdo a las pruebas realizadas a cada uno de estos rubros se puede inferir que existe un desconocimiento y poco control sobre los aspectos tributarios, debido a que hay rubros dentro de las declaraciones de impuestos, en las cuales se reconocieron valores subestimados lo que ocasionó una declaración de impuestos equivoca por parte de la gerencia y en contra del fisco durante el ejercicio fiscal 2008.</w:t>
      </w:r>
    </w:p>
    <w:p w:rsidR="00DA27B1" w:rsidRPr="00825F1D" w:rsidRDefault="00DA27B1" w:rsidP="00DA27B1">
      <w:pPr>
        <w:jc w:val="both"/>
        <w:rPr>
          <w:sz w:val="20"/>
          <w:szCs w:val="20"/>
        </w:rPr>
      </w:pPr>
    </w:p>
    <w:p w:rsidR="00DA27B1" w:rsidRDefault="00F145B1" w:rsidP="00DA27B1">
      <w:pPr>
        <w:jc w:val="both"/>
        <w:rPr>
          <w:b/>
          <w:lang w:val="es-EC"/>
        </w:rPr>
      </w:pPr>
      <w:r w:rsidRPr="00196877">
        <w:rPr>
          <w:b/>
          <w:lang w:val="es-EC"/>
        </w:rPr>
        <w:t xml:space="preserve">7.  Referencias </w:t>
      </w:r>
    </w:p>
    <w:p w:rsidR="00922ACD" w:rsidRPr="00922ACD" w:rsidRDefault="00922ACD" w:rsidP="00922ACD">
      <w:pPr>
        <w:jc w:val="both"/>
        <w:rPr>
          <w:b/>
          <w:sz w:val="20"/>
        </w:rPr>
      </w:pPr>
    </w:p>
    <w:p w:rsidR="00922ACD" w:rsidRPr="00922ACD" w:rsidRDefault="00922ACD" w:rsidP="00922ACD">
      <w:pPr>
        <w:numPr>
          <w:ilvl w:val="0"/>
          <w:numId w:val="14"/>
        </w:numPr>
        <w:jc w:val="both"/>
        <w:rPr>
          <w:sz w:val="20"/>
        </w:rPr>
      </w:pPr>
      <w:r w:rsidRPr="00922ACD">
        <w:rPr>
          <w:b/>
          <w:sz w:val="20"/>
        </w:rPr>
        <w:t>“Ley Orgánica de Régimen Tributario Interno”</w:t>
      </w:r>
      <w:r w:rsidRPr="00922ACD">
        <w:rPr>
          <w:sz w:val="20"/>
        </w:rPr>
        <w:t xml:space="preserve">, Presidencia de </w:t>
      </w:r>
      <w:smartTag w:uri="urn:schemas-microsoft-com:office:smarttags" w:element="PersonName">
        <w:smartTagPr>
          <w:attr w:name="ProductID" w:val="la Rep￺blica"/>
        </w:smartTagPr>
        <w:r w:rsidRPr="00922ACD">
          <w:rPr>
            <w:sz w:val="20"/>
          </w:rPr>
          <w:t>la República</w:t>
        </w:r>
      </w:smartTag>
      <w:r w:rsidRPr="00922ACD">
        <w:rPr>
          <w:sz w:val="20"/>
        </w:rPr>
        <w:t xml:space="preserve"> del Eco. Rafael Correa Delgado, Tercer Suplemento del Registro Oficial No. 242 de 29 de diciembre del 2007.</w:t>
      </w:r>
    </w:p>
    <w:p w:rsidR="00D12013" w:rsidRPr="00D12013" w:rsidRDefault="00922ACD" w:rsidP="00922ACD">
      <w:pPr>
        <w:numPr>
          <w:ilvl w:val="0"/>
          <w:numId w:val="14"/>
        </w:numPr>
        <w:spacing w:after="200"/>
        <w:jc w:val="both"/>
        <w:rPr>
          <w:sz w:val="20"/>
          <w:lang w:val="pt-BR"/>
        </w:rPr>
      </w:pPr>
      <w:hyperlink r:id="rId15" w:history="1">
        <w:r w:rsidRPr="00D12013">
          <w:rPr>
            <w:rStyle w:val="Hipervnculo"/>
            <w:b/>
            <w:sz w:val="20"/>
          </w:rPr>
          <w:t>http://www.sri.gov.ec</w:t>
        </w:r>
      </w:hyperlink>
      <w:r w:rsidRPr="00D12013">
        <w:rPr>
          <w:b/>
          <w:sz w:val="20"/>
        </w:rPr>
        <w:t xml:space="preserve">, “Folletos y Servicios en línea” </w:t>
      </w:r>
      <w:r w:rsidRPr="00D12013">
        <w:rPr>
          <w:sz w:val="20"/>
        </w:rPr>
        <w:t xml:space="preserve">Última visita 14 de mayo del 2009. </w:t>
      </w:r>
    </w:p>
    <w:p w:rsidR="00922ACD" w:rsidRPr="00D12013" w:rsidRDefault="00922ACD" w:rsidP="00922ACD">
      <w:pPr>
        <w:numPr>
          <w:ilvl w:val="0"/>
          <w:numId w:val="14"/>
        </w:numPr>
        <w:spacing w:after="200"/>
        <w:jc w:val="both"/>
        <w:rPr>
          <w:sz w:val="20"/>
          <w:lang w:val="pt-BR"/>
        </w:rPr>
      </w:pPr>
      <w:r w:rsidRPr="00D12013">
        <w:rPr>
          <w:sz w:val="20"/>
          <w:lang w:val="pt-BR"/>
        </w:rPr>
        <w:t xml:space="preserve">CONGRESO NACIONAL, </w:t>
      </w:r>
      <w:r w:rsidRPr="00D12013">
        <w:rPr>
          <w:b/>
          <w:sz w:val="20"/>
          <w:lang w:val="pt-BR"/>
        </w:rPr>
        <w:t>“Código de Trabajo”</w:t>
      </w:r>
      <w:r w:rsidRPr="00D12013">
        <w:rPr>
          <w:sz w:val="20"/>
          <w:lang w:val="pt-BR"/>
        </w:rPr>
        <w:t xml:space="preserve">, Registro Oficial Nº56 </w:t>
      </w:r>
    </w:p>
    <w:p w:rsidR="00D12013" w:rsidRPr="005F1F1E" w:rsidRDefault="00922ACD" w:rsidP="00922ACD">
      <w:pPr>
        <w:numPr>
          <w:ilvl w:val="0"/>
          <w:numId w:val="14"/>
        </w:numPr>
        <w:jc w:val="both"/>
        <w:rPr>
          <w:sz w:val="22"/>
        </w:rPr>
      </w:pPr>
      <w:r w:rsidRPr="00922ACD">
        <w:rPr>
          <w:sz w:val="20"/>
        </w:rPr>
        <w:lastRenderedPageBreak/>
        <w:t>HANSEN-HOLM, M. HANSEN-HOLM, J</w:t>
      </w:r>
      <w:r w:rsidRPr="00922ACD">
        <w:rPr>
          <w:b/>
          <w:sz w:val="20"/>
        </w:rPr>
        <w:t xml:space="preserve">. </w:t>
      </w:r>
      <w:r w:rsidRPr="00922ACD">
        <w:rPr>
          <w:sz w:val="20"/>
        </w:rPr>
        <w:t>ROMERO, F.</w:t>
      </w:r>
      <w:r w:rsidRPr="00922ACD">
        <w:rPr>
          <w:b/>
          <w:sz w:val="20"/>
        </w:rPr>
        <w:t>,   “Manual de Obligaciones Tributarias Cierre Fiscal 2008”</w:t>
      </w:r>
      <w:r w:rsidRPr="00922ACD">
        <w:rPr>
          <w:sz w:val="20"/>
        </w:rPr>
        <w:t>, Segunda  Edición</w:t>
      </w:r>
      <w:r w:rsidR="005F1F1E">
        <w:rPr>
          <w:sz w:val="20"/>
        </w:rPr>
        <w:t xml:space="preserve"> </w:t>
      </w:r>
      <w:r w:rsidR="00D12013">
        <w:rPr>
          <w:sz w:val="20"/>
        </w:rPr>
        <w:lastRenderedPageBreak/>
        <w:t>Agosto 2008, Editorial: Distribuidora de Textos del Pacífico S.A.</w:t>
      </w:r>
    </w:p>
    <w:p w:rsidR="00922ACD" w:rsidRPr="005F1F1E" w:rsidRDefault="00922ACD" w:rsidP="00DA27B1">
      <w:pPr>
        <w:jc w:val="both"/>
        <w:rPr>
          <w:b/>
        </w:rPr>
      </w:pPr>
    </w:p>
    <w:p w:rsidR="00DA27B1" w:rsidRPr="00825F1D" w:rsidRDefault="00DA27B1" w:rsidP="00DA27B1">
      <w:pPr>
        <w:jc w:val="both"/>
        <w:rPr>
          <w:sz w:val="20"/>
          <w:szCs w:val="20"/>
          <w:lang w:val="es-EC"/>
        </w:rPr>
      </w:pPr>
    </w:p>
    <w:p w:rsidR="00196877" w:rsidRDefault="00196877" w:rsidP="006E0D9E">
      <w:pPr>
        <w:jc w:val="both"/>
        <w:rPr>
          <w:sz w:val="20"/>
          <w:szCs w:val="20"/>
          <w:lang w:val="es-EC"/>
        </w:rPr>
        <w:sectPr w:rsidR="00196877" w:rsidSect="002171B2">
          <w:type w:val="continuous"/>
          <w:pgSz w:w="11906" w:h="16838"/>
          <w:pgMar w:top="1417" w:right="1701" w:bottom="1258" w:left="1701" w:header="425" w:footer="0" w:gutter="0"/>
          <w:cols w:num="2" w:space="709"/>
          <w:docGrid w:linePitch="360"/>
        </w:sectPr>
      </w:pPr>
    </w:p>
    <w:p w:rsidR="00196877" w:rsidRDefault="00196877" w:rsidP="006E0D9E">
      <w:pPr>
        <w:jc w:val="both"/>
        <w:rPr>
          <w:sz w:val="20"/>
          <w:szCs w:val="20"/>
          <w:lang w:val="es-EC"/>
        </w:rPr>
      </w:pPr>
    </w:p>
    <w:p w:rsidR="00196877" w:rsidRDefault="00196877" w:rsidP="006E0D9E">
      <w:pPr>
        <w:jc w:val="both"/>
        <w:rPr>
          <w:sz w:val="20"/>
          <w:szCs w:val="20"/>
          <w:lang w:val="es-EC"/>
        </w:rPr>
      </w:pPr>
    </w:p>
    <w:p w:rsidR="00922ACD" w:rsidRDefault="00922ACD" w:rsidP="006E0D9E">
      <w:pPr>
        <w:jc w:val="both"/>
        <w:rPr>
          <w:b/>
          <w:i/>
          <w:lang w:val="es-EC"/>
        </w:rPr>
      </w:pPr>
    </w:p>
    <w:p w:rsidR="00196877" w:rsidRPr="00196877" w:rsidRDefault="00196877" w:rsidP="005F1F1E">
      <w:pPr>
        <w:jc w:val="both"/>
        <w:rPr>
          <w:b/>
          <w:i/>
          <w:sz w:val="20"/>
          <w:szCs w:val="20"/>
          <w:lang w:val="es-EC"/>
        </w:rPr>
      </w:pPr>
    </w:p>
    <w:sectPr w:rsidR="00196877" w:rsidRPr="00196877" w:rsidSect="00196877">
      <w:type w:val="continuous"/>
      <w:pgSz w:w="11906" w:h="16838"/>
      <w:pgMar w:top="1417" w:right="1701" w:bottom="1258" w:left="1701"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DC7" w:rsidRDefault="00DD5DC7" w:rsidP="002171B2">
      <w:r>
        <w:separator/>
      </w:r>
    </w:p>
  </w:endnote>
  <w:endnote w:type="continuationSeparator" w:id="1">
    <w:p w:rsidR="00DD5DC7" w:rsidRDefault="00DD5DC7" w:rsidP="00217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DC7" w:rsidRDefault="00DD5DC7" w:rsidP="002171B2">
      <w:r>
        <w:separator/>
      </w:r>
    </w:p>
  </w:footnote>
  <w:footnote w:type="continuationSeparator" w:id="1">
    <w:p w:rsidR="00DD5DC7" w:rsidRDefault="00DD5DC7" w:rsidP="00217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1B2" w:rsidRPr="00626CBD" w:rsidRDefault="007D35EB" w:rsidP="00626CBD">
    <w:pPr>
      <w:jc w:val="center"/>
      <w:rPr>
        <w:rFonts w:ascii="Cambria" w:hAnsi="Cambria"/>
        <w:b/>
        <w:sz w:val="28"/>
      </w:rPr>
    </w:pPr>
    <w:r>
      <w:rPr>
        <w:rFonts w:ascii="Cambria" w:hAnsi="Cambria"/>
        <w:noProof/>
        <w:lang w:val="en-US" w:eastAsia="en-US"/>
      </w:rPr>
      <w:drawing>
        <wp:anchor distT="0" distB="0" distL="114300" distR="114300" simplePos="0" relativeHeight="251657216" behindDoc="0" locked="0" layoutInCell="1" allowOverlap="1">
          <wp:simplePos x="0" y="0"/>
          <wp:positionH relativeFrom="column">
            <wp:posOffset>-685165</wp:posOffset>
          </wp:positionH>
          <wp:positionV relativeFrom="paragraph">
            <wp:posOffset>-104140</wp:posOffset>
          </wp:positionV>
          <wp:extent cx="800100" cy="800100"/>
          <wp:effectExtent l="19050" t="0" r="0"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r>
      <w:rPr>
        <w:rFonts w:ascii="Cambria" w:hAnsi="Cambria"/>
        <w:b/>
        <w:noProof/>
        <w:sz w:val="28"/>
        <w:lang w:val="en-US" w:eastAsia="en-US"/>
      </w:rPr>
      <w:drawing>
        <wp:anchor distT="0" distB="0" distL="114300" distR="114300" simplePos="0" relativeHeight="251658240" behindDoc="1" locked="0" layoutInCell="1" allowOverlap="1">
          <wp:simplePos x="0" y="0"/>
          <wp:positionH relativeFrom="column">
            <wp:posOffset>5487035</wp:posOffset>
          </wp:positionH>
          <wp:positionV relativeFrom="paragraph">
            <wp:posOffset>-218440</wp:posOffset>
          </wp:positionV>
          <wp:extent cx="796925" cy="914400"/>
          <wp:effectExtent l="19050" t="0" r="3175" b="0"/>
          <wp:wrapThrough wrapText="bothSides">
            <wp:wrapPolygon edited="0">
              <wp:start x="-516" y="0"/>
              <wp:lineTo x="-516" y="21150"/>
              <wp:lineTo x="21686" y="21150"/>
              <wp:lineTo x="21686" y="0"/>
              <wp:lineTo x="-516"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r w:rsidR="002171B2" w:rsidRPr="002171B2">
      <w:rPr>
        <w:rFonts w:ascii="Cambria" w:hAnsi="Cambria"/>
        <w:b/>
        <w:sz w:val="28"/>
      </w:rPr>
      <w:t>ESCUELA SUPERIOR POLITÉCNICA DEL LITORAL CENTRO DE INVESTIGACIÓN CIENTÍFICA Y TECNOLÓGICA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E55"/>
    <w:multiLevelType w:val="multilevel"/>
    <w:tmpl w:val="6AF48C2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F702BB"/>
    <w:multiLevelType w:val="hybridMultilevel"/>
    <w:tmpl w:val="B83A18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B164B"/>
    <w:multiLevelType w:val="hybridMultilevel"/>
    <w:tmpl w:val="4D6814C6"/>
    <w:lvl w:ilvl="0" w:tplc="E90613B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B236DF"/>
    <w:multiLevelType w:val="hybridMultilevel"/>
    <w:tmpl w:val="B58E79FA"/>
    <w:lvl w:ilvl="0" w:tplc="7A9E759A">
      <w:start w:val="1"/>
      <w:numFmt w:val="lowerLetter"/>
      <w:lvlText w:val="5.2.2.%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525D2F"/>
    <w:multiLevelType w:val="hybridMultilevel"/>
    <w:tmpl w:val="FED8297A"/>
    <w:lvl w:ilvl="0" w:tplc="4350AE0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9B10752"/>
    <w:multiLevelType w:val="hybridMultilevel"/>
    <w:tmpl w:val="FEF22636"/>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
    <w:nsid w:val="551D089A"/>
    <w:multiLevelType w:val="hybridMultilevel"/>
    <w:tmpl w:val="7CCE7D54"/>
    <w:lvl w:ilvl="0" w:tplc="765AE044">
      <w:start w:val="1"/>
      <w:numFmt w:val="decimal"/>
      <w:lvlText w:val="[%1]"/>
      <w:lvlJc w:val="left"/>
      <w:pPr>
        <w:ind w:left="720" w:hanging="360"/>
      </w:pPr>
      <w:rPr>
        <w:rFonts w:hint="eastAsia"/>
        <w:b/>
        <w:sz w:val="20"/>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7906FDF"/>
    <w:multiLevelType w:val="hybridMultilevel"/>
    <w:tmpl w:val="645A25CE"/>
    <w:lvl w:ilvl="0" w:tplc="5A443C0C">
      <w:start w:val="1"/>
      <w:numFmt w:val="decimal"/>
      <w:lvlText w:val="%1."/>
      <w:lvlJc w:val="left"/>
      <w:pPr>
        <w:tabs>
          <w:tab w:val="num" w:pos="720"/>
        </w:tabs>
        <w:ind w:left="720" w:hanging="360"/>
      </w:pPr>
      <w:rPr>
        <w:rFonts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E9E2BFF"/>
    <w:multiLevelType w:val="hybridMultilevel"/>
    <w:tmpl w:val="465465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4C06D97"/>
    <w:multiLevelType w:val="hybridMultilevel"/>
    <w:tmpl w:val="FF4A701A"/>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80D6D"/>
    <w:multiLevelType w:val="multilevel"/>
    <w:tmpl w:val="B58E79FA"/>
    <w:lvl w:ilvl="0">
      <w:start w:val="1"/>
      <w:numFmt w:val="lowerLetter"/>
      <w:lvlText w:val="5.2.2.%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7E216A6"/>
    <w:multiLevelType w:val="hybridMultilevel"/>
    <w:tmpl w:val="23D863D2"/>
    <w:lvl w:ilvl="0" w:tplc="0C0A0001">
      <w:start w:val="1"/>
      <w:numFmt w:val="bullet"/>
      <w:lvlText w:val=""/>
      <w:lvlJc w:val="left"/>
      <w:pPr>
        <w:tabs>
          <w:tab w:val="num" w:pos="787"/>
        </w:tabs>
        <w:ind w:left="787" w:hanging="360"/>
      </w:pPr>
      <w:rPr>
        <w:rFonts w:ascii="Symbol" w:hAnsi="Symbol" w:hint="default"/>
      </w:rPr>
    </w:lvl>
    <w:lvl w:ilvl="1" w:tplc="0C0A0003" w:tentative="1">
      <w:start w:val="1"/>
      <w:numFmt w:val="bullet"/>
      <w:lvlText w:val="o"/>
      <w:lvlJc w:val="left"/>
      <w:pPr>
        <w:tabs>
          <w:tab w:val="num" w:pos="1507"/>
        </w:tabs>
        <w:ind w:left="1507" w:hanging="360"/>
      </w:pPr>
      <w:rPr>
        <w:rFonts w:ascii="Courier New" w:hAnsi="Courier New" w:cs="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cs="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cs="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abstractNum w:abstractNumId="12">
    <w:nsid w:val="713725DC"/>
    <w:multiLevelType w:val="hybridMultilevel"/>
    <w:tmpl w:val="27E0194C"/>
    <w:lvl w:ilvl="0" w:tplc="998E41D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D5909D2"/>
    <w:multiLevelType w:val="hybridMultilevel"/>
    <w:tmpl w:val="DC763BB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2"/>
  </w:num>
  <w:num w:numId="5">
    <w:abstractNumId w:val="1"/>
  </w:num>
  <w:num w:numId="6">
    <w:abstractNumId w:val="11"/>
  </w:num>
  <w:num w:numId="7">
    <w:abstractNumId w:val="8"/>
  </w:num>
  <w:num w:numId="8">
    <w:abstractNumId w:val="3"/>
  </w:num>
  <w:num w:numId="9">
    <w:abstractNumId w:val="9"/>
  </w:num>
  <w:num w:numId="10">
    <w:abstractNumId w:val="10"/>
  </w:num>
  <w:num w:numId="11">
    <w:abstractNumId w:val="0"/>
  </w:num>
  <w:num w:numId="12">
    <w:abstractNumId w:val="1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8003B9"/>
    <w:rsid w:val="00001CE4"/>
    <w:rsid w:val="00031F21"/>
    <w:rsid w:val="00037219"/>
    <w:rsid w:val="00044D4D"/>
    <w:rsid w:val="00061DB9"/>
    <w:rsid w:val="00083805"/>
    <w:rsid w:val="000A228A"/>
    <w:rsid w:val="000A2BED"/>
    <w:rsid w:val="000C355B"/>
    <w:rsid w:val="000C4D2D"/>
    <w:rsid w:val="000F4E9D"/>
    <w:rsid w:val="00105896"/>
    <w:rsid w:val="00131E42"/>
    <w:rsid w:val="00141E1C"/>
    <w:rsid w:val="00171880"/>
    <w:rsid w:val="00196877"/>
    <w:rsid w:val="001A7993"/>
    <w:rsid w:val="001B63CA"/>
    <w:rsid w:val="001E48AB"/>
    <w:rsid w:val="001F374F"/>
    <w:rsid w:val="001F5886"/>
    <w:rsid w:val="0020514C"/>
    <w:rsid w:val="002171B2"/>
    <w:rsid w:val="00235799"/>
    <w:rsid w:val="0026306B"/>
    <w:rsid w:val="0028128B"/>
    <w:rsid w:val="002C4684"/>
    <w:rsid w:val="002E2068"/>
    <w:rsid w:val="003648F0"/>
    <w:rsid w:val="0038069C"/>
    <w:rsid w:val="003A329A"/>
    <w:rsid w:val="003A72F2"/>
    <w:rsid w:val="003B0ADA"/>
    <w:rsid w:val="003E4745"/>
    <w:rsid w:val="003E745B"/>
    <w:rsid w:val="00460529"/>
    <w:rsid w:val="004F219D"/>
    <w:rsid w:val="005559E7"/>
    <w:rsid w:val="00580E03"/>
    <w:rsid w:val="005F1F1E"/>
    <w:rsid w:val="0060575B"/>
    <w:rsid w:val="006241AC"/>
    <w:rsid w:val="00626CBD"/>
    <w:rsid w:val="00657C4C"/>
    <w:rsid w:val="006C20FA"/>
    <w:rsid w:val="006E0D9E"/>
    <w:rsid w:val="006F3B46"/>
    <w:rsid w:val="007174F8"/>
    <w:rsid w:val="0072098B"/>
    <w:rsid w:val="00735AFE"/>
    <w:rsid w:val="007407CE"/>
    <w:rsid w:val="007D35EB"/>
    <w:rsid w:val="007F60BB"/>
    <w:rsid w:val="008003B9"/>
    <w:rsid w:val="00807977"/>
    <w:rsid w:val="00825F1D"/>
    <w:rsid w:val="00850BFD"/>
    <w:rsid w:val="00853E94"/>
    <w:rsid w:val="008722E6"/>
    <w:rsid w:val="00880385"/>
    <w:rsid w:val="008B5B52"/>
    <w:rsid w:val="00922ACD"/>
    <w:rsid w:val="00930B57"/>
    <w:rsid w:val="009B49D4"/>
    <w:rsid w:val="009C6A6F"/>
    <w:rsid w:val="009D1BCF"/>
    <w:rsid w:val="009F2CC4"/>
    <w:rsid w:val="009F3887"/>
    <w:rsid w:val="00A12E6A"/>
    <w:rsid w:val="00A21051"/>
    <w:rsid w:val="00A34BA0"/>
    <w:rsid w:val="00A56926"/>
    <w:rsid w:val="00BD32F8"/>
    <w:rsid w:val="00BF6041"/>
    <w:rsid w:val="00C851A0"/>
    <w:rsid w:val="00CF62CB"/>
    <w:rsid w:val="00D12013"/>
    <w:rsid w:val="00D142FF"/>
    <w:rsid w:val="00D367C8"/>
    <w:rsid w:val="00D36D94"/>
    <w:rsid w:val="00D37156"/>
    <w:rsid w:val="00D42C5D"/>
    <w:rsid w:val="00D8764B"/>
    <w:rsid w:val="00D93310"/>
    <w:rsid w:val="00D96BF7"/>
    <w:rsid w:val="00DA27B1"/>
    <w:rsid w:val="00DB1281"/>
    <w:rsid w:val="00DD11D3"/>
    <w:rsid w:val="00DD5DC7"/>
    <w:rsid w:val="00E80F8D"/>
    <w:rsid w:val="00F145B1"/>
    <w:rsid w:val="00F35416"/>
    <w:rsid w:val="00F6756D"/>
    <w:rsid w:val="00FB571D"/>
    <w:rsid w:val="00FC6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3">
    <w:name w:val="heading 3"/>
    <w:basedOn w:val="Normal"/>
    <w:next w:val="Normal"/>
    <w:qFormat/>
    <w:rsid w:val="00825F1D"/>
    <w:pPr>
      <w:keepNext/>
      <w:jc w:val="center"/>
      <w:outlineLvl w:val="2"/>
    </w:pPr>
    <w:rPr>
      <w:b/>
      <w:sz w:val="28"/>
      <w:szCs w:val="20"/>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825F1D"/>
    <w:rPr>
      <w:color w:val="0000FF"/>
      <w:u w:val="single"/>
    </w:rPr>
  </w:style>
  <w:style w:type="paragraph" w:styleId="Prrafodelista">
    <w:name w:val="List Paragraph"/>
    <w:basedOn w:val="Normal"/>
    <w:qFormat/>
    <w:rsid w:val="00D42C5D"/>
    <w:pPr>
      <w:spacing w:after="200" w:line="276" w:lineRule="auto"/>
      <w:ind w:left="720"/>
      <w:contextualSpacing/>
    </w:pPr>
    <w:rPr>
      <w:rFonts w:ascii="Calibri" w:eastAsia="Calibri" w:hAnsi="Calibri"/>
      <w:sz w:val="22"/>
      <w:szCs w:val="22"/>
      <w:lang w:eastAsia="en-US"/>
    </w:rPr>
  </w:style>
  <w:style w:type="paragraph" w:styleId="Sinespaciado">
    <w:name w:val="No Spacing"/>
    <w:qFormat/>
    <w:rsid w:val="007174F8"/>
    <w:rPr>
      <w:rFonts w:ascii="Calibri" w:eastAsia="Calibri" w:hAnsi="Calibri"/>
      <w:sz w:val="22"/>
      <w:szCs w:val="22"/>
      <w:lang w:val="es-ES"/>
    </w:rPr>
  </w:style>
  <w:style w:type="paragraph" w:styleId="Encabezado">
    <w:name w:val="header"/>
    <w:basedOn w:val="Normal"/>
    <w:link w:val="EncabezadoCar"/>
    <w:rsid w:val="002171B2"/>
    <w:pPr>
      <w:tabs>
        <w:tab w:val="center" w:pos="4252"/>
        <w:tab w:val="right" w:pos="8504"/>
      </w:tabs>
    </w:pPr>
  </w:style>
  <w:style w:type="character" w:customStyle="1" w:styleId="EncabezadoCar">
    <w:name w:val="Encabezado Car"/>
    <w:basedOn w:val="Fuentedeprrafopredeter"/>
    <w:link w:val="Encabezado"/>
    <w:rsid w:val="002171B2"/>
    <w:rPr>
      <w:sz w:val="24"/>
      <w:szCs w:val="24"/>
    </w:rPr>
  </w:style>
  <w:style w:type="paragraph" w:styleId="Piedepgina">
    <w:name w:val="footer"/>
    <w:basedOn w:val="Normal"/>
    <w:link w:val="PiedepginaCar"/>
    <w:rsid w:val="002171B2"/>
    <w:pPr>
      <w:tabs>
        <w:tab w:val="center" w:pos="4252"/>
        <w:tab w:val="right" w:pos="8504"/>
      </w:tabs>
    </w:pPr>
  </w:style>
  <w:style w:type="character" w:customStyle="1" w:styleId="PiedepginaCar">
    <w:name w:val="Pie de página Car"/>
    <w:basedOn w:val="Fuentedeprrafopredeter"/>
    <w:link w:val="Piedepgina"/>
    <w:rsid w:val="002171B2"/>
    <w:rPr>
      <w:sz w:val="24"/>
      <w:szCs w:val="24"/>
    </w:rPr>
  </w:style>
</w:styles>
</file>

<file path=word/webSettings.xml><?xml version="1.0" encoding="utf-8"?>
<w:webSettings xmlns:r="http://schemas.openxmlformats.org/officeDocument/2006/relationships" xmlns:w="http://schemas.openxmlformats.org/wordprocessingml/2006/main">
  <w:divs>
    <w:div w:id="698969928">
      <w:bodyDiv w:val="1"/>
      <w:marLeft w:val="0"/>
      <w:marRight w:val="0"/>
      <w:marTop w:val="0"/>
      <w:marBottom w:val="0"/>
      <w:divBdr>
        <w:top w:val="none" w:sz="0" w:space="0" w:color="auto"/>
        <w:left w:val="none" w:sz="0" w:space="0" w:color="auto"/>
        <w:bottom w:val="none" w:sz="0" w:space="0" w:color="auto"/>
        <w:right w:val="none" w:sz="0" w:space="0" w:color="auto"/>
      </w:divBdr>
    </w:div>
    <w:div w:id="822888822">
      <w:bodyDiv w:val="1"/>
      <w:marLeft w:val="0"/>
      <w:marRight w:val="0"/>
      <w:marTop w:val="0"/>
      <w:marBottom w:val="0"/>
      <w:divBdr>
        <w:top w:val="none" w:sz="0" w:space="0" w:color="auto"/>
        <w:left w:val="none" w:sz="0" w:space="0" w:color="auto"/>
        <w:bottom w:val="none" w:sz="0" w:space="0" w:color="auto"/>
        <w:right w:val="none" w:sz="0" w:space="0" w:color="auto"/>
      </w:divBdr>
    </w:div>
    <w:div w:id="838081357">
      <w:bodyDiv w:val="1"/>
      <w:marLeft w:val="0"/>
      <w:marRight w:val="0"/>
      <w:marTop w:val="0"/>
      <w:marBottom w:val="0"/>
      <w:divBdr>
        <w:top w:val="none" w:sz="0" w:space="0" w:color="auto"/>
        <w:left w:val="none" w:sz="0" w:space="0" w:color="auto"/>
        <w:bottom w:val="none" w:sz="0" w:space="0" w:color="auto"/>
        <w:right w:val="none" w:sz="0" w:space="0" w:color="auto"/>
      </w:divBdr>
    </w:div>
    <w:div w:id="1235579161">
      <w:bodyDiv w:val="1"/>
      <w:marLeft w:val="0"/>
      <w:marRight w:val="0"/>
      <w:marTop w:val="0"/>
      <w:marBottom w:val="0"/>
      <w:divBdr>
        <w:top w:val="none" w:sz="0" w:space="0" w:color="auto"/>
        <w:left w:val="none" w:sz="0" w:space="0" w:color="auto"/>
        <w:bottom w:val="none" w:sz="0" w:space="0" w:color="auto"/>
        <w:right w:val="none" w:sz="0" w:space="0" w:color="auto"/>
      </w:divBdr>
    </w:div>
    <w:div w:id="16335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tigrero@espol.edu.ec"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ri.gov.ec" TargetMode="External"/><Relationship Id="rId10" Type="http://schemas.openxmlformats.org/officeDocument/2006/relationships/hyperlink" Target="mailto:atorres@espol.edu.ec" TargetMode="External"/><Relationship Id="rId4" Type="http://schemas.openxmlformats.org/officeDocument/2006/relationships/settings" Target="settings.xml"/><Relationship Id="rId9" Type="http://schemas.openxmlformats.org/officeDocument/2006/relationships/hyperlink" Target="mailto:javanord@espol.edu.ec"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J:\balance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Ventas\Mis%20documentos\balance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Ventas\Mis%20documentos\balanc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s-ES"/>
            </a:pPr>
            <a:r>
              <a:rPr lang="es-ES"/>
              <a:t>Compras</a:t>
            </a:r>
            <a:r>
              <a:rPr lang="es-ES" baseline="0"/>
              <a:t> realizadas año 2008</a:t>
            </a:r>
            <a:endParaRPr lang="es-ES"/>
          </a:p>
        </c:rich>
      </c:tx>
    </c:title>
    <c:plotArea>
      <c:layout/>
      <c:lineChart>
        <c:grouping val="stacked"/>
        <c:ser>
          <c:idx val="0"/>
          <c:order val="0"/>
          <c:tx>
            <c:strRef>
              <c:f>Hoja5!$C$39</c:f>
              <c:strCache>
                <c:ptCount val="1"/>
                <c:pt idx="0">
                  <c:v>Soda Caustica</c:v>
                </c:pt>
              </c:strCache>
            </c:strRef>
          </c:tx>
          <c:cat>
            <c:strRef>
              <c:f>Hoja5!$B$40:$B$51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Hoja5!$C$40:$C$51</c:f>
              <c:numCache>
                <c:formatCode>General</c:formatCode>
                <c:ptCount val="12"/>
                <c:pt idx="0">
                  <c:v>2143.8700000000003</c:v>
                </c:pt>
                <c:pt idx="1">
                  <c:v>3763.75</c:v>
                </c:pt>
                <c:pt idx="2">
                  <c:v>3877.3</c:v>
                </c:pt>
                <c:pt idx="3">
                  <c:v>2952.67</c:v>
                </c:pt>
                <c:pt idx="4">
                  <c:v>3206.74</c:v>
                </c:pt>
                <c:pt idx="5">
                  <c:v>3316.96</c:v>
                </c:pt>
                <c:pt idx="6">
                  <c:v>5334.03</c:v>
                </c:pt>
                <c:pt idx="7">
                  <c:v>3645.8900000000003</c:v>
                </c:pt>
                <c:pt idx="8">
                  <c:v>2465.44</c:v>
                </c:pt>
                <c:pt idx="9">
                  <c:v>3017.4</c:v>
                </c:pt>
                <c:pt idx="10">
                  <c:v>3946.8700000000003</c:v>
                </c:pt>
                <c:pt idx="11">
                  <c:v>4929.8600000000015</c:v>
                </c:pt>
              </c:numCache>
            </c:numRef>
          </c:val>
        </c:ser>
        <c:ser>
          <c:idx val="1"/>
          <c:order val="1"/>
          <c:tx>
            <c:strRef>
              <c:f>Hoja5!$D$39</c:f>
              <c:strCache>
                <c:ptCount val="1"/>
                <c:pt idx="0">
                  <c:v>Ácido Sulfúrico</c:v>
                </c:pt>
              </c:strCache>
            </c:strRef>
          </c:tx>
          <c:cat>
            <c:strRef>
              <c:f>Hoja5!$B$40:$B$51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Hoja5!$D$40:$D$51</c:f>
              <c:numCache>
                <c:formatCode>General</c:formatCode>
                <c:ptCount val="12"/>
                <c:pt idx="0">
                  <c:v>542.9</c:v>
                </c:pt>
                <c:pt idx="1">
                  <c:v>1057.71</c:v>
                </c:pt>
                <c:pt idx="2">
                  <c:v>1173.04</c:v>
                </c:pt>
                <c:pt idx="3">
                  <c:v>714.1</c:v>
                </c:pt>
                <c:pt idx="4">
                  <c:v>1132.56</c:v>
                </c:pt>
                <c:pt idx="5">
                  <c:v>1915.96</c:v>
                </c:pt>
                <c:pt idx="6">
                  <c:v>1641.9</c:v>
                </c:pt>
                <c:pt idx="7">
                  <c:v>1189.8499999999999</c:v>
                </c:pt>
                <c:pt idx="8">
                  <c:v>1411.61</c:v>
                </c:pt>
                <c:pt idx="9">
                  <c:v>1087.75</c:v>
                </c:pt>
                <c:pt idx="10">
                  <c:v>1114.07</c:v>
                </c:pt>
                <c:pt idx="11">
                  <c:v>855.28000000000009</c:v>
                </c:pt>
              </c:numCache>
            </c:numRef>
          </c:val>
        </c:ser>
        <c:ser>
          <c:idx val="2"/>
          <c:order val="2"/>
          <c:tx>
            <c:strRef>
              <c:f>Hoja5!$E$39</c:f>
              <c:strCache>
                <c:ptCount val="1"/>
                <c:pt idx="0">
                  <c:v>Ácido Fosfórico</c:v>
                </c:pt>
              </c:strCache>
            </c:strRef>
          </c:tx>
          <c:cat>
            <c:strRef>
              <c:f>Hoja5!$B$40:$B$51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Hoja5!$E$40:$E$51</c:f>
              <c:numCache>
                <c:formatCode>General</c:formatCode>
                <c:ptCount val="12"/>
                <c:pt idx="0">
                  <c:v>137.51</c:v>
                </c:pt>
                <c:pt idx="1">
                  <c:v>277.74</c:v>
                </c:pt>
                <c:pt idx="2">
                  <c:v>285.07</c:v>
                </c:pt>
                <c:pt idx="3">
                  <c:v>212.88000000000002</c:v>
                </c:pt>
                <c:pt idx="4">
                  <c:v>250.85000000000002</c:v>
                </c:pt>
                <c:pt idx="5">
                  <c:v>247.79</c:v>
                </c:pt>
                <c:pt idx="6">
                  <c:v>501.98999999999995</c:v>
                </c:pt>
                <c:pt idx="7">
                  <c:v>357.06</c:v>
                </c:pt>
                <c:pt idx="8">
                  <c:v>207.94</c:v>
                </c:pt>
                <c:pt idx="9">
                  <c:v>205.67</c:v>
                </c:pt>
                <c:pt idx="10">
                  <c:v>338.75</c:v>
                </c:pt>
                <c:pt idx="11">
                  <c:v>358.90999999999997</c:v>
                </c:pt>
              </c:numCache>
            </c:numRef>
          </c:val>
        </c:ser>
        <c:ser>
          <c:idx val="3"/>
          <c:order val="3"/>
          <c:tx>
            <c:strRef>
              <c:f>Hoja5!$F$39</c:f>
              <c:strCache>
                <c:ptCount val="1"/>
                <c:pt idx="0">
                  <c:v>Sal</c:v>
                </c:pt>
              </c:strCache>
            </c:strRef>
          </c:tx>
          <c:cat>
            <c:strRef>
              <c:f>Hoja5!$B$40:$B$51</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Hoja5!$F$40:$F$51</c:f>
              <c:numCache>
                <c:formatCode>General</c:formatCode>
                <c:ptCount val="12"/>
                <c:pt idx="0">
                  <c:v>132.5</c:v>
                </c:pt>
                <c:pt idx="1">
                  <c:v>235</c:v>
                </c:pt>
                <c:pt idx="2">
                  <c:v>200</c:v>
                </c:pt>
                <c:pt idx="3">
                  <c:v>160</c:v>
                </c:pt>
                <c:pt idx="4">
                  <c:v>155</c:v>
                </c:pt>
                <c:pt idx="5">
                  <c:v>210</c:v>
                </c:pt>
                <c:pt idx="6">
                  <c:v>210</c:v>
                </c:pt>
                <c:pt idx="7">
                  <c:v>150</c:v>
                </c:pt>
                <c:pt idx="8">
                  <c:v>90</c:v>
                </c:pt>
                <c:pt idx="9">
                  <c:v>92.5</c:v>
                </c:pt>
                <c:pt idx="10">
                  <c:v>172.5</c:v>
                </c:pt>
                <c:pt idx="11">
                  <c:v>125</c:v>
                </c:pt>
              </c:numCache>
            </c:numRef>
          </c:val>
        </c:ser>
        <c:marker val="1"/>
        <c:axId val="121994624"/>
        <c:axId val="122000512"/>
      </c:lineChart>
      <c:catAx>
        <c:axId val="121994624"/>
        <c:scaling>
          <c:orientation val="minMax"/>
        </c:scaling>
        <c:axPos val="b"/>
        <c:numFmt formatCode="General" sourceLinked="1"/>
        <c:majorTickMark val="none"/>
        <c:tickLblPos val="nextTo"/>
        <c:txPr>
          <a:bodyPr/>
          <a:lstStyle/>
          <a:p>
            <a:pPr>
              <a:defRPr lang="es-ES"/>
            </a:pPr>
            <a:endParaRPr lang="en-US"/>
          </a:p>
        </c:txPr>
        <c:crossAx val="122000512"/>
        <c:crosses val="autoZero"/>
        <c:auto val="1"/>
        <c:lblAlgn val="ctr"/>
        <c:lblOffset val="100"/>
      </c:catAx>
      <c:valAx>
        <c:axId val="122000512"/>
        <c:scaling>
          <c:orientation val="minMax"/>
        </c:scaling>
        <c:axPos val="l"/>
        <c:majorGridlines/>
        <c:numFmt formatCode="General" sourceLinked="1"/>
        <c:majorTickMark val="none"/>
        <c:tickLblPos val="nextTo"/>
        <c:txPr>
          <a:bodyPr/>
          <a:lstStyle/>
          <a:p>
            <a:pPr>
              <a:defRPr lang="es-ES"/>
            </a:pPr>
            <a:endParaRPr lang="en-US"/>
          </a:p>
        </c:txPr>
        <c:crossAx val="121994624"/>
        <c:crosses val="autoZero"/>
        <c:crossBetween val="between"/>
      </c:valAx>
    </c:plotArea>
    <c:legend>
      <c:legendPos val="r"/>
      <c:txPr>
        <a:bodyPr/>
        <a:lstStyle/>
        <a:p>
          <a:pPr>
            <a:defRPr lang="es-E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s-ES"/>
            </a:pPr>
            <a:r>
              <a:rPr lang="es-ES"/>
              <a:t>Retenciones</a:t>
            </a:r>
            <a:r>
              <a:rPr lang="es-ES" baseline="0"/>
              <a:t> en la fuente</a:t>
            </a:r>
            <a:endParaRPr lang="es-ES"/>
          </a:p>
        </c:rich>
      </c:tx>
    </c:title>
    <c:view3D>
      <c:rotX val="30"/>
      <c:perspective val="30"/>
    </c:view3D>
    <c:plotArea>
      <c:layout/>
      <c:pie3DChart>
        <c:varyColors val="1"/>
        <c:ser>
          <c:idx val="0"/>
          <c:order val="0"/>
          <c:dLbls>
            <c:txPr>
              <a:bodyPr/>
              <a:lstStyle/>
              <a:p>
                <a:pPr>
                  <a:defRPr lang="es-ES"/>
                </a:pPr>
                <a:endParaRPr lang="en-US"/>
              </a:p>
            </c:txPr>
            <c:showVal val="1"/>
          </c:dLbls>
          <c:cat>
            <c:strRef>
              <c:f>Hoja5!$C$109:$I$109</c:f>
              <c:strCache>
                <c:ptCount val="7"/>
                <c:pt idx="0">
                  <c:v>Ret. Relacion de dependencia</c:v>
                </c:pt>
                <c:pt idx="1">
                  <c:v>Ret. En la fuente 1%</c:v>
                </c:pt>
                <c:pt idx="2">
                  <c:v>Ret. En la fuente 2%</c:v>
                </c:pt>
                <c:pt idx="3">
                  <c:v>Ret. En la fuente por pagos  en el exterior</c:v>
                </c:pt>
                <c:pt idx="4">
                  <c:v>Ret. En la fuente 8%</c:v>
                </c:pt>
                <c:pt idx="5">
                  <c:v>Ret. Servicios basicos</c:v>
                </c:pt>
                <c:pt idx="6">
                  <c:v>Otras no Retenciones</c:v>
                </c:pt>
              </c:strCache>
            </c:strRef>
          </c:cat>
          <c:val>
            <c:numRef>
              <c:f>Hoja5!$C$110:$I$110</c:f>
              <c:numCache>
                <c:formatCode>General</c:formatCode>
                <c:ptCount val="7"/>
                <c:pt idx="0">
                  <c:v>35966.020000000004</c:v>
                </c:pt>
                <c:pt idx="1">
                  <c:v>15206.720000000008</c:v>
                </c:pt>
                <c:pt idx="2">
                  <c:v>9265.8599999999788</c:v>
                </c:pt>
                <c:pt idx="3">
                  <c:v>4326.88</c:v>
                </c:pt>
                <c:pt idx="4">
                  <c:v>4019.09</c:v>
                </c:pt>
                <c:pt idx="5" formatCode="_(* #,##0.00_);_(* \(#,##0.00\);_(* &quot;-&quot;??_);_(@_)">
                  <c:v>228.91</c:v>
                </c:pt>
                <c:pt idx="6" formatCode="_(* #,##0.00_);_(* \(#,##0.00\);_(* &quot;-&quot;??_);_(@_)">
                  <c:v>54353.65</c:v>
                </c:pt>
              </c:numCache>
            </c:numRef>
          </c:val>
        </c:ser>
        <c:dLbls>
          <c:showPercent val="1"/>
        </c:dLbls>
      </c:pie3DChart>
    </c:plotArea>
    <c:legend>
      <c:legendPos val="r"/>
      <c:txPr>
        <a:bodyPr/>
        <a:lstStyle/>
        <a:p>
          <a:pPr>
            <a:defRPr lang="es-ES"/>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s-ES"/>
            </a:pPr>
            <a:r>
              <a:rPr lang="es-ES"/>
              <a:t>Retenciones</a:t>
            </a:r>
            <a:r>
              <a:rPr lang="es-ES" baseline="0"/>
              <a:t> del IVA</a:t>
            </a:r>
            <a:endParaRPr lang="es-ES"/>
          </a:p>
        </c:rich>
      </c:tx>
    </c:title>
    <c:plotArea>
      <c:layout/>
      <c:barChart>
        <c:barDir val="col"/>
        <c:grouping val="clustered"/>
        <c:ser>
          <c:idx val="0"/>
          <c:order val="0"/>
          <c:tx>
            <c:strRef>
              <c:f>Hoja5!$C$135</c:f>
              <c:strCache>
                <c:ptCount val="1"/>
                <c:pt idx="0">
                  <c:v>IVA retenido a provedores 30%</c:v>
                </c:pt>
              </c:strCache>
            </c:strRef>
          </c:tx>
          <c:cat>
            <c:strRef>
              <c:f>Hoja5!$B$136:$B$147</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Hoja5!$C$136:$C$147</c:f>
              <c:numCache>
                <c:formatCode>General</c:formatCode>
                <c:ptCount val="12"/>
                <c:pt idx="0">
                  <c:v>43.45</c:v>
                </c:pt>
                <c:pt idx="1">
                  <c:v>91.79</c:v>
                </c:pt>
                <c:pt idx="2">
                  <c:v>178.38000000000017</c:v>
                </c:pt>
                <c:pt idx="3">
                  <c:v>265.67</c:v>
                </c:pt>
                <c:pt idx="4">
                  <c:v>290.2</c:v>
                </c:pt>
                <c:pt idx="5">
                  <c:v>93.88</c:v>
                </c:pt>
                <c:pt idx="6">
                  <c:v>190.34</c:v>
                </c:pt>
                <c:pt idx="7">
                  <c:v>123.64</c:v>
                </c:pt>
                <c:pt idx="8">
                  <c:v>30.17</c:v>
                </c:pt>
                <c:pt idx="9">
                  <c:v>9.48</c:v>
                </c:pt>
                <c:pt idx="10">
                  <c:v>17.88</c:v>
                </c:pt>
                <c:pt idx="11">
                  <c:v>43.67</c:v>
                </c:pt>
              </c:numCache>
            </c:numRef>
          </c:val>
        </c:ser>
        <c:ser>
          <c:idx val="1"/>
          <c:order val="1"/>
          <c:tx>
            <c:strRef>
              <c:f>Hoja5!$D$135</c:f>
              <c:strCache>
                <c:ptCount val="1"/>
                <c:pt idx="0">
                  <c:v>IVA retenido a provedores 70%</c:v>
                </c:pt>
              </c:strCache>
            </c:strRef>
          </c:tx>
          <c:cat>
            <c:strRef>
              <c:f>Hoja5!$B$136:$B$147</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Hoja5!$D$136:$D$147</c:f>
              <c:numCache>
                <c:formatCode>General</c:formatCode>
                <c:ptCount val="12"/>
                <c:pt idx="0">
                  <c:v>152.15</c:v>
                </c:pt>
                <c:pt idx="1">
                  <c:v>355.3</c:v>
                </c:pt>
                <c:pt idx="2">
                  <c:v>380.32</c:v>
                </c:pt>
                <c:pt idx="3">
                  <c:v>856.93</c:v>
                </c:pt>
                <c:pt idx="4">
                  <c:v>287.83</c:v>
                </c:pt>
                <c:pt idx="5">
                  <c:v>220.58</c:v>
                </c:pt>
                <c:pt idx="6">
                  <c:v>174.36</c:v>
                </c:pt>
                <c:pt idx="7">
                  <c:v>1294.8599999999999</c:v>
                </c:pt>
                <c:pt idx="8">
                  <c:v>1326.28</c:v>
                </c:pt>
                <c:pt idx="9">
                  <c:v>249.4</c:v>
                </c:pt>
                <c:pt idx="10">
                  <c:v>1223.1799999999998</c:v>
                </c:pt>
                <c:pt idx="11">
                  <c:v>1828.98</c:v>
                </c:pt>
              </c:numCache>
            </c:numRef>
          </c:val>
        </c:ser>
        <c:ser>
          <c:idx val="2"/>
          <c:order val="2"/>
          <c:tx>
            <c:strRef>
              <c:f>Hoja5!$E$135</c:f>
              <c:strCache>
                <c:ptCount val="1"/>
                <c:pt idx="0">
                  <c:v>IVA retenido a provedores 100%</c:v>
                </c:pt>
              </c:strCache>
            </c:strRef>
          </c:tx>
          <c:cat>
            <c:strRef>
              <c:f>Hoja5!$B$136:$B$147</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Hoja5!$E$136:$E$147</c:f>
              <c:numCache>
                <c:formatCode>General</c:formatCode>
                <c:ptCount val="12"/>
                <c:pt idx="0">
                  <c:v>339.57</c:v>
                </c:pt>
                <c:pt idx="1">
                  <c:v>451.1</c:v>
                </c:pt>
                <c:pt idx="2">
                  <c:v>356.88</c:v>
                </c:pt>
                <c:pt idx="3">
                  <c:v>239.68</c:v>
                </c:pt>
                <c:pt idx="4">
                  <c:v>282.09000000000003</c:v>
                </c:pt>
                <c:pt idx="5">
                  <c:v>637.05999999999949</c:v>
                </c:pt>
                <c:pt idx="6">
                  <c:v>397.65000000000032</c:v>
                </c:pt>
                <c:pt idx="7">
                  <c:v>325.95</c:v>
                </c:pt>
                <c:pt idx="8">
                  <c:v>2102.4699999999998</c:v>
                </c:pt>
                <c:pt idx="9">
                  <c:v>416.03999999999962</c:v>
                </c:pt>
                <c:pt idx="10">
                  <c:v>825.66</c:v>
                </c:pt>
                <c:pt idx="11">
                  <c:v>1116.47</c:v>
                </c:pt>
              </c:numCache>
            </c:numRef>
          </c:val>
        </c:ser>
        <c:axId val="101811712"/>
        <c:axId val="101822464"/>
      </c:barChart>
      <c:catAx>
        <c:axId val="101811712"/>
        <c:scaling>
          <c:orientation val="minMax"/>
        </c:scaling>
        <c:axPos val="b"/>
        <c:title>
          <c:tx>
            <c:rich>
              <a:bodyPr/>
              <a:lstStyle/>
              <a:p>
                <a:pPr>
                  <a:defRPr lang="es-ES"/>
                </a:pPr>
                <a:r>
                  <a:rPr lang="es-ES"/>
                  <a:t>Meses</a:t>
                </a:r>
              </a:p>
            </c:rich>
          </c:tx>
        </c:title>
        <c:majorTickMark val="none"/>
        <c:tickLblPos val="nextTo"/>
        <c:txPr>
          <a:bodyPr/>
          <a:lstStyle/>
          <a:p>
            <a:pPr>
              <a:defRPr lang="es-ES"/>
            </a:pPr>
            <a:endParaRPr lang="en-US"/>
          </a:p>
        </c:txPr>
        <c:crossAx val="101822464"/>
        <c:crosses val="autoZero"/>
        <c:auto val="1"/>
        <c:lblAlgn val="ctr"/>
        <c:lblOffset val="100"/>
      </c:catAx>
      <c:valAx>
        <c:axId val="101822464"/>
        <c:scaling>
          <c:orientation val="minMax"/>
        </c:scaling>
        <c:axPos val="l"/>
        <c:majorGridlines/>
        <c:title>
          <c:tx>
            <c:rich>
              <a:bodyPr/>
              <a:lstStyle/>
              <a:p>
                <a:pPr>
                  <a:defRPr lang="es-ES"/>
                </a:pPr>
                <a:r>
                  <a:rPr lang="es-ES"/>
                  <a:t>Dólares</a:t>
                </a:r>
              </a:p>
            </c:rich>
          </c:tx>
        </c:title>
        <c:numFmt formatCode="General" sourceLinked="1"/>
        <c:tickLblPos val="nextTo"/>
        <c:txPr>
          <a:bodyPr/>
          <a:lstStyle/>
          <a:p>
            <a:pPr>
              <a:defRPr lang="es-ES"/>
            </a:pPr>
            <a:endParaRPr lang="en-US"/>
          </a:p>
        </c:txPr>
        <c:crossAx val="101811712"/>
        <c:crosses val="autoZero"/>
        <c:crossBetween val="between"/>
      </c:valAx>
    </c:plotArea>
    <c:legend>
      <c:legendPos val="r"/>
      <c:txPr>
        <a:bodyPr/>
        <a:lstStyle/>
        <a:p>
          <a:pPr>
            <a:defRPr lang="es-ES"/>
          </a:pPr>
          <a:endParaRPr lang="en-U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E48D-288A-47EB-A395-D5E5216C5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10994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Resumen</vt:lpstr>
    </vt:vector>
  </TitlesOfParts>
  <Company>H- E - S - A</Company>
  <LinksUpToDate>false</LinksUpToDate>
  <CharactersWithSpaces>12897</CharactersWithSpaces>
  <SharedDoc>false</SharedDoc>
  <HLinks>
    <vt:vector size="24" baseType="variant">
      <vt:variant>
        <vt:i4>6946862</vt:i4>
      </vt:variant>
      <vt:variant>
        <vt:i4>9</vt:i4>
      </vt:variant>
      <vt:variant>
        <vt:i4>0</vt:i4>
      </vt:variant>
      <vt:variant>
        <vt:i4>5</vt:i4>
      </vt:variant>
      <vt:variant>
        <vt:lpwstr>http://www.sri.gov.ec/</vt:lpwstr>
      </vt:variant>
      <vt:variant>
        <vt:lpwstr/>
      </vt:variant>
      <vt:variant>
        <vt:i4>6357009</vt:i4>
      </vt:variant>
      <vt:variant>
        <vt:i4>6</vt:i4>
      </vt:variant>
      <vt:variant>
        <vt:i4>0</vt:i4>
      </vt:variant>
      <vt:variant>
        <vt:i4>5</vt:i4>
      </vt:variant>
      <vt:variant>
        <vt:lpwstr>mailto:atorres@espol.edu.ec</vt:lpwstr>
      </vt:variant>
      <vt:variant>
        <vt:lpwstr/>
      </vt:variant>
      <vt:variant>
        <vt:i4>3735629</vt:i4>
      </vt:variant>
      <vt:variant>
        <vt:i4>3</vt:i4>
      </vt:variant>
      <vt:variant>
        <vt:i4>0</vt:i4>
      </vt:variant>
      <vt:variant>
        <vt:i4>5</vt:i4>
      </vt:variant>
      <vt:variant>
        <vt:lpwstr>mailto:javanord@espol.edu.ec</vt:lpwstr>
      </vt:variant>
      <vt:variant>
        <vt:lpwstr/>
      </vt:variant>
      <vt:variant>
        <vt:i4>2097247</vt:i4>
      </vt:variant>
      <vt:variant>
        <vt:i4>0</vt:i4>
      </vt:variant>
      <vt:variant>
        <vt:i4>0</vt:i4>
      </vt:variant>
      <vt:variant>
        <vt:i4>5</vt:i4>
      </vt:variant>
      <vt:variant>
        <vt:lpwstr>mailto:ptigrero@espol.edu.ec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usuario</dc:creator>
  <cp:keywords/>
  <dc:description/>
  <cp:lastModifiedBy>ehernand</cp:lastModifiedBy>
  <cp:revision>2</cp:revision>
  <dcterms:created xsi:type="dcterms:W3CDTF">2010-07-28T22:48:00Z</dcterms:created>
  <dcterms:modified xsi:type="dcterms:W3CDTF">2010-07-28T22:48:00Z</dcterms:modified>
</cp:coreProperties>
</file>