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E3" w:rsidRPr="00BF4E5E" w:rsidRDefault="00BF4E5E" w:rsidP="00BF4E5E">
      <w:pPr>
        <w:jc w:val="both"/>
        <w:rPr>
          <w:b/>
          <w:lang w:val="es-ES_tradnl"/>
        </w:rPr>
      </w:pPr>
      <w:r w:rsidRPr="00BF4E5E">
        <w:rPr>
          <w:b/>
          <w:lang w:val="es-ES_tradnl"/>
        </w:rPr>
        <w:t xml:space="preserve">“Análisis estadístico multivariante de los registros de la Corporación Aduanera Ecuatoriana. </w:t>
      </w:r>
      <w:r w:rsidR="004C2DF5">
        <w:rPr>
          <w:b/>
          <w:lang w:val="es-ES_tradnl"/>
        </w:rPr>
        <w:t>Región</w:t>
      </w:r>
      <w:r w:rsidRPr="00BF4E5E">
        <w:rPr>
          <w:b/>
          <w:lang w:val="es-ES_tradnl"/>
        </w:rPr>
        <w:t xml:space="preserve"> </w:t>
      </w:r>
      <w:r w:rsidR="00E81AF5">
        <w:rPr>
          <w:b/>
          <w:lang w:val="es-ES_tradnl"/>
        </w:rPr>
        <w:t>Costa</w:t>
      </w:r>
      <w:r w:rsidRPr="00BF4E5E">
        <w:rPr>
          <w:b/>
          <w:lang w:val="es-ES_tradnl"/>
        </w:rPr>
        <w:t>”</w:t>
      </w:r>
    </w:p>
    <w:p w:rsidR="00BF4E5E" w:rsidRDefault="00BF4E5E">
      <w:pPr>
        <w:rPr>
          <w:lang w:val="es-ES_tradnl"/>
        </w:rPr>
      </w:pPr>
    </w:p>
    <w:p w:rsidR="00BF4E5E" w:rsidRPr="00E81AF5" w:rsidRDefault="00E81AF5">
      <w:r w:rsidRPr="00E81AF5">
        <w:t>Ingrid del Consuelo Parrales Morales</w:t>
      </w:r>
      <w:r w:rsidR="00BF4E5E" w:rsidRPr="00E81AF5">
        <w:rPr>
          <w:vertAlign w:val="superscript"/>
        </w:rPr>
        <w:t>1</w:t>
      </w:r>
      <w:r w:rsidR="00BF4E5E" w:rsidRPr="00E81AF5">
        <w:t>, John Ramírez Figueroa</w:t>
      </w:r>
      <w:r w:rsidR="00BF4E5E" w:rsidRPr="00E81AF5">
        <w:rPr>
          <w:vertAlign w:val="superscript"/>
        </w:rPr>
        <w:t>2</w:t>
      </w:r>
    </w:p>
    <w:p w:rsidR="00BF4E5E" w:rsidRPr="00E81AF5" w:rsidRDefault="00BF4E5E"/>
    <w:p w:rsidR="00F727F1" w:rsidRPr="00F727F1" w:rsidRDefault="00F727F1">
      <w:r w:rsidRPr="00DA5110">
        <w:rPr>
          <w:vertAlign w:val="superscript"/>
        </w:rPr>
        <w:t>1</w:t>
      </w:r>
      <w:r w:rsidRPr="00F727F1">
        <w:t>Ingeniero Estadística e Informática 2004</w:t>
      </w:r>
    </w:p>
    <w:p w:rsidR="00F727F1" w:rsidRDefault="00F727F1" w:rsidP="00B44D34">
      <w:pPr>
        <w:jc w:val="both"/>
      </w:pPr>
      <w:r w:rsidRPr="00DA5110">
        <w:rPr>
          <w:vertAlign w:val="superscript"/>
        </w:rPr>
        <w:t>2</w:t>
      </w:r>
      <w:r w:rsidRPr="00F727F1">
        <w:t>Director de Tesis, Matem</w:t>
      </w:r>
      <w:r>
        <w:t>ático</w:t>
      </w:r>
      <w:r w:rsidR="00DA5110">
        <w:t>, Politécnica Nacional, 1996. Profesor de ESPOL desde 199</w:t>
      </w:r>
      <w:r w:rsidR="001A2F5B">
        <w:t>6</w:t>
      </w:r>
    </w:p>
    <w:p w:rsidR="00DA5110" w:rsidRDefault="00DA5110"/>
    <w:p w:rsidR="00DA5110" w:rsidRPr="00DA5110" w:rsidRDefault="00DA5110">
      <w:pPr>
        <w:rPr>
          <w:b/>
          <w:u w:val="single"/>
        </w:rPr>
      </w:pPr>
      <w:r w:rsidRPr="00DA5110">
        <w:rPr>
          <w:b/>
          <w:u w:val="single"/>
        </w:rPr>
        <w:t>RESUMEN</w:t>
      </w:r>
    </w:p>
    <w:p w:rsidR="00DA5110" w:rsidRDefault="00DA5110"/>
    <w:p w:rsidR="006437D4" w:rsidRDefault="006437D4" w:rsidP="006437D4">
      <w:pPr>
        <w:jc w:val="both"/>
      </w:pPr>
      <w:r>
        <w:t xml:space="preserve">El presente trabajo trata sobre el “Análisis Estadístico Multivariante de los Registros de la Corporación Aduanera Ecuatoriana. Caso </w:t>
      </w:r>
      <w:r w:rsidR="00247AE1">
        <w:t>Costa</w:t>
      </w:r>
      <w:r>
        <w:t>”, enfocado a las importaciones que se realizaron en los años 2002 - 2003.</w:t>
      </w:r>
    </w:p>
    <w:p w:rsidR="006437D4" w:rsidRDefault="006437D4" w:rsidP="006437D4">
      <w:pPr>
        <w:jc w:val="both"/>
      </w:pPr>
      <w:r>
        <w:t>Se desarrolla los antecedentes y funcionamiento de la Corporación Aduanera Ecuatoriana, se revisan los fundamentos teóricos para el análisis de las variables con las diferentes técnicas de muestreo y multivariado, y las terminologías aduaneras, se presenta las variables a ser analizadas con sus respectivas codificaciones, y finalmente se realiza la estadística descriptiva y multivariado de las variables investigadas.</w:t>
      </w:r>
    </w:p>
    <w:p w:rsidR="004C26EB" w:rsidRDefault="004C26EB" w:rsidP="006437D4">
      <w:pPr>
        <w:jc w:val="both"/>
      </w:pPr>
    </w:p>
    <w:p w:rsidR="004C26EB" w:rsidRPr="00774F58" w:rsidRDefault="00230B96" w:rsidP="00230B96">
      <w:pPr>
        <w:tabs>
          <w:tab w:val="left" w:pos="2685"/>
        </w:tabs>
        <w:jc w:val="both"/>
        <w:rPr>
          <w:b/>
          <w:u w:val="single"/>
        </w:rPr>
      </w:pPr>
      <w:r w:rsidRPr="00774F58">
        <w:rPr>
          <w:b/>
          <w:u w:val="single"/>
        </w:rPr>
        <w:t>INTRO</w:t>
      </w:r>
      <w:r w:rsidR="00774F58">
        <w:rPr>
          <w:b/>
          <w:u w:val="single"/>
        </w:rPr>
        <w:t>D</w:t>
      </w:r>
      <w:r w:rsidRPr="00774F58">
        <w:rPr>
          <w:b/>
          <w:u w:val="single"/>
        </w:rPr>
        <w:t>UCCIÓN</w:t>
      </w:r>
    </w:p>
    <w:p w:rsidR="004C26EB" w:rsidRDefault="004C26EB" w:rsidP="00DA5110">
      <w:pPr>
        <w:jc w:val="both"/>
      </w:pPr>
    </w:p>
    <w:p w:rsidR="00247AE1" w:rsidRDefault="00247AE1" w:rsidP="006437D4">
      <w:pPr>
        <w:jc w:val="both"/>
      </w:pPr>
      <w:r w:rsidRPr="00247AE1">
        <w:t>El desarrollo de un País, depende en grado sumo de las importaciones que este realice. Los distintos sectores económicos tales como el agrario, empresarial, comercial, industrial, etc., basan su competitividad y productividad en los insumos y maquinarias que obtienen del exterior. Sin embargo estas importaciones constituyen un egreso de divisas, que por la situación socioeconómica que vive el país es perjudicial, pues al disminuir el circulante en el medio provocaría un desequilibrio económico que conllevaría a una inflación. Por ese motivo el Estado trata de controlar y proteger el mercado nacional, mediante el pago de impuesto a las importaciones.</w:t>
      </w:r>
    </w:p>
    <w:p w:rsidR="006437D4" w:rsidRPr="00247AE1" w:rsidRDefault="00247AE1" w:rsidP="006437D4">
      <w:pPr>
        <w:jc w:val="both"/>
      </w:pPr>
      <w:r w:rsidRPr="00247AE1">
        <w:t>.</w:t>
      </w:r>
    </w:p>
    <w:p w:rsidR="006437D4" w:rsidRDefault="006437D4" w:rsidP="006437D4">
      <w:pPr>
        <w:jc w:val="both"/>
      </w:pPr>
      <w:r>
        <w:t>Por lo tanto e</w:t>
      </w:r>
      <w:r w:rsidRPr="00151C88">
        <w:t>l propósito de  est</w:t>
      </w:r>
      <w:r>
        <w:t>e</w:t>
      </w:r>
      <w:r w:rsidRPr="00151C88">
        <w:t xml:space="preserve"> </w:t>
      </w:r>
      <w:r>
        <w:t>estudio</w:t>
      </w:r>
      <w:r w:rsidRPr="00151C88">
        <w:t xml:space="preserve"> es determinar cuales son las variables que inciden en las importaciones.</w:t>
      </w:r>
    </w:p>
    <w:p w:rsidR="004C26EB" w:rsidRDefault="004C26EB" w:rsidP="00DA5110">
      <w:pPr>
        <w:jc w:val="both"/>
      </w:pPr>
    </w:p>
    <w:p w:rsidR="009C2E21" w:rsidRPr="009C2E21" w:rsidRDefault="009C2E21" w:rsidP="00DA5110">
      <w:pPr>
        <w:jc w:val="both"/>
        <w:rPr>
          <w:b/>
          <w:u w:val="single"/>
        </w:rPr>
      </w:pPr>
      <w:r>
        <w:rPr>
          <w:b/>
          <w:u w:val="single"/>
        </w:rPr>
        <w:t>CONTENIDO</w:t>
      </w:r>
    </w:p>
    <w:p w:rsidR="009C2E21" w:rsidRDefault="009C2E21" w:rsidP="00DA5110">
      <w:pPr>
        <w:jc w:val="both"/>
      </w:pPr>
    </w:p>
    <w:p w:rsidR="009C2E21" w:rsidRDefault="002223C8" w:rsidP="002223C8">
      <w:pPr>
        <w:numPr>
          <w:ilvl w:val="0"/>
          <w:numId w:val="1"/>
        </w:numPr>
        <w:tabs>
          <w:tab w:val="clear" w:pos="720"/>
          <w:tab w:val="num" w:pos="360"/>
        </w:tabs>
        <w:ind w:left="360"/>
        <w:jc w:val="both"/>
      </w:pPr>
      <w:r>
        <w:t xml:space="preserve">  </w:t>
      </w:r>
      <w:r w:rsidR="00CF4411">
        <w:t>ADUANA ECUATORIANA</w:t>
      </w:r>
    </w:p>
    <w:p w:rsidR="002223C8" w:rsidRDefault="002223C8" w:rsidP="002223C8">
      <w:pPr>
        <w:ind w:left="360"/>
        <w:jc w:val="both"/>
      </w:pPr>
    </w:p>
    <w:p w:rsidR="00CF4411" w:rsidRDefault="00CF4411" w:rsidP="00CF4411">
      <w:pPr>
        <w:jc w:val="both"/>
      </w:pPr>
      <w:r>
        <w:t>1.1  ANTECEDENTES</w:t>
      </w:r>
    </w:p>
    <w:p w:rsidR="00CF4411" w:rsidRDefault="00CF4411" w:rsidP="00CF4411">
      <w:pPr>
        <w:jc w:val="both"/>
      </w:pPr>
    </w:p>
    <w:p w:rsidR="0028761B" w:rsidRDefault="0028761B" w:rsidP="0028761B">
      <w:pPr>
        <w:jc w:val="both"/>
      </w:pPr>
      <w:r>
        <w:t>En julio de 1988 se expide la Ley Orgánica de Aduanas y se crea la Corporación Aduanera Ecuatoriana CAE, como una persona jurídica de derecho público de duración indefinida, patrimonio del estado, con autonomía técnica, administrativa, financiera y presupuestaria, domiciliada en la ciudad de Guayaquil.</w:t>
      </w:r>
    </w:p>
    <w:p w:rsidR="0028761B" w:rsidRDefault="0028761B" w:rsidP="0028761B">
      <w:pPr>
        <w:jc w:val="both"/>
      </w:pPr>
    </w:p>
    <w:p w:rsidR="0028761B" w:rsidRDefault="0028761B" w:rsidP="0028761B">
      <w:pPr>
        <w:jc w:val="both"/>
      </w:pPr>
      <w:r>
        <w:t>Es un organismo al que se le atribuye las competencias técnico - administrativas, necesarias para llevar adelante la planificación y ejecución de la política aduanera del país.</w:t>
      </w:r>
    </w:p>
    <w:p w:rsidR="0028761B" w:rsidRDefault="0028761B" w:rsidP="0028761B">
      <w:pPr>
        <w:jc w:val="both"/>
      </w:pPr>
    </w:p>
    <w:p w:rsidR="0028761B" w:rsidRDefault="0028761B" w:rsidP="0028761B">
      <w:pPr>
        <w:jc w:val="both"/>
      </w:pPr>
      <w:r>
        <w:t xml:space="preserve">1.2  ¿QUÉ  ES LA </w:t>
      </w:r>
      <w:r w:rsidR="00745395">
        <w:t>CORPORACIÓN</w:t>
      </w:r>
      <w:r>
        <w:t xml:space="preserve"> ADUANERA ECUATORIANA?</w:t>
      </w:r>
    </w:p>
    <w:p w:rsidR="0028761B" w:rsidRDefault="0028761B" w:rsidP="0028761B">
      <w:pPr>
        <w:jc w:val="both"/>
      </w:pPr>
    </w:p>
    <w:p w:rsidR="00745395" w:rsidRDefault="00745395" w:rsidP="00745395">
      <w:pPr>
        <w:jc w:val="both"/>
      </w:pPr>
      <w:r>
        <w:lastRenderedPageBreak/>
        <w:t>El Servicio de Aduanas es un servicio público que presta el Estado, directamente a través de la Corporación Aduanera Ecuatoriana, o por concesión al sector privado, con sujeción a las normas de esta Ley, sus reglamentos, manuales de operación y procedimientos, y demás normas aplicables.</w:t>
      </w:r>
    </w:p>
    <w:p w:rsidR="0028761B" w:rsidRDefault="00745395" w:rsidP="00745395">
      <w:pPr>
        <w:jc w:val="both"/>
      </w:pPr>
      <w:r>
        <w:t>A la Corporación Aduanera Ecuatoriana le corresponde ejecutar la política aduanera y expedir las normas para su aplicación, a través de la Gerencia General y de las Gerencias Distritales.</w:t>
      </w:r>
    </w:p>
    <w:p w:rsidR="00CF4411" w:rsidRDefault="00CF4411" w:rsidP="002223C8">
      <w:pPr>
        <w:ind w:left="360"/>
        <w:jc w:val="both"/>
      </w:pPr>
    </w:p>
    <w:p w:rsidR="00CF4411" w:rsidRDefault="00CF4411" w:rsidP="00CF4411">
      <w:pPr>
        <w:numPr>
          <w:ilvl w:val="0"/>
          <w:numId w:val="1"/>
        </w:numPr>
        <w:tabs>
          <w:tab w:val="clear" w:pos="720"/>
          <w:tab w:val="num" w:pos="360"/>
        </w:tabs>
        <w:ind w:left="360"/>
        <w:jc w:val="both"/>
      </w:pPr>
      <w:r>
        <w:t xml:space="preserve">  ANÁLISIS ESTADÍSTICO UNIVARIADO</w:t>
      </w:r>
    </w:p>
    <w:p w:rsidR="00CF4411" w:rsidRDefault="00CF4411" w:rsidP="002223C8">
      <w:pPr>
        <w:ind w:left="360"/>
        <w:jc w:val="both"/>
      </w:pPr>
    </w:p>
    <w:p w:rsidR="002223C8" w:rsidRDefault="00CF4411" w:rsidP="002223C8">
      <w:pPr>
        <w:jc w:val="both"/>
      </w:pPr>
      <w:r>
        <w:t>2</w:t>
      </w:r>
      <w:r w:rsidR="002223C8">
        <w:t>.1  INTRODUCCIÓN</w:t>
      </w:r>
    </w:p>
    <w:p w:rsidR="002223C8" w:rsidRDefault="002223C8" w:rsidP="002223C8">
      <w:pPr>
        <w:jc w:val="both"/>
      </w:pPr>
    </w:p>
    <w:p w:rsidR="002223C8" w:rsidRDefault="002223C8" w:rsidP="002223C8">
      <w:pPr>
        <w:jc w:val="both"/>
      </w:pPr>
      <w:r>
        <w:t>S</w:t>
      </w:r>
      <w:r w:rsidRPr="002223C8">
        <w:t xml:space="preserve">e presenta el análisis univariado de los  registros de la Corporación Aduanera Ecuatoriana, </w:t>
      </w:r>
      <w:r>
        <w:t>este</w:t>
      </w:r>
      <w:r w:rsidRPr="002223C8">
        <w:t xml:space="preserve"> </w:t>
      </w:r>
      <w:r>
        <w:t>estudio</w:t>
      </w:r>
      <w:r w:rsidRPr="002223C8">
        <w:t xml:space="preserve"> se efectuará en los Distritos Aduaneros de la Región de la Sierra </w:t>
      </w:r>
      <w:r>
        <w:t xml:space="preserve">tales como Quito, Cuenca, Tulcán </w:t>
      </w:r>
      <w:r w:rsidRPr="002223C8">
        <w:t>con un total de 690 unidades.</w:t>
      </w:r>
    </w:p>
    <w:p w:rsidR="00E55CBB" w:rsidRDefault="00E55CBB" w:rsidP="002223C8">
      <w:pPr>
        <w:jc w:val="both"/>
      </w:pPr>
      <w:r w:rsidRPr="00E55CBB">
        <w:t xml:space="preserve">La descripción de las variables se realizará por medio de porcentajes, frecuencias, </w:t>
      </w:r>
      <w:r>
        <w:t xml:space="preserve">y </w:t>
      </w:r>
      <w:r w:rsidRPr="00E55CBB">
        <w:t>diagramas de barras.</w:t>
      </w:r>
    </w:p>
    <w:p w:rsidR="00E55CBB" w:rsidRDefault="00E55CBB" w:rsidP="002223C8">
      <w:pPr>
        <w:jc w:val="both"/>
      </w:pPr>
    </w:p>
    <w:p w:rsidR="00E55CBB" w:rsidRDefault="00CF4411" w:rsidP="00E55CBB">
      <w:pPr>
        <w:jc w:val="both"/>
      </w:pPr>
      <w:r>
        <w:t>2</w:t>
      </w:r>
      <w:r w:rsidR="00E55CBB">
        <w:t xml:space="preserve">.2  </w:t>
      </w:r>
      <w:r w:rsidR="00EC00A4">
        <w:t>ANÁLISIS ESTADÍSTICO DE LOS 3 DISTRITOS EN CONJUNTO</w:t>
      </w:r>
    </w:p>
    <w:p w:rsidR="00E55CBB" w:rsidRDefault="00E55CBB" w:rsidP="002223C8">
      <w:pPr>
        <w:jc w:val="both"/>
      </w:pPr>
    </w:p>
    <w:p w:rsidR="00D854C5" w:rsidRDefault="00D854C5" w:rsidP="00D854C5">
      <w:pPr>
        <w:jc w:val="both"/>
      </w:pPr>
      <w:r>
        <w:t>Distrito Aduanero</w:t>
      </w:r>
    </w:p>
    <w:p w:rsidR="00D854C5" w:rsidRDefault="00D854C5" w:rsidP="00D854C5">
      <w:pPr>
        <w:jc w:val="both"/>
      </w:pPr>
    </w:p>
    <w:p w:rsidR="00E55CBB" w:rsidRDefault="00D854C5" w:rsidP="00D854C5">
      <w:pPr>
        <w:jc w:val="both"/>
      </w:pPr>
      <w:r>
        <w:t xml:space="preserve">La Tabla I </w:t>
      </w:r>
      <w:r w:rsidR="001414F9" w:rsidRPr="001414F9">
        <w:t>se puede apreciar que de 674 unidades investigadas, la mayoría de las importaciones llegan al Distrito de Guayaquil con el 91.5%, y</w:t>
      </w:r>
      <w:r w:rsidR="00EF7DF2">
        <w:t xml:space="preserve"> con el 8.5% al Distrito Manta</w:t>
      </w:r>
      <w:r>
        <w:t>; el gráfico 2.1  permite verificar lo mencionado (ver anexo 1).</w:t>
      </w:r>
    </w:p>
    <w:p w:rsidR="00E55CBB" w:rsidRDefault="00E55CBB" w:rsidP="002223C8">
      <w:pPr>
        <w:jc w:val="both"/>
      </w:pPr>
    </w:p>
    <w:p w:rsidR="00D854C5" w:rsidRDefault="00D854C5" w:rsidP="002223C8">
      <w:pPr>
        <w:jc w:val="both"/>
      </w:pPr>
    </w:p>
    <w:p w:rsidR="00D854C5" w:rsidRDefault="001414F9" w:rsidP="002223C8">
      <w:pPr>
        <w:jc w:val="both"/>
      </w:pPr>
      <w:r>
        <w:rPr>
          <w:noProof/>
        </w:rPr>
        <w:pict>
          <v:shapetype id="_x0000_t202" coordsize="21600,21600" o:spt="202" path="m,l,21600r21600,l21600,xe">
            <v:stroke joinstyle="miter"/>
            <v:path gradientshapeok="t" o:connecttype="rect"/>
          </v:shapetype>
          <v:shape id="_x0000_s1038" type="#_x0000_t202" style="position:absolute;left:0;text-align:left;margin-left:81pt;margin-top:9.65pt;width:270pt;height:153pt;z-index:251653120" strokeweight="3pt">
            <v:stroke linestyle="thinThin"/>
            <v:textbox style="mso-next-textbox:#_x0000_s1038">
              <w:txbxContent>
                <w:p w:rsidR="001414F9" w:rsidRDefault="001414F9" w:rsidP="001414F9">
                  <w:pPr>
                    <w:pStyle w:val="Ttulo1"/>
                    <w:rPr>
                      <w:sz w:val="18"/>
                    </w:rPr>
                  </w:pPr>
                  <w:r>
                    <w:rPr>
                      <w:sz w:val="18"/>
                    </w:rPr>
                    <w:t xml:space="preserve">TABLA </w:t>
                  </w:r>
                  <w:r w:rsidR="00EF7DF2">
                    <w:rPr>
                      <w:sz w:val="18"/>
                    </w:rPr>
                    <w:t>I</w:t>
                  </w:r>
                </w:p>
                <w:p w:rsidR="001414F9" w:rsidRDefault="001414F9" w:rsidP="001414F9">
                  <w:pPr>
                    <w:jc w:val="center"/>
                    <w:rPr>
                      <w:b/>
                      <w:sz w:val="18"/>
                      <w:szCs w:val="18"/>
                    </w:rPr>
                  </w:pPr>
                  <w:r w:rsidRPr="00CF70FC">
                    <w:rPr>
                      <w:b/>
                      <w:sz w:val="18"/>
                      <w:szCs w:val="18"/>
                    </w:rPr>
                    <w:t>Región:</w:t>
                  </w:r>
                  <w:r>
                    <w:rPr>
                      <w:b/>
                      <w:sz w:val="18"/>
                      <w:szCs w:val="18"/>
                    </w:rPr>
                    <w:t xml:space="preserve"> Costa</w:t>
                  </w:r>
                </w:p>
                <w:p w:rsidR="001414F9" w:rsidRPr="00CF70FC" w:rsidRDefault="001414F9" w:rsidP="001414F9">
                  <w:pPr>
                    <w:jc w:val="center"/>
                    <w:rPr>
                      <w:b/>
                      <w:sz w:val="18"/>
                      <w:szCs w:val="18"/>
                      <w:lang w:val="es-MX"/>
                    </w:rPr>
                  </w:pPr>
                  <w:r w:rsidRPr="00CF70FC">
                    <w:rPr>
                      <w:sz w:val="18"/>
                      <w:szCs w:val="18"/>
                    </w:rPr>
                    <w:t xml:space="preserve"> </w:t>
                  </w:r>
                  <w:r>
                    <w:rPr>
                      <w:b/>
                      <w:sz w:val="18"/>
                      <w:szCs w:val="18"/>
                    </w:rPr>
                    <w:t xml:space="preserve">Distrito: </w:t>
                  </w:r>
                  <w:r w:rsidRPr="00CF70FC">
                    <w:rPr>
                      <w:b/>
                      <w:sz w:val="18"/>
                      <w:szCs w:val="18"/>
                      <w:lang w:val="es-MX"/>
                    </w:rPr>
                    <w:t xml:space="preserve">Los </w:t>
                  </w:r>
                  <w:r>
                    <w:rPr>
                      <w:b/>
                      <w:sz w:val="18"/>
                      <w:szCs w:val="18"/>
                      <w:lang w:val="es-MX"/>
                    </w:rPr>
                    <w:t>2</w:t>
                  </w:r>
                  <w:r w:rsidRPr="00CF70FC">
                    <w:rPr>
                      <w:b/>
                      <w:sz w:val="18"/>
                      <w:szCs w:val="18"/>
                      <w:lang w:val="es-MX"/>
                    </w:rPr>
                    <w:t xml:space="preserve"> Distritos en Conjunto</w:t>
                  </w:r>
                </w:p>
                <w:p w:rsidR="001414F9" w:rsidRDefault="001414F9" w:rsidP="001414F9">
                  <w:pPr>
                    <w:jc w:val="center"/>
                    <w:rPr>
                      <w:b/>
                      <w:sz w:val="18"/>
                      <w:szCs w:val="18"/>
                      <w:lang w:val="es-MX"/>
                    </w:rPr>
                  </w:pPr>
                  <w:r>
                    <w:rPr>
                      <w:b/>
                      <w:sz w:val="18"/>
                      <w:lang w:val="es-MX"/>
                    </w:rPr>
                    <w:t>Tabla de Frecuencia: Distrito</w:t>
                  </w:r>
                </w:p>
                <w:tbl>
                  <w:tblPr>
                    <w:tblW w:w="4396" w:type="dxa"/>
                    <w:tblInd w:w="354" w:type="dxa"/>
                    <w:tblLayout w:type="fixed"/>
                    <w:tblCellMar>
                      <w:left w:w="70" w:type="dxa"/>
                      <w:right w:w="70" w:type="dxa"/>
                    </w:tblCellMar>
                    <w:tblLook w:val="0000"/>
                  </w:tblPr>
                  <w:tblGrid>
                    <w:gridCol w:w="1696"/>
                    <w:gridCol w:w="1260"/>
                    <w:gridCol w:w="1440"/>
                  </w:tblGrid>
                  <w:tr w:rsidR="001414F9">
                    <w:tblPrEx>
                      <w:tblCellMar>
                        <w:top w:w="0" w:type="dxa"/>
                        <w:bottom w:w="0" w:type="dxa"/>
                      </w:tblCellMar>
                    </w:tblPrEx>
                    <w:tc>
                      <w:tcPr>
                        <w:tcW w:w="1696" w:type="dxa"/>
                        <w:tcBorders>
                          <w:top w:val="thinThickSmallGap" w:sz="12" w:space="0" w:color="auto"/>
                          <w:bottom w:val="thinThickSmallGap" w:sz="12" w:space="0" w:color="auto"/>
                        </w:tcBorders>
                      </w:tcPr>
                      <w:p w:rsidR="001414F9" w:rsidRDefault="001414F9">
                        <w:pPr>
                          <w:jc w:val="center"/>
                          <w:rPr>
                            <w:b/>
                            <w:lang w:val="es-MX"/>
                          </w:rPr>
                        </w:pPr>
                        <w:r>
                          <w:rPr>
                            <w:b/>
                            <w:lang w:val="es-MX"/>
                          </w:rPr>
                          <w:t>Dsitrito</w:t>
                        </w:r>
                      </w:p>
                    </w:tc>
                    <w:tc>
                      <w:tcPr>
                        <w:tcW w:w="1260" w:type="dxa"/>
                        <w:tcBorders>
                          <w:top w:val="thinThickSmallGap" w:sz="12" w:space="0" w:color="auto"/>
                          <w:bottom w:val="thinThickSmallGap" w:sz="12" w:space="0" w:color="auto"/>
                        </w:tcBorders>
                      </w:tcPr>
                      <w:p w:rsidR="001414F9" w:rsidRDefault="001414F9">
                        <w:pPr>
                          <w:jc w:val="center"/>
                          <w:rPr>
                            <w:b/>
                            <w:lang w:val="es-MX"/>
                          </w:rPr>
                        </w:pPr>
                        <w:r>
                          <w:rPr>
                            <w:b/>
                            <w:lang w:val="es-MX"/>
                          </w:rPr>
                          <w:t>Frecuencia Absoluta</w:t>
                        </w:r>
                      </w:p>
                    </w:tc>
                    <w:tc>
                      <w:tcPr>
                        <w:tcW w:w="1440" w:type="dxa"/>
                        <w:tcBorders>
                          <w:top w:val="thinThickSmallGap" w:sz="12" w:space="0" w:color="auto"/>
                          <w:bottom w:val="thinThickSmallGap" w:sz="12" w:space="0" w:color="auto"/>
                        </w:tcBorders>
                      </w:tcPr>
                      <w:p w:rsidR="001414F9" w:rsidRDefault="001414F9">
                        <w:pPr>
                          <w:jc w:val="center"/>
                          <w:rPr>
                            <w:b/>
                            <w:lang w:val="es-MX"/>
                          </w:rPr>
                        </w:pPr>
                        <w:r>
                          <w:rPr>
                            <w:b/>
                            <w:lang w:val="es-MX"/>
                          </w:rPr>
                          <w:t>Frecuencia Relativa</w:t>
                        </w:r>
                      </w:p>
                    </w:tc>
                  </w:tr>
                  <w:tr w:rsidR="001414F9">
                    <w:tblPrEx>
                      <w:tblCellMar>
                        <w:top w:w="0" w:type="dxa"/>
                        <w:bottom w:w="0" w:type="dxa"/>
                      </w:tblCellMar>
                    </w:tblPrEx>
                    <w:tc>
                      <w:tcPr>
                        <w:tcW w:w="1696" w:type="dxa"/>
                        <w:tcBorders>
                          <w:top w:val="thinThickSmallGap" w:sz="12" w:space="0" w:color="auto"/>
                        </w:tcBorders>
                      </w:tcPr>
                      <w:p w:rsidR="001414F9" w:rsidRDefault="001414F9">
                        <w:pPr>
                          <w:jc w:val="both"/>
                          <w:rPr>
                            <w:sz w:val="18"/>
                            <w:szCs w:val="18"/>
                            <w:lang w:val="es-MX"/>
                          </w:rPr>
                        </w:pPr>
                        <w:r>
                          <w:rPr>
                            <w:sz w:val="18"/>
                            <w:szCs w:val="18"/>
                            <w:lang w:val="es-MX"/>
                          </w:rPr>
                          <w:t>Guayaquil</w:t>
                        </w:r>
                      </w:p>
                    </w:tc>
                    <w:tc>
                      <w:tcPr>
                        <w:tcW w:w="1260" w:type="dxa"/>
                        <w:tcBorders>
                          <w:top w:val="thinThickSmallGap" w:sz="12" w:space="0" w:color="auto"/>
                        </w:tcBorders>
                      </w:tcPr>
                      <w:p w:rsidR="001414F9" w:rsidRDefault="001414F9">
                        <w:pPr>
                          <w:jc w:val="center"/>
                          <w:rPr>
                            <w:sz w:val="18"/>
                            <w:szCs w:val="18"/>
                            <w:lang w:val="es-MX"/>
                          </w:rPr>
                        </w:pPr>
                        <w:r>
                          <w:rPr>
                            <w:sz w:val="18"/>
                            <w:szCs w:val="18"/>
                            <w:lang w:val="es-MX"/>
                          </w:rPr>
                          <w:t>617</w:t>
                        </w:r>
                      </w:p>
                    </w:tc>
                    <w:tc>
                      <w:tcPr>
                        <w:tcW w:w="1440" w:type="dxa"/>
                        <w:tcBorders>
                          <w:top w:val="thinThickSmallGap" w:sz="12" w:space="0" w:color="auto"/>
                        </w:tcBorders>
                      </w:tcPr>
                      <w:p w:rsidR="001414F9" w:rsidRDefault="001414F9">
                        <w:pPr>
                          <w:jc w:val="center"/>
                          <w:rPr>
                            <w:sz w:val="18"/>
                            <w:szCs w:val="18"/>
                            <w:lang w:val="es-MX"/>
                          </w:rPr>
                        </w:pPr>
                        <w:r>
                          <w:rPr>
                            <w:sz w:val="18"/>
                            <w:szCs w:val="18"/>
                            <w:lang w:val="es-MX"/>
                          </w:rPr>
                          <w:t>0.915</w:t>
                        </w:r>
                      </w:p>
                    </w:tc>
                  </w:tr>
                  <w:tr w:rsidR="001414F9">
                    <w:tblPrEx>
                      <w:tblCellMar>
                        <w:top w:w="0" w:type="dxa"/>
                        <w:bottom w:w="0" w:type="dxa"/>
                      </w:tblCellMar>
                    </w:tblPrEx>
                    <w:tc>
                      <w:tcPr>
                        <w:tcW w:w="1696" w:type="dxa"/>
                      </w:tcPr>
                      <w:p w:rsidR="001414F9" w:rsidRDefault="001414F9">
                        <w:pPr>
                          <w:jc w:val="both"/>
                          <w:rPr>
                            <w:sz w:val="18"/>
                            <w:szCs w:val="18"/>
                            <w:lang w:val="es-MX"/>
                          </w:rPr>
                        </w:pPr>
                        <w:r>
                          <w:rPr>
                            <w:sz w:val="18"/>
                            <w:szCs w:val="18"/>
                            <w:lang w:val="es-MX"/>
                          </w:rPr>
                          <w:t>Manta</w:t>
                        </w:r>
                      </w:p>
                    </w:tc>
                    <w:tc>
                      <w:tcPr>
                        <w:tcW w:w="1260" w:type="dxa"/>
                      </w:tcPr>
                      <w:p w:rsidR="001414F9" w:rsidRDefault="001414F9">
                        <w:pPr>
                          <w:jc w:val="center"/>
                          <w:rPr>
                            <w:sz w:val="18"/>
                            <w:szCs w:val="18"/>
                            <w:lang w:val="es-MX"/>
                          </w:rPr>
                        </w:pPr>
                        <w:r>
                          <w:rPr>
                            <w:sz w:val="18"/>
                            <w:szCs w:val="18"/>
                            <w:lang w:val="es-MX"/>
                          </w:rPr>
                          <w:t>57</w:t>
                        </w:r>
                      </w:p>
                    </w:tc>
                    <w:tc>
                      <w:tcPr>
                        <w:tcW w:w="1440" w:type="dxa"/>
                      </w:tcPr>
                      <w:p w:rsidR="001414F9" w:rsidRDefault="001414F9">
                        <w:pPr>
                          <w:jc w:val="center"/>
                          <w:rPr>
                            <w:sz w:val="18"/>
                            <w:szCs w:val="18"/>
                            <w:lang w:val="es-MX"/>
                          </w:rPr>
                        </w:pPr>
                        <w:r>
                          <w:rPr>
                            <w:sz w:val="18"/>
                            <w:szCs w:val="18"/>
                            <w:lang w:val="es-MX"/>
                          </w:rPr>
                          <w:t>0.085</w:t>
                        </w:r>
                      </w:p>
                    </w:tc>
                  </w:tr>
                  <w:tr w:rsidR="001414F9">
                    <w:tblPrEx>
                      <w:tblCellMar>
                        <w:top w:w="0" w:type="dxa"/>
                        <w:bottom w:w="0" w:type="dxa"/>
                      </w:tblCellMar>
                    </w:tblPrEx>
                    <w:tc>
                      <w:tcPr>
                        <w:tcW w:w="1696" w:type="dxa"/>
                        <w:tcBorders>
                          <w:top w:val="thinThickSmallGap" w:sz="12" w:space="0" w:color="auto"/>
                          <w:bottom w:val="thinThickSmallGap" w:sz="12" w:space="0" w:color="auto"/>
                        </w:tcBorders>
                      </w:tcPr>
                      <w:p w:rsidR="001414F9" w:rsidRDefault="001414F9">
                        <w:pPr>
                          <w:jc w:val="both"/>
                          <w:rPr>
                            <w:sz w:val="18"/>
                            <w:szCs w:val="18"/>
                            <w:lang w:val="es-MX"/>
                          </w:rPr>
                        </w:pPr>
                        <w:r>
                          <w:rPr>
                            <w:sz w:val="18"/>
                            <w:szCs w:val="18"/>
                            <w:lang w:val="es-MX"/>
                          </w:rPr>
                          <w:t>Total</w:t>
                        </w:r>
                      </w:p>
                    </w:tc>
                    <w:tc>
                      <w:tcPr>
                        <w:tcW w:w="1260" w:type="dxa"/>
                        <w:tcBorders>
                          <w:top w:val="thinThickSmallGap" w:sz="12" w:space="0" w:color="auto"/>
                          <w:bottom w:val="thinThickSmallGap" w:sz="12" w:space="0" w:color="auto"/>
                        </w:tcBorders>
                      </w:tcPr>
                      <w:p w:rsidR="001414F9" w:rsidRDefault="001414F9">
                        <w:pPr>
                          <w:jc w:val="center"/>
                          <w:rPr>
                            <w:sz w:val="18"/>
                            <w:szCs w:val="18"/>
                            <w:lang w:val="es-MX"/>
                          </w:rPr>
                        </w:pPr>
                        <w:r>
                          <w:rPr>
                            <w:sz w:val="18"/>
                            <w:szCs w:val="18"/>
                            <w:lang w:val="es-MX"/>
                          </w:rPr>
                          <w:t>674</w:t>
                        </w:r>
                      </w:p>
                    </w:tc>
                    <w:tc>
                      <w:tcPr>
                        <w:tcW w:w="1440" w:type="dxa"/>
                        <w:tcBorders>
                          <w:top w:val="thinThickSmallGap" w:sz="12" w:space="0" w:color="auto"/>
                          <w:bottom w:val="thinThickSmallGap" w:sz="12" w:space="0" w:color="auto"/>
                        </w:tcBorders>
                      </w:tcPr>
                      <w:p w:rsidR="001414F9" w:rsidRDefault="001414F9">
                        <w:pPr>
                          <w:jc w:val="center"/>
                          <w:rPr>
                            <w:sz w:val="18"/>
                            <w:szCs w:val="18"/>
                            <w:lang w:val="es-MX"/>
                          </w:rPr>
                        </w:pPr>
                        <w:r>
                          <w:rPr>
                            <w:sz w:val="18"/>
                            <w:szCs w:val="18"/>
                            <w:lang w:val="es-MX"/>
                          </w:rPr>
                          <w:t>1</w:t>
                        </w:r>
                      </w:p>
                    </w:tc>
                  </w:tr>
                </w:tbl>
                <w:p w:rsidR="001414F9" w:rsidRDefault="001414F9" w:rsidP="001414F9">
                  <w:pPr>
                    <w:jc w:val="center"/>
                    <w:rPr>
                      <w:b/>
                      <w:sz w:val="18"/>
                      <w:szCs w:val="18"/>
                      <w:lang w:val="es-MX"/>
                    </w:rPr>
                  </w:pPr>
                </w:p>
                <w:p w:rsidR="001414F9" w:rsidRDefault="001414F9" w:rsidP="001414F9">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1414F9" w:rsidRDefault="001414F9" w:rsidP="001414F9">
                  <w:pPr>
                    <w:rPr>
                      <w:b/>
                      <w:sz w:val="16"/>
                      <w:szCs w:val="16"/>
                      <w:u w:val="single"/>
                      <w:lang w:val="en-US"/>
                    </w:rPr>
                  </w:pPr>
                  <w:r>
                    <w:rPr>
                      <w:b/>
                      <w:sz w:val="16"/>
                      <w:szCs w:val="16"/>
                    </w:rPr>
                    <w:t>Elaboración: Ingrid Parrales Morales</w:t>
                  </w:r>
                </w:p>
                <w:p w:rsidR="001414F9" w:rsidRDefault="001414F9" w:rsidP="001414F9">
                  <w:pPr>
                    <w:rPr>
                      <w:b/>
                      <w:i/>
                      <w:sz w:val="18"/>
                      <w:szCs w:val="18"/>
                      <w:lang w:val="en-US"/>
                    </w:rPr>
                  </w:pPr>
                </w:p>
                <w:p w:rsidR="001414F9" w:rsidRDefault="001414F9" w:rsidP="001414F9">
                  <w:pPr>
                    <w:rPr>
                      <w:b/>
                      <w:lang w:val="en-US"/>
                    </w:rPr>
                  </w:pPr>
                </w:p>
              </w:txbxContent>
            </v:textbox>
          </v:shape>
        </w:pict>
      </w: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D4622" w:rsidRDefault="00DD4622" w:rsidP="00DD4622">
      <w:pPr>
        <w:tabs>
          <w:tab w:val="left" w:pos="4946"/>
        </w:tabs>
        <w:ind w:left="2520"/>
        <w:rPr>
          <w:rFonts w:ascii="Arial" w:hAnsi="Arial" w:cs="Arial"/>
        </w:rPr>
      </w:pPr>
    </w:p>
    <w:p w:rsidR="00DD4622" w:rsidRDefault="00DD4622" w:rsidP="00DD4622">
      <w:pPr>
        <w:jc w:val="both"/>
      </w:pPr>
      <w:r>
        <w:t>Régimen</w:t>
      </w:r>
    </w:p>
    <w:p w:rsidR="00DD4622" w:rsidRDefault="00DD4622" w:rsidP="00DD4622">
      <w:pPr>
        <w:jc w:val="both"/>
      </w:pPr>
    </w:p>
    <w:p w:rsidR="00DD4622" w:rsidRDefault="00DD4622" w:rsidP="00DD4622">
      <w:pPr>
        <w:jc w:val="both"/>
      </w:pPr>
      <w:r>
        <w:t xml:space="preserve">En la Tabla II </w:t>
      </w:r>
      <w:r w:rsidR="00EF7DF2" w:rsidRPr="00EF7DF2">
        <w:t xml:space="preserve">se puede apreciar que de 674 unidades investigadas el 87.1% es de régimen Importación a Consumo, y dentro del 12.9% restante con el 7% es Importación al Depósito Aduanero Industrial, con el 3.4% es Importación al Depósito Aduanero Público, con el </w:t>
      </w:r>
      <w:r w:rsidR="00EF7DF2" w:rsidRPr="00EF7DF2">
        <w:lastRenderedPageBreak/>
        <w:t>2.4% es Zona Franca, y con el 1% es Importación al Depósito Aduanero Privado</w:t>
      </w:r>
      <w:r>
        <w:t>, la ilustración se muestra en el gráfico 2.2 (ver anexo 2).</w:t>
      </w: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987C43" w:rsidP="00DD4622">
      <w:pPr>
        <w:jc w:val="both"/>
      </w:pPr>
      <w:r>
        <w:rPr>
          <w:noProof/>
        </w:rPr>
        <w:pict>
          <v:shape id="_x0000_s1041" type="#_x0000_t202" style="position:absolute;left:0;text-align:left;margin-left:36pt;margin-top:3pt;width:378pt;height:204pt;z-index:251655168" strokeweight="3pt">
            <v:stroke linestyle="thinThin"/>
            <v:textbox style="mso-next-textbox:#_x0000_s1041">
              <w:txbxContent>
                <w:p w:rsidR="00987C43" w:rsidRDefault="00987C43" w:rsidP="00987C43">
                  <w:pPr>
                    <w:pStyle w:val="Ttulo1"/>
                    <w:rPr>
                      <w:sz w:val="18"/>
                    </w:rPr>
                  </w:pPr>
                  <w:r>
                    <w:rPr>
                      <w:sz w:val="18"/>
                    </w:rPr>
                    <w:t>TABLA II</w:t>
                  </w:r>
                </w:p>
                <w:p w:rsidR="00987C43" w:rsidRDefault="00987C43" w:rsidP="00987C43">
                  <w:pPr>
                    <w:jc w:val="center"/>
                    <w:rPr>
                      <w:b/>
                      <w:sz w:val="18"/>
                      <w:szCs w:val="18"/>
                    </w:rPr>
                  </w:pPr>
                  <w:r w:rsidRPr="00CF70FC">
                    <w:rPr>
                      <w:b/>
                      <w:sz w:val="18"/>
                      <w:szCs w:val="18"/>
                    </w:rPr>
                    <w:t>Región:</w:t>
                  </w:r>
                  <w:r>
                    <w:rPr>
                      <w:b/>
                      <w:sz w:val="18"/>
                      <w:szCs w:val="18"/>
                    </w:rPr>
                    <w:t xml:space="preserve"> Costa</w:t>
                  </w:r>
                </w:p>
                <w:p w:rsidR="00987C43" w:rsidRPr="00CF70FC" w:rsidRDefault="00987C43" w:rsidP="00987C43">
                  <w:pPr>
                    <w:jc w:val="center"/>
                    <w:rPr>
                      <w:b/>
                      <w:sz w:val="18"/>
                      <w:szCs w:val="18"/>
                      <w:lang w:val="es-MX"/>
                    </w:rPr>
                  </w:pPr>
                  <w:r w:rsidRPr="00CF70FC">
                    <w:rPr>
                      <w:sz w:val="18"/>
                      <w:szCs w:val="18"/>
                    </w:rPr>
                    <w:t xml:space="preserve"> </w:t>
                  </w:r>
                  <w:r>
                    <w:rPr>
                      <w:b/>
                      <w:sz w:val="18"/>
                      <w:szCs w:val="18"/>
                    </w:rPr>
                    <w:t xml:space="preserve">Distrito: </w:t>
                  </w:r>
                  <w:r w:rsidRPr="00CF70FC">
                    <w:rPr>
                      <w:b/>
                      <w:sz w:val="18"/>
                      <w:szCs w:val="18"/>
                      <w:lang w:val="es-MX"/>
                    </w:rPr>
                    <w:t xml:space="preserve">Los </w:t>
                  </w:r>
                  <w:r>
                    <w:rPr>
                      <w:b/>
                      <w:sz w:val="18"/>
                      <w:szCs w:val="18"/>
                      <w:lang w:val="es-MX"/>
                    </w:rPr>
                    <w:t>2</w:t>
                  </w:r>
                  <w:r w:rsidRPr="00CF70FC">
                    <w:rPr>
                      <w:b/>
                      <w:sz w:val="18"/>
                      <w:szCs w:val="18"/>
                      <w:lang w:val="es-MX"/>
                    </w:rPr>
                    <w:t xml:space="preserve"> Distritos en Conjunto</w:t>
                  </w:r>
                </w:p>
                <w:p w:rsidR="00987C43" w:rsidRDefault="00987C43" w:rsidP="00987C43">
                  <w:pPr>
                    <w:jc w:val="center"/>
                    <w:rPr>
                      <w:b/>
                      <w:sz w:val="18"/>
                      <w:lang w:val="es-MX"/>
                    </w:rPr>
                  </w:pPr>
                  <w:r>
                    <w:rPr>
                      <w:b/>
                      <w:sz w:val="18"/>
                      <w:lang w:val="es-MX"/>
                    </w:rPr>
                    <w:t>Tabla de Frecuencia: Régimen</w:t>
                  </w:r>
                </w:p>
                <w:p w:rsidR="00987C43" w:rsidRDefault="00987C43" w:rsidP="00987C43">
                  <w:pPr>
                    <w:jc w:val="center"/>
                    <w:rPr>
                      <w:b/>
                      <w:sz w:val="18"/>
                      <w:szCs w:val="18"/>
                      <w:lang w:val="es-MX"/>
                    </w:rPr>
                  </w:pPr>
                </w:p>
                <w:tbl>
                  <w:tblPr>
                    <w:tblW w:w="6840" w:type="dxa"/>
                    <w:tblInd w:w="250" w:type="dxa"/>
                    <w:tblLayout w:type="fixed"/>
                    <w:tblCellMar>
                      <w:left w:w="70" w:type="dxa"/>
                      <w:right w:w="70" w:type="dxa"/>
                    </w:tblCellMar>
                    <w:tblLook w:val="0000"/>
                  </w:tblPr>
                  <w:tblGrid>
                    <w:gridCol w:w="4140"/>
                    <w:gridCol w:w="1260"/>
                    <w:gridCol w:w="1440"/>
                  </w:tblGrid>
                  <w:tr w:rsidR="00987C43">
                    <w:tblPrEx>
                      <w:tblCellMar>
                        <w:top w:w="0" w:type="dxa"/>
                        <w:bottom w:w="0" w:type="dxa"/>
                      </w:tblCellMar>
                    </w:tblPrEx>
                    <w:tc>
                      <w:tcPr>
                        <w:tcW w:w="4140" w:type="dxa"/>
                        <w:tcBorders>
                          <w:top w:val="thinThickSmallGap" w:sz="12" w:space="0" w:color="auto"/>
                          <w:bottom w:val="thinThickSmallGap" w:sz="12" w:space="0" w:color="auto"/>
                        </w:tcBorders>
                      </w:tcPr>
                      <w:p w:rsidR="00987C43" w:rsidRDefault="00987C43">
                        <w:pPr>
                          <w:jc w:val="center"/>
                          <w:rPr>
                            <w:b/>
                            <w:lang w:val="es-MX"/>
                          </w:rPr>
                        </w:pPr>
                        <w:r>
                          <w:rPr>
                            <w:b/>
                            <w:lang w:val="es-MX"/>
                          </w:rPr>
                          <w:t>Distrito</w:t>
                        </w:r>
                      </w:p>
                    </w:tc>
                    <w:tc>
                      <w:tcPr>
                        <w:tcW w:w="1260" w:type="dxa"/>
                        <w:tcBorders>
                          <w:top w:val="thinThickSmallGap" w:sz="12" w:space="0" w:color="auto"/>
                          <w:bottom w:val="thinThickSmallGap" w:sz="12" w:space="0" w:color="auto"/>
                        </w:tcBorders>
                      </w:tcPr>
                      <w:p w:rsidR="00987C43" w:rsidRDefault="00987C43">
                        <w:pPr>
                          <w:jc w:val="center"/>
                          <w:rPr>
                            <w:b/>
                            <w:lang w:val="es-MX"/>
                          </w:rPr>
                        </w:pPr>
                        <w:r>
                          <w:rPr>
                            <w:b/>
                            <w:lang w:val="es-MX"/>
                          </w:rPr>
                          <w:t>Frecuencia Absoluta</w:t>
                        </w:r>
                      </w:p>
                    </w:tc>
                    <w:tc>
                      <w:tcPr>
                        <w:tcW w:w="1440" w:type="dxa"/>
                        <w:tcBorders>
                          <w:top w:val="thinThickSmallGap" w:sz="12" w:space="0" w:color="auto"/>
                          <w:bottom w:val="thinThickSmallGap" w:sz="12" w:space="0" w:color="auto"/>
                        </w:tcBorders>
                      </w:tcPr>
                      <w:p w:rsidR="00987C43" w:rsidRDefault="00987C43">
                        <w:pPr>
                          <w:jc w:val="center"/>
                          <w:rPr>
                            <w:b/>
                            <w:lang w:val="es-MX"/>
                          </w:rPr>
                        </w:pPr>
                        <w:r>
                          <w:rPr>
                            <w:b/>
                            <w:lang w:val="es-MX"/>
                          </w:rPr>
                          <w:t>Frecuencia Relativa</w:t>
                        </w:r>
                      </w:p>
                    </w:tc>
                  </w:tr>
                  <w:tr w:rsidR="00987C43">
                    <w:tblPrEx>
                      <w:tblCellMar>
                        <w:top w:w="0" w:type="dxa"/>
                        <w:bottom w:w="0" w:type="dxa"/>
                      </w:tblCellMar>
                    </w:tblPrEx>
                    <w:tc>
                      <w:tcPr>
                        <w:tcW w:w="4140" w:type="dxa"/>
                        <w:tcBorders>
                          <w:top w:val="thinThickSmallGap" w:sz="12" w:space="0" w:color="auto"/>
                        </w:tcBorders>
                      </w:tcPr>
                      <w:p w:rsidR="00987C43" w:rsidRDefault="00987C43">
                        <w:pPr>
                          <w:jc w:val="both"/>
                          <w:rPr>
                            <w:sz w:val="18"/>
                            <w:szCs w:val="18"/>
                            <w:lang w:val="es-MX"/>
                          </w:rPr>
                        </w:pPr>
                        <w:r>
                          <w:rPr>
                            <w:sz w:val="18"/>
                            <w:szCs w:val="18"/>
                            <w:lang w:val="es-MX"/>
                          </w:rPr>
                          <w:t>Importación a Consumo</w:t>
                        </w:r>
                      </w:p>
                    </w:tc>
                    <w:tc>
                      <w:tcPr>
                        <w:tcW w:w="1260" w:type="dxa"/>
                        <w:tcBorders>
                          <w:top w:val="thinThickSmallGap" w:sz="12" w:space="0" w:color="auto"/>
                        </w:tcBorders>
                      </w:tcPr>
                      <w:p w:rsidR="00987C43" w:rsidRDefault="00987C43">
                        <w:pPr>
                          <w:jc w:val="center"/>
                          <w:rPr>
                            <w:sz w:val="18"/>
                            <w:szCs w:val="18"/>
                            <w:lang w:val="es-MX"/>
                          </w:rPr>
                        </w:pPr>
                        <w:r>
                          <w:rPr>
                            <w:sz w:val="18"/>
                            <w:szCs w:val="18"/>
                            <w:lang w:val="es-MX"/>
                          </w:rPr>
                          <w:t>587</w:t>
                        </w:r>
                      </w:p>
                    </w:tc>
                    <w:tc>
                      <w:tcPr>
                        <w:tcW w:w="1440" w:type="dxa"/>
                        <w:tcBorders>
                          <w:top w:val="thinThickSmallGap" w:sz="12" w:space="0" w:color="auto"/>
                        </w:tcBorders>
                      </w:tcPr>
                      <w:p w:rsidR="00987C43" w:rsidRDefault="00987C43">
                        <w:pPr>
                          <w:jc w:val="center"/>
                          <w:rPr>
                            <w:sz w:val="18"/>
                            <w:szCs w:val="18"/>
                            <w:lang w:val="es-MX"/>
                          </w:rPr>
                        </w:pPr>
                        <w:r>
                          <w:rPr>
                            <w:sz w:val="18"/>
                            <w:szCs w:val="18"/>
                            <w:lang w:val="es-MX"/>
                          </w:rPr>
                          <w:t>0.871</w:t>
                        </w:r>
                      </w:p>
                    </w:tc>
                  </w:tr>
                  <w:tr w:rsidR="00987C43">
                    <w:tblPrEx>
                      <w:tblCellMar>
                        <w:top w:w="0" w:type="dxa"/>
                        <w:bottom w:w="0" w:type="dxa"/>
                      </w:tblCellMar>
                    </w:tblPrEx>
                    <w:tc>
                      <w:tcPr>
                        <w:tcW w:w="4140" w:type="dxa"/>
                      </w:tcPr>
                      <w:p w:rsidR="00987C43" w:rsidRDefault="00987C43">
                        <w:pPr>
                          <w:jc w:val="both"/>
                          <w:rPr>
                            <w:sz w:val="18"/>
                            <w:szCs w:val="18"/>
                            <w:lang w:val="es-MX"/>
                          </w:rPr>
                        </w:pPr>
                        <w:r>
                          <w:rPr>
                            <w:sz w:val="18"/>
                            <w:szCs w:val="18"/>
                            <w:lang w:val="es-MX"/>
                          </w:rPr>
                          <w:t>Imp. a Consumo con Franquicia Arancelaria</w:t>
                        </w:r>
                      </w:p>
                    </w:tc>
                    <w:tc>
                      <w:tcPr>
                        <w:tcW w:w="1260" w:type="dxa"/>
                      </w:tcPr>
                      <w:p w:rsidR="00987C43" w:rsidRDefault="00987C43">
                        <w:pPr>
                          <w:jc w:val="center"/>
                          <w:rPr>
                            <w:sz w:val="18"/>
                            <w:szCs w:val="18"/>
                            <w:lang w:val="es-MX"/>
                          </w:rPr>
                        </w:pPr>
                        <w:r>
                          <w:rPr>
                            <w:sz w:val="18"/>
                            <w:szCs w:val="18"/>
                            <w:lang w:val="es-MX"/>
                          </w:rPr>
                          <w:t>0</w:t>
                        </w:r>
                      </w:p>
                    </w:tc>
                    <w:tc>
                      <w:tcPr>
                        <w:tcW w:w="1440" w:type="dxa"/>
                      </w:tcPr>
                      <w:p w:rsidR="00987C43" w:rsidRDefault="00987C43">
                        <w:pPr>
                          <w:jc w:val="center"/>
                          <w:rPr>
                            <w:sz w:val="18"/>
                            <w:szCs w:val="18"/>
                            <w:lang w:val="es-MX"/>
                          </w:rPr>
                        </w:pPr>
                        <w:r>
                          <w:rPr>
                            <w:sz w:val="18"/>
                            <w:szCs w:val="18"/>
                            <w:lang w:val="es-MX"/>
                          </w:rPr>
                          <w:t>0</w:t>
                        </w:r>
                      </w:p>
                    </w:tc>
                  </w:tr>
                  <w:tr w:rsidR="00987C43">
                    <w:tblPrEx>
                      <w:tblCellMar>
                        <w:top w:w="0" w:type="dxa"/>
                        <w:bottom w:w="0" w:type="dxa"/>
                      </w:tblCellMar>
                    </w:tblPrEx>
                    <w:tc>
                      <w:tcPr>
                        <w:tcW w:w="4140" w:type="dxa"/>
                      </w:tcPr>
                      <w:p w:rsidR="00987C43" w:rsidRDefault="00987C43">
                        <w:pPr>
                          <w:jc w:val="both"/>
                          <w:rPr>
                            <w:sz w:val="18"/>
                            <w:szCs w:val="18"/>
                            <w:lang w:val="es-MX"/>
                          </w:rPr>
                        </w:pPr>
                        <w:r>
                          <w:rPr>
                            <w:sz w:val="18"/>
                            <w:szCs w:val="18"/>
                            <w:lang w:val="es-MX"/>
                          </w:rPr>
                          <w:t>Imp. al Depósito Aduanero Industrial</w:t>
                        </w:r>
                      </w:p>
                    </w:tc>
                    <w:tc>
                      <w:tcPr>
                        <w:tcW w:w="1260" w:type="dxa"/>
                      </w:tcPr>
                      <w:p w:rsidR="00987C43" w:rsidRDefault="00987C43">
                        <w:pPr>
                          <w:jc w:val="center"/>
                          <w:rPr>
                            <w:sz w:val="18"/>
                            <w:szCs w:val="18"/>
                            <w:lang w:val="es-MX"/>
                          </w:rPr>
                        </w:pPr>
                        <w:r>
                          <w:rPr>
                            <w:sz w:val="18"/>
                            <w:szCs w:val="18"/>
                            <w:lang w:val="es-MX"/>
                          </w:rPr>
                          <w:t>47</w:t>
                        </w:r>
                      </w:p>
                    </w:tc>
                    <w:tc>
                      <w:tcPr>
                        <w:tcW w:w="1440" w:type="dxa"/>
                      </w:tcPr>
                      <w:p w:rsidR="00987C43" w:rsidRDefault="00987C43">
                        <w:pPr>
                          <w:jc w:val="center"/>
                          <w:rPr>
                            <w:sz w:val="18"/>
                            <w:szCs w:val="18"/>
                            <w:lang w:val="es-MX"/>
                          </w:rPr>
                        </w:pPr>
                        <w:r>
                          <w:rPr>
                            <w:sz w:val="18"/>
                            <w:szCs w:val="18"/>
                            <w:lang w:val="es-MX"/>
                          </w:rPr>
                          <w:t>0.070</w:t>
                        </w:r>
                      </w:p>
                    </w:tc>
                  </w:tr>
                  <w:tr w:rsidR="00987C43">
                    <w:tblPrEx>
                      <w:tblCellMar>
                        <w:top w:w="0" w:type="dxa"/>
                        <w:bottom w:w="0" w:type="dxa"/>
                      </w:tblCellMar>
                    </w:tblPrEx>
                    <w:tc>
                      <w:tcPr>
                        <w:tcW w:w="4140" w:type="dxa"/>
                      </w:tcPr>
                      <w:p w:rsidR="00987C43" w:rsidRDefault="00987C43">
                        <w:pPr>
                          <w:jc w:val="both"/>
                          <w:rPr>
                            <w:sz w:val="18"/>
                            <w:szCs w:val="18"/>
                            <w:lang w:val="es-MX"/>
                          </w:rPr>
                        </w:pPr>
                        <w:r>
                          <w:rPr>
                            <w:sz w:val="18"/>
                            <w:szCs w:val="18"/>
                            <w:lang w:val="es-MX"/>
                          </w:rPr>
                          <w:t>Imp. al Depósito Aduanero Comercial Privado</w:t>
                        </w:r>
                      </w:p>
                    </w:tc>
                    <w:tc>
                      <w:tcPr>
                        <w:tcW w:w="1260" w:type="dxa"/>
                      </w:tcPr>
                      <w:p w:rsidR="00987C43" w:rsidRDefault="00987C43">
                        <w:pPr>
                          <w:jc w:val="center"/>
                          <w:rPr>
                            <w:sz w:val="18"/>
                            <w:szCs w:val="18"/>
                            <w:lang w:val="es-MX"/>
                          </w:rPr>
                        </w:pPr>
                        <w:r>
                          <w:rPr>
                            <w:sz w:val="18"/>
                            <w:szCs w:val="18"/>
                            <w:lang w:val="es-MX"/>
                          </w:rPr>
                          <w:t>1</w:t>
                        </w:r>
                      </w:p>
                    </w:tc>
                    <w:tc>
                      <w:tcPr>
                        <w:tcW w:w="1440" w:type="dxa"/>
                      </w:tcPr>
                      <w:p w:rsidR="00987C43" w:rsidRDefault="00987C43">
                        <w:pPr>
                          <w:jc w:val="center"/>
                          <w:rPr>
                            <w:sz w:val="18"/>
                            <w:szCs w:val="18"/>
                            <w:lang w:val="es-MX"/>
                          </w:rPr>
                        </w:pPr>
                        <w:r>
                          <w:rPr>
                            <w:sz w:val="18"/>
                            <w:szCs w:val="18"/>
                            <w:lang w:val="es-MX"/>
                          </w:rPr>
                          <w:t>0.001</w:t>
                        </w:r>
                      </w:p>
                    </w:tc>
                  </w:tr>
                  <w:tr w:rsidR="00987C43">
                    <w:tblPrEx>
                      <w:tblCellMar>
                        <w:top w:w="0" w:type="dxa"/>
                        <w:bottom w:w="0" w:type="dxa"/>
                      </w:tblCellMar>
                    </w:tblPrEx>
                    <w:tc>
                      <w:tcPr>
                        <w:tcW w:w="4140" w:type="dxa"/>
                      </w:tcPr>
                      <w:p w:rsidR="00987C43" w:rsidRDefault="00987C43">
                        <w:pPr>
                          <w:jc w:val="both"/>
                          <w:rPr>
                            <w:sz w:val="18"/>
                            <w:szCs w:val="18"/>
                            <w:lang w:val="es-MX"/>
                          </w:rPr>
                        </w:pPr>
                        <w:r>
                          <w:rPr>
                            <w:sz w:val="18"/>
                            <w:szCs w:val="18"/>
                            <w:lang w:val="es-MX"/>
                          </w:rPr>
                          <w:t>Imp. al Depósito Aduanero Comercial Público</w:t>
                        </w:r>
                      </w:p>
                    </w:tc>
                    <w:tc>
                      <w:tcPr>
                        <w:tcW w:w="1260" w:type="dxa"/>
                      </w:tcPr>
                      <w:p w:rsidR="00987C43" w:rsidRDefault="00987C43">
                        <w:pPr>
                          <w:jc w:val="center"/>
                          <w:rPr>
                            <w:sz w:val="18"/>
                            <w:szCs w:val="18"/>
                            <w:lang w:val="es-MX"/>
                          </w:rPr>
                        </w:pPr>
                        <w:r>
                          <w:rPr>
                            <w:sz w:val="18"/>
                            <w:szCs w:val="18"/>
                            <w:lang w:val="es-MX"/>
                          </w:rPr>
                          <w:t>23</w:t>
                        </w:r>
                      </w:p>
                    </w:tc>
                    <w:tc>
                      <w:tcPr>
                        <w:tcW w:w="1440" w:type="dxa"/>
                      </w:tcPr>
                      <w:p w:rsidR="00987C43" w:rsidRDefault="00987C43">
                        <w:pPr>
                          <w:jc w:val="center"/>
                          <w:rPr>
                            <w:sz w:val="18"/>
                            <w:szCs w:val="18"/>
                            <w:lang w:val="es-MX"/>
                          </w:rPr>
                        </w:pPr>
                        <w:r>
                          <w:rPr>
                            <w:sz w:val="18"/>
                            <w:szCs w:val="18"/>
                            <w:lang w:val="es-MX"/>
                          </w:rPr>
                          <w:t>0.034</w:t>
                        </w:r>
                      </w:p>
                    </w:tc>
                  </w:tr>
                  <w:tr w:rsidR="00987C43">
                    <w:tblPrEx>
                      <w:tblCellMar>
                        <w:top w:w="0" w:type="dxa"/>
                        <w:bottom w:w="0" w:type="dxa"/>
                      </w:tblCellMar>
                    </w:tblPrEx>
                    <w:tc>
                      <w:tcPr>
                        <w:tcW w:w="4140" w:type="dxa"/>
                      </w:tcPr>
                      <w:p w:rsidR="00987C43" w:rsidRDefault="00987C43">
                        <w:pPr>
                          <w:jc w:val="both"/>
                          <w:rPr>
                            <w:sz w:val="18"/>
                            <w:szCs w:val="18"/>
                            <w:lang w:val="es-MX"/>
                          </w:rPr>
                        </w:pPr>
                        <w:r>
                          <w:rPr>
                            <w:sz w:val="18"/>
                            <w:szCs w:val="18"/>
                            <w:lang w:val="es-MX"/>
                          </w:rPr>
                          <w:t>Zona Franca</w:t>
                        </w:r>
                      </w:p>
                    </w:tc>
                    <w:tc>
                      <w:tcPr>
                        <w:tcW w:w="1260" w:type="dxa"/>
                      </w:tcPr>
                      <w:p w:rsidR="00987C43" w:rsidRDefault="00987C43">
                        <w:pPr>
                          <w:jc w:val="center"/>
                          <w:rPr>
                            <w:sz w:val="18"/>
                            <w:szCs w:val="18"/>
                            <w:lang w:val="es-MX"/>
                          </w:rPr>
                        </w:pPr>
                        <w:r>
                          <w:rPr>
                            <w:sz w:val="18"/>
                            <w:szCs w:val="18"/>
                            <w:lang w:val="es-MX"/>
                          </w:rPr>
                          <w:t>16</w:t>
                        </w:r>
                      </w:p>
                    </w:tc>
                    <w:tc>
                      <w:tcPr>
                        <w:tcW w:w="1440" w:type="dxa"/>
                      </w:tcPr>
                      <w:p w:rsidR="00987C43" w:rsidRDefault="00987C43">
                        <w:pPr>
                          <w:jc w:val="center"/>
                          <w:rPr>
                            <w:sz w:val="18"/>
                            <w:szCs w:val="18"/>
                            <w:lang w:val="es-MX"/>
                          </w:rPr>
                        </w:pPr>
                        <w:r>
                          <w:rPr>
                            <w:sz w:val="18"/>
                            <w:szCs w:val="18"/>
                            <w:lang w:val="es-MX"/>
                          </w:rPr>
                          <w:t>0.024</w:t>
                        </w:r>
                      </w:p>
                    </w:tc>
                  </w:tr>
                  <w:tr w:rsidR="00987C43">
                    <w:tblPrEx>
                      <w:tblCellMar>
                        <w:top w:w="0" w:type="dxa"/>
                        <w:bottom w:w="0" w:type="dxa"/>
                      </w:tblCellMar>
                    </w:tblPrEx>
                    <w:tc>
                      <w:tcPr>
                        <w:tcW w:w="4140" w:type="dxa"/>
                        <w:tcBorders>
                          <w:top w:val="thinThickSmallGap" w:sz="12" w:space="0" w:color="auto"/>
                          <w:bottom w:val="thinThickSmallGap" w:sz="12" w:space="0" w:color="auto"/>
                        </w:tcBorders>
                      </w:tcPr>
                      <w:p w:rsidR="00987C43" w:rsidRDefault="00987C43">
                        <w:pPr>
                          <w:jc w:val="both"/>
                          <w:rPr>
                            <w:sz w:val="18"/>
                            <w:szCs w:val="18"/>
                            <w:lang w:val="es-MX"/>
                          </w:rPr>
                        </w:pPr>
                        <w:r>
                          <w:rPr>
                            <w:sz w:val="18"/>
                            <w:szCs w:val="18"/>
                            <w:lang w:val="es-MX"/>
                          </w:rPr>
                          <w:t>Total</w:t>
                        </w:r>
                      </w:p>
                    </w:tc>
                    <w:tc>
                      <w:tcPr>
                        <w:tcW w:w="1260" w:type="dxa"/>
                        <w:tcBorders>
                          <w:top w:val="thinThickSmallGap" w:sz="12" w:space="0" w:color="auto"/>
                          <w:bottom w:val="thinThickSmallGap" w:sz="12" w:space="0" w:color="auto"/>
                        </w:tcBorders>
                      </w:tcPr>
                      <w:p w:rsidR="00987C43" w:rsidRDefault="00987C43">
                        <w:pPr>
                          <w:jc w:val="center"/>
                          <w:rPr>
                            <w:sz w:val="18"/>
                            <w:szCs w:val="18"/>
                            <w:lang w:val="es-MX"/>
                          </w:rPr>
                        </w:pPr>
                        <w:r>
                          <w:rPr>
                            <w:sz w:val="18"/>
                            <w:szCs w:val="18"/>
                            <w:lang w:val="es-MX"/>
                          </w:rPr>
                          <w:t>674</w:t>
                        </w:r>
                      </w:p>
                    </w:tc>
                    <w:tc>
                      <w:tcPr>
                        <w:tcW w:w="1440" w:type="dxa"/>
                        <w:tcBorders>
                          <w:top w:val="thinThickSmallGap" w:sz="12" w:space="0" w:color="auto"/>
                          <w:bottom w:val="thinThickSmallGap" w:sz="12" w:space="0" w:color="auto"/>
                        </w:tcBorders>
                      </w:tcPr>
                      <w:p w:rsidR="00987C43" w:rsidRDefault="00987C43">
                        <w:pPr>
                          <w:jc w:val="center"/>
                          <w:rPr>
                            <w:sz w:val="18"/>
                            <w:szCs w:val="18"/>
                            <w:lang w:val="es-MX"/>
                          </w:rPr>
                        </w:pPr>
                        <w:r>
                          <w:rPr>
                            <w:sz w:val="18"/>
                            <w:szCs w:val="18"/>
                            <w:lang w:val="es-MX"/>
                          </w:rPr>
                          <w:t>1</w:t>
                        </w:r>
                      </w:p>
                    </w:tc>
                  </w:tr>
                </w:tbl>
                <w:p w:rsidR="00987C43" w:rsidRDefault="00987C43" w:rsidP="00987C43">
                  <w:pPr>
                    <w:jc w:val="center"/>
                    <w:rPr>
                      <w:b/>
                      <w:sz w:val="18"/>
                      <w:szCs w:val="18"/>
                      <w:lang w:val="es-MX"/>
                    </w:rPr>
                  </w:pPr>
                </w:p>
                <w:p w:rsidR="00987C43" w:rsidRDefault="00987C43" w:rsidP="00987C43">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987C43" w:rsidRDefault="00987C43" w:rsidP="00987C43">
                  <w:pPr>
                    <w:rPr>
                      <w:b/>
                      <w:sz w:val="16"/>
                      <w:szCs w:val="16"/>
                      <w:u w:val="single"/>
                      <w:lang w:val="en-US"/>
                    </w:rPr>
                  </w:pPr>
                  <w:r>
                    <w:rPr>
                      <w:b/>
                      <w:sz w:val="16"/>
                      <w:szCs w:val="16"/>
                    </w:rPr>
                    <w:t>Elaboración: Ingrid Parrales Morales</w:t>
                  </w:r>
                </w:p>
                <w:p w:rsidR="00987C43" w:rsidRDefault="00987C43" w:rsidP="00987C43">
                  <w:pPr>
                    <w:rPr>
                      <w:b/>
                      <w:lang w:val="en-US"/>
                    </w:rPr>
                  </w:pPr>
                </w:p>
              </w:txbxContent>
            </v:textbox>
          </v:shape>
        </w:pict>
      </w: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D4622" w:rsidRDefault="00DD4622" w:rsidP="00DD4622">
      <w:pPr>
        <w:jc w:val="both"/>
      </w:pPr>
    </w:p>
    <w:p w:rsidR="00D854C5" w:rsidRDefault="00D854C5" w:rsidP="00DD4622">
      <w:pPr>
        <w:jc w:val="both"/>
      </w:pPr>
    </w:p>
    <w:p w:rsidR="00360346" w:rsidRDefault="00360346" w:rsidP="00EF07B7">
      <w:pPr>
        <w:jc w:val="right"/>
      </w:pPr>
    </w:p>
    <w:p w:rsidR="00360346" w:rsidRDefault="00360346" w:rsidP="00360346">
      <w:pPr>
        <w:jc w:val="both"/>
      </w:pPr>
      <w:r>
        <w:t>Zona de Origen</w:t>
      </w:r>
    </w:p>
    <w:p w:rsidR="00360346" w:rsidRDefault="00360346" w:rsidP="00360346">
      <w:pPr>
        <w:jc w:val="both"/>
      </w:pPr>
    </w:p>
    <w:p w:rsidR="00360346" w:rsidRDefault="00360346" w:rsidP="00360346">
      <w:pPr>
        <w:jc w:val="both"/>
      </w:pPr>
      <w:r>
        <w:t xml:space="preserve">La Tabla III </w:t>
      </w:r>
      <w:r w:rsidR="008F486C" w:rsidRPr="008F486C">
        <w:t>se distingue que de 674 unidades investigadas, en cuanto a la zona de origen la mayor parte provienen de Europa con el 30%, le siguen Asia con el 29.1%, América del Norte con el 17.8%,  América del Sur con el 17.5%, América Central con el 3.6%,  Caribe con el 1%, África con el 0.7%  y Oceanía 0.3%;</w:t>
      </w:r>
      <w:r>
        <w:t xml:space="preserve"> el gráfico </w:t>
      </w:r>
      <w:r w:rsidR="00EF07B7">
        <w:t>2</w:t>
      </w:r>
      <w:r>
        <w:t>.3 permite confirmar lo mencionado</w:t>
      </w:r>
      <w:r w:rsidR="00EF07B7">
        <w:t xml:space="preserve"> (ver anexo 3).</w:t>
      </w:r>
    </w:p>
    <w:p w:rsidR="00D854C5" w:rsidRDefault="00D854C5" w:rsidP="002223C8">
      <w:pPr>
        <w:jc w:val="both"/>
      </w:pPr>
    </w:p>
    <w:p w:rsidR="00D854C5" w:rsidRDefault="00D854C5" w:rsidP="002223C8">
      <w:pPr>
        <w:jc w:val="both"/>
      </w:pPr>
    </w:p>
    <w:p w:rsidR="00D854C5" w:rsidRDefault="007255B7" w:rsidP="002223C8">
      <w:pPr>
        <w:jc w:val="both"/>
      </w:pPr>
      <w:r>
        <w:rPr>
          <w:noProof/>
        </w:rPr>
        <w:pict>
          <v:shape id="_x0000_s1043" type="#_x0000_t202" style="position:absolute;left:0;text-align:left;margin-left:90pt;margin-top:-.55pt;width:270pt;height:243pt;z-index:251657216" strokeweight="3pt">
            <v:stroke linestyle="thinThin"/>
            <v:textbox style="mso-next-textbox:#_x0000_s1043">
              <w:txbxContent>
                <w:p w:rsidR="008F486C" w:rsidRDefault="008F486C" w:rsidP="008F486C">
                  <w:pPr>
                    <w:pStyle w:val="Ttulo1"/>
                  </w:pPr>
                  <w:r>
                    <w:t>TABLA III</w:t>
                  </w:r>
                </w:p>
                <w:p w:rsidR="008F486C" w:rsidRDefault="008F486C" w:rsidP="008F486C">
                  <w:pPr>
                    <w:jc w:val="center"/>
                    <w:rPr>
                      <w:b/>
                      <w:sz w:val="18"/>
                      <w:szCs w:val="18"/>
                    </w:rPr>
                  </w:pPr>
                  <w:r w:rsidRPr="00CF70FC">
                    <w:rPr>
                      <w:b/>
                      <w:sz w:val="18"/>
                      <w:szCs w:val="18"/>
                    </w:rPr>
                    <w:t>Región:</w:t>
                  </w:r>
                  <w:r>
                    <w:rPr>
                      <w:b/>
                      <w:sz w:val="18"/>
                      <w:szCs w:val="18"/>
                    </w:rPr>
                    <w:t xml:space="preserve"> Costa</w:t>
                  </w:r>
                </w:p>
                <w:p w:rsidR="008F486C" w:rsidRPr="00CF70FC" w:rsidRDefault="008F486C" w:rsidP="008F486C">
                  <w:pPr>
                    <w:jc w:val="center"/>
                    <w:rPr>
                      <w:b/>
                      <w:sz w:val="18"/>
                      <w:szCs w:val="18"/>
                      <w:lang w:val="es-MX"/>
                    </w:rPr>
                  </w:pPr>
                  <w:r w:rsidRPr="00CF70FC">
                    <w:rPr>
                      <w:sz w:val="18"/>
                      <w:szCs w:val="18"/>
                    </w:rPr>
                    <w:t xml:space="preserve"> </w:t>
                  </w:r>
                  <w:r>
                    <w:rPr>
                      <w:b/>
                      <w:sz w:val="18"/>
                      <w:szCs w:val="18"/>
                    </w:rPr>
                    <w:t xml:space="preserve">Distrito: </w:t>
                  </w:r>
                  <w:r w:rsidRPr="00CF70FC">
                    <w:rPr>
                      <w:b/>
                      <w:sz w:val="18"/>
                      <w:szCs w:val="18"/>
                      <w:lang w:val="es-MX"/>
                    </w:rPr>
                    <w:t xml:space="preserve">Los </w:t>
                  </w:r>
                  <w:r>
                    <w:rPr>
                      <w:b/>
                      <w:sz w:val="18"/>
                      <w:szCs w:val="18"/>
                      <w:lang w:val="es-MX"/>
                    </w:rPr>
                    <w:t>2</w:t>
                  </w:r>
                  <w:r w:rsidRPr="00CF70FC">
                    <w:rPr>
                      <w:b/>
                      <w:sz w:val="18"/>
                      <w:szCs w:val="18"/>
                      <w:lang w:val="es-MX"/>
                    </w:rPr>
                    <w:t xml:space="preserve"> Distritos en Conjunto</w:t>
                  </w:r>
                </w:p>
                <w:p w:rsidR="008F486C" w:rsidRPr="005E01FC" w:rsidRDefault="008F486C" w:rsidP="008F486C">
                  <w:pPr>
                    <w:jc w:val="center"/>
                    <w:rPr>
                      <w:b/>
                      <w:sz w:val="20"/>
                      <w:szCs w:val="20"/>
                      <w:lang w:val="es-MX"/>
                    </w:rPr>
                  </w:pPr>
                  <w:r w:rsidRPr="005E01FC">
                    <w:rPr>
                      <w:b/>
                      <w:sz w:val="20"/>
                      <w:szCs w:val="20"/>
                      <w:lang w:val="es-MX"/>
                    </w:rPr>
                    <w:t>Tabla de Frecuencia: Zona de Origen</w:t>
                  </w:r>
                </w:p>
                <w:p w:rsidR="008F486C" w:rsidRDefault="008F486C" w:rsidP="008F486C">
                  <w:pPr>
                    <w:jc w:val="center"/>
                    <w:rPr>
                      <w:b/>
                      <w:lang w:val="es-MX"/>
                    </w:rPr>
                  </w:pPr>
                </w:p>
                <w:tbl>
                  <w:tblPr>
                    <w:tblW w:w="4396" w:type="dxa"/>
                    <w:tblInd w:w="354" w:type="dxa"/>
                    <w:tblLayout w:type="fixed"/>
                    <w:tblCellMar>
                      <w:left w:w="70" w:type="dxa"/>
                      <w:right w:w="70" w:type="dxa"/>
                    </w:tblCellMar>
                    <w:tblLook w:val="0000"/>
                  </w:tblPr>
                  <w:tblGrid>
                    <w:gridCol w:w="1696"/>
                    <w:gridCol w:w="1440"/>
                    <w:gridCol w:w="1260"/>
                  </w:tblGrid>
                  <w:tr w:rsidR="008F486C" w:rsidRPr="005E01FC">
                    <w:tblPrEx>
                      <w:tblCellMar>
                        <w:top w:w="0" w:type="dxa"/>
                        <w:bottom w:w="0" w:type="dxa"/>
                      </w:tblCellMar>
                    </w:tblPrEx>
                    <w:tc>
                      <w:tcPr>
                        <w:tcW w:w="1696" w:type="dxa"/>
                      </w:tcPr>
                      <w:p w:rsidR="008F486C" w:rsidRPr="005E01FC" w:rsidRDefault="008F486C">
                        <w:pPr>
                          <w:jc w:val="center"/>
                          <w:rPr>
                            <w:b/>
                            <w:sz w:val="20"/>
                            <w:szCs w:val="20"/>
                            <w:lang w:val="es-MX"/>
                          </w:rPr>
                        </w:pPr>
                        <w:r w:rsidRPr="005E01FC">
                          <w:rPr>
                            <w:b/>
                            <w:sz w:val="20"/>
                            <w:szCs w:val="20"/>
                            <w:lang w:val="es-MX"/>
                          </w:rPr>
                          <w:t>Zona</w:t>
                        </w:r>
                      </w:p>
                    </w:tc>
                    <w:tc>
                      <w:tcPr>
                        <w:tcW w:w="1440" w:type="dxa"/>
                      </w:tcPr>
                      <w:p w:rsidR="008F486C" w:rsidRPr="005E01FC" w:rsidRDefault="008F486C">
                        <w:pPr>
                          <w:jc w:val="center"/>
                          <w:rPr>
                            <w:b/>
                            <w:sz w:val="20"/>
                            <w:szCs w:val="20"/>
                            <w:lang w:val="es-MX"/>
                          </w:rPr>
                        </w:pPr>
                        <w:r w:rsidRPr="005E01FC">
                          <w:rPr>
                            <w:b/>
                            <w:sz w:val="20"/>
                            <w:szCs w:val="20"/>
                            <w:lang w:val="es-MX"/>
                          </w:rPr>
                          <w:t>Frecuencia Absoluta</w:t>
                        </w:r>
                      </w:p>
                    </w:tc>
                    <w:tc>
                      <w:tcPr>
                        <w:tcW w:w="1260" w:type="dxa"/>
                      </w:tcPr>
                      <w:p w:rsidR="008F486C" w:rsidRPr="005E01FC" w:rsidRDefault="008F486C">
                        <w:pPr>
                          <w:jc w:val="center"/>
                          <w:rPr>
                            <w:b/>
                            <w:sz w:val="20"/>
                            <w:szCs w:val="20"/>
                            <w:lang w:val="es-MX"/>
                          </w:rPr>
                        </w:pPr>
                        <w:r w:rsidRPr="005E01FC">
                          <w:rPr>
                            <w:b/>
                            <w:sz w:val="20"/>
                            <w:szCs w:val="20"/>
                            <w:lang w:val="es-MX"/>
                          </w:rPr>
                          <w:t>Frecuencia Relativa</w:t>
                        </w:r>
                      </w:p>
                    </w:tc>
                  </w:tr>
                  <w:tr w:rsidR="008F486C">
                    <w:tblPrEx>
                      <w:tblCellMar>
                        <w:top w:w="0" w:type="dxa"/>
                        <w:bottom w:w="0" w:type="dxa"/>
                      </w:tblCellMar>
                    </w:tblPrEx>
                    <w:tc>
                      <w:tcPr>
                        <w:tcW w:w="1696" w:type="dxa"/>
                      </w:tcPr>
                      <w:p w:rsidR="008F486C" w:rsidRPr="009F458E" w:rsidRDefault="008F486C" w:rsidP="00424792">
                        <w:pPr>
                          <w:rPr>
                            <w:sz w:val="18"/>
                            <w:szCs w:val="18"/>
                          </w:rPr>
                        </w:pPr>
                        <w:r w:rsidRPr="009F458E">
                          <w:rPr>
                            <w:sz w:val="18"/>
                            <w:szCs w:val="18"/>
                          </w:rPr>
                          <w:t>América del Norte</w:t>
                        </w:r>
                      </w:p>
                    </w:tc>
                    <w:tc>
                      <w:tcPr>
                        <w:tcW w:w="1440" w:type="dxa"/>
                      </w:tcPr>
                      <w:p w:rsidR="008F486C" w:rsidRPr="009F458E" w:rsidRDefault="008F486C">
                        <w:pPr>
                          <w:jc w:val="center"/>
                          <w:rPr>
                            <w:sz w:val="18"/>
                            <w:szCs w:val="18"/>
                            <w:lang w:val="es-MX"/>
                          </w:rPr>
                        </w:pPr>
                        <w:r>
                          <w:rPr>
                            <w:sz w:val="18"/>
                            <w:szCs w:val="18"/>
                            <w:lang w:val="es-MX"/>
                          </w:rPr>
                          <w:t>120</w:t>
                        </w:r>
                      </w:p>
                    </w:tc>
                    <w:tc>
                      <w:tcPr>
                        <w:tcW w:w="1260" w:type="dxa"/>
                      </w:tcPr>
                      <w:p w:rsidR="008F486C" w:rsidRPr="009F458E" w:rsidRDefault="008F486C">
                        <w:pPr>
                          <w:jc w:val="center"/>
                          <w:rPr>
                            <w:sz w:val="18"/>
                            <w:szCs w:val="18"/>
                            <w:lang w:val="es-MX"/>
                          </w:rPr>
                        </w:pPr>
                        <w:r>
                          <w:rPr>
                            <w:sz w:val="18"/>
                            <w:szCs w:val="18"/>
                            <w:lang w:val="es-MX"/>
                          </w:rPr>
                          <w:t>0.178</w:t>
                        </w:r>
                      </w:p>
                    </w:tc>
                  </w:tr>
                  <w:tr w:rsidR="008F486C">
                    <w:tblPrEx>
                      <w:tblCellMar>
                        <w:top w:w="0" w:type="dxa"/>
                        <w:bottom w:w="0" w:type="dxa"/>
                      </w:tblCellMar>
                    </w:tblPrEx>
                    <w:tc>
                      <w:tcPr>
                        <w:tcW w:w="1696" w:type="dxa"/>
                      </w:tcPr>
                      <w:p w:rsidR="008F486C" w:rsidRPr="009F458E" w:rsidRDefault="008F486C" w:rsidP="00424792">
                        <w:pPr>
                          <w:rPr>
                            <w:sz w:val="18"/>
                            <w:szCs w:val="18"/>
                          </w:rPr>
                        </w:pPr>
                        <w:r w:rsidRPr="009F458E">
                          <w:rPr>
                            <w:sz w:val="18"/>
                            <w:szCs w:val="18"/>
                          </w:rPr>
                          <w:t>América Central</w:t>
                        </w:r>
                      </w:p>
                    </w:tc>
                    <w:tc>
                      <w:tcPr>
                        <w:tcW w:w="1440" w:type="dxa"/>
                      </w:tcPr>
                      <w:p w:rsidR="008F486C" w:rsidRPr="009F458E" w:rsidRDefault="008F486C">
                        <w:pPr>
                          <w:jc w:val="center"/>
                          <w:rPr>
                            <w:sz w:val="18"/>
                            <w:szCs w:val="18"/>
                            <w:lang w:val="es-MX"/>
                          </w:rPr>
                        </w:pPr>
                        <w:r>
                          <w:rPr>
                            <w:sz w:val="18"/>
                            <w:szCs w:val="18"/>
                            <w:lang w:val="es-MX"/>
                          </w:rPr>
                          <w:t>24</w:t>
                        </w:r>
                      </w:p>
                    </w:tc>
                    <w:tc>
                      <w:tcPr>
                        <w:tcW w:w="1260" w:type="dxa"/>
                      </w:tcPr>
                      <w:p w:rsidR="008F486C" w:rsidRPr="009F458E" w:rsidRDefault="008F486C">
                        <w:pPr>
                          <w:jc w:val="center"/>
                          <w:rPr>
                            <w:sz w:val="18"/>
                            <w:szCs w:val="18"/>
                            <w:lang w:val="es-MX"/>
                          </w:rPr>
                        </w:pPr>
                        <w:r>
                          <w:rPr>
                            <w:sz w:val="18"/>
                            <w:szCs w:val="18"/>
                            <w:lang w:val="es-MX"/>
                          </w:rPr>
                          <w:t>0.036</w:t>
                        </w:r>
                      </w:p>
                    </w:tc>
                  </w:tr>
                  <w:tr w:rsidR="008F486C">
                    <w:tblPrEx>
                      <w:tblCellMar>
                        <w:top w:w="0" w:type="dxa"/>
                        <w:bottom w:w="0" w:type="dxa"/>
                      </w:tblCellMar>
                    </w:tblPrEx>
                    <w:tc>
                      <w:tcPr>
                        <w:tcW w:w="1696" w:type="dxa"/>
                      </w:tcPr>
                      <w:p w:rsidR="008F486C" w:rsidRPr="009F458E" w:rsidRDefault="008F486C" w:rsidP="00424792">
                        <w:pPr>
                          <w:rPr>
                            <w:sz w:val="18"/>
                            <w:szCs w:val="18"/>
                          </w:rPr>
                        </w:pPr>
                        <w:r w:rsidRPr="009F458E">
                          <w:rPr>
                            <w:sz w:val="18"/>
                            <w:szCs w:val="18"/>
                          </w:rPr>
                          <w:t>América del Sur</w:t>
                        </w:r>
                      </w:p>
                    </w:tc>
                    <w:tc>
                      <w:tcPr>
                        <w:tcW w:w="1440" w:type="dxa"/>
                      </w:tcPr>
                      <w:p w:rsidR="008F486C" w:rsidRPr="009F458E" w:rsidRDefault="008F486C">
                        <w:pPr>
                          <w:jc w:val="center"/>
                          <w:rPr>
                            <w:sz w:val="18"/>
                            <w:szCs w:val="18"/>
                            <w:lang w:val="es-MX"/>
                          </w:rPr>
                        </w:pPr>
                        <w:r>
                          <w:rPr>
                            <w:sz w:val="18"/>
                            <w:szCs w:val="18"/>
                            <w:lang w:val="es-MX"/>
                          </w:rPr>
                          <w:t>118</w:t>
                        </w:r>
                      </w:p>
                    </w:tc>
                    <w:tc>
                      <w:tcPr>
                        <w:tcW w:w="1260" w:type="dxa"/>
                      </w:tcPr>
                      <w:p w:rsidR="008F486C" w:rsidRPr="009F458E" w:rsidRDefault="008F486C">
                        <w:pPr>
                          <w:jc w:val="center"/>
                          <w:rPr>
                            <w:sz w:val="18"/>
                            <w:szCs w:val="18"/>
                            <w:lang w:val="es-MX"/>
                          </w:rPr>
                        </w:pPr>
                        <w:r>
                          <w:rPr>
                            <w:sz w:val="18"/>
                            <w:szCs w:val="18"/>
                            <w:lang w:val="es-MX"/>
                          </w:rPr>
                          <w:t>0.175</w:t>
                        </w:r>
                      </w:p>
                    </w:tc>
                  </w:tr>
                  <w:tr w:rsidR="008F486C">
                    <w:tblPrEx>
                      <w:tblCellMar>
                        <w:top w:w="0" w:type="dxa"/>
                        <w:bottom w:w="0" w:type="dxa"/>
                      </w:tblCellMar>
                    </w:tblPrEx>
                    <w:tc>
                      <w:tcPr>
                        <w:tcW w:w="1696" w:type="dxa"/>
                      </w:tcPr>
                      <w:p w:rsidR="008F486C" w:rsidRPr="009F458E" w:rsidRDefault="008F486C" w:rsidP="00424792">
                        <w:pPr>
                          <w:rPr>
                            <w:sz w:val="18"/>
                            <w:szCs w:val="18"/>
                          </w:rPr>
                        </w:pPr>
                        <w:r w:rsidRPr="009F458E">
                          <w:rPr>
                            <w:sz w:val="18"/>
                            <w:szCs w:val="18"/>
                          </w:rPr>
                          <w:t>Europa</w:t>
                        </w:r>
                      </w:p>
                    </w:tc>
                    <w:tc>
                      <w:tcPr>
                        <w:tcW w:w="1440" w:type="dxa"/>
                      </w:tcPr>
                      <w:p w:rsidR="008F486C" w:rsidRPr="009F458E" w:rsidRDefault="008F486C">
                        <w:pPr>
                          <w:jc w:val="center"/>
                          <w:rPr>
                            <w:sz w:val="18"/>
                            <w:szCs w:val="18"/>
                            <w:lang w:val="es-MX"/>
                          </w:rPr>
                        </w:pPr>
                        <w:r>
                          <w:rPr>
                            <w:sz w:val="18"/>
                            <w:szCs w:val="18"/>
                            <w:lang w:val="es-MX"/>
                          </w:rPr>
                          <w:t>202</w:t>
                        </w:r>
                      </w:p>
                    </w:tc>
                    <w:tc>
                      <w:tcPr>
                        <w:tcW w:w="1260" w:type="dxa"/>
                      </w:tcPr>
                      <w:p w:rsidR="008F486C" w:rsidRPr="009F458E" w:rsidRDefault="008F486C">
                        <w:pPr>
                          <w:jc w:val="center"/>
                          <w:rPr>
                            <w:sz w:val="18"/>
                            <w:szCs w:val="18"/>
                            <w:lang w:val="es-MX"/>
                          </w:rPr>
                        </w:pPr>
                        <w:r>
                          <w:rPr>
                            <w:sz w:val="18"/>
                            <w:szCs w:val="18"/>
                            <w:lang w:val="es-MX"/>
                          </w:rPr>
                          <w:t>0.300</w:t>
                        </w:r>
                      </w:p>
                    </w:tc>
                  </w:tr>
                  <w:tr w:rsidR="008F486C">
                    <w:tblPrEx>
                      <w:tblCellMar>
                        <w:top w:w="0" w:type="dxa"/>
                        <w:bottom w:w="0" w:type="dxa"/>
                      </w:tblCellMar>
                    </w:tblPrEx>
                    <w:tc>
                      <w:tcPr>
                        <w:tcW w:w="1696" w:type="dxa"/>
                      </w:tcPr>
                      <w:p w:rsidR="008F486C" w:rsidRPr="009F458E" w:rsidRDefault="008F486C" w:rsidP="00424792">
                        <w:pPr>
                          <w:rPr>
                            <w:sz w:val="18"/>
                            <w:szCs w:val="18"/>
                          </w:rPr>
                        </w:pPr>
                        <w:r w:rsidRPr="009F458E">
                          <w:rPr>
                            <w:sz w:val="18"/>
                            <w:szCs w:val="18"/>
                          </w:rPr>
                          <w:t>Asia</w:t>
                        </w:r>
                      </w:p>
                    </w:tc>
                    <w:tc>
                      <w:tcPr>
                        <w:tcW w:w="1440" w:type="dxa"/>
                      </w:tcPr>
                      <w:p w:rsidR="008F486C" w:rsidRPr="009F458E" w:rsidRDefault="008F486C">
                        <w:pPr>
                          <w:jc w:val="center"/>
                          <w:rPr>
                            <w:sz w:val="18"/>
                            <w:szCs w:val="18"/>
                            <w:lang w:val="es-MX"/>
                          </w:rPr>
                        </w:pPr>
                        <w:r>
                          <w:rPr>
                            <w:sz w:val="18"/>
                            <w:szCs w:val="18"/>
                            <w:lang w:val="es-MX"/>
                          </w:rPr>
                          <w:t>196</w:t>
                        </w:r>
                      </w:p>
                    </w:tc>
                    <w:tc>
                      <w:tcPr>
                        <w:tcW w:w="1260" w:type="dxa"/>
                      </w:tcPr>
                      <w:p w:rsidR="008F486C" w:rsidRPr="009F458E" w:rsidRDefault="008F486C">
                        <w:pPr>
                          <w:jc w:val="center"/>
                          <w:rPr>
                            <w:sz w:val="18"/>
                            <w:szCs w:val="18"/>
                            <w:lang w:val="es-MX"/>
                          </w:rPr>
                        </w:pPr>
                        <w:r>
                          <w:rPr>
                            <w:sz w:val="18"/>
                            <w:szCs w:val="18"/>
                            <w:lang w:val="es-MX"/>
                          </w:rPr>
                          <w:t>0.291</w:t>
                        </w:r>
                      </w:p>
                    </w:tc>
                  </w:tr>
                  <w:tr w:rsidR="008F486C">
                    <w:tblPrEx>
                      <w:tblCellMar>
                        <w:top w:w="0" w:type="dxa"/>
                        <w:bottom w:w="0" w:type="dxa"/>
                      </w:tblCellMar>
                    </w:tblPrEx>
                    <w:tc>
                      <w:tcPr>
                        <w:tcW w:w="1696" w:type="dxa"/>
                      </w:tcPr>
                      <w:p w:rsidR="008F486C" w:rsidRPr="009F458E" w:rsidRDefault="008F486C" w:rsidP="00424792">
                        <w:pPr>
                          <w:rPr>
                            <w:sz w:val="18"/>
                            <w:szCs w:val="18"/>
                          </w:rPr>
                        </w:pPr>
                        <w:r w:rsidRPr="009F458E">
                          <w:rPr>
                            <w:sz w:val="18"/>
                            <w:szCs w:val="18"/>
                          </w:rPr>
                          <w:t>África</w:t>
                        </w:r>
                      </w:p>
                    </w:tc>
                    <w:tc>
                      <w:tcPr>
                        <w:tcW w:w="1440" w:type="dxa"/>
                      </w:tcPr>
                      <w:p w:rsidR="008F486C" w:rsidRPr="009F458E" w:rsidRDefault="008F486C">
                        <w:pPr>
                          <w:jc w:val="center"/>
                          <w:rPr>
                            <w:sz w:val="18"/>
                            <w:szCs w:val="18"/>
                            <w:lang w:val="es-MX"/>
                          </w:rPr>
                        </w:pPr>
                        <w:r>
                          <w:rPr>
                            <w:sz w:val="18"/>
                            <w:szCs w:val="18"/>
                            <w:lang w:val="es-MX"/>
                          </w:rPr>
                          <w:t>5</w:t>
                        </w:r>
                      </w:p>
                    </w:tc>
                    <w:tc>
                      <w:tcPr>
                        <w:tcW w:w="1260" w:type="dxa"/>
                      </w:tcPr>
                      <w:p w:rsidR="008F486C" w:rsidRPr="009F458E" w:rsidRDefault="008F486C">
                        <w:pPr>
                          <w:jc w:val="center"/>
                          <w:rPr>
                            <w:sz w:val="18"/>
                            <w:szCs w:val="18"/>
                            <w:lang w:val="es-MX"/>
                          </w:rPr>
                        </w:pPr>
                        <w:r>
                          <w:rPr>
                            <w:sz w:val="18"/>
                            <w:szCs w:val="18"/>
                            <w:lang w:val="es-MX"/>
                          </w:rPr>
                          <w:t>0.007</w:t>
                        </w:r>
                      </w:p>
                    </w:tc>
                  </w:tr>
                  <w:tr w:rsidR="008F486C">
                    <w:tblPrEx>
                      <w:tblCellMar>
                        <w:top w:w="0" w:type="dxa"/>
                        <w:bottom w:w="0" w:type="dxa"/>
                      </w:tblCellMar>
                    </w:tblPrEx>
                    <w:tc>
                      <w:tcPr>
                        <w:tcW w:w="1696" w:type="dxa"/>
                      </w:tcPr>
                      <w:p w:rsidR="008F486C" w:rsidRPr="009F458E" w:rsidRDefault="008F486C" w:rsidP="00424792">
                        <w:pPr>
                          <w:rPr>
                            <w:sz w:val="18"/>
                            <w:szCs w:val="18"/>
                          </w:rPr>
                        </w:pPr>
                        <w:r w:rsidRPr="009F458E">
                          <w:rPr>
                            <w:sz w:val="18"/>
                            <w:szCs w:val="18"/>
                          </w:rPr>
                          <w:t>Oceanía</w:t>
                        </w:r>
                      </w:p>
                    </w:tc>
                    <w:tc>
                      <w:tcPr>
                        <w:tcW w:w="1440" w:type="dxa"/>
                      </w:tcPr>
                      <w:p w:rsidR="008F486C" w:rsidRPr="009F458E" w:rsidRDefault="008F486C">
                        <w:pPr>
                          <w:jc w:val="center"/>
                          <w:rPr>
                            <w:sz w:val="18"/>
                            <w:szCs w:val="18"/>
                            <w:lang w:val="es-MX"/>
                          </w:rPr>
                        </w:pPr>
                        <w:r>
                          <w:rPr>
                            <w:sz w:val="18"/>
                            <w:szCs w:val="18"/>
                            <w:lang w:val="es-MX"/>
                          </w:rPr>
                          <w:t>2</w:t>
                        </w:r>
                      </w:p>
                    </w:tc>
                    <w:tc>
                      <w:tcPr>
                        <w:tcW w:w="1260" w:type="dxa"/>
                      </w:tcPr>
                      <w:p w:rsidR="008F486C" w:rsidRPr="009F458E" w:rsidRDefault="008F486C">
                        <w:pPr>
                          <w:jc w:val="center"/>
                          <w:rPr>
                            <w:sz w:val="18"/>
                            <w:szCs w:val="18"/>
                            <w:lang w:val="es-MX"/>
                          </w:rPr>
                        </w:pPr>
                        <w:r>
                          <w:rPr>
                            <w:sz w:val="18"/>
                            <w:szCs w:val="18"/>
                            <w:lang w:val="es-MX"/>
                          </w:rPr>
                          <w:t>0.003</w:t>
                        </w:r>
                      </w:p>
                    </w:tc>
                  </w:tr>
                  <w:tr w:rsidR="008F486C">
                    <w:tblPrEx>
                      <w:tblCellMar>
                        <w:top w:w="0" w:type="dxa"/>
                        <w:bottom w:w="0" w:type="dxa"/>
                      </w:tblCellMar>
                    </w:tblPrEx>
                    <w:tc>
                      <w:tcPr>
                        <w:tcW w:w="1696" w:type="dxa"/>
                      </w:tcPr>
                      <w:p w:rsidR="008F486C" w:rsidRPr="009F458E" w:rsidRDefault="008F486C" w:rsidP="00424792">
                        <w:pPr>
                          <w:jc w:val="both"/>
                          <w:rPr>
                            <w:sz w:val="18"/>
                            <w:szCs w:val="18"/>
                            <w:lang w:val="es-MX"/>
                          </w:rPr>
                        </w:pPr>
                        <w:r w:rsidRPr="009F458E">
                          <w:rPr>
                            <w:sz w:val="18"/>
                            <w:szCs w:val="18"/>
                            <w:lang w:val="es-MX"/>
                          </w:rPr>
                          <w:t xml:space="preserve"> Caribe</w:t>
                        </w:r>
                      </w:p>
                    </w:tc>
                    <w:tc>
                      <w:tcPr>
                        <w:tcW w:w="1440" w:type="dxa"/>
                      </w:tcPr>
                      <w:p w:rsidR="008F486C" w:rsidRPr="009F458E" w:rsidRDefault="008F486C">
                        <w:pPr>
                          <w:jc w:val="center"/>
                          <w:rPr>
                            <w:sz w:val="18"/>
                            <w:szCs w:val="18"/>
                            <w:lang w:val="es-MX"/>
                          </w:rPr>
                        </w:pPr>
                        <w:r>
                          <w:rPr>
                            <w:sz w:val="18"/>
                            <w:szCs w:val="18"/>
                            <w:lang w:val="es-MX"/>
                          </w:rPr>
                          <w:t>7</w:t>
                        </w:r>
                      </w:p>
                    </w:tc>
                    <w:tc>
                      <w:tcPr>
                        <w:tcW w:w="1260" w:type="dxa"/>
                      </w:tcPr>
                      <w:p w:rsidR="008F486C" w:rsidRPr="009F458E" w:rsidRDefault="008F486C">
                        <w:pPr>
                          <w:jc w:val="center"/>
                          <w:rPr>
                            <w:sz w:val="18"/>
                            <w:szCs w:val="18"/>
                            <w:lang w:val="es-MX"/>
                          </w:rPr>
                        </w:pPr>
                        <w:r>
                          <w:rPr>
                            <w:sz w:val="18"/>
                            <w:szCs w:val="18"/>
                            <w:lang w:val="es-MX"/>
                          </w:rPr>
                          <w:t>0.010</w:t>
                        </w:r>
                      </w:p>
                    </w:tc>
                  </w:tr>
                  <w:tr w:rsidR="008F486C">
                    <w:tblPrEx>
                      <w:tblCellMar>
                        <w:top w:w="0" w:type="dxa"/>
                        <w:bottom w:w="0" w:type="dxa"/>
                      </w:tblCellMar>
                    </w:tblPrEx>
                    <w:tc>
                      <w:tcPr>
                        <w:tcW w:w="1696" w:type="dxa"/>
                      </w:tcPr>
                      <w:p w:rsidR="008F486C" w:rsidRPr="009F458E" w:rsidRDefault="008F486C" w:rsidP="00424792">
                        <w:pPr>
                          <w:jc w:val="both"/>
                          <w:rPr>
                            <w:sz w:val="18"/>
                            <w:szCs w:val="18"/>
                            <w:lang w:val="es-MX"/>
                          </w:rPr>
                        </w:pPr>
                        <w:r w:rsidRPr="009F458E">
                          <w:rPr>
                            <w:sz w:val="18"/>
                            <w:szCs w:val="18"/>
                            <w:lang w:val="es-MX"/>
                          </w:rPr>
                          <w:t>Total</w:t>
                        </w:r>
                      </w:p>
                    </w:tc>
                    <w:tc>
                      <w:tcPr>
                        <w:tcW w:w="1440" w:type="dxa"/>
                      </w:tcPr>
                      <w:p w:rsidR="008F486C" w:rsidRPr="009F458E" w:rsidRDefault="008F486C">
                        <w:pPr>
                          <w:jc w:val="center"/>
                          <w:rPr>
                            <w:sz w:val="18"/>
                            <w:szCs w:val="18"/>
                            <w:lang w:val="es-MX"/>
                          </w:rPr>
                        </w:pPr>
                        <w:r>
                          <w:rPr>
                            <w:sz w:val="18"/>
                            <w:szCs w:val="18"/>
                            <w:lang w:val="es-MX"/>
                          </w:rPr>
                          <w:t>674</w:t>
                        </w:r>
                      </w:p>
                    </w:tc>
                    <w:tc>
                      <w:tcPr>
                        <w:tcW w:w="1260" w:type="dxa"/>
                      </w:tcPr>
                      <w:p w:rsidR="008F486C" w:rsidRPr="009F458E" w:rsidRDefault="008F486C">
                        <w:pPr>
                          <w:jc w:val="center"/>
                          <w:rPr>
                            <w:sz w:val="18"/>
                            <w:szCs w:val="18"/>
                            <w:lang w:val="es-MX"/>
                          </w:rPr>
                        </w:pPr>
                        <w:r w:rsidRPr="009F458E">
                          <w:rPr>
                            <w:sz w:val="18"/>
                            <w:szCs w:val="18"/>
                            <w:lang w:val="es-MX"/>
                          </w:rPr>
                          <w:t>1</w:t>
                        </w:r>
                      </w:p>
                    </w:tc>
                  </w:tr>
                </w:tbl>
                <w:p w:rsidR="008F486C" w:rsidRDefault="008F486C" w:rsidP="008F486C">
                  <w:pPr>
                    <w:jc w:val="center"/>
                    <w:rPr>
                      <w:b/>
                      <w:lang w:val="es-MX"/>
                    </w:rPr>
                  </w:pPr>
                </w:p>
                <w:p w:rsidR="008F486C" w:rsidRPr="00C01DFD" w:rsidRDefault="008F486C" w:rsidP="008F486C">
                  <w:pPr>
                    <w:rPr>
                      <w:b/>
                      <w:i/>
                      <w:sz w:val="18"/>
                      <w:szCs w:val="18"/>
                      <w:lang w:val="en-US"/>
                    </w:rPr>
                  </w:pPr>
                </w:p>
                <w:p w:rsidR="008F486C" w:rsidRDefault="008F486C" w:rsidP="008F486C">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8F486C" w:rsidRDefault="008F486C" w:rsidP="008F486C">
                  <w:pPr>
                    <w:rPr>
                      <w:b/>
                      <w:sz w:val="16"/>
                      <w:szCs w:val="16"/>
                      <w:u w:val="single"/>
                      <w:lang w:val="en-US"/>
                    </w:rPr>
                  </w:pPr>
                  <w:r>
                    <w:rPr>
                      <w:b/>
                      <w:sz w:val="16"/>
                      <w:szCs w:val="16"/>
                    </w:rPr>
                    <w:t>Elaboración: Ingrid Parrales Morales</w:t>
                  </w:r>
                </w:p>
                <w:p w:rsidR="008F486C" w:rsidRPr="00C01DFD" w:rsidRDefault="008F486C" w:rsidP="008F486C">
                  <w:pPr>
                    <w:ind w:left="540" w:hanging="540"/>
                    <w:rPr>
                      <w:lang w:val="en-US"/>
                    </w:rPr>
                  </w:pPr>
                </w:p>
              </w:txbxContent>
            </v:textbox>
          </v:shape>
        </w:pict>
      </w: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EF07B7" w:rsidRDefault="00EF07B7" w:rsidP="00EF07B7">
      <w:pPr>
        <w:jc w:val="both"/>
      </w:pPr>
      <w:r>
        <w:t>Vía de Transporte</w:t>
      </w:r>
    </w:p>
    <w:p w:rsidR="00EF07B7" w:rsidRDefault="00EF07B7" w:rsidP="00EF07B7">
      <w:pPr>
        <w:jc w:val="both"/>
      </w:pPr>
    </w:p>
    <w:p w:rsidR="00D854C5" w:rsidRDefault="000C4F82" w:rsidP="00EF07B7">
      <w:pPr>
        <w:jc w:val="both"/>
      </w:pPr>
      <w:r>
        <w:t>L</w:t>
      </w:r>
      <w:r w:rsidR="00EF07B7">
        <w:t xml:space="preserve">a Tabla IV </w:t>
      </w:r>
      <w:r w:rsidRPr="000C4F82">
        <w:t>se observa que de 674 unidades investigadas, la principal vía de transporte que se utiliza para la importación es el marítimo con el 73%, le siguen la transportación Aéreo con el 27%, la  terrestre con el 0%, lo que significa que en Guayaquil no es muy usada la transportación terrestre</w:t>
      </w:r>
      <w:r w:rsidR="00EF07B7">
        <w:t>; la ilustración se muestra en el gráfico 2.4 (ver anexo 4).</w:t>
      </w:r>
    </w:p>
    <w:p w:rsidR="00D854C5" w:rsidRDefault="00D854C5" w:rsidP="002223C8">
      <w:pPr>
        <w:jc w:val="both"/>
      </w:pPr>
    </w:p>
    <w:p w:rsidR="00D854C5" w:rsidRDefault="00D854C5" w:rsidP="002223C8">
      <w:pPr>
        <w:jc w:val="both"/>
      </w:pPr>
    </w:p>
    <w:p w:rsidR="00D854C5" w:rsidRDefault="000C4F82" w:rsidP="002223C8">
      <w:pPr>
        <w:jc w:val="both"/>
      </w:pPr>
      <w:r>
        <w:rPr>
          <w:noProof/>
        </w:rPr>
        <w:pict>
          <v:shape id="_x0000_s1045" type="#_x0000_t202" style="position:absolute;left:0;text-align:left;margin-left:90pt;margin-top:6pt;width:270pt;height:153pt;z-index:251659264" strokeweight="3pt">
            <v:stroke linestyle="thinThin"/>
            <v:textbox style="mso-next-textbox:#_x0000_s1045">
              <w:txbxContent>
                <w:p w:rsidR="000C4F82" w:rsidRPr="00CF70FC" w:rsidRDefault="000C4F82" w:rsidP="000C4F82">
                  <w:pPr>
                    <w:pStyle w:val="Ttulo1"/>
                    <w:rPr>
                      <w:sz w:val="18"/>
                      <w:szCs w:val="18"/>
                    </w:rPr>
                  </w:pPr>
                  <w:r w:rsidRPr="00CF70FC">
                    <w:rPr>
                      <w:sz w:val="18"/>
                      <w:szCs w:val="18"/>
                    </w:rPr>
                    <w:t xml:space="preserve">TABLA </w:t>
                  </w:r>
                  <w:r>
                    <w:rPr>
                      <w:sz w:val="18"/>
                      <w:szCs w:val="18"/>
                    </w:rPr>
                    <w:t>I</w:t>
                  </w:r>
                  <w:r w:rsidR="00584311">
                    <w:rPr>
                      <w:sz w:val="18"/>
                      <w:szCs w:val="18"/>
                    </w:rPr>
                    <w:t>V</w:t>
                  </w:r>
                </w:p>
                <w:p w:rsidR="000C4F82" w:rsidRPr="00CF70FC" w:rsidRDefault="000C4F82" w:rsidP="000C4F82">
                  <w:pPr>
                    <w:jc w:val="center"/>
                    <w:rPr>
                      <w:b/>
                      <w:sz w:val="18"/>
                      <w:szCs w:val="18"/>
                      <w:lang w:val="es-MX"/>
                    </w:rPr>
                  </w:pPr>
                  <w:r w:rsidRPr="00CF70FC">
                    <w:rPr>
                      <w:b/>
                      <w:sz w:val="18"/>
                      <w:szCs w:val="18"/>
                      <w:lang w:val="es-MX"/>
                    </w:rPr>
                    <w:t>Región: Costa</w:t>
                  </w:r>
                </w:p>
                <w:p w:rsidR="000C4F82" w:rsidRPr="00CF70FC" w:rsidRDefault="000C4F82" w:rsidP="000C4F82">
                  <w:pPr>
                    <w:jc w:val="center"/>
                    <w:rPr>
                      <w:b/>
                      <w:sz w:val="18"/>
                      <w:szCs w:val="18"/>
                      <w:lang w:val="es-MX"/>
                    </w:rPr>
                  </w:pPr>
                  <w:r w:rsidRPr="00CF70FC">
                    <w:rPr>
                      <w:b/>
                      <w:sz w:val="18"/>
                      <w:szCs w:val="18"/>
                      <w:lang w:val="es-MX"/>
                    </w:rPr>
                    <w:t xml:space="preserve">Distrito: Los </w:t>
                  </w:r>
                  <w:r>
                    <w:rPr>
                      <w:b/>
                      <w:sz w:val="18"/>
                      <w:szCs w:val="18"/>
                      <w:lang w:val="es-MX"/>
                    </w:rPr>
                    <w:t>2</w:t>
                  </w:r>
                  <w:r w:rsidRPr="00CF70FC">
                    <w:rPr>
                      <w:b/>
                      <w:sz w:val="18"/>
                      <w:szCs w:val="18"/>
                      <w:lang w:val="es-MX"/>
                    </w:rPr>
                    <w:t xml:space="preserve"> Distritos en Conjunto</w:t>
                  </w:r>
                </w:p>
                <w:p w:rsidR="000C4F82" w:rsidRPr="00CF70FC" w:rsidRDefault="000C4F82" w:rsidP="000C4F82">
                  <w:pPr>
                    <w:jc w:val="center"/>
                    <w:rPr>
                      <w:b/>
                      <w:sz w:val="18"/>
                      <w:szCs w:val="18"/>
                      <w:lang w:val="es-MX"/>
                    </w:rPr>
                  </w:pPr>
                  <w:r w:rsidRPr="00CF70FC">
                    <w:rPr>
                      <w:b/>
                      <w:sz w:val="18"/>
                      <w:szCs w:val="18"/>
                      <w:lang w:val="es-MX"/>
                    </w:rPr>
                    <w:t>Tabla de Frecuencia: Vía de Transporte</w:t>
                  </w:r>
                </w:p>
                <w:p w:rsidR="000C4F82" w:rsidRDefault="000C4F82" w:rsidP="000C4F82">
                  <w:pPr>
                    <w:jc w:val="center"/>
                    <w:rPr>
                      <w:b/>
                      <w:lang w:val="es-MX"/>
                    </w:rPr>
                  </w:pPr>
                </w:p>
                <w:tbl>
                  <w:tblPr>
                    <w:tblW w:w="4396" w:type="dxa"/>
                    <w:tblInd w:w="354" w:type="dxa"/>
                    <w:tblLayout w:type="fixed"/>
                    <w:tblCellMar>
                      <w:left w:w="70" w:type="dxa"/>
                      <w:right w:w="70" w:type="dxa"/>
                    </w:tblCellMar>
                    <w:tblLook w:val="0000"/>
                  </w:tblPr>
                  <w:tblGrid>
                    <w:gridCol w:w="1696"/>
                    <w:gridCol w:w="1440"/>
                    <w:gridCol w:w="1260"/>
                  </w:tblGrid>
                  <w:tr w:rsidR="000C4F82">
                    <w:tblPrEx>
                      <w:tblCellMar>
                        <w:top w:w="0" w:type="dxa"/>
                        <w:bottom w:w="0" w:type="dxa"/>
                      </w:tblCellMar>
                    </w:tblPrEx>
                    <w:tc>
                      <w:tcPr>
                        <w:tcW w:w="1696" w:type="dxa"/>
                      </w:tcPr>
                      <w:p w:rsidR="000C4F82" w:rsidRDefault="000C4F82">
                        <w:pPr>
                          <w:jc w:val="center"/>
                          <w:rPr>
                            <w:b/>
                            <w:lang w:val="es-MX"/>
                          </w:rPr>
                        </w:pPr>
                        <w:r>
                          <w:rPr>
                            <w:b/>
                            <w:lang w:val="es-MX"/>
                          </w:rPr>
                          <w:t>Zona</w:t>
                        </w:r>
                      </w:p>
                    </w:tc>
                    <w:tc>
                      <w:tcPr>
                        <w:tcW w:w="1440" w:type="dxa"/>
                      </w:tcPr>
                      <w:p w:rsidR="000C4F82" w:rsidRDefault="000C4F82">
                        <w:pPr>
                          <w:jc w:val="center"/>
                          <w:rPr>
                            <w:b/>
                            <w:lang w:val="es-MX"/>
                          </w:rPr>
                        </w:pPr>
                        <w:r>
                          <w:rPr>
                            <w:b/>
                            <w:lang w:val="es-MX"/>
                          </w:rPr>
                          <w:t>Frecuencia Absoluta</w:t>
                        </w:r>
                      </w:p>
                    </w:tc>
                    <w:tc>
                      <w:tcPr>
                        <w:tcW w:w="1260" w:type="dxa"/>
                      </w:tcPr>
                      <w:p w:rsidR="000C4F82" w:rsidRDefault="000C4F82">
                        <w:pPr>
                          <w:jc w:val="center"/>
                          <w:rPr>
                            <w:b/>
                            <w:lang w:val="es-MX"/>
                          </w:rPr>
                        </w:pPr>
                        <w:r>
                          <w:rPr>
                            <w:b/>
                            <w:lang w:val="es-MX"/>
                          </w:rPr>
                          <w:t>Frecuencia Relativa</w:t>
                        </w:r>
                      </w:p>
                    </w:tc>
                  </w:tr>
                  <w:tr w:rsidR="000C4F82">
                    <w:tblPrEx>
                      <w:tblCellMar>
                        <w:top w:w="0" w:type="dxa"/>
                        <w:bottom w:w="0" w:type="dxa"/>
                      </w:tblCellMar>
                    </w:tblPrEx>
                    <w:tc>
                      <w:tcPr>
                        <w:tcW w:w="1696" w:type="dxa"/>
                      </w:tcPr>
                      <w:p w:rsidR="000C4F82" w:rsidRPr="009F458E" w:rsidRDefault="000C4F82" w:rsidP="00424792">
                        <w:pPr>
                          <w:rPr>
                            <w:sz w:val="18"/>
                            <w:szCs w:val="18"/>
                          </w:rPr>
                        </w:pPr>
                        <w:r w:rsidRPr="009F458E">
                          <w:rPr>
                            <w:sz w:val="18"/>
                            <w:szCs w:val="18"/>
                          </w:rPr>
                          <w:t>Aéreo</w:t>
                        </w:r>
                      </w:p>
                    </w:tc>
                    <w:tc>
                      <w:tcPr>
                        <w:tcW w:w="1440" w:type="dxa"/>
                      </w:tcPr>
                      <w:p w:rsidR="000C4F82" w:rsidRPr="009F458E" w:rsidRDefault="000C4F82">
                        <w:pPr>
                          <w:jc w:val="center"/>
                          <w:rPr>
                            <w:sz w:val="18"/>
                            <w:szCs w:val="18"/>
                            <w:lang w:val="es-MX"/>
                          </w:rPr>
                        </w:pPr>
                        <w:r>
                          <w:rPr>
                            <w:sz w:val="18"/>
                            <w:szCs w:val="18"/>
                            <w:lang w:val="es-MX"/>
                          </w:rPr>
                          <w:t>181</w:t>
                        </w:r>
                      </w:p>
                    </w:tc>
                    <w:tc>
                      <w:tcPr>
                        <w:tcW w:w="1260" w:type="dxa"/>
                      </w:tcPr>
                      <w:p w:rsidR="000C4F82" w:rsidRPr="009F458E" w:rsidRDefault="000C4F82">
                        <w:pPr>
                          <w:jc w:val="center"/>
                          <w:rPr>
                            <w:sz w:val="18"/>
                            <w:szCs w:val="18"/>
                            <w:lang w:val="es-MX"/>
                          </w:rPr>
                        </w:pPr>
                        <w:r>
                          <w:rPr>
                            <w:sz w:val="18"/>
                            <w:szCs w:val="18"/>
                            <w:lang w:val="es-MX"/>
                          </w:rPr>
                          <w:t>0.269</w:t>
                        </w:r>
                      </w:p>
                    </w:tc>
                  </w:tr>
                  <w:tr w:rsidR="000C4F82">
                    <w:tblPrEx>
                      <w:tblCellMar>
                        <w:top w:w="0" w:type="dxa"/>
                        <w:bottom w:w="0" w:type="dxa"/>
                      </w:tblCellMar>
                    </w:tblPrEx>
                    <w:tc>
                      <w:tcPr>
                        <w:tcW w:w="1696" w:type="dxa"/>
                      </w:tcPr>
                      <w:p w:rsidR="000C4F82" w:rsidRPr="009F458E" w:rsidRDefault="000C4F82" w:rsidP="00424792">
                        <w:pPr>
                          <w:rPr>
                            <w:sz w:val="18"/>
                            <w:szCs w:val="18"/>
                          </w:rPr>
                        </w:pPr>
                        <w:r w:rsidRPr="009F458E">
                          <w:rPr>
                            <w:sz w:val="18"/>
                            <w:szCs w:val="18"/>
                          </w:rPr>
                          <w:t>Marítimo</w:t>
                        </w:r>
                      </w:p>
                    </w:tc>
                    <w:tc>
                      <w:tcPr>
                        <w:tcW w:w="1440" w:type="dxa"/>
                      </w:tcPr>
                      <w:p w:rsidR="000C4F82" w:rsidRPr="009F458E" w:rsidRDefault="000C4F82">
                        <w:pPr>
                          <w:jc w:val="center"/>
                          <w:rPr>
                            <w:sz w:val="18"/>
                            <w:szCs w:val="18"/>
                            <w:lang w:val="es-MX"/>
                          </w:rPr>
                        </w:pPr>
                        <w:r>
                          <w:rPr>
                            <w:sz w:val="18"/>
                            <w:szCs w:val="18"/>
                            <w:lang w:val="es-MX"/>
                          </w:rPr>
                          <w:t>493</w:t>
                        </w:r>
                      </w:p>
                    </w:tc>
                    <w:tc>
                      <w:tcPr>
                        <w:tcW w:w="1260" w:type="dxa"/>
                      </w:tcPr>
                      <w:p w:rsidR="000C4F82" w:rsidRPr="009F458E" w:rsidRDefault="000C4F82">
                        <w:pPr>
                          <w:jc w:val="center"/>
                          <w:rPr>
                            <w:sz w:val="18"/>
                            <w:szCs w:val="18"/>
                            <w:lang w:val="es-MX"/>
                          </w:rPr>
                        </w:pPr>
                        <w:r>
                          <w:rPr>
                            <w:sz w:val="18"/>
                            <w:szCs w:val="18"/>
                            <w:lang w:val="es-MX"/>
                          </w:rPr>
                          <w:t>0.731</w:t>
                        </w:r>
                      </w:p>
                    </w:tc>
                  </w:tr>
                  <w:tr w:rsidR="000C4F82">
                    <w:tblPrEx>
                      <w:tblCellMar>
                        <w:top w:w="0" w:type="dxa"/>
                        <w:bottom w:w="0" w:type="dxa"/>
                      </w:tblCellMar>
                    </w:tblPrEx>
                    <w:tc>
                      <w:tcPr>
                        <w:tcW w:w="1696" w:type="dxa"/>
                      </w:tcPr>
                      <w:p w:rsidR="000C4F82" w:rsidRPr="009F458E" w:rsidRDefault="000C4F82" w:rsidP="00424792">
                        <w:pPr>
                          <w:rPr>
                            <w:sz w:val="18"/>
                            <w:szCs w:val="18"/>
                          </w:rPr>
                        </w:pPr>
                        <w:r w:rsidRPr="009F458E">
                          <w:rPr>
                            <w:sz w:val="18"/>
                            <w:szCs w:val="18"/>
                          </w:rPr>
                          <w:t>Terrestre</w:t>
                        </w:r>
                      </w:p>
                    </w:tc>
                    <w:tc>
                      <w:tcPr>
                        <w:tcW w:w="1440" w:type="dxa"/>
                      </w:tcPr>
                      <w:p w:rsidR="000C4F82" w:rsidRPr="009F458E" w:rsidRDefault="000C4F82">
                        <w:pPr>
                          <w:jc w:val="center"/>
                          <w:rPr>
                            <w:sz w:val="18"/>
                            <w:szCs w:val="18"/>
                            <w:lang w:val="es-MX"/>
                          </w:rPr>
                        </w:pPr>
                        <w:r>
                          <w:rPr>
                            <w:sz w:val="18"/>
                            <w:szCs w:val="18"/>
                            <w:lang w:val="es-MX"/>
                          </w:rPr>
                          <w:t>0</w:t>
                        </w:r>
                      </w:p>
                    </w:tc>
                    <w:tc>
                      <w:tcPr>
                        <w:tcW w:w="1260" w:type="dxa"/>
                      </w:tcPr>
                      <w:p w:rsidR="000C4F82" w:rsidRPr="009F458E" w:rsidRDefault="000C4F82">
                        <w:pPr>
                          <w:jc w:val="center"/>
                          <w:rPr>
                            <w:sz w:val="18"/>
                            <w:szCs w:val="18"/>
                            <w:lang w:val="es-MX"/>
                          </w:rPr>
                        </w:pPr>
                        <w:r>
                          <w:rPr>
                            <w:sz w:val="18"/>
                            <w:szCs w:val="18"/>
                            <w:lang w:val="es-MX"/>
                          </w:rPr>
                          <w:t>0</w:t>
                        </w:r>
                      </w:p>
                    </w:tc>
                  </w:tr>
                  <w:tr w:rsidR="000C4F82">
                    <w:tblPrEx>
                      <w:tblCellMar>
                        <w:top w:w="0" w:type="dxa"/>
                        <w:bottom w:w="0" w:type="dxa"/>
                      </w:tblCellMar>
                    </w:tblPrEx>
                    <w:tc>
                      <w:tcPr>
                        <w:tcW w:w="1696" w:type="dxa"/>
                      </w:tcPr>
                      <w:p w:rsidR="000C4F82" w:rsidRPr="009F458E" w:rsidRDefault="000C4F82" w:rsidP="00424792">
                        <w:pPr>
                          <w:rPr>
                            <w:sz w:val="18"/>
                            <w:szCs w:val="18"/>
                          </w:rPr>
                        </w:pPr>
                        <w:r w:rsidRPr="009F458E">
                          <w:rPr>
                            <w:sz w:val="18"/>
                            <w:szCs w:val="18"/>
                          </w:rPr>
                          <w:t>Total</w:t>
                        </w:r>
                      </w:p>
                    </w:tc>
                    <w:tc>
                      <w:tcPr>
                        <w:tcW w:w="1440" w:type="dxa"/>
                      </w:tcPr>
                      <w:p w:rsidR="000C4F82" w:rsidRPr="009F458E" w:rsidRDefault="000C4F82">
                        <w:pPr>
                          <w:jc w:val="center"/>
                          <w:rPr>
                            <w:sz w:val="18"/>
                            <w:szCs w:val="18"/>
                            <w:lang w:val="es-MX"/>
                          </w:rPr>
                        </w:pPr>
                        <w:r>
                          <w:rPr>
                            <w:sz w:val="18"/>
                            <w:szCs w:val="18"/>
                            <w:lang w:val="es-MX"/>
                          </w:rPr>
                          <w:t>674</w:t>
                        </w:r>
                      </w:p>
                    </w:tc>
                    <w:tc>
                      <w:tcPr>
                        <w:tcW w:w="1260" w:type="dxa"/>
                      </w:tcPr>
                      <w:p w:rsidR="000C4F82" w:rsidRPr="009F458E" w:rsidRDefault="000C4F82">
                        <w:pPr>
                          <w:jc w:val="center"/>
                          <w:rPr>
                            <w:sz w:val="18"/>
                            <w:szCs w:val="18"/>
                            <w:lang w:val="es-MX"/>
                          </w:rPr>
                        </w:pPr>
                        <w:r w:rsidRPr="009F458E">
                          <w:rPr>
                            <w:sz w:val="18"/>
                            <w:szCs w:val="18"/>
                            <w:lang w:val="es-MX"/>
                          </w:rPr>
                          <w:t>1</w:t>
                        </w:r>
                      </w:p>
                    </w:tc>
                  </w:tr>
                </w:tbl>
                <w:p w:rsidR="000C4F82" w:rsidRDefault="000C4F82" w:rsidP="000C4F82">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0C4F82" w:rsidRDefault="000C4F82" w:rsidP="000C4F82">
                  <w:pPr>
                    <w:rPr>
                      <w:b/>
                      <w:sz w:val="16"/>
                      <w:szCs w:val="16"/>
                      <w:u w:val="single"/>
                      <w:lang w:val="en-US"/>
                    </w:rPr>
                  </w:pPr>
                  <w:r>
                    <w:rPr>
                      <w:b/>
                      <w:sz w:val="16"/>
                      <w:szCs w:val="16"/>
                    </w:rPr>
                    <w:t>Elaboración: Ingrid Parrales Morales</w:t>
                  </w:r>
                </w:p>
                <w:p w:rsidR="000C4F82" w:rsidRPr="00D0712E" w:rsidRDefault="000C4F82" w:rsidP="000C4F82">
                  <w:pPr>
                    <w:rPr>
                      <w:b/>
                    </w:rPr>
                  </w:pPr>
                </w:p>
              </w:txbxContent>
            </v:textbox>
          </v:shape>
        </w:pict>
      </w: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191ED5" w:rsidRDefault="00191ED5" w:rsidP="00191ED5">
      <w:pPr>
        <w:numPr>
          <w:ilvl w:val="0"/>
          <w:numId w:val="1"/>
        </w:numPr>
        <w:tabs>
          <w:tab w:val="clear" w:pos="720"/>
          <w:tab w:val="num" w:pos="360"/>
        </w:tabs>
        <w:ind w:left="360"/>
        <w:jc w:val="both"/>
      </w:pPr>
      <w:r>
        <w:t xml:space="preserve">  ANÁLISIS MULTIVARIADO</w:t>
      </w:r>
    </w:p>
    <w:p w:rsidR="00191ED5" w:rsidRDefault="00191ED5" w:rsidP="00191ED5">
      <w:pPr>
        <w:jc w:val="both"/>
      </w:pPr>
    </w:p>
    <w:p w:rsidR="00191ED5" w:rsidRDefault="00DE6E36" w:rsidP="00191ED5">
      <w:pPr>
        <w:jc w:val="both"/>
      </w:pPr>
      <w:r>
        <w:t>3</w:t>
      </w:r>
      <w:r w:rsidR="00191ED5">
        <w:t>.1  TABLAS DE CONTINGENCIA</w:t>
      </w:r>
    </w:p>
    <w:p w:rsidR="00191ED5" w:rsidRDefault="00191ED5" w:rsidP="00191ED5">
      <w:pPr>
        <w:jc w:val="both"/>
      </w:pPr>
    </w:p>
    <w:p w:rsidR="00191ED5" w:rsidRDefault="00191ED5" w:rsidP="00191ED5">
      <w:pPr>
        <w:jc w:val="both"/>
      </w:pPr>
      <w:r>
        <w:t>Distrito Aduanero vs. Vía de Transporte</w:t>
      </w:r>
    </w:p>
    <w:p w:rsidR="00191ED5" w:rsidRDefault="00191ED5" w:rsidP="00191ED5">
      <w:pPr>
        <w:jc w:val="both"/>
      </w:pPr>
    </w:p>
    <w:p w:rsidR="00191ED5" w:rsidRDefault="00191ED5" w:rsidP="003D262D">
      <w:pPr>
        <w:ind w:left="360" w:hanging="360"/>
        <w:jc w:val="both"/>
      </w:pPr>
      <w:r>
        <w:t>H</w:t>
      </w:r>
      <w:r w:rsidRPr="00191ED5">
        <w:rPr>
          <w:vertAlign w:val="subscript"/>
        </w:rPr>
        <w:t>0</w:t>
      </w:r>
      <w:r>
        <w:t>: El distrito aduanero y la vía de transporte  utilizada para las importaciones, son independientes.</w:t>
      </w:r>
    </w:p>
    <w:p w:rsidR="00191ED5" w:rsidRDefault="00191ED5" w:rsidP="003D262D">
      <w:pPr>
        <w:jc w:val="center"/>
      </w:pPr>
      <w:r>
        <w:t>vs.</w:t>
      </w:r>
    </w:p>
    <w:p w:rsidR="00191ED5" w:rsidRDefault="00191ED5" w:rsidP="00191ED5">
      <w:pPr>
        <w:jc w:val="both"/>
      </w:pPr>
      <w:r>
        <w:t>H</w:t>
      </w:r>
      <w:r w:rsidRPr="00191ED5">
        <w:rPr>
          <w:vertAlign w:val="subscript"/>
        </w:rPr>
        <w:t>1</w:t>
      </w:r>
      <w:r>
        <w:t>: Ί H</w:t>
      </w:r>
      <w:r w:rsidRPr="003D262D">
        <w:rPr>
          <w:vertAlign w:val="subscript"/>
        </w:rPr>
        <w:t>0</w:t>
      </w:r>
      <w:r>
        <w:tab/>
      </w:r>
    </w:p>
    <w:p w:rsidR="00A40A7D" w:rsidRDefault="00A40A7D" w:rsidP="002223C8">
      <w:pPr>
        <w:jc w:val="both"/>
      </w:pPr>
    </w:p>
    <w:p w:rsidR="005B779C" w:rsidRPr="00F92F16" w:rsidRDefault="005B779C" w:rsidP="005B779C">
      <w:pPr>
        <w:ind w:left="1800" w:hanging="360"/>
        <w:rPr>
          <w:rFonts w:ascii="Arial" w:hAnsi="Arial" w:cs="Arial"/>
          <w:vertAlign w:val="subscript"/>
        </w:rPr>
      </w:pPr>
      <w:r w:rsidRPr="00F92F16">
        <w:rPr>
          <w:rFonts w:ascii="Arial" w:hAnsi="Arial" w:cs="Arial"/>
          <w:noProof/>
          <w:vertAlign w:val="subscript"/>
        </w:rPr>
        <w:pict>
          <v:shape id="_x0000_s1047" type="#_x0000_t202" style="position:absolute;left:0;text-align:left;margin-left:45pt;margin-top:11.65pt;width:351pt;height:170.8pt;z-index:251661312" strokeweight="3pt">
            <v:stroke linestyle="thinThin"/>
            <v:textbox style="mso-next-textbox:#_x0000_s1047">
              <w:txbxContent>
                <w:p w:rsidR="005B779C" w:rsidRPr="00C36A97" w:rsidRDefault="005B779C" w:rsidP="005B779C">
                  <w:pPr>
                    <w:pStyle w:val="Ttulo1"/>
                    <w:rPr>
                      <w:sz w:val="18"/>
                      <w:szCs w:val="18"/>
                    </w:rPr>
                  </w:pPr>
                  <w:r w:rsidRPr="00C36A97">
                    <w:rPr>
                      <w:sz w:val="18"/>
                      <w:szCs w:val="18"/>
                    </w:rPr>
                    <w:t>TABLA LVII</w:t>
                  </w:r>
                </w:p>
                <w:p w:rsidR="005B779C" w:rsidRPr="00844BAC" w:rsidRDefault="005B779C" w:rsidP="005B779C">
                  <w:pPr>
                    <w:jc w:val="center"/>
                    <w:rPr>
                      <w:b/>
                      <w:sz w:val="18"/>
                      <w:szCs w:val="18"/>
                      <w:lang w:val="es-MX"/>
                    </w:rPr>
                  </w:pPr>
                  <w:r w:rsidRPr="00844BAC">
                    <w:rPr>
                      <w:b/>
                      <w:sz w:val="18"/>
                      <w:szCs w:val="18"/>
                      <w:lang w:val="es-MX"/>
                    </w:rPr>
                    <w:t>Región: Costa</w:t>
                  </w:r>
                </w:p>
                <w:p w:rsidR="005B779C" w:rsidRDefault="005B779C" w:rsidP="005B779C">
                  <w:pPr>
                    <w:jc w:val="center"/>
                    <w:rPr>
                      <w:b/>
                      <w:sz w:val="18"/>
                      <w:szCs w:val="18"/>
                      <w:lang w:val="es-MX"/>
                    </w:rPr>
                  </w:pPr>
                  <w:r w:rsidRPr="00844BAC">
                    <w:rPr>
                      <w:b/>
                      <w:sz w:val="18"/>
                      <w:szCs w:val="18"/>
                      <w:lang w:val="es-MX"/>
                    </w:rPr>
                    <w:t xml:space="preserve">Distrito: </w:t>
                  </w:r>
                  <w:r w:rsidRPr="000F61E7">
                    <w:rPr>
                      <w:b/>
                      <w:sz w:val="18"/>
                      <w:szCs w:val="18"/>
                      <w:lang w:val="es-MX"/>
                    </w:rPr>
                    <w:t xml:space="preserve">Los </w:t>
                  </w:r>
                  <w:r>
                    <w:rPr>
                      <w:b/>
                      <w:sz w:val="18"/>
                      <w:szCs w:val="18"/>
                      <w:lang w:val="es-MX"/>
                    </w:rPr>
                    <w:t>2</w:t>
                  </w:r>
                  <w:r w:rsidRPr="000F61E7">
                    <w:rPr>
                      <w:b/>
                      <w:sz w:val="18"/>
                      <w:szCs w:val="18"/>
                      <w:lang w:val="es-MX"/>
                    </w:rPr>
                    <w:t xml:space="preserve"> Distritos en Conjunto</w:t>
                  </w:r>
                  <w:r w:rsidRPr="00844BAC">
                    <w:rPr>
                      <w:b/>
                      <w:sz w:val="18"/>
                      <w:szCs w:val="18"/>
                      <w:lang w:val="es-MX"/>
                    </w:rPr>
                    <w:t xml:space="preserve"> </w:t>
                  </w:r>
                </w:p>
                <w:p w:rsidR="005B779C" w:rsidRPr="00C36A97" w:rsidRDefault="005B779C" w:rsidP="005B779C">
                  <w:pPr>
                    <w:jc w:val="center"/>
                    <w:rPr>
                      <w:b/>
                      <w:sz w:val="18"/>
                      <w:szCs w:val="18"/>
                      <w:lang w:val="es-MX"/>
                    </w:rPr>
                  </w:pPr>
                  <w:r w:rsidRPr="00C36A97">
                    <w:rPr>
                      <w:b/>
                      <w:sz w:val="18"/>
                      <w:szCs w:val="18"/>
                      <w:lang w:val="es-MX"/>
                    </w:rPr>
                    <w:t>Tabla de Contingencia: Distrito vs. Vía de Transporte</w:t>
                  </w:r>
                </w:p>
                <w:p w:rsidR="005B779C" w:rsidRDefault="005B779C" w:rsidP="005B779C">
                  <w:pPr>
                    <w:jc w:val="center"/>
                    <w:rPr>
                      <w:lang w:val="es-MX"/>
                    </w:rPr>
                  </w:pPr>
                </w:p>
                <w:tbl>
                  <w:tblPr>
                    <w:tblStyle w:val="Tablaconcuadrcula"/>
                    <w:tblW w:w="0" w:type="auto"/>
                    <w:tblInd w:w="108" w:type="dxa"/>
                    <w:tblLook w:val="01E0"/>
                  </w:tblPr>
                  <w:tblGrid>
                    <w:gridCol w:w="1080"/>
                    <w:gridCol w:w="1620"/>
                    <w:gridCol w:w="1620"/>
                    <w:gridCol w:w="1440"/>
                    <w:gridCol w:w="900"/>
                  </w:tblGrid>
                  <w:tr w:rsidR="005B779C" w:rsidRPr="00916A74">
                    <w:tc>
                      <w:tcPr>
                        <w:tcW w:w="1080" w:type="dxa"/>
                        <w:vMerge w:val="restart"/>
                      </w:tcPr>
                      <w:p w:rsidR="005B779C" w:rsidRPr="00916A74" w:rsidRDefault="005B779C" w:rsidP="00424792">
                        <w:pPr>
                          <w:jc w:val="center"/>
                          <w:rPr>
                            <w:b/>
                            <w:sz w:val="22"/>
                            <w:szCs w:val="22"/>
                            <w:lang w:val="es-MX"/>
                          </w:rPr>
                        </w:pPr>
                      </w:p>
                      <w:p w:rsidR="005B779C" w:rsidRPr="00916A74" w:rsidRDefault="005B779C" w:rsidP="00424792">
                        <w:pPr>
                          <w:jc w:val="center"/>
                          <w:rPr>
                            <w:b/>
                            <w:sz w:val="22"/>
                            <w:szCs w:val="22"/>
                            <w:lang w:val="es-MX"/>
                          </w:rPr>
                        </w:pPr>
                        <w:r w:rsidRPr="00916A74">
                          <w:rPr>
                            <w:b/>
                            <w:sz w:val="22"/>
                            <w:szCs w:val="22"/>
                            <w:lang w:val="es-MX"/>
                          </w:rPr>
                          <w:t>Distrito</w:t>
                        </w:r>
                      </w:p>
                    </w:tc>
                    <w:tc>
                      <w:tcPr>
                        <w:tcW w:w="4680" w:type="dxa"/>
                        <w:gridSpan w:val="3"/>
                      </w:tcPr>
                      <w:p w:rsidR="005B779C" w:rsidRPr="00916A74" w:rsidRDefault="005B779C" w:rsidP="00424792">
                        <w:pPr>
                          <w:jc w:val="center"/>
                          <w:rPr>
                            <w:b/>
                            <w:sz w:val="22"/>
                            <w:szCs w:val="22"/>
                            <w:lang w:val="es-MX"/>
                          </w:rPr>
                        </w:pPr>
                        <w:r w:rsidRPr="00916A74">
                          <w:rPr>
                            <w:b/>
                            <w:sz w:val="22"/>
                            <w:szCs w:val="22"/>
                            <w:lang w:val="es-MX"/>
                          </w:rPr>
                          <w:t>Vía</w:t>
                        </w:r>
                      </w:p>
                    </w:tc>
                    <w:tc>
                      <w:tcPr>
                        <w:tcW w:w="900" w:type="dxa"/>
                        <w:vMerge w:val="restart"/>
                      </w:tcPr>
                      <w:p w:rsidR="005B779C" w:rsidRPr="00916A74" w:rsidRDefault="005B779C" w:rsidP="00424792">
                        <w:pPr>
                          <w:jc w:val="center"/>
                          <w:rPr>
                            <w:b/>
                            <w:sz w:val="22"/>
                            <w:szCs w:val="22"/>
                            <w:lang w:val="es-MX"/>
                          </w:rPr>
                        </w:pPr>
                      </w:p>
                      <w:p w:rsidR="005B779C" w:rsidRPr="00916A74" w:rsidRDefault="005B779C" w:rsidP="00424792">
                        <w:pPr>
                          <w:jc w:val="center"/>
                          <w:rPr>
                            <w:b/>
                            <w:sz w:val="22"/>
                            <w:szCs w:val="22"/>
                            <w:lang w:val="es-MX"/>
                          </w:rPr>
                        </w:pPr>
                        <w:r w:rsidRPr="00916A74">
                          <w:rPr>
                            <w:b/>
                            <w:sz w:val="22"/>
                            <w:szCs w:val="22"/>
                            <w:lang w:val="es-MX"/>
                          </w:rPr>
                          <w:t>Total</w:t>
                        </w:r>
                      </w:p>
                    </w:tc>
                  </w:tr>
                  <w:tr w:rsidR="005B779C" w:rsidRPr="00916A74">
                    <w:tc>
                      <w:tcPr>
                        <w:tcW w:w="1080" w:type="dxa"/>
                        <w:vMerge/>
                      </w:tcPr>
                      <w:p w:rsidR="005B779C" w:rsidRPr="00916A74" w:rsidRDefault="005B779C" w:rsidP="00424792">
                        <w:pPr>
                          <w:jc w:val="center"/>
                          <w:rPr>
                            <w:sz w:val="22"/>
                            <w:szCs w:val="22"/>
                            <w:lang w:val="es-MX"/>
                          </w:rPr>
                        </w:pPr>
                      </w:p>
                    </w:tc>
                    <w:tc>
                      <w:tcPr>
                        <w:tcW w:w="1620" w:type="dxa"/>
                      </w:tcPr>
                      <w:p w:rsidR="005B779C" w:rsidRPr="00916A74" w:rsidRDefault="005B779C" w:rsidP="00424792">
                        <w:pPr>
                          <w:jc w:val="center"/>
                          <w:rPr>
                            <w:sz w:val="22"/>
                            <w:szCs w:val="22"/>
                            <w:lang w:val="es-MX"/>
                          </w:rPr>
                        </w:pPr>
                        <w:r w:rsidRPr="00916A74">
                          <w:rPr>
                            <w:sz w:val="22"/>
                            <w:szCs w:val="22"/>
                            <w:lang w:val="es-MX"/>
                          </w:rPr>
                          <w:t>Aéreo</w:t>
                        </w:r>
                      </w:p>
                    </w:tc>
                    <w:tc>
                      <w:tcPr>
                        <w:tcW w:w="1620" w:type="dxa"/>
                      </w:tcPr>
                      <w:p w:rsidR="005B779C" w:rsidRPr="00916A74" w:rsidRDefault="005B779C" w:rsidP="00424792">
                        <w:pPr>
                          <w:jc w:val="center"/>
                          <w:rPr>
                            <w:sz w:val="22"/>
                            <w:szCs w:val="22"/>
                            <w:lang w:val="es-MX"/>
                          </w:rPr>
                        </w:pPr>
                        <w:r w:rsidRPr="00916A74">
                          <w:rPr>
                            <w:sz w:val="22"/>
                            <w:szCs w:val="22"/>
                            <w:lang w:val="es-MX"/>
                          </w:rPr>
                          <w:t>Marítimo</w:t>
                        </w:r>
                      </w:p>
                    </w:tc>
                    <w:tc>
                      <w:tcPr>
                        <w:tcW w:w="1440" w:type="dxa"/>
                      </w:tcPr>
                      <w:p w:rsidR="005B779C" w:rsidRPr="00916A74" w:rsidRDefault="005B779C" w:rsidP="00424792">
                        <w:pPr>
                          <w:jc w:val="center"/>
                          <w:rPr>
                            <w:sz w:val="22"/>
                            <w:szCs w:val="22"/>
                            <w:lang w:val="es-MX"/>
                          </w:rPr>
                        </w:pPr>
                        <w:r w:rsidRPr="00916A74">
                          <w:rPr>
                            <w:sz w:val="22"/>
                            <w:szCs w:val="22"/>
                            <w:lang w:val="es-MX"/>
                          </w:rPr>
                          <w:t>Terrestre</w:t>
                        </w:r>
                      </w:p>
                    </w:tc>
                    <w:tc>
                      <w:tcPr>
                        <w:tcW w:w="900" w:type="dxa"/>
                        <w:vMerge/>
                      </w:tcPr>
                      <w:p w:rsidR="005B779C" w:rsidRPr="00916A74" w:rsidRDefault="005B779C" w:rsidP="00424792">
                        <w:pPr>
                          <w:jc w:val="center"/>
                          <w:rPr>
                            <w:sz w:val="22"/>
                            <w:szCs w:val="22"/>
                            <w:lang w:val="es-MX"/>
                          </w:rPr>
                        </w:pPr>
                      </w:p>
                    </w:tc>
                  </w:tr>
                  <w:tr w:rsidR="005B779C" w:rsidRPr="00916A74">
                    <w:tc>
                      <w:tcPr>
                        <w:tcW w:w="1080" w:type="dxa"/>
                      </w:tcPr>
                      <w:p w:rsidR="005B779C" w:rsidRPr="00916A74" w:rsidRDefault="005B779C" w:rsidP="00424792">
                        <w:pPr>
                          <w:rPr>
                            <w:sz w:val="22"/>
                            <w:szCs w:val="22"/>
                            <w:lang w:val="es-MX"/>
                          </w:rPr>
                        </w:pPr>
                        <w:r w:rsidRPr="00916A74">
                          <w:rPr>
                            <w:sz w:val="22"/>
                            <w:szCs w:val="22"/>
                            <w:lang w:val="es-MX"/>
                          </w:rPr>
                          <w:t>Quito</w:t>
                        </w:r>
                      </w:p>
                    </w:tc>
                    <w:tc>
                      <w:tcPr>
                        <w:tcW w:w="1620" w:type="dxa"/>
                      </w:tcPr>
                      <w:p w:rsidR="005B779C" w:rsidRPr="00916A74" w:rsidRDefault="005B779C" w:rsidP="00424792">
                        <w:pPr>
                          <w:jc w:val="center"/>
                          <w:rPr>
                            <w:sz w:val="22"/>
                            <w:szCs w:val="22"/>
                            <w:lang w:val="es-MX"/>
                          </w:rPr>
                        </w:pPr>
                        <w:r w:rsidRPr="00916A74">
                          <w:rPr>
                            <w:sz w:val="22"/>
                            <w:szCs w:val="22"/>
                            <w:lang w:val="es-MX"/>
                          </w:rPr>
                          <w:t>181</w:t>
                        </w:r>
                      </w:p>
                    </w:tc>
                    <w:tc>
                      <w:tcPr>
                        <w:tcW w:w="1620" w:type="dxa"/>
                      </w:tcPr>
                      <w:p w:rsidR="005B779C" w:rsidRPr="00916A74" w:rsidRDefault="005B779C" w:rsidP="00424792">
                        <w:pPr>
                          <w:jc w:val="center"/>
                          <w:rPr>
                            <w:sz w:val="22"/>
                            <w:szCs w:val="22"/>
                            <w:lang w:val="es-MX"/>
                          </w:rPr>
                        </w:pPr>
                        <w:r w:rsidRPr="00916A74">
                          <w:rPr>
                            <w:sz w:val="22"/>
                            <w:szCs w:val="22"/>
                            <w:lang w:val="es-MX"/>
                          </w:rPr>
                          <w:t>435</w:t>
                        </w:r>
                      </w:p>
                    </w:tc>
                    <w:tc>
                      <w:tcPr>
                        <w:tcW w:w="1440" w:type="dxa"/>
                      </w:tcPr>
                      <w:p w:rsidR="005B779C" w:rsidRPr="00916A74" w:rsidRDefault="005B779C" w:rsidP="00424792">
                        <w:pPr>
                          <w:jc w:val="center"/>
                          <w:rPr>
                            <w:sz w:val="22"/>
                            <w:szCs w:val="22"/>
                            <w:lang w:val="es-MX"/>
                          </w:rPr>
                        </w:pPr>
                        <w:r w:rsidRPr="00916A74">
                          <w:rPr>
                            <w:sz w:val="22"/>
                            <w:szCs w:val="22"/>
                            <w:lang w:val="es-MX"/>
                          </w:rPr>
                          <w:t>0</w:t>
                        </w:r>
                      </w:p>
                    </w:tc>
                    <w:tc>
                      <w:tcPr>
                        <w:tcW w:w="900" w:type="dxa"/>
                      </w:tcPr>
                      <w:p w:rsidR="005B779C" w:rsidRPr="00916A74" w:rsidRDefault="005B779C" w:rsidP="00424792">
                        <w:pPr>
                          <w:jc w:val="center"/>
                          <w:rPr>
                            <w:sz w:val="22"/>
                            <w:szCs w:val="22"/>
                            <w:lang w:val="es-MX"/>
                          </w:rPr>
                        </w:pPr>
                        <w:r w:rsidRPr="00916A74">
                          <w:rPr>
                            <w:sz w:val="22"/>
                            <w:szCs w:val="22"/>
                            <w:lang w:val="es-MX"/>
                          </w:rPr>
                          <w:t>616</w:t>
                        </w:r>
                      </w:p>
                    </w:tc>
                  </w:tr>
                  <w:tr w:rsidR="005B779C" w:rsidRPr="00916A74">
                    <w:tc>
                      <w:tcPr>
                        <w:tcW w:w="1080" w:type="dxa"/>
                      </w:tcPr>
                      <w:p w:rsidR="005B779C" w:rsidRPr="00916A74" w:rsidRDefault="005B779C" w:rsidP="00424792">
                        <w:pPr>
                          <w:rPr>
                            <w:sz w:val="22"/>
                            <w:szCs w:val="22"/>
                            <w:lang w:val="es-MX"/>
                          </w:rPr>
                        </w:pPr>
                        <w:r w:rsidRPr="00916A74">
                          <w:rPr>
                            <w:sz w:val="22"/>
                            <w:szCs w:val="22"/>
                            <w:lang w:val="es-MX"/>
                          </w:rPr>
                          <w:t>Cuenca</w:t>
                        </w:r>
                      </w:p>
                    </w:tc>
                    <w:tc>
                      <w:tcPr>
                        <w:tcW w:w="1620" w:type="dxa"/>
                      </w:tcPr>
                      <w:p w:rsidR="005B779C" w:rsidRPr="00916A74" w:rsidRDefault="005B779C" w:rsidP="00424792">
                        <w:pPr>
                          <w:jc w:val="center"/>
                          <w:rPr>
                            <w:sz w:val="22"/>
                            <w:szCs w:val="22"/>
                            <w:lang w:val="es-MX"/>
                          </w:rPr>
                        </w:pPr>
                        <w:r w:rsidRPr="00916A74">
                          <w:rPr>
                            <w:sz w:val="22"/>
                            <w:szCs w:val="22"/>
                            <w:lang w:val="es-MX"/>
                          </w:rPr>
                          <w:t>0</w:t>
                        </w:r>
                      </w:p>
                    </w:tc>
                    <w:tc>
                      <w:tcPr>
                        <w:tcW w:w="1620" w:type="dxa"/>
                      </w:tcPr>
                      <w:p w:rsidR="005B779C" w:rsidRPr="00916A74" w:rsidRDefault="005B779C" w:rsidP="00424792">
                        <w:pPr>
                          <w:jc w:val="center"/>
                          <w:rPr>
                            <w:sz w:val="22"/>
                            <w:szCs w:val="22"/>
                            <w:lang w:val="es-MX"/>
                          </w:rPr>
                        </w:pPr>
                        <w:r w:rsidRPr="00916A74">
                          <w:rPr>
                            <w:sz w:val="22"/>
                            <w:szCs w:val="22"/>
                            <w:lang w:val="es-MX"/>
                          </w:rPr>
                          <w:t>58</w:t>
                        </w:r>
                      </w:p>
                    </w:tc>
                    <w:tc>
                      <w:tcPr>
                        <w:tcW w:w="1440" w:type="dxa"/>
                      </w:tcPr>
                      <w:p w:rsidR="005B779C" w:rsidRPr="00916A74" w:rsidRDefault="005B779C" w:rsidP="00424792">
                        <w:pPr>
                          <w:jc w:val="center"/>
                          <w:rPr>
                            <w:sz w:val="22"/>
                            <w:szCs w:val="22"/>
                            <w:lang w:val="es-MX"/>
                          </w:rPr>
                        </w:pPr>
                        <w:r w:rsidRPr="00916A74">
                          <w:rPr>
                            <w:sz w:val="22"/>
                            <w:szCs w:val="22"/>
                            <w:lang w:val="es-MX"/>
                          </w:rPr>
                          <w:t>0</w:t>
                        </w:r>
                      </w:p>
                    </w:tc>
                    <w:tc>
                      <w:tcPr>
                        <w:tcW w:w="900" w:type="dxa"/>
                      </w:tcPr>
                      <w:p w:rsidR="005B779C" w:rsidRPr="00916A74" w:rsidRDefault="005B779C" w:rsidP="00424792">
                        <w:pPr>
                          <w:jc w:val="center"/>
                          <w:rPr>
                            <w:sz w:val="22"/>
                            <w:szCs w:val="22"/>
                            <w:lang w:val="es-MX"/>
                          </w:rPr>
                        </w:pPr>
                        <w:r w:rsidRPr="00916A74">
                          <w:rPr>
                            <w:sz w:val="22"/>
                            <w:szCs w:val="22"/>
                            <w:lang w:val="es-MX"/>
                          </w:rPr>
                          <w:t>58</w:t>
                        </w:r>
                      </w:p>
                    </w:tc>
                  </w:tr>
                  <w:tr w:rsidR="005B779C" w:rsidRPr="00916A74">
                    <w:tc>
                      <w:tcPr>
                        <w:tcW w:w="1080" w:type="dxa"/>
                      </w:tcPr>
                      <w:p w:rsidR="005B779C" w:rsidRPr="00916A74" w:rsidRDefault="005B779C" w:rsidP="00424792">
                        <w:pPr>
                          <w:rPr>
                            <w:sz w:val="22"/>
                            <w:szCs w:val="22"/>
                            <w:lang w:val="es-MX"/>
                          </w:rPr>
                        </w:pPr>
                        <w:r w:rsidRPr="00916A74">
                          <w:rPr>
                            <w:sz w:val="22"/>
                            <w:szCs w:val="22"/>
                            <w:lang w:val="es-MX"/>
                          </w:rPr>
                          <w:t>Total</w:t>
                        </w:r>
                      </w:p>
                    </w:tc>
                    <w:tc>
                      <w:tcPr>
                        <w:tcW w:w="1620" w:type="dxa"/>
                      </w:tcPr>
                      <w:p w:rsidR="005B779C" w:rsidRPr="00916A74" w:rsidRDefault="005B779C" w:rsidP="00424792">
                        <w:pPr>
                          <w:jc w:val="center"/>
                          <w:rPr>
                            <w:sz w:val="22"/>
                            <w:szCs w:val="22"/>
                            <w:lang w:val="es-MX"/>
                          </w:rPr>
                        </w:pPr>
                        <w:r w:rsidRPr="00916A74">
                          <w:rPr>
                            <w:sz w:val="22"/>
                            <w:szCs w:val="22"/>
                            <w:lang w:val="es-MX"/>
                          </w:rPr>
                          <w:t>181</w:t>
                        </w:r>
                      </w:p>
                    </w:tc>
                    <w:tc>
                      <w:tcPr>
                        <w:tcW w:w="1620" w:type="dxa"/>
                      </w:tcPr>
                      <w:p w:rsidR="005B779C" w:rsidRPr="00916A74" w:rsidRDefault="005B779C" w:rsidP="00424792">
                        <w:pPr>
                          <w:jc w:val="center"/>
                          <w:rPr>
                            <w:sz w:val="22"/>
                            <w:szCs w:val="22"/>
                            <w:lang w:val="es-MX"/>
                          </w:rPr>
                        </w:pPr>
                        <w:r w:rsidRPr="00916A74">
                          <w:rPr>
                            <w:sz w:val="22"/>
                            <w:szCs w:val="22"/>
                            <w:lang w:val="es-MX"/>
                          </w:rPr>
                          <w:t>493</w:t>
                        </w:r>
                      </w:p>
                    </w:tc>
                    <w:tc>
                      <w:tcPr>
                        <w:tcW w:w="1440" w:type="dxa"/>
                      </w:tcPr>
                      <w:p w:rsidR="005B779C" w:rsidRPr="00916A74" w:rsidRDefault="005B779C" w:rsidP="00424792">
                        <w:pPr>
                          <w:jc w:val="center"/>
                          <w:rPr>
                            <w:sz w:val="22"/>
                            <w:szCs w:val="22"/>
                            <w:lang w:val="es-MX"/>
                          </w:rPr>
                        </w:pPr>
                        <w:r w:rsidRPr="00916A74">
                          <w:rPr>
                            <w:sz w:val="22"/>
                            <w:szCs w:val="22"/>
                            <w:lang w:val="es-MX"/>
                          </w:rPr>
                          <w:t>0</w:t>
                        </w:r>
                      </w:p>
                    </w:tc>
                    <w:tc>
                      <w:tcPr>
                        <w:tcW w:w="900" w:type="dxa"/>
                      </w:tcPr>
                      <w:p w:rsidR="005B779C" w:rsidRPr="00916A74" w:rsidRDefault="005B779C" w:rsidP="00424792">
                        <w:pPr>
                          <w:jc w:val="center"/>
                          <w:rPr>
                            <w:sz w:val="22"/>
                            <w:szCs w:val="22"/>
                            <w:lang w:val="es-MX"/>
                          </w:rPr>
                        </w:pPr>
                        <w:r w:rsidRPr="00916A74">
                          <w:rPr>
                            <w:sz w:val="22"/>
                            <w:szCs w:val="22"/>
                            <w:lang w:val="es-MX"/>
                          </w:rPr>
                          <w:t>674</w:t>
                        </w:r>
                      </w:p>
                    </w:tc>
                  </w:tr>
                </w:tbl>
                <w:p w:rsidR="005B779C" w:rsidRDefault="005B779C" w:rsidP="005B779C">
                  <w:pPr>
                    <w:jc w:val="center"/>
                    <w:rPr>
                      <w:lang w:val="es-MX"/>
                    </w:rPr>
                  </w:pPr>
                </w:p>
                <w:p w:rsidR="005B779C" w:rsidRDefault="005B779C" w:rsidP="005B779C">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5B779C" w:rsidRDefault="005B779C" w:rsidP="005B779C">
                  <w:pPr>
                    <w:rPr>
                      <w:b/>
                      <w:sz w:val="16"/>
                      <w:szCs w:val="16"/>
                      <w:u w:val="single"/>
                      <w:lang w:val="en-US"/>
                    </w:rPr>
                  </w:pPr>
                  <w:r>
                    <w:rPr>
                      <w:b/>
                      <w:sz w:val="16"/>
                      <w:szCs w:val="16"/>
                    </w:rPr>
                    <w:t>Elaboración: Ingrid Parrales Morales</w:t>
                  </w:r>
                </w:p>
                <w:p w:rsidR="005B779C" w:rsidRPr="00385FCE" w:rsidRDefault="005B779C" w:rsidP="005B779C">
                  <w:pPr>
                    <w:ind w:left="540" w:hanging="540"/>
                    <w:rPr>
                      <w:lang w:val="es-ES_tradnl"/>
                    </w:rPr>
                  </w:pPr>
                </w:p>
              </w:txbxContent>
            </v:textbox>
          </v:shape>
        </w:pict>
      </w: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p w:rsidR="005B779C" w:rsidRPr="00F92F16" w:rsidRDefault="005B779C" w:rsidP="005B779C">
      <w:pPr>
        <w:ind w:left="1800" w:hanging="360"/>
        <w:rPr>
          <w:rFonts w:ascii="Arial" w:hAnsi="Arial" w:cs="Arial"/>
          <w:vertAlign w:val="subscript"/>
        </w:rPr>
      </w:pPr>
    </w:p>
    <w:tbl>
      <w:tblPr>
        <w:tblStyle w:val="Tablaconcuadrcula"/>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0"/>
        <w:gridCol w:w="314"/>
        <w:gridCol w:w="1920"/>
        <w:gridCol w:w="497"/>
        <w:gridCol w:w="1694"/>
      </w:tblGrid>
      <w:tr w:rsidR="005B779C" w:rsidRPr="005B779C">
        <w:tc>
          <w:tcPr>
            <w:tcW w:w="2700" w:type="dxa"/>
          </w:tcPr>
          <w:p w:rsidR="005B779C" w:rsidRPr="005B779C" w:rsidRDefault="005B779C" w:rsidP="00424792">
            <w:pPr>
              <w:rPr>
                <w:b/>
                <w:vertAlign w:val="subscript"/>
              </w:rPr>
            </w:pPr>
            <w:r w:rsidRPr="005B779C">
              <w:rPr>
                <w:b/>
              </w:rPr>
              <w:t>estadístico de prueba</w:t>
            </w:r>
          </w:p>
        </w:tc>
        <w:tc>
          <w:tcPr>
            <w:tcW w:w="314" w:type="dxa"/>
          </w:tcPr>
          <w:p w:rsidR="005B779C" w:rsidRPr="005B779C" w:rsidRDefault="005B779C" w:rsidP="00424792">
            <w:pPr>
              <w:rPr>
                <w:vertAlign w:val="subscript"/>
              </w:rPr>
            </w:pPr>
          </w:p>
        </w:tc>
        <w:tc>
          <w:tcPr>
            <w:tcW w:w="1920" w:type="dxa"/>
          </w:tcPr>
          <w:p w:rsidR="005B779C" w:rsidRPr="005B779C" w:rsidRDefault="005B779C" w:rsidP="00424792">
            <w:pPr>
              <w:jc w:val="center"/>
              <w:rPr>
                <w:b/>
                <w:vertAlign w:val="subscript"/>
              </w:rPr>
            </w:pPr>
            <w:r w:rsidRPr="005B779C">
              <w:rPr>
                <w:b/>
              </w:rPr>
              <w:t>gl</w:t>
            </w:r>
          </w:p>
        </w:tc>
        <w:tc>
          <w:tcPr>
            <w:tcW w:w="497" w:type="dxa"/>
          </w:tcPr>
          <w:p w:rsidR="005B779C" w:rsidRPr="005B779C" w:rsidRDefault="005B779C" w:rsidP="00424792">
            <w:pPr>
              <w:rPr>
                <w:vertAlign w:val="subscript"/>
              </w:rPr>
            </w:pPr>
          </w:p>
        </w:tc>
        <w:tc>
          <w:tcPr>
            <w:tcW w:w="1694" w:type="dxa"/>
          </w:tcPr>
          <w:p w:rsidR="005B779C" w:rsidRPr="005B779C" w:rsidRDefault="005B779C" w:rsidP="00424792">
            <w:pPr>
              <w:jc w:val="center"/>
              <w:rPr>
                <w:vertAlign w:val="subscript"/>
              </w:rPr>
            </w:pPr>
            <w:r w:rsidRPr="005B779C">
              <w:rPr>
                <w:b/>
              </w:rPr>
              <w:t>Valor  p</w:t>
            </w:r>
          </w:p>
        </w:tc>
      </w:tr>
      <w:tr w:rsidR="005B779C" w:rsidRPr="005B779C">
        <w:tc>
          <w:tcPr>
            <w:tcW w:w="2700" w:type="dxa"/>
          </w:tcPr>
          <w:p w:rsidR="005B779C" w:rsidRPr="005B779C" w:rsidRDefault="005B779C" w:rsidP="00424792">
            <w:pPr>
              <w:autoSpaceDE w:val="0"/>
              <w:autoSpaceDN w:val="0"/>
              <w:adjustRightInd w:val="0"/>
              <w:jc w:val="center"/>
            </w:pPr>
            <w:r w:rsidRPr="005B779C">
              <w:t>23,299</w:t>
            </w:r>
          </w:p>
        </w:tc>
        <w:tc>
          <w:tcPr>
            <w:tcW w:w="314" w:type="dxa"/>
          </w:tcPr>
          <w:p w:rsidR="005B779C" w:rsidRPr="005B779C" w:rsidRDefault="005B779C" w:rsidP="00424792">
            <w:pPr>
              <w:rPr>
                <w:vertAlign w:val="subscript"/>
              </w:rPr>
            </w:pPr>
          </w:p>
        </w:tc>
        <w:tc>
          <w:tcPr>
            <w:tcW w:w="1920" w:type="dxa"/>
          </w:tcPr>
          <w:p w:rsidR="005B779C" w:rsidRPr="005B779C" w:rsidRDefault="005B779C" w:rsidP="00424792">
            <w:pPr>
              <w:jc w:val="center"/>
              <w:rPr>
                <w:vertAlign w:val="subscript"/>
              </w:rPr>
            </w:pPr>
            <w:r w:rsidRPr="005B779C">
              <w:t>1</w:t>
            </w:r>
          </w:p>
        </w:tc>
        <w:tc>
          <w:tcPr>
            <w:tcW w:w="497" w:type="dxa"/>
          </w:tcPr>
          <w:p w:rsidR="005B779C" w:rsidRPr="005B779C" w:rsidRDefault="005B779C" w:rsidP="00424792">
            <w:pPr>
              <w:rPr>
                <w:vertAlign w:val="subscript"/>
              </w:rPr>
            </w:pPr>
          </w:p>
        </w:tc>
        <w:tc>
          <w:tcPr>
            <w:tcW w:w="1694" w:type="dxa"/>
          </w:tcPr>
          <w:p w:rsidR="005B779C" w:rsidRPr="005B779C" w:rsidRDefault="005B779C" w:rsidP="00424792">
            <w:pPr>
              <w:jc w:val="center"/>
              <w:rPr>
                <w:vertAlign w:val="subscript"/>
              </w:rPr>
            </w:pPr>
            <w:r w:rsidRPr="005B779C">
              <w:t>0.000</w:t>
            </w:r>
          </w:p>
        </w:tc>
      </w:tr>
    </w:tbl>
    <w:p w:rsidR="005B779C" w:rsidRPr="00F92F16" w:rsidRDefault="005B779C" w:rsidP="005B779C">
      <w:pPr>
        <w:ind w:left="1800" w:hanging="360"/>
        <w:rPr>
          <w:rFonts w:ascii="Arial" w:hAnsi="Arial" w:cs="Arial"/>
          <w:vertAlign w:val="subscript"/>
        </w:rPr>
      </w:pPr>
    </w:p>
    <w:p w:rsidR="005B779C" w:rsidRDefault="005B779C" w:rsidP="002223C8">
      <w:pPr>
        <w:jc w:val="both"/>
      </w:pPr>
    </w:p>
    <w:p w:rsidR="00191ED5" w:rsidRDefault="00DE6E36" w:rsidP="00DE6E36">
      <w:pPr>
        <w:jc w:val="both"/>
      </w:pPr>
      <w:r>
        <w:t>Con este valor de p, se concluye que existe suficiente evidencia estadística para rechazar la hipótesis nula, es decir que el distrito depende de la vía de transporte utilizada para las importaciones.</w:t>
      </w:r>
    </w:p>
    <w:p w:rsidR="00191ED5" w:rsidRDefault="00191ED5" w:rsidP="002223C8">
      <w:pPr>
        <w:jc w:val="both"/>
      </w:pPr>
    </w:p>
    <w:p w:rsidR="00DE6E36" w:rsidRDefault="00DE6E36" w:rsidP="00DE6E36">
      <w:pPr>
        <w:jc w:val="both"/>
      </w:pPr>
      <w:r>
        <w:t>Régimen vs. Zona de Origen</w:t>
      </w:r>
    </w:p>
    <w:p w:rsidR="00DE6E36" w:rsidRDefault="00DE6E36" w:rsidP="00DE6E36">
      <w:pPr>
        <w:jc w:val="both"/>
      </w:pPr>
    </w:p>
    <w:p w:rsidR="00DE6E36" w:rsidRDefault="00DE6E36" w:rsidP="003D262D">
      <w:pPr>
        <w:ind w:left="360" w:hanging="360"/>
        <w:jc w:val="both"/>
      </w:pPr>
      <w:r>
        <w:t>H</w:t>
      </w:r>
      <w:r w:rsidRPr="003D262D">
        <w:rPr>
          <w:vertAlign w:val="subscript"/>
        </w:rPr>
        <w:t>0</w:t>
      </w:r>
      <w:r>
        <w:t>: El régimen aduanero y la zona de origen donde proceden  las importaciones, son independientes.</w:t>
      </w:r>
    </w:p>
    <w:p w:rsidR="00DE6E36" w:rsidRDefault="00DE6E36" w:rsidP="003D262D">
      <w:pPr>
        <w:jc w:val="center"/>
      </w:pPr>
      <w:r>
        <w:t>vs.</w:t>
      </w:r>
    </w:p>
    <w:p w:rsidR="00DE6E36" w:rsidRDefault="00DE6E36" w:rsidP="00DE6E36">
      <w:pPr>
        <w:jc w:val="both"/>
      </w:pPr>
      <w:r>
        <w:t>H</w:t>
      </w:r>
      <w:r w:rsidRPr="003D262D">
        <w:rPr>
          <w:vertAlign w:val="subscript"/>
        </w:rPr>
        <w:t>1</w:t>
      </w:r>
      <w:r>
        <w:t>: Ί H</w:t>
      </w:r>
      <w:r w:rsidRPr="003D262D">
        <w:rPr>
          <w:vertAlign w:val="subscript"/>
        </w:rPr>
        <w:t>0</w:t>
      </w:r>
    </w:p>
    <w:p w:rsidR="00DE6E36" w:rsidRDefault="00DE6E36" w:rsidP="002223C8">
      <w:pPr>
        <w:jc w:val="both"/>
      </w:pPr>
    </w:p>
    <w:p w:rsidR="00916A74" w:rsidRPr="00F92F16" w:rsidRDefault="00916A74" w:rsidP="00916A74">
      <w:pPr>
        <w:ind w:left="1800" w:hanging="360"/>
        <w:rPr>
          <w:rFonts w:ascii="Arial" w:hAnsi="Arial" w:cs="Arial"/>
          <w:vertAlign w:val="subscript"/>
        </w:rPr>
      </w:pPr>
      <w:r w:rsidRPr="00F92F16">
        <w:rPr>
          <w:rFonts w:ascii="Arial" w:hAnsi="Arial" w:cs="Arial"/>
          <w:noProof/>
          <w:vertAlign w:val="subscript"/>
        </w:rPr>
        <w:pict>
          <v:shape id="_x0000_s1048" type="#_x0000_t202" style="position:absolute;left:0;text-align:left;margin-left:45pt;margin-top:11.65pt;width:351pt;height:163.55pt;z-index:251662336" strokeweight="3pt">
            <v:stroke linestyle="thinThin"/>
            <v:textbox style="mso-next-textbox:#_x0000_s1048">
              <w:txbxContent>
                <w:p w:rsidR="00916A74" w:rsidRPr="00C36A97" w:rsidRDefault="00916A74" w:rsidP="00916A74">
                  <w:pPr>
                    <w:pStyle w:val="Ttulo1"/>
                    <w:rPr>
                      <w:sz w:val="18"/>
                      <w:szCs w:val="18"/>
                    </w:rPr>
                  </w:pPr>
                  <w:r w:rsidRPr="00C36A97">
                    <w:rPr>
                      <w:sz w:val="18"/>
                      <w:szCs w:val="18"/>
                    </w:rPr>
                    <w:t>TABLA LVII</w:t>
                  </w:r>
                </w:p>
                <w:p w:rsidR="00916A74" w:rsidRPr="00844BAC" w:rsidRDefault="00916A74" w:rsidP="00916A74">
                  <w:pPr>
                    <w:jc w:val="center"/>
                    <w:rPr>
                      <w:b/>
                      <w:sz w:val="18"/>
                      <w:szCs w:val="18"/>
                      <w:lang w:val="es-MX"/>
                    </w:rPr>
                  </w:pPr>
                  <w:r w:rsidRPr="00844BAC">
                    <w:rPr>
                      <w:b/>
                      <w:sz w:val="18"/>
                      <w:szCs w:val="18"/>
                      <w:lang w:val="es-MX"/>
                    </w:rPr>
                    <w:t>Región: Costa</w:t>
                  </w:r>
                </w:p>
                <w:p w:rsidR="00916A74" w:rsidRDefault="00916A74" w:rsidP="00916A74">
                  <w:pPr>
                    <w:jc w:val="center"/>
                    <w:rPr>
                      <w:b/>
                      <w:sz w:val="18"/>
                      <w:szCs w:val="18"/>
                      <w:lang w:val="es-MX"/>
                    </w:rPr>
                  </w:pPr>
                  <w:r w:rsidRPr="00844BAC">
                    <w:rPr>
                      <w:b/>
                      <w:sz w:val="18"/>
                      <w:szCs w:val="18"/>
                      <w:lang w:val="es-MX"/>
                    </w:rPr>
                    <w:t xml:space="preserve">Distrito: </w:t>
                  </w:r>
                  <w:r w:rsidRPr="000F61E7">
                    <w:rPr>
                      <w:b/>
                      <w:sz w:val="18"/>
                      <w:szCs w:val="18"/>
                      <w:lang w:val="es-MX"/>
                    </w:rPr>
                    <w:t xml:space="preserve">Los </w:t>
                  </w:r>
                  <w:r>
                    <w:rPr>
                      <w:b/>
                      <w:sz w:val="18"/>
                      <w:szCs w:val="18"/>
                      <w:lang w:val="es-MX"/>
                    </w:rPr>
                    <w:t>2</w:t>
                  </w:r>
                  <w:r w:rsidRPr="000F61E7">
                    <w:rPr>
                      <w:b/>
                      <w:sz w:val="18"/>
                      <w:szCs w:val="18"/>
                      <w:lang w:val="es-MX"/>
                    </w:rPr>
                    <w:t xml:space="preserve"> Distritos en Conjunto</w:t>
                  </w:r>
                  <w:r w:rsidRPr="00844BAC">
                    <w:rPr>
                      <w:b/>
                      <w:sz w:val="18"/>
                      <w:szCs w:val="18"/>
                      <w:lang w:val="es-MX"/>
                    </w:rPr>
                    <w:t xml:space="preserve"> </w:t>
                  </w:r>
                </w:p>
                <w:p w:rsidR="00916A74" w:rsidRPr="00C36A97" w:rsidRDefault="00916A74" w:rsidP="00916A74">
                  <w:pPr>
                    <w:jc w:val="center"/>
                    <w:rPr>
                      <w:b/>
                      <w:sz w:val="18"/>
                      <w:szCs w:val="18"/>
                      <w:lang w:val="es-MX"/>
                    </w:rPr>
                  </w:pPr>
                  <w:r w:rsidRPr="00C36A97">
                    <w:rPr>
                      <w:b/>
                      <w:sz w:val="18"/>
                      <w:szCs w:val="18"/>
                      <w:lang w:val="es-MX"/>
                    </w:rPr>
                    <w:t>Tabla de Contingencia: Distrito vs. Vía de Transporte</w:t>
                  </w:r>
                </w:p>
                <w:p w:rsidR="00916A74" w:rsidRDefault="00916A74" w:rsidP="00916A74">
                  <w:pPr>
                    <w:jc w:val="center"/>
                    <w:rPr>
                      <w:lang w:val="es-MX"/>
                    </w:rPr>
                  </w:pPr>
                </w:p>
                <w:tbl>
                  <w:tblPr>
                    <w:tblStyle w:val="Tablaconcuadrcula"/>
                    <w:tblW w:w="0" w:type="auto"/>
                    <w:tblInd w:w="108" w:type="dxa"/>
                    <w:tblLook w:val="01E0"/>
                  </w:tblPr>
                  <w:tblGrid>
                    <w:gridCol w:w="1080"/>
                    <w:gridCol w:w="1620"/>
                    <w:gridCol w:w="1620"/>
                    <w:gridCol w:w="1440"/>
                    <w:gridCol w:w="900"/>
                  </w:tblGrid>
                  <w:tr w:rsidR="00916A74" w:rsidRPr="00916A74">
                    <w:tc>
                      <w:tcPr>
                        <w:tcW w:w="1080" w:type="dxa"/>
                        <w:vMerge w:val="restart"/>
                      </w:tcPr>
                      <w:p w:rsidR="00916A74" w:rsidRPr="00916A74" w:rsidRDefault="00916A74" w:rsidP="00424792">
                        <w:pPr>
                          <w:jc w:val="center"/>
                          <w:rPr>
                            <w:b/>
                            <w:sz w:val="22"/>
                            <w:szCs w:val="22"/>
                            <w:lang w:val="es-MX"/>
                          </w:rPr>
                        </w:pPr>
                      </w:p>
                      <w:p w:rsidR="00916A74" w:rsidRPr="00916A74" w:rsidRDefault="00916A74" w:rsidP="00424792">
                        <w:pPr>
                          <w:jc w:val="center"/>
                          <w:rPr>
                            <w:b/>
                            <w:sz w:val="22"/>
                            <w:szCs w:val="22"/>
                            <w:lang w:val="es-MX"/>
                          </w:rPr>
                        </w:pPr>
                        <w:r w:rsidRPr="00916A74">
                          <w:rPr>
                            <w:b/>
                            <w:sz w:val="22"/>
                            <w:szCs w:val="22"/>
                            <w:lang w:val="es-MX"/>
                          </w:rPr>
                          <w:t>Distrito</w:t>
                        </w:r>
                      </w:p>
                    </w:tc>
                    <w:tc>
                      <w:tcPr>
                        <w:tcW w:w="4680" w:type="dxa"/>
                        <w:gridSpan w:val="3"/>
                      </w:tcPr>
                      <w:p w:rsidR="00916A74" w:rsidRPr="00916A74" w:rsidRDefault="00916A74" w:rsidP="00424792">
                        <w:pPr>
                          <w:jc w:val="center"/>
                          <w:rPr>
                            <w:b/>
                            <w:sz w:val="22"/>
                            <w:szCs w:val="22"/>
                            <w:lang w:val="es-MX"/>
                          </w:rPr>
                        </w:pPr>
                        <w:r w:rsidRPr="00916A74">
                          <w:rPr>
                            <w:b/>
                            <w:sz w:val="22"/>
                            <w:szCs w:val="22"/>
                            <w:lang w:val="es-MX"/>
                          </w:rPr>
                          <w:t>Vía</w:t>
                        </w:r>
                      </w:p>
                    </w:tc>
                    <w:tc>
                      <w:tcPr>
                        <w:tcW w:w="900" w:type="dxa"/>
                        <w:vMerge w:val="restart"/>
                      </w:tcPr>
                      <w:p w:rsidR="00916A74" w:rsidRPr="00916A74" w:rsidRDefault="00916A74" w:rsidP="00424792">
                        <w:pPr>
                          <w:jc w:val="center"/>
                          <w:rPr>
                            <w:b/>
                            <w:sz w:val="22"/>
                            <w:szCs w:val="22"/>
                            <w:lang w:val="es-MX"/>
                          </w:rPr>
                        </w:pPr>
                      </w:p>
                      <w:p w:rsidR="00916A74" w:rsidRPr="00916A74" w:rsidRDefault="00916A74" w:rsidP="00424792">
                        <w:pPr>
                          <w:jc w:val="center"/>
                          <w:rPr>
                            <w:b/>
                            <w:sz w:val="22"/>
                            <w:szCs w:val="22"/>
                            <w:lang w:val="es-MX"/>
                          </w:rPr>
                        </w:pPr>
                        <w:r w:rsidRPr="00916A74">
                          <w:rPr>
                            <w:b/>
                            <w:sz w:val="22"/>
                            <w:szCs w:val="22"/>
                            <w:lang w:val="es-MX"/>
                          </w:rPr>
                          <w:t>Total</w:t>
                        </w:r>
                      </w:p>
                    </w:tc>
                  </w:tr>
                  <w:tr w:rsidR="00916A74" w:rsidRPr="00916A74">
                    <w:tc>
                      <w:tcPr>
                        <w:tcW w:w="1080" w:type="dxa"/>
                        <w:vMerge/>
                      </w:tcPr>
                      <w:p w:rsidR="00916A74" w:rsidRPr="00916A74" w:rsidRDefault="00916A74" w:rsidP="00424792">
                        <w:pPr>
                          <w:jc w:val="center"/>
                          <w:rPr>
                            <w:sz w:val="22"/>
                            <w:szCs w:val="22"/>
                            <w:lang w:val="es-MX"/>
                          </w:rPr>
                        </w:pPr>
                      </w:p>
                    </w:tc>
                    <w:tc>
                      <w:tcPr>
                        <w:tcW w:w="1620" w:type="dxa"/>
                      </w:tcPr>
                      <w:p w:rsidR="00916A74" w:rsidRPr="00916A74" w:rsidRDefault="00916A74" w:rsidP="00424792">
                        <w:pPr>
                          <w:jc w:val="center"/>
                          <w:rPr>
                            <w:sz w:val="22"/>
                            <w:szCs w:val="22"/>
                            <w:lang w:val="es-MX"/>
                          </w:rPr>
                        </w:pPr>
                        <w:r w:rsidRPr="00916A74">
                          <w:rPr>
                            <w:sz w:val="22"/>
                            <w:szCs w:val="22"/>
                            <w:lang w:val="es-MX"/>
                          </w:rPr>
                          <w:t>Aéreo</w:t>
                        </w:r>
                      </w:p>
                    </w:tc>
                    <w:tc>
                      <w:tcPr>
                        <w:tcW w:w="1620" w:type="dxa"/>
                      </w:tcPr>
                      <w:p w:rsidR="00916A74" w:rsidRPr="00916A74" w:rsidRDefault="00916A74" w:rsidP="00424792">
                        <w:pPr>
                          <w:jc w:val="center"/>
                          <w:rPr>
                            <w:sz w:val="22"/>
                            <w:szCs w:val="22"/>
                            <w:lang w:val="es-MX"/>
                          </w:rPr>
                        </w:pPr>
                        <w:r w:rsidRPr="00916A74">
                          <w:rPr>
                            <w:sz w:val="22"/>
                            <w:szCs w:val="22"/>
                            <w:lang w:val="es-MX"/>
                          </w:rPr>
                          <w:t>Marítimo</w:t>
                        </w:r>
                      </w:p>
                    </w:tc>
                    <w:tc>
                      <w:tcPr>
                        <w:tcW w:w="1440" w:type="dxa"/>
                      </w:tcPr>
                      <w:p w:rsidR="00916A74" w:rsidRPr="00916A74" w:rsidRDefault="00916A74" w:rsidP="00424792">
                        <w:pPr>
                          <w:jc w:val="center"/>
                          <w:rPr>
                            <w:sz w:val="22"/>
                            <w:szCs w:val="22"/>
                            <w:lang w:val="es-MX"/>
                          </w:rPr>
                        </w:pPr>
                        <w:r w:rsidRPr="00916A74">
                          <w:rPr>
                            <w:sz w:val="22"/>
                            <w:szCs w:val="22"/>
                            <w:lang w:val="es-MX"/>
                          </w:rPr>
                          <w:t>Terrestre</w:t>
                        </w:r>
                      </w:p>
                    </w:tc>
                    <w:tc>
                      <w:tcPr>
                        <w:tcW w:w="900" w:type="dxa"/>
                        <w:vMerge/>
                      </w:tcPr>
                      <w:p w:rsidR="00916A74" w:rsidRPr="00916A74" w:rsidRDefault="00916A74" w:rsidP="00424792">
                        <w:pPr>
                          <w:jc w:val="center"/>
                          <w:rPr>
                            <w:sz w:val="22"/>
                            <w:szCs w:val="22"/>
                            <w:lang w:val="es-MX"/>
                          </w:rPr>
                        </w:pPr>
                      </w:p>
                    </w:tc>
                  </w:tr>
                  <w:tr w:rsidR="00916A74" w:rsidRPr="00916A74">
                    <w:tc>
                      <w:tcPr>
                        <w:tcW w:w="1080" w:type="dxa"/>
                      </w:tcPr>
                      <w:p w:rsidR="00916A74" w:rsidRPr="00916A74" w:rsidRDefault="00916A74" w:rsidP="00424792">
                        <w:pPr>
                          <w:rPr>
                            <w:sz w:val="22"/>
                            <w:szCs w:val="22"/>
                            <w:lang w:val="es-MX"/>
                          </w:rPr>
                        </w:pPr>
                        <w:r w:rsidRPr="00916A74">
                          <w:rPr>
                            <w:sz w:val="22"/>
                            <w:szCs w:val="22"/>
                            <w:lang w:val="es-MX"/>
                          </w:rPr>
                          <w:t>Quito</w:t>
                        </w:r>
                      </w:p>
                    </w:tc>
                    <w:tc>
                      <w:tcPr>
                        <w:tcW w:w="1620" w:type="dxa"/>
                      </w:tcPr>
                      <w:p w:rsidR="00916A74" w:rsidRPr="00916A74" w:rsidRDefault="00916A74" w:rsidP="00424792">
                        <w:pPr>
                          <w:jc w:val="center"/>
                          <w:rPr>
                            <w:sz w:val="22"/>
                            <w:szCs w:val="22"/>
                            <w:lang w:val="es-MX"/>
                          </w:rPr>
                        </w:pPr>
                        <w:r w:rsidRPr="00916A74">
                          <w:rPr>
                            <w:sz w:val="22"/>
                            <w:szCs w:val="22"/>
                            <w:lang w:val="es-MX"/>
                          </w:rPr>
                          <w:t>181</w:t>
                        </w:r>
                      </w:p>
                    </w:tc>
                    <w:tc>
                      <w:tcPr>
                        <w:tcW w:w="1620" w:type="dxa"/>
                      </w:tcPr>
                      <w:p w:rsidR="00916A74" w:rsidRPr="00916A74" w:rsidRDefault="00916A74" w:rsidP="00424792">
                        <w:pPr>
                          <w:jc w:val="center"/>
                          <w:rPr>
                            <w:sz w:val="22"/>
                            <w:szCs w:val="22"/>
                            <w:lang w:val="es-MX"/>
                          </w:rPr>
                        </w:pPr>
                        <w:r w:rsidRPr="00916A74">
                          <w:rPr>
                            <w:sz w:val="22"/>
                            <w:szCs w:val="22"/>
                            <w:lang w:val="es-MX"/>
                          </w:rPr>
                          <w:t>435</w:t>
                        </w:r>
                      </w:p>
                    </w:tc>
                    <w:tc>
                      <w:tcPr>
                        <w:tcW w:w="1440" w:type="dxa"/>
                      </w:tcPr>
                      <w:p w:rsidR="00916A74" w:rsidRPr="00916A74" w:rsidRDefault="00916A74" w:rsidP="00424792">
                        <w:pPr>
                          <w:jc w:val="center"/>
                          <w:rPr>
                            <w:sz w:val="22"/>
                            <w:szCs w:val="22"/>
                            <w:lang w:val="es-MX"/>
                          </w:rPr>
                        </w:pPr>
                        <w:r w:rsidRPr="00916A74">
                          <w:rPr>
                            <w:sz w:val="22"/>
                            <w:szCs w:val="22"/>
                            <w:lang w:val="es-MX"/>
                          </w:rPr>
                          <w:t>0</w:t>
                        </w:r>
                      </w:p>
                    </w:tc>
                    <w:tc>
                      <w:tcPr>
                        <w:tcW w:w="900" w:type="dxa"/>
                      </w:tcPr>
                      <w:p w:rsidR="00916A74" w:rsidRPr="00916A74" w:rsidRDefault="00916A74" w:rsidP="00424792">
                        <w:pPr>
                          <w:jc w:val="center"/>
                          <w:rPr>
                            <w:sz w:val="22"/>
                            <w:szCs w:val="22"/>
                            <w:lang w:val="es-MX"/>
                          </w:rPr>
                        </w:pPr>
                        <w:r w:rsidRPr="00916A74">
                          <w:rPr>
                            <w:sz w:val="22"/>
                            <w:szCs w:val="22"/>
                            <w:lang w:val="es-MX"/>
                          </w:rPr>
                          <w:t>616</w:t>
                        </w:r>
                      </w:p>
                    </w:tc>
                  </w:tr>
                  <w:tr w:rsidR="00916A74" w:rsidRPr="00916A74">
                    <w:tc>
                      <w:tcPr>
                        <w:tcW w:w="1080" w:type="dxa"/>
                      </w:tcPr>
                      <w:p w:rsidR="00916A74" w:rsidRPr="00916A74" w:rsidRDefault="00916A74" w:rsidP="00424792">
                        <w:pPr>
                          <w:rPr>
                            <w:sz w:val="22"/>
                            <w:szCs w:val="22"/>
                            <w:lang w:val="es-MX"/>
                          </w:rPr>
                        </w:pPr>
                        <w:r w:rsidRPr="00916A74">
                          <w:rPr>
                            <w:sz w:val="22"/>
                            <w:szCs w:val="22"/>
                            <w:lang w:val="es-MX"/>
                          </w:rPr>
                          <w:t>Cuenca</w:t>
                        </w:r>
                      </w:p>
                    </w:tc>
                    <w:tc>
                      <w:tcPr>
                        <w:tcW w:w="1620" w:type="dxa"/>
                      </w:tcPr>
                      <w:p w:rsidR="00916A74" w:rsidRPr="00916A74" w:rsidRDefault="00916A74" w:rsidP="00424792">
                        <w:pPr>
                          <w:jc w:val="center"/>
                          <w:rPr>
                            <w:sz w:val="22"/>
                            <w:szCs w:val="22"/>
                            <w:lang w:val="es-MX"/>
                          </w:rPr>
                        </w:pPr>
                        <w:r w:rsidRPr="00916A74">
                          <w:rPr>
                            <w:sz w:val="22"/>
                            <w:szCs w:val="22"/>
                            <w:lang w:val="es-MX"/>
                          </w:rPr>
                          <w:t>0</w:t>
                        </w:r>
                      </w:p>
                    </w:tc>
                    <w:tc>
                      <w:tcPr>
                        <w:tcW w:w="1620" w:type="dxa"/>
                      </w:tcPr>
                      <w:p w:rsidR="00916A74" w:rsidRPr="00916A74" w:rsidRDefault="00916A74" w:rsidP="00424792">
                        <w:pPr>
                          <w:jc w:val="center"/>
                          <w:rPr>
                            <w:sz w:val="22"/>
                            <w:szCs w:val="22"/>
                            <w:lang w:val="es-MX"/>
                          </w:rPr>
                        </w:pPr>
                        <w:r w:rsidRPr="00916A74">
                          <w:rPr>
                            <w:sz w:val="22"/>
                            <w:szCs w:val="22"/>
                            <w:lang w:val="es-MX"/>
                          </w:rPr>
                          <w:t>58</w:t>
                        </w:r>
                      </w:p>
                    </w:tc>
                    <w:tc>
                      <w:tcPr>
                        <w:tcW w:w="1440" w:type="dxa"/>
                      </w:tcPr>
                      <w:p w:rsidR="00916A74" w:rsidRPr="00916A74" w:rsidRDefault="00916A74" w:rsidP="00424792">
                        <w:pPr>
                          <w:jc w:val="center"/>
                          <w:rPr>
                            <w:sz w:val="22"/>
                            <w:szCs w:val="22"/>
                            <w:lang w:val="es-MX"/>
                          </w:rPr>
                        </w:pPr>
                        <w:r w:rsidRPr="00916A74">
                          <w:rPr>
                            <w:sz w:val="22"/>
                            <w:szCs w:val="22"/>
                            <w:lang w:val="es-MX"/>
                          </w:rPr>
                          <w:t>0</w:t>
                        </w:r>
                      </w:p>
                    </w:tc>
                    <w:tc>
                      <w:tcPr>
                        <w:tcW w:w="900" w:type="dxa"/>
                      </w:tcPr>
                      <w:p w:rsidR="00916A74" w:rsidRPr="00916A74" w:rsidRDefault="00916A74" w:rsidP="00424792">
                        <w:pPr>
                          <w:jc w:val="center"/>
                          <w:rPr>
                            <w:sz w:val="22"/>
                            <w:szCs w:val="22"/>
                            <w:lang w:val="es-MX"/>
                          </w:rPr>
                        </w:pPr>
                        <w:r w:rsidRPr="00916A74">
                          <w:rPr>
                            <w:sz w:val="22"/>
                            <w:szCs w:val="22"/>
                            <w:lang w:val="es-MX"/>
                          </w:rPr>
                          <w:t>58</w:t>
                        </w:r>
                      </w:p>
                    </w:tc>
                  </w:tr>
                  <w:tr w:rsidR="00916A74" w:rsidRPr="00916A74">
                    <w:tc>
                      <w:tcPr>
                        <w:tcW w:w="1080" w:type="dxa"/>
                      </w:tcPr>
                      <w:p w:rsidR="00916A74" w:rsidRPr="00916A74" w:rsidRDefault="00916A74" w:rsidP="00424792">
                        <w:pPr>
                          <w:rPr>
                            <w:sz w:val="22"/>
                            <w:szCs w:val="22"/>
                            <w:lang w:val="es-MX"/>
                          </w:rPr>
                        </w:pPr>
                        <w:r w:rsidRPr="00916A74">
                          <w:rPr>
                            <w:sz w:val="22"/>
                            <w:szCs w:val="22"/>
                            <w:lang w:val="es-MX"/>
                          </w:rPr>
                          <w:t>Total</w:t>
                        </w:r>
                      </w:p>
                    </w:tc>
                    <w:tc>
                      <w:tcPr>
                        <w:tcW w:w="1620" w:type="dxa"/>
                      </w:tcPr>
                      <w:p w:rsidR="00916A74" w:rsidRPr="00916A74" w:rsidRDefault="00916A74" w:rsidP="00424792">
                        <w:pPr>
                          <w:jc w:val="center"/>
                          <w:rPr>
                            <w:sz w:val="22"/>
                            <w:szCs w:val="22"/>
                            <w:lang w:val="es-MX"/>
                          </w:rPr>
                        </w:pPr>
                        <w:r w:rsidRPr="00916A74">
                          <w:rPr>
                            <w:sz w:val="22"/>
                            <w:szCs w:val="22"/>
                            <w:lang w:val="es-MX"/>
                          </w:rPr>
                          <w:t>181</w:t>
                        </w:r>
                      </w:p>
                    </w:tc>
                    <w:tc>
                      <w:tcPr>
                        <w:tcW w:w="1620" w:type="dxa"/>
                      </w:tcPr>
                      <w:p w:rsidR="00916A74" w:rsidRPr="00916A74" w:rsidRDefault="00916A74" w:rsidP="00424792">
                        <w:pPr>
                          <w:jc w:val="center"/>
                          <w:rPr>
                            <w:sz w:val="22"/>
                            <w:szCs w:val="22"/>
                            <w:lang w:val="es-MX"/>
                          </w:rPr>
                        </w:pPr>
                        <w:r w:rsidRPr="00916A74">
                          <w:rPr>
                            <w:sz w:val="22"/>
                            <w:szCs w:val="22"/>
                            <w:lang w:val="es-MX"/>
                          </w:rPr>
                          <w:t>493</w:t>
                        </w:r>
                      </w:p>
                    </w:tc>
                    <w:tc>
                      <w:tcPr>
                        <w:tcW w:w="1440" w:type="dxa"/>
                      </w:tcPr>
                      <w:p w:rsidR="00916A74" w:rsidRPr="00916A74" w:rsidRDefault="00916A74" w:rsidP="00424792">
                        <w:pPr>
                          <w:jc w:val="center"/>
                          <w:rPr>
                            <w:sz w:val="22"/>
                            <w:szCs w:val="22"/>
                            <w:lang w:val="es-MX"/>
                          </w:rPr>
                        </w:pPr>
                        <w:r w:rsidRPr="00916A74">
                          <w:rPr>
                            <w:sz w:val="22"/>
                            <w:szCs w:val="22"/>
                            <w:lang w:val="es-MX"/>
                          </w:rPr>
                          <w:t>0</w:t>
                        </w:r>
                      </w:p>
                    </w:tc>
                    <w:tc>
                      <w:tcPr>
                        <w:tcW w:w="900" w:type="dxa"/>
                      </w:tcPr>
                      <w:p w:rsidR="00916A74" w:rsidRPr="00916A74" w:rsidRDefault="00916A74" w:rsidP="00424792">
                        <w:pPr>
                          <w:jc w:val="center"/>
                          <w:rPr>
                            <w:sz w:val="22"/>
                            <w:szCs w:val="22"/>
                            <w:lang w:val="es-MX"/>
                          </w:rPr>
                        </w:pPr>
                        <w:r w:rsidRPr="00916A74">
                          <w:rPr>
                            <w:sz w:val="22"/>
                            <w:szCs w:val="22"/>
                            <w:lang w:val="es-MX"/>
                          </w:rPr>
                          <w:t>674</w:t>
                        </w:r>
                      </w:p>
                    </w:tc>
                  </w:tr>
                </w:tbl>
                <w:p w:rsidR="00916A74" w:rsidRDefault="00916A74" w:rsidP="00916A74">
                  <w:pPr>
                    <w:jc w:val="center"/>
                    <w:rPr>
                      <w:lang w:val="es-MX"/>
                    </w:rPr>
                  </w:pPr>
                </w:p>
                <w:p w:rsidR="00916A74" w:rsidRDefault="00916A74" w:rsidP="00916A74">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916A74" w:rsidRDefault="00916A74" w:rsidP="00916A74">
                  <w:pPr>
                    <w:rPr>
                      <w:b/>
                      <w:sz w:val="16"/>
                      <w:szCs w:val="16"/>
                      <w:u w:val="single"/>
                      <w:lang w:val="en-US"/>
                    </w:rPr>
                  </w:pPr>
                  <w:r>
                    <w:rPr>
                      <w:b/>
                      <w:sz w:val="16"/>
                      <w:szCs w:val="16"/>
                    </w:rPr>
                    <w:t>Elaboración: Ingrid Parrales Morales</w:t>
                  </w:r>
                </w:p>
                <w:p w:rsidR="00916A74" w:rsidRPr="00385FCE" w:rsidRDefault="00916A74" w:rsidP="00916A74">
                  <w:pPr>
                    <w:ind w:left="540" w:hanging="540"/>
                    <w:rPr>
                      <w:lang w:val="es-ES_tradnl"/>
                    </w:rPr>
                  </w:pPr>
                </w:p>
              </w:txbxContent>
            </v:textbox>
          </v:shape>
        </w:pict>
      </w: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p w:rsidR="00916A74" w:rsidRPr="00F92F16" w:rsidRDefault="00916A74" w:rsidP="00916A74">
      <w:pPr>
        <w:ind w:left="1800" w:hanging="360"/>
        <w:rPr>
          <w:rFonts w:ascii="Arial" w:hAnsi="Arial" w:cs="Arial"/>
          <w:vertAlign w:val="subscript"/>
        </w:rPr>
      </w:pPr>
    </w:p>
    <w:tbl>
      <w:tblPr>
        <w:tblStyle w:val="Tablaconcuadrcula"/>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0"/>
        <w:gridCol w:w="314"/>
        <w:gridCol w:w="1920"/>
        <w:gridCol w:w="497"/>
        <w:gridCol w:w="1694"/>
      </w:tblGrid>
      <w:tr w:rsidR="00916A74" w:rsidRPr="00916A74">
        <w:tc>
          <w:tcPr>
            <w:tcW w:w="2700" w:type="dxa"/>
          </w:tcPr>
          <w:p w:rsidR="00916A74" w:rsidRPr="00916A74" w:rsidRDefault="00916A74" w:rsidP="00424792">
            <w:pPr>
              <w:rPr>
                <w:b/>
                <w:vertAlign w:val="subscript"/>
              </w:rPr>
            </w:pPr>
            <w:r w:rsidRPr="00916A74">
              <w:rPr>
                <w:b/>
              </w:rPr>
              <w:t>estadístico de prueba</w:t>
            </w:r>
          </w:p>
        </w:tc>
        <w:tc>
          <w:tcPr>
            <w:tcW w:w="314" w:type="dxa"/>
          </w:tcPr>
          <w:p w:rsidR="00916A74" w:rsidRPr="00916A74" w:rsidRDefault="00916A74" w:rsidP="00424792">
            <w:pPr>
              <w:rPr>
                <w:vertAlign w:val="subscript"/>
              </w:rPr>
            </w:pPr>
          </w:p>
        </w:tc>
        <w:tc>
          <w:tcPr>
            <w:tcW w:w="1920" w:type="dxa"/>
          </w:tcPr>
          <w:p w:rsidR="00916A74" w:rsidRPr="00916A74" w:rsidRDefault="00916A74" w:rsidP="00424792">
            <w:pPr>
              <w:jc w:val="center"/>
              <w:rPr>
                <w:b/>
                <w:vertAlign w:val="subscript"/>
              </w:rPr>
            </w:pPr>
            <w:r w:rsidRPr="00916A74">
              <w:rPr>
                <w:b/>
              </w:rPr>
              <w:t>gl</w:t>
            </w:r>
          </w:p>
        </w:tc>
        <w:tc>
          <w:tcPr>
            <w:tcW w:w="497" w:type="dxa"/>
          </w:tcPr>
          <w:p w:rsidR="00916A74" w:rsidRPr="00916A74" w:rsidRDefault="00916A74" w:rsidP="00424792">
            <w:pPr>
              <w:rPr>
                <w:vertAlign w:val="subscript"/>
              </w:rPr>
            </w:pPr>
          </w:p>
        </w:tc>
        <w:tc>
          <w:tcPr>
            <w:tcW w:w="1694" w:type="dxa"/>
          </w:tcPr>
          <w:p w:rsidR="00916A74" w:rsidRPr="00916A74" w:rsidRDefault="00916A74" w:rsidP="00424792">
            <w:pPr>
              <w:jc w:val="center"/>
              <w:rPr>
                <w:vertAlign w:val="subscript"/>
              </w:rPr>
            </w:pPr>
            <w:r w:rsidRPr="00916A74">
              <w:rPr>
                <w:b/>
              </w:rPr>
              <w:t>Valor  p</w:t>
            </w:r>
          </w:p>
        </w:tc>
      </w:tr>
      <w:tr w:rsidR="00916A74" w:rsidRPr="00916A74">
        <w:tc>
          <w:tcPr>
            <w:tcW w:w="2700" w:type="dxa"/>
          </w:tcPr>
          <w:p w:rsidR="00916A74" w:rsidRPr="00916A74" w:rsidRDefault="00916A74" w:rsidP="00424792">
            <w:pPr>
              <w:autoSpaceDE w:val="0"/>
              <w:autoSpaceDN w:val="0"/>
              <w:adjustRightInd w:val="0"/>
              <w:jc w:val="center"/>
            </w:pPr>
            <w:r w:rsidRPr="00916A74">
              <w:t>23,299</w:t>
            </w:r>
          </w:p>
        </w:tc>
        <w:tc>
          <w:tcPr>
            <w:tcW w:w="314" w:type="dxa"/>
          </w:tcPr>
          <w:p w:rsidR="00916A74" w:rsidRPr="00916A74" w:rsidRDefault="00916A74" w:rsidP="00424792">
            <w:pPr>
              <w:rPr>
                <w:vertAlign w:val="subscript"/>
              </w:rPr>
            </w:pPr>
          </w:p>
        </w:tc>
        <w:tc>
          <w:tcPr>
            <w:tcW w:w="1920" w:type="dxa"/>
          </w:tcPr>
          <w:p w:rsidR="00916A74" w:rsidRPr="00916A74" w:rsidRDefault="00916A74" w:rsidP="00424792">
            <w:pPr>
              <w:jc w:val="center"/>
              <w:rPr>
                <w:vertAlign w:val="subscript"/>
              </w:rPr>
            </w:pPr>
            <w:r w:rsidRPr="00916A74">
              <w:t>1</w:t>
            </w:r>
          </w:p>
        </w:tc>
        <w:tc>
          <w:tcPr>
            <w:tcW w:w="497" w:type="dxa"/>
          </w:tcPr>
          <w:p w:rsidR="00916A74" w:rsidRPr="00916A74" w:rsidRDefault="00916A74" w:rsidP="00424792">
            <w:pPr>
              <w:rPr>
                <w:vertAlign w:val="subscript"/>
              </w:rPr>
            </w:pPr>
          </w:p>
        </w:tc>
        <w:tc>
          <w:tcPr>
            <w:tcW w:w="1694" w:type="dxa"/>
          </w:tcPr>
          <w:p w:rsidR="00916A74" w:rsidRPr="00916A74" w:rsidRDefault="00916A74" w:rsidP="00424792">
            <w:pPr>
              <w:jc w:val="center"/>
              <w:rPr>
                <w:vertAlign w:val="subscript"/>
              </w:rPr>
            </w:pPr>
            <w:r w:rsidRPr="00916A74">
              <w:t>0.000</w:t>
            </w:r>
          </w:p>
        </w:tc>
      </w:tr>
    </w:tbl>
    <w:p w:rsidR="00916A74" w:rsidRPr="00F92F16" w:rsidRDefault="00916A74" w:rsidP="00916A74">
      <w:pPr>
        <w:ind w:left="1800" w:hanging="360"/>
        <w:rPr>
          <w:rFonts w:ascii="Arial" w:hAnsi="Arial" w:cs="Arial"/>
          <w:vertAlign w:val="subscript"/>
        </w:rPr>
      </w:pPr>
    </w:p>
    <w:p w:rsidR="009025F4" w:rsidRDefault="009025F4" w:rsidP="009025F4">
      <w:pPr>
        <w:jc w:val="both"/>
      </w:pPr>
    </w:p>
    <w:p w:rsidR="003D262D" w:rsidRDefault="009025F4" w:rsidP="009025F4">
      <w:pPr>
        <w:jc w:val="both"/>
      </w:pPr>
      <w:r>
        <w:t>Con este valor de p, se concluye que no existe suficiente evidencia estadística para rechazar la hipótesis nula, es decir que el régimen no depende de la zona de origen donde procede las  importaciones.</w:t>
      </w:r>
    </w:p>
    <w:p w:rsidR="003D262D" w:rsidRDefault="003D262D" w:rsidP="002223C8">
      <w:pPr>
        <w:jc w:val="both"/>
      </w:pPr>
    </w:p>
    <w:p w:rsidR="00D854C5" w:rsidRPr="0063682B" w:rsidRDefault="0063682B" w:rsidP="002223C8">
      <w:pPr>
        <w:jc w:val="both"/>
        <w:rPr>
          <w:b/>
          <w:u w:val="single"/>
        </w:rPr>
      </w:pPr>
      <w:r>
        <w:rPr>
          <w:b/>
          <w:u w:val="single"/>
        </w:rPr>
        <w:t>CONCLUSIONES</w:t>
      </w:r>
    </w:p>
    <w:p w:rsidR="00D854C5" w:rsidRDefault="00D854C5" w:rsidP="002223C8">
      <w:pPr>
        <w:jc w:val="both"/>
      </w:pPr>
    </w:p>
    <w:p w:rsidR="00DF04FC" w:rsidRDefault="00DF04FC" w:rsidP="00DF04FC">
      <w:pPr>
        <w:tabs>
          <w:tab w:val="left" w:pos="360"/>
        </w:tabs>
        <w:ind w:left="360" w:hanging="360"/>
        <w:jc w:val="both"/>
      </w:pPr>
      <w:r>
        <w:t>1.</w:t>
      </w:r>
      <w:r>
        <w:tab/>
        <w:t xml:space="preserve">El principal Distrito es </w:t>
      </w:r>
      <w:r w:rsidR="00170E83">
        <w:t>Guayaquil</w:t>
      </w:r>
      <w:r>
        <w:t xml:space="preserve"> con el </w:t>
      </w:r>
      <w:r w:rsidR="00170E83">
        <w:t>92%,.</w:t>
      </w:r>
    </w:p>
    <w:p w:rsidR="00DF04FC" w:rsidRDefault="00DF04FC" w:rsidP="00DF04FC">
      <w:pPr>
        <w:jc w:val="both"/>
      </w:pPr>
    </w:p>
    <w:p w:rsidR="00DF04FC" w:rsidRDefault="00DF04FC" w:rsidP="00DF04FC">
      <w:pPr>
        <w:tabs>
          <w:tab w:val="left" w:pos="360"/>
        </w:tabs>
        <w:ind w:left="360" w:hanging="360"/>
        <w:jc w:val="both"/>
      </w:pPr>
      <w:r>
        <w:t>2.</w:t>
      </w:r>
      <w:r>
        <w:tab/>
        <w:t>El Régimen Importación a Consumo representa el porcentaje más alto con el 8</w:t>
      </w:r>
      <w:r w:rsidR="00170E83">
        <w:t>7</w:t>
      </w:r>
      <w:r>
        <w:t xml:space="preserve">%, </w:t>
      </w:r>
      <w:r w:rsidR="00170E83" w:rsidRPr="00EF7DF2">
        <w:t>y dentro del 12.9% restante con el 7% es Importación al Depósito Aduanero Industrial, con el 3.4% es Importación al Depósito Aduanero Público, con el 2.4% es Zona Franca, y con el 1% es Importación al Depósito Aduanero Privado</w:t>
      </w:r>
      <w:r>
        <w:t>.</w:t>
      </w:r>
    </w:p>
    <w:p w:rsidR="00DF04FC" w:rsidRDefault="00DF04FC" w:rsidP="00DF04FC">
      <w:pPr>
        <w:jc w:val="both"/>
      </w:pPr>
    </w:p>
    <w:p w:rsidR="00DF04FC" w:rsidRDefault="00DF04FC" w:rsidP="00DF04FC">
      <w:pPr>
        <w:tabs>
          <w:tab w:val="left" w:pos="360"/>
        </w:tabs>
        <w:ind w:left="360" w:hanging="360"/>
        <w:jc w:val="both"/>
      </w:pPr>
      <w:r>
        <w:t>3.</w:t>
      </w:r>
      <w:r>
        <w:tab/>
        <w:t xml:space="preserve">En la Zona de Origen el Continente </w:t>
      </w:r>
      <w:r w:rsidR="007255B7">
        <w:t>Europeo</w:t>
      </w:r>
      <w:r>
        <w:t xml:space="preserve"> representa el </w:t>
      </w:r>
      <w:r w:rsidR="007255B7">
        <w:t>30</w:t>
      </w:r>
      <w:r>
        <w:t xml:space="preserve">% de las importaciones </w:t>
      </w:r>
      <w:r w:rsidR="007255B7" w:rsidRPr="008F486C">
        <w:t xml:space="preserve">le siguen Asia con el 29.1%, América del Norte con el 17.8%,  América del Sur con el </w:t>
      </w:r>
      <w:r w:rsidR="007255B7" w:rsidRPr="008F486C">
        <w:lastRenderedPageBreak/>
        <w:t>17.5%, América Central con el 3.6%,  Caribe con el 1%, África con el 0.7%  y Oceanía 0.3%</w:t>
      </w:r>
      <w:r>
        <w:t>.</w:t>
      </w:r>
    </w:p>
    <w:p w:rsidR="00DF04FC" w:rsidRDefault="00DF04FC" w:rsidP="00DF04FC">
      <w:pPr>
        <w:jc w:val="both"/>
      </w:pPr>
    </w:p>
    <w:p w:rsidR="00D854C5" w:rsidRDefault="00DF04FC" w:rsidP="00DF04FC">
      <w:pPr>
        <w:tabs>
          <w:tab w:val="left" w:pos="360"/>
        </w:tabs>
        <w:ind w:left="360" w:hanging="360"/>
        <w:jc w:val="both"/>
      </w:pPr>
      <w:r>
        <w:t>4.</w:t>
      </w:r>
      <w:r>
        <w:tab/>
        <w:t xml:space="preserve">La Vía de Transportación de la mercadería la mayoría utiliza el medio </w:t>
      </w:r>
      <w:r w:rsidR="00C42567">
        <w:t>marítimo</w:t>
      </w:r>
      <w:r>
        <w:t xml:space="preserve"> con el 7</w:t>
      </w:r>
      <w:r w:rsidR="00C42567">
        <w:t>3</w:t>
      </w:r>
      <w:r w:rsidR="00DC7C47">
        <w:t>%</w:t>
      </w:r>
      <w:r>
        <w:t>.</w:t>
      </w:r>
    </w:p>
    <w:p w:rsidR="00D854C5" w:rsidRDefault="00D854C5" w:rsidP="002223C8">
      <w:pPr>
        <w:jc w:val="both"/>
      </w:pPr>
    </w:p>
    <w:p w:rsidR="00D854C5" w:rsidRPr="009729C8" w:rsidRDefault="009729C8" w:rsidP="002223C8">
      <w:pPr>
        <w:jc w:val="both"/>
        <w:rPr>
          <w:b/>
          <w:u w:val="single"/>
        </w:rPr>
      </w:pPr>
      <w:r>
        <w:rPr>
          <w:b/>
          <w:u w:val="single"/>
        </w:rPr>
        <w:t>REFERENCIAS</w:t>
      </w:r>
    </w:p>
    <w:p w:rsidR="009729C8" w:rsidRDefault="009729C8" w:rsidP="002223C8">
      <w:pPr>
        <w:jc w:val="both"/>
      </w:pPr>
    </w:p>
    <w:p w:rsidR="00124943" w:rsidRDefault="00124943" w:rsidP="00124943">
      <w:pPr>
        <w:tabs>
          <w:tab w:val="left" w:pos="360"/>
        </w:tabs>
        <w:ind w:left="360" w:hanging="360"/>
        <w:jc w:val="both"/>
      </w:pPr>
      <w:r>
        <w:t>1.</w:t>
      </w:r>
      <w:r>
        <w:tab/>
        <w:t>Azorin Francisco, 1986, Técnicas de Muestreo, S/N Edición, Alianza Editorial S.A., Madrid, páginas 88 – 92.</w:t>
      </w:r>
    </w:p>
    <w:p w:rsidR="00124943" w:rsidRDefault="00124943" w:rsidP="00124943">
      <w:pPr>
        <w:jc w:val="both"/>
      </w:pPr>
    </w:p>
    <w:p w:rsidR="00124943" w:rsidRDefault="00124943" w:rsidP="00124943">
      <w:pPr>
        <w:tabs>
          <w:tab w:val="left" w:pos="360"/>
        </w:tabs>
        <w:ind w:left="360" w:hanging="360"/>
        <w:jc w:val="both"/>
      </w:pPr>
      <w:r>
        <w:t>2.</w:t>
      </w:r>
      <w:r>
        <w:tab/>
        <w:t>2003, http://www.morningstar.com.au/Help/graph_en/interpreting_the_correlation_matrix.htm, Estados Unidos.</w:t>
      </w:r>
    </w:p>
    <w:p w:rsidR="00124943" w:rsidRDefault="00124943" w:rsidP="00124943">
      <w:pPr>
        <w:jc w:val="both"/>
      </w:pPr>
    </w:p>
    <w:p w:rsidR="00D854C5" w:rsidRDefault="00124943" w:rsidP="00124943">
      <w:pPr>
        <w:tabs>
          <w:tab w:val="left" w:pos="360"/>
        </w:tabs>
        <w:ind w:left="360" w:hanging="360"/>
        <w:jc w:val="both"/>
      </w:pPr>
      <w:r>
        <w:t>4.</w:t>
      </w:r>
      <w:r>
        <w:tab/>
        <w:t>2003, http://www.dpye.iimas.unam.mx/PCA2.doc, México.</w:t>
      </w: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2223C8">
      <w:pPr>
        <w:jc w:val="both"/>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Pr="004A4C20" w:rsidRDefault="00424792" w:rsidP="00424792">
      <w:pPr>
        <w:jc w:val="center"/>
        <w:rPr>
          <w:rFonts w:ascii="Arial" w:hAnsi="Arial" w:cs="Arial"/>
          <w:b/>
          <w:sz w:val="48"/>
          <w:szCs w:val="48"/>
          <w:lang w:val="es-ES_tradnl"/>
        </w:rPr>
      </w:pPr>
      <w:r>
        <w:rPr>
          <w:rFonts w:ascii="Arial" w:hAnsi="Arial" w:cs="Arial"/>
          <w:b/>
          <w:sz w:val="48"/>
          <w:szCs w:val="48"/>
          <w:lang w:val="es-ES_tradnl"/>
        </w:rPr>
        <w:t>ANEXOS</w:t>
      </w: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424792">
      <w:pPr>
        <w:jc w:val="center"/>
        <w:rPr>
          <w:rFonts w:ascii="Arial" w:hAnsi="Arial" w:cs="Arial"/>
          <w:b/>
          <w:lang w:val="es-ES_tradnl"/>
        </w:rPr>
      </w:pPr>
    </w:p>
    <w:p w:rsidR="00424792" w:rsidRDefault="00424792"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A40A7D" w:rsidRDefault="00A40A7D" w:rsidP="002223C8">
      <w:pPr>
        <w:jc w:val="both"/>
      </w:pPr>
    </w:p>
    <w:p w:rsidR="00424792" w:rsidRDefault="00424792" w:rsidP="002223C8">
      <w:pPr>
        <w:jc w:val="both"/>
      </w:pPr>
    </w:p>
    <w:p w:rsidR="00424792" w:rsidRDefault="00424792" w:rsidP="002223C8">
      <w:pPr>
        <w:jc w:val="both"/>
      </w:pPr>
    </w:p>
    <w:p w:rsidR="00D854C5" w:rsidRDefault="00D854C5" w:rsidP="00D854C5">
      <w:pPr>
        <w:jc w:val="center"/>
      </w:pPr>
      <w:r>
        <w:t>Anexo 1</w:t>
      </w:r>
    </w:p>
    <w:p w:rsidR="002159EA" w:rsidRDefault="002159EA" w:rsidP="00D854C5">
      <w:pPr>
        <w:jc w:val="center"/>
      </w:pPr>
    </w:p>
    <w:p w:rsidR="00D854C5" w:rsidRDefault="00D854C5" w:rsidP="002223C8">
      <w:pPr>
        <w:jc w:val="both"/>
      </w:pPr>
    </w:p>
    <w:p w:rsidR="00D854C5" w:rsidRDefault="001414F9" w:rsidP="002223C8">
      <w:pPr>
        <w:jc w:val="both"/>
      </w:pPr>
      <w:r>
        <w:rPr>
          <w:noProof/>
        </w:rPr>
        <w:pict>
          <v:shape id="_x0000_s1040" type="#_x0000_t202" style="position:absolute;left:0;text-align:left;margin-left:81pt;margin-top:2.85pt;width:306pt;height:256.95pt;z-index:251654144" strokeweight="3pt">
            <v:stroke linestyle="thinThin"/>
            <v:textbox style="mso-next-textbox:#_x0000_s1040">
              <w:txbxContent>
                <w:p w:rsidR="001414F9" w:rsidRPr="001D3439" w:rsidRDefault="001414F9" w:rsidP="001414F9">
                  <w:pPr>
                    <w:pStyle w:val="Ttulo1"/>
                    <w:rPr>
                      <w:sz w:val="18"/>
                      <w:szCs w:val="18"/>
                    </w:rPr>
                  </w:pPr>
                  <w:r w:rsidRPr="001D3439">
                    <w:rPr>
                      <w:sz w:val="18"/>
                      <w:szCs w:val="18"/>
                    </w:rPr>
                    <w:t xml:space="preserve">Gráfico </w:t>
                  </w:r>
                  <w:r>
                    <w:rPr>
                      <w:sz w:val="18"/>
                      <w:szCs w:val="18"/>
                    </w:rPr>
                    <w:t>2.1</w:t>
                  </w:r>
                </w:p>
                <w:p w:rsidR="001414F9" w:rsidRDefault="001414F9" w:rsidP="001414F9">
                  <w:pPr>
                    <w:jc w:val="center"/>
                    <w:rPr>
                      <w:b/>
                      <w:sz w:val="18"/>
                      <w:szCs w:val="18"/>
                    </w:rPr>
                  </w:pPr>
                  <w:r w:rsidRPr="00CF70FC">
                    <w:rPr>
                      <w:b/>
                      <w:sz w:val="18"/>
                      <w:szCs w:val="18"/>
                    </w:rPr>
                    <w:t>Región:</w:t>
                  </w:r>
                  <w:r>
                    <w:rPr>
                      <w:b/>
                      <w:sz w:val="18"/>
                      <w:szCs w:val="18"/>
                    </w:rPr>
                    <w:t xml:space="preserve"> Costa</w:t>
                  </w:r>
                </w:p>
                <w:p w:rsidR="001414F9" w:rsidRPr="00CF70FC" w:rsidRDefault="001414F9" w:rsidP="001414F9">
                  <w:pPr>
                    <w:jc w:val="center"/>
                    <w:rPr>
                      <w:b/>
                      <w:sz w:val="18"/>
                      <w:szCs w:val="18"/>
                      <w:lang w:val="es-MX"/>
                    </w:rPr>
                  </w:pPr>
                  <w:r w:rsidRPr="00CF70FC">
                    <w:rPr>
                      <w:sz w:val="18"/>
                      <w:szCs w:val="18"/>
                    </w:rPr>
                    <w:t xml:space="preserve"> </w:t>
                  </w:r>
                  <w:r>
                    <w:rPr>
                      <w:b/>
                      <w:sz w:val="18"/>
                      <w:szCs w:val="18"/>
                    </w:rPr>
                    <w:t xml:space="preserve">Distrito: </w:t>
                  </w:r>
                  <w:r w:rsidRPr="00CF70FC">
                    <w:rPr>
                      <w:b/>
                      <w:sz w:val="18"/>
                      <w:szCs w:val="18"/>
                      <w:lang w:val="es-MX"/>
                    </w:rPr>
                    <w:t xml:space="preserve">Los </w:t>
                  </w:r>
                  <w:r>
                    <w:rPr>
                      <w:b/>
                      <w:sz w:val="18"/>
                      <w:szCs w:val="18"/>
                      <w:lang w:val="es-MX"/>
                    </w:rPr>
                    <w:t>2</w:t>
                  </w:r>
                  <w:r w:rsidRPr="00CF70FC">
                    <w:rPr>
                      <w:b/>
                      <w:sz w:val="18"/>
                      <w:szCs w:val="18"/>
                      <w:lang w:val="es-MX"/>
                    </w:rPr>
                    <w:t xml:space="preserve"> Distritos en Conjunto</w:t>
                  </w:r>
                </w:p>
                <w:p w:rsidR="001414F9" w:rsidRPr="001D3439" w:rsidRDefault="001414F9" w:rsidP="001414F9">
                  <w:pPr>
                    <w:jc w:val="center"/>
                    <w:rPr>
                      <w:b/>
                      <w:sz w:val="18"/>
                      <w:szCs w:val="18"/>
                      <w:lang w:val="es-MX"/>
                    </w:rPr>
                  </w:pPr>
                  <w:r w:rsidRPr="001D3439">
                    <w:rPr>
                      <w:b/>
                      <w:sz w:val="18"/>
                      <w:szCs w:val="18"/>
                      <w:lang w:val="es-MX"/>
                    </w:rPr>
                    <w:t>Diagrama de Barras: Distrito</w:t>
                  </w:r>
                </w:p>
                <w:p w:rsidR="001414F9" w:rsidRDefault="001414F9" w:rsidP="001414F9">
                  <w:pPr>
                    <w:jc w:val="center"/>
                    <w:rPr>
                      <w:b/>
                      <w:lang w:val="es-MX"/>
                    </w:rPr>
                  </w:pPr>
                </w:p>
                <w:p w:rsidR="001414F9" w:rsidRDefault="00774DAA" w:rsidP="001414F9">
                  <w:pPr>
                    <w:jc w:val="center"/>
                    <w:rPr>
                      <w:b/>
                      <w:sz w:val="18"/>
                      <w:szCs w:val="18"/>
                      <w:lang w:val="es-MX"/>
                    </w:rPr>
                  </w:pPr>
                  <w:r>
                    <w:rPr>
                      <w:noProof/>
                      <w:lang w:val="en-US" w:eastAsia="en-US"/>
                    </w:rPr>
                    <w:drawing>
                      <wp:inline distT="0" distB="0" distL="0" distR="0">
                        <wp:extent cx="3495675" cy="2181225"/>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414F9" w:rsidRDefault="001414F9" w:rsidP="001414F9">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1414F9" w:rsidRPr="00C745CA" w:rsidRDefault="001414F9" w:rsidP="001414F9">
                  <w:pPr>
                    <w:rPr>
                      <w:b/>
                      <w:sz w:val="16"/>
                      <w:szCs w:val="16"/>
                      <w:u w:val="single"/>
                    </w:rPr>
                  </w:pPr>
                  <w:r>
                    <w:rPr>
                      <w:b/>
                      <w:sz w:val="16"/>
                      <w:szCs w:val="16"/>
                    </w:rPr>
                    <w:t>Elaboración: Ingrid Parrales Morales</w:t>
                  </w:r>
                </w:p>
                <w:p w:rsidR="001414F9" w:rsidRPr="00C745CA" w:rsidRDefault="001414F9" w:rsidP="001414F9">
                  <w:pPr>
                    <w:rPr>
                      <w:b/>
                    </w:rPr>
                  </w:pPr>
                </w:p>
              </w:txbxContent>
            </v:textbox>
          </v:shape>
        </w:pict>
      </w: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223C8">
      <w:pPr>
        <w:jc w:val="both"/>
      </w:pPr>
    </w:p>
    <w:p w:rsidR="002159EA" w:rsidRDefault="002159EA" w:rsidP="002159EA">
      <w:pPr>
        <w:jc w:val="center"/>
      </w:pPr>
      <w:r>
        <w:t>Anexo 2</w:t>
      </w:r>
    </w:p>
    <w:p w:rsidR="002159EA" w:rsidRDefault="002159EA" w:rsidP="002159EA">
      <w:pPr>
        <w:jc w:val="center"/>
      </w:pPr>
    </w:p>
    <w:p w:rsidR="002159EA" w:rsidRDefault="003C7C9B" w:rsidP="002223C8">
      <w:pPr>
        <w:jc w:val="both"/>
      </w:pPr>
      <w:r>
        <w:rPr>
          <w:noProof/>
        </w:rPr>
        <w:pict>
          <v:shape id="_x0000_s1042" type="#_x0000_t202" style="position:absolute;left:0;text-align:left;margin-left:81pt;margin-top:11.5pt;width:303pt;height:290.95pt;z-index:251656192" strokeweight="3pt">
            <v:stroke linestyle="thinThin"/>
            <v:textbox style="mso-next-textbox:#_x0000_s1042">
              <w:txbxContent>
                <w:p w:rsidR="003C7C9B" w:rsidRDefault="003C7C9B" w:rsidP="003C7C9B">
                  <w:pPr>
                    <w:pStyle w:val="Ttulo1"/>
                  </w:pPr>
                  <w:r>
                    <w:t>Gráfico 2.2</w:t>
                  </w:r>
                </w:p>
                <w:p w:rsidR="003C7C9B" w:rsidRDefault="003C7C9B" w:rsidP="003C7C9B">
                  <w:pPr>
                    <w:jc w:val="center"/>
                    <w:rPr>
                      <w:b/>
                      <w:sz w:val="18"/>
                      <w:szCs w:val="18"/>
                    </w:rPr>
                  </w:pPr>
                  <w:r w:rsidRPr="00CF70FC">
                    <w:rPr>
                      <w:b/>
                      <w:sz w:val="18"/>
                      <w:szCs w:val="18"/>
                    </w:rPr>
                    <w:t>Región:</w:t>
                  </w:r>
                  <w:r>
                    <w:rPr>
                      <w:b/>
                      <w:sz w:val="18"/>
                      <w:szCs w:val="18"/>
                    </w:rPr>
                    <w:t xml:space="preserve"> Costa</w:t>
                  </w:r>
                </w:p>
                <w:p w:rsidR="003C7C9B" w:rsidRPr="00CF70FC" w:rsidRDefault="003C7C9B" w:rsidP="003C7C9B">
                  <w:pPr>
                    <w:jc w:val="center"/>
                    <w:rPr>
                      <w:b/>
                      <w:sz w:val="18"/>
                      <w:szCs w:val="18"/>
                      <w:lang w:val="es-MX"/>
                    </w:rPr>
                  </w:pPr>
                  <w:r w:rsidRPr="00CF70FC">
                    <w:rPr>
                      <w:sz w:val="18"/>
                      <w:szCs w:val="18"/>
                    </w:rPr>
                    <w:t xml:space="preserve"> </w:t>
                  </w:r>
                  <w:r>
                    <w:rPr>
                      <w:b/>
                      <w:sz w:val="18"/>
                      <w:szCs w:val="18"/>
                    </w:rPr>
                    <w:t xml:space="preserve">Distrito: </w:t>
                  </w:r>
                  <w:r w:rsidRPr="00CF70FC">
                    <w:rPr>
                      <w:b/>
                      <w:sz w:val="18"/>
                      <w:szCs w:val="18"/>
                      <w:lang w:val="es-MX"/>
                    </w:rPr>
                    <w:t xml:space="preserve">Los </w:t>
                  </w:r>
                  <w:r>
                    <w:rPr>
                      <w:b/>
                      <w:sz w:val="18"/>
                      <w:szCs w:val="18"/>
                      <w:lang w:val="es-MX"/>
                    </w:rPr>
                    <w:t>2</w:t>
                  </w:r>
                  <w:r w:rsidRPr="00CF70FC">
                    <w:rPr>
                      <w:b/>
                      <w:sz w:val="18"/>
                      <w:szCs w:val="18"/>
                      <w:lang w:val="es-MX"/>
                    </w:rPr>
                    <w:t xml:space="preserve"> Distritos en Conjunto</w:t>
                  </w:r>
                </w:p>
                <w:p w:rsidR="003C7C9B" w:rsidRPr="00A838DB" w:rsidRDefault="003C7C9B" w:rsidP="003C7C9B">
                  <w:pPr>
                    <w:jc w:val="center"/>
                    <w:rPr>
                      <w:sz w:val="20"/>
                      <w:szCs w:val="20"/>
                    </w:rPr>
                  </w:pPr>
                  <w:r w:rsidRPr="00A838DB">
                    <w:rPr>
                      <w:b/>
                      <w:sz w:val="20"/>
                      <w:szCs w:val="20"/>
                      <w:lang w:val="es-MX"/>
                    </w:rPr>
                    <w:t>Diagrama de Barras: Régimen</w:t>
                  </w:r>
                </w:p>
                <w:p w:rsidR="003C7C9B" w:rsidRDefault="00774DAA" w:rsidP="003C7C9B">
                  <w:pPr>
                    <w:jc w:val="center"/>
                    <w:rPr>
                      <w:b/>
                      <w:sz w:val="18"/>
                      <w:szCs w:val="18"/>
                      <w:lang w:val="es-MX"/>
                    </w:rPr>
                  </w:pPr>
                  <w:r>
                    <w:rPr>
                      <w:noProof/>
                      <w:lang w:val="en-US" w:eastAsia="en-US"/>
                    </w:rPr>
                    <w:drawing>
                      <wp:inline distT="0" distB="0" distL="0" distR="0">
                        <wp:extent cx="3448050" cy="268605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C7C9B" w:rsidRDefault="003C7C9B" w:rsidP="003C7C9B">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3C7C9B" w:rsidRDefault="003C7C9B" w:rsidP="003C7C9B">
                  <w:pPr>
                    <w:rPr>
                      <w:b/>
                      <w:sz w:val="16"/>
                      <w:szCs w:val="16"/>
                      <w:u w:val="single"/>
                      <w:lang w:val="en-US"/>
                    </w:rPr>
                  </w:pPr>
                  <w:r>
                    <w:rPr>
                      <w:b/>
                      <w:sz w:val="16"/>
                      <w:szCs w:val="16"/>
                    </w:rPr>
                    <w:t>Elaboración: Ingrid Parrales Morales</w:t>
                  </w:r>
                </w:p>
                <w:p w:rsidR="003C7C9B" w:rsidRPr="004B6351" w:rsidRDefault="003C7C9B" w:rsidP="003C7C9B">
                  <w:pPr>
                    <w:rPr>
                      <w:b/>
                    </w:rPr>
                  </w:pPr>
                </w:p>
              </w:txbxContent>
            </v:textbox>
          </v:shape>
        </w:pict>
      </w:r>
    </w:p>
    <w:p w:rsidR="002159EA" w:rsidRDefault="002159EA" w:rsidP="002223C8">
      <w:pPr>
        <w:jc w:val="both"/>
      </w:pPr>
    </w:p>
    <w:p w:rsidR="002159EA" w:rsidRDefault="002159EA"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427887" w:rsidRDefault="00427887" w:rsidP="002223C8">
      <w:pPr>
        <w:jc w:val="both"/>
      </w:pPr>
    </w:p>
    <w:p w:rsidR="00D854C5" w:rsidRDefault="00D854C5" w:rsidP="002223C8">
      <w:pPr>
        <w:jc w:val="both"/>
      </w:pPr>
    </w:p>
    <w:p w:rsidR="00D854C5" w:rsidRDefault="002B7192" w:rsidP="002B7192">
      <w:pPr>
        <w:jc w:val="center"/>
      </w:pPr>
      <w:r>
        <w:lastRenderedPageBreak/>
        <w:t xml:space="preserve">Anexo </w:t>
      </w:r>
      <w:r w:rsidR="00024B46">
        <w:t>3</w:t>
      </w:r>
    </w:p>
    <w:p w:rsidR="002B7192" w:rsidRDefault="002B7192" w:rsidP="002223C8">
      <w:pPr>
        <w:jc w:val="both"/>
      </w:pPr>
    </w:p>
    <w:p w:rsidR="002B7192" w:rsidRDefault="002B7192" w:rsidP="002223C8">
      <w:pPr>
        <w:jc w:val="both"/>
      </w:pPr>
    </w:p>
    <w:p w:rsidR="002B7192" w:rsidRDefault="00FF4413" w:rsidP="002223C8">
      <w:pPr>
        <w:jc w:val="both"/>
      </w:pPr>
      <w:r>
        <w:rPr>
          <w:noProof/>
        </w:rPr>
        <w:pict>
          <v:shape id="_x0000_s1044" type="#_x0000_t202" style="position:absolute;left:0;text-align:left;margin-left:63pt;margin-top:7.8pt;width:333pt;height:308.9pt;z-index:251658240" strokeweight="3pt">
            <v:stroke linestyle="thinThin"/>
            <v:textbox style="mso-next-textbox:#_x0000_s1044">
              <w:txbxContent>
                <w:p w:rsidR="00FF4413" w:rsidRPr="00CF70FC" w:rsidRDefault="00FF4413" w:rsidP="00FF4413">
                  <w:pPr>
                    <w:pStyle w:val="Ttulo1"/>
                    <w:rPr>
                      <w:sz w:val="18"/>
                      <w:szCs w:val="18"/>
                    </w:rPr>
                  </w:pPr>
                  <w:r w:rsidRPr="00CF70FC">
                    <w:rPr>
                      <w:sz w:val="18"/>
                      <w:szCs w:val="18"/>
                    </w:rPr>
                    <w:t xml:space="preserve">Gráfico </w:t>
                  </w:r>
                  <w:r>
                    <w:rPr>
                      <w:sz w:val="18"/>
                      <w:szCs w:val="18"/>
                    </w:rPr>
                    <w:t>2.3</w:t>
                  </w:r>
                </w:p>
                <w:p w:rsidR="00FF4413" w:rsidRDefault="00FF4413" w:rsidP="00FF4413">
                  <w:pPr>
                    <w:jc w:val="center"/>
                    <w:rPr>
                      <w:b/>
                      <w:sz w:val="18"/>
                      <w:szCs w:val="18"/>
                    </w:rPr>
                  </w:pPr>
                  <w:r w:rsidRPr="00CF70FC">
                    <w:rPr>
                      <w:b/>
                      <w:sz w:val="18"/>
                      <w:szCs w:val="18"/>
                    </w:rPr>
                    <w:t>Región:</w:t>
                  </w:r>
                  <w:r>
                    <w:rPr>
                      <w:b/>
                      <w:sz w:val="18"/>
                      <w:szCs w:val="18"/>
                    </w:rPr>
                    <w:t xml:space="preserve"> Costa</w:t>
                  </w:r>
                </w:p>
                <w:p w:rsidR="00FF4413" w:rsidRPr="00CF70FC" w:rsidRDefault="00FF4413" w:rsidP="00FF4413">
                  <w:pPr>
                    <w:jc w:val="center"/>
                    <w:rPr>
                      <w:b/>
                      <w:sz w:val="18"/>
                      <w:szCs w:val="18"/>
                      <w:lang w:val="es-MX"/>
                    </w:rPr>
                  </w:pPr>
                  <w:r w:rsidRPr="00CF70FC">
                    <w:rPr>
                      <w:sz w:val="18"/>
                      <w:szCs w:val="18"/>
                    </w:rPr>
                    <w:t xml:space="preserve"> </w:t>
                  </w:r>
                  <w:r>
                    <w:rPr>
                      <w:b/>
                      <w:sz w:val="18"/>
                      <w:szCs w:val="18"/>
                    </w:rPr>
                    <w:t xml:space="preserve">Distrito: </w:t>
                  </w:r>
                  <w:r w:rsidRPr="00CF70FC">
                    <w:rPr>
                      <w:b/>
                      <w:sz w:val="18"/>
                      <w:szCs w:val="18"/>
                      <w:lang w:val="es-MX"/>
                    </w:rPr>
                    <w:t>Los</w:t>
                  </w:r>
                  <w:r>
                    <w:rPr>
                      <w:b/>
                      <w:sz w:val="18"/>
                      <w:szCs w:val="18"/>
                      <w:lang w:val="es-MX"/>
                    </w:rPr>
                    <w:t xml:space="preserve"> 2</w:t>
                  </w:r>
                  <w:r w:rsidRPr="00CF70FC">
                    <w:rPr>
                      <w:b/>
                      <w:sz w:val="18"/>
                      <w:szCs w:val="18"/>
                      <w:lang w:val="es-MX"/>
                    </w:rPr>
                    <w:t xml:space="preserve"> Distritos en Conjunto</w:t>
                  </w:r>
                </w:p>
                <w:p w:rsidR="00FF4413" w:rsidRDefault="00FF4413" w:rsidP="00FF4413">
                  <w:pPr>
                    <w:jc w:val="center"/>
                  </w:pPr>
                  <w:r w:rsidRPr="00CF70FC">
                    <w:rPr>
                      <w:b/>
                      <w:sz w:val="18"/>
                      <w:szCs w:val="18"/>
                      <w:lang w:val="es-MX"/>
                    </w:rPr>
                    <w:t>Diagrama de Barras: País de Origen</w:t>
                  </w:r>
                  <w:r>
                    <w:rPr>
                      <w:b/>
                      <w:lang w:val="es-MX"/>
                    </w:rPr>
                    <w:t xml:space="preserve"> </w:t>
                  </w:r>
                  <w:r w:rsidR="00774DAA">
                    <w:rPr>
                      <w:noProof/>
                      <w:lang w:val="en-US" w:eastAsia="en-US"/>
                    </w:rPr>
                    <w:drawing>
                      <wp:inline distT="0" distB="0" distL="0" distR="0">
                        <wp:extent cx="4114800" cy="27813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F4413" w:rsidRDefault="00FF4413" w:rsidP="00FF4413">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FF4413" w:rsidRDefault="00FF4413" w:rsidP="00FF4413">
                  <w:pPr>
                    <w:rPr>
                      <w:b/>
                      <w:sz w:val="16"/>
                      <w:szCs w:val="16"/>
                      <w:u w:val="single"/>
                      <w:lang w:val="en-US"/>
                    </w:rPr>
                  </w:pPr>
                  <w:r>
                    <w:rPr>
                      <w:b/>
                      <w:sz w:val="16"/>
                      <w:szCs w:val="16"/>
                    </w:rPr>
                    <w:t>Elaboración: Ingrid Parrales Morales</w:t>
                  </w:r>
                </w:p>
                <w:p w:rsidR="00FF4413" w:rsidRPr="00D0712E" w:rsidRDefault="00FF4413" w:rsidP="00FF4413">
                  <w:pPr>
                    <w:rPr>
                      <w:b/>
                    </w:rPr>
                  </w:pPr>
                </w:p>
              </w:txbxContent>
            </v:textbox>
          </v:shape>
        </w:pict>
      </w:r>
    </w:p>
    <w:p w:rsidR="002B7192" w:rsidRDefault="002B7192"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D854C5" w:rsidRDefault="00D854C5"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024B46" w:rsidRDefault="00024B46" w:rsidP="002223C8">
      <w:pPr>
        <w:jc w:val="both"/>
      </w:pPr>
    </w:p>
    <w:p w:rsidR="00EC65EF" w:rsidRDefault="00EC65EF" w:rsidP="002223C8">
      <w:pPr>
        <w:jc w:val="both"/>
      </w:pPr>
    </w:p>
    <w:p w:rsidR="00024B46" w:rsidRDefault="00024B46" w:rsidP="00024B46">
      <w:pPr>
        <w:jc w:val="center"/>
      </w:pPr>
      <w:r>
        <w:t>Anexo 4</w:t>
      </w:r>
    </w:p>
    <w:p w:rsidR="00024B46" w:rsidRDefault="00024B46" w:rsidP="002223C8">
      <w:pPr>
        <w:jc w:val="both"/>
      </w:pPr>
    </w:p>
    <w:p w:rsidR="00024B46" w:rsidRDefault="00024B46" w:rsidP="002223C8">
      <w:pPr>
        <w:jc w:val="both"/>
      </w:pPr>
    </w:p>
    <w:p w:rsidR="00024B46" w:rsidRDefault="00EA4D3F" w:rsidP="002223C8">
      <w:pPr>
        <w:jc w:val="both"/>
      </w:pPr>
      <w:r>
        <w:rPr>
          <w:noProof/>
        </w:rPr>
        <w:pict>
          <v:shape id="_x0000_s1046" type="#_x0000_t202" style="position:absolute;left:0;text-align:left;margin-left:117pt;margin-top:-.55pt;width:234pt;height:261pt;z-index:251660288" strokeweight="3pt">
            <v:stroke linestyle="thinThin"/>
            <v:textbox style="mso-next-textbox:#_x0000_s1046">
              <w:txbxContent>
                <w:p w:rsidR="00EA4D3F" w:rsidRDefault="00EA4D3F" w:rsidP="00EA4D3F">
                  <w:pPr>
                    <w:pStyle w:val="Ttulo1"/>
                  </w:pPr>
                  <w:r>
                    <w:t>Gráfico 2.4</w:t>
                  </w:r>
                </w:p>
                <w:p w:rsidR="00EA4D3F" w:rsidRDefault="00EA4D3F" w:rsidP="00EA4D3F">
                  <w:pPr>
                    <w:pStyle w:val="Ttulo1"/>
                  </w:pPr>
                  <w:r>
                    <w:t>Región Costa</w:t>
                  </w:r>
                </w:p>
                <w:p w:rsidR="00EA4D3F" w:rsidRPr="00CF70FC" w:rsidRDefault="00EA4D3F" w:rsidP="00EA4D3F">
                  <w:pPr>
                    <w:jc w:val="center"/>
                    <w:rPr>
                      <w:lang w:val="es-MX"/>
                    </w:rPr>
                  </w:pPr>
                  <w:r>
                    <w:rPr>
                      <w:b/>
                      <w:sz w:val="18"/>
                      <w:szCs w:val="18"/>
                      <w:lang w:val="es-MX"/>
                    </w:rPr>
                    <w:t xml:space="preserve">Distrito: </w:t>
                  </w:r>
                  <w:r w:rsidRPr="000F61E7">
                    <w:rPr>
                      <w:b/>
                      <w:sz w:val="18"/>
                      <w:szCs w:val="18"/>
                      <w:lang w:val="es-MX"/>
                    </w:rPr>
                    <w:t xml:space="preserve">Los </w:t>
                  </w:r>
                  <w:r>
                    <w:rPr>
                      <w:b/>
                      <w:sz w:val="18"/>
                      <w:szCs w:val="18"/>
                      <w:lang w:val="es-MX"/>
                    </w:rPr>
                    <w:t>2</w:t>
                  </w:r>
                  <w:r w:rsidRPr="000F61E7">
                    <w:rPr>
                      <w:b/>
                      <w:sz w:val="18"/>
                      <w:szCs w:val="18"/>
                      <w:lang w:val="es-MX"/>
                    </w:rPr>
                    <w:t xml:space="preserve"> Distritos en Conjunto</w:t>
                  </w:r>
                </w:p>
                <w:p w:rsidR="00EA4D3F" w:rsidRPr="00A838DB" w:rsidRDefault="00EA4D3F" w:rsidP="00EA4D3F">
                  <w:pPr>
                    <w:jc w:val="center"/>
                    <w:rPr>
                      <w:sz w:val="20"/>
                      <w:szCs w:val="20"/>
                    </w:rPr>
                  </w:pPr>
                  <w:r w:rsidRPr="00A838DB">
                    <w:rPr>
                      <w:b/>
                      <w:sz w:val="20"/>
                      <w:szCs w:val="20"/>
                      <w:lang w:val="es-MX"/>
                    </w:rPr>
                    <w:t>Diagrama de Barras: Vía de Transporte</w:t>
                  </w:r>
                </w:p>
                <w:p w:rsidR="00EA4D3F" w:rsidRDefault="00774DAA" w:rsidP="00EA4D3F">
                  <w:pPr>
                    <w:ind w:left="540" w:hanging="540"/>
                  </w:pPr>
                  <w:r>
                    <w:rPr>
                      <w:noProof/>
                      <w:lang w:val="en-US" w:eastAsia="en-US"/>
                    </w:rPr>
                    <w:drawing>
                      <wp:inline distT="0" distB="0" distL="0" distR="0">
                        <wp:extent cx="2857500" cy="21717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4D3F" w:rsidRDefault="00EA4D3F" w:rsidP="00EA4D3F">
                  <w:pPr>
                    <w:ind w:left="540" w:hanging="540"/>
                    <w:rPr>
                      <w:b/>
                      <w:sz w:val="16"/>
                      <w:szCs w:val="16"/>
                      <w:u w:val="single"/>
                      <w:lang w:val="es-MX"/>
                    </w:rPr>
                  </w:pPr>
                  <w:r>
                    <w:rPr>
                      <w:b/>
                      <w:sz w:val="16"/>
                      <w:szCs w:val="16"/>
                      <w:lang w:val="es-MX"/>
                    </w:rPr>
                    <w:t xml:space="preserve">Fuente: </w:t>
                  </w:r>
                  <w:r>
                    <w:rPr>
                      <w:b/>
                      <w:sz w:val="16"/>
                      <w:szCs w:val="16"/>
                      <w:u w:val="single"/>
                      <w:lang w:val="es-MX"/>
                    </w:rPr>
                    <w:t>Base de Datos de la CAE (2002-2003)</w:t>
                  </w:r>
                </w:p>
                <w:p w:rsidR="00EA4D3F" w:rsidRPr="0093760F" w:rsidRDefault="00EA4D3F" w:rsidP="00EA4D3F">
                  <w:pPr>
                    <w:rPr>
                      <w:b/>
                      <w:sz w:val="16"/>
                      <w:szCs w:val="16"/>
                      <w:u w:val="single"/>
                    </w:rPr>
                  </w:pPr>
                  <w:r>
                    <w:rPr>
                      <w:b/>
                      <w:sz w:val="16"/>
                      <w:szCs w:val="16"/>
                    </w:rPr>
                    <w:t>Elaboración: Ingrid Parrales Morales</w:t>
                  </w:r>
                </w:p>
                <w:p w:rsidR="00EA4D3F" w:rsidRPr="0093760F" w:rsidRDefault="00EA4D3F" w:rsidP="00EA4D3F">
                  <w:pPr>
                    <w:ind w:left="540" w:hanging="540"/>
                    <w:rPr>
                      <w:b/>
                    </w:rPr>
                  </w:pPr>
                </w:p>
              </w:txbxContent>
            </v:textbox>
          </v:shape>
        </w:pict>
      </w:r>
    </w:p>
    <w:p w:rsidR="00024B46" w:rsidRDefault="00024B46" w:rsidP="002223C8">
      <w:pPr>
        <w:jc w:val="both"/>
      </w:pPr>
    </w:p>
    <w:p w:rsidR="00024B46" w:rsidRDefault="00024B46" w:rsidP="002223C8">
      <w:pPr>
        <w:jc w:val="both"/>
      </w:pPr>
    </w:p>
    <w:p w:rsidR="00024B46" w:rsidRPr="00E55CBB" w:rsidRDefault="00024B46" w:rsidP="002223C8">
      <w:pPr>
        <w:jc w:val="both"/>
      </w:pPr>
    </w:p>
    <w:sectPr w:rsidR="00024B46" w:rsidRPr="00E55CBB" w:rsidSect="00427887">
      <w:pgSz w:w="11906" w:h="16838"/>
      <w:pgMar w:top="1418" w:right="1418"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82D5E"/>
    <w:multiLevelType w:val="hybridMultilevel"/>
    <w:tmpl w:val="B8DC5E10"/>
    <w:lvl w:ilvl="0" w:tplc="9DE0451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noPunctuationKerning/>
  <w:characterSpacingControl w:val="doNotCompress"/>
  <w:compat/>
  <w:rsids>
    <w:rsidRoot w:val="00E461E3"/>
    <w:rsid w:val="00024B46"/>
    <w:rsid w:val="000368C2"/>
    <w:rsid w:val="000931FC"/>
    <w:rsid w:val="000C4F82"/>
    <w:rsid w:val="00124943"/>
    <w:rsid w:val="001414F9"/>
    <w:rsid w:val="00151C88"/>
    <w:rsid w:val="00170E83"/>
    <w:rsid w:val="00191ED5"/>
    <w:rsid w:val="001A2F5B"/>
    <w:rsid w:val="001F1F8E"/>
    <w:rsid w:val="001F7400"/>
    <w:rsid w:val="002159EA"/>
    <w:rsid w:val="002223C8"/>
    <w:rsid w:val="00230B96"/>
    <w:rsid w:val="00247AE1"/>
    <w:rsid w:val="0028761B"/>
    <w:rsid w:val="002B7192"/>
    <w:rsid w:val="002D7393"/>
    <w:rsid w:val="002E0DBF"/>
    <w:rsid w:val="00360346"/>
    <w:rsid w:val="003C7C9B"/>
    <w:rsid w:val="003D262D"/>
    <w:rsid w:val="00424792"/>
    <w:rsid w:val="00427887"/>
    <w:rsid w:val="004A6084"/>
    <w:rsid w:val="004C26EB"/>
    <w:rsid w:val="004C2DF5"/>
    <w:rsid w:val="00584311"/>
    <w:rsid w:val="005B779C"/>
    <w:rsid w:val="005E01FC"/>
    <w:rsid w:val="0063682B"/>
    <w:rsid w:val="006437D4"/>
    <w:rsid w:val="00643E0A"/>
    <w:rsid w:val="0070601F"/>
    <w:rsid w:val="007255B7"/>
    <w:rsid w:val="00740134"/>
    <w:rsid w:val="00745395"/>
    <w:rsid w:val="00774DAA"/>
    <w:rsid w:val="00774F58"/>
    <w:rsid w:val="007924C7"/>
    <w:rsid w:val="008F486C"/>
    <w:rsid w:val="009025F4"/>
    <w:rsid w:val="0091349C"/>
    <w:rsid w:val="00916A74"/>
    <w:rsid w:val="0092698A"/>
    <w:rsid w:val="009429D9"/>
    <w:rsid w:val="009729C8"/>
    <w:rsid w:val="00987C43"/>
    <w:rsid w:val="009C2E21"/>
    <w:rsid w:val="009D4809"/>
    <w:rsid w:val="00A40A7D"/>
    <w:rsid w:val="00A44059"/>
    <w:rsid w:val="00A838DB"/>
    <w:rsid w:val="00AD7908"/>
    <w:rsid w:val="00B0075B"/>
    <w:rsid w:val="00B44D34"/>
    <w:rsid w:val="00B45F74"/>
    <w:rsid w:val="00BF4E5E"/>
    <w:rsid w:val="00C42567"/>
    <w:rsid w:val="00C64FB5"/>
    <w:rsid w:val="00CF4411"/>
    <w:rsid w:val="00D854C5"/>
    <w:rsid w:val="00D904CA"/>
    <w:rsid w:val="00DA5110"/>
    <w:rsid w:val="00DC7C47"/>
    <w:rsid w:val="00DD4622"/>
    <w:rsid w:val="00DE6E36"/>
    <w:rsid w:val="00DF04FC"/>
    <w:rsid w:val="00E25F6F"/>
    <w:rsid w:val="00E461E3"/>
    <w:rsid w:val="00E55CBB"/>
    <w:rsid w:val="00E81AF5"/>
    <w:rsid w:val="00EA4D3F"/>
    <w:rsid w:val="00EC00A4"/>
    <w:rsid w:val="00EC65EF"/>
    <w:rsid w:val="00EE1870"/>
    <w:rsid w:val="00EF07B7"/>
    <w:rsid w:val="00EF7DF2"/>
    <w:rsid w:val="00F5304A"/>
    <w:rsid w:val="00F5372F"/>
    <w:rsid w:val="00F727F1"/>
    <w:rsid w:val="00FF4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D854C5"/>
    <w:pPr>
      <w:keepNext/>
      <w:jc w:val="center"/>
      <w:outlineLvl w:val="0"/>
    </w:pPr>
    <w:rPr>
      <w:b/>
      <w:sz w:val="20"/>
      <w:szCs w:val="20"/>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191ED5"/>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43E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X val="13"/>
      <c:hPercent val="167"/>
      <c:rotY val="0"/>
      <c:depthPercent val="100"/>
      <c:rAngAx val="1"/>
    </c:view3D>
    <c:floor>
      <c:spPr>
        <a:noFill/>
        <a:ln w="9525">
          <a:noFill/>
        </a:ln>
      </c:spPr>
    </c:floor>
    <c:sideWall>
      <c:spPr>
        <a:noFill/>
        <a:ln w="25400">
          <a:noFill/>
        </a:ln>
      </c:spPr>
    </c:sideWall>
    <c:backWall>
      <c:spPr>
        <a:noFill/>
        <a:ln w="25400">
          <a:noFill/>
        </a:ln>
      </c:spPr>
    </c:backWall>
    <c:plotArea>
      <c:layout/>
      <c:bar3DChart>
        <c:barDir val="bar"/>
        <c:grouping val="clustered"/>
        <c:ser>
          <c:idx val="0"/>
          <c:order val="0"/>
          <c:spPr>
            <a:solidFill>
              <a:srgbClr val="FFFFFF"/>
            </a:solidFill>
            <a:ln w="12700">
              <a:solidFill>
                <a:srgbClr val="000000"/>
              </a:solidFill>
              <a:prstDash val="solid"/>
            </a:ln>
          </c:spPr>
          <c:dLbls>
            <c:dLbl>
              <c:idx val="0"/>
              <c:layout>
                <c:manualLayout>
                  <c:xMode val="edge"/>
                  <c:yMode val="edge"/>
                  <c:x val="0.91412742382271461"/>
                  <c:y val="0.56502242152466353"/>
                </c:manualLayout>
              </c:layout>
              <c:showVal val="1"/>
            </c:dLbl>
            <c:dLbl>
              <c:idx val="1"/>
              <c:layout>
                <c:manualLayout>
                  <c:xMode val="edge"/>
                  <c:yMode val="edge"/>
                  <c:x val="0.34626038781163437"/>
                  <c:y val="0.3452914798206278"/>
                </c:manualLayout>
              </c:layout>
              <c:showVal val="1"/>
            </c:dLbl>
            <c:dLbl>
              <c:idx val="2"/>
              <c:layout>
                <c:manualLayout>
                  <c:xMode val="edge"/>
                  <c:yMode val="edge"/>
                  <c:x val="0.9889196675900277"/>
                  <c:y val="0.90582959641255612"/>
                </c:manualLayout>
              </c:layout>
              <c:showVal val="1"/>
            </c:dLbl>
            <c:dLbl>
              <c:idx val="3"/>
              <c:spPr>
                <a:noFill/>
                <a:ln w="25399">
                  <a:noFill/>
                </a:ln>
              </c:spPr>
              <c:txPr>
                <a:bodyPr/>
                <a:lstStyle/>
                <a:p>
                  <a:pPr>
                    <a:defRPr sz="475" b="1" i="0" u="none" strike="noStrike" baseline="0">
                      <a:solidFill>
                        <a:srgbClr val="000000"/>
                      </a:solidFill>
                      <a:latin typeface="Arial"/>
                      <a:ea typeface="Arial"/>
                      <a:cs typeface="Arial"/>
                    </a:defRPr>
                  </a:pPr>
                  <a:endParaRPr lang="en-US"/>
                </a:p>
              </c:txPr>
            </c:dLbl>
            <c:dLbl>
              <c:idx val="4"/>
              <c:spPr>
                <a:noFill/>
                <a:ln w="25399">
                  <a:noFill/>
                </a:ln>
              </c:spPr>
              <c:txPr>
                <a:bodyPr/>
                <a:lstStyle/>
                <a:p>
                  <a:pPr>
                    <a:defRPr sz="475" b="1" i="0" u="none" strike="noStrike" baseline="0">
                      <a:solidFill>
                        <a:srgbClr val="000000"/>
                      </a:solidFill>
                      <a:latin typeface="Arial"/>
                      <a:ea typeface="Arial"/>
                      <a:cs typeface="Arial"/>
                    </a:defRPr>
                  </a:pPr>
                  <a:endParaRPr lang="en-US"/>
                </a:p>
              </c:txPr>
            </c:dLbl>
            <c:dLbl>
              <c:idx val="5"/>
              <c:spPr>
                <a:noFill/>
                <a:ln w="25399">
                  <a:noFill/>
                </a:ln>
              </c:spPr>
              <c:txPr>
                <a:bodyPr/>
                <a:lstStyle/>
                <a:p>
                  <a:pPr>
                    <a:defRPr sz="475" b="1" i="0" u="none" strike="noStrike" baseline="0">
                      <a:solidFill>
                        <a:srgbClr val="000000"/>
                      </a:solidFill>
                      <a:latin typeface="Arial"/>
                      <a:ea typeface="Arial"/>
                      <a:cs typeface="Arial"/>
                    </a:defRPr>
                  </a:pPr>
                  <a:endParaRPr lang="en-US"/>
                </a:p>
              </c:txPr>
            </c:dLbl>
            <c:spPr>
              <a:noFill/>
              <a:ln w="25399">
                <a:noFill/>
              </a:ln>
            </c:spPr>
            <c:txPr>
              <a:bodyPr/>
              <a:lstStyle/>
              <a:p>
                <a:pPr>
                  <a:defRPr sz="800" b="0" i="0" u="none" strike="noStrike" baseline="0">
                    <a:solidFill>
                      <a:srgbClr val="000000"/>
                    </a:solidFill>
                    <a:latin typeface="Arial"/>
                    <a:ea typeface="Arial"/>
                    <a:cs typeface="Arial"/>
                  </a:defRPr>
                </a:pPr>
                <a:endParaRPr lang="en-US"/>
              </a:p>
            </c:txPr>
            <c:showVal val="1"/>
          </c:dLbls>
          <c:cat>
            <c:strRef>
              <c:f>Hoja1!$C$1:$C$3</c:f>
              <c:strCache>
                <c:ptCount val="2"/>
                <c:pt idx="0">
                  <c:v>Guayquil</c:v>
                </c:pt>
                <c:pt idx="1">
                  <c:v>Manta</c:v>
                </c:pt>
              </c:strCache>
            </c:strRef>
          </c:cat>
          <c:val>
            <c:numRef>
              <c:f>Hoja1!$B$1:$B$3</c:f>
              <c:numCache>
                <c:formatCode>General</c:formatCode>
                <c:ptCount val="3"/>
                <c:pt idx="0">
                  <c:v>0.91500000000000004</c:v>
                </c:pt>
                <c:pt idx="1">
                  <c:v>8.5000000000000006E-2</c:v>
                </c:pt>
              </c:numCache>
            </c:numRef>
          </c:val>
        </c:ser>
        <c:dLbls>
          <c:showVal val="1"/>
        </c:dLbls>
        <c:gapWidth val="400"/>
        <c:shape val="cylinder"/>
        <c:axId val="155719552"/>
        <c:axId val="155734016"/>
        <c:axId val="0"/>
      </c:bar3DChart>
      <c:catAx>
        <c:axId val="155719552"/>
        <c:scaling>
          <c:orientation val="minMax"/>
        </c:scaling>
        <c:axPos val="l"/>
        <c:title>
          <c:tx>
            <c:rich>
              <a:bodyPr/>
              <a:lstStyle/>
              <a:p>
                <a:pPr>
                  <a:defRPr sz="875" b="1" i="0" u="none" strike="noStrike" baseline="0">
                    <a:solidFill>
                      <a:srgbClr val="000000"/>
                    </a:solidFill>
                    <a:latin typeface="Arial"/>
                    <a:ea typeface="Arial"/>
                    <a:cs typeface="Arial"/>
                  </a:defRPr>
                </a:pPr>
                <a:r>
                  <a:t>Distrito
</a:t>
                </a:r>
              </a:p>
            </c:rich>
          </c:tx>
          <c:layout>
            <c:manualLayout>
              <c:xMode val="edge"/>
              <c:yMode val="edge"/>
              <c:x val="1.1080332409972301E-2"/>
              <c:y val="0.30493273542600896"/>
            </c:manualLayout>
          </c:layout>
          <c:spPr>
            <a:noFill/>
            <a:ln w="25399">
              <a:noFill/>
            </a:ln>
          </c:spPr>
        </c:title>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55734016"/>
        <c:crosses val="autoZero"/>
        <c:auto val="1"/>
        <c:lblAlgn val="ctr"/>
        <c:lblOffset val="100"/>
        <c:tickLblSkip val="1"/>
        <c:tickMarkSkip val="1"/>
      </c:catAx>
      <c:valAx>
        <c:axId val="155734016"/>
        <c:scaling>
          <c:orientation val="minMax"/>
          <c:max val="1"/>
        </c:scaling>
        <c:axPos val="b"/>
        <c:title>
          <c:tx>
            <c:rich>
              <a:bodyPr/>
              <a:lstStyle/>
              <a:p>
                <a:pPr>
                  <a:defRPr sz="875" b="1" i="0" u="none" strike="noStrike" baseline="0">
                    <a:solidFill>
                      <a:srgbClr val="000000"/>
                    </a:solidFill>
                    <a:latin typeface="Arial"/>
                    <a:ea typeface="Arial"/>
                    <a:cs typeface="Arial"/>
                  </a:defRPr>
                </a:pPr>
                <a:r>
                  <a:t>Frecuencia Relativa</a:t>
                </a:r>
              </a:p>
            </c:rich>
          </c:tx>
          <c:layout>
            <c:manualLayout>
              <c:xMode val="edge"/>
              <c:yMode val="edge"/>
              <c:x val="0.45983379501385047"/>
              <c:y val="0.8565022421524664"/>
            </c:manualLayout>
          </c:layout>
          <c:spPr>
            <a:noFill/>
            <a:ln w="25399">
              <a:noFill/>
            </a:ln>
          </c:spPr>
        </c:title>
        <c:numFmt formatCode="General"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n-US"/>
          </a:p>
        </c:txPr>
        <c:crossAx val="155719552"/>
        <c:crosses val="autoZero"/>
        <c:crossBetween val="between"/>
        <c:majorUnit val="0.1"/>
      </c:valAx>
      <c:spPr>
        <a:noFill/>
        <a:ln w="25399">
          <a:noFill/>
        </a:ln>
      </c:spPr>
    </c:plotArea>
    <c:plotVisOnly val="1"/>
    <c:dispBlanksAs val="gap"/>
  </c:chart>
  <c:spPr>
    <a:noFill/>
    <a:ln>
      <a:noFill/>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09433962264151"/>
          <c:y val="2.6763990267639905E-2"/>
          <c:w val="0.86792452830188693"/>
          <c:h val="0.72506082725060839"/>
        </c:manualLayout>
      </c:layout>
      <c:barChart>
        <c:barDir val="col"/>
        <c:grouping val="clustered"/>
        <c:ser>
          <c:idx val="0"/>
          <c:order val="0"/>
          <c:spPr>
            <a:solidFill>
              <a:srgbClr val="FFFFFF"/>
            </a:solidFill>
            <a:ln w="12699">
              <a:solidFill>
                <a:srgbClr val="000000"/>
              </a:solidFill>
              <a:prstDash val="solid"/>
            </a:ln>
          </c:spPr>
          <c:dLbls>
            <c:dLbl>
              <c:idx val="0"/>
              <c:layout>
                <c:manualLayout>
                  <c:xMode val="edge"/>
                  <c:yMode val="edge"/>
                  <c:x val="0.1528301886792453"/>
                  <c:y val="5.3527980535279802E-2"/>
                </c:manualLayout>
              </c:layout>
              <c:dLblPos val="outEnd"/>
              <c:showVal val="1"/>
            </c:dLbl>
            <c:dLbl>
              <c:idx val="1"/>
              <c:layout>
                <c:manualLayout>
                  <c:xMode val="edge"/>
                  <c:yMode val="edge"/>
                  <c:x val="0.31320754716981136"/>
                  <c:y val="0.69586374695863751"/>
                </c:manualLayout>
              </c:layout>
              <c:dLblPos val="outEnd"/>
              <c:showVal val="1"/>
            </c:dLbl>
            <c:dLbl>
              <c:idx val="2"/>
              <c:layout>
                <c:manualLayout>
                  <c:xMode val="edge"/>
                  <c:yMode val="edge"/>
                  <c:x val="0.44528301886792454"/>
                  <c:y val="0.63503649635036508"/>
                </c:manualLayout>
              </c:layout>
              <c:dLblPos val="outEnd"/>
              <c:showVal val="1"/>
            </c:dLbl>
            <c:dLbl>
              <c:idx val="3"/>
              <c:layout>
                <c:manualLayout>
                  <c:xMode val="edge"/>
                  <c:yMode val="edge"/>
                  <c:x val="0.58113207547169798"/>
                  <c:y val="0.68369829683698313"/>
                </c:manualLayout>
              </c:layout>
              <c:dLblPos val="outEnd"/>
              <c:showVal val="1"/>
            </c:dLbl>
            <c:dLbl>
              <c:idx val="4"/>
              <c:layout>
                <c:manualLayout>
                  <c:xMode val="edge"/>
                  <c:yMode val="edge"/>
                  <c:x val="0.71886792452830184"/>
                  <c:y val="0.66180048661800506"/>
                </c:manualLayout>
              </c:layout>
              <c:dLblPos val="outEnd"/>
              <c:showVal val="1"/>
            </c:dLbl>
            <c:dLbl>
              <c:idx val="5"/>
              <c:layout>
                <c:manualLayout>
                  <c:xMode val="edge"/>
                  <c:yMode val="edge"/>
                  <c:x val="0.86603773584905652"/>
                  <c:y val="0.66666666666666663"/>
                </c:manualLayout>
              </c:layout>
              <c:dLblPos val="outEnd"/>
              <c:showVal val="1"/>
            </c:dLbl>
            <c:spPr>
              <a:noFill/>
              <a:ln w="25399">
                <a:noFill/>
              </a:ln>
            </c:spPr>
            <c:txPr>
              <a:bodyPr/>
              <a:lstStyle/>
              <a:p>
                <a:pPr>
                  <a:defRPr sz="1200" b="0" i="0" u="none" strike="noStrike" baseline="0">
                    <a:solidFill>
                      <a:srgbClr val="000000"/>
                    </a:solidFill>
                    <a:latin typeface="Arial"/>
                    <a:ea typeface="Arial"/>
                    <a:cs typeface="Arial"/>
                  </a:defRPr>
                </a:pPr>
                <a:endParaRPr lang="en-US"/>
              </a:p>
            </c:txPr>
            <c:showVal val="1"/>
          </c:dLbls>
          <c:cat>
            <c:strRef>
              <c:f>Hoja1!$H$1:$H$6</c:f>
              <c:strCache>
                <c:ptCount val="6"/>
                <c:pt idx="0">
                  <c:v>Imp. a Consumo</c:v>
                </c:pt>
                <c:pt idx="1">
                  <c:v>Imp. a Consumo con Franquicia Arancelaria</c:v>
                </c:pt>
                <c:pt idx="2">
                  <c:v>Imp. al Depósito Aduanero Industrial</c:v>
                </c:pt>
                <c:pt idx="3">
                  <c:v>Imp. a Depòsito Aduanero Comercial Privado</c:v>
                </c:pt>
                <c:pt idx="4">
                  <c:v>Imp. al Depòsito Aduanero Comercial Público</c:v>
                </c:pt>
                <c:pt idx="5">
                  <c:v>Zona Franca</c:v>
                </c:pt>
              </c:strCache>
            </c:strRef>
          </c:cat>
          <c:val>
            <c:numRef>
              <c:f>Hoja1!$B$1:$B$6</c:f>
              <c:numCache>
                <c:formatCode>General</c:formatCode>
                <c:ptCount val="6"/>
                <c:pt idx="0">
                  <c:v>0.87100000000000011</c:v>
                </c:pt>
                <c:pt idx="1">
                  <c:v>0</c:v>
                </c:pt>
                <c:pt idx="2">
                  <c:v>7.0000000000000021E-2</c:v>
                </c:pt>
                <c:pt idx="3">
                  <c:v>1.0000000000000002E-3</c:v>
                </c:pt>
                <c:pt idx="4">
                  <c:v>3.4000000000000002E-2</c:v>
                </c:pt>
                <c:pt idx="5">
                  <c:v>2.4E-2</c:v>
                </c:pt>
              </c:numCache>
            </c:numRef>
          </c:val>
        </c:ser>
        <c:dLbls>
          <c:showVal val="1"/>
        </c:dLbls>
        <c:gapWidth val="400"/>
        <c:axId val="131758720"/>
        <c:axId val="131773184"/>
      </c:barChart>
      <c:catAx>
        <c:axId val="131758720"/>
        <c:scaling>
          <c:orientation val="minMax"/>
        </c:scaling>
        <c:axPos val="b"/>
        <c:title>
          <c:tx>
            <c:rich>
              <a:bodyPr/>
              <a:lstStyle/>
              <a:p>
                <a:pPr>
                  <a:defRPr sz="1175" b="1" i="0" u="none" strike="noStrike" baseline="0">
                    <a:solidFill>
                      <a:srgbClr val="000000"/>
                    </a:solidFill>
                    <a:latin typeface="Arial"/>
                    <a:ea typeface="Arial"/>
                    <a:cs typeface="Arial"/>
                  </a:defRPr>
                </a:pPr>
                <a:r>
                  <a:t>Régimen</a:t>
                </a:r>
              </a:p>
            </c:rich>
          </c:tx>
          <c:layout>
            <c:manualLayout>
              <c:xMode val="edge"/>
              <c:yMode val="edge"/>
              <c:x val="0.47924528301886798"/>
              <c:y val="0.92944038929440387"/>
            </c:manualLayout>
          </c:layout>
          <c:spPr>
            <a:noFill/>
            <a:ln w="25399">
              <a:noFill/>
            </a:ln>
          </c:spPr>
        </c:title>
        <c:numFmt formatCode="General" sourceLinked="1"/>
        <c:tickLblPos val="nextTo"/>
        <c:spPr>
          <a:ln w="3175">
            <a:solidFill>
              <a:srgbClr val="000000"/>
            </a:solidFill>
            <a:prstDash val="solid"/>
          </a:ln>
        </c:spPr>
        <c:txPr>
          <a:bodyPr rot="0" vert="horz"/>
          <a:lstStyle/>
          <a:p>
            <a:pPr>
              <a:defRPr sz="725" b="1" i="0" u="none" strike="noStrike" baseline="0">
                <a:solidFill>
                  <a:srgbClr val="000000"/>
                </a:solidFill>
                <a:latin typeface="Arial"/>
                <a:ea typeface="Arial"/>
                <a:cs typeface="Arial"/>
              </a:defRPr>
            </a:pPr>
            <a:endParaRPr lang="en-US"/>
          </a:p>
        </c:txPr>
        <c:crossAx val="131773184"/>
        <c:crosses val="autoZero"/>
        <c:auto val="1"/>
        <c:lblAlgn val="ctr"/>
        <c:lblOffset val="100"/>
        <c:tickLblSkip val="1"/>
        <c:tickMarkSkip val="1"/>
      </c:catAx>
      <c:valAx>
        <c:axId val="131773184"/>
        <c:scaling>
          <c:orientation val="minMax"/>
          <c:max val="1"/>
        </c:scaling>
        <c:axPos val="l"/>
        <c:title>
          <c:tx>
            <c:rich>
              <a:bodyPr/>
              <a:lstStyle/>
              <a:p>
                <a:pPr>
                  <a:defRPr sz="1175" b="1" i="0" u="none" strike="noStrike" baseline="0">
                    <a:solidFill>
                      <a:srgbClr val="000000"/>
                    </a:solidFill>
                    <a:latin typeface="Arial"/>
                    <a:ea typeface="Arial"/>
                    <a:cs typeface="Arial"/>
                  </a:defRPr>
                </a:pPr>
                <a:r>
                  <a:t>Frecuencia Relativa</a:t>
                </a:r>
              </a:p>
            </c:rich>
          </c:tx>
          <c:layout>
            <c:manualLayout>
              <c:xMode val="edge"/>
              <c:yMode val="edge"/>
              <c:x val="9.4339622641509448E-3"/>
              <c:y val="0.20681265206812655"/>
            </c:manualLayout>
          </c:layout>
          <c:spPr>
            <a:noFill/>
            <a:ln w="25399">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n-US"/>
          </a:p>
        </c:txPr>
        <c:crossAx val="131758720"/>
        <c:crosses val="autoZero"/>
        <c:crossBetween val="between"/>
        <c:majorUnit val="0.1"/>
      </c:valAx>
      <c:spPr>
        <a:noFill/>
        <a:ln w="25399">
          <a:noFill/>
        </a:ln>
      </c:spPr>
    </c:plotArea>
    <c:plotVisOnly val="1"/>
    <c:dispBlanksAs val="gap"/>
  </c:chart>
  <c:spPr>
    <a:noFill/>
    <a:ln>
      <a:noFill/>
    </a:ln>
  </c:spPr>
  <c:txPr>
    <a:bodyPr/>
    <a:lstStyle/>
    <a:p>
      <a:pPr>
        <a:defRPr sz="1425"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otX val="13"/>
      <c:hPercent val="143"/>
      <c:rotY val="0"/>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35731414868105521"/>
          <c:y val="3.9285714285714292E-2"/>
          <c:w val="0.54436450839328532"/>
          <c:h val="0.81428571428571439"/>
        </c:manualLayout>
      </c:layout>
      <c:bar3DChart>
        <c:barDir val="bar"/>
        <c:grouping val="clustered"/>
        <c:ser>
          <c:idx val="0"/>
          <c:order val="0"/>
          <c:spPr>
            <a:solidFill>
              <a:srgbClr val="FFFFFF"/>
            </a:solidFill>
            <a:ln w="12700">
              <a:solidFill>
                <a:srgbClr val="000000"/>
              </a:solidFill>
              <a:prstDash val="solid"/>
            </a:ln>
          </c:spPr>
          <c:dLbls>
            <c:dLbl>
              <c:idx val="0"/>
              <c:layout>
                <c:manualLayout>
                  <c:xMode val="edge"/>
                  <c:yMode val="edge"/>
                  <c:x val="0.47482014388489219"/>
                  <c:y val="0.6607142857142857"/>
                </c:manualLayout>
              </c:layout>
              <c:showVal val="1"/>
            </c:dLbl>
            <c:dLbl>
              <c:idx val="1"/>
              <c:layout>
                <c:manualLayout>
                  <c:xMode val="edge"/>
                  <c:yMode val="edge"/>
                  <c:x val="0.44364508393285385"/>
                  <c:y val="0.59285714285714275"/>
                </c:manualLayout>
              </c:layout>
              <c:showVal val="1"/>
            </c:dLbl>
            <c:dLbl>
              <c:idx val="2"/>
              <c:layout>
                <c:manualLayout>
                  <c:xMode val="edge"/>
                  <c:yMode val="edge"/>
                  <c:x val="0.47002398081534785"/>
                  <c:y val="0.52142857142857169"/>
                </c:manualLayout>
              </c:layout>
              <c:showVal val="1"/>
            </c:dLbl>
            <c:dLbl>
              <c:idx val="3"/>
              <c:layout>
                <c:manualLayout>
                  <c:xMode val="edge"/>
                  <c:yMode val="edge"/>
                  <c:x val="0.58752997601918477"/>
                  <c:y val="0.45"/>
                </c:manualLayout>
              </c:layout>
              <c:showVal val="1"/>
            </c:dLbl>
            <c:dLbl>
              <c:idx val="4"/>
              <c:layout>
                <c:manualLayout>
                  <c:xMode val="edge"/>
                  <c:yMode val="edge"/>
                  <c:x val="0.53956834532374087"/>
                  <c:y val="0.38214285714285723"/>
                </c:manualLayout>
              </c:layout>
              <c:showVal val="1"/>
            </c:dLbl>
            <c:dLbl>
              <c:idx val="5"/>
              <c:layout>
                <c:manualLayout>
                  <c:xMode val="edge"/>
                  <c:yMode val="edge"/>
                  <c:x val="0.39088729016786589"/>
                  <c:y val="0.30357142857142855"/>
                </c:manualLayout>
              </c:layout>
              <c:showVal val="1"/>
            </c:dLbl>
            <c:dLbl>
              <c:idx val="6"/>
              <c:layout>
                <c:manualLayout>
                  <c:xMode val="edge"/>
                  <c:yMode val="edge"/>
                  <c:x val="0.38369304556354916"/>
                  <c:y val="0.22857142857142859"/>
                </c:manualLayout>
              </c:layout>
              <c:showVal val="1"/>
            </c:dLbl>
            <c:dLbl>
              <c:idx val="7"/>
              <c:layout>
                <c:manualLayout>
                  <c:xMode val="edge"/>
                  <c:yMode val="edge"/>
                  <c:x val="0.38369304556354916"/>
                  <c:y val="0.16071428571428575"/>
                </c:manualLayout>
              </c:layout>
              <c:showVal val="1"/>
            </c:dLbl>
            <c:spPr>
              <a:noFill/>
              <a:ln w="25400">
                <a:noFill/>
              </a:ln>
            </c:spPr>
            <c:txPr>
              <a:bodyPr/>
              <a:lstStyle/>
              <a:p>
                <a:pPr>
                  <a:defRPr sz="850" b="0" i="0" u="none" strike="noStrike" baseline="0">
                    <a:solidFill>
                      <a:srgbClr val="000000"/>
                    </a:solidFill>
                    <a:latin typeface="Arial"/>
                    <a:ea typeface="Arial"/>
                    <a:cs typeface="Arial"/>
                  </a:defRPr>
                </a:pPr>
                <a:endParaRPr lang="en-US"/>
              </a:p>
            </c:txPr>
            <c:showVal val="1"/>
          </c:dLbls>
          <c:cat>
            <c:strRef>
              <c:f>Hoja1!$F$1:$F$8</c:f>
              <c:strCache>
                <c:ptCount val="8"/>
                <c:pt idx="0">
                  <c:v>América del Norte</c:v>
                </c:pt>
                <c:pt idx="1">
                  <c:v>América Central</c:v>
                </c:pt>
                <c:pt idx="2">
                  <c:v>América del Sur</c:v>
                </c:pt>
                <c:pt idx="3">
                  <c:v>Europa</c:v>
                </c:pt>
                <c:pt idx="4">
                  <c:v>Asia</c:v>
                </c:pt>
                <c:pt idx="5">
                  <c:v>Africa</c:v>
                </c:pt>
                <c:pt idx="6">
                  <c:v>Oceanía</c:v>
                </c:pt>
                <c:pt idx="7">
                  <c:v>Caribe</c:v>
                </c:pt>
              </c:strCache>
            </c:strRef>
          </c:cat>
          <c:val>
            <c:numRef>
              <c:f>Hoja1!$B$1:$B$8</c:f>
              <c:numCache>
                <c:formatCode>General</c:formatCode>
                <c:ptCount val="8"/>
                <c:pt idx="0">
                  <c:v>0.17800000000000002</c:v>
                </c:pt>
                <c:pt idx="1">
                  <c:v>0.13600000000000001</c:v>
                </c:pt>
                <c:pt idx="2">
                  <c:v>0.17500000000000002</c:v>
                </c:pt>
                <c:pt idx="3">
                  <c:v>0.30000000000000004</c:v>
                </c:pt>
                <c:pt idx="4">
                  <c:v>0.29100000000000004</c:v>
                </c:pt>
                <c:pt idx="5">
                  <c:v>7.000000000000001E-3</c:v>
                </c:pt>
                <c:pt idx="6">
                  <c:v>3.0000000000000005E-3</c:v>
                </c:pt>
                <c:pt idx="7">
                  <c:v>1.0000000000000002E-2</c:v>
                </c:pt>
              </c:numCache>
            </c:numRef>
          </c:val>
        </c:ser>
        <c:dLbls>
          <c:showVal val="1"/>
        </c:dLbls>
        <c:gapWidth val="400"/>
        <c:shape val="cylinder"/>
        <c:axId val="127583360"/>
        <c:axId val="127585280"/>
        <c:axId val="0"/>
      </c:bar3DChart>
      <c:catAx>
        <c:axId val="127583360"/>
        <c:scaling>
          <c:orientation val="minMax"/>
        </c:scaling>
        <c:axPos val="l"/>
        <c:title>
          <c:tx>
            <c:rich>
              <a:bodyPr/>
              <a:lstStyle/>
              <a:p>
                <a:pPr>
                  <a:defRPr sz="800" b="1" i="0" u="none" strike="noStrike" baseline="0">
                    <a:solidFill>
                      <a:srgbClr val="000000"/>
                    </a:solidFill>
                    <a:latin typeface="Arial"/>
                    <a:ea typeface="Arial"/>
                    <a:cs typeface="Arial"/>
                  </a:defRPr>
                </a:pPr>
                <a:r>
                  <a:t>País de Origen
</a:t>
                </a:r>
              </a:p>
            </c:rich>
          </c:tx>
          <c:layout>
            <c:manualLayout>
              <c:xMode val="edge"/>
              <c:yMode val="edge"/>
              <c:x val="0"/>
              <c:y val="0.29642857142857154"/>
            </c:manualLayout>
          </c:layout>
          <c:spPr>
            <a:noFill/>
            <a:ln w="25400">
              <a:noFill/>
            </a:ln>
          </c:spPr>
        </c:title>
        <c:numFmt formatCode="General" sourceLinked="1"/>
        <c:tickLblPos val="low"/>
        <c:spPr>
          <a:ln w="3175">
            <a:solidFill>
              <a:srgbClr val="000000"/>
            </a:solidFill>
            <a:prstDash val="solid"/>
          </a:ln>
        </c:spPr>
        <c:txPr>
          <a:bodyPr rot="0" vert="horz"/>
          <a:lstStyle/>
          <a:p>
            <a:pPr>
              <a:defRPr sz="850" b="1" i="0" u="none" strike="noStrike" baseline="0">
                <a:solidFill>
                  <a:srgbClr val="000000"/>
                </a:solidFill>
                <a:latin typeface="Arial"/>
                <a:ea typeface="Arial"/>
                <a:cs typeface="Arial"/>
              </a:defRPr>
            </a:pPr>
            <a:endParaRPr lang="en-US"/>
          </a:p>
        </c:txPr>
        <c:crossAx val="127585280"/>
        <c:crosses val="autoZero"/>
        <c:auto val="1"/>
        <c:lblAlgn val="ctr"/>
        <c:lblOffset val="100"/>
        <c:tickLblSkip val="2"/>
        <c:tickMarkSkip val="1"/>
      </c:catAx>
      <c:valAx>
        <c:axId val="127585280"/>
        <c:scaling>
          <c:orientation val="minMax"/>
          <c:max val="1"/>
        </c:scaling>
        <c:axPos val="b"/>
        <c:title>
          <c:tx>
            <c:rich>
              <a:bodyPr/>
              <a:lstStyle/>
              <a:p>
                <a:pPr>
                  <a:defRPr sz="900" b="1" i="0" u="none" strike="noStrike" baseline="0">
                    <a:solidFill>
                      <a:srgbClr val="000000"/>
                    </a:solidFill>
                    <a:latin typeface="Arial"/>
                    <a:ea typeface="Arial"/>
                    <a:cs typeface="Arial"/>
                  </a:defRPr>
                </a:pPr>
                <a:r>
                  <a:t>Frecuencia Relativa</a:t>
                </a:r>
              </a:p>
            </c:rich>
          </c:tx>
          <c:layout>
            <c:manualLayout>
              <c:xMode val="edge"/>
              <c:yMode val="edge"/>
              <c:x val="0.49400479616306964"/>
              <c:y val="0.8"/>
            </c:manualLayout>
          </c:layout>
          <c:spPr>
            <a:noFill/>
            <a:ln w="25400">
              <a:noFill/>
            </a:ln>
          </c:spPr>
        </c:title>
        <c:numFmt formatCode="General" sourceLinked="1"/>
        <c:tickLblPos val="nextTo"/>
        <c:spPr>
          <a:ln w="3175">
            <a:solidFill>
              <a:srgbClr val="000000"/>
            </a:solidFill>
            <a:prstDash val="solid"/>
          </a:ln>
        </c:spPr>
        <c:txPr>
          <a:bodyPr rot="0" vert="horz"/>
          <a:lstStyle/>
          <a:p>
            <a:pPr>
              <a:defRPr sz="725" b="0" i="0" u="none" strike="noStrike" baseline="0">
                <a:solidFill>
                  <a:srgbClr val="000000"/>
                </a:solidFill>
                <a:latin typeface="Arial"/>
                <a:ea typeface="Arial"/>
                <a:cs typeface="Arial"/>
              </a:defRPr>
            </a:pPr>
            <a:endParaRPr lang="en-US"/>
          </a:p>
        </c:txPr>
        <c:crossAx val="127583360"/>
        <c:crosses val="autoZero"/>
        <c:crossBetween val="between"/>
        <c:majorUnit val="0.1"/>
      </c:valAx>
      <c:spPr>
        <a:noFill/>
        <a:ln w="25400">
          <a:noFill/>
        </a:ln>
      </c:spPr>
    </c:plotArea>
    <c:plotVisOnly val="1"/>
    <c:dispBlanksAs val="gap"/>
  </c:chart>
  <c:spPr>
    <a:noFill/>
    <a:ln>
      <a:noFill/>
    </a:ln>
  </c:spPr>
  <c:txPr>
    <a:bodyPr/>
    <a:lstStyle/>
    <a:p>
      <a:pPr>
        <a:defRPr sz="975"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otX val="13"/>
      <c:hPercent val="138"/>
      <c:rotY val="0"/>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0.40136054421768713"/>
          <c:y val="4.954954954954955E-2"/>
          <c:w val="0.56122448979591821"/>
          <c:h val="0.77477477477477474"/>
        </c:manualLayout>
      </c:layout>
      <c:bar3DChart>
        <c:barDir val="bar"/>
        <c:grouping val="clustered"/>
        <c:ser>
          <c:idx val="0"/>
          <c:order val="0"/>
          <c:spPr>
            <a:solidFill>
              <a:srgbClr val="FFFFFF"/>
            </a:solidFill>
            <a:ln w="12700">
              <a:solidFill>
                <a:srgbClr val="000000"/>
              </a:solidFill>
              <a:prstDash val="solid"/>
            </a:ln>
          </c:spPr>
          <c:dLbls>
            <c:dLbl>
              <c:idx val="0"/>
              <c:layout>
                <c:manualLayout>
                  <c:xMode val="edge"/>
                  <c:yMode val="edge"/>
                  <c:x val="0.58163265306122458"/>
                  <c:y val="0.56756756756756743"/>
                </c:manualLayout>
              </c:layout>
              <c:showVal val="1"/>
            </c:dLbl>
            <c:dLbl>
              <c:idx val="1"/>
              <c:layout>
                <c:manualLayout>
                  <c:xMode val="edge"/>
                  <c:yMode val="edge"/>
                  <c:x val="0.83673469387755117"/>
                  <c:y val="0.391891891891892"/>
                </c:manualLayout>
              </c:layout>
              <c:showVal val="1"/>
            </c:dLbl>
            <c:dLbl>
              <c:idx val="2"/>
              <c:layout>
                <c:manualLayout>
                  <c:xMode val="edge"/>
                  <c:yMode val="edge"/>
                  <c:x val="0.44557823129251711"/>
                  <c:y val="0.22522522522522526"/>
                </c:manualLayout>
              </c:layout>
              <c:showVal val="1"/>
            </c:dLbl>
            <c:spPr>
              <a:noFill/>
              <a:ln w="25400">
                <a:noFill/>
              </a:ln>
            </c:spPr>
            <c:txPr>
              <a:bodyPr/>
              <a:lstStyle/>
              <a:p>
                <a:pPr>
                  <a:defRPr sz="800" b="0" i="0" u="none" strike="noStrike" baseline="0">
                    <a:solidFill>
                      <a:srgbClr val="000000"/>
                    </a:solidFill>
                    <a:latin typeface="Arial"/>
                    <a:ea typeface="Arial"/>
                    <a:cs typeface="Arial"/>
                  </a:defRPr>
                </a:pPr>
                <a:endParaRPr lang="en-US"/>
              </a:p>
            </c:txPr>
            <c:showVal val="1"/>
          </c:dLbls>
          <c:cat>
            <c:strRef>
              <c:f>Hoja1!$C$1:$C$3</c:f>
              <c:strCache>
                <c:ptCount val="3"/>
                <c:pt idx="0">
                  <c:v>Aéreo</c:v>
                </c:pt>
                <c:pt idx="1">
                  <c:v>Marítimo </c:v>
                </c:pt>
                <c:pt idx="2">
                  <c:v>Terrestre</c:v>
                </c:pt>
              </c:strCache>
            </c:strRef>
          </c:cat>
          <c:val>
            <c:numRef>
              <c:f>Hoja1!$B$1:$B$3</c:f>
              <c:numCache>
                <c:formatCode>General</c:formatCode>
                <c:ptCount val="3"/>
                <c:pt idx="0">
                  <c:v>0.26900000000000002</c:v>
                </c:pt>
                <c:pt idx="1">
                  <c:v>0.73100000000000009</c:v>
                </c:pt>
                <c:pt idx="2">
                  <c:v>0</c:v>
                </c:pt>
              </c:numCache>
            </c:numRef>
          </c:val>
        </c:ser>
        <c:dLbls>
          <c:showVal val="1"/>
        </c:dLbls>
        <c:gapWidth val="400"/>
        <c:shape val="cylinder"/>
        <c:axId val="126036608"/>
        <c:axId val="126079744"/>
        <c:axId val="0"/>
      </c:bar3DChart>
      <c:catAx>
        <c:axId val="126036608"/>
        <c:scaling>
          <c:orientation val="minMax"/>
        </c:scaling>
        <c:axPos val="l"/>
        <c:title>
          <c:tx>
            <c:rich>
              <a:bodyPr/>
              <a:lstStyle/>
              <a:p>
                <a:pPr>
                  <a:defRPr sz="850" b="1" i="0" u="none" strike="noStrike" baseline="0">
                    <a:solidFill>
                      <a:srgbClr val="000000"/>
                    </a:solidFill>
                    <a:latin typeface="Arial"/>
                    <a:ea typeface="Arial"/>
                    <a:cs typeface="Arial"/>
                  </a:defRPr>
                </a:pPr>
                <a:r>
                  <a:t>Vía de Transporte
</a:t>
                </a:r>
              </a:p>
            </c:rich>
          </c:tx>
          <c:layout>
            <c:manualLayout>
              <c:xMode val="edge"/>
              <c:yMode val="edge"/>
              <c:x val="3.4013605442176882E-3"/>
              <c:y val="0.21171171171171171"/>
            </c:manualLayout>
          </c:layout>
          <c:spPr>
            <a:noFill/>
            <a:ln w="25400">
              <a:noFill/>
            </a:ln>
          </c:spPr>
        </c:title>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26079744"/>
        <c:crosses val="autoZero"/>
        <c:auto val="1"/>
        <c:lblAlgn val="ctr"/>
        <c:lblOffset val="100"/>
        <c:tickLblSkip val="1"/>
        <c:tickMarkSkip val="1"/>
      </c:catAx>
      <c:valAx>
        <c:axId val="126079744"/>
        <c:scaling>
          <c:orientation val="minMax"/>
          <c:max val="1"/>
        </c:scaling>
        <c:axPos val="b"/>
        <c:title>
          <c:tx>
            <c:rich>
              <a:bodyPr/>
              <a:lstStyle/>
              <a:p>
                <a:pPr>
                  <a:defRPr sz="850" b="1" i="0" u="none" strike="noStrike" baseline="0">
                    <a:solidFill>
                      <a:srgbClr val="000000"/>
                    </a:solidFill>
                    <a:latin typeface="Arial"/>
                    <a:ea typeface="Arial"/>
                    <a:cs typeface="Arial"/>
                  </a:defRPr>
                </a:pPr>
                <a:r>
                  <a:t>Frecuencia Relativa</a:t>
                </a:r>
              </a:p>
            </c:rich>
          </c:tx>
          <c:layout>
            <c:manualLayout>
              <c:xMode val="edge"/>
              <c:yMode val="edge"/>
              <c:x val="0.5"/>
              <c:y val="0.79729729729729737"/>
            </c:manualLayout>
          </c:layout>
          <c:spPr>
            <a:noFill/>
            <a:ln w="25400">
              <a:noFill/>
            </a:ln>
          </c:spPr>
        </c:title>
        <c:numFmt formatCode="General" sourceLinked="1"/>
        <c:tickLblPos val="nextTo"/>
        <c:spPr>
          <a:ln w="3175">
            <a:solidFill>
              <a:srgbClr val="000000"/>
            </a:solidFill>
            <a:prstDash val="solid"/>
          </a:ln>
        </c:spPr>
        <c:txPr>
          <a:bodyPr rot="0" vert="horz"/>
          <a:lstStyle/>
          <a:p>
            <a:pPr>
              <a:defRPr sz="575" b="0" i="0" u="none" strike="noStrike" baseline="0">
                <a:solidFill>
                  <a:srgbClr val="000000"/>
                </a:solidFill>
                <a:latin typeface="Arial"/>
                <a:ea typeface="Arial"/>
                <a:cs typeface="Arial"/>
              </a:defRPr>
            </a:pPr>
            <a:endParaRPr lang="en-US"/>
          </a:p>
        </c:txPr>
        <c:crossAx val="126036608"/>
        <c:crosses val="autoZero"/>
        <c:crossBetween val="between"/>
        <c:majorUnit val="0.1"/>
      </c:valAx>
      <c:spPr>
        <a:noFill/>
        <a:ln w="25400">
          <a:noFill/>
        </a:ln>
      </c:spPr>
    </c:plotArea>
    <c:plotVisOnly val="1"/>
    <c:dispBlanksAs val="gap"/>
  </c:chart>
  <c:spPr>
    <a:noFill/>
    <a:ln>
      <a:noFill/>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1031</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“Análisis estadístico multivariante de los registros de la Corporación Aduanera Ecuatoriana</vt:lpstr>
    </vt:vector>
  </TitlesOfParts>
  <Company>Familiar</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multivariante de los registros de la Corporación Aduanera Ecuatoriana</dc:title>
  <dc:subject/>
  <dc:creator>William Sanchez</dc:creator>
  <cp:keywords/>
  <dc:description/>
  <cp:lastModifiedBy>ehernand</cp:lastModifiedBy>
  <cp:revision>2</cp:revision>
  <cp:lastPrinted>2004-05-20T13:53:00Z</cp:lastPrinted>
  <dcterms:created xsi:type="dcterms:W3CDTF">2010-08-11T17:59:00Z</dcterms:created>
  <dcterms:modified xsi:type="dcterms:W3CDTF">2010-08-11T17:59:00Z</dcterms:modified>
</cp:coreProperties>
</file>