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82BB1">
      <w:pPr>
        <w:jc w:val="center"/>
        <w:rPr>
          <w:b/>
          <w:sz w:val="18"/>
          <w:szCs w:val="20"/>
          <w:lang w:val="es-EC"/>
        </w:rPr>
      </w:pPr>
      <w:r>
        <w:rPr>
          <w:b/>
          <w:sz w:val="18"/>
          <w:szCs w:val="20"/>
          <w:lang w:val="es-EC"/>
        </w:rPr>
        <w:t>LA   DESERCIÓN   ESTUDIANTIL   DE   LA ESPOL: EL CASO   DEL  INSTITUTO  DE   TECNOLOGÍAS</w:t>
      </w:r>
    </w:p>
    <w:p w:rsidR="00000000" w:rsidRDefault="00782BB1">
      <w:pPr>
        <w:rPr>
          <w:sz w:val="18"/>
          <w:szCs w:val="20"/>
          <w:lang w:val="es-EC"/>
        </w:rPr>
      </w:pPr>
    </w:p>
    <w:p w:rsidR="00000000" w:rsidRDefault="00782BB1">
      <w:pPr>
        <w:jc w:val="center"/>
        <w:rPr>
          <w:b/>
          <w:sz w:val="18"/>
          <w:szCs w:val="20"/>
          <w:lang w:val="es-EC"/>
        </w:rPr>
      </w:pPr>
      <w:r>
        <w:rPr>
          <w:b/>
          <w:sz w:val="18"/>
          <w:szCs w:val="20"/>
          <w:lang w:val="es-EC"/>
        </w:rPr>
        <w:t>Katherine Vera</w:t>
      </w:r>
      <w:r>
        <w:rPr>
          <w:b/>
          <w:sz w:val="18"/>
          <w:szCs w:val="20"/>
          <w:vertAlign w:val="superscript"/>
          <w:lang w:val="es-EC"/>
        </w:rPr>
        <w:t>1</w:t>
      </w:r>
      <w:r>
        <w:rPr>
          <w:b/>
          <w:sz w:val="18"/>
          <w:szCs w:val="20"/>
          <w:lang w:val="es-EC"/>
        </w:rPr>
        <w:t>, Gaudencio Zurita</w:t>
      </w:r>
      <w:r>
        <w:rPr>
          <w:b/>
          <w:sz w:val="18"/>
          <w:szCs w:val="20"/>
          <w:vertAlign w:val="superscript"/>
          <w:lang w:val="es-EC"/>
        </w:rPr>
        <w:t>2</w:t>
      </w:r>
    </w:p>
    <w:p w:rsidR="00000000" w:rsidRDefault="00782BB1">
      <w:pPr>
        <w:jc w:val="center"/>
        <w:rPr>
          <w:b/>
          <w:sz w:val="20"/>
          <w:szCs w:val="20"/>
          <w:lang w:val="es-EC"/>
        </w:rPr>
      </w:pPr>
    </w:p>
    <w:p w:rsidR="00000000" w:rsidRDefault="00782BB1">
      <w:pPr>
        <w:pStyle w:val="Ttulo1"/>
        <w:rPr>
          <w:lang w:val="es-EC"/>
        </w:rPr>
      </w:pPr>
      <w:r>
        <w:rPr>
          <w:lang w:val="es-EC"/>
        </w:rPr>
        <w:t>RESUMEN</w:t>
      </w:r>
    </w:p>
    <w:p w:rsidR="00000000" w:rsidRDefault="00782BB1">
      <w:pPr>
        <w:jc w:val="both"/>
        <w:rPr>
          <w:i/>
          <w:sz w:val="22"/>
          <w:szCs w:val="20"/>
          <w:lang w:val="es-EC"/>
        </w:rPr>
      </w:pPr>
      <w:r>
        <w:rPr>
          <w:i/>
          <w:sz w:val="22"/>
          <w:szCs w:val="20"/>
          <w:lang w:val="es-EC"/>
        </w:rPr>
        <w:t>La  investigación que se postula en el presente estudio se llevó a cabo en el  segundo semestre del año 2005, cuya poblaci</w:t>
      </w:r>
      <w:r>
        <w:rPr>
          <w:i/>
          <w:sz w:val="22"/>
          <w:szCs w:val="20"/>
          <w:lang w:val="es-EC"/>
        </w:rPr>
        <w:t>ón objetivo son los estudiantes desertores de las carreras que se dictan en el Instituto de Tecnologías  de la ESPOL en el periodo considerado ( 1994 – 2003 ) El objetivo de la investigación  es conocer las razones  que llevaron al  estudiante a  retirarse</w:t>
      </w:r>
      <w:r>
        <w:rPr>
          <w:i/>
          <w:sz w:val="22"/>
          <w:szCs w:val="20"/>
          <w:lang w:val="es-EC"/>
        </w:rPr>
        <w:t xml:space="preserve"> del Instituto de Tecnologías, para esto se aplicó un cuestionario, un error de diseño de 5.3% y un nivel de confianza del 95%, obteniéndose un tamaño de muestra de 171 estudiantes desertores. Se conoce además, que 13.30%  del total de estudiantes que  ing</w:t>
      </w:r>
      <w:r>
        <w:rPr>
          <w:i/>
          <w:sz w:val="22"/>
          <w:szCs w:val="20"/>
          <w:lang w:val="es-EC"/>
        </w:rPr>
        <w:t>resaron a las carreras que se dictan en el Instituto de Tecnologías en el período  (762 estudiantes), desertaron de las mismas Se determinará  las características relevantes al problema de deserción de los entes de la muestra  en base a técnicas estadístic</w:t>
      </w:r>
      <w:r>
        <w:rPr>
          <w:i/>
          <w:sz w:val="22"/>
          <w:szCs w:val="20"/>
          <w:lang w:val="es-EC"/>
        </w:rPr>
        <w:t xml:space="preserve">a;  se presentan  los  Análisis Univariados y Bivariados, Análisis de Componentes Principales y Correlación Canónica. </w:t>
      </w:r>
    </w:p>
    <w:p w:rsidR="00000000" w:rsidRDefault="00782BB1">
      <w:pPr>
        <w:jc w:val="both"/>
        <w:rPr>
          <w:i/>
          <w:sz w:val="20"/>
          <w:szCs w:val="20"/>
          <w:lang w:val="es-EC"/>
        </w:rPr>
      </w:pPr>
    </w:p>
    <w:p w:rsidR="00000000" w:rsidRDefault="00782BB1">
      <w:pPr>
        <w:pStyle w:val="Ttulo1"/>
        <w:rPr>
          <w:i/>
          <w:sz w:val="24"/>
          <w:lang w:val="en-US"/>
        </w:rPr>
      </w:pPr>
      <w:r>
        <w:rPr>
          <w:sz w:val="24"/>
        </w:rPr>
        <w:t>ABSTRACT</w:t>
      </w:r>
    </w:p>
    <w:p w:rsidR="00000000" w:rsidRDefault="00782BB1">
      <w:pPr>
        <w:jc w:val="both"/>
        <w:rPr>
          <w:i/>
          <w:sz w:val="22"/>
          <w:szCs w:val="20"/>
          <w:lang w:val="en-US"/>
        </w:rPr>
      </w:pPr>
      <w:r>
        <w:rPr>
          <w:i/>
          <w:sz w:val="22"/>
          <w:szCs w:val="20"/>
          <w:lang w:val="en-US"/>
        </w:rPr>
        <w:t xml:space="preserve">The  investigation  that  is  solicited  in  the  present  research  was carried  out during  the second   term of 2005, which </w:t>
      </w:r>
      <w:r>
        <w:rPr>
          <w:i/>
          <w:sz w:val="22"/>
          <w:szCs w:val="20"/>
          <w:lang w:val="en-US"/>
        </w:rPr>
        <w:t>Objective  Population is the  students who deserted  from  the Technology  Schools  among 1994 – 2003. Its objective is to know  the reasons that made him or her to forsake. In order to this, was applied a questionnaire, using a error of 5.3% and a confide</w:t>
      </w:r>
      <w:r>
        <w:rPr>
          <w:i/>
          <w:sz w:val="22"/>
          <w:szCs w:val="20"/>
          <w:lang w:val="en-US"/>
        </w:rPr>
        <w:t>nce level of 95%, obtaining a sample size of 171 defector students. We know also, that the 13.30% from the amount of students that joined to the Technology Schools (5240 students) are deserters by now. It will distinguish the relevants characteristics to t</w:t>
      </w:r>
      <w:r>
        <w:rPr>
          <w:i/>
          <w:sz w:val="22"/>
          <w:szCs w:val="20"/>
          <w:lang w:val="en-US"/>
        </w:rPr>
        <w:t xml:space="preserve">he problem of the elements </w:t>
      </w:r>
      <w:r>
        <w:rPr>
          <w:i/>
          <w:iCs/>
          <w:sz w:val="22"/>
          <w:szCs w:val="20"/>
          <w:lang w:val="en-US"/>
        </w:rPr>
        <w:t>of the element samples with the support of statistical  techniques, i</w:t>
      </w:r>
      <w:r>
        <w:rPr>
          <w:i/>
          <w:sz w:val="22"/>
          <w:szCs w:val="20"/>
          <w:lang w:val="en-US"/>
        </w:rPr>
        <w:t xml:space="preserve">n the following lines we present the Univariate and Bivariate Analysis, the Principal Components Analysis and Canonical Correlations. </w:t>
      </w:r>
    </w:p>
    <w:p w:rsidR="00000000" w:rsidRDefault="00782BB1">
      <w:pPr>
        <w:jc w:val="both"/>
        <w:rPr>
          <w:i/>
          <w:sz w:val="22"/>
          <w:szCs w:val="20"/>
          <w:lang w:val="en-US"/>
        </w:rPr>
      </w:pPr>
    </w:p>
    <w:p w:rsidR="00000000" w:rsidRDefault="00782BB1">
      <w:pPr>
        <w:jc w:val="both"/>
        <w:rPr>
          <w:i/>
          <w:szCs w:val="20"/>
          <w:lang w:val="en-US"/>
        </w:rPr>
      </w:pPr>
    </w:p>
    <w:p w:rsidR="00000000" w:rsidRDefault="00782BB1">
      <w:pPr>
        <w:jc w:val="both"/>
        <w:rPr>
          <w:i/>
          <w:sz w:val="18"/>
          <w:szCs w:val="20"/>
          <w:lang w:val="en-US"/>
        </w:rPr>
        <w:sectPr w:rsidR="00000000">
          <w:footerReference w:type="default" r:id="rId7"/>
          <w:type w:val="continuous"/>
          <w:pgSz w:w="11906" w:h="16838"/>
          <w:pgMar w:top="1417" w:right="1701" w:bottom="1417" w:left="1701" w:header="708" w:footer="708" w:gutter="0"/>
          <w:cols w:space="708"/>
          <w:docGrid w:linePitch="360"/>
        </w:sectPr>
      </w:pPr>
    </w:p>
    <w:p w:rsidR="00000000" w:rsidRDefault="00782BB1">
      <w:pPr>
        <w:jc w:val="both"/>
        <w:rPr>
          <w:b/>
          <w:sz w:val="18"/>
          <w:szCs w:val="20"/>
        </w:rPr>
      </w:pPr>
      <w:r>
        <w:rPr>
          <w:b/>
          <w:sz w:val="18"/>
          <w:szCs w:val="20"/>
        </w:rPr>
        <w:lastRenderedPageBreak/>
        <w:t>1. INTRODUCCIÓN</w:t>
      </w:r>
    </w:p>
    <w:p w:rsidR="00000000" w:rsidRDefault="00782BB1">
      <w:pPr>
        <w:jc w:val="both"/>
        <w:rPr>
          <w:sz w:val="20"/>
          <w:szCs w:val="20"/>
        </w:rPr>
      </w:pPr>
    </w:p>
    <w:p w:rsidR="00000000" w:rsidRDefault="00782BB1">
      <w:pPr>
        <w:jc w:val="both"/>
        <w:rPr>
          <w:sz w:val="18"/>
          <w:szCs w:val="20"/>
          <w:lang w:val="es-EC"/>
        </w:rPr>
      </w:pPr>
      <w:r>
        <w:rPr>
          <w:sz w:val="18"/>
          <w:szCs w:val="20"/>
        </w:rPr>
        <w:t>La De</w:t>
      </w:r>
      <w:r>
        <w:rPr>
          <w:sz w:val="18"/>
          <w:szCs w:val="20"/>
        </w:rPr>
        <w:t>serción Estudiantil  es uno de los principales  problemas de la educación tanto superior como básica, para el presente estudio se considera “desertor”  a un estudiante que no se ha registrado en alguna materia durante tres semestres consecutivos. La invest</w:t>
      </w:r>
      <w:r>
        <w:rPr>
          <w:sz w:val="18"/>
          <w:szCs w:val="20"/>
        </w:rPr>
        <w:t xml:space="preserve">igación que se postula, tiene como </w:t>
      </w:r>
      <w:r>
        <w:rPr>
          <w:sz w:val="18"/>
          <w:szCs w:val="20"/>
          <w:lang w:val="es-EC"/>
        </w:rPr>
        <w:t>objetivo general conocer los principales factores que llevaron a los estudiantes a desertar de las carreras que se dictan en el Instituto de Tecnologías  de la ESPOL y sus características antes, durante y después de su de</w:t>
      </w:r>
      <w:r>
        <w:rPr>
          <w:sz w:val="18"/>
          <w:szCs w:val="20"/>
          <w:lang w:val="es-EC"/>
        </w:rPr>
        <w:t xml:space="preserve">serción. </w:t>
      </w:r>
    </w:p>
    <w:p w:rsidR="00000000" w:rsidRDefault="00782BB1">
      <w:pPr>
        <w:jc w:val="both"/>
        <w:rPr>
          <w:sz w:val="18"/>
          <w:szCs w:val="20"/>
          <w:lang w:val="es-EC"/>
        </w:rPr>
      </w:pPr>
    </w:p>
    <w:p w:rsidR="00000000" w:rsidRDefault="00782BB1">
      <w:pPr>
        <w:jc w:val="both"/>
        <w:rPr>
          <w:sz w:val="18"/>
          <w:szCs w:val="20"/>
          <w:lang w:val="es-EC"/>
        </w:rPr>
      </w:pPr>
      <w:r>
        <w:rPr>
          <w:sz w:val="18"/>
          <w:szCs w:val="20"/>
          <w:lang w:val="es-EC"/>
        </w:rPr>
        <w:t>El marco muestral de esta investigación corresponde a un listado proporcionado por el CRECE [15], donde constan todos los estudiantes que habiendo tomado materias en la ESPOL, y han dejado de estudiar. En el Instituto de Tecnologías en un períod</w:t>
      </w:r>
      <w:r>
        <w:rPr>
          <w:sz w:val="18"/>
          <w:szCs w:val="20"/>
          <w:lang w:val="es-EC"/>
        </w:rPr>
        <w:t xml:space="preserve">o  considerado desde 1993 a 2003, han desertado 171 estudiantes, excluyendo a aquellos que han sido sancionados y retirados de la ESPOL y aquellos que no han tomado materia alguna dentro de la  Politécnica.  </w:t>
      </w:r>
    </w:p>
    <w:p w:rsidR="00000000" w:rsidRDefault="00782BB1">
      <w:pPr>
        <w:jc w:val="both"/>
        <w:rPr>
          <w:i/>
          <w:sz w:val="18"/>
          <w:szCs w:val="20"/>
          <w:lang w:val="es-EC"/>
        </w:rPr>
      </w:pPr>
    </w:p>
    <w:p w:rsidR="00000000" w:rsidRDefault="00782BB1">
      <w:pPr>
        <w:pStyle w:val="Textonotapie"/>
        <w:widowControl w:val="0"/>
        <w:rPr>
          <w:i/>
          <w:sz w:val="18"/>
        </w:rPr>
      </w:pPr>
      <w:r>
        <w:rPr>
          <w:i/>
          <w:sz w:val="18"/>
        </w:rPr>
        <w:t>_______________________________________</w:t>
      </w:r>
    </w:p>
    <w:p w:rsidR="00000000" w:rsidRDefault="00782BB1">
      <w:pPr>
        <w:pStyle w:val="Textonotapie"/>
        <w:widowControl w:val="0"/>
        <w:rPr>
          <w:i/>
          <w:sz w:val="16"/>
          <w:lang w:val="es-EC"/>
        </w:rPr>
      </w:pPr>
      <w:r>
        <w:rPr>
          <w:rStyle w:val="Refdenotaalpie"/>
          <w:i/>
          <w:sz w:val="16"/>
        </w:rPr>
        <w:footnoteRef/>
      </w:r>
      <w:r>
        <w:rPr>
          <w:i/>
          <w:sz w:val="16"/>
        </w:rPr>
        <w:t xml:space="preserve"> </w:t>
      </w:r>
      <w:r>
        <w:rPr>
          <w:i/>
          <w:sz w:val="16"/>
          <w:lang w:val="es-EC"/>
        </w:rPr>
        <w:t>Inge</w:t>
      </w:r>
      <w:r>
        <w:rPr>
          <w:i/>
          <w:sz w:val="16"/>
          <w:lang w:val="es-EC"/>
        </w:rPr>
        <w:t>niera en Estadística Informática.</w:t>
      </w:r>
    </w:p>
    <w:p w:rsidR="00000000" w:rsidRDefault="00782BB1">
      <w:pPr>
        <w:rPr>
          <w:i/>
          <w:sz w:val="16"/>
          <w:szCs w:val="20"/>
          <w:lang w:val="es-EC"/>
        </w:rPr>
      </w:pPr>
      <w:r>
        <w:rPr>
          <w:i/>
          <w:sz w:val="16"/>
          <w:szCs w:val="20"/>
          <w:vertAlign w:val="superscript"/>
          <w:lang w:val="es-EC"/>
        </w:rPr>
        <w:t>2</w:t>
      </w:r>
      <w:r>
        <w:rPr>
          <w:i/>
          <w:sz w:val="16"/>
          <w:szCs w:val="20"/>
          <w:lang w:val="es-EC"/>
        </w:rPr>
        <w:t xml:space="preserve"> M.Sc. Matemáticas, M.Sc. Estadística, Profesor ICM, ESPOL, Director del Centro de Estudios e Investigaciones Estadísticas ICM – ESPOL ;email: gzurita@espol.edu.ec</w:t>
      </w:r>
    </w:p>
    <w:p w:rsidR="00000000" w:rsidRDefault="00782BB1">
      <w:pPr>
        <w:jc w:val="both"/>
        <w:rPr>
          <w:sz w:val="18"/>
          <w:szCs w:val="20"/>
        </w:rPr>
      </w:pPr>
    </w:p>
    <w:p w:rsidR="00000000" w:rsidRDefault="00782BB1">
      <w:pPr>
        <w:jc w:val="both"/>
        <w:rPr>
          <w:sz w:val="18"/>
          <w:szCs w:val="20"/>
        </w:rPr>
      </w:pPr>
    </w:p>
    <w:p w:rsidR="00000000" w:rsidRDefault="00782BB1">
      <w:pPr>
        <w:jc w:val="both"/>
        <w:rPr>
          <w:sz w:val="18"/>
          <w:szCs w:val="20"/>
        </w:rPr>
      </w:pPr>
    </w:p>
    <w:p w:rsidR="00000000" w:rsidRDefault="00782BB1">
      <w:pPr>
        <w:jc w:val="both"/>
        <w:rPr>
          <w:b/>
          <w:sz w:val="18"/>
          <w:szCs w:val="20"/>
        </w:rPr>
      </w:pPr>
      <w:r>
        <w:rPr>
          <w:b/>
          <w:sz w:val="18"/>
          <w:szCs w:val="20"/>
        </w:rPr>
        <w:t>2. ANÁLISIS UNIVARIADO</w:t>
      </w:r>
    </w:p>
    <w:p w:rsidR="00000000" w:rsidRDefault="00782BB1">
      <w:pPr>
        <w:jc w:val="both"/>
        <w:rPr>
          <w:sz w:val="18"/>
          <w:szCs w:val="20"/>
          <w:lang w:val="es-EC"/>
        </w:rPr>
      </w:pPr>
    </w:p>
    <w:p w:rsidR="00000000" w:rsidRDefault="00782BB1">
      <w:pPr>
        <w:jc w:val="both"/>
        <w:rPr>
          <w:sz w:val="18"/>
          <w:szCs w:val="20"/>
        </w:rPr>
      </w:pPr>
      <w:r>
        <w:rPr>
          <w:sz w:val="18"/>
          <w:szCs w:val="20"/>
        </w:rPr>
        <w:t>En esta sección se presenta el</w:t>
      </w:r>
      <w:r>
        <w:rPr>
          <w:sz w:val="18"/>
          <w:szCs w:val="20"/>
        </w:rPr>
        <w:t xml:space="preserve"> análisis estadístico individualizado de las variables observadas en el cuestionario mencionado anteriormente, además de los estimadores de los parámetros de cada variable. En el caso de las variables cuantitativas, se estiman parámetros tales como media, </w:t>
      </w:r>
      <w:r>
        <w:rPr>
          <w:sz w:val="18"/>
          <w:szCs w:val="20"/>
        </w:rPr>
        <w:t>curtosis, sesgo, varianza, desviación estándar, error estándar, cuartiles y moda.</w:t>
      </w:r>
    </w:p>
    <w:p w:rsidR="00000000" w:rsidRDefault="00782BB1">
      <w:pPr>
        <w:jc w:val="both"/>
        <w:rPr>
          <w:sz w:val="18"/>
          <w:szCs w:val="20"/>
        </w:rPr>
      </w:pPr>
    </w:p>
    <w:p w:rsidR="00000000" w:rsidRDefault="00782BB1">
      <w:pPr>
        <w:pStyle w:val="Ttulo2"/>
      </w:pPr>
      <w:r>
        <w:t>Características del Entrevistado</w:t>
      </w:r>
    </w:p>
    <w:p w:rsidR="00000000" w:rsidRDefault="00782BB1">
      <w:pPr>
        <w:jc w:val="both"/>
        <w:rPr>
          <w:sz w:val="18"/>
          <w:szCs w:val="20"/>
        </w:rPr>
      </w:pPr>
      <w:r>
        <w:rPr>
          <w:sz w:val="18"/>
          <w:szCs w:val="20"/>
        </w:rPr>
        <w:t xml:space="preserve">En esta sección se analizan las características personales del desertor entrevistado. </w:t>
      </w:r>
    </w:p>
    <w:p w:rsidR="00000000" w:rsidRDefault="00782BB1">
      <w:pPr>
        <w:jc w:val="both"/>
        <w:rPr>
          <w:sz w:val="18"/>
          <w:szCs w:val="20"/>
        </w:rPr>
      </w:pPr>
    </w:p>
    <w:p w:rsidR="00000000" w:rsidRDefault="00782BB1">
      <w:pPr>
        <w:jc w:val="both"/>
        <w:rPr>
          <w:sz w:val="18"/>
          <w:szCs w:val="20"/>
        </w:rPr>
      </w:pPr>
      <w:r>
        <w:rPr>
          <w:i/>
          <w:iCs/>
          <w:sz w:val="18"/>
          <w:szCs w:val="20"/>
        </w:rPr>
        <w:t>Género.-</w:t>
      </w:r>
      <w:r>
        <w:rPr>
          <w:sz w:val="18"/>
          <w:szCs w:val="20"/>
        </w:rPr>
        <w:t xml:space="preserve">  La mayoría de los desertores entrevistados</w:t>
      </w:r>
      <w:r>
        <w:rPr>
          <w:sz w:val="18"/>
          <w:szCs w:val="20"/>
        </w:rPr>
        <w:t xml:space="preserve">, son de género masculino, es decir el 76%;  frente a un 24% del género femenino. Del total  de estudiantes desertores (762) el 84.52% son de género masculino y el  15.48%  son mujeres. </w:t>
      </w:r>
    </w:p>
    <w:p w:rsidR="00000000" w:rsidRDefault="00782BB1">
      <w:pPr>
        <w:jc w:val="both"/>
        <w:rPr>
          <w:sz w:val="18"/>
          <w:szCs w:val="20"/>
        </w:rPr>
      </w:pPr>
    </w:p>
    <w:p w:rsidR="00000000" w:rsidRDefault="00782BB1">
      <w:pPr>
        <w:jc w:val="both"/>
        <w:rPr>
          <w:sz w:val="18"/>
          <w:szCs w:val="20"/>
        </w:rPr>
      </w:pPr>
      <w:r>
        <w:rPr>
          <w:sz w:val="18"/>
          <w:szCs w:val="20"/>
        </w:rPr>
        <w:t>E</w:t>
      </w:r>
      <w:r>
        <w:rPr>
          <w:i/>
          <w:iCs/>
          <w:sz w:val="18"/>
          <w:szCs w:val="20"/>
        </w:rPr>
        <w:t xml:space="preserve">dad del Entrevistado al momento de desertar.- </w:t>
      </w:r>
      <w:r>
        <w:rPr>
          <w:sz w:val="18"/>
          <w:szCs w:val="20"/>
        </w:rPr>
        <w:t xml:space="preserve">De los entrevistados </w:t>
      </w:r>
      <w:r>
        <w:rPr>
          <w:sz w:val="18"/>
          <w:szCs w:val="20"/>
        </w:rPr>
        <w:t>al momento de desertar el 19% tenía edades entre 17 y 18 años al momento de desertar de la ESPOL; el 52% entre 19 y 20 años; el 20% entre  21 y 22 años; el 5%  entre 23 y 24 años  y el 5% tenía edades mayores o iguales a 25 años. La edad  promedio estimada</w:t>
      </w:r>
      <w:r>
        <w:rPr>
          <w:sz w:val="18"/>
          <w:szCs w:val="20"/>
        </w:rPr>
        <w:t xml:space="preserve"> es  19.83 </w:t>
      </w:r>
      <w:r>
        <w:rPr>
          <w:sz w:val="18"/>
          <w:szCs w:val="20"/>
        </w:rPr>
        <w:sym w:font="Symbol" w:char="F0B1"/>
      </w:r>
      <w:r>
        <w:rPr>
          <w:sz w:val="18"/>
          <w:szCs w:val="20"/>
        </w:rPr>
        <w:t xml:space="preserve"> 0.131 años, las mismas que varían entre 26 y 17 donde se observa un rango estimado de 9. El estimador de la </w:t>
      </w:r>
      <w:r>
        <w:rPr>
          <w:sz w:val="18"/>
          <w:szCs w:val="20"/>
        </w:rPr>
        <w:lastRenderedPageBreak/>
        <w:t>desviación estándar es 1.708 y del error estándar 0.131, véase el Cuadro I.</w:t>
      </w:r>
    </w:p>
    <w:p w:rsidR="00000000" w:rsidRDefault="00782BB1">
      <w:pPr>
        <w:jc w:val="both"/>
        <w:rPr>
          <w:sz w:val="18"/>
        </w:rPr>
      </w:pPr>
    </w:p>
    <w:tbl>
      <w:tblPr>
        <w:tblW w:w="0" w:type="auto"/>
        <w:jc w:val="center"/>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Look w:val="01E0"/>
      </w:tblPr>
      <w:tblGrid>
        <w:gridCol w:w="2080"/>
        <w:gridCol w:w="1118"/>
      </w:tblGrid>
      <w:tr w:rsidR="00000000">
        <w:trPr>
          <w:trHeight w:val="646"/>
          <w:tblCellSpacing w:w="20" w:type="dxa"/>
          <w:jc w:val="center"/>
        </w:trPr>
        <w:tc>
          <w:tcPr>
            <w:tcW w:w="3117" w:type="dxa"/>
            <w:gridSpan w:val="2"/>
          </w:tcPr>
          <w:p w:rsidR="00000000" w:rsidRDefault="00782BB1">
            <w:pPr>
              <w:jc w:val="center"/>
              <w:rPr>
                <w:i/>
                <w:sz w:val="18"/>
                <w:szCs w:val="20"/>
              </w:rPr>
            </w:pPr>
            <w:r>
              <w:rPr>
                <w:b/>
                <w:sz w:val="18"/>
                <w:szCs w:val="20"/>
              </w:rPr>
              <w:t>Cuadro I</w:t>
            </w:r>
          </w:p>
          <w:p w:rsidR="00000000" w:rsidRDefault="00782BB1">
            <w:pPr>
              <w:jc w:val="center"/>
              <w:rPr>
                <w:sz w:val="18"/>
                <w:szCs w:val="20"/>
              </w:rPr>
            </w:pPr>
            <w:r>
              <w:rPr>
                <w:b/>
                <w:bCs/>
                <w:sz w:val="18"/>
                <w:szCs w:val="20"/>
              </w:rPr>
              <w:t>Estimadores Poblacionales de la Edad de los Entre</w:t>
            </w:r>
            <w:r>
              <w:rPr>
                <w:b/>
                <w:bCs/>
                <w:sz w:val="18"/>
                <w:szCs w:val="20"/>
              </w:rPr>
              <w:t>vistados al  desertar</w:t>
            </w:r>
          </w:p>
        </w:tc>
      </w:tr>
      <w:tr w:rsidR="00000000">
        <w:trPr>
          <w:trHeight w:val="215"/>
          <w:tblCellSpacing w:w="20" w:type="dxa"/>
          <w:jc w:val="center"/>
        </w:trPr>
        <w:tc>
          <w:tcPr>
            <w:tcW w:w="2020" w:type="dxa"/>
          </w:tcPr>
          <w:p w:rsidR="00000000" w:rsidRDefault="00782BB1">
            <w:pPr>
              <w:rPr>
                <w:sz w:val="18"/>
                <w:szCs w:val="20"/>
              </w:rPr>
            </w:pPr>
            <w:r>
              <w:rPr>
                <w:sz w:val="18"/>
                <w:szCs w:val="20"/>
              </w:rPr>
              <w:t>n</w:t>
            </w:r>
          </w:p>
        </w:tc>
        <w:tc>
          <w:tcPr>
            <w:tcW w:w="1058" w:type="dxa"/>
          </w:tcPr>
          <w:p w:rsidR="00000000" w:rsidRDefault="00782BB1">
            <w:pPr>
              <w:jc w:val="center"/>
              <w:rPr>
                <w:sz w:val="18"/>
                <w:szCs w:val="20"/>
              </w:rPr>
            </w:pPr>
            <w:r>
              <w:rPr>
                <w:sz w:val="18"/>
                <w:szCs w:val="20"/>
              </w:rPr>
              <w:t>171</w:t>
            </w:r>
          </w:p>
        </w:tc>
      </w:tr>
      <w:tr w:rsidR="00000000">
        <w:trPr>
          <w:trHeight w:val="231"/>
          <w:tblCellSpacing w:w="20" w:type="dxa"/>
          <w:jc w:val="center"/>
        </w:trPr>
        <w:tc>
          <w:tcPr>
            <w:tcW w:w="2020" w:type="dxa"/>
          </w:tcPr>
          <w:p w:rsidR="00000000" w:rsidRDefault="00782BB1">
            <w:pPr>
              <w:rPr>
                <w:sz w:val="18"/>
                <w:szCs w:val="20"/>
              </w:rPr>
            </w:pPr>
            <w:r>
              <w:rPr>
                <w:sz w:val="18"/>
                <w:szCs w:val="20"/>
              </w:rPr>
              <w:t>Media</w:t>
            </w:r>
          </w:p>
        </w:tc>
        <w:tc>
          <w:tcPr>
            <w:tcW w:w="1058" w:type="dxa"/>
          </w:tcPr>
          <w:p w:rsidR="00000000" w:rsidRDefault="00782BB1">
            <w:pPr>
              <w:jc w:val="center"/>
              <w:rPr>
                <w:sz w:val="18"/>
                <w:szCs w:val="20"/>
              </w:rPr>
            </w:pPr>
            <w:r>
              <w:rPr>
                <w:sz w:val="18"/>
                <w:szCs w:val="20"/>
              </w:rPr>
              <w:t>19.83</w:t>
            </w:r>
          </w:p>
        </w:tc>
      </w:tr>
      <w:tr w:rsidR="00000000">
        <w:trPr>
          <w:trHeight w:val="215"/>
          <w:tblCellSpacing w:w="20" w:type="dxa"/>
          <w:jc w:val="center"/>
        </w:trPr>
        <w:tc>
          <w:tcPr>
            <w:tcW w:w="2020" w:type="dxa"/>
          </w:tcPr>
          <w:p w:rsidR="00000000" w:rsidRDefault="00782BB1">
            <w:pPr>
              <w:rPr>
                <w:sz w:val="18"/>
                <w:szCs w:val="20"/>
              </w:rPr>
            </w:pPr>
            <w:r>
              <w:rPr>
                <w:sz w:val="18"/>
                <w:szCs w:val="20"/>
              </w:rPr>
              <w:t>Mediana</w:t>
            </w:r>
          </w:p>
        </w:tc>
        <w:tc>
          <w:tcPr>
            <w:tcW w:w="1058" w:type="dxa"/>
          </w:tcPr>
          <w:p w:rsidR="00000000" w:rsidRDefault="00782BB1">
            <w:pPr>
              <w:jc w:val="center"/>
              <w:rPr>
                <w:sz w:val="18"/>
                <w:szCs w:val="20"/>
              </w:rPr>
            </w:pPr>
            <w:r>
              <w:rPr>
                <w:sz w:val="18"/>
                <w:szCs w:val="20"/>
              </w:rPr>
              <w:t>20</w:t>
            </w:r>
          </w:p>
        </w:tc>
      </w:tr>
      <w:tr w:rsidR="00000000">
        <w:trPr>
          <w:trHeight w:val="231"/>
          <w:tblCellSpacing w:w="20" w:type="dxa"/>
          <w:jc w:val="center"/>
        </w:trPr>
        <w:tc>
          <w:tcPr>
            <w:tcW w:w="2020" w:type="dxa"/>
          </w:tcPr>
          <w:p w:rsidR="00000000" w:rsidRDefault="00782BB1">
            <w:pPr>
              <w:rPr>
                <w:sz w:val="18"/>
                <w:szCs w:val="20"/>
              </w:rPr>
            </w:pPr>
            <w:r>
              <w:rPr>
                <w:sz w:val="18"/>
                <w:szCs w:val="20"/>
              </w:rPr>
              <w:t>Moda</w:t>
            </w:r>
          </w:p>
        </w:tc>
        <w:tc>
          <w:tcPr>
            <w:tcW w:w="1058" w:type="dxa"/>
          </w:tcPr>
          <w:p w:rsidR="00000000" w:rsidRDefault="00782BB1">
            <w:pPr>
              <w:jc w:val="center"/>
              <w:rPr>
                <w:sz w:val="18"/>
                <w:szCs w:val="20"/>
              </w:rPr>
            </w:pPr>
            <w:r>
              <w:rPr>
                <w:sz w:val="18"/>
                <w:szCs w:val="20"/>
              </w:rPr>
              <w:t>19</w:t>
            </w:r>
          </w:p>
        </w:tc>
      </w:tr>
      <w:tr w:rsidR="00000000">
        <w:trPr>
          <w:trHeight w:val="215"/>
          <w:tblCellSpacing w:w="20" w:type="dxa"/>
          <w:jc w:val="center"/>
        </w:trPr>
        <w:tc>
          <w:tcPr>
            <w:tcW w:w="2020" w:type="dxa"/>
          </w:tcPr>
          <w:p w:rsidR="00000000" w:rsidRDefault="00782BB1">
            <w:pPr>
              <w:rPr>
                <w:sz w:val="18"/>
                <w:szCs w:val="20"/>
              </w:rPr>
            </w:pPr>
            <w:r>
              <w:rPr>
                <w:sz w:val="18"/>
                <w:szCs w:val="20"/>
              </w:rPr>
              <w:t>Varianza</w:t>
            </w:r>
          </w:p>
        </w:tc>
        <w:tc>
          <w:tcPr>
            <w:tcW w:w="1058" w:type="dxa"/>
          </w:tcPr>
          <w:p w:rsidR="00000000" w:rsidRDefault="00782BB1">
            <w:pPr>
              <w:jc w:val="center"/>
              <w:rPr>
                <w:sz w:val="18"/>
                <w:szCs w:val="20"/>
              </w:rPr>
            </w:pPr>
            <w:r>
              <w:rPr>
                <w:sz w:val="18"/>
                <w:szCs w:val="20"/>
              </w:rPr>
              <w:t>2.918</w:t>
            </w:r>
          </w:p>
        </w:tc>
      </w:tr>
      <w:tr w:rsidR="00000000">
        <w:trPr>
          <w:trHeight w:val="231"/>
          <w:tblCellSpacing w:w="20" w:type="dxa"/>
          <w:jc w:val="center"/>
        </w:trPr>
        <w:tc>
          <w:tcPr>
            <w:tcW w:w="2020" w:type="dxa"/>
          </w:tcPr>
          <w:p w:rsidR="00000000" w:rsidRDefault="00782BB1">
            <w:pPr>
              <w:rPr>
                <w:sz w:val="18"/>
                <w:szCs w:val="20"/>
              </w:rPr>
            </w:pPr>
            <w:r>
              <w:rPr>
                <w:sz w:val="18"/>
                <w:szCs w:val="20"/>
              </w:rPr>
              <w:t>Desviación Estándar</w:t>
            </w:r>
          </w:p>
        </w:tc>
        <w:tc>
          <w:tcPr>
            <w:tcW w:w="1058" w:type="dxa"/>
          </w:tcPr>
          <w:p w:rsidR="00000000" w:rsidRDefault="00782BB1">
            <w:pPr>
              <w:jc w:val="center"/>
              <w:rPr>
                <w:sz w:val="18"/>
                <w:szCs w:val="20"/>
              </w:rPr>
            </w:pPr>
            <w:r>
              <w:rPr>
                <w:sz w:val="18"/>
                <w:szCs w:val="20"/>
              </w:rPr>
              <w:t>1.708</w:t>
            </w:r>
          </w:p>
        </w:tc>
      </w:tr>
      <w:tr w:rsidR="00000000">
        <w:trPr>
          <w:trHeight w:val="215"/>
          <w:tblCellSpacing w:w="20" w:type="dxa"/>
          <w:jc w:val="center"/>
        </w:trPr>
        <w:tc>
          <w:tcPr>
            <w:tcW w:w="2020" w:type="dxa"/>
          </w:tcPr>
          <w:p w:rsidR="00000000" w:rsidRDefault="00782BB1">
            <w:pPr>
              <w:rPr>
                <w:sz w:val="18"/>
                <w:szCs w:val="20"/>
              </w:rPr>
            </w:pPr>
            <w:r>
              <w:rPr>
                <w:sz w:val="18"/>
                <w:szCs w:val="20"/>
              </w:rPr>
              <w:t>Error Estándar</w:t>
            </w:r>
          </w:p>
        </w:tc>
        <w:tc>
          <w:tcPr>
            <w:tcW w:w="1058" w:type="dxa"/>
          </w:tcPr>
          <w:p w:rsidR="00000000" w:rsidRDefault="00782BB1">
            <w:pPr>
              <w:jc w:val="center"/>
              <w:rPr>
                <w:sz w:val="18"/>
                <w:szCs w:val="20"/>
              </w:rPr>
            </w:pPr>
            <w:r>
              <w:rPr>
                <w:sz w:val="18"/>
                <w:szCs w:val="20"/>
              </w:rPr>
              <w:t>0.131</w:t>
            </w:r>
          </w:p>
        </w:tc>
      </w:tr>
      <w:tr w:rsidR="00000000">
        <w:trPr>
          <w:trHeight w:val="215"/>
          <w:tblCellSpacing w:w="20" w:type="dxa"/>
          <w:jc w:val="center"/>
        </w:trPr>
        <w:tc>
          <w:tcPr>
            <w:tcW w:w="2020" w:type="dxa"/>
          </w:tcPr>
          <w:p w:rsidR="00000000" w:rsidRDefault="00782BB1">
            <w:pPr>
              <w:rPr>
                <w:sz w:val="18"/>
                <w:szCs w:val="20"/>
              </w:rPr>
            </w:pPr>
            <w:r>
              <w:rPr>
                <w:sz w:val="18"/>
                <w:szCs w:val="20"/>
              </w:rPr>
              <w:t>Sesgo</w:t>
            </w:r>
          </w:p>
        </w:tc>
        <w:tc>
          <w:tcPr>
            <w:tcW w:w="1058" w:type="dxa"/>
          </w:tcPr>
          <w:p w:rsidR="00000000" w:rsidRDefault="00782BB1">
            <w:pPr>
              <w:jc w:val="center"/>
              <w:rPr>
                <w:sz w:val="18"/>
                <w:szCs w:val="20"/>
              </w:rPr>
            </w:pPr>
            <w:r>
              <w:rPr>
                <w:sz w:val="18"/>
                <w:szCs w:val="20"/>
              </w:rPr>
              <w:t>1.020</w:t>
            </w:r>
          </w:p>
        </w:tc>
      </w:tr>
      <w:tr w:rsidR="00000000">
        <w:trPr>
          <w:trHeight w:val="231"/>
          <w:tblCellSpacing w:w="20" w:type="dxa"/>
          <w:jc w:val="center"/>
        </w:trPr>
        <w:tc>
          <w:tcPr>
            <w:tcW w:w="2020" w:type="dxa"/>
          </w:tcPr>
          <w:p w:rsidR="00000000" w:rsidRDefault="00782BB1">
            <w:pPr>
              <w:rPr>
                <w:sz w:val="18"/>
                <w:szCs w:val="20"/>
              </w:rPr>
            </w:pPr>
            <w:r>
              <w:rPr>
                <w:sz w:val="18"/>
                <w:szCs w:val="20"/>
              </w:rPr>
              <w:t>Curtosis</w:t>
            </w:r>
          </w:p>
        </w:tc>
        <w:tc>
          <w:tcPr>
            <w:tcW w:w="1058" w:type="dxa"/>
          </w:tcPr>
          <w:p w:rsidR="00000000" w:rsidRDefault="00782BB1">
            <w:pPr>
              <w:jc w:val="center"/>
              <w:rPr>
                <w:sz w:val="18"/>
                <w:szCs w:val="20"/>
              </w:rPr>
            </w:pPr>
            <w:r>
              <w:rPr>
                <w:sz w:val="18"/>
                <w:szCs w:val="20"/>
              </w:rPr>
              <w:t>1.806</w:t>
            </w:r>
          </w:p>
        </w:tc>
      </w:tr>
    </w:tbl>
    <w:p w:rsidR="00000000" w:rsidRDefault="00782BB1">
      <w:pPr>
        <w:spacing w:line="360" w:lineRule="auto"/>
        <w:jc w:val="both"/>
        <w:rPr>
          <w:rFonts w:ascii="Arial" w:hAnsi="Arial" w:cs="Arial"/>
          <w:sz w:val="18"/>
        </w:rPr>
      </w:pPr>
    </w:p>
    <w:p w:rsidR="00000000" w:rsidRDefault="00782BB1">
      <w:pPr>
        <w:jc w:val="both"/>
        <w:rPr>
          <w:sz w:val="18"/>
          <w:lang w:val="es-EC"/>
        </w:rPr>
      </w:pPr>
      <w:r>
        <w:rPr>
          <w:sz w:val="18"/>
        </w:rPr>
        <w:t>Mediante la Prueba de Kolmogorov-Smirnov, se verifica si la función de densidad de la variable ed</w:t>
      </w:r>
      <w:r>
        <w:rPr>
          <w:sz w:val="18"/>
        </w:rPr>
        <w:t xml:space="preserve">ad puede ser modelada como una normal con media </w:t>
      </w:r>
      <w:r>
        <w:rPr>
          <w:position w:val="-10"/>
          <w:sz w:val="18"/>
        </w:rPr>
        <w:object w:dxaOrig="99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pt;height:16pt" o:ole="">
            <v:imagedata r:id="rId8" o:title=""/>
          </v:shape>
          <o:OLEObject Type="Embed" ProgID="Equation.3" ShapeID="_x0000_i1025" DrawAspect="Content" ObjectID="_1346835652" r:id="rId9"/>
        </w:object>
      </w:r>
      <w:r>
        <w:rPr>
          <w:sz w:val="18"/>
        </w:rPr>
        <w:t xml:space="preserve"> y varianza </w:t>
      </w:r>
      <w:r>
        <w:rPr>
          <w:position w:val="-6"/>
          <w:sz w:val="18"/>
        </w:rPr>
        <w:object w:dxaOrig="920" w:dyaOrig="320">
          <v:shape id="_x0000_i1026" type="#_x0000_t75" style="width:46pt;height:16pt" o:ole="">
            <v:imagedata r:id="rId10" o:title=""/>
          </v:shape>
          <o:OLEObject Type="Embed" ProgID="Equation.3" ShapeID="_x0000_i1026" DrawAspect="Content" ObjectID="_1346835653" r:id="rId11"/>
        </w:object>
      </w:r>
      <w:r>
        <w:rPr>
          <w:sz w:val="18"/>
        </w:rPr>
        <w:t>. (Véase Cuadro II)</w:t>
      </w:r>
    </w:p>
    <w:p w:rsidR="00000000" w:rsidRDefault="00782BB1">
      <w:pPr>
        <w:spacing w:line="360" w:lineRule="auto"/>
        <w:jc w:val="both"/>
        <w:rPr>
          <w:sz w:val="18"/>
          <w:lang w:val="es-EC"/>
        </w:rPr>
      </w:pPr>
    </w:p>
    <w:tbl>
      <w:tblPr>
        <w:tblW w:w="0" w:type="auto"/>
        <w:tblCellSpacing w:w="20" w:type="dxa"/>
        <w:tblInd w:w="163"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Look w:val="01E0"/>
      </w:tblPr>
      <w:tblGrid>
        <w:gridCol w:w="3969"/>
      </w:tblGrid>
      <w:tr w:rsidR="00000000">
        <w:trPr>
          <w:tblCellSpacing w:w="20" w:type="dxa"/>
        </w:trPr>
        <w:tc>
          <w:tcPr>
            <w:tcW w:w="3889" w:type="dxa"/>
          </w:tcPr>
          <w:p w:rsidR="00000000" w:rsidRDefault="00782BB1">
            <w:pPr>
              <w:jc w:val="center"/>
              <w:rPr>
                <w:b/>
                <w:sz w:val="18"/>
                <w:szCs w:val="22"/>
              </w:rPr>
            </w:pPr>
            <w:r>
              <w:rPr>
                <w:b/>
                <w:sz w:val="18"/>
                <w:szCs w:val="22"/>
              </w:rPr>
              <w:t>Cuadro II</w:t>
            </w:r>
          </w:p>
          <w:p w:rsidR="00000000" w:rsidRDefault="00782BB1">
            <w:pPr>
              <w:jc w:val="center"/>
              <w:rPr>
                <w:b/>
                <w:sz w:val="16"/>
                <w:szCs w:val="20"/>
              </w:rPr>
            </w:pPr>
            <w:r>
              <w:rPr>
                <w:b/>
                <w:bCs/>
                <w:sz w:val="16"/>
                <w:szCs w:val="20"/>
              </w:rPr>
              <w:t>Prueba de Bondad de Ajuste, Kolmogorov-Smirnov: Edad del Entrevistado al desertar</w:t>
            </w:r>
          </w:p>
        </w:tc>
      </w:tr>
      <w:tr w:rsidR="00000000">
        <w:trPr>
          <w:tblCellSpacing w:w="20" w:type="dxa"/>
        </w:trPr>
        <w:tc>
          <w:tcPr>
            <w:tcW w:w="3889" w:type="dxa"/>
          </w:tcPr>
          <w:p w:rsidR="00000000" w:rsidRDefault="00782BB1">
            <w:pPr>
              <w:jc w:val="center"/>
              <w:rPr>
                <w:sz w:val="18"/>
                <w:szCs w:val="20"/>
              </w:rPr>
            </w:pPr>
            <w:r>
              <w:rPr>
                <w:b/>
                <w:sz w:val="18"/>
                <w:szCs w:val="20"/>
              </w:rPr>
              <w:t>H</w:t>
            </w:r>
            <w:r>
              <w:rPr>
                <w:b/>
                <w:sz w:val="18"/>
                <w:szCs w:val="20"/>
                <w:vertAlign w:val="subscript"/>
              </w:rPr>
              <w:t>0</w:t>
            </w:r>
            <w:r>
              <w:rPr>
                <w:b/>
                <w:sz w:val="18"/>
                <w:szCs w:val="20"/>
              </w:rPr>
              <w:t>:</w:t>
            </w:r>
            <w:r>
              <w:rPr>
                <w:b/>
                <w:sz w:val="18"/>
              </w:rPr>
              <w:t xml:space="preserve"> </w:t>
            </w:r>
            <w:r>
              <w:rPr>
                <w:sz w:val="18"/>
                <w:szCs w:val="20"/>
              </w:rPr>
              <w:t>La edad de los desertores  tiene</w:t>
            </w:r>
            <w:r>
              <w:rPr>
                <w:sz w:val="18"/>
                <w:szCs w:val="20"/>
              </w:rPr>
              <w:t xml:space="preserve"> una distribución  N(19.83 , 2.9)</w:t>
            </w:r>
          </w:p>
          <w:p w:rsidR="00000000" w:rsidRDefault="00782BB1">
            <w:pPr>
              <w:jc w:val="center"/>
              <w:rPr>
                <w:b/>
                <w:sz w:val="18"/>
                <w:szCs w:val="20"/>
              </w:rPr>
            </w:pPr>
            <w:r>
              <w:rPr>
                <w:b/>
                <w:sz w:val="18"/>
                <w:szCs w:val="20"/>
              </w:rPr>
              <w:t>vs.</w:t>
            </w:r>
          </w:p>
          <w:p w:rsidR="00000000" w:rsidRDefault="00782BB1">
            <w:pPr>
              <w:jc w:val="center"/>
              <w:rPr>
                <w:sz w:val="18"/>
                <w:szCs w:val="20"/>
              </w:rPr>
            </w:pPr>
            <w:r>
              <w:rPr>
                <w:b/>
                <w:sz w:val="18"/>
                <w:szCs w:val="20"/>
              </w:rPr>
              <w:t>H</w:t>
            </w:r>
            <w:r>
              <w:rPr>
                <w:b/>
                <w:sz w:val="18"/>
                <w:szCs w:val="20"/>
                <w:vertAlign w:val="subscript"/>
              </w:rPr>
              <w:t>1</w:t>
            </w:r>
            <w:r>
              <w:rPr>
                <w:b/>
                <w:sz w:val="18"/>
                <w:szCs w:val="20"/>
              </w:rPr>
              <w:t>:</w:t>
            </w:r>
            <w:r>
              <w:rPr>
                <w:sz w:val="18"/>
                <w:szCs w:val="20"/>
              </w:rPr>
              <w:t xml:space="preserve"> No es verdad H</w:t>
            </w:r>
            <w:r>
              <w:rPr>
                <w:sz w:val="18"/>
                <w:szCs w:val="20"/>
                <w:vertAlign w:val="subscript"/>
              </w:rPr>
              <w:t>0</w:t>
            </w:r>
          </w:p>
          <w:p w:rsidR="00000000" w:rsidRDefault="00782BB1">
            <w:pPr>
              <w:jc w:val="center"/>
              <w:rPr>
                <w:b/>
                <w:sz w:val="18"/>
              </w:rPr>
            </w:pPr>
            <w:r>
              <w:rPr>
                <w:sz w:val="18"/>
                <w:szCs w:val="20"/>
              </w:rPr>
              <w:t>Valor p = 0.000</w:t>
            </w:r>
          </w:p>
        </w:tc>
      </w:tr>
    </w:tbl>
    <w:p w:rsidR="00000000" w:rsidRDefault="00782BB1">
      <w:pPr>
        <w:jc w:val="both"/>
        <w:rPr>
          <w:sz w:val="18"/>
        </w:rPr>
      </w:pPr>
    </w:p>
    <w:p w:rsidR="00000000" w:rsidRDefault="00782BB1">
      <w:pPr>
        <w:jc w:val="both"/>
        <w:rPr>
          <w:sz w:val="18"/>
        </w:rPr>
      </w:pPr>
    </w:p>
    <w:p w:rsidR="00000000" w:rsidRDefault="00782BB1">
      <w:pPr>
        <w:jc w:val="both"/>
        <w:rPr>
          <w:sz w:val="18"/>
        </w:rPr>
      </w:pPr>
      <w:r>
        <w:rPr>
          <w:sz w:val="18"/>
        </w:rPr>
        <w:t>Según los resultados obtenidos mediante la prueba de bondad de ajuste de Kolmogorov-Smirnov, el valor p es 0.000, lo cual significa que podemos decir que existe evidencia estadíst</w:t>
      </w:r>
      <w:r>
        <w:rPr>
          <w:sz w:val="18"/>
        </w:rPr>
        <w:t>ica para rechazar la hipótesis nula.</w:t>
      </w:r>
    </w:p>
    <w:p w:rsidR="00000000" w:rsidRDefault="00782BB1">
      <w:pPr>
        <w:spacing w:line="360" w:lineRule="auto"/>
        <w:jc w:val="both"/>
        <w:rPr>
          <w:sz w:val="18"/>
        </w:rPr>
      </w:pPr>
    </w:p>
    <w:p w:rsidR="00000000" w:rsidRDefault="00782BB1">
      <w:pPr>
        <w:jc w:val="both"/>
        <w:rPr>
          <w:sz w:val="18"/>
        </w:rPr>
      </w:pPr>
      <w:r>
        <w:rPr>
          <w:i/>
          <w:iCs/>
          <w:sz w:val="18"/>
        </w:rPr>
        <w:t>Después de su retiro de la ESPOL.-</w:t>
      </w:r>
      <w:r>
        <w:rPr>
          <w:sz w:val="18"/>
        </w:rPr>
        <w:t xml:space="preserve"> La proporción estimada de los entrevistados que afirman que después de su retiró de la  ESPOL estudiaron una carrera diferente a la que tenían, es de 0.36, mientras que para los entre</w:t>
      </w:r>
      <w:r>
        <w:rPr>
          <w:sz w:val="18"/>
        </w:rPr>
        <w:t>vistados que expresaron no haber continuado estudiando, la proporción es de 0.38; es decir que 380 de cada mil desertores de las carreras del Instituto de Tecnologías, no continuaron estudiando. Los entrevistados que estudian una carrera afín a la que estu</w:t>
      </w:r>
      <w:r>
        <w:rPr>
          <w:sz w:val="18"/>
        </w:rPr>
        <w:t xml:space="preserve">diaba en la ESPOL alcanzan una proporción del 0.18 frente a los estudiantes que siguieron la misma carrera que alcanza   el  0.08. </w:t>
      </w:r>
    </w:p>
    <w:p w:rsidR="00000000" w:rsidRDefault="00782BB1">
      <w:pPr>
        <w:jc w:val="both"/>
        <w:rPr>
          <w:sz w:val="18"/>
        </w:rPr>
      </w:pPr>
    </w:p>
    <w:p w:rsidR="00000000" w:rsidRDefault="00782BB1">
      <w:pPr>
        <w:jc w:val="both"/>
        <w:rPr>
          <w:sz w:val="18"/>
        </w:rPr>
      </w:pPr>
    </w:p>
    <w:p w:rsidR="00000000" w:rsidRDefault="00782BB1">
      <w:pPr>
        <w:jc w:val="both"/>
        <w:rPr>
          <w:sz w:val="18"/>
        </w:rPr>
      </w:pPr>
      <w:r>
        <w:rPr>
          <w:i/>
          <w:iCs/>
          <w:sz w:val="18"/>
        </w:rPr>
        <w:t>Nivel Educativo Formal.-</w:t>
      </w:r>
      <w:r>
        <w:rPr>
          <w:sz w:val="18"/>
        </w:rPr>
        <w:t xml:space="preserve"> Del los entrevistados la mayoría (48%) posee el mismo nivel educativo que  tenía cuando se retiró</w:t>
      </w:r>
      <w:r>
        <w:rPr>
          <w:sz w:val="18"/>
        </w:rPr>
        <w:t xml:space="preserve"> de la ESPOL;  el 15% de los desertores entrevistados afirman  haber terminado los estudios de Pregrado, mientras que el 2% se encuentra cursando estudios de postgrado. </w:t>
      </w:r>
    </w:p>
    <w:p w:rsidR="00000000" w:rsidRDefault="00782BB1">
      <w:pPr>
        <w:jc w:val="both"/>
        <w:rPr>
          <w:sz w:val="18"/>
        </w:rPr>
      </w:pPr>
    </w:p>
    <w:p w:rsidR="00000000" w:rsidRDefault="00782BB1">
      <w:pPr>
        <w:jc w:val="both"/>
        <w:rPr>
          <w:b/>
          <w:sz w:val="18"/>
          <w:szCs w:val="20"/>
        </w:rPr>
      </w:pPr>
    </w:p>
    <w:p w:rsidR="00000000" w:rsidRDefault="00782BB1">
      <w:pPr>
        <w:jc w:val="both"/>
        <w:rPr>
          <w:b/>
          <w:sz w:val="18"/>
          <w:szCs w:val="20"/>
        </w:rPr>
      </w:pPr>
    </w:p>
    <w:p w:rsidR="00000000" w:rsidRDefault="00782BB1">
      <w:pPr>
        <w:pStyle w:val="Ttulo2"/>
      </w:pPr>
      <w:r>
        <w:t>Trayectoria Académica</w:t>
      </w:r>
    </w:p>
    <w:p w:rsidR="00000000" w:rsidRDefault="00782BB1">
      <w:pPr>
        <w:jc w:val="center"/>
        <w:rPr>
          <w:b/>
          <w:sz w:val="18"/>
          <w:szCs w:val="20"/>
        </w:rPr>
      </w:pPr>
    </w:p>
    <w:p w:rsidR="00000000" w:rsidRDefault="00782BB1">
      <w:pPr>
        <w:jc w:val="both"/>
        <w:rPr>
          <w:sz w:val="18"/>
          <w:szCs w:val="20"/>
        </w:rPr>
      </w:pPr>
      <w:r>
        <w:rPr>
          <w:sz w:val="18"/>
          <w:szCs w:val="20"/>
        </w:rPr>
        <w:t>En esta sección se consultó a los Entrevistados sobre su Tra</w:t>
      </w:r>
      <w:r>
        <w:rPr>
          <w:sz w:val="18"/>
          <w:szCs w:val="20"/>
        </w:rPr>
        <w:t>yectoria Académica antes de ingresar a la ESPOL.</w:t>
      </w:r>
    </w:p>
    <w:p w:rsidR="00000000" w:rsidRDefault="00782BB1">
      <w:pPr>
        <w:jc w:val="both"/>
        <w:rPr>
          <w:sz w:val="18"/>
          <w:szCs w:val="20"/>
        </w:rPr>
      </w:pPr>
    </w:p>
    <w:p w:rsidR="00000000" w:rsidRDefault="00782BB1">
      <w:pPr>
        <w:jc w:val="both"/>
        <w:rPr>
          <w:sz w:val="18"/>
          <w:szCs w:val="20"/>
        </w:rPr>
      </w:pPr>
      <w:r>
        <w:rPr>
          <w:i/>
          <w:iCs/>
          <w:sz w:val="18"/>
          <w:szCs w:val="20"/>
        </w:rPr>
        <w:t>Tipo de Colegio.-</w:t>
      </w:r>
      <w:r>
        <w:rPr>
          <w:sz w:val="18"/>
          <w:szCs w:val="20"/>
        </w:rPr>
        <w:t xml:space="preserve"> La variable “Tipo de Colegio”, indica que del total de entrevistados, la mayoría (53%) estudió en un Colegio Particular, donde el 27% en uno Religioso y el 26% restante en un Colegio Laico</w:t>
      </w:r>
      <w:r>
        <w:rPr>
          <w:sz w:val="18"/>
          <w:szCs w:val="20"/>
        </w:rPr>
        <w:t xml:space="preserve">, mientras que el 32% estudió en un Colegio Fiscal, el 14% proviene de un Colegio Técnico Experimental y el 1% en otro tipo de colegio. </w:t>
      </w:r>
    </w:p>
    <w:p w:rsidR="00000000" w:rsidRDefault="00782BB1">
      <w:pPr>
        <w:jc w:val="both"/>
        <w:rPr>
          <w:i/>
          <w:iCs/>
          <w:sz w:val="18"/>
          <w:szCs w:val="20"/>
        </w:rPr>
      </w:pPr>
    </w:p>
    <w:p w:rsidR="00000000" w:rsidRDefault="00782BB1">
      <w:pPr>
        <w:jc w:val="both"/>
        <w:rPr>
          <w:sz w:val="18"/>
          <w:szCs w:val="20"/>
        </w:rPr>
      </w:pPr>
      <w:r>
        <w:rPr>
          <w:i/>
          <w:iCs/>
          <w:sz w:val="18"/>
          <w:szCs w:val="20"/>
        </w:rPr>
        <w:t>Especialización en el Colegio.-</w:t>
      </w:r>
      <w:r>
        <w:rPr>
          <w:sz w:val="18"/>
          <w:szCs w:val="20"/>
        </w:rPr>
        <w:t xml:space="preserve"> La mayoría de los entrevistados obtuvo su título de grado como bachiller en Informátic</w:t>
      </w:r>
      <w:r>
        <w:rPr>
          <w:sz w:val="18"/>
          <w:szCs w:val="20"/>
        </w:rPr>
        <w:t xml:space="preserve">a, mientras que el 24% lo obtuvo en ciencias Físicas Matemáticas, además el 8% se graduó en ciencias Químico Biológicas, y el 18% estudió una especialidad Técnica. </w:t>
      </w:r>
    </w:p>
    <w:p w:rsidR="00000000" w:rsidRDefault="00782BB1">
      <w:pPr>
        <w:jc w:val="both"/>
        <w:rPr>
          <w:sz w:val="18"/>
          <w:szCs w:val="20"/>
        </w:rPr>
      </w:pPr>
    </w:p>
    <w:p w:rsidR="00000000" w:rsidRDefault="00782BB1">
      <w:pPr>
        <w:pStyle w:val="Ttulo2"/>
      </w:pPr>
      <w:r>
        <w:t>Trayectoria académica en la ESPOL</w:t>
      </w:r>
    </w:p>
    <w:p w:rsidR="00000000" w:rsidRDefault="00782BB1">
      <w:pPr>
        <w:jc w:val="both"/>
        <w:rPr>
          <w:sz w:val="18"/>
          <w:szCs w:val="20"/>
        </w:rPr>
      </w:pPr>
    </w:p>
    <w:p w:rsidR="00000000" w:rsidRDefault="00782BB1">
      <w:pPr>
        <w:jc w:val="both"/>
        <w:rPr>
          <w:sz w:val="18"/>
          <w:szCs w:val="20"/>
        </w:rPr>
      </w:pPr>
      <w:r>
        <w:rPr>
          <w:sz w:val="18"/>
          <w:szCs w:val="20"/>
        </w:rPr>
        <w:t>Además de conocer que la Trayectoria del Desertor antes</w:t>
      </w:r>
      <w:r>
        <w:rPr>
          <w:sz w:val="18"/>
          <w:szCs w:val="20"/>
        </w:rPr>
        <w:t xml:space="preserve"> de la ESPOL es importante conocer como se desempeñó dentro de la misma y lo que se analiza en esta sección.</w:t>
      </w:r>
    </w:p>
    <w:p w:rsidR="00000000" w:rsidRDefault="00782BB1">
      <w:pPr>
        <w:jc w:val="both"/>
        <w:rPr>
          <w:sz w:val="18"/>
          <w:szCs w:val="20"/>
        </w:rPr>
      </w:pPr>
    </w:p>
    <w:p w:rsidR="00000000" w:rsidRDefault="00782BB1">
      <w:pPr>
        <w:jc w:val="both"/>
        <w:rPr>
          <w:rFonts w:ascii="Arial" w:hAnsi="Arial" w:cs="Arial"/>
          <w:sz w:val="18"/>
          <w:szCs w:val="20"/>
        </w:rPr>
      </w:pPr>
      <w:r>
        <w:rPr>
          <w:i/>
          <w:iCs/>
          <w:sz w:val="18"/>
          <w:szCs w:val="20"/>
        </w:rPr>
        <w:t xml:space="preserve">Motivo de ingreso a la ESPOL.- </w:t>
      </w:r>
      <w:r>
        <w:rPr>
          <w:sz w:val="18"/>
          <w:szCs w:val="20"/>
        </w:rPr>
        <w:t>Se observa que la mayoría de los entrevistados ingresaron a la ESPOL por decisión propia  es decir el 70%, a contin</w:t>
      </w:r>
      <w:r>
        <w:rPr>
          <w:sz w:val="18"/>
          <w:szCs w:val="20"/>
        </w:rPr>
        <w:t>uación, el 17%  por influencia familiar, además el 11% decidió ser estudiante de la ESPOL porque la carrera que tomó era de acuerdo a su especialización  y  el 1% por  situación económica.</w:t>
      </w:r>
    </w:p>
    <w:p w:rsidR="00000000" w:rsidRDefault="00782BB1">
      <w:pPr>
        <w:jc w:val="both"/>
        <w:rPr>
          <w:i/>
          <w:iCs/>
          <w:sz w:val="18"/>
          <w:szCs w:val="20"/>
        </w:rPr>
      </w:pPr>
    </w:p>
    <w:p w:rsidR="00000000" w:rsidRDefault="00782BB1">
      <w:pPr>
        <w:jc w:val="both"/>
        <w:rPr>
          <w:sz w:val="18"/>
          <w:szCs w:val="20"/>
        </w:rPr>
      </w:pPr>
      <w:r>
        <w:rPr>
          <w:i/>
          <w:iCs/>
          <w:sz w:val="18"/>
          <w:szCs w:val="20"/>
        </w:rPr>
        <w:t>Opción de Ingreso a la ESPOL.-</w:t>
      </w:r>
      <w:r>
        <w:rPr>
          <w:sz w:val="18"/>
          <w:szCs w:val="20"/>
        </w:rPr>
        <w:t xml:space="preserve"> Para la variable “Opción de Ingreso</w:t>
      </w:r>
      <w:r>
        <w:rPr>
          <w:sz w:val="18"/>
          <w:szCs w:val="20"/>
        </w:rPr>
        <w:t>”, se obtienen los siguientes resultados: el 83% de los entrevistados, la mayoría, ingresó a la ESPOL mediante el curso prepolitécnico y  el  17% a través del Examen de ingreso.</w:t>
      </w:r>
    </w:p>
    <w:p w:rsidR="00000000" w:rsidRDefault="00782BB1">
      <w:pPr>
        <w:jc w:val="both"/>
        <w:rPr>
          <w:sz w:val="18"/>
          <w:szCs w:val="20"/>
        </w:rPr>
      </w:pPr>
    </w:p>
    <w:p w:rsidR="00000000" w:rsidRDefault="00782BB1">
      <w:pPr>
        <w:jc w:val="both"/>
        <w:rPr>
          <w:sz w:val="18"/>
          <w:szCs w:val="20"/>
        </w:rPr>
      </w:pPr>
      <w:r>
        <w:rPr>
          <w:i/>
          <w:iCs/>
          <w:sz w:val="18"/>
          <w:szCs w:val="20"/>
        </w:rPr>
        <w:t>Factor P.-</w:t>
      </w:r>
      <w:r>
        <w:rPr>
          <w:sz w:val="18"/>
          <w:szCs w:val="20"/>
        </w:rPr>
        <w:t xml:space="preserve"> De los entrevistados, el 55%, es decir la mayoría, tienen un Facto</w:t>
      </w:r>
      <w:r>
        <w:rPr>
          <w:sz w:val="18"/>
          <w:szCs w:val="20"/>
        </w:rPr>
        <w:t>r P entre  6 y 10, el 23% entre 11 y 15,  además el 11% tienen un factor P menor o igual a 5 ;  el  6% entre 16 y 20  y  el  5% tiene un Factor P mayor que veinte. Estas cifras se observan en la Tabla I.</w:t>
      </w:r>
    </w:p>
    <w:p w:rsidR="00000000" w:rsidRDefault="00782BB1">
      <w:pPr>
        <w:jc w:val="both"/>
        <w:rPr>
          <w:sz w:val="18"/>
        </w:rPr>
      </w:pPr>
    </w:p>
    <w:p w:rsidR="00000000" w:rsidRDefault="00782BB1">
      <w:pPr>
        <w:jc w:val="both"/>
        <w:rPr>
          <w:sz w:val="18"/>
        </w:rPr>
      </w:pPr>
    </w:p>
    <w:tbl>
      <w:tblPr>
        <w:tblW w:w="2760" w:type="dxa"/>
        <w:jc w:val="center"/>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70" w:type="dxa"/>
          <w:right w:w="70" w:type="dxa"/>
        </w:tblCellMar>
        <w:tblLook w:val="0000"/>
      </w:tblPr>
      <w:tblGrid>
        <w:gridCol w:w="1501"/>
        <w:gridCol w:w="1319"/>
      </w:tblGrid>
      <w:tr w:rsidR="00000000">
        <w:trPr>
          <w:trHeight w:val="255"/>
          <w:tblCellSpacing w:w="20" w:type="dxa"/>
          <w:jc w:val="center"/>
        </w:trPr>
        <w:tc>
          <w:tcPr>
            <w:tcW w:w="2680" w:type="dxa"/>
            <w:gridSpan w:val="2"/>
            <w:noWrap/>
            <w:vAlign w:val="bottom"/>
          </w:tcPr>
          <w:p w:rsidR="00000000" w:rsidRDefault="00782BB1">
            <w:pPr>
              <w:jc w:val="center"/>
              <w:rPr>
                <w:i/>
                <w:sz w:val="18"/>
                <w:szCs w:val="16"/>
              </w:rPr>
            </w:pPr>
            <w:r>
              <w:rPr>
                <w:b/>
                <w:sz w:val="18"/>
                <w:szCs w:val="22"/>
              </w:rPr>
              <w:t>Tabla I</w:t>
            </w:r>
          </w:p>
          <w:p w:rsidR="00000000" w:rsidRDefault="00782BB1">
            <w:pPr>
              <w:jc w:val="center"/>
              <w:rPr>
                <w:sz w:val="18"/>
                <w:szCs w:val="20"/>
              </w:rPr>
            </w:pPr>
            <w:r>
              <w:rPr>
                <w:b/>
                <w:bCs/>
                <w:sz w:val="18"/>
                <w:szCs w:val="20"/>
              </w:rPr>
              <w:t>Distribución de Frecuencias Factor P</w:t>
            </w:r>
          </w:p>
        </w:tc>
      </w:tr>
      <w:tr w:rsidR="00000000">
        <w:trPr>
          <w:trHeight w:val="319"/>
          <w:tblCellSpacing w:w="20" w:type="dxa"/>
          <w:jc w:val="center"/>
        </w:trPr>
        <w:tc>
          <w:tcPr>
            <w:tcW w:w="1411" w:type="dxa"/>
            <w:noWrap/>
            <w:vAlign w:val="center"/>
          </w:tcPr>
          <w:p w:rsidR="00000000" w:rsidRDefault="00782BB1">
            <w:pPr>
              <w:jc w:val="center"/>
              <w:rPr>
                <w:b/>
                <w:sz w:val="18"/>
                <w:szCs w:val="22"/>
              </w:rPr>
            </w:pPr>
            <w:r>
              <w:rPr>
                <w:b/>
                <w:sz w:val="18"/>
                <w:szCs w:val="22"/>
              </w:rPr>
              <w:t>Fact</w:t>
            </w:r>
            <w:r>
              <w:rPr>
                <w:b/>
                <w:sz w:val="18"/>
                <w:szCs w:val="22"/>
              </w:rPr>
              <w:t>or P</w:t>
            </w:r>
          </w:p>
        </w:tc>
        <w:tc>
          <w:tcPr>
            <w:tcW w:w="1229" w:type="dxa"/>
            <w:vAlign w:val="center"/>
          </w:tcPr>
          <w:p w:rsidR="00000000" w:rsidRDefault="00782BB1">
            <w:pPr>
              <w:jc w:val="center"/>
              <w:rPr>
                <w:b/>
                <w:sz w:val="18"/>
                <w:szCs w:val="22"/>
              </w:rPr>
            </w:pPr>
            <w:r>
              <w:rPr>
                <w:b/>
                <w:sz w:val="18"/>
                <w:szCs w:val="22"/>
              </w:rPr>
              <w:t>Frecuencia Relativa</w:t>
            </w:r>
          </w:p>
        </w:tc>
      </w:tr>
      <w:tr w:rsidR="00000000">
        <w:trPr>
          <w:trHeight w:val="255"/>
          <w:tblCellSpacing w:w="20" w:type="dxa"/>
          <w:jc w:val="center"/>
        </w:trPr>
        <w:tc>
          <w:tcPr>
            <w:tcW w:w="1411" w:type="dxa"/>
            <w:noWrap/>
            <w:vAlign w:val="center"/>
          </w:tcPr>
          <w:p w:rsidR="00000000" w:rsidRDefault="00782BB1">
            <w:pPr>
              <w:rPr>
                <w:sz w:val="18"/>
                <w:szCs w:val="22"/>
              </w:rPr>
            </w:pPr>
            <w:r>
              <w:rPr>
                <w:sz w:val="18"/>
                <w:szCs w:val="22"/>
              </w:rPr>
              <w:t>[0-5]</w:t>
            </w:r>
          </w:p>
        </w:tc>
        <w:tc>
          <w:tcPr>
            <w:tcW w:w="1229" w:type="dxa"/>
            <w:noWrap/>
            <w:vAlign w:val="center"/>
          </w:tcPr>
          <w:p w:rsidR="00000000" w:rsidRDefault="00782BB1">
            <w:pPr>
              <w:jc w:val="center"/>
              <w:rPr>
                <w:sz w:val="18"/>
                <w:szCs w:val="22"/>
              </w:rPr>
            </w:pPr>
            <w:r>
              <w:rPr>
                <w:sz w:val="18"/>
                <w:szCs w:val="22"/>
              </w:rPr>
              <w:t>0.11</w:t>
            </w:r>
          </w:p>
        </w:tc>
      </w:tr>
      <w:tr w:rsidR="00000000">
        <w:trPr>
          <w:trHeight w:val="255"/>
          <w:tblCellSpacing w:w="20" w:type="dxa"/>
          <w:jc w:val="center"/>
        </w:trPr>
        <w:tc>
          <w:tcPr>
            <w:tcW w:w="1411" w:type="dxa"/>
            <w:noWrap/>
            <w:vAlign w:val="center"/>
          </w:tcPr>
          <w:p w:rsidR="00000000" w:rsidRDefault="00782BB1">
            <w:pPr>
              <w:rPr>
                <w:sz w:val="18"/>
                <w:szCs w:val="22"/>
              </w:rPr>
            </w:pPr>
            <w:r>
              <w:rPr>
                <w:sz w:val="18"/>
                <w:szCs w:val="22"/>
              </w:rPr>
              <w:t>(5-10]</w:t>
            </w:r>
          </w:p>
        </w:tc>
        <w:tc>
          <w:tcPr>
            <w:tcW w:w="1229" w:type="dxa"/>
            <w:noWrap/>
            <w:vAlign w:val="center"/>
          </w:tcPr>
          <w:p w:rsidR="00000000" w:rsidRDefault="00782BB1">
            <w:pPr>
              <w:jc w:val="center"/>
              <w:rPr>
                <w:sz w:val="18"/>
                <w:szCs w:val="22"/>
              </w:rPr>
            </w:pPr>
            <w:r>
              <w:rPr>
                <w:sz w:val="18"/>
                <w:szCs w:val="22"/>
              </w:rPr>
              <w:t>0.55</w:t>
            </w:r>
          </w:p>
        </w:tc>
      </w:tr>
      <w:tr w:rsidR="00000000">
        <w:trPr>
          <w:trHeight w:val="255"/>
          <w:tblCellSpacing w:w="20" w:type="dxa"/>
          <w:jc w:val="center"/>
        </w:trPr>
        <w:tc>
          <w:tcPr>
            <w:tcW w:w="1411" w:type="dxa"/>
            <w:noWrap/>
            <w:vAlign w:val="center"/>
          </w:tcPr>
          <w:p w:rsidR="00000000" w:rsidRDefault="00782BB1">
            <w:pPr>
              <w:rPr>
                <w:sz w:val="18"/>
                <w:szCs w:val="22"/>
              </w:rPr>
            </w:pPr>
            <w:r>
              <w:rPr>
                <w:sz w:val="18"/>
                <w:szCs w:val="22"/>
              </w:rPr>
              <w:t>(10-15]</w:t>
            </w:r>
          </w:p>
        </w:tc>
        <w:tc>
          <w:tcPr>
            <w:tcW w:w="1229" w:type="dxa"/>
            <w:noWrap/>
            <w:vAlign w:val="center"/>
          </w:tcPr>
          <w:p w:rsidR="00000000" w:rsidRDefault="00782BB1">
            <w:pPr>
              <w:jc w:val="center"/>
              <w:rPr>
                <w:sz w:val="18"/>
                <w:szCs w:val="22"/>
              </w:rPr>
            </w:pPr>
            <w:r>
              <w:rPr>
                <w:sz w:val="18"/>
                <w:szCs w:val="22"/>
              </w:rPr>
              <w:t>0.23</w:t>
            </w:r>
          </w:p>
        </w:tc>
      </w:tr>
      <w:tr w:rsidR="00000000">
        <w:trPr>
          <w:trHeight w:val="255"/>
          <w:tblCellSpacing w:w="20" w:type="dxa"/>
          <w:jc w:val="center"/>
        </w:trPr>
        <w:tc>
          <w:tcPr>
            <w:tcW w:w="1411" w:type="dxa"/>
            <w:noWrap/>
            <w:vAlign w:val="center"/>
          </w:tcPr>
          <w:p w:rsidR="00000000" w:rsidRDefault="00782BB1">
            <w:pPr>
              <w:rPr>
                <w:sz w:val="18"/>
                <w:szCs w:val="22"/>
              </w:rPr>
            </w:pPr>
            <w:r>
              <w:rPr>
                <w:sz w:val="18"/>
                <w:szCs w:val="22"/>
              </w:rPr>
              <w:t>(15-20]</w:t>
            </w:r>
          </w:p>
        </w:tc>
        <w:tc>
          <w:tcPr>
            <w:tcW w:w="1229" w:type="dxa"/>
            <w:noWrap/>
            <w:vAlign w:val="center"/>
          </w:tcPr>
          <w:p w:rsidR="00000000" w:rsidRDefault="00782BB1">
            <w:pPr>
              <w:jc w:val="center"/>
              <w:rPr>
                <w:sz w:val="18"/>
                <w:szCs w:val="22"/>
              </w:rPr>
            </w:pPr>
            <w:r>
              <w:rPr>
                <w:sz w:val="18"/>
                <w:szCs w:val="22"/>
              </w:rPr>
              <w:t>0.06</w:t>
            </w:r>
          </w:p>
        </w:tc>
      </w:tr>
      <w:tr w:rsidR="00000000">
        <w:trPr>
          <w:trHeight w:val="255"/>
          <w:tblCellSpacing w:w="20" w:type="dxa"/>
          <w:jc w:val="center"/>
        </w:trPr>
        <w:tc>
          <w:tcPr>
            <w:tcW w:w="1411" w:type="dxa"/>
            <w:noWrap/>
            <w:vAlign w:val="center"/>
          </w:tcPr>
          <w:p w:rsidR="00000000" w:rsidRDefault="00782BB1">
            <w:pPr>
              <w:rPr>
                <w:sz w:val="18"/>
                <w:szCs w:val="22"/>
              </w:rPr>
            </w:pPr>
            <w:r>
              <w:rPr>
                <w:sz w:val="18"/>
                <w:szCs w:val="22"/>
              </w:rPr>
              <w:t>Más de 20</w:t>
            </w:r>
          </w:p>
        </w:tc>
        <w:tc>
          <w:tcPr>
            <w:tcW w:w="1229" w:type="dxa"/>
            <w:noWrap/>
            <w:vAlign w:val="center"/>
          </w:tcPr>
          <w:p w:rsidR="00000000" w:rsidRDefault="00782BB1">
            <w:pPr>
              <w:jc w:val="center"/>
              <w:rPr>
                <w:sz w:val="18"/>
                <w:szCs w:val="22"/>
              </w:rPr>
            </w:pPr>
            <w:r>
              <w:rPr>
                <w:sz w:val="18"/>
                <w:szCs w:val="22"/>
              </w:rPr>
              <w:t>0.05</w:t>
            </w:r>
          </w:p>
        </w:tc>
      </w:tr>
      <w:tr w:rsidR="00000000">
        <w:trPr>
          <w:trHeight w:val="255"/>
          <w:tblCellSpacing w:w="20" w:type="dxa"/>
          <w:jc w:val="center"/>
        </w:trPr>
        <w:tc>
          <w:tcPr>
            <w:tcW w:w="1411" w:type="dxa"/>
            <w:noWrap/>
            <w:vAlign w:val="center"/>
          </w:tcPr>
          <w:p w:rsidR="00000000" w:rsidRDefault="00782BB1">
            <w:pPr>
              <w:rPr>
                <w:b/>
                <w:sz w:val="18"/>
                <w:szCs w:val="22"/>
              </w:rPr>
            </w:pPr>
            <w:r>
              <w:rPr>
                <w:b/>
                <w:sz w:val="18"/>
                <w:szCs w:val="22"/>
              </w:rPr>
              <w:t>Total</w:t>
            </w:r>
          </w:p>
        </w:tc>
        <w:tc>
          <w:tcPr>
            <w:tcW w:w="1229" w:type="dxa"/>
            <w:noWrap/>
            <w:vAlign w:val="center"/>
          </w:tcPr>
          <w:p w:rsidR="00000000" w:rsidRDefault="00782BB1">
            <w:pPr>
              <w:jc w:val="center"/>
              <w:rPr>
                <w:b/>
                <w:sz w:val="18"/>
                <w:szCs w:val="22"/>
              </w:rPr>
            </w:pPr>
            <w:r>
              <w:rPr>
                <w:b/>
                <w:sz w:val="18"/>
                <w:szCs w:val="22"/>
              </w:rPr>
              <w:t>1.00</w:t>
            </w:r>
          </w:p>
        </w:tc>
      </w:tr>
    </w:tbl>
    <w:p w:rsidR="00000000" w:rsidRDefault="00782BB1">
      <w:pPr>
        <w:jc w:val="both"/>
        <w:rPr>
          <w:sz w:val="18"/>
        </w:rPr>
      </w:pPr>
    </w:p>
    <w:p w:rsidR="00000000" w:rsidRDefault="00782BB1">
      <w:pPr>
        <w:jc w:val="both"/>
        <w:rPr>
          <w:sz w:val="18"/>
        </w:rPr>
      </w:pPr>
    </w:p>
    <w:p w:rsidR="00000000" w:rsidRDefault="00782BB1">
      <w:pPr>
        <w:jc w:val="both"/>
        <w:rPr>
          <w:sz w:val="18"/>
        </w:rPr>
      </w:pPr>
    </w:p>
    <w:p w:rsidR="00000000" w:rsidRDefault="00782BB1">
      <w:pPr>
        <w:jc w:val="both"/>
        <w:rPr>
          <w:sz w:val="18"/>
        </w:rPr>
      </w:pPr>
    </w:p>
    <w:p w:rsidR="00000000" w:rsidRDefault="00782BB1">
      <w:pPr>
        <w:jc w:val="both"/>
        <w:rPr>
          <w:sz w:val="18"/>
        </w:rPr>
      </w:pPr>
      <w:r>
        <w:rPr>
          <w:sz w:val="18"/>
        </w:rPr>
        <w:lastRenderedPageBreak/>
        <w:t>En el Cuadro III se presentan las estimaciones de los parámetros correspondientes al Factor P de los entrevistados: el Factor P promedio estimado</w:t>
      </w:r>
      <w:r>
        <w:rPr>
          <w:sz w:val="18"/>
        </w:rPr>
        <w:t xml:space="preserve"> es 9.59  ± 0.37, mismos que varían entre 0 y 25 donde se observa un rango estimado de 25. El estimador de la desviación estándar es 4.86.  </w:t>
      </w:r>
    </w:p>
    <w:p w:rsidR="00000000" w:rsidRDefault="00782BB1">
      <w:pPr>
        <w:jc w:val="both"/>
        <w:rPr>
          <w:sz w:val="18"/>
        </w:rPr>
      </w:pPr>
    </w:p>
    <w:p w:rsidR="00000000" w:rsidRDefault="00782BB1">
      <w:pPr>
        <w:jc w:val="both"/>
        <w:rPr>
          <w:sz w:val="18"/>
        </w:rPr>
      </w:pPr>
    </w:p>
    <w:tbl>
      <w:tblPr>
        <w:tblW w:w="0" w:type="auto"/>
        <w:jc w:val="center"/>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Look w:val="01E0"/>
      </w:tblPr>
      <w:tblGrid>
        <w:gridCol w:w="1961"/>
        <w:gridCol w:w="1293"/>
      </w:tblGrid>
      <w:tr w:rsidR="00000000">
        <w:trPr>
          <w:trHeight w:val="640"/>
          <w:tblCellSpacing w:w="20" w:type="dxa"/>
          <w:jc w:val="center"/>
        </w:trPr>
        <w:tc>
          <w:tcPr>
            <w:tcW w:w="3174" w:type="dxa"/>
            <w:gridSpan w:val="2"/>
          </w:tcPr>
          <w:p w:rsidR="00000000" w:rsidRDefault="00782BB1">
            <w:pPr>
              <w:jc w:val="center"/>
              <w:rPr>
                <w:i/>
                <w:sz w:val="18"/>
                <w:szCs w:val="16"/>
              </w:rPr>
            </w:pPr>
            <w:r>
              <w:rPr>
                <w:b/>
                <w:sz w:val="18"/>
                <w:szCs w:val="22"/>
              </w:rPr>
              <w:t>Cuadro III</w:t>
            </w:r>
          </w:p>
          <w:p w:rsidR="00000000" w:rsidRDefault="00782BB1">
            <w:pPr>
              <w:jc w:val="center"/>
              <w:rPr>
                <w:sz w:val="18"/>
                <w:szCs w:val="20"/>
              </w:rPr>
            </w:pPr>
            <w:r>
              <w:rPr>
                <w:b/>
                <w:sz w:val="18"/>
                <w:szCs w:val="20"/>
              </w:rPr>
              <w:t>Es</w:t>
            </w:r>
            <w:r>
              <w:rPr>
                <w:b/>
                <w:bCs/>
                <w:sz w:val="18"/>
                <w:szCs w:val="20"/>
              </w:rPr>
              <w:t>tim</w:t>
            </w:r>
            <w:r>
              <w:rPr>
                <w:b/>
                <w:sz w:val="18"/>
                <w:szCs w:val="20"/>
              </w:rPr>
              <w:t>adores Poblacionales de Factor P de los entrevistados</w:t>
            </w:r>
          </w:p>
        </w:tc>
      </w:tr>
      <w:tr w:rsidR="00000000">
        <w:trPr>
          <w:trHeight w:val="227"/>
          <w:tblCellSpacing w:w="20" w:type="dxa"/>
          <w:jc w:val="center"/>
        </w:trPr>
        <w:tc>
          <w:tcPr>
            <w:tcW w:w="1901" w:type="dxa"/>
          </w:tcPr>
          <w:p w:rsidR="00000000" w:rsidRDefault="00782BB1">
            <w:pPr>
              <w:rPr>
                <w:sz w:val="18"/>
                <w:szCs w:val="20"/>
              </w:rPr>
            </w:pPr>
            <w:r>
              <w:rPr>
                <w:sz w:val="18"/>
                <w:szCs w:val="20"/>
              </w:rPr>
              <w:t>n</w:t>
            </w:r>
          </w:p>
        </w:tc>
        <w:tc>
          <w:tcPr>
            <w:tcW w:w="1233" w:type="dxa"/>
          </w:tcPr>
          <w:p w:rsidR="00000000" w:rsidRDefault="00782BB1">
            <w:pPr>
              <w:jc w:val="center"/>
              <w:rPr>
                <w:sz w:val="18"/>
                <w:szCs w:val="20"/>
              </w:rPr>
            </w:pPr>
            <w:r>
              <w:rPr>
                <w:sz w:val="18"/>
                <w:szCs w:val="20"/>
              </w:rPr>
              <w:t>171</w:t>
            </w:r>
          </w:p>
        </w:tc>
      </w:tr>
      <w:tr w:rsidR="00000000">
        <w:trPr>
          <w:trHeight w:val="227"/>
          <w:tblCellSpacing w:w="20" w:type="dxa"/>
          <w:jc w:val="center"/>
        </w:trPr>
        <w:tc>
          <w:tcPr>
            <w:tcW w:w="1901" w:type="dxa"/>
          </w:tcPr>
          <w:p w:rsidR="00000000" w:rsidRDefault="00782BB1">
            <w:pPr>
              <w:rPr>
                <w:sz w:val="18"/>
                <w:szCs w:val="20"/>
              </w:rPr>
            </w:pPr>
            <w:r>
              <w:rPr>
                <w:sz w:val="18"/>
                <w:szCs w:val="20"/>
              </w:rPr>
              <w:t>Media</w:t>
            </w:r>
          </w:p>
        </w:tc>
        <w:tc>
          <w:tcPr>
            <w:tcW w:w="1233" w:type="dxa"/>
          </w:tcPr>
          <w:p w:rsidR="00000000" w:rsidRDefault="00782BB1">
            <w:pPr>
              <w:jc w:val="center"/>
              <w:rPr>
                <w:sz w:val="18"/>
                <w:szCs w:val="20"/>
              </w:rPr>
            </w:pPr>
            <w:r>
              <w:rPr>
                <w:sz w:val="18"/>
                <w:szCs w:val="20"/>
              </w:rPr>
              <w:t>9.59</w:t>
            </w:r>
          </w:p>
        </w:tc>
      </w:tr>
      <w:tr w:rsidR="00000000">
        <w:trPr>
          <w:trHeight w:val="207"/>
          <w:tblCellSpacing w:w="20" w:type="dxa"/>
          <w:jc w:val="center"/>
        </w:trPr>
        <w:tc>
          <w:tcPr>
            <w:tcW w:w="1901" w:type="dxa"/>
          </w:tcPr>
          <w:p w:rsidR="00000000" w:rsidRDefault="00782BB1">
            <w:pPr>
              <w:rPr>
                <w:sz w:val="18"/>
                <w:szCs w:val="20"/>
              </w:rPr>
            </w:pPr>
            <w:r>
              <w:rPr>
                <w:sz w:val="18"/>
                <w:szCs w:val="20"/>
              </w:rPr>
              <w:t>Mediana</w:t>
            </w:r>
          </w:p>
        </w:tc>
        <w:tc>
          <w:tcPr>
            <w:tcW w:w="1233" w:type="dxa"/>
          </w:tcPr>
          <w:p w:rsidR="00000000" w:rsidRDefault="00782BB1">
            <w:pPr>
              <w:jc w:val="center"/>
              <w:rPr>
                <w:sz w:val="18"/>
                <w:szCs w:val="20"/>
              </w:rPr>
            </w:pPr>
            <w:r>
              <w:rPr>
                <w:sz w:val="18"/>
                <w:szCs w:val="20"/>
              </w:rPr>
              <w:t>7</w:t>
            </w:r>
          </w:p>
        </w:tc>
      </w:tr>
      <w:tr w:rsidR="00000000">
        <w:trPr>
          <w:trHeight w:val="227"/>
          <w:tblCellSpacing w:w="20" w:type="dxa"/>
          <w:jc w:val="center"/>
        </w:trPr>
        <w:tc>
          <w:tcPr>
            <w:tcW w:w="1901" w:type="dxa"/>
          </w:tcPr>
          <w:p w:rsidR="00000000" w:rsidRDefault="00782BB1">
            <w:pPr>
              <w:rPr>
                <w:sz w:val="18"/>
                <w:szCs w:val="20"/>
              </w:rPr>
            </w:pPr>
            <w:r>
              <w:rPr>
                <w:sz w:val="18"/>
                <w:szCs w:val="20"/>
              </w:rPr>
              <w:t>Varianza</w:t>
            </w:r>
          </w:p>
        </w:tc>
        <w:tc>
          <w:tcPr>
            <w:tcW w:w="1233" w:type="dxa"/>
          </w:tcPr>
          <w:p w:rsidR="00000000" w:rsidRDefault="00782BB1">
            <w:pPr>
              <w:jc w:val="center"/>
              <w:rPr>
                <w:sz w:val="18"/>
                <w:szCs w:val="20"/>
              </w:rPr>
            </w:pPr>
            <w:r>
              <w:rPr>
                <w:sz w:val="18"/>
                <w:szCs w:val="20"/>
              </w:rPr>
              <w:t>23.</w:t>
            </w:r>
            <w:r>
              <w:rPr>
                <w:sz w:val="18"/>
                <w:szCs w:val="20"/>
              </w:rPr>
              <w:t>58</w:t>
            </w:r>
          </w:p>
        </w:tc>
      </w:tr>
      <w:tr w:rsidR="00000000">
        <w:trPr>
          <w:trHeight w:val="227"/>
          <w:tblCellSpacing w:w="20" w:type="dxa"/>
          <w:jc w:val="center"/>
        </w:trPr>
        <w:tc>
          <w:tcPr>
            <w:tcW w:w="1901" w:type="dxa"/>
          </w:tcPr>
          <w:p w:rsidR="00000000" w:rsidRDefault="00782BB1">
            <w:pPr>
              <w:rPr>
                <w:sz w:val="18"/>
                <w:szCs w:val="20"/>
              </w:rPr>
            </w:pPr>
            <w:r>
              <w:rPr>
                <w:sz w:val="18"/>
                <w:szCs w:val="20"/>
              </w:rPr>
              <w:t>Desviación Estándar</w:t>
            </w:r>
          </w:p>
        </w:tc>
        <w:tc>
          <w:tcPr>
            <w:tcW w:w="1233" w:type="dxa"/>
            <w:vAlign w:val="center"/>
          </w:tcPr>
          <w:p w:rsidR="00000000" w:rsidRDefault="00782BB1">
            <w:pPr>
              <w:jc w:val="center"/>
              <w:rPr>
                <w:sz w:val="18"/>
                <w:szCs w:val="20"/>
              </w:rPr>
            </w:pPr>
            <w:r>
              <w:rPr>
                <w:sz w:val="18"/>
                <w:szCs w:val="20"/>
              </w:rPr>
              <w:t>4.86</w:t>
            </w:r>
          </w:p>
        </w:tc>
      </w:tr>
      <w:tr w:rsidR="00000000">
        <w:trPr>
          <w:trHeight w:val="227"/>
          <w:tblCellSpacing w:w="20" w:type="dxa"/>
          <w:jc w:val="center"/>
        </w:trPr>
        <w:tc>
          <w:tcPr>
            <w:tcW w:w="1901" w:type="dxa"/>
          </w:tcPr>
          <w:p w:rsidR="00000000" w:rsidRDefault="00782BB1">
            <w:pPr>
              <w:rPr>
                <w:sz w:val="18"/>
                <w:szCs w:val="20"/>
              </w:rPr>
            </w:pPr>
            <w:r>
              <w:rPr>
                <w:sz w:val="18"/>
                <w:szCs w:val="20"/>
              </w:rPr>
              <w:t>Error Estándar</w:t>
            </w:r>
          </w:p>
        </w:tc>
        <w:tc>
          <w:tcPr>
            <w:tcW w:w="1233" w:type="dxa"/>
          </w:tcPr>
          <w:p w:rsidR="00000000" w:rsidRDefault="00782BB1">
            <w:pPr>
              <w:jc w:val="center"/>
              <w:rPr>
                <w:sz w:val="18"/>
                <w:szCs w:val="20"/>
              </w:rPr>
            </w:pPr>
            <w:r>
              <w:rPr>
                <w:sz w:val="18"/>
                <w:szCs w:val="20"/>
              </w:rPr>
              <w:t>0.37</w:t>
            </w:r>
          </w:p>
        </w:tc>
      </w:tr>
      <w:tr w:rsidR="00000000">
        <w:trPr>
          <w:trHeight w:val="227"/>
          <w:tblCellSpacing w:w="20" w:type="dxa"/>
          <w:jc w:val="center"/>
        </w:trPr>
        <w:tc>
          <w:tcPr>
            <w:tcW w:w="1901" w:type="dxa"/>
          </w:tcPr>
          <w:p w:rsidR="00000000" w:rsidRDefault="00782BB1">
            <w:pPr>
              <w:rPr>
                <w:sz w:val="18"/>
                <w:szCs w:val="20"/>
              </w:rPr>
            </w:pPr>
            <w:r>
              <w:rPr>
                <w:sz w:val="18"/>
                <w:szCs w:val="20"/>
              </w:rPr>
              <w:t>Sesgo</w:t>
            </w:r>
          </w:p>
        </w:tc>
        <w:tc>
          <w:tcPr>
            <w:tcW w:w="1233" w:type="dxa"/>
          </w:tcPr>
          <w:p w:rsidR="00000000" w:rsidRDefault="00782BB1">
            <w:pPr>
              <w:jc w:val="center"/>
              <w:rPr>
                <w:sz w:val="18"/>
                <w:szCs w:val="20"/>
              </w:rPr>
            </w:pPr>
            <w:r>
              <w:rPr>
                <w:sz w:val="18"/>
                <w:szCs w:val="20"/>
              </w:rPr>
              <w:t>1.21</w:t>
            </w:r>
          </w:p>
        </w:tc>
      </w:tr>
      <w:tr w:rsidR="00000000">
        <w:trPr>
          <w:trHeight w:val="207"/>
          <w:tblCellSpacing w:w="20" w:type="dxa"/>
          <w:jc w:val="center"/>
        </w:trPr>
        <w:tc>
          <w:tcPr>
            <w:tcW w:w="1901" w:type="dxa"/>
          </w:tcPr>
          <w:p w:rsidR="00000000" w:rsidRDefault="00782BB1">
            <w:pPr>
              <w:rPr>
                <w:sz w:val="18"/>
                <w:szCs w:val="20"/>
              </w:rPr>
            </w:pPr>
            <w:r>
              <w:rPr>
                <w:sz w:val="18"/>
                <w:szCs w:val="20"/>
              </w:rPr>
              <w:t>Curtosis</w:t>
            </w:r>
          </w:p>
        </w:tc>
        <w:tc>
          <w:tcPr>
            <w:tcW w:w="1233" w:type="dxa"/>
          </w:tcPr>
          <w:p w:rsidR="00000000" w:rsidRDefault="00782BB1">
            <w:pPr>
              <w:jc w:val="center"/>
              <w:rPr>
                <w:sz w:val="18"/>
                <w:szCs w:val="20"/>
              </w:rPr>
            </w:pPr>
            <w:r>
              <w:rPr>
                <w:sz w:val="18"/>
                <w:szCs w:val="20"/>
              </w:rPr>
              <w:t>1.35</w:t>
            </w:r>
          </w:p>
        </w:tc>
      </w:tr>
    </w:tbl>
    <w:p w:rsidR="00000000" w:rsidRDefault="00782BB1">
      <w:pPr>
        <w:jc w:val="both"/>
        <w:rPr>
          <w:sz w:val="18"/>
        </w:rPr>
      </w:pPr>
    </w:p>
    <w:p w:rsidR="00000000" w:rsidRDefault="00782BB1">
      <w:pPr>
        <w:jc w:val="both"/>
        <w:rPr>
          <w:sz w:val="18"/>
        </w:rPr>
      </w:pPr>
    </w:p>
    <w:p w:rsidR="00000000" w:rsidRDefault="00782BB1">
      <w:pPr>
        <w:jc w:val="both"/>
        <w:rPr>
          <w:sz w:val="18"/>
        </w:rPr>
      </w:pPr>
      <w:r>
        <w:rPr>
          <w:i/>
          <w:iCs/>
          <w:sz w:val="18"/>
        </w:rPr>
        <w:t>Promedio en la ESPOL.-</w:t>
      </w:r>
      <w:r>
        <w:rPr>
          <w:sz w:val="18"/>
        </w:rPr>
        <w:t xml:space="preserve"> Nótese en la Tabla II, que el 15% de los entrevistados, tienen un promedio de 0, es decir no aprobaron ninguna materia, el 45%, tienen un promedio mayor </w:t>
      </w:r>
      <w:r>
        <w:rPr>
          <w:sz w:val="18"/>
        </w:rPr>
        <w:t>o igual que 6 y menor o igual que 7, el 36%, mayor que 7 y menor o igual a 8, y el 4% tiene un promedio mayor que 8.</w:t>
      </w:r>
    </w:p>
    <w:p w:rsidR="00000000" w:rsidRDefault="00782BB1">
      <w:pPr>
        <w:jc w:val="both"/>
        <w:rPr>
          <w:sz w:val="18"/>
        </w:rPr>
      </w:pPr>
    </w:p>
    <w:p w:rsidR="00000000" w:rsidRDefault="00782BB1">
      <w:pPr>
        <w:jc w:val="both"/>
        <w:rPr>
          <w:sz w:val="18"/>
        </w:rPr>
      </w:pPr>
    </w:p>
    <w:p w:rsidR="00000000" w:rsidRDefault="00782BB1">
      <w:pPr>
        <w:jc w:val="both"/>
        <w:rPr>
          <w:sz w:val="18"/>
        </w:rPr>
      </w:pPr>
    </w:p>
    <w:tbl>
      <w:tblPr>
        <w:tblW w:w="3205" w:type="dxa"/>
        <w:jc w:val="center"/>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70" w:type="dxa"/>
          <w:right w:w="70" w:type="dxa"/>
        </w:tblCellMar>
        <w:tblLook w:val="0000"/>
      </w:tblPr>
      <w:tblGrid>
        <w:gridCol w:w="1484"/>
        <w:gridCol w:w="1781"/>
      </w:tblGrid>
      <w:tr w:rsidR="00000000">
        <w:trPr>
          <w:trHeight w:val="255"/>
          <w:tblCellSpacing w:w="20" w:type="dxa"/>
          <w:jc w:val="center"/>
        </w:trPr>
        <w:tc>
          <w:tcPr>
            <w:tcW w:w="3125" w:type="dxa"/>
            <w:gridSpan w:val="2"/>
            <w:noWrap/>
            <w:vAlign w:val="bottom"/>
          </w:tcPr>
          <w:p w:rsidR="00000000" w:rsidRDefault="00782BB1">
            <w:pPr>
              <w:jc w:val="center"/>
              <w:rPr>
                <w:i/>
                <w:sz w:val="18"/>
                <w:szCs w:val="16"/>
              </w:rPr>
            </w:pPr>
            <w:r>
              <w:rPr>
                <w:b/>
                <w:sz w:val="18"/>
                <w:szCs w:val="22"/>
              </w:rPr>
              <w:t>Tabla II</w:t>
            </w:r>
          </w:p>
          <w:p w:rsidR="00000000" w:rsidRDefault="00782BB1">
            <w:pPr>
              <w:jc w:val="center"/>
              <w:rPr>
                <w:sz w:val="18"/>
                <w:szCs w:val="20"/>
              </w:rPr>
            </w:pPr>
            <w:r>
              <w:rPr>
                <w:b/>
                <w:bCs/>
                <w:sz w:val="18"/>
                <w:szCs w:val="20"/>
              </w:rPr>
              <w:t>Distribución de Frecuencias “Promedio en la ESPOL”</w:t>
            </w:r>
          </w:p>
        </w:tc>
      </w:tr>
      <w:tr w:rsidR="00000000">
        <w:trPr>
          <w:trHeight w:val="239"/>
          <w:tblCellSpacing w:w="20" w:type="dxa"/>
          <w:jc w:val="center"/>
        </w:trPr>
        <w:tc>
          <w:tcPr>
            <w:tcW w:w="1394" w:type="dxa"/>
            <w:noWrap/>
            <w:vAlign w:val="center"/>
          </w:tcPr>
          <w:p w:rsidR="00000000" w:rsidRDefault="00782BB1">
            <w:pPr>
              <w:jc w:val="center"/>
              <w:rPr>
                <w:b/>
                <w:sz w:val="18"/>
                <w:szCs w:val="22"/>
              </w:rPr>
            </w:pPr>
            <w:r>
              <w:rPr>
                <w:b/>
                <w:sz w:val="18"/>
                <w:szCs w:val="22"/>
              </w:rPr>
              <w:t>Promedio</w:t>
            </w:r>
          </w:p>
        </w:tc>
        <w:tc>
          <w:tcPr>
            <w:tcW w:w="1691" w:type="dxa"/>
            <w:vAlign w:val="center"/>
          </w:tcPr>
          <w:p w:rsidR="00000000" w:rsidRDefault="00782BB1">
            <w:pPr>
              <w:jc w:val="center"/>
              <w:rPr>
                <w:b/>
                <w:sz w:val="18"/>
                <w:szCs w:val="22"/>
              </w:rPr>
            </w:pPr>
            <w:r>
              <w:rPr>
                <w:b/>
                <w:sz w:val="18"/>
                <w:szCs w:val="22"/>
              </w:rPr>
              <w:t>Frecuencia Relativa</w:t>
            </w:r>
          </w:p>
        </w:tc>
      </w:tr>
      <w:tr w:rsidR="00000000">
        <w:trPr>
          <w:trHeight w:val="239"/>
          <w:tblCellSpacing w:w="20" w:type="dxa"/>
          <w:jc w:val="center"/>
        </w:trPr>
        <w:tc>
          <w:tcPr>
            <w:tcW w:w="1394" w:type="dxa"/>
            <w:noWrap/>
            <w:vAlign w:val="center"/>
          </w:tcPr>
          <w:p w:rsidR="00000000" w:rsidRDefault="00782BB1">
            <w:pPr>
              <w:jc w:val="both"/>
              <w:rPr>
                <w:bCs/>
                <w:sz w:val="18"/>
                <w:szCs w:val="22"/>
              </w:rPr>
            </w:pPr>
            <w:r>
              <w:rPr>
                <w:bCs/>
                <w:sz w:val="18"/>
                <w:szCs w:val="22"/>
              </w:rPr>
              <w:t>Ninguna materia aprobada</w:t>
            </w:r>
          </w:p>
        </w:tc>
        <w:tc>
          <w:tcPr>
            <w:tcW w:w="1691" w:type="dxa"/>
            <w:vAlign w:val="center"/>
          </w:tcPr>
          <w:p w:rsidR="00000000" w:rsidRDefault="00782BB1">
            <w:pPr>
              <w:jc w:val="center"/>
              <w:rPr>
                <w:bCs/>
                <w:sz w:val="18"/>
                <w:szCs w:val="22"/>
              </w:rPr>
            </w:pPr>
            <w:r>
              <w:rPr>
                <w:bCs/>
                <w:sz w:val="18"/>
                <w:szCs w:val="22"/>
              </w:rPr>
              <w:t>0.10</w:t>
            </w:r>
          </w:p>
        </w:tc>
      </w:tr>
      <w:tr w:rsidR="00000000">
        <w:trPr>
          <w:trHeight w:val="135"/>
          <w:tblCellSpacing w:w="20" w:type="dxa"/>
          <w:jc w:val="center"/>
        </w:trPr>
        <w:tc>
          <w:tcPr>
            <w:tcW w:w="1394" w:type="dxa"/>
            <w:noWrap/>
            <w:vAlign w:val="bottom"/>
          </w:tcPr>
          <w:p w:rsidR="00000000" w:rsidRDefault="00782BB1">
            <w:pPr>
              <w:rPr>
                <w:sz w:val="18"/>
                <w:szCs w:val="22"/>
              </w:rPr>
            </w:pPr>
            <w:r>
              <w:rPr>
                <w:sz w:val="18"/>
                <w:szCs w:val="22"/>
              </w:rPr>
              <w:t>[6.0-6.5)</w:t>
            </w:r>
          </w:p>
        </w:tc>
        <w:tc>
          <w:tcPr>
            <w:tcW w:w="1691" w:type="dxa"/>
            <w:noWrap/>
            <w:vAlign w:val="bottom"/>
          </w:tcPr>
          <w:p w:rsidR="00000000" w:rsidRDefault="00782BB1">
            <w:pPr>
              <w:jc w:val="center"/>
              <w:rPr>
                <w:sz w:val="18"/>
                <w:szCs w:val="22"/>
              </w:rPr>
            </w:pPr>
            <w:r>
              <w:rPr>
                <w:sz w:val="18"/>
                <w:szCs w:val="22"/>
              </w:rPr>
              <w:t>0.20</w:t>
            </w:r>
          </w:p>
        </w:tc>
      </w:tr>
      <w:tr w:rsidR="00000000">
        <w:trPr>
          <w:trHeight w:val="135"/>
          <w:tblCellSpacing w:w="20" w:type="dxa"/>
          <w:jc w:val="center"/>
        </w:trPr>
        <w:tc>
          <w:tcPr>
            <w:tcW w:w="1394" w:type="dxa"/>
            <w:noWrap/>
            <w:vAlign w:val="bottom"/>
          </w:tcPr>
          <w:p w:rsidR="00000000" w:rsidRDefault="00782BB1">
            <w:pPr>
              <w:rPr>
                <w:sz w:val="18"/>
                <w:szCs w:val="22"/>
              </w:rPr>
            </w:pPr>
            <w:r>
              <w:rPr>
                <w:sz w:val="18"/>
                <w:szCs w:val="22"/>
              </w:rPr>
              <w:t>[6.5-7.0)</w:t>
            </w:r>
          </w:p>
        </w:tc>
        <w:tc>
          <w:tcPr>
            <w:tcW w:w="1691" w:type="dxa"/>
            <w:noWrap/>
            <w:vAlign w:val="bottom"/>
          </w:tcPr>
          <w:p w:rsidR="00000000" w:rsidRDefault="00782BB1">
            <w:pPr>
              <w:jc w:val="center"/>
              <w:rPr>
                <w:sz w:val="18"/>
                <w:szCs w:val="22"/>
              </w:rPr>
            </w:pPr>
            <w:r>
              <w:rPr>
                <w:sz w:val="18"/>
                <w:szCs w:val="22"/>
              </w:rPr>
              <w:t>0.36</w:t>
            </w:r>
          </w:p>
        </w:tc>
      </w:tr>
      <w:tr w:rsidR="00000000">
        <w:trPr>
          <w:trHeight w:val="135"/>
          <w:tblCellSpacing w:w="20" w:type="dxa"/>
          <w:jc w:val="center"/>
        </w:trPr>
        <w:tc>
          <w:tcPr>
            <w:tcW w:w="1394" w:type="dxa"/>
            <w:noWrap/>
            <w:vAlign w:val="bottom"/>
          </w:tcPr>
          <w:p w:rsidR="00000000" w:rsidRDefault="00782BB1">
            <w:pPr>
              <w:rPr>
                <w:sz w:val="18"/>
                <w:szCs w:val="22"/>
              </w:rPr>
            </w:pPr>
            <w:r>
              <w:rPr>
                <w:sz w:val="18"/>
                <w:szCs w:val="22"/>
              </w:rPr>
              <w:t>[7.0-7.5)</w:t>
            </w:r>
          </w:p>
        </w:tc>
        <w:tc>
          <w:tcPr>
            <w:tcW w:w="1691" w:type="dxa"/>
            <w:noWrap/>
            <w:vAlign w:val="bottom"/>
          </w:tcPr>
          <w:p w:rsidR="00000000" w:rsidRDefault="00782BB1">
            <w:pPr>
              <w:jc w:val="center"/>
              <w:rPr>
                <w:sz w:val="18"/>
                <w:szCs w:val="22"/>
              </w:rPr>
            </w:pPr>
            <w:r>
              <w:rPr>
                <w:sz w:val="18"/>
                <w:szCs w:val="22"/>
              </w:rPr>
              <w:t>0.23</w:t>
            </w:r>
          </w:p>
        </w:tc>
      </w:tr>
      <w:tr w:rsidR="00000000">
        <w:trPr>
          <w:trHeight w:val="135"/>
          <w:tblCellSpacing w:w="20" w:type="dxa"/>
          <w:jc w:val="center"/>
        </w:trPr>
        <w:tc>
          <w:tcPr>
            <w:tcW w:w="1394" w:type="dxa"/>
            <w:noWrap/>
            <w:vAlign w:val="bottom"/>
          </w:tcPr>
          <w:p w:rsidR="00000000" w:rsidRDefault="00782BB1">
            <w:pPr>
              <w:rPr>
                <w:sz w:val="18"/>
                <w:szCs w:val="22"/>
              </w:rPr>
            </w:pPr>
            <w:r>
              <w:rPr>
                <w:sz w:val="18"/>
                <w:szCs w:val="22"/>
              </w:rPr>
              <w:t>[7.5-8.0)</w:t>
            </w:r>
          </w:p>
        </w:tc>
        <w:tc>
          <w:tcPr>
            <w:tcW w:w="1691" w:type="dxa"/>
            <w:noWrap/>
            <w:vAlign w:val="bottom"/>
          </w:tcPr>
          <w:p w:rsidR="00000000" w:rsidRDefault="00782BB1">
            <w:pPr>
              <w:jc w:val="center"/>
              <w:rPr>
                <w:sz w:val="18"/>
                <w:szCs w:val="22"/>
              </w:rPr>
            </w:pPr>
            <w:r>
              <w:rPr>
                <w:sz w:val="18"/>
                <w:szCs w:val="22"/>
              </w:rPr>
              <w:t>0.06</w:t>
            </w:r>
          </w:p>
        </w:tc>
      </w:tr>
      <w:tr w:rsidR="00000000">
        <w:trPr>
          <w:trHeight w:val="233"/>
          <w:tblCellSpacing w:w="20" w:type="dxa"/>
          <w:jc w:val="center"/>
        </w:trPr>
        <w:tc>
          <w:tcPr>
            <w:tcW w:w="1394" w:type="dxa"/>
            <w:noWrap/>
            <w:vAlign w:val="bottom"/>
          </w:tcPr>
          <w:p w:rsidR="00000000" w:rsidRDefault="00782BB1">
            <w:pPr>
              <w:rPr>
                <w:sz w:val="18"/>
                <w:szCs w:val="22"/>
              </w:rPr>
            </w:pPr>
            <w:r>
              <w:rPr>
                <w:sz w:val="18"/>
                <w:szCs w:val="22"/>
              </w:rPr>
              <w:t>[8.0-8.5)</w:t>
            </w:r>
          </w:p>
        </w:tc>
        <w:tc>
          <w:tcPr>
            <w:tcW w:w="1691" w:type="dxa"/>
            <w:noWrap/>
            <w:vAlign w:val="bottom"/>
          </w:tcPr>
          <w:p w:rsidR="00000000" w:rsidRDefault="00782BB1">
            <w:pPr>
              <w:jc w:val="center"/>
              <w:rPr>
                <w:sz w:val="18"/>
                <w:szCs w:val="22"/>
              </w:rPr>
            </w:pPr>
            <w:r>
              <w:rPr>
                <w:sz w:val="18"/>
                <w:szCs w:val="22"/>
              </w:rPr>
              <w:t>0.02</w:t>
            </w:r>
          </w:p>
        </w:tc>
      </w:tr>
      <w:tr w:rsidR="00000000">
        <w:trPr>
          <w:trHeight w:val="224"/>
          <w:tblCellSpacing w:w="20" w:type="dxa"/>
          <w:jc w:val="center"/>
        </w:trPr>
        <w:tc>
          <w:tcPr>
            <w:tcW w:w="1394" w:type="dxa"/>
            <w:noWrap/>
            <w:vAlign w:val="bottom"/>
          </w:tcPr>
          <w:p w:rsidR="00000000" w:rsidRDefault="00782BB1">
            <w:pPr>
              <w:rPr>
                <w:sz w:val="18"/>
                <w:szCs w:val="22"/>
              </w:rPr>
            </w:pPr>
            <w:r>
              <w:rPr>
                <w:sz w:val="18"/>
                <w:szCs w:val="22"/>
              </w:rPr>
              <w:t>[8.5-9.0)</w:t>
            </w:r>
          </w:p>
        </w:tc>
        <w:tc>
          <w:tcPr>
            <w:tcW w:w="1691" w:type="dxa"/>
            <w:noWrap/>
            <w:vAlign w:val="bottom"/>
          </w:tcPr>
          <w:p w:rsidR="00000000" w:rsidRDefault="00782BB1">
            <w:pPr>
              <w:jc w:val="center"/>
              <w:rPr>
                <w:sz w:val="18"/>
                <w:szCs w:val="22"/>
              </w:rPr>
            </w:pPr>
            <w:r>
              <w:rPr>
                <w:sz w:val="18"/>
                <w:szCs w:val="22"/>
              </w:rPr>
              <w:t>0.02</w:t>
            </w:r>
          </w:p>
        </w:tc>
      </w:tr>
      <w:tr w:rsidR="00000000">
        <w:trPr>
          <w:trHeight w:val="218"/>
          <w:tblCellSpacing w:w="20" w:type="dxa"/>
          <w:jc w:val="center"/>
        </w:trPr>
        <w:tc>
          <w:tcPr>
            <w:tcW w:w="1394" w:type="dxa"/>
            <w:noWrap/>
            <w:vAlign w:val="bottom"/>
          </w:tcPr>
          <w:p w:rsidR="00000000" w:rsidRDefault="00782BB1">
            <w:pPr>
              <w:rPr>
                <w:b/>
                <w:sz w:val="18"/>
                <w:szCs w:val="22"/>
              </w:rPr>
            </w:pPr>
            <w:r>
              <w:rPr>
                <w:b/>
                <w:sz w:val="18"/>
                <w:szCs w:val="22"/>
              </w:rPr>
              <w:t>Total</w:t>
            </w:r>
          </w:p>
        </w:tc>
        <w:tc>
          <w:tcPr>
            <w:tcW w:w="1691" w:type="dxa"/>
            <w:noWrap/>
            <w:vAlign w:val="bottom"/>
          </w:tcPr>
          <w:p w:rsidR="00000000" w:rsidRDefault="00782BB1">
            <w:pPr>
              <w:jc w:val="center"/>
              <w:rPr>
                <w:b/>
                <w:sz w:val="18"/>
                <w:szCs w:val="22"/>
              </w:rPr>
            </w:pPr>
            <w:r>
              <w:rPr>
                <w:b/>
                <w:sz w:val="18"/>
                <w:szCs w:val="22"/>
              </w:rPr>
              <w:t>1.00</w:t>
            </w:r>
          </w:p>
        </w:tc>
      </w:tr>
    </w:tbl>
    <w:p w:rsidR="00000000" w:rsidRDefault="00782BB1">
      <w:pPr>
        <w:jc w:val="both"/>
        <w:rPr>
          <w:sz w:val="18"/>
        </w:rPr>
      </w:pPr>
    </w:p>
    <w:p w:rsidR="00000000" w:rsidRDefault="00782BB1">
      <w:pPr>
        <w:jc w:val="both"/>
        <w:rPr>
          <w:sz w:val="18"/>
        </w:rPr>
      </w:pPr>
    </w:p>
    <w:p w:rsidR="00000000" w:rsidRDefault="00782BB1">
      <w:pPr>
        <w:jc w:val="both"/>
        <w:rPr>
          <w:sz w:val="18"/>
        </w:rPr>
      </w:pPr>
    </w:p>
    <w:p w:rsidR="00000000" w:rsidRDefault="00782BB1">
      <w:pPr>
        <w:jc w:val="both"/>
        <w:rPr>
          <w:sz w:val="18"/>
        </w:rPr>
      </w:pPr>
      <w:r>
        <w:rPr>
          <w:sz w:val="18"/>
        </w:rPr>
        <w:t>En el Cuadro IV se presentan las estimaciones de los parámetros correspondientes al Promedio de notas en la ESPOL de los entrevistados: el promedio estimado es</w:t>
      </w:r>
      <w:r>
        <w:rPr>
          <w:sz w:val="18"/>
        </w:rPr>
        <w:t xml:space="preserve"> 6.20 ± 0.16, mismos que varían entre 0 y 9.11 donde se observa un rango estimado de 9.10. El estimador de la desviación estándar es 2.5640.  </w:t>
      </w:r>
    </w:p>
    <w:p w:rsidR="00000000" w:rsidRDefault="00782BB1">
      <w:pPr>
        <w:jc w:val="both"/>
        <w:rPr>
          <w:sz w:val="18"/>
        </w:rPr>
      </w:pPr>
      <w:r>
        <w:rPr>
          <w:sz w:val="18"/>
        </w:rPr>
        <w:t>El estimador del sesgo es de -1.841, es decir que la mayor concentración de datos está a la derecha de la media.</w:t>
      </w:r>
    </w:p>
    <w:p w:rsidR="00000000" w:rsidRDefault="00782BB1">
      <w:pPr>
        <w:jc w:val="both"/>
        <w:rPr>
          <w:sz w:val="18"/>
        </w:rPr>
      </w:pPr>
    </w:p>
    <w:p w:rsidR="00000000" w:rsidRDefault="00782BB1">
      <w:pPr>
        <w:jc w:val="both"/>
        <w:rPr>
          <w:sz w:val="18"/>
        </w:rPr>
      </w:pPr>
    </w:p>
    <w:p w:rsidR="00000000" w:rsidRDefault="00782BB1">
      <w:pPr>
        <w:jc w:val="both"/>
        <w:rPr>
          <w:sz w:val="18"/>
        </w:rPr>
      </w:pPr>
    </w:p>
    <w:p w:rsidR="00000000" w:rsidRDefault="00782BB1">
      <w:pPr>
        <w:jc w:val="both"/>
        <w:rPr>
          <w:sz w:val="18"/>
        </w:rPr>
      </w:pPr>
    </w:p>
    <w:tbl>
      <w:tblPr>
        <w:tblW w:w="0" w:type="auto"/>
        <w:jc w:val="center"/>
        <w:tblCellSpacing w:w="20" w:type="dxa"/>
        <w:tblInd w:w="-228"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Look w:val="01E0"/>
      </w:tblPr>
      <w:tblGrid>
        <w:gridCol w:w="1859"/>
        <w:gridCol w:w="1457"/>
      </w:tblGrid>
      <w:tr w:rsidR="00000000">
        <w:trPr>
          <w:tblCellSpacing w:w="20" w:type="dxa"/>
          <w:jc w:val="center"/>
        </w:trPr>
        <w:tc>
          <w:tcPr>
            <w:tcW w:w="3236" w:type="dxa"/>
            <w:gridSpan w:val="2"/>
          </w:tcPr>
          <w:p w:rsidR="00000000" w:rsidRDefault="00782BB1">
            <w:pPr>
              <w:jc w:val="center"/>
              <w:rPr>
                <w:i/>
                <w:sz w:val="18"/>
                <w:szCs w:val="16"/>
              </w:rPr>
            </w:pPr>
            <w:r>
              <w:rPr>
                <w:b/>
                <w:sz w:val="18"/>
                <w:szCs w:val="22"/>
              </w:rPr>
              <w:lastRenderedPageBreak/>
              <w:t>Cuadro IV</w:t>
            </w:r>
          </w:p>
          <w:p w:rsidR="00000000" w:rsidRDefault="00782BB1">
            <w:pPr>
              <w:jc w:val="center"/>
              <w:rPr>
                <w:sz w:val="18"/>
                <w:szCs w:val="20"/>
              </w:rPr>
            </w:pPr>
            <w:r>
              <w:rPr>
                <w:b/>
                <w:bCs/>
                <w:sz w:val="18"/>
                <w:szCs w:val="20"/>
              </w:rPr>
              <w:t>Estimadores Poblacionales de “Promedio en la ESPOL”</w:t>
            </w:r>
            <w:r>
              <w:rPr>
                <w:b/>
                <w:sz w:val="18"/>
                <w:szCs w:val="20"/>
              </w:rPr>
              <w:t xml:space="preserve"> </w:t>
            </w:r>
          </w:p>
        </w:tc>
      </w:tr>
      <w:tr w:rsidR="00000000">
        <w:trPr>
          <w:tblCellSpacing w:w="20" w:type="dxa"/>
          <w:jc w:val="center"/>
        </w:trPr>
        <w:tc>
          <w:tcPr>
            <w:tcW w:w="1799" w:type="dxa"/>
          </w:tcPr>
          <w:p w:rsidR="00000000" w:rsidRDefault="00782BB1">
            <w:pPr>
              <w:rPr>
                <w:sz w:val="18"/>
                <w:szCs w:val="20"/>
              </w:rPr>
            </w:pPr>
            <w:r>
              <w:rPr>
                <w:sz w:val="18"/>
                <w:szCs w:val="20"/>
              </w:rPr>
              <w:t>n</w:t>
            </w:r>
          </w:p>
        </w:tc>
        <w:tc>
          <w:tcPr>
            <w:tcW w:w="1397" w:type="dxa"/>
          </w:tcPr>
          <w:p w:rsidR="00000000" w:rsidRDefault="00782BB1">
            <w:pPr>
              <w:jc w:val="right"/>
              <w:rPr>
                <w:sz w:val="18"/>
                <w:szCs w:val="20"/>
              </w:rPr>
            </w:pPr>
            <w:r>
              <w:rPr>
                <w:sz w:val="18"/>
                <w:szCs w:val="20"/>
              </w:rPr>
              <w:t>171</w:t>
            </w:r>
          </w:p>
        </w:tc>
      </w:tr>
      <w:tr w:rsidR="00000000">
        <w:trPr>
          <w:tblCellSpacing w:w="20" w:type="dxa"/>
          <w:jc w:val="center"/>
        </w:trPr>
        <w:tc>
          <w:tcPr>
            <w:tcW w:w="1799" w:type="dxa"/>
          </w:tcPr>
          <w:p w:rsidR="00000000" w:rsidRDefault="00782BB1">
            <w:pPr>
              <w:rPr>
                <w:sz w:val="18"/>
                <w:szCs w:val="20"/>
              </w:rPr>
            </w:pPr>
            <w:r>
              <w:rPr>
                <w:sz w:val="18"/>
                <w:szCs w:val="20"/>
              </w:rPr>
              <w:t>Media</w:t>
            </w:r>
          </w:p>
        </w:tc>
        <w:tc>
          <w:tcPr>
            <w:tcW w:w="1397" w:type="dxa"/>
          </w:tcPr>
          <w:p w:rsidR="00000000" w:rsidRDefault="00782BB1">
            <w:pPr>
              <w:jc w:val="right"/>
              <w:rPr>
                <w:sz w:val="18"/>
                <w:szCs w:val="20"/>
              </w:rPr>
            </w:pPr>
            <w:r>
              <w:rPr>
                <w:sz w:val="18"/>
                <w:szCs w:val="20"/>
              </w:rPr>
              <w:t>6.20</w:t>
            </w:r>
          </w:p>
        </w:tc>
      </w:tr>
      <w:tr w:rsidR="00000000">
        <w:trPr>
          <w:tblCellSpacing w:w="20" w:type="dxa"/>
          <w:jc w:val="center"/>
        </w:trPr>
        <w:tc>
          <w:tcPr>
            <w:tcW w:w="1799" w:type="dxa"/>
          </w:tcPr>
          <w:p w:rsidR="00000000" w:rsidRDefault="00782BB1">
            <w:pPr>
              <w:rPr>
                <w:sz w:val="18"/>
                <w:szCs w:val="20"/>
              </w:rPr>
            </w:pPr>
            <w:r>
              <w:rPr>
                <w:sz w:val="18"/>
                <w:szCs w:val="20"/>
              </w:rPr>
              <w:t>Varianza</w:t>
            </w:r>
          </w:p>
        </w:tc>
        <w:tc>
          <w:tcPr>
            <w:tcW w:w="1397" w:type="dxa"/>
          </w:tcPr>
          <w:p w:rsidR="00000000" w:rsidRDefault="00782BB1">
            <w:pPr>
              <w:jc w:val="right"/>
              <w:rPr>
                <w:sz w:val="18"/>
                <w:szCs w:val="20"/>
              </w:rPr>
            </w:pPr>
            <w:r>
              <w:rPr>
                <w:sz w:val="18"/>
                <w:szCs w:val="20"/>
              </w:rPr>
              <w:t>4.59</w:t>
            </w:r>
          </w:p>
        </w:tc>
      </w:tr>
      <w:tr w:rsidR="00000000">
        <w:trPr>
          <w:tblCellSpacing w:w="20" w:type="dxa"/>
          <w:jc w:val="center"/>
        </w:trPr>
        <w:tc>
          <w:tcPr>
            <w:tcW w:w="1799" w:type="dxa"/>
          </w:tcPr>
          <w:p w:rsidR="00000000" w:rsidRDefault="00782BB1">
            <w:pPr>
              <w:rPr>
                <w:sz w:val="18"/>
                <w:szCs w:val="20"/>
              </w:rPr>
            </w:pPr>
            <w:r>
              <w:rPr>
                <w:sz w:val="18"/>
                <w:szCs w:val="20"/>
              </w:rPr>
              <w:t>Desviación Estándar</w:t>
            </w:r>
          </w:p>
        </w:tc>
        <w:tc>
          <w:tcPr>
            <w:tcW w:w="1397" w:type="dxa"/>
          </w:tcPr>
          <w:p w:rsidR="00000000" w:rsidRDefault="00782BB1">
            <w:pPr>
              <w:jc w:val="right"/>
              <w:rPr>
                <w:sz w:val="18"/>
                <w:szCs w:val="20"/>
              </w:rPr>
            </w:pPr>
            <w:r>
              <w:rPr>
                <w:sz w:val="18"/>
                <w:szCs w:val="20"/>
              </w:rPr>
              <w:t>2.14</w:t>
            </w:r>
          </w:p>
        </w:tc>
      </w:tr>
      <w:tr w:rsidR="00000000">
        <w:trPr>
          <w:tblCellSpacing w:w="20" w:type="dxa"/>
          <w:jc w:val="center"/>
        </w:trPr>
        <w:tc>
          <w:tcPr>
            <w:tcW w:w="1799" w:type="dxa"/>
          </w:tcPr>
          <w:p w:rsidR="00000000" w:rsidRDefault="00782BB1">
            <w:pPr>
              <w:rPr>
                <w:sz w:val="18"/>
                <w:szCs w:val="20"/>
              </w:rPr>
            </w:pPr>
            <w:r>
              <w:rPr>
                <w:sz w:val="18"/>
                <w:szCs w:val="20"/>
              </w:rPr>
              <w:t>Error Estándar</w:t>
            </w:r>
          </w:p>
        </w:tc>
        <w:tc>
          <w:tcPr>
            <w:tcW w:w="1397" w:type="dxa"/>
          </w:tcPr>
          <w:p w:rsidR="00000000" w:rsidRDefault="00782BB1">
            <w:pPr>
              <w:jc w:val="right"/>
              <w:rPr>
                <w:sz w:val="18"/>
                <w:szCs w:val="20"/>
              </w:rPr>
            </w:pPr>
            <w:r>
              <w:rPr>
                <w:sz w:val="18"/>
                <w:szCs w:val="20"/>
              </w:rPr>
              <w:t>0.16</w:t>
            </w:r>
          </w:p>
        </w:tc>
      </w:tr>
      <w:tr w:rsidR="00000000">
        <w:trPr>
          <w:tblCellSpacing w:w="20" w:type="dxa"/>
          <w:jc w:val="center"/>
        </w:trPr>
        <w:tc>
          <w:tcPr>
            <w:tcW w:w="1799" w:type="dxa"/>
          </w:tcPr>
          <w:p w:rsidR="00000000" w:rsidRDefault="00782BB1">
            <w:pPr>
              <w:rPr>
                <w:sz w:val="18"/>
                <w:szCs w:val="20"/>
              </w:rPr>
            </w:pPr>
            <w:r>
              <w:rPr>
                <w:sz w:val="18"/>
                <w:szCs w:val="20"/>
              </w:rPr>
              <w:t>Sesgo</w:t>
            </w:r>
          </w:p>
        </w:tc>
        <w:tc>
          <w:tcPr>
            <w:tcW w:w="1397" w:type="dxa"/>
          </w:tcPr>
          <w:p w:rsidR="00000000" w:rsidRDefault="00782BB1">
            <w:pPr>
              <w:jc w:val="right"/>
              <w:rPr>
                <w:sz w:val="18"/>
                <w:szCs w:val="20"/>
              </w:rPr>
            </w:pPr>
            <w:r>
              <w:rPr>
                <w:sz w:val="18"/>
                <w:szCs w:val="20"/>
              </w:rPr>
              <w:t>-2.34</w:t>
            </w:r>
          </w:p>
        </w:tc>
      </w:tr>
      <w:tr w:rsidR="00000000">
        <w:trPr>
          <w:tblCellSpacing w:w="20" w:type="dxa"/>
          <w:jc w:val="center"/>
        </w:trPr>
        <w:tc>
          <w:tcPr>
            <w:tcW w:w="1799" w:type="dxa"/>
          </w:tcPr>
          <w:p w:rsidR="00000000" w:rsidRDefault="00782BB1">
            <w:pPr>
              <w:rPr>
                <w:sz w:val="18"/>
                <w:szCs w:val="20"/>
              </w:rPr>
            </w:pPr>
            <w:r>
              <w:rPr>
                <w:sz w:val="18"/>
                <w:szCs w:val="20"/>
              </w:rPr>
              <w:t>Curtosis</w:t>
            </w:r>
          </w:p>
        </w:tc>
        <w:tc>
          <w:tcPr>
            <w:tcW w:w="1397" w:type="dxa"/>
          </w:tcPr>
          <w:p w:rsidR="00000000" w:rsidRDefault="00782BB1">
            <w:pPr>
              <w:jc w:val="right"/>
              <w:rPr>
                <w:sz w:val="18"/>
                <w:szCs w:val="20"/>
              </w:rPr>
            </w:pPr>
            <w:r>
              <w:rPr>
                <w:sz w:val="18"/>
                <w:szCs w:val="20"/>
              </w:rPr>
              <w:t>4.32</w:t>
            </w:r>
          </w:p>
        </w:tc>
      </w:tr>
    </w:tbl>
    <w:p w:rsidR="00000000" w:rsidRDefault="00782BB1">
      <w:pPr>
        <w:jc w:val="both"/>
        <w:rPr>
          <w:sz w:val="18"/>
        </w:rPr>
      </w:pPr>
    </w:p>
    <w:p w:rsidR="00000000" w:rsidRDefault="00782BB1">
      <w:pPr>
        <w:jc w:val="both"/>
        <w:rPr>
          <w:sz w:val="18"/>
        </w:rPr>
      </w:pPr>
    </w:p>
    <w:p w:rsidR="00000000" w:rsidRDefault="00782BB1">
      <w:pPr>
        <w:jc w:val="both"/>
        <w:rPr>
          <w:sz w:val="18"/>
        </w:rPr>
      </w:pPr>
      <w:r>
        <w:rPr>
          <w:sz w:val="18"/>
        </w:rPr>
        <w:t>Mediante la Prueba de Kolmogorov-Smirnov, se demostrará que la función de den</w:t>
      </w:r>
      <w:r>
        <w:rPr>
          <w:sz w:val="18"/>
        </w:rPr>
        <w:t>sidad de esta variable no puede ser modelada como una normal.</w:t>
      </w:r>
    </w:p>
    <w:p w:rsidR="00000000" w:rsidRDefault="00782BB1">
      <w:pPr>
        <w:jc w:val="both"/>
        <w:rPr>
          <w:sz w:val="18"/>
        </w:rPr>
      </w:pPr>
    </w:p>
    <w:p w:rsidR="00000000" w:rsidRDefault="00782BB1">
      <w:pPr>
        <w:jc w:val="both"/>
        <w:rPr>
          <w:sz w:val="18"/>
        </w:rPr>
      </w:pPr>
    </w:p>
    <w:tbl>
      <w:tblPr>
        <w:tblW w:w="0" w:type="auto"/>
        <w:tblCellSpacing w:w="20" w:type="dxa"/>
        <w:tblInd w:w="305"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Look w:val="01E0"/>
      </w:tblPr>
      <w:tblGrid>
        <w:gridCol w:w="3686"/>
      </w:tblGrid>
      <w:tr w:rsidR="00000000">
        <w:trPr>
          <w:tblCellSpacing w:w="20" w:type="dxa"/>
        </w:trPr>
        <w:tc>
          <w:tcPr>
            <w:tcW w:w="3606" w:type="dxa"/>
          </w:tcPr>
          <w:p w:rsidR="00000000" w:rsidRDefault="00782BB1">
            <w:pPr>
              <w:jc w:val="center"/>
              <w:rPr>
                <w:b/>
                <w:sz w:val="18"/>
                <w:szCs w:val="22"/>
              </w:rPr>
            </w:pPr>
            <w:r>
              <w:rPr>
                <w:b/>
                <w:sz w:val="18"/>
                <w:szCs w:val="22"/>
              </w:rPr>
              <w:t>Cuadro V</w:t>
            </w:r>
          </w:p>
          <w:p w:rsidR="00000000" w:rsidRDefault="00782BB1">
            <w:pPr>
              <w:jc w:val="center"/>
              <w:rPr>
                <w:b/>
                <w:sz w:val="18"/>
                <w:szCs w:val="20"/>
              </w:rPr>
            </w:pPr>
            <w:r>
              <w:rPr>
                <w:b/>
                <w:bCs/>
                <w:sz w:val="18"/>
                <w:szCs w:val="20"/>
              </w:rPr>
              <w:t>Prueba de Bondad de Ajuste, Kolmogorov-Smirnov: Promedio en la ESPOL</w:t>
            </w:r>
          </w:p>
        </w:tc>
      </w:tr>
      <w:tr w:rsidR="00000000">
        <w:trPr>
          <w:trHeight w:val="1032"/>
          <w:tblCellSpacing w:w="20" w:type="dxa"/>
        </w:trPr>
        <w:tc>
          <w:tcPr>
            <w:tcW w:w="3606" w:type="dxa"/>
          </w:tcPr>
          <w:p w:rsidR="00000000" w:rsidRDefault="00782BB1">
            <w:pPr>
              <w:jc w:val="center"/>
              <w:rPr>
                <w:sz w:val="18"/>
                <w:szCs w:val="20"/>
              </w:rPr>
            </w:pPr>
            <w:r>
              <w:rPr>
                <w:b/>
                <w:sz w:val="18"/>
                <w:szCs w:val="20"/>
              </w:rPr>
              <w:t>H</w:t>
            </w:r>
            <w:r>
              <w:rPr>
                <w:b/>
                <w:sz w:val="18"/>
                <w:szCs w:val="20"/>
                <w:vertAlign w:val="subscript"/>
              </w:rPr>
              <w:t>0</w:t>
            </w:r>
            <w:r>
              <w:rPr>
                <w:b/>
                <w:sz w:val="18"/>
                <w:szCs w:val="20"/>
              </w:rPr>
              <w:t>:</w:t>
            </w:r>
            <w:r>
              <w:rPr>
                <w:b/>
                <w:sz w:val="18"/>
              </w:rPr>
              <w:t xml:space="preserve"> </w:t>
            </w:r>
            <w:r>
              <w:rPr>
                <w:sz w:val="18"/>
                <w:szCs w:val="20"/>
              </w:rPr>
              <w:t>El promedio de notas de los entrevistados tiene una distribución  N(6.20, 4.59)</w:t>
            </w:r>
          </w:p>
          <w:p w:rsidR="00000000" w:rsidRDefault="00782BB1">
            <w:pPr>
              <w:jc w:val="center"/>
              <w:rPr>
                <w:b/>
                <w:sz w:val="18"/>
                <w:szCs w:val="20"/>
              </w:rPr>
            </w:pPr>
            <w:r>
              <w:rPr>
                <w:b/>
                <w:sz w:val="18"/>
                <w:szCs w:val="20"/>
              </w:rPr>
              <w:t>vs.</w:t>
            </w:r>
          </w:p>
          <w:p w:rsidR="00000000" w:rsidRDefault="00782BB1">
            <w:pPr>
              <w:jc w:val="center"/>
              <w:rPr>
                <w:sz w:val="18"/>
                <w:szCs w:val="20"/>
              </w:rPr>
            </w:pPr>
            <w:r>
              <w:rPr>
                <w:b/>
                <w:sz w:val="18"/>
                <w:szCs w:val="20"/>
              </w:rPr>
              <w:t>H</w:t>
            </w:r>
            <w:r>
              <w:rPr>
                <w:b/>
                <w:sz w:val="18"/>
                <w:szCs w:val="20"/>
                <w:vertAlign w:val="subscript"/>
              </w:rPr>
              <w:t>1</w:t>
            </w:r>
            <w:r>
              <w:rPr>
                <w:b/>
                <w:sz w:val="18"/>
                <w:szCs w:val="20"/>
              </w:rPr>
              <w:t>:</w:t>
            </w:r>
            <w:r>
              <w:rPr>
                <w:sz w:val="18"/>
                <w:szCs w:val="20"/>
              </w:rPr>
              <w:t xml:space="preserve"> No es verdad H</w:t>
            </w:r>
            <w:r>
              <w:rPr>
                <w:sz w:val="18"/>
                <w:szCs w:val="20"/>
                <w:vertAlign w:val="subscript"/>
              </w:rPr>
              <w:t>0</w:t>
            </w:r>
          </w:p>
          <w:p w:rsidR="00000000" w:rsidRDefault="00782BB1">
            <w:pPr>
              <w:jc w:val="center"/>
              <w:rPr>
                <w:b/>
                <w:sz w:val="18"/>
              </w:rPr>
            </w:pPr>
            <w:r>
              <w:rPr>
                <w:sz w:val="18"/>
                <w:szCs w:val="20"/>
              </w:rPr>
              <w:t>Valor</w:t>
            </w:r>
            <w:r>
              <w:rPr>
                <w:sz w:val="18"/>
                <w:szCs w:val="20"/>
              </w:rPr>
              <w:t xml:space="preserve"> p = 0.000</w:t>
            </w:r>
          </w:p>
        </w:tc>
      </w:tr>
    </w:tbl>
    <w:p w:rsidR="00000000" w:rsidRDefault="00782BB1">
      <w:pPr>
        <w:jc w:val="both"/>
        <w:rPr>
          <w:sz w:val="18"/>
        </w:rPr>
      </w:pPr>
    </w:p>
    <w:p w:rsidR="00000000" w:rsidRDefault="00782BB1">
      <w:pPr>
        <w:jc w:val="both"/>
        <w:rPr>
          <w:sz w:val="18"/>
        </w:rPr>
      </w:pPr>
    </w:p>
    <w:p w:rsidR="00000000" w:rsidRDefault="00782BB1">
      <w:pPr>
        <w:jc w:val="both"/>
        <w:rPr>
          <w:sz w:val="18"/>
        </w:rPr>
      </w:pPr>
      <w:r>
        <w:rPr>
          <w:sz w:val="18"/>
        </w:rPr>
        <w:t>Según los resultados obtenidos mediante la prueba de bondad de ajuste, podemos decir que existe evidencia estadística par rechazar la hipótesis nula, es decir que la distribución de las edades no sigue una distribución normal con media 6.20 y</w:t>
      </w:r>
      <w:r>
        <w:rPr>
          <w:sz w:val="18"/>
        </w:rPr>
        <w:t xml:space="preserve"> desviación estándar 4.59.</w:t>
      </w:r>
    </w:p>
    <w:p w:rsidR="00000000" w:rsidRDefault="00782BB1">
      <w:pPr>
        <w:jc w:val="both"/>
        <w:rPr>
          <w:sz w:val="18"/>
        </w:rPr>
      </w:pPr>
    </w:p>
    <w:p w:rsidR="00000000" w:rsidRDefault="00782BB1">
      <w:pPr>
        <w:jc w:val="both"/>
        <w:rPr>
          <w:sz w:val="18"/>
        </w:rPr>
      </w:pPr>
    </w:p>
    <w:p w:rsidR="00000000" w:rsidRDefault="00782BB1">
      <w:pPr>
        <w:jc w:val="both"/>
        <w:rPr>
          <w:sz w:val="18"/>
        </w:rPr>
      </w:pPr>
      <w:r>
        <w:rPr>
          <w:i/>
          <w:iCs/>
          <w:sz w:val="18"/>
        </w:rPr>
        <w:t>Número de Materias Tomadas en la ESPOL.-</w:t>
      </w:r>
      <w:r>
        <w:rPr>
          <w:sz w:val="18"/>
        </w:rPr>
        <w:t xml:space="preserve"> De los entrevistados, el 37%, han tomado menos de 10 materias;  el   34%, 10  materias o más y  menos de 15 , el 23%  tomaron un número de materias mayor o igual a 15 y  menor que 20, y </w:t>
      </w:r>
      <w:r>
        <w:rPr>
          <w:sz w:val="18"/>
        </w:rPr>
        <w:t>el 6% cursaron más de 20 materias. Cifras presentadas Tabla III.</w:t>
      </w:r>
    </w:p>
    <w:p w:rsidR="00000000" w:rsidRDefault="00782BB1">
      <w:pPr>
        <w:jc w:val="both"/>
        <w:rPr>
          <w:sz w:val="18"/>
        </w:rPr>
      </w:pPr>
    </w:p>
    <w:p w:rsidR="00000000" w:rsidRDefault="00782BB1">
      <w:pPr>
        <w:jc w:val="both"/>
        <w:rPr>
          <w:sz w:val="18"/>
        </w:rPr>
      </w:pPr>
    </w:p>
    <w:tbl>
      <w:tblPr>
        <w:tblW w:w="3460" w:type="dxa"/>
        <w:jc w:val="center"/>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70" w:type="dxa"/>
          <w:right w:w="70" w:type="dxa"/>
        </w:tblCellMar>
        <w:tblLook w:val="0000"/>
      </w:tblPr>
      <w:tblGrid>
        <w:gridCol w:w="1946"/>
        <w:gridCol w:w="1574"/>
      </w:tblGrid>
      <w:tr w:rsidR="00000000">
        <w:trPr>
          <w:trHeight w:val="255"/>
          <w:tblCellSpacing w:w="20" w:type="dxa"/>
          <w:jc w:val="center"/>
        </w:trPr>
        <w:tc>
          <w:tcPr>
            <w:tcW w:w="3380" w:type="dxa"/>
            <w:gridSpan w:val="2"/>
            <w:noWrap/>
            <w:vAlign w:val="bottom"/>
          </w:tcPr>
          <w:p w:rsidR="00000000" w:rsidRDefault="00782BB1">
            <w:pPr>
              <w:jc w:val="center"/>
              <w:rPr>
                <w:b/>
                <w:sz w:val="18"/>
                <w:szCs w:val="22"/>
              </w:rPr>
            </w:pPr>
            <w:r>
              <w:rPr>
                <w:b/>
                <w:sz w:val="18"/>
                <w:szCs w:val="22"/>
              </w:rPr>
              <w:t>Tabla III</w:t>
            </w:r>
          </w:p>
          <w:p w:rsidR="00000000" w:rsidRDefault="00782BB1">
            <w:pPr>
              <w:jc w:val="center"/>
              <w:rPr>
                <w:sz w:val="18"/>
                <w:szCs w:val="20"/>
              </w:rPr>
            </w:pPr>
            <w:r>
              <w:rPr>
                <w:b/>
                <w:bCs/>
                <w:sz w:val="18"/>
                <w:szCs w:val="20"/>
              </w:rPr>
              <w:t>Distribución de Frecuencias Número de materias tomadas</w:t>
            </w:r>
          </w:p>
        </w:tc>
      </w:tr>
      <w:tr w:rsidR="00000000">
        <w:trPr>
          <w:trHeight w:val="393"/>
          <w:tblCellSpacing w:w="20" w:type="dxa"/>
          <w:jc w:val="center"/>
        </w:trPr>
        <w:tc>
          <w:tcPr>
            <w:tcW w:w="1856" w:type="dxa"/>
            <w:noWrap/>
            <w:vAlign w:val="center"/>
          </w:tcPr>
          <w:p w:rsidR="00000000" w:rsidRDefault="00782BB1">
            <w:pPr>
              <w:jc w:val="center"/>
              <w:rPr>
                <w:b/>
                <w:sz w:val="18"/>
                <w:szCs w:val="22"/>
              </w:rPr>
            </w:pPr>
            <w:r>
              <w:rPr>
                <w:b/>
                <w:sz w:val="18"/>
                <w:szCs w:val="22"/>
              </w:rPr>
              <w:t>Número de materias tomadas</w:t>
            </w:r>
          </w:p>
        </w:tc>
        <w:tc>
          <w:tcPr>
            <w:tcW w:w="1484" w:type="dxa"/>
            <w:vAlign w:val="center"/>
          </w:tcPr>
          <w:p w:rsidR="00000000" w:rsidRDefault="00782BB1">
            <w:pPr>
              <w:jc w:val="center"/>
              <w:rPr>
                <w:b/>
                <w:sz w:val="18"/>
                <w:szCs w:val="22"/>
              </w:rPr>
            </w:pPr>
            <w:r>
              <w:rPr>
                <w:b/>
                <w:sz w:val="18"/>
                <w:szCs w:val="22"/>
              </w:rPr>
              <w:t>Frecuencia Relativa</w:t>
            </w:r>
          </w:p>
        </w:tc>
      </w:tr>
      <w:tr w:rsidR="00000000">
        <w:trPr>
          <w:trHeight w:val="218"/>
          <w:tblCellSpacing w:w="20" w:type="dxa"/>
          <w:jc w:val="center"/>
        </w:trPr>
        <w:tc>
          <w:tcPr>
            <w:tcW w:w="1856" w:type="dxa"/>
            <w:noWrap/>
            <w:vAlign w:val="bottom"/>
          </w:tcPr>
          <w:p w:rsidR="00000000" w:rsidRDefault="00782BB1">
            <w:pPr>
              <w:rPr>
                <w:sz w:val="18"/>
                <w:szCs w:val="22"/>
              </w:rPr>
            </w:pPr>
            <w:r>
              <w:rPr>
                <w:sz w:val="18"/>
                <w:szCs w:val="22"/>
              </w:rPr>
              <w:t>Menos de 10</w:t>
            </w:r>
          </w:p>
        </w:tc>
        <w:tc>
          <w:tcPr>
            <w:tcW w:w="1484" w:type="dxa"/>
            <w:noWrap/>
            <w:vAlign w:val="bottom"/>
          </w:tcPr>
          <w:p w:rsidR="00000000" w:rsidRDefault="00782BB1">
            <w:pPr>
              <w:jc w:val="center"/>
              <w:rPr>
                <w:sz w:val="18"/>
                <w:szCs w:val="22"/>
              </w:rPr>
            </w:pPr>
            <w:r>
              <w:rPr>
                <w:sz w:val="18"/>
                <w:szCs w:val="22"/>
              </w:rPr>
              <w:t>0.37</w:t>
            </w:r>
          </w:p>
        </w:tc>
      </w:tr>
      <w:tr w:rsidR="00000000">
        <w:trPr>
          <w:trHeight w:val="207"/>
          <w:tblCellSpacing w:w="20" w:type="dxa"/>
          <w:jc w:val="center"/>
        </w:trPr>
        <w:tc>
          <w:tcPr>
            <w:tcW w:w="1856" w:type="dxa"/>
            <w:noWrap/>
            <w:vAlign w:val="bottom"/>
          </w:tcPr>
          <w:p w:rsidR="00000000" w:rsidRDefault="00782BB1">
            <w:pPr>
              <w:rPr>
                <w:sz w:val="18"/>
                <w:szCs w:val="22"/>
              </w:rPr>
            </w:pPr>
            <w:r>
              <w:rPr>
                <w:sz w:val="18"/>
                <w:szCs w:val="22"/>
              </w:rPr>
              <w:t>[10-15)</w:t>
            </w:r>
          </w:p>
        </w:tc>
        <w:tc>
          <w:tcPr>
            <w:tcW w:w="1484" w:type="dxa"/>
            <w:noWrap/>
            <w:vAlign w:val="bottom"/>
          </w:tcPr>
          <w:p w:rsidR="00000000" w:rsidRDefault="00782BB1">
            <w:pPr>
              <w:jc w:val="center"/>
              <w:rPr>
                <w:sz w:val="18"/>
                <w:szCs w:val="22"/>
              </w:rPr>
            </w:pPr>
            <w:r>
              <w:rPr>
                <w:sz w:val="18"/>
                <w:szCs w:val="22"/>
              </w:rPr>
              <w:t>0.34</w:t>
            </w:r>
          </w:p>
        </w:tc>
      </w:tr>
      <w:tr w:rsidR="00000000">
        <w:trPr>
          <w:trHeight w:val="212"/>
          <w:tblCellSpacing w:w="20" w:type="dxa"/>
          <w:jc w:val="center"/>
        </w:trPr>
        <w:tc>
          <w:tcPr>
            <w:tcW w:w="1856" w:type="dxa"/>
            <w:noWrap/>
            <w:vAlign w:val="bottom"/>
          </w:tcPr>
          <w:p w:rsidR="00000000" w:rsidRDefault="00782BB1">
            <w:pPr>
              <w:rPr>
                <w:sz w:val="18"/>
                <w:szCs w:val="22"/>
              </w:rPr>
            </w:pPr>
            <w:r>
              <w:rPr>
                <w:sz w:val="18"/>
                <w:szCs w:val="22"/>
              </w:rPr>
              <w:t>[15-20)</w:t>
            </w:r>
          </w:p>
        </w:tc>
        <w:tc>
          <w:tcPr>
            <w:tcW w:w="1484" w:type="dxa"/>
            <w:noWrap/>
            <w:vAlign w:val="bottom"/>
          </w:tcPr>
          <w:p w:rsidR="00000000" w:rsidRDefault="00782BB1">
            <w:pPr>
              <w:jc w:val="center"/>
              <w:rPr>
                <w:sz w:val="18"/>
                <w:szCs w:val="22"/>
              </w:rPr>
            </w:pPr>
            <w:r>
              <w:rPr>
                <w:sz w:val="18"/>
                <w:szCs w:val="22"/>
              </w:rPr>
              <w:t>0.23</w:t>
            </w:r>
          </w:p>
        </w:tc>
      </w:tr>
      <w:tr w:rsidR="00000000">
        <w:trPr>
          <w:trHeight w:val="215"/>
          <w:tblCellSpacing w:w="20" w:type="dxa"/>
          <w:jc w:val="center"/>
        </w:trPr>
        <w:tc>
          <w:tcPr>
            <w:tcW w:w="1856" w:type="dxa"/>
            <w:noWrap/>
            <w:vAlign w:val="bottom"/>
          </w:tcPr>
          <w:p w:rsidR="00000000" w:rsidRDefault="00782BB1">
            <w:pPr>
              <w:rPr>
                <w:sz w:val="18"/>
                <w:szCs w:val="22"/>
              </w:rPr>
            </w:pPr>
            <w:r>
              <w:rPr>
                <w:sz w:val="18"/>
                <w:szCs w:val="22"/>
              </w:rPr>
              <w:t>20 ó más</w:t>
            </w:r>
          </w:p>
        </w:tc>
        <w:tc>
          <w:tcPr>
            <w:tcW w:w="1484" w:type="dxa"/>
            <w:noWrap/>
            <w:vAlign w:val="bottom"/>
          </w:tcPr>
          <w:p w:rsidR="00000000" w:rsidRDefault="00782BB1">
            <w:pPr>
              <w:jc w:val="center"/>
              <w:rPr>
                <w:sz w:val="18"/>
                <w:szCs w:val="22"/>
              </w:rPr>
            </w:pPr>
            <w:r>
              <w:rPr>
                <w:sz w:val="18"/>
                <w:szCs w:val="22"/>
              </w:rPr>
              <w:t>0.06</w:t>
            </w:r>
          </w:p>
        </w:tc>
      </w:tr>
      <w:tr w:rsidR="00000000">
        <w:trPr>
          <w:trHeight w:val="206"/>
          <w:tblCellSpacing w:w="20" w:type="dxa"/>
          <w:jc w:val="center"/>
        </w:trPr>
        <w:tc>
          <w:tcPr>
            <w:tcW w:w="1856" w:type="dxa"/>
            <w:noWrap/>
            <w:vAlign w:val="bottom"/>
          </w:tcPr>
          <w:p w:rsidR="00000000" w:rsidRDefault="00782BB1">
            <w:pPr>
              <w:rPr>
                <w:b/>
                <w:sz w:val="18"/>
                <w:szCs w:val="22"/>
              </w:rPr>
            </w:pPr>
            <w:r>
              <w:rPr>
                <w:b/>
                <w:sz w:val="18"/>
                <w:szCs w:val="22"/>
              </w:rPr>
              <w:t>Total</w:t>
            </w:r>
          </w:p>
        </w:tc>
        <w:tc>
          <w:tcPr>
            <w:tcW w:w="1484" w:type="dxa"/>
            <w:noWrap/>
            <w:vAlign w:val="bottom"/>
          </w:tcPr>
          <w:p w:rsidR="00000000" w:rsidRDefault="00782BB1">
            <w:pPr>
              <w:jc w:val="center"/>
              <w:rPr>
                <w:b/>
                <w:sz w:val="18"/>
                <w:szCs w:val="22"/>
              </w:rPr>
            </w:pPr>
            <w:r>
              <w:rPr>
                <w:b/>
                <w:sz w:val="18"/>
                <w:szCs w:val="22"/>
              </w:rPr>
              <w:t>1.00</w:t>
            </w:r>
          </w:p>
        </w:tc>
      </w:tr>
    </w:tbl>
    <w:p w:rsidR="00000000" w:rsidRDefault="00782BB1">
      <w:pPr>
        <w:jc w:val="both"/>
        <w:rPr>
          <w:sz w:val="18"/>
        </w:rPr>
      </w:pPr>
    </w:p>
    <w:p w:rsidR="00000000" w:rsidRDefault="00782BB1">
      <w:pPr>
        <w:jc w:val="both"/>
        <w:rPr>
          <w:sz w:val="18"/>
        </w:rPr>
      </w:pPr>
    </w:p>
    <w:p w:rsidR="00000000" w:rsidRDefault="00782BB1">
      <w:pPr>
        <w:jc w:val="both"/>
        <w:rPr>
          <w:sz w:val="18"/>
        </w:rPr>
      </w:pPr>
      <w:r>
        <w:rPr>
          <w:sz w:val="18"/>
        </w:rPr>
        <w:t>En el Cuadro VI se presentan las estimaciones de los parámetros correspondientes al número de materias tomadas por los entrevistados: el promedio de materias tomadas estimado es 11.42  ± 0.37, mismas que varían entre 3 y 22 materias. El estimador de la des</w:t>
      </w:r>
      <w:r>
        <w:rPr>
          <w:sz w:val="18"/>
        </w:rPr>
        <w:t xml:space="preserve">viación estándar es 20.91.  </w:t>
      </w:r>
    </w:p>
    <w:p w:rsidR="00000000" w:rsidRDefault="00782BB1">
      <w:pPr>
        <w:jc w:val="both"/>
        <w:rPr>
          <w:sz w:val="18"/>
        </w:rPr>
      </w:pPr>
    </w:p>
    <w:tbl>
      <w:tblPr>
        <w:tblW w:w="0" w:type="auto"/>
        <w:jc w:val="center"/>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Look w:val="01E0"/>
      </w:tblPr>
      <w:tblGrid>
        <w:gridCol w:w="1930"/>
        <w:gridCol w:w="1611"/>
      </w:tblGrid>
      <w:tr w:rsidR="00000000">
        <w:trPr>
          <w:tblCellSpacing w:w="20" w:type="dxa"/>
          <w:jc w:val="center"/>
        </w:trPr>
        <w:tc>
          <w:tcPr>
            <w:tcW w:w="3461" w:type="dxa"/>
            <w:gridSpan w:val="2"/>
          </w:tcPr>
          <w:p w:rsidR="00000000" w:rsidRDefault="00782BB1">
            <w:pPr>
              <w:jc w:val="center"/>
              <w:rPr>
                <w:b/>
                <w:sz w:val="18"/>
                <w:szCs w:val="22"/>
              </w:rPr>
            </w:pPr>
            <w:r>
              <w:rPr>
                <w:b/>
                <w:sz w:val="18"/>
                <w:szCs w:val="22"/>
              </w:rPr>
              <w:t>Cuadro VI</w:t>
            </w:r>
          </w:p>
          <w:p w:rsidR="00000000" w:rsidRDefault="00782BB1">
            <w:pPr>
              <w:jc w:val="center"/>
              <w:rPr>
                <w:sz w:val="18"/>
                <w:szCs w:val="20"/>
              </w:rPr>
            </w:pPr>
            <w:r>
              <w:rPr>
                <w:b/>
                <w:bCs/>
                <w:sz w:val="18"/>
                <w:szCs w:val="20"/>
              </w:rPr>
              <w:t>Estim</w:t>
            </w:r>
            <w:r>
              <w:rPr>
                <w:b/>
                <w:sz w:val="18"/>
                <w:szCs w:val="20"/>
              </w:rPr>
              <w:t>adores Poblacionales de Número de materias tomadas</w:t>
            </w:r>
          </w:p>
        </w:tc>
      </w:tr>
      <w:tr w:rsidR="00000000">
        <w:trPr>
          <w:trHeight w:val="113"/>
          <w:tblCellSpacing w:w="20" w:type="dxa"/>
          <w:jc w:val="center"/>
        </w:trPr>
        <w:tc>
          <w:tcPr>
            <w:tcW w:w="1870" w:type="dxa"/>
          </w:tcPr>
          <w:p w:rsidR="00000000" w:rsidRDefault="00782BB1">
            <w:pPr>
              <w:rPr>
                <w:sz w:val="18"/>
                <w:szCs w:val="20"/>
              </w:rPr>
            </w:pPr>
            <w:r>
              <w:rPr>
                <w:sz w:val="18"/>
                <w:szCs w:val="20"/>
              </w:rPr>
              <w:t>n</w:t>
            </w:r>
          </w:p>
        </w:tc>
        <w:tc>
          <w:tcPr>
            <w:tcW w:w="1551" w:type="dxa"/>
          </w:tcPr>
          <w:p w:rsidR="00000000" w:rsidRDefault="00782BB1">
            <w:pPr>
              <w:jc w:val="right"/>
              <w:rPr>
                <w:sz w:val="18"/>
                <w:szCs w:val="20"/>
              </w:rPr>
            </w:pPr>
            <w:r>
              <w:rPr>
                <w:sz w:val="18"/>
                <w:szCs w:val="20"/>
              </w:rPr>
              <w:t>171</w:t>
            </w:r>
          </w:p>
        </w:tc>
      </w:tr>
      <w:tr w:rsidR="00000000">
        <w:trPr>
          <w:trHeight w:val="131"/>
          <w:tblCellSpacing w:w="20" w:type="dxa"/>
          <w:jc w:val="center"/>
        </w:trPr>
        <w:tc>
          <w:tcPr>
            <w:tcW w:w="1870" w:type="dxa"/>
          </w:tcPr>
          <w:p w:rsidR="00000000" w:rsidRDefault="00782BB1">
            <w:pPr>
              <w:rPr>
                <w:sz w:val="18"/>
                <w:szCs w:val="20"/>
              </w:rPr>
            </w:pPr>
            <w:r>
              <w:rPr>
                <w:sz w:val="18"/>
                <w:szCs w:val="20"/>
              </w:rPr>
              <w:t>Media</w:t>
            </w:r>
          </w:p>
        </w:tc>
        <w:tc>
          <w:tcPr>
            <w:tcW w:w="1551" w:type="dxa"/>
          </w:tcPr>
          <w:p w:rsidR="00000000" w:rsidRDefault="00782BB1">
            <w:pPr>
              <w:jc w:val="right"/>
              <w:rPr>
                <w:sz w:val="18"/>
                <w:szCs w:val="20"/>
              </w:rPr>
            </w:pPr>
            <w:r>
              <w:rPr>
                <w:sz w:val="18"/>
                <w:szCs w:val="20"/>
              </w:rPr>
              <w:t>11.42</w:t>
            </w:r>
          </w:p>
        </w:tc>
      </w:tr>
      <w:tr w:rsidR="00000000">
        <w:trPr>
          <w:tblCellSpacing w:w="20" w:type="dxa"/>
          <w:jc w:val="center"/>
        </w:trPr>
        <w:tc>
          <w:tcPr>
            <w:tcW w:w="1870" w:type="dxa"/>
          </w:tcPr>
          <w:p w:rsidR="00000000" w:rsidRDefault="00782BB1">
            <w:pPr>
              <w:rPr>
                <w:sz w:val="18"/>
                <w:szCs w:val="20"/>
              </w:rPr>
            </w:pPr>
            <w:r>
              <w:rPr>
                <w:sz w:val="18"/>
                <w:szCs w:val="20"/>
              </w:rPr>
              <w:t>Varianza</w:t>
            </w:r>
          </w:p>
        </w:tc>
        <w:tc>
          <w:tcPr>
            <w:tcW w:w="1551" w:type="dxa"/>
          </w:tcPr>
          <w:p w:rsidR="00000000" w:rsidRDefault="00782BB1">
            <w:pPr>
              <w:jc w:val="right"/>
              <w:rPr>
                <w:sz w:val="18"/>
                <w:szCs w:val="20"/>
              </w:rPr>
            </w:pPr>
            <w:r>
              <w:rPr>
                <w:sz w:val="18"/>
                <w:szCs w:val="20"/>
              </w:rPr>
              <w:t>24.46</w:t>
            </w:r>
          </w:p>
        </w:tc>
      </w:tr>
      <w:tr w:rsidR="00000000">
        <w:trPr>
          <w:tblCellSpacing w:w="20" w:type="dxa"/>
          <w:jc w:val="center"/>
        </w:trPr>
        <w:tc>
          <w:tcPr>
            <w:tcW w:w="1870" w:type="dxa"/>
          </w:tcPr>
          <w:p w:rsidR="00000000" w:rsidRDefault="00782BB1">
            <w:pPr>
              <w:rPr>
                <w:sz w:val="18"/>
                <w:szCs w:val="20"/>
              </w:rPr>
            </w:pPr>
            <w:r>
              <w:rPr>
                <w:sz w:val="18"/>
                <w:szCs w:val="20"/>
              </w:rPr>
              <w:t>Desviación Estándar</w:t>
            </w:r>
          </w:p>
        </w:tc>
        <w:tc>
          <w:tcPr>
            <w:tcW w:w="1551" w:type="dxa"/>
          </w:tcPr>
          <w:p w:rsidR="00000000" w:rsidRDefault="00782BB1">
            <w:pPr>
              <w:jc w:val="right"/>
              <w:rPr>
                <w:sz w:val="18"/>
                <w:szCs w:val="20"/>
              </w:rPr>
            </w:pPr>
            <w:r>
              <w:rPr>
                <w:sz w:val="18"/>
                <w:szCs w:val="20"/>
              </w:rPr>
              <w:t>4.9</w:t>
            </w:r>
          </w:p>
        </w:tc>
      </w:tr>
      <w:tr w:rsidR="00000000">
        <w:trPr>
          <w:tblCellSpacing w:w="20" w:type="dxa"/>
          <w:jc w:val="center"/>
        </w:trPr>
        <w:tc>
          <w:tcPr>
            <w:tcW w:w="1870" w:type="dxa"/>
          </w:tcPr>
          <w:p w:rsidR="00000000" w:rsidRDefault="00782BB1">
            <w:pPr>
              <w:rPr>
                <w:sz w:val="18"/>
                <w:szCs w:val="20"/>
              </w:rPr>
            </w:pPr>
            <w:r>
              <w:rPr>
                <w:sz w:val="18"/>
                <w:szCs w:val="20"/>
              </w:rPr>
              <w:t>Error Estándar</w:t>
            </w:r>
          </w:p>
        </w:tc>
        <w:tc>
          <w:tcPr>
            <w:tcW w:w="1551" w:type="dxa"/>
          </w:tcPr>
          <w:p w:rsidR="00000000" w:rsidRDefault="00782BB1">
            <w:pPr>
              <w:jc w:val="right"/>
              <w:rPr>
                <w:sz w:val="18"/>
                <w:szCs w:val="20"/>
              </w:rPr>
            </w:pPr>
            <w:r>
              <w:rPr>
                <w:sz w:val="18"/>
                <w:szCs w:val="20"/>
              </w:rPr>
              <w:t>0.37</w:t>
            </w:r>
          </w:p>
        </w:tc>
      </w:tr>
      <w:tr w:rsidR="00000000">
        <w:trPr>
          <w:tblCellSpacing w:w="20" w:type="dxa"/>
          <w:jc w:val="center"/>
        </w:trPr>
        <w:tc>
          <w:tcPr>
            <w:tcW w:w="1870" w:type="dxa"/>
          </w:tcPr>
          <w:p w:rsidR="00000000" w:rsidRDefault="00782BB1">
            <w:pPr>
              <w:rPr>
                <w:sz w:val="18"/>
                <w:szCs w:val="20"/>
              </w:rPr>
            </w:pPr>
            <w:r>
              <w:rPr>
                <w:sz w:val="18"/>
                <w:szCs w:val="20"/>
              </w:rPr>
              <w:t>Sesgo</w:t>
            </w:r>
          </w:p>
        </w:tc>
        <w:tc>
          <w:tcPr>
            <w:tcW w:w="1551" w:type="dxa"/>
          </w:tcPr>
          <w:p w:rsidR="00000000" w:rsidRDefault="00782BB1">
            <w:pPr>
              <w:jc w:val="right"/>
              <w:rPr>
                <w:sz w:val="18"/>
                <w:szCs w:val="20"/>
              </w:rPr>
            </w:pPr>
            <w:r>
              <w:rPr>
                <w:sz w:val="18"/>
                <w:szCs w:val="20"/>
              </w:rPr>
              <w:t>0.257</w:t>
            </w:r>
          </w:p>
        </w:tc>
      </w:tr>
      <w:tr w:rsidR="00000000">
        <w:trPr>
          <w:tblCellSpacing w:w="20" w:type="dxa"/>
          <w:jc w:val="center"/>
        </w:trPr>
        <w:tc>
          <w:tcPr>
            <w:tcW w:w="1870" w:type="dxa"/>
          </w:tcPr>
          <w:p w:rsidR="00000000" w:rsidRDefault="00782BB1">
            <w:pPr>
              <w:rPr>
                <w:sz w:val="18"/>
                <w:szCs w:val="20"/>
              </w:rPr>
            </w:pPr>
            <w:r>
              <w:rPr>
                <w:sz w:val="18"/>
                <w:szCs w:val="20"/>
              </w:rPr>
              <w:t>Curtosis</w:t>
            </w:r>
          </w:p>
        </w:tc>
        <w:tc>
          <w:tcPr>
            <w:tcW w:w="1551" w:type="dxa"/>
          </w:tcPr>
          <w:p w:rsidR="00000000" w:rsidRDefault="00782BB1">
            <w:pPr>
              <w:jc w:val="right"/>
              <w:rPr>
                <w:sz w:val="18"/>
                <w:szCs w:val="20"/>
              </w:rPr>
            </w:pPr>
            <w:r>
              <w:rPr>
                <w:sz w:val="18"/>
                <w:szCs w:val="20"/>
              </w:rPr>
              <w:t>-0.882</w:t>
            </w:r>
          </w:p>
        </w:tc>
      </w:tr>
    </w:tbl>
    <w:p w:rsidR="00000000" w:rsidRDefault="00782BB1">
      <w:pPr>
        <w:jc w:val="both"/>
        <w:rPr>
          <w:b/>
          <w:sz w:val="18"/>
        </w:rPr>
      </w:pPr>
    </w:p>
    <w:p w:rsidR="00000000" w:rsidRDefault="00782BB1">
      <w:pPr>
        <w:jc w:val="both"/>
        <w:rPr>
          <w:b/>
          <w:sz w:val="18"/>
        </w:rPr>
      </w:pPr>
    </w:p>
    <w:p w:rsidR="00000000" w:rsidRDefault="00782BB1">
      <w:pPr>
        <w:pStyle w:val="Ttulo2"/>
        <w:rPr>
          <w:szCs w:val="24"/>
        </w:rPr>
      </w:pPr>
      <w:r>
        <w:rPr>
          <w:szCs w:val="24"/>
        </w:rPr>
        <w:t>Referentes Familiares</w:t>
      </w:r>
    </w:p>
    <w:p w:rsidR="00000000" w:rsidRDefault="00782BB1">
      <w:pPr>
        <w:jc w:val="both"/>
        <w:rPr>
          <w:sz w:val="18"/>
        </w:rPr>
      </w:pPr>
    </w:p>
    <w:p w:rsidR="00000000" w:rsidRDefault="00782BB1">
      <w:pPr>
        <w:jc w:val="both"/>
        <w:rPr>
          <w:sz w:val="18"/>
        </w:rPr>
      </w:pPr>
      <w:r>
        <w:rPr>
          <w:sz w:val="18"/>
        </w:rPr>
        <w:t>En esta sección se ana</w:t>
      </w:r>
      <w:r>
        <w:rPr>
          <w:sz w:val="18"/>
        </w:rPr>
        <w:t>lizan los datos recopilados referentes al entorno familiar en el que se desenvolvía el desertor mientras era estudiante de la ESPOL.</w:t>
      </w:r>
    </w:p>
    <w:p w:rsidR="00000000" w:rsidRDefault="00782BB1">
      <w:pPr>
        <w:jc w:val="both"/>
        <w:rPr>
          <w:sz w:val="18"/>
        </w:rPr>
      </w:pPr>
    </w:p>
    <w:p w:rsidR="00000000" w:rsidRDefault="00782BB1">
      <w:pPr>
        <w:jc w:val="both"/>
        <w:rPr>
          <w:sz w:val="18"/>
        </w:rPr>
      </w:pPr>
      <w:r>
        <w:rPr>
          <w:i/>
          <w:iCs/>
          <w:sz w:val="18"/>
        </w:rPr>
        <w:t>Con quien vivía mientras estudiaba en la ESPOL.-</w:t>
      </w:r>
      <w:r>
        <w:rPr>
          <w:sz w:val="18"/>
        </w:rPr>
        <w:t xml:space="preserve"> Del total de entrevistados  el 41%  expresaron que  vivían con ambos padr</w:t>
      </w:r>
      <w:r>
        <w:rPr>
          <w:sz w:val="18"/>
        </w:rPr>
        <w:t>es mientras estudiaban en la ESPOL, el 18% solo con uno de los padres, el 7% vivía con amigos, el 6% vivía solo  y el 28% vivía con otros.</w:t>
      </w:r>
    </w:p>
    <w:p w:rsidR="00000000" w:rsidRDefault="00782BB1">
      <w:pPr>
        <w:jc w:val="both"/>
        <w:rPr>
          <w:sz w:val="18"/>
        </w:rPr>
      </w:pPr>
    </w:p>
    <w:p w:rsidR="00000000" w:rsidRDefault="00A42F44">
      <w:pPr>
        <w:jc w:val="both"/>
        <w:rPr>
          <w:sz w:val="18"/>
        </w:rPr>
      </w:pPr>
      <w:r>
        <w:rPr>
          <w:noProof/>
          <w:sz w:val="20"/>
          <w:lang w:val="en-US" w:eastAsia="en-US"/>
        </w:rPr>
        <w:drawing>
          <wp:anchor distT="0" distB="0" distL="114300" distR="114300" simplePos="0" relativeHeight="251656192" behindDoc="0" locked="0" layoutInCell="1" allowOverlap="1">
            <wp:simplePos x="0" y="0"/>
            <wp:positionH relativeFrom="column">
              <wp:posOffset>3151505</wp:posOffset>
            </wp:positionH>
            <wp:positionV relativeFrom="paragraph">
              <wp:posOffset>15240</wp:posOffset>
            </wp:positionV>
            <wp:extent cx="3059430" cy="4528185"/>
            <wp:effectExtent l="0" t="0" r="0" b="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3059430" cy="4528185"/>
                    </a:xfrm>
                    <a:prstGeom prst="rect">
                      <a:avLst/>
                    </a:prstGeom>
                    <a:noFill/>
                    <a:ln w="9525">
                      <a:noFill/>
                      <a:miter lim="800000"/>
                      <a:headEnd/>
                      <a:tailEnd/>
                    </a:ln>
                  </pic:spPr>
                </pic:pic>
              </a:graphicData>
            </a:graphic>
          </wp:anchor>
        </w:drawing>
      </w:r>
      <w:r w:rsidR="00782BB1">
        <w:rPr>
          <w:i/>
          <w:iCs/>
          <w:sz w:val="18"/>
        </w:rPr>
        <w:t>Número de hermanos dependientes económicamente de la familia.-</w:t>
      </w:r>
      <w:r w:rsidR="00782BB1">
        <w:rPr>
          <w:sz w:val="18"/>
        </w:rPr>
        <w:t xml:space="preserve"> Para la variable “Número de hermanos dependientes ec</w:t>
      </w:r>
      <w:r w:rsidR="00782BB1">
        <w:rPr>
          <w:sz w:val="18"/>
        </w:rPr>
        <w:t>onómicamente de la familia” se obtuvo que, el 1% de los entrevistados eran los únicos hijos dependientes económicamente de la familia, el 22% tenían un hermano, el 38% pertenecían a familias con 2 hermanos dependientes económicamente, el 26% con 3 hermanos</w:t>
      </w:r>
      <w:r w:rsidR="00782BB1">
        <w:rPr>
          <w:sz w:val="18"/>
        </w:rPr>
        <w:t>,  el 4% con 4 hermanos y el 2% con 5.</w:t>
      </w:r>
    </w:p>
    <w:p w:rsidR="00000000" w:rsidRDefault="00782BB1">
      <w:pPr>
        <w:jc w:val="both"/>
        <w:rPr>
          <w:sz w:val="18"/>
        </w:rPr>
      </w:pPr>
    </w:p>
    <w:p w:rsidR="00000000" w:rsidRDefault="00782BB1">
      <w:pPr>
        <w:jc w:val="both"/>
        <w:rPr>
          <w:sz w:val="18"/>
        </w:rPr>
      </w:pPr>
      <w:r>
        <w:rPr>
          <w:i/>
          <w:iCs/>
          <w:sz w:val="18"/>
        </w:rPr>
        <w:t>Ingreso promedio mensual familiar.-</w:t>
      </w:r>
      <w:r>
        <w:rPr>
          <w:sz w:val="18"/>
        </w:rPr>
        <w:t xml:space="preserve"> De la Tabla IV, se puede decir que el 29% de las familias de los entrevistados poseía ingresos mensuales promedio de menos de 200 dólares mensuales mientras el entrevistado era est</w:t>
      </w:r>
      <w:r>
        <w:rPr>
          <w:sz w:val="18"/>
        </w:rPr>
        <w:t xml:space="preserve">udiante de la ESPOL,  el 38% tenía ingresos promedio mensuales de entre 200 y 500 dólares, también, el 20% poseía ingresos mensuales promedio de entre 500 y 1000 dólares, el 9% entre 1000 y 1500 dólares y el 5%  más de 1500 dólares mensuales. </w:t>
      </w:r>
    </w:p>
    <w:p w:rsidR="00000000" w:rsidRDefault="00782BB1">
      <w:pPr>
        <w:jc w:val="both"/>
        <w:rPr>
          <w:sz w:val="18"/>
        </w:rPr>
      </w:pPr>
    </w:p>
    <w:p w:rsidR="00000000" w:rsidRDefault="00782BB1">
      <w:pPr>
        <w:jc w:val="both"/>
        <w:rPr>
          <w:sz w:val="18"/>
        </w:rPr>
      </w:pPr>
    </w:p>
    <w:tbl>
      <w:tblPr>
        <w:tblW w:w="3530" w:type="dxa"/>
        <w:jc w:val="center"/>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70" w:type="dxa"/>
          <w:right w:w="70" w:type="dxa"/>
        </w:tblCellMar>
        <w:tblLook w:val="0000"/>
      </w:tblPr>
      <w:tblGrid>
        <w:gridCol w:w="1775"/>
        <w:gridCol w:w="1815"/>
      </w:tblGrid>
      <w:tr w:rsidR="00000000">
        <w:trPr>
          <w:trHeight w:val="510"/>
          <w:tblCellSpacing w:w="20" w:type="dxa"/>
          <w:jc w:val="center"/>
        </w:trPr>
        <w:tc>
          <w:tcPr>
            <w:tcW w:w="3450" w:type="dxa"/>
            <w:gridSpan w:val="2"/>
            <w:noWrap/>
            <w:vAlign w:val="bottom"/>
          </w:tcPr>
          <w:p w:rsidR="00000000" w:rsidRDefault="00782BB1">
            <w:pPr>
              <w:jc w:val="center"/>
              <w:rPr>
                <w:i/>
                <w:sz w:val="18"/>
                <w:szCs w:val="20"/>
              </w:rPr>
            </w:pPr>
            <w:r>
              <w:rPr>
                <w:b/>
                <w:sz w:val="18"/>
                <w:szCs w:val="22"/>
              </w:rPr>
              <w:t>Tabla IV</w:t>
            </w:r>
          </w:p>
          <w:p w:rsidR="00000000" w:rsidRDefault="00782BB1">
            <w:pPr>
              <w:jc w:val="center"/>
              <w:rPr>
                <w:b/>
                <w:bCs/>
                <w:sz w:val="18"/>
                <w:szCs w:val="22"/>
              </w:rPr>
            </w:pPr>
            <w:r>
              <w:rPr>
                <w:b/>
                <w:bCs/>
                <w:sz w:val="18"/>
                <w:szCs w:val="20"/>
              </w:rPr>
              <w:t>D</w:t>
            </w:r>
            <w:r>
              <w:rPr>
                <w:b/>
                <w:bCs/>
                <w:sz w:val="18"/>
                <w:szCs w:val="20"/>
              </w:rPr>
              <w:t>istribución de Frecuencias de “Ingreso promedio mensual  de la familia”</w:t>
            </w:r>
          </w:p>
        </w:tc>
      </w:tr>
      <w:tr w:rsidR="00000000">
        <w:trPr>
          <w:trHeight w:val="239"/>
          <w:tblCellSpacing w:w="20" w:type="dxa"/>
          <w:jc w:val="center"/>
        </w:trPr>
        <w:tc>
          <w:tcPr>
            <w:tcW w:w="1685" w:type="dxa"/>
            <w:noWrap/>
            <w:vAlign w:val="center"/>
          </w:tcPr>
          <w:p w:rsidR="00000000" w:rsidRDefault="00782BB1">
            <w:pPr>
              <w:jc w:val="center"/>
              <w:rPr>
                <w:b/>
                <w:sz w:val="18"/>
                <w:szCs w:val="22"/>
              </w:rPr>
            </w:pPr>
            <w:r>
              <w:rPr>
                <w:b/>
                <w:sz w:val="18"/>
                <w:szCs w:val="22"/>
              </w:rPr>
              <w:t>Ingreso mensual</w:t>
            </w:r>
          </w:p>
        </w:tc>
        <w:tc>
          <w:tcPr>
            <w:tcW w:w="1725" w:type="dxa"/>
            <w:vAlign w:val="center"/>
          </w:tcPr>
          <w:p w:rsidR="00000000" w:rsidRDefault="00782BB1">
            <w:pPr>
              <w:jc w:val="center"/>
              <w:rPr>
                <w:b/>
                <w:sz w:val="18"/>
                <w:szCs w:val="22"/>
              </w:rPr>
            </w:pPr>
            <w:r>
              <w:rPr>
                <w:b/>
                <w:sz w:val="18"/>
                <w:szCs w:val="22"/>
              </w:rPr>
              <w:t>Frecuencia Relativa</w:t>
            </w:r>
          </w:p>
        </w:tc>
      </w:tr>
      <w:tr w:rsidR="00000000">
        <w:trPr>
          <w:trHeight w:val="251"/>
          <w:tblCellSpacing w:w="20" w:type="dxa"/>
          <w:jc w:val="center"/>
        </w:trPr>
        <w:tc>
          <w:tcPr>
            <w:tcW w:w="1685" w:type="dxa"/>
            <w:noWrap/>
            <w:vAlign w:val="bottom"/>
          </w:tcPr>
          <w:p w:rsidR="00000000" w:rsidRDefault="00782BB1">
            <w:pPr>
              <w:rPr>
                <w:sz w:val="18"/>
                <w:szCs w:val="22"/>
              </w:rPr>
            </w:pPr>
            <w:r>
              <w:rPr>
                <w:sz w:val="18"/>
                <w:szCs w:val="22"/>
              </w:rPr>
              <w:t>$ 0-200</w:t>
            </w:r>
          </w:p>
        </w:tc>
        <w:tc>
          <w:tcPr>
            <w:tcW w:w="1725" w:type="dxa"/>
            <w:noWrap/>
            <w:vAlign w:val="bottom"/>
          </w:tcPr>
          <w:p w:rsidR="00000000" w:rsidRDefault="00782BB1">
            <w:pPr>
              <w:jc w:val="center"/>
              <w:rPr>
                <w:sz w:val="18"/>
                <w:szCs w:val="22"/>
              </w:rPr>
            </w:pPr>
            <w:r>
              <w:rPr>
                <w:sz w:val="18"/>
                <w:szCs w:val="22"/>
              </w:rPr>
              <w:t>0.29</w:t>
            </w:r>
          </w:p>
        </w:tc>
      </w:tr>
      <w:tr w:rsidR="00000000">
        <w:trPr>
          <w:trHeight w:val="213"/>
          <w:tblCellSpacing w:w="20" w:type="dxa"/>
          <w:jc w:val="center"/>
        </w:trPr>
        <w:tc>
          <w:tcPr>
            <w:tcW w:w="1685" w:type="dxa"/>
            <w:noWrap/>
            <w:vAlign w:val="bottom"/>
          </w:tcPr>
          <w:p w:rsidR="00000000" w:rsidRDefault="00782BB1">
            <w:pPr>
              <w:rPr>
                <w:sz w:val="18"/>
                <w:szCs w:val="22"/>
              </w:rPr>
            </w:pPr>
            <w:r>
              <w:rPr>
                <w:sz w:val="18"/>
                <w:szCs w:val="22"/>
              </w:rPr>
              <w:t>$ 200-500</w:t>
            </w:r>
          </w:p>
        </w:tc>
        <w:tc>
          <w:tcPr>
            <w:tcW w:w="1725" w:type="dxa"/>
            <w:noWrap/>
            <w:vAlign w:val="bottom"/>
          </w:tcPr>
          <w:p w:rsidR="00000000" w:rsidRDefault="00782BB1">
            <w:pPr>
              <w:jc w:val="center"/>
              <w:rPr>
                <w:sz w:val="18"/>
                <w:szCs w:val="22"/>
              </w:rPr>
            </w:pPr>
            <w:r>
              <w:rPr>
                <w:sz w:val="18"/>
                <w:szCs w:val="22"/>
              </w:rPr>
              <w:t>0.38</w:t>
            </w:r>
          </w:p>
        </w:tc>
      </w:tr>
      <w:tr w:rsidR="00000000">
        <w:trPr>
          <w:trHeight w:val="203"/>
          <w:tblCellSpacing w:w="20" w:type="dxa"/>
          <w:jc w:val="center"/>
        </w:trPr>
        <w:tc>
          <w:tcPr>
            <w:tcW w:w="1685" w:type="dxa"/>
            <w:noWrap/>
            <w:vAlign w:val="bottom"/>
          </w:tcPr>
          <w:p w:rsidR="00000000" w:rsidRDefault="00782BB1">
            <w:pPr>
              <w:rPr>
                <w:sz w:val="18"/>
                <w:szCs w:val="22"/>
              </w:rPr>
            </w:pPr>
            <w:r>
              <w:rPr>
                <w:sz w:val="18"/>
                <w:szCs w:val="22"/>
              </w:rPr>
              <w:t>$ 500-1000</w:t>
            </w:r>
          </w:p>
        </w:tc>
        <w:tc>
          <w:tcPr>
            <w:tcW w:w="1725" w:type="dxa"/>
            <w:noWrap/>
            <w:vAlign w:val="bottom"/>
          </w:tcPr>
          <w:p w:rsidR="00000000" w:rsidRDefault="00782BB1">
            <w:pPr>
              <w:jc w:val="center"/>
              <w:rPr>
                <w:sz w:val="18"/>
                <w:szCs w:val="22"/>
              </w:rPr>
            </w:pPr>
            <w:r>
              <w:rPr>
                <w:sz w:val="18"/>
                <w:szCs w:val="22"/>
              </w:rPr>
              <w:t>0.20</w:t>
            </w:r>
          </w:p>
        </w:tc>
      </w:tr>
      <w:tr w:rsidR="00000000">
        <w:trPr>
          <w:trHeight w:val="207"/>
          <w:tblCellSpacing w:w="20" w:type="dxa"/>
          <w:jc w:val="center"/>
        </w:trPr>
        <w:tc>
          <w:tcPr>
            <w:tcW w:w="1685" w:type="dxa"/>
            <w:noWrap/>
            <w:vAlign w:val="bottom"/>
          </w:tcPr>
          <w:p w:rsidR="00000000" w:rsidRDefault="00782BB1">
            <w:pPr>
              <w:rPr>
                <w:sz w:val="18"/>
                <w:szCs w:val="22"/>
              </w:rPr>
            </w:pPr>
            <w:r>
              <w:rPr>
                <w:sz w:val="18"/>
                <w:szCs w:val="22"/>
              </w:rPr>
              <w:t>$ 1000-1500</w:t>
            </w:r>
          </w:p>
        </w:tc>
        <w:tc>
          <w:tcPr>
            <w:tcW w:w="1725" w:type="dxa"/>
            <w:noWrap/>
            <w:vAlign w:val="bottom"/>
          </w:tcPr>
          <w:p w:rsidR="00000000" w:rsidRDefault="00782BB1">
            <w:pPr>
              <w:jc w:val="center"/>
              <w:rPr>
                <w:sz w:val="18"/>
                <w:szCs w:val="22"/>
              </w:rPr>
            </w:pPr>
            <w:r>
              <w:rPr>
                <w:sz w:val="18"/>
                <w:szCs w:val="22"/>
              </w:rPr>
              <w:t>0.09</w:t>
            </w:r>
          </w:p>
        </w:tc>
      </w:tr>
      <w:tr w:rsidR="00000000">
        <w:trPr>
          <w:trHeight w:val="225"/>
          <w:tblCellSpacing w:w="20" w:type="dxa"/>
          <w:jc w:val="center"/>
        </w:trPr>
        <w:tc>
          <w:tcPr>
            <w:tcW w:w="1685" w:type="dxa"/>
            <w:noWrap/>
            <w:vAlign w:val="bottom"/>
          </w:tcPr>
          <w:p w:rsidR="00000000" w:rsidRDefault="00782BB1">
            <w:pPr>
              <w:rPr>
                <w:sz w:val="18"/>
                <w:szCs w:val="22"/>
              </w:rPr>
            </w:pPr>
            <w:r>
              <w:rPr>
                <w:sz w:val="18"/>
                <w:szCs w:val="22"/>
              </w:rPr>
              <w:t>Más de $ 1500</w:t>
            </w:r>
          </w:p>
        </w:tc>
        <w:tc>
          <w:tcPr>
            <w:tcW w:w="1725" w:type="dxa"/>
            <w:noWrap/>
            <w:vAlign w:val="bottom"/>
          </w:tcPr>
          <w:p w:rsidR="00000000" w:rsidRDefault="00782BB1">
            <w:pPr>
              <w:jc w:val="center"/>
              <w:rPr>
                <w:sz w:val="18"/>
                <w:szCs w:val="22"/>
              </w:rPr>
            </w:pPr>
            <w:r>
              <w:rPr>
                <w:sz w:val="18"/>
                <w:szCs w:val="22"/>
              </w:rPr>
              <w:t>0.05</w:t>
            </w:r>
          </w:p>
        </w:tc>
      </w:tr>
      <w:tr w:rsidR="00000000">
        <w:trPr>
          <w:trHeight w:val="215"/>
          <w:tblCellSpacing w:w="20" w:type="dxa"/>
          <w:jc w:val="center"/>
        </w:trPr>
        <w:tc>
          <w:tcPr>
            <w:tcW w:w="1685" w:type="dxa"/>
            <w:noWrap/>
            <w:vAlign w:val="bottom"/>
          </w:tcPr>
          <w:p w:rsidR="00000000" w:rsidRDefault="00782BB1">
            <w:pPr>
              <w:rPr>
                <w:b/>
                <w:sz w:val="18"/>
                <w:szCs w:val="22"/>
              </w:rPr>
            </w:pPr>
            <w:r>
              <w:rPr>
                <w:b/>
                <w:sz w:val="18"/>
                <w:szCs w:val="22"/>
              </w:rPr>
              <w:t>Total</w:t>
            </w:r>
          </w:p>
        </w:tc>
        <w:tc>
          <w:tcPr>
            <w:tcW w:w="1725" w:type="dxa"/>
            <w:noWrap/>
            <w:vAlign w:val="bottom"/>
          </w:tcPr>
          <w:p w:rsidR="00000000" w:rsidRDefault="00782BB1">
            <w:pPr>
              <w:jc w:val="center"/>
              <w:rPr>
                <w:b/>
                <w:sz w:val="18"/>
                <w:szCs w:val="22"/>
              </w:rPr>
            </w:pPr>
            <w:r>
              <w:rPr>
                <w:b/>
                <w:sz w:val="18"/>
                <w:szCs w:val="22"/>
              </w:rPr>
              <w:t>1.00</w:t>
            </w:r>
          </w:p>
        </w:tc>
      </w:tr>
    </w:tbl>
    <w:p w:rsidR="00000000" w:rsidRDefault="00782BB1">
      <w:pPr>
        <w:jc w:val="both"/>
        <w:rPr>
          <w:sz w:val="18"/>
        </w:rPr>
      </w:pPr>
    </w:p>
    <w:p w:rsidR="00000000" w:rsidRDefault="00782BB1">
      <w:pPr>
        <w:jc w:val="both"/>
        <w:rPr>
          <w:sz w:val="18"/>
        </w:rPr>
      </w:pPr>
    </w:p>
    <w:p w:rsidR="00000000" w:rsidRDefault="00782BB1">
      <w:pPr>
        <w:jc w:val="both"/>
        <w:rPr>
          <w:sz w:val="18"/>
        </w:rPr>
      </w:pPr>
      <w:r>
        <w:rPr>
          <w:sz w:val="18"/>
        </w:rPr>
        <w:t>Medio de transporte que utilizaba el entrevista</w:t>
      </w:r>
      <w:r>
        <w:rPr>
          <w:sz w:val="18"/>
        </w:rPr>
        <w:t xml:space="preserve">do para llegar a la ESPOL.- La mayoría de los entrevistados se trasladaban en transporte público a la ESPOL, desde sus hogares, mientras que el 16% lo hacía en su propio </w:t>
      </w:r>
      <w:r>
        <w:rPr>
          <w:sz w:val="18"/>
        </w:rPr>
        <w:lastRenderedPageBreak/>
        <w:t>vehículo y el 6% contrataba los servicios de un expreso para trasladarse a la Politécn</w:t>
      </w:r>
      <w:r>
        <w:rPr>
          <w:sz w:val="18"/>
        </w:rPr>
        <w:t>ica.</w:t>
      </w:r>
    </w:p>
    <w:p w:rsidR="00000000" w:rsidRDefault="00782BB1">
      <w:pPr>
        <w:jc w:val="both"/>
        <w:rPr>
          <w:sz w:val="18"/>
        </w:rPr>
      </w:pPr>
    </w:p>
    <w:p w:rsidR="00000000" w:rsidRDefault="00782BB1">
      <w:pPr>
        <w:jc w:val="both"/>
        <w:rPr>
          <w:sz w:val="18"/>
        </w:rPr>
      </w:pPr>
    </w:p>
    <w:p w:rsidR="00000000" w:rsidRDefault="00782BB1">
      <w:pPr>
        <w:pStyle w:val="Ttulo2"/>
        <w:rPr>
          <w:bCs/>
          <w:szCs w:val="24"/>
        </w:rPr>
      </w:pPr>
      <w:r>
        <w:rPr>
          <w:bCs/>
          <w:szCs w:val="24"/>
        </w:rPr>
        <w:t>Factores de Deserción</w:t>
      </w:r>
    </w:p>
    <w:p w:rsidR="00000000" w:rsidRDefault="00782BB1"/>
    <w:p w:rsidR="00000000" w:rsidRDefault="00782BB1">
      <w:pPr>
        <w:jc w:val="both"/>
        <w:rPr>
          <w:sz w:val="18"/>
        </w:rPr>
      </w:pPr>
      <w:r>
        <w:rPr>
          <w:sz w:val="18"/>
        </w:rPr>
        <w:t>En el Gráfico 1 se observa el Histograma de Frecuencia Simultáneo de los grupos de factores que llevan a un estudiante a desertar de la ESPOL y   la proporción en  que han sido asignados al orden de importancia según los deser</w:t>
      </w:r>
      <w:r>
        <w:rPr>
          <w:sz w:val="18"/>
        </w:rPr>
        <w:t>tores entrevistados.</w:t>
      </w:r>
    </w:p>
    <w:p w:rsidR="00000000" w:rsidRDefault="00782BB1">
      <w:pPr>
        <w:jc w:val="both"/>
        <w:rPr>
          <w:sz w:val="18"/>
        </w:rPr>
      </w:pPr>
    </w:p>
    <w:p w:rsidR="00000000" w:rsidRDefault="00782BB1">
      <w:pPr>
        <w:jc w:val="both"/>
        <w:rPr>
          <w:sz w:val="18"/>
        </w:rPr>
      </w:pPr>
      <w:r>
        <w:rPr>
          <w:sz w:val="18"/>
        </w:rPr>
        <w:t>Se puede aprecia que el primer Factor de deserción,  la más alta proporción corresponde a “Causas atribuibles a la Socioeconomía del Desertor” seguido por  las “Causas atribuibles a la ESPOL”.   Para el segundo Factor de Deserción”, l</w:t>
      </w:r>
      <w:r>
        <w:rPr>
          <w:sz w:val="18"/>
        </w:rPr>
        <w:t>a mayor proporción pertenece a las “Causas atribuibles a la ESPOL” y   luego a las    “Causas atribuibles a la Socioeconomía del Desertor” y   “Otro” factor.</w:t>
      </w:r>
    </w:p>
    <w:p w:rsidR="00000000" w:rsidRDefault="00782BB1">
      <w:pPr>
        <w:jc w:val="both"/>
        <w:rPr>
          <w:sz w:val="18"/>
        </w:rPr>
      </w:pPr>
    </w:p>
    <w:p w:rsidR="00000000" w:rsidRDefault="00782BB1">
      <w:pPr>
        <w:jc w:val="both"/>
        <w:rPr>
          <w:sz w:val="18"/>
        </w:rPr>
      </w:pPr>
      <w:r>
        <w:rPr>
          <w:sz w:val="18"/>
        </w:rPr>
        <w:t>En el caso del tercer Factor de deserción, aproximadamente el 45% de los entrevistados atribuye s</w:t>
      </w:r>
      <w:r>
        <w:rPr>
          <w:sz w:val="18"/>
        </w:rPr>
        <w:t>u decisión de desertar a  la ESPOL, al igual que el caso anterior.</w:t>
      </w:r>
    </w:p>
    <w:p w:rsidR="00000000" w:rsidRDefault="00782BB1">
      <w:pPr>
        <w:jc w:val="both"/>
        <w:rPr>
          <w:sz w:val="18"/>
        </w:rPr>
      </w:pPr>
    </w:p>
    <w:p w:rsidR="00000000" w:rsidRDefault="00782BB1">
      <w:pPr>
        <w:jc w:val="both"/>
        <w:rPr>
          <w:sz w:val="18"/>
        </w:rPr>
      </w:pPr>
    </w:p>
    <w:p w:rsidR="00000000" w:rsidRDefault="00782BB1">
      <w:pPr>
        <w:jc w:val="both"/>
        <w:rPr>
          <w:sz w:val="18"/>
        </w:rPr>
      </w:pPr>
    </w:p>
    <w:p w:rsidR="00000000" w:rsidRDefault="00782BB1">
      <w:pPr>
        <w:jc w:val="both"/>
        <w:rPr>
          <w:sz w:val="18"/>
        </w:rPr>
      </w:pPr>
    </w:p>
    <w:p w:rsidR="00000000" w:rsidRDefault="00782BB1">
      <w:pPr>
        <w:jc w:val="both"/>
        <w:rPr>
          <w:sz w:val="18"/>
        </w:rPr>
      </w:pPr>
    </w:p>
    <w:p w:rsidR="00000000" w:rsidRDefault="00782BB1">
      <w:pPr>
        <w:jc w:val="both"/>
        <w:rPr>
          <w:b/>
          <w:sz w:val="18"/>
        </w:rPr>
      </w:pPr>
    </w:p>
    <w:p w:rsidR="00000000" w:rsidRDefault="00782BB1">
      <w:pPr>
        <w:jc w:val="both"/>
        <w:rPr>
          <w:b/>
          <w:sz w:val="18"/>
        </w:rPr>
      </w:pPr>
    </w:p>
    <w:p w:rsidR="00000000" w:rsidRDefault="00782BB1">
      <w:pPr>
        <w:pStyle w:val="Ttulo2"/>
        <w:rPr>
          <w:szCs w:val="24"/>
        </w:rPr>
      </w:pPr>
    </w:p>
    <w:p w:rsidR="00000000" w:rsidRDefault="00782BB1"/>
    <w:p w:rsidR="00000000" w:rsidRDefault="00782BB1">
      <w:pPr>
        <w:pStyle w:val="Ttulo2"/>
        <w:rPr>
          <w:szCs w:val="24"/>
        </w:rPr>
      </w:pPr>
    </w:p>
    <w:p w:rsidR="00000000" w:rsidRDefault="00782BB1">
      <w:pPr>
        <w:pStyle w:val="Ttulo2"/>
        <w:rPr>
          <w:szCs w:val="24"/>
        </w:rPr>
      </w:pPr>
    </w:p>
    <w:p w:rsidR="00000000" w:rsidRDefault="00782BB1">
      <w:pPr>
        <w:pStyle w:val="Ttulo2"/>
        <w:rPr>
          <w:szCs w:val="24"/>
        </w:rPr>
      </w:pPr>
      <w:r>
        <w:rPr>
          <w:szCs w:val="24"/>
        </w:rPr>
        <w:t>Pensamiento del Desertor</w:t>
      </w:r>
    </w:p>
    <w:p w:rsidR="00000000" w:rsidRDefault="00782BB1">
      <w:pPr>
        <w:jc w:val="center"/>
        <w:rPr>
          <w:b/>
          <w:sz w:val="18"/>
        </w:rPr>
      </w:pPr>
    </w:p>
    <w:p w:rsidR="00000000" w:rsidRDefault="00782BB1">
      <w:pPr>
        <w:jc w:val="both"/>
        <w:rPr>
          <w:sz w:val="18"/>
        </w:rPr>
      </w:pPr>
      <w:r>
        <w:rPr>
          <w:sz w:val="18"/>
        </w:rPr>
        <w:t>La Sección “Pensamiento del Desertor” encierra diez proposiciones donde se busca conocer la opinión del Desertor sobre algunos aspectos. Las proposicion</w:t>
      </w:r>
      <w:r>
        <w:rPr>
          <w:sz w:val="18"/>
        </w:rPr>
        <w:t>es mencionadas son:</w:t>
      </w:r>
    </w:p>
    <w:p w:rsidR="00000000" w:rsidRDefault="00782BB1">
      <w:pPr>
        <w:jc w:val="both"/>
        <w:rPr>
          <w:sz w:val="18"/>
        </w:rPr>
      </w:pPr>
    </w:p>
    <w:p w:rsidR="00000000" w:rsidRDefault="00782BB1">
      <w:pPr>
        <w:jc w:val="both"/>
        <w:rPr>
          <w:sz w:val="18"/>
        </w:rPr>
      </w:pPr>
    </w:p>
    <w:p w:rsidR="00000000" w:rsidRDefault="00782BB1">
      <w:pPr>
        <w:jc w:val="both"/>
        <w:rPr>
          <w:sz w:val="18"/>
        </w:rPr>
      </w:pPr>
    </w:p>
    <w:p w:rsidR="00000000" w:rsidRDefault="00782BB1">
      <w:pPr>
        <w:numPr>
          <w:ilvl w:val="0"/>
          <w:numId w:val="1"/>
        </w:numPr>
        <w:tabs>
          <w:tab w:val="clear" w:pos="720"/>
          <w:tab w:val="num" w:pos="142"/>
        </w:tabs>
        <w:ind w:left="142" w:hanging="218"/>
        <w:jc w:val="both"/>
        <w:rPr>
          <w:sz w:val="18"/>
        </w:rPr>
      </w:pPr>
      <w:r>
        <w:rPr>
          <w:i/>
          <w:sz w:val="18"/>
        </w:rPr>
        <w:t>“Las relaciones con los compañeros de estudio pueden ser motivo para que un estudiante abandone la ESPOL”</w:t>
      </w:r>
    </w:p>
    <w:p w:rsidR="00000000" w:rsidRDefault="00782BB1">
      <w:pPr>
        <w:numPr>
          <w:ilvl w:val="0"/>
          <w:numId w:val="1"/>
        </w:numPr>
        <w:tabs>
          <w:tab w:val="clear" w:pos="720"/>
          <w:tab w:val="num" w:pos="142"/>
        </w:tabs>
        <w:ind w:left="142" w:hanging="218"/>
        <w:jc w:val="both"/>
        <w:rPr>
          <w:sz w:val="18"/>
        </w:rPr>
      </w:pPr>
      <w:r>
        <w:rPr>
          <w:i/>
          <w:sz w:val="18"/>
        </w:rPr>
        <w:t>“Al trabajar en grupo, solo la persona que se involucra gana conocimientos”</w:t>
      </w:r>
    </w:p>
    <w:p w:rsidR="00000000" w:rsidRDefault="00782BB1">
      <w:pPr>
        <w:numPr>
          <w:ilvl w:val="0"/>
          <w:numId w:val="1"/>
        </w:numPr>
        <w:tabs>
          <w:tab w:val="clear" w:pos="720"/>
          <w:tab w:val="num" w:pos="142"/>
        </w:tabs>
        <w:ind w:left="142" w:hanging="218"/>
        <w:jc w:val="both"/>
        <w:rPr>
          <w:sz w:val="18"/>
        </w:rPr>
      </w:pPr>
      <w:r>
        <w:rPr>
          <w:i/>
          <w:sz w:val="18"/>
        </w:rPr>
        <w:t>“Para tener buena nota en una materia, por lo gener</w:t>
      </w:r>
      <w:r>
        <w:rPr>
          <w:i/>
          <w:sz w:val="18"/>
        </w:rPr>
        <w:t>al basta tener buenos apuntes”</w:t>
      </w:r>
    </w:p>
    <w:p w:rsidR="00000000" w:rsidRDefault="00782BB1">
      <w:pPr>
        <w:numPr>
          <w:ilvl w:val="0"/>
          <w:numId w:val="1"/>
        </w:numPr>
        <w:tabs>
          <w:tab w:val="clear" w:pos="720"/>
          <w:tab w:val="num" w:pos="142"/>
        </w:tabs>
        <w:ind w:left="142" w:hanging="218"/>
        <w:jc w:val="both"/>
        <w:rPr>
          <w:sz w:val="18"/>
        </w:rPr>
      </w:pPr>
      <w:r>
        <w:rPr>
          <w:i/>
          <w:sz w:val="18"/>
        </w:rPr>
        <w:t>“Tener buena nota es equivalente a saber la materia”</w:t>
      </w:r>
    </w:p>
    <w:p w:rsidR="00000000" w:rsidRDefault="00782BB1">
      <w:pPr>
        <w:numPr>
          <w:ilvl w:val="0"/>
          <w:numId w:val="1"/>
        </w:numPr>
        <w:tabs>
          <w:tab w:val="clear" w:pos="720"/>
          <w:tab w:val="num" w:pos="142"/>
        </w:tabs>
        <w:ind w:left="142" w:hanging="218"/>
        <w:jc w:val="both"/>
        <w:rPr>
          <w:sz w:val="18"/>
        </w:rPr>
      </w:pPr>
      <w:r>
        <w:rPr>
          <w:i/>
          <w:sz w:val="18"/>
        </w:rPr>
        <w:t>“En general, para tener éxito en la vida, es necesario tener un título universitario”</w:t>
      </w:r>
    </w:p>
    <w:p w:rsidR="00000000" w:rsidRDefault="00782BB1">
      <w:pPr>
        <w:numPr>
          <w:ilvl w:val="0"/>
          <w:numId w:val="1"/>
        </w:numPr>
        <w:tabs>
          <w:tab w:val="clear" w:pos="720"/>
          <w:tab w:val="num" w:pos="142"/>
        </w:tabs>
        <w:ind w:left="142" w:hanging="218"/>
        <w:jc w:val="both"/>
        <w:rPr>
          <w:sz w:val="18"/>
        </w:rPr>
      </w:pPr>
      <w:r>
        <w:rPr>
          <w:i/>
          <w:sz w:val="18"/>
        </w:rPr>
        <w:t>“Una de las razones por las que uno ingresa a la universidad es para tener amigos”</w:t>
      </w:r>
    </w:p>
    <w:p w:rsidR="00000000" w:rsidRDefault="00782BB1">
      <w:pPr>
        <w:numPr>
          <w:ilvl w:val="0"/>
          <w:numId w:val="1"/>
        </w:numPr>
        <w:tabs>
          <w:tab w:val="clear" w:pos="720"/>
          <w:tab w:val="num" w:pos="142"/>
        </w:tabs>
        <w:ind w:left="142" w:hanging="218"/>
        <w:jc w:val="both"/>
        <w:rPr>
          <w:sz w:val="18"/>
        </w:rPr>
      </w:pPr>
      <w:r>
        <w:rPr>
          <w:i/>
          <w:sz w:val="18"/>
        </w:rPr>
        <w:t>“El</w:t>
      </w:r>
      <w:r>
        <w:rPr>
          <w:i/>
          <w:sz w:val="18"/>
        </w:rPr>
        <w:t xml:space="preserve"> estudiante politécnico es muy organizado”</w:t>
      </w:r>
    </w:p>
    <w:p w:rsidR="00000000" w:rsidRDefault="00782BB1">
      <w:pPr>
        <w:numPr>
          <w:ilvl w:val="0"/>
          <w:numId w:val="1"/>
        </w:numPr>
        <w:tabs>
          <w:tab w:val="clear" w:pos="720"/>
          <w:tab w:val="num" w:pos="142"/>
        </w:tabs>
        <w:ind w:left="142" w:hanging="218"/>
        <w:jc w:val="both"/>
        <w:rPr>
          <w:sz w:val="18"/>
        </w:rPr>
      </w:pPr>
      <w:r>
        <w:rPr>
          <w:i/>
          <w:sz w:val="18"/>
        </w:rPr>
        <w:t>“La nota que se obtiene de un examen, mas que del conocimiento del estudiante depende de la forma en que califique el profesor”</w:t>
      </w:r>
    </w:p>
    <w:p w:rsidR="00000000" w:rsidRDefault="00782BB1">
      <w:pPr>
        <w:numPr>
          <w:ilvl w:val="0"/>
          <w:numId w:val="1"/>
        </w:numPr>
        <w:tabs>
          <w:tab w:val="clear" w:pos="720"/>
          <w:tab w:val="num" w:pos="142"/>
        </w:tabs>
        <w:ind w:left="142" w:hanging="218"/>
        <w:jc w:val="both"/>
        <w:rPr>
          <w:sz w:val="18"/>
        </w:rPr>
      </w:pPr>
      <w:r>
        <w:rPr>
          <w:i/>
          <w:sz w:val="18"/>
        </w:rPr>
        <w:t xml:space="preserve">“La mayoría de las materias que se dictan en la ESPOL no serían comprensibles, si no </w:t>
      </w:r>
      <w:r>
        <w:rPr>
          <w:i/>
          <w:sz w:val="18"/>
        </w:rPr>
        <w:t>existieran las ayudantías”</w:t>
      </w:r>
    </w:p>
    <w:p w:rsidR="00000000" w:rsidRDefault="00782BB1">
      <w:pPr>
        <w:numPr>
          <w:ilvl w:val="0"/>
          <w:numId w:val="1"/>
        </w:numPr>
        <w:tabs>
          <w:tab w:val="clear" w:pos="720"/>
          <w:tab w:val="num" w:pos="142"/>
        </w:tabs>
        <w:ind w:left="142" w:hanging="218"/>
        <w:jc w:val="both"/>
        <w:rPr>
          <w:sz w:val="18"/>
        </w:rPr>
      </w:pPr>
      <w:r>
        <w:rPr>
          <w:i/>
          <w:sz w:val="18"/>
        </w:rPr>
        <w:t>“Mientras estuve en la ESPOL mi relación con los profesores fue cordial”.</w:t>
      </w:r>
    </w:p>
    <w:p w:rsidR="00000000" w:rsidRDefault="00782BB1">
      <w:pPr>
        <w:jc w:val="both"/>
        <w:rPr>
          <w:sz w:val="18"/>
        </w:rPr>
      </w:pPr>
    </w:p>
    <w:p w:rsidR="00000000" w:rsidRDefault="00782BB1">
      <w:pPr>
        <w:jc w:val="both"/>
        <w:rPr>
          <w:sz w:val="18"/>
        </w:rPr>
      </w:pPr>
    </w:p>
    <w:p w:rsidR="00000000" w:rsidRDefault="00782BB1">
      <w:pPr>
        <w:jc w:val="both"/>
        <w:rPr>
          <w:sz w:val="18"/>
        </w:rPr>
      </w:pPr>
    </w:p>
    <w:p w:rsidR="00000000" w:rsidRDefault="00782BB1">
      <w:pPr>
        <w:jc w:val="both"/>
        <w:rPr>
          <w:sz w:val="18"/>
        </w:rPr>
      </w:pPr>
      <w:r>
        <w:rPr>
          <w:sz w:val="18"/>
        </w:rPr>
        <w:t xml:space="preserve">En el Gráfico 2 se presenta el Histograma de Frecuencia Simultáneo de las Proposiciones descritas anteriormente, donde se observa que aproximadamente e </w:t>
      </w:r>
      <w:r>
        <w:rPr>
          <w:sz w:val="18"/>
        </w:rPr>
        <w:t>45% de los desertores están  en desacuerdo con la proposición “La relación con los compañeros no es motivo para que un estudiante abandone la ESPOL”, mientras que la misma proposición en la opción total  acuerdo esta por debajo del  20%,  también se observ</w:t>
      </w:r>
      <w:r>
        <w:rPr>
          <w:sz w:val="18"/>
        </w:rPr>
        <w:t>a que en la opción parcial acuerdo más del 30% no considera que tener buena nota es equivalente a saber la materia.</w:t>
      </w:r>
    </w:p>
    <w:p w:rsidR="00000000" w:rsidRDefault="00782BB1">
      <w:pPr>
        <w:jc w:val="both"/>
        <w:rPr>
          <w:sz w:val="18"/>
        </w:rPr>
      </w:pPr>
    </w:p>
    <w:p w:rsidR="00000000" w:rsidRDefault="00782BB1">
      <w:pPr>
        <w:jc w:val="both"/>
        <w:rPr>
          <w:sz w:val="18"/>
        </w:rPr>
      </w:pPr>
    </w:p>
    <w:p w:rsidR="00000000" w:rsidRDefault="00782BB1">
      <w:pPr>
        <w:jc w:val="both"/>
        <w:rPr>
          <w:sz w:val="18"/>
        </w:rPr>
      </w:pPr>
    </w:p>
    <w:p w:rsidR="00000000" w:rsidRDefault="00782BB1">
      <w:pPr>
        <w:jc w:val="both"/>
        <w:rPr>
          <w:sz w:val="18"/>
        </w:rPr>
      </w:pPr>
      <w:r>
        <w:rPr>
          <w:sz w:val="18"/>
        </w:rPr>
        <w:t>En la opción de indiferencia  observamos que en la proposición “Mientras estuve en la ESPOL mi relación con los profesores fue cordial” t</w:t>
      </w:r>
      <w:r>
        <w:rPr>
          <w:sz w:val="18"/>
        </w:rPr>
        <w:t>iene menos  del 1%, mientras que en la opción  total acuerdo sobrepasa el 70% superando a las otras afirmaciones, comportamiento similar  tienen las proposiciones “Al trabajar en grupo, solo la persona que se involucra gana conocimientos” y “La nota que se</w:t>
      </w:r>
      <w:r>
        <w:rPr>
          <w:sz w:val="18"/>
        </w:rPr>
        <w:t xml:space="preserve"> obtiene en un examen mas que del conocimiento del estudiante depende de la forma en que califique el profesor”  ambas con menos del 15% en la opción de indiferencia y en la opción total acuerdo con más del 40%. </w:t>
      </w:r>
    </w:p>
    <w:p w:rsidR="00000000" w:rsidRDefault="00782BB1">
      <w:pPr>
        <w:jc w:val="both"/>
        <w:rPr>
          <w:sz w:val="18"/>
        </w:rPr>
      </w:pPr>
    </w:p>
    <w:p w:rsidR="00000000" w:rsidRDefault="00782BB1">
      <w:pPr>
        <w:jc w:val="both"/>
        <w:rPr>
          <w:sz w:val="18"/>
        </w:rPr>
      </w:pPr>
    </w:p>
    <w:p w:rsidR="00000000" w:rsidRDefault="00782BB1">
      <w:pPr>
        <w:jc w:val="both"/>
        <w:rPr>
          <w:sz w:val="18"/>
        </w:rPr>
      </w:pPr>
    </w:p>
    <w:p w:rsidR="00000000" w:rsidRDefault="00782BB1">
      <w:pPr>
        <w:jc w:val="both"/>
        <w:rPr>
          <w:sz w:val="18"/>
        </w:rPr>
      </w:pPr>
    </w:p>
    <w:p w:rsidR="00000000" w:rsidRDefault="00782BB1">
      <w:pPr>
        <w:jc w:val="both"/>
        <w:rPr>
          <w:sz w:val="18"/>
        </w:rPr>
      </w:pPr>
    </w:p>
    <w:p w:rsidR="00000000" w:rsidRDefault="00782BB1">
      <w:pPr>
        <w:jc w:val="both"/>
        <w:rPr>
          <w:sz w:val="18"/>
        </w:rPr>
      </w:pPr>
    </w:p>
    <w:p w:rsidR="00000000" w:rsidRDefault="00782BB1">
      <w:pPr>
        <w:jc w:val="both"/>
        <w:rPr>
          <w:sz w:val="18"/>
        </w:rPr>
      </w:pPr>
    </w:p>
    <w:p w:rsidR="00000000" w:rsidRDefault="00782BB1">
      <w:pPr>
        <w:jc w:val="both"/>
        <w:rPr>
          <w:sz w:val="18"/>
        </w:rPr>
      </w:pPr>
    </w:p>
    <w:p w:rsidR="00000000" w:rsidRDefault="00A42F44">
      <w:pPr>
        <w:jc w:val="both"/>
        <w:rPr>
          <w:sz w:val="18"/>
        </w:rPr>
      </w:pPr>
      <w:r>
        <w:rPr>
          <w:noProof/>
          <w:sz w:val="20"/>
          <w:lang w:val="en-US" w:eastAsia="en-US"/>
        </w:rPr>
        <w:drawing>
          <wp:anchor distT="0" distB="0" distL="114300" distR="114300" simplePos="0" relativeHeight="251657216" behindDoc="0" locked="0" layoutInCell="1" allowOverlap="1">
            <wp:simplePos x="0" y="0"/>
            <wp:positionH relativeFrom="column">
              <wp:posOffset>-132715</wp:posOffset>
            </wp:positionH>
            <wp:positionV relativeFrom="paragraph">
              <wp:posOffset>97155</wp:posOffset>
            </wp:positionV>
            <wp:extent cx="3200400" cy="4686300"/>
            <wp:effectExtent l="0" t="0" r="0"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3200400" cy="4686300"/>
                    </a:xfrm>
                    <a:prstGeom prst="rect">
                      <a:avLst/>
                    </a:prstGeom>
                    <a:noFill/>
                    <a:ln w="9525">
                      <a:noFill/>
                      <a:miter lim="800000"/>
                      <a:headEnd/>
                      <a:tailEnd/>
                    </a:ln>
                  </pic:spPr>
                </pic:pic>
              </a:graphicData>
            </a:graphic>
          </wp:anchor>
        </w:drawing>
      </w:r>
    </w:p>
    <w:p w:rsidR="00000000" w:rsidRDefault="00782BB1">
      <w:pPr>
        <w:jc w:val="both"/>
        <w:rPr>
          <w:sz w:val="18"/>
        </w:rPr>
      </w:pPr>
    </w:p>
    <w:p w:rsidR="00000000" w:rsidRDefault="00782BB1">
      <w:pPr>
        <w:jc w:val="both"/>
        <w:rPr>
          <w:sz w:val="18"/>
        </w:rPr>
      </w:pPr>
    </w:p>
    <w:p w:rsidR="00000000" w:rsidRDefault="00782BB1">
      <w:pPr>
        <w:jc w:val="both"/>
        <w:rPr>
          <w:b/>
          <w:sz w:val="18"/>
        </w:rPr>
      </w:pPr>
      <w:r>
        <w:rPr>
          <w:b/>
          <w:sz w:val="18"/>
        </w:rPr>
        <w:t>3. ANÁLISIS MULTIVARIADO</w:t>
      </w:r>
    </w:p>
    <w:p w:rsidR="00000000" w:rsidRDefault="00782BB1">
      <w:pPr>
        <w:jc w:val="both"/>
        <w:rPr>
          <w:sz w:val="18"/>
        </w:rPr>
      </w:pPr>
    </w:p>
    <w:p w:rsidR="00000000" w:rsidRDefault="00782BB1">
      <w:pPr>
        <w:jc w:val="both"/>
        <w:rPr>
          <w:sz w:val="18"/>
        </w:rPr>
      </w:pPr>
      <w:r>
        <w:rPr>
          <w:sz w:val="18"/>
        </w:rPr>
        <w:t>En es</w:t>
      </w:r>
      <w:r>
        <w:rPr>
          <w:sz w:val="18"/>
        </w:rPr>
        <w:t>te capítulo se realiza el Análisis Multivariado para los datos correspondientes a las variables consideradas de manera simultánea.</w:t>
      </w:r>
    </w:p>
    <w:p w:rsidR="00000000" w:rsidRDefault="00782BB1">
      <w:pPr>
        <w:jc w:val="both"/>
        <w:rPr>
          <w:sz w:val="18"/>
        </w:rPr>
      </w:pPr>
    </w:p>
    <w:p w:rsidR="00000000" w:rsidRDefault="00782BB1">
      <w:pPr>
        <w:jc w:val="both"/>
        <w:rPr>
          <w:sz w:val="18"/>
        </w:rPr>
      </w:pPr>
      <w:r>
        <w:rPr>
          <w:b/>
          <w:sz w:val="18"/>
        </w:rPr>
        <w:t xml:space="preserve">Análisis Bivariado.- </w:t>
      </w:r>
      <w:r>
        <w:rPr>
          <w:sz w:val="18"/>
        </w:rPr>
        <w:t xml:space="preserve">Una tabla bivariada es un arreglo ordenado de r filas y c columnas, donde las filas corresponden a los </w:t>
      </w:r>
      <w:r>
        <w:rPr>
          <w:sz w:val="18"/>
        </w:rPr>
        <w:t>valores que toma la variable aleatoria discreta X</w:t>
      </w:r>
      <w:r>
        <w:rPr>
          <w:b/>
          <w:sz w:val="18"/>
        </w:rPr>
        <w:t xml:space="preserve"> </w:t>
      </w:r>
      <w:r>
        <w:rPr>
          <w:sz w:val="18"/>
        </w:rPr>
        <w:t xml:space="preserve"> y las columnas a los valores que toma la variable aleatoria discreta Y. El objeto de esta técnica es conocer la “Distribución Conjunta” entre cada par de valores posibles que pueden tomar las variables ale</w:t>
      </w:r>
      <w:r>
        <w:rPr>
          <w:sz w:val="18"/>
        </w:rPr>
        <w:t>atorias X y Y. Es decir:</w:t>
      </w:r>
    </w:p>
    <w:p w:rsidR="00000000" w:rsidRDefault="00782BB1">
      <w:pPr>
        <w:jc w:val="both"/>
        <w:rPr>
          <w:sz w:val="18"/>
        </w:rPr>
      </w:pPr>
    </w:p>
    <w:p w:rsidR="00000000" w:rsidRDefault="00782BB1">
      <w:pPr>
        <w:jc w:val="both"/>
        <w:rPr>
          <w:sz w:val="18"/>
        </w:rPr>
      </w:pPr>
    </w:p>
    <w:p w:rsidR="00000000" w:rsidRDefault="00782BB1">
      <w:pPr>
        <w:jc w:val="center"/>
        <w:rPr>
          <w:sz w:val="18"/>
        </w:rPr>
      </w:pPr>
      <w:r>
        <w:rPr>
          <w:position w:val="-14"/>
          <w:sz w:val="18"/>
        </w:rPr>
        <w:object w:dxaOrig="2860" w:dyaOrig="380">
          <v:shape id="_x0000_i1027" type="#_x0000_t75" style="width:151pt;height:20pt" o:ole="">
            <v:imagedata r:id="rId14" o:title=""/>
          </v:shape>
          <o:OLEObject Type="Embed" ProgID="Equation.3" ShapeID="_x0000_i1027" DrawAspect="Content" ObjectID="_1346835654" r:id="rId15"/>
        </w:object>
      </w:r>
    </w:p>
    <w:p w:rsidR="00000000" w:rsidRDefault="00782BB1">
      <w:pPr>
        <w:jc w:val="center"/>
        <w:rPr>
          <w:sz w:val="18"/>
        </w:rPr>
      </w:pPr>
    </w:p>
    <w:p w:rsidR="00000000" w:rsidRDefault="00782BB1">
      <w:pPr>
        <w:jc w:val="both"/>
        <w:rPr>
          <w:sz w:val="18"/>
        </w:rPr>
      </w:pPr>
    </w:p>
    <w:p w:rsidR="00000000" w:rsidRDefault="00782BB1">
      <w:pPr>
        <w:jc w:val="both"/>
        <w:rPr>
          <w:sz w:val="18"/>
        </w:rPr>
      </w:pPr>
      <w:r>
        <w:rPr>
          <w:sz w:val="18"/>
        </w:rPr>
        <w:t xml:space="preserve">donde </w:t>
      </w:r>
      <w:r>
        <w:rPr>
          <w:position w:val="-14"/>
          <w:sz w:val="18"/>
        </w:rPr>
        <w:object w:dxaOrig="880" w:dyaOrig="380">
          <v:shape id="_x0000_i1028" type="#_x0000_t75" style="width:46pt;height:19pt" o:ole="">
            <v:imagedata r:id="rId16" o:title=""/>
          </v:shape>
          <o:OLEObject Type="Embed" ProgID="Equation.3" ShapeID="_x0000_i1028" DrawAspect="Content" ObjectID="_1346835655" r:id="rId17"/>
        </w:object>
      </w:r>
      <w:r>
        <w:rPr>
          <w:sz w:val="18"/>
        </w:rPr>
        <w:t xml:space="preserve"> es la probabilidad de que la variable X</w:t>
      </w:r>
      <w:r>
        <w:rPr>
          <w:b/>
          <w:sz w:val="18"/>
        </w:rPr>
        <w:t xml:space="preserve"> </w:t>
      </w:r>
      <w:r>
        <w:rPr>
          <w:sz w:val="18"/>
        </w:rPr>
        <w:t>tome el valor x</w:t>
      </w:r>
      <w:r>
        <w:rPr>
          <w:sz w:val="18"/>
          <w:vertAlign w:val="subscript"/>
        </w:rPr>
        <w:t>i</w:t>
      </w:r>
      <w:r>
        <w:rPr>
          <w:sz w:val="18"/>
        </w:rPr>
        <w:t xml:space="preserve"> al mismo tiempo que Y toma el valor y</w:t>
      </w:r>
      <w:r>
        <w:rPr>
          <w:sz w:val="18"/>
          <w:vertAlign w:val="subscript"/>
        </w:rPr>
        <w:t>j</w:t>
      </w:r>
      <w:r>
        <w:rPr>
          <w:sz w:val="18"/>
        </w:rPr>
        <w:t xml:space="preserve">. </w:t>
      </w:r>
    </w:p>
    <w:p w:rsidR="00000000" w:rsidRDefault="00782BB1">
      <w:pPr>
        <w:jc w:val="both"/>
        <w:rPr>
          <w:sz w:val="18"/>
        </w:rPr>
      </w:pPr>
      <w:r>
        <w:rPr>
          <w:sz w:val="18"/>
        </w:rPr>
        <w:lastRenderedPageBreak/>
        <w:t>Además de las Tablas Bivariadas, se presentan las tablas de Distribución Co</w:t>
      </w:r>
      <w:r>
        <w:rPr>
          <w:sz w:val="18"/>
        </w:rPr>
        <w:t xml:space="preserve">ndicional: </w:t>
      </w:r>
      <w:r>
        <w:rPr>
          <w:position w:val="-10"/>
          <w:sz w:val="18"/>
        </w:rPr>
        <w:object w:dxaOrig="1219" w:dyaOrig="340">
          <v:shape id="_x0000_i1029" type="#_x0000_t75" style="width:58pt;height:16pt" o:ole="">
            <v:imagedata r:id="rId18" o:title=""/>
          </v:shape>
          <o:OLEObject Type="Embed" ProgID="Equation.3" ShapeID="_x0000_i1029" DrawAspect="Content" ObjectID="_1346835656" r:id="rId19"/>
        </w:object>
      </w:r>
      <w:r>
        <w:rPr>
          <w:sz w:val="18"/>
        </w:rPr>
        <w:t xml:space="preserve"> y </w:t>
      </w:r>
      <w:r>
        <w:rPr>
          <w:position w:val="-10"/>
          <w:sz w:val="18"/>
        </w:rPr>
        <w:object w:dxaOrig="1219" w:dyaOrig="340">
          <v:shape id="_x0000_i1030" type="#_x0000_t75" style="width:57pt;height:16pt" o:ole="">
            <v:imagedata r:id="rId20" o:title=""/>
          </v:shape>
          <o:OLEObject Type="Embed" ProgID="Equation.3" ShapeID="_x0000_i1030" DrawAspect="Content" ObjectID="_1346835657" r:id="rId21"/>
        </w:object>
      </w:r>
      <w:r>
        <w:rPr>
          <w:sz w:val="18"/>
        </w:rPr>
        <w:t xml:space="preserve">,  en donde para el primer caso, los valores de la intersección de la i-ésima fila con la j-ésima columna corresponderán al resultado de </w:t>
      </w:r>
      <w:r>
        <w:rPr>
          <w:position w:val="-14"/>
          <w:sz w:val="18"/>
        </w:rPr>
        <w:object w:dxaOrig="1540" w:dyaOrig="380">
          <v:shape id="_x0000_i1031" type="#_x0000_t75" style="width:70pt;height:17pt" o:ole="">
            <v:imagedata r:id="rId22" o:title=""/>
          </v:shape>
          <o:OLEObject Type="Embed" ProgID="Equation.3" ShapeID="_x0000_i1031" DrawAspect="Content" ObjectID="_1346835658" r:id="rId23"/>
        </w:object>
      </w:r>
      <w:r>
        <w:rPr>
          <w:sz w:val="18"/>
        </w:rPr>
        <w:t xml:space="preserve"> que es la probabilidad condicional </w:t>
      </w:r>
      <w:r>
        <w:rPr>
          <w:sz w:val="18"/>
        </w:rPr>
        <w:t>de que Y</w:t>
      </w:r>
      <w:r>
        <w:rPr>
          <w:b/>
          <w:sz w:val="18"/>
        </w:rPr>
        <w:t xml:space="preserve"> </w:t>
      </w:r>
      <w:r>
        <w:rPr>
          <w:sz w:val="18"/>
        </w:rPr>
        <w:t>tome el valor de y</w:t>
      </w:r>
      <w:r>
        <w:rPr>
          <w:sz w:val="18"/>
          <w:vertAlign w:val="subscript"/>
        </w:rPr>
        <w:t>j</w:t>
      </w:r>
      <w:r>
        <w:rPr>
          <w:sz w:val="18"/>
        </w:rPr>
        <w:t xml:space="preserve"> dado que X toma el valor de x</w:t>
      </w:r>
      <w:r>
        <w:rPr>
          <w:sz w:val="18"/>
          <w:vertAlign w:val="subscript"/>
        </w:rPr>
        <w:t>i</w:t>
      </w:r>
      <w:r>
        <w:rPr>
          <w:sz w:val="18"/>
        </w:rPr>
        <w:t xml:space="preserve">. Para el caso en que la Tabla de Distribución Condicional corresponda a </w:t>
      </w:r>
      <w:r>
        <w:rPr>
          <w:position w:val="-10"/>
          <w:sz w:val="18"/>
        </w:rPr>
        <w:object w:dxaOrig="1219" w:dyaOrig="340">
          <v:shape id="_x0000_i1032" type="#_x0000_t75" style="width:54pt;height:15pt" o:ole="">
            <v:imagedata r:id="rId20" o:title=""/>
          </v:shape>
          <o:OLEObject Type="Embed" ProgID="Equation.3" ShapeID="_x0000_i1032" DrawAspect="Content" ObjectID="_1346835659" r:id="rId24"/>
        </w:object>
      </w:r>
      <w:r>
        <w:rPr>
          <w:sz w:val="18"/>
        </w:rPr>
        <w:t xml:space="preserve"> los valores de la intersección de la i-ésima fila con la j-ésima columna corresponderán al resultado</w:t>
      </w:r>
      <w:r>
        <w:rPr>
          <w:sz w:val="18"/>
        </w:rPr>
        <w:t xml:space="preserve"> de </w:t>
      </w:r>
      <w:r>
        <w:rPr>
          <w:position w:val="-14"/>
          <w:sz w:val="18"/>
        </w:rPr>
        <w:object w:dxaOrig="1579" w:dyaOrig="380">
          <v:shape id="_x0000_i1033" type="#_x0000_t75" style="width:66pt;height:16pt" o:ole="">
            <v:imagedata r:id="rId25" o:title=""/>
          </v:shape>
          <o:OLEObject Type="Embed" ProgID="Equation.3" ShapeID="_x0000_i1033" DrawAspect="Content" ObjectID="_1346835660" r:id="rId26"/>
        </w:object>
      </w:r>
      <w:r>
        <w:rPr>
          <w:sz w:val="18"/>
        </w:rPr>
        <w:t xml:space="preserve"> que es la probabilidad condicional de que la variable X</w:t>
      </w:r>
      <w:r>
        <w:rPr>
          <w:b/>
          <w:sz w:val="18"/>
        </w:rPr>
        <w:t xml:space="preserve"> </w:t>
      </w:r>
      <w:r>
        <w:rPr>
          <w:sz w:val="18"/>
        </w:rPr>
        <w:t>tome el valor de x</w:t>
      </w:r>
      <w:r>
        <w:rPr>
          <w:sz w:val="18"/>
          <w:vertAlign w:val="subscript"/>
        </w:rPr>
        <w:t>i</w:t>
      </w:r>
      <w:r>
        <w:rPr>
          <w:sz w:val="18"/>
        </w:rPr>
        <w:t>, dado que Y toma el valor de y</w:t>
      </w:r>
      <w:r>
        <w:rPr>
          <w:sz w:val="18"/>
          <w:vertAlign w:val="subscript"/>
        </w:rPr>
        <w:t>j</w:t>
      </w:r>
      <w:r>
        <w:rPr>
          <w:sz w:val="18"/>
        </w:rPr>
        <w:t xml:space="preserve">. </w:t>
      </w:r>
    </w:p>
    <w:p w:rsidR="00000000" w:rsidRDefault="00782BB1">
      <w:pPr>
        <w:jc w:val="both"/>
        <w:rPr>
          <w:sz w:val="18"/>
        </w:rPr>
      </w:pPr>
    </w:p>
    <w:p w:rsidR="00000000" w:rsidRDefault="00782BB1">
      <w:pPr>
        <w:jc w:val="both"/>
        <w:rPr>
          <w:sz w:val="18"/>
        </w:rPr>
      </w:pPr>
    </w:p>
    <w:p w:rsidR="00000000" w:rsidRDefault="00782BB1">
      <w:pPr>
        <w:jc w:val="both"/>
        <w:rPr>
          <w:sz w:val="18"/>
        </w:rPr>
      </w:pPr>
      <w:r>
        <w:rPr>
          <w:sz w:val="18"/>
        </w:rPr>
        <w:t xml:space="preserve">A continuación se presentan algunas tablas bivariadas cuya información resulta relevante para el presente trabajo. </w:t>
      </w:r>
    </w:p>
    <w:p w:rsidR="00000000" w:rsidRDefault="00782BB1">
      <w:pPr>
        <w:jc w:val="both"/>
        <w:rPr>
          <w:sz w:val="18"/>
        </w:rPr>
      </w:pPr>
    </w:p>
    <w:p w:rsidR="00000000" w:rsidRDefault="00782BB1">
      <w:pPr>
        <w:jc w:val="both"/>
        <w:rPr>
          <w:sz w:val="18"/>
        </w:rPr>
      </w:pPr>
    </w:p>
    <w:p w:rsidR="00000000" w:rsidRDefault="00782BB1">
      <w:pPr>
        <w:jc w:val="both"/>
        <w:rPr>
          <w:sz w:val="18"/>
        </w:rPr>
      </w:pPr>
      <w:r>
        <w:rPr>
          <w:i/>
          <w:iCs/>
          <w:sz w:val="18"/>
        </w:rPr>
        <w:t xml:space="preserve">Después de la ESPOL vs. Nivel de Educativo Actual.- </w:t>
      </w:r>
      <w:r>
        <w:rPr>
          <w:sz w:val="18"/>
        </w:rPr>
        <w:t>En la Tabla V se observa que 64 de cada mil entrevistados continuó estudiando después de retirarse de la ESPOL, pero mantiene el mismo nivel educativo, es decir, el 6.4% se retiró nuevamente de la unive</w:t>
      </w:r>
      <w:r>
        <w:rPr>
          <w:sz w:val="18"/>
        </w:rPr>
        <w:t>rsidad donde tomó la misma carrera que cursaba en la ESPOL. El 0.6% estudió una carrera afín a la que seguía en la ESPOL, pero mantiene el mismo nivel educativo que tenía al momento de desertar, el 2.9% estudió una  carrera diferente y mantiene el mismo ni</w:t>
      </w:r>
      <w:r>
        <w:rPr>
          <w:sz w:val="18"/>
        </w:rPr>
        <w:t>vel educativo formal, finalmente el 38% de los entrevistados no continuaron estudiando y por ende conservan en nivel educativo formal que obtuvieron como estudiantes de la ESPOL.</w:t>
      </w:r>
    </w:p>
    <w:p w:rsidR="00000000" w:rsidRDefault="00782BB1">
      <w:pPr>
        <w:jc w:val="both"/>
        <w:rPr>
          <w:sz w:val="18"/>
        </w:rPr>
      </w:pPr>
    </w:p>
    <w:p w:rsidR="00000000" w:rsidRDefault="00782BB1">
      <w:pPr>
        <w:jc w:val="both"/>
        <w:rPr>
          <w:sz w:val="18"/>
        </w:rPr>
      </w:pPr>
    </w:p>
    <w:tbl>
      <w:tblPr>
        <w:tblW w:w="4746" w:type="dxa"/>
        <w:jc w:val="right"/>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Layout w:type="fixed"/>
        <w:tblCellMar>
          <w:left w:w="70" w:type="dxa"/>
          <w:right w:w="70" w:type="dxa"/>
        </w:tblCellMar>
        <w:tblLook w:val="0000"/>
      </w:tblPr>
      <w:tblGrid>
        <w:gridCol w:w="1080"/>
        <w:gridCol w:w="507"/>
        <w:gridCol w:w="616"/>
        <w:gridCol w:w="559"/>
        <w:gridCol w:w="673"/>
        <w:gridCol w:w="583"/>
        <w:gridCol w:w="728"/>
      </w:tblGrid>
      <w:tr w:rsidR="00000000">
        <w:trPr>
          <w:trHeight w:val="255"/>
          <w:tblCellSpacing w:w="20" w:type="dxa"/>
          <w:jc w:val="right"/>
        </w:trPr>
        <w:tc>
          <w:tcPr>
            <w:tcW w:w="4666" w:type="dxa"/>
            <w:gridSpan w:val="7"/>
            <w:noWrap/>
            <w:vAlign w:val="bottom"/>
          </w:tcPr>
          <w:p w:rsidR="00000000" w:rsidRDefault="00782BB1">
            <w:pPr>
              <w:pStyle w:val="Ttulo2"/>
              <w:rPr>
                <w:szCs w:val="24"/>
              </w:rPr>
            </w:pPr>
            <w:r>
              <w:rPr>
                <w:szCs w:val="24"/>
              </w:rPr>
              <w:t>Tabla V</w:t>
            </w:r>
          </w:p>
          <w:p w:rsidR="00000000" w:rsidRDefault="00782BB1">
            <w:pPr>
              <w:jc w:val="center"/>
              <w:rPr>
                <w:sz w:val="16"/>
                <w:szCs w:val="20"/>
              </w:rPr>
            </w:pPr>
            <w:r>
              <w:rPr>
                <w:b/>
                <w:bCs/>
                <w:sz w:val="16"/>
                <w:szCs w:val="22"/>
              </w:rPr>
              <w:t xml:space="preserve">Distribución Conjunta de </w:t>
            </w:r>
            <w:r>
              <w:rPr>
                <w:b/>
                <w:i/>
                <w:sz w:val="16"/>
              </w:rPr>
              <w:t xml:space="preserve">Después de la ESPOL </w:t>
            </w:r>
            <w:r>
              <w:rPr>
                <w:b/>
                <w:sz w:val="16"/>
              </w:rPr>
              <w:t>vs.</w:t>
            </w:r>
            <w:r>
              <w:rPr>
                <w:b/>
                <w:i/>
                <w:sz w:val="16"/>
              </w:rPr>
              <w:t xml:space="preserve"> Nivel de Educativo</w:t>
            </w:r>
            <w:r>
              <w:rPr>
                <w:b/>
                <w:i/>
                <w:sz w:val="16"/>
              </w:rPr>
              <w:t xml:space="preserve"> Actual</w:t>
            </w:r>
          </w:p>
        </w:tc>
      </w:tr>
      <w:tr w:rsidR="00000000">
        <w:trPr>
          <w:cantSplit/>
          <w:trHeight w:val="255"/>
          <w:tblCellSpacing w:w="20" w:type="dxa"/>
          <w:jc w:val="right"/>
        </w:trPr>
        <w:tc>
          <w:tcPr>
            <w:tcW w:w="1020" w:type="dxa"/>
            <w:vMerge w:val="restart"/>
            <w:vAlign w:val="center"/>
          </w:tcPr>
          <w:p w:rsidR="00000000" w:rsidRDefault="00782BB1">
            <w:pPr>
              <w:jc w:val="center"/>
              <w:rPr>
                <w:rFonts w:ascii="Arial" w:hAnsi="Arial" w:cs="Arial"/>
                <w:b/>
                <w:bCs/>
                <w:sz w:val="16"/>
                <w:szCs w:val="20"/>
              </w:rPr>
            </w:pPr>
            <w:r>
              <w:rPr>
                <w:rFonts w:ascii="Arial" w:hAnsi="Arial" w:cs="Arial"/>
                <w:b/>
                <w:bCs/>
                <w:sz w:val="16"/>
                <w:szCs w:val="20"/>
              </w:rPr>
              <w:t>Después de la ESPOL</w:t>
            </w:r>
          </w:p>
        </w:tc>
        <w:tc>
          <w:tcPr>
            <w:tcW w:w="2898" w:type="dxa"/>
            <w:gridSpan w:val="5"/>
            <w:noWrap/>
            <w:vAlign w:val="center"/>
          </w:tcPr>
          <w:p w:rsidR="00000000" w:rsidRDefault="00782BB1">
            <w:pPr>
              <w:jc w:val="center"/>
              <w:rPr>
                <w:rFonts w:ascii="Arial" w:hAnsi="Arial" w:cs="Arial"/>
                <w:b/>
                <w:bCs/>
                <w:sz w:val="16"/>
                <w:szCs w:val="20"/>
              </w:rPr>
            </w:pPr>
            <w:r>
              <w:rPr>
                <w:rFonts w:ascii="Arial" w:hAnsi="Arial" w:cs="Arial"/>
                <w:b/>
                <w:bCs/>
                <w:sz w:val="16"/>
                <w:szCs w:val="20"/>
              </w:rPr>
              <w:t>Nivel Educativo Actual</w:t>
            </w:r>
          </w:p>
        </w:tc>
        <w:tc>
          <w:tcPr>
            <w:tcW w:w="668" w:type="dxa"/>
            <w:vMerge w:val="restart"/>
            <w:textDirection w:val="btLr"/>
            <w:vAlign w:val="center"/>
          </w:tcPr>
          <w:p w:rsidR="00000000" w:rsidRDefault="00782BB1">
            <w:pPr>
              <w:ind w:left="113" w:right="113"/>
              <w:jc w:val="center"/>
              <w:rPr>
                <w:rFonts w:ascii="Arial" w:hAnsi="Arial" w:cs="Arial"/>
                <w:b/>
                <w:bCs/>
                <w:sz w:val="16"/>
                <w:szCs w:val="20"/>
              </w:rPr>
            </w:pPr>
            <w:r>
              <w:rPr>
                <w:rFonts w:ascii="Arial" w:hAnsi="Arial" w:cs="Arial"/>
                <w:b/>
                <w:bCs/>
                <w:sz w:val="16"/>
                <w:szCs w:val="20"/>
              </w:rPr>
              <w:t>Marginal de "Después de la ESPOL"</w:t>
            </w:r>
          </w:p>
        </w:tc>
      </w:tr>
      <w:tr w:rsidR="00000000">
        <w:trPr>
          <w:cantSplit/>
          <w:trHeight w:val="1577"/>
          <w:tblCellSpacing w:w="20" w:type="dxa"/>
          <w:jc w:val="right"/>
        </w:trPr>
        <w:tc>
          <w:tcPr>
            <w:tcW w:w="1020" w:type="dxa"/>
            <w:vMerge/>
            <w:vAlign w:val="center"/>
          </w:tcPr>
          <w:p w:rsidR="00000000" w:rsidRDefault="00782BB1">
            <w:pPr>
              <w:jc w:val="center"/>
              <w:rPr>
                <w:rFonts w:ascii="Arial" w:hAnsi="Arial" w:cs="Arial"/>
                <w:b/>
                <w:bCs/>
                <w:sz w:val="16"/>
                <w:szCs w:val="20"/>
              </w:rPr>
            </w:pPr>
          </w:p>
        </w:tc>
        <w:tc>
          <w:tcPr>
            <w:tcW w:w="467" w:type="dxa"/>
            <w:noWrap/>
            <w:textDirection w:val="btLr"/>
            <w:vAlign w:val="center"/>
          </w:tcPr>
          <w:p w:rsidR="00000000" w:rsidRDefault="00782BB1">
            <w:pPr>
              <w:ind w:left="113" w:right="113"/>
              <w:jc w:val="center"/>
              <w:rPr>
                <w:rFonts w:ascii="Arial" w:hAnsi="Arial" w:cs="Arial"/>
                <w:bCs/>
                <w:sz w:val="16"/>
                <w:szCs w:val="16"/>
              </w:rPr>
            </w:pPr>
            <w:r>
              <w:rPr>
                <w:rFonts w:ascii="Arial" w:hAnsi="Arial" w:cs="Arial"/>
                <w:bCs/>
                <w:sz w:val="16"/>
                <w:szCs w:val="16"/>
              </w:rPr>
              <w:t>Igual al que tenía cuando se retiró de la ESPOL</w:t>
            </w:r>
          </w:p>
        </w:tc>
        <w:tc>
          <w:tcPr>
            <w:tcW w:w="576" w:type="dxa"/>
            <w:noWrap/>
            <w:textDirection w:val="btLr"/>
            <w:vAlign w:val="center"/>
          </w:tcPr>
          <w:p w:rsidR="00000000" w:rsidRDefault="00782BB1">
            <w:pPr>
              <w:ind w:left="113" w:right="113"/>
              <w:jc w:val="center"/>
              <w:rPr>
                <w:rFonts w:ascii="Arial" w:hAnsi="Arial" w:cs="Arial"/>
                <w:bCs/>
                <w:sz w:val="16"/>
                <w:szCs w:val="16"/>
              </w:rPr>
            </w:pPr>
            <w:r>
              <w:rPr>
                <w:rFonts w:ascii="Arial" w:hAnsi="Arial" w:cs="Arial"/>
                <w:bCs/>
                <w:sz w:val="16"/>
                <w:szCs w:val="16"/>
              </w:rPr>
              <w:t>Sigue estudiando pero no se ha graduado</w:t>
            </w:r>
          </w:p>
        </w:tc>
        <w:tc>
          <w:tcPr>
            <w:tcW w:w="519" w:type="dxa"/>
            <w:noWrap/>
            <w:textDirection w:val="btLr"/>
            <w:vAlign w:val="center"/>
          </w:tcPr>
          <w:p w:rsidR="00000000" w:rsidRDefault="00782BB1">
            <w:pPr>
              <w:ind w:left="113" w:right="113"/>
              <w:jc w:val="center"/>
              <w:rPr>
                <w:rFonts w:ascii="Arial" w:hAnsi="Arial" w:cs="Arial"/>
                <w:bCs/>
                <w:sz w:val="16"/>
                <w:szCs w:val="16"/>
              </w:rPr>
            </w:pPr>
            <w:r>
              <w:rPr>
                <w:rFonts w:ascii="Arial" w:hAnsi="Arial" w:cs="Arial"/>
                <w:bCs/>
                <w:sz w:val="16"/>
                <w:szCs w:val="16"/>
              </w:rPr>
              <w:t>Terminó sus estudios de pregrado</w:t>
            </w:r>
          </w:p>
        </w:tc>
        <w:tc>
          <w:tcPr>
            <w:tcW w:w="633" w:type="dxa"/>
            <w:noWrap/>
            <w:textDirection w:val="btLr"/>
            <w:vAlign w:val="center"/>
          </w:tcPr>
          <w:p w:rsidR="00000000" w:rsidRDefault="00782BB1">
            <w:pPr>
              <w:ind w:left="113" w:right="113"/>
              <w:jc w:val="center"/>
              <w:rPr>
                <w:rFonts w:ascii="Arial" w:hAnsi="Arial" w:cs="Arial"/>
                <w:bCs/>
                <w:sz w:val="16"/>
                <w:szCs w:val="16"/>
              </w:rPr>
            </w:pPr>
            <w:r>
              <w:rPr>
                <w:rFonts w:ascii="Arial" w:hAnsi="Arial" w:cs="Arial"/>
                <w:bCs/>
                <w:sz w:val="16"/>
                <w:szCs w:val="16"/>
              </w:rPr>
              <w:t>Terminó sus estudios de pregrado y está estudia</w:t>
            </w:r>
            <w:r>
              <w:rPr>
                <w:rFonts w:ascii="Arial" w:hAnsi="Arial" w:cs="Arial"/>
                <w:bCs/>
                <w:sz w:val="16"/>
                <w:szCs w:val="16"/>
              </w:rPr>
              <w:t>ndo postgrado</w:t>
            </w:r>
          </w:p>
        </w:tc>
        <w:tc>
          <w:tcPr>
            <w:tcW w:w="543" w:type="dxa"/>
            <w:noWrap/>
            <w:textDirection w:val="btLr"/>
            <w:vAlign w:val="center"/>
          </w:tcPr>
          <w:p w:rsidR="00000000" w:rsidRDefault="00782BB1">
            <w:pPr>
              <w:ind w:left="113" w:right="113"/>
              <w:jc w:val="center"/>
              <w:rPr>
                <w:rFonts w:ascii="Arial" w:hAnsi="Arial" w:cs="Arial"/>
                <w:bCs/>
                <w:sz w:val="16"/>
                <w:szCs w:val="16"/>
              </w:rPr>
            </w:pPr>
            <w:r>
              <w:rPr>
                <w:rFonts w:ascii="Arial" w:hAnsi="Arial" w:cs="Arial"/>
                <w:bCs/>
                <w:sz w:val="16"/>
                <w:szCs w:val="16"/>
              </w:rPr>
              <w:t>Terminó sus estudios de postgrado</w:t>
            </w:r>
          </w:p>
        </w:tc>
        <w:tc>
          <w:tcPr>
            <w:tcW w:w="668" w:type="dxa"/>
            <w:vMerge/>
            <w:vAlign w:val="center"/>
          </w:tcPr>
          <w:p w:rsidR="00000000" w:rsidRDefault="00782BB1">
            <w:pPr>
              <w:jc w:val="center"/>
              <w:rPr>
                <w:rFonts w:ascii="Arial" w:hAnsi="Arial" w:cs="Arial"/>
                <w:b/>
                <w:bCs/>
                <w:sz w:val="16"/>
                <w:szCs w:val="20"/>
              </w:rPr>
            </w:pPr>
          </w:p>
        </w:tc>
      </w:tr>
      <w:tr w:rsidR="00000000">
        <w:trPr>
          <w:trHeight w:val="255"/>
          <w:tblCellSpacing w:w="20" w:type="dxa"/>
          <w:jc w:val="right"/>
        </w:trPr>
        <w:tc>
          <w:tcPr>
            <w:tcW w:w="1020" w:type="dxa"/>
            <w:noWrap/>
            <w:vAlign w:val="bottom"/>
          </w:tcPr>
          <w:p w:rsidR="00000000" w:rsidRDefault="00782BB1">
            <w:pPr>
              <w:ind w:left="-39" w:right="-188"/>
              <w:rPr>
                <w:rFonts w:ascii="Arial" w:hAnsi="Arial" w:cs="Arial"/>
                <w:sz w:val="16"/>
                <w:szCs w:val="20"/>
              </w:rPr>
            </w:pPr>
            <w:r>
              <w:rPr>
                <w:rFonts w:ascii="Arial" w:hAnsi="Arial" w:cs="Arial"/>
                <w:sz w:val="16"/>
                <w:szCs w:val="20"/>
              </w:rPr>
              <w:t>Estudió la misma carrera que en la ESPOL</w:t>
            </w:r>
          </w:p>
        </w:tc>
        <w:tc>
          <w:tcPr>
            <w:tcW w:w="467" w:type="dxa"/>
            <w:noWrap/>
            <w:vAlign w:val="center"/>
          </w:tcPr>
          <w:p w:rsidR="00000000" w:rsidRDefault="00782BB1">
            <w:pPr>
              <w:ind w:left="-149" w:right="-177"/>
              <w:jc w:val="center"/>
              <w:rPr>
                <w:rFonts w:ascii="Arial" w:hAnsi="Arial" w:cs="Arial"/>
                <w:sz w:val="16"/>
                <w:szCs w:val="20"/>
              </w:rPr>
            </w:pPr>
            <w:r>
              <w:rPr>
                <w:rFonts w:ascii="Arial" w:hAnsi="Arial" w:cs="Arial"/>
                <w:sz w:val="16"/>
                <w:szCs w:val="20"/>
              </w:rPr>
              <w:t>0.064</w:t>
            </w:r>
          </w:p>
        </w:tc>
        <w:tc>
          <w:tcPr>
            <w:tcW w:w="576" w:type="dxa"/>
            <w:noWrap/>
            <w:vAlign w:val="center"/>
          </w:tcPr>
          <w:p w:rsidR="00000000" w:rsidRDefault="00782BB1">
            <w:pPr>
              <w:ind w:left="-175" w:right="-156"/>
              <w:jc w:val="center"/>
              <w:rPr>
                <w:rFonts w:ascii="Arial" w:hAnsi="Arial" w:cs="Arial"/>
                <w:sz w:val="16"/>
                <w:szCs w:val="20"/>
              </w:rPr>
            </w:pPr>
            <w:r>
              <w:rPr>
                <w:rFonts w:ascii="Arial" w:hAnsi="Arial" w:cs="Arial"/>
                <w:sz w:val="16"/>
                <w:szCs w:val="20"/>
              </w:rPr>
              <w:t>0.012</w:t>
            </w:r>
          </w:p>
        </w:tc>
        <w:tc>
          <w:tcPr>
            <w:tcW w:w="519" w:type="dxa"/>
            <w:noWrap/>
            <w:vAlign w:val="center"/>
          </w:tcPr>
          <w:p w:rsidR="00000000" w:rsidRDefault="00782BB1">
            <w:pPr>
              <w:ind w:left="-74" w:right="-128"/>
              <w:jc w:val="center"/>
              <w:rPr>
                <w:rFonts w:ascii="Arial" w:hAnsi="Arial" w:cs="Arial"/>
                <w:sz w:val="16"/>
                <w:szCs w:val="20"/>
              </w:rPr>
            </w:pPr>
            <w:r>
              <w:rPr>
                <w:rFonts w:ascii="Arial" w:hAnsi="Arial" w:cs="Arial"/>
                <w:sz w:val="16"/>
                <w:szCs w:val="20"/>
              </w:rPr>
              <w:t>0.006</w:t>
            </w:r>
          </w:p>
        </w:tc>
        <w:tc>
          <w:tcPr>
            <w:tcW w:w="633" w:type="dxa"/>
            <w:noWrap/>
            <w:vAlign w:val="center"/>
          </w:tcPr>
          <w:p w:rsidR="00000000" w:rsidRDefault="00782BB1">
            <w:pPr>
              <w:ind w:right="-43"/>
              <w:jc w:val="center"/>
              <w:rPr>
                <w:rFonts w:ascii="Arial" w:hAnsi="Arial" w:cs="Arial"/>
                <w:sz w:val="16"/>
                <w:szCs w:val="20"/>
              </w:rPr>
            </w:pPr>
            <w:r>
              <w:rPr>
                <w:rFonts w:ascii="Arial" w:hAnsi="Arial" w:cs="Arial"/>
                <w:sz w:val="16"/>
                <w:szCs w:val="20"/>
              </w:rPr>
              <w:t>0.000</w:t>
            </w:r>
          </w:p>
        </w:tc>
        <w:tc>
          <w:tcPr>
            <w:tcW w:w="543" w:type="dxa"/>
            <w:noWrap/>
            <w:vAlign w:val="center"/>
          </w:tcPr>
          <w:p w:rsidR="00000000" w:rsidRDefault="00782BB1">
            <w:pPr>
              <w:ind w:left="-25" w:right="-123"/>
              <w:jc w:val="center"/>
              <w:rPr>
                <w:rFonts w:ascii="Arial" w:hAnsi="Arial" w:cs="Arial"/>
                <w:sz w:val="16"/>
                <w:szCs w:val="20"/>
              </w:rPr>
            </w:pPr>
            <w:r>
              <w:rPr>
                <w:rFonts w:ascii="Arial" w:hAnsi="Arial" w:cs="Arial"/>
                <w:sz w:val="16"/>
                <w:szCs w:val="20"/>
              </w:rPr>
              <w:t>0.000</w:t>
            </w:r>
          </w:p>
        </w:tc>
        <w:tc>
          <w:tcPr>
            <w:tcW w:w="668" w:type="dxa"/>
            <w:noWrap/>
            <w:vAlign w:val="center"/>
          </w:tcPr>
          <w:p w:rsidR="00000000" w:rsidRDefault="00782BB1">
            <w:pPr>
              <w:ind w:right="-42"/>
              <w:jc w:val="center"/>
              <w:rPr>
                <w:rFonts w:ascii="Arial" w:hAnsi="Arial" w:cs="Arial"/>
                <w:b/>
                <w:sz w:val="16"/>
                <w:szCs w:val="20"/>
              </w:rPr>
            </w:pPr>
            <w:r>
              <w:rPr>
                <w:rFonts w:ascii="Arial" w:hAnsi="Arial" w:cs="Arial"/>
                <w:b/>
                <w:sz w:val="16"/>
                <w:szCs w:val="20"/>
              </w:rPr>
              <w:t>0.082</w:t>
            </w:r>
          </w:p>
        </w:tc>
      </w:tr>
      <w:tr w:rsidR="00000000">
        <w:trPr>
          <w:trHeight w:val="255"/>
          <w:tblCellSpacing w:w="20" w:type="dxa"/>
          <w:jc w:val="right"/>
        </w:trPr>
        <w:tc>
          <w:tcPr>
            <w:tcW w:w="1020" w:type="dxa"/>
            <w:noWrap/>
            <w:vAlign w:val="bottom"/>
          </w:tcPr>
          <w:p w:rsidR="00000000" w:rsidRDefault="00782BB1">
            <w:pPr>
              <w:ind w:left="-39" w:right="-188"/>
              <w:rPr>
                <w:rFonts w:ascii="Arial" w:hAnsi="Arial" w:cs="Arial"/>
                <w:sz w:val="16"/>
                <w:szCs w:val="20"/>
              </w:rPr>
            </w:pPr>
            <w:r>
              <w:rPr>
                <w:rFonts w:ascii="Arial" w:hAnsi="Arial" w:cs="Arial"/>
                <w:sz w:val="16"/>
                <w:szCs w:val="20"/>
              </w:rPr>
              <w:t>Estudió otra carrera afín</w:t>
            </w:r>
          </w:p>
        </w:tc>
        <w:tc>
          <w:tcPr>
            <w:tcW w:w="467" w:type="dxa"/>
            <w:noWrap/>
            <w:vAlign w:val="center"/>
          </w:tcPr>
          <w:p w:rsidR="00000000" w:rsidRDefault="00782BB1">
            <w:pPr>
              <w:ind w:left="-149" w:right="-177"/>
              <w:jc w:val="center"/>
              <w:rPr>
                <w:rFonts w:ascii="Arial" w:hAnsi="Arial" w:cs="Arial"/>
                <w:sz w:val="16"/>
                <w:szCs w:val="20"/>
              </w:rPr>
            </w:pPr>
            <w:r>
              <w:rPr>
                <w:rFonts w:ascii="Arial" w:hAnsi="Arial" w:cs="Arial"/>
                <w:sz w:val="16"/>
                <w:szCs w:val="20"/>
              </w:rPr>
              <w:t>0.006</w:t>
            </w:r>
          </w:p>
        </w:tc>
        <w:tc>
          <w:tcPr>
            <w:tcW w:w="576" w:type="dxa"/>
            <w:noWrap/>
            <w:vAlign w:val="center"/>
          </w:tcPr>
          <w:p w:rsidR="00000000" w:rsidRDefault="00782BB1">
            <w:pPr>
              <w:ind w:left="-175" w:right="-156"/>
              <w:jc w:val="center"/>
              <w:rPr>
                <w:rFonts w:ascii="Arial" w:hAnsi="Arial" w:cs="Arial"/>
                <w:sz w:val="16"/>
                <w:szCs w:val="20"/>
              </w:rPr>
            </w:pPr>
            <w:r>
              <w:rPr>
                <w:rFonts w:ascii="Arial" w:hAnsi="Arial" w:cs="Arial"/>
                <w:sz w:val="16"/>
                <w:szCs w:val="20"/>
              </w:rPr>
              <w:t>0.111</w:t>
            </w:r>
          </w:p>
        </w:tc>
        <w:tc>
          <w:tcPr>
            <w:tcW w:w="519" w:type="dxa"/>
            <w:noWrap/>
            <w:vAlign w:val="center"/>
          </w:tcPr>
          <w:p w:rsidR="00000000" w:rsidRDefault="00782BB1">
            <w:pPr>
              <w:ind w:left="-74" w:right="-128"/>
              <w:jc w:val="center"/>
              <w:rPr>
                <w:rFonts w:ascii="Arial" w:hAnsi="Arial" w:cs="Arial"/>
                <w:sz w:val="16"/>
                <w:szCs w:val="20"/>
              </w:rPr>
            </w:pPr>
            <w:r>
              <w:rPr>
                <w:rFonts w:ascii="Arial" w:hAnsi="Arial" w:cs="Arial"/>
                <w:sz w:val="16"/>
                <w:szCs w:val="20"/>
              </w:rPr>
              <w:t>0.047</w:t>
            </w:r>
          </w:p>
        </w:tc>
        <w:tc>
          <w:tcPr>
            <w:tcW w:w="633" w:type="dxa"/>
            <w:noWrap/>
            <w:vAlign w:val="center"/>
          </w:tcPr>
          <w:p w:rsidR="00000000" w:rsidRDefault="00782BB1">
            <w:pPr>
              <w:ind w:right="-43"/>
              <w:jc w:val="center"/>
              <w:rPr>
                <w:rFonts w:ascii="Arial" w:hAnsi="Arial" w:cs="Arial"/>
                <w:sz w:val="16"/>
                <w:szCs w:val="20"/>
              </w:rPr>
            </w:pPr>
            <w:r>
              <w:rPr>
                <w:rFonts w:ascii="Arial" w:hAnsi="Arial" w:cs="Arial"/>
                <w:sz w:val="16"/>
                <w:szCs w:val="20"/>
              </w:rPr>
              <w:t>0.012</w:t>
            </w:r>
          </w:p>
        </w:tc>
        <w:tc>
          <w:tcPr>
            <w:tcW w:w="543" w:type="dxa"/>
            <w:noWrap/>
            <w:vAlign w:val="center"/>
          </w:tcPr>
          <w:p w:rsidR="00000000" w:rsidRDefault="00782BB1">
            <w:pPr>
              <w:ind w:left="-25" w:right="-123"/>
              <w:jc w:val="center"/>
              <w:rPr>
                <w:rFonts w:ascii="Arial" w:hAnsi="Arial" w:cs="Arial"/>
                <w:sz w:val="16"/>
                <w:szCs w:val="20"/>
              </w:rPr>
            </w:pPr>
            <w:r>
              <w:rPr>
                <w:rFonts w:ascii="Arial" w:hAnsi="Arial" w:cs="Arial"/>
                <w:sz w:val="16"/>
                <w:szCs w:val="20"/>
              </w:rPr>
              <w:t>0.000</w:t>
            </w:r>
          </w:p>
        </w:tc>
        <w:tc>
          <w:tcPr>
            <w:tcW w:w="668" w:type="dxa"/>
            <w:noWrap/>
            <w:vAlign w:val="center"/>
          </w:tcPr>
          <w:p w:rsidR="00000000" w:rsidRDefault="00782BB1">
            <w:pPr>
              <w:ind w:right="-42"/>
              <w:jc w:val="center"/>
              <w:rPr>
                <w:rFonts w:ascii="Arial" w:hAnsi="Arial" w:cs="Arial"/>
                <w:b/>
                <w:sz w:val="16"/>
                <w:szCs w:val="20"/>
              </w:rPr>
            </w:pPr>
            <w:r>
              <w:rPr>
                <w:rFonts w:ascii="Arial" w:hAnsi="Arial" w:cs="Arial"/>
                <w:b/>
                <w:sz w:val="16"/>
                <w:szCs w:val="20"/>
              </w:rPr>
              <w:t>0.175</w:t>
            </w:r>
          </w:p>
        </w:tc>
      </w:tr>
      <w:tr w:rsidR="00000000">
        <w:trPr>
          <w:trHeight w:val="255"/>
          <w:tblCellSpacing w:w="20" w:type="dxa"/>
          <w:jc w:val="right"/>
        </w:trPr>
        <w:tc>
          <w:tcPr>
            <w:tcW w:w="1020" w:type="dxa"/>
            <w:noWrap/>
            <w:vAlign w:val="bottom"/>
          </w:tcPr>
          <w:p w:rsidR="00000000" w:rsidRDefault="00782BB1">
            <w:pPr>
              <w:ind w:left="-39" w:right="-188"/>
              <w:rPr>
                <w:rFonts w:ascii="Arial" w:hAnsi="Arial" w:cs="Arial"/>
                <w:sz w:val="16"/>
                <w:szCs w:val="20"/>
              </w:rPr>
            </w:pPr>
            <w:r>
              <w:rPr>
                <w:rFonts w:ascii="Arial" w:hAnsi="Arial" w:cs="Arial"/>
                <w:sz w:val="16"/>
                <w:szCs w:val="20"/>
              </w:rPr>
              <w:t>Estudió una carrera diferente</w:t>
            </w:r>
          </w:p>
        </w:tc>
        <w:tc>
          <w:tcPr>
            <w:tcW w:w="467" w:type="dxa"/>
            <w:noWrap/>
            <w:vAlign w:val="center"/>
          </w:tcPr>
          <w:p w:rsidR="00000000" w:rsidRDefault="00782BB1">
            <w:pPr>
              <w:ind w:left="-149" w:right="-177"/>
              <w:jc w:val="center"/>
              <w:rPr>
                <w:rFonts w:ascii="Arial" w:hAnsi="Arial" w:cs="Arial"/>
                <w:sz w:val="16"/>
                <w:szCs w:val="20"/>
              </w:rPr>
            </w:pPr>
            <w:r>
              <w:rPr>
                <w:rFonts w:ascii="Arial" w:hAnsi="Arial" w:cs="Arial"/>
                <w:sz w:val="16"/>
                <w:szCs w:val="20"/>
              </w:rPr>
              <w:t>0.029</w:t>
            </w:r>
          </w:p>
        </w:tc>
        <w:tc>
          <w:tcPr>
            <w:tcW w:w="576" w:type="dxa"/>
            <w:noWrap/>
            <w:vAlign w:val="center"/>
          </w:tcPr>
          <w:p w:rsidR="00000000" w:rsidRDefault="00782BB1">
            <w:pPr>
              <w:ind w:left="-175" w:right="-156"/>
              <w:jc w:val="center"/>
              <w:rPr>
                <w:rFonts w:ascii="Arial" w:hAnsi="Arial" w:cs="Arial"/>
                <w:sz w:val="16"/>
                <w:szCs w:val="20"/>
              </w:rPr>
            </w:pPr>
            <w:r>
              <w:rPr>
                <w:rFonts w:ascii="Arial" w:hAnsi="Arial" w:cs="Arial"/>
                <w:sz w:val="16"/>
                <w:szCs w:val="20"/>
              </w:rPr>
              <w:t>0.234</w:t>
            </w:r>
          </w:p>
        </w:tc>
        <w:tc>
          <w:tcPr>
            <w:tcW w:w="519" w:type="dxa"/>
            <w:noWrap/>
            <w:vAlign w:val="center"/>
          </w:tcPr>
          <w:p w:rsidR="00000000" w:rsidRDefault="00782BB1">
            <w:pPr>
              <w:ind w:left="-74" w:right="-128"/>
              <w:jc w:val="center"/>
              <w:rPr>
                <w:rFonts w:ascii="Arial" w:hAnsi="Arial" w:cs="Arial"/>
                <w:sz w:val="16"/>
                <w:szCs w:val="20"/>
              </w:rPr>
            </w:pPr>
            <w:r>
              <w:rPr>
                <w:rFonts w:ascii="Arial" w:hAnsi="Arial" w:cs="Arial"/>
                <w:sz w:val="16"/>
                <w:szCs w:val="20"/>
              </w:rPr>
              <w:t>0.082</w:t>
            </w:r>
          </w:p>
        </w:tc>
        <w:tc>
          <w:tcPr>
            <w:tcW w:w="633" w:type="dxa"/>
            <w:noWrap/>
            <w:vAlign w:val="center"/>
          </w:tcPr>
          <w:p w:rsidR="00000000" w:rsidRDefault="00782BB1">
            <w:pPr>
              <w:ind w:right="-43"/>
              <w:jc w:val="center"/>
              <w:rPr>
                <w:rFonts w:ascii="Arial" w:hAnsi="Arial" w:cs="Arial"/>
                <w:sz w:val="16"/>
                <w:szCs w:val="20"/>
              </w:rPr>
            </w:pPr>
            <w:r>
              <w:rPr>
                <w:rFonts w:ascii="Arial" w:hAnsi="Arial" w:cs="Arial"/>
                <w:sz w:val="16"/>
                <w:szCs w:val="20"/>
              </w:rPr>
              <w:t>0.012</w:t>
            </w:r>
          </w:p>
        </w:tc>
        <w:tc>
          <w:tcPr>
            <w:tcW w:w="543" w:type="dxa"/>
            <w:noWrap/>
            <w:vAlign w:val="center"/>
          </w:tcPr>
          <w:p w:rsidR="00000000" w:rsidRDefault="00782BB1">
            <w:pPr>
              <w:ind w:left="-25" w:right="-123"/>
              <w:jc w:val="center"/>
              <w:rPr>
                <w:rFonts w:ascii="Arial" w:hAnsi="Arial" w:cs="Arial"/>
                <w:sz w:val="16"/>
                <w:szCs w:val="20"/>
              </w:rPr>
            </w:pPr>
            <w:r>
              <w:rPr>
                <w:rFonts w:ascii="Arial" w:hAnsi="Arial" w:cs="Arial"/>
                <w:sz w:val="16"/>
                <w:szCs w:val="20"/>
              </w:rPr>
              <w:t>0.006</w:t>
            </w:r>
          </w:p>
        </w:tc>
        <w:tc>
          <w:tcPr>
            <w:tcW w:w="668" w:type="dxa"/>
            <w:noWrap/>
            <w:vAlign w:val="center"/>
          </w:tcPr>
          <w:p w:rsidR="00000000" w:rsidRDefault="00782BB1">
            <w:pPr>
              <w:ind w:right="-42"/>
              <w:jc w:val="center"/>
              <w:rPr>
                <w:rFonts w:ascii="Arial" w:hAnsi="Arial" w:cs="Arial"/>
                <w:b/>
                <w:sz w:val="16"/>
                <w:szCs w:val="20"/>
              </w:rPr>
            </w:pPr>
            <w:r>
              <w:rPr>
                <w:rFonts w:ascii="Arial" w:hAnsi="Arial" w:cs="Arial"/>
                <w:b/>
                <w:sz w:val="16"/>
                <w:szCs w:val="20"/>
              </w:rPr>
              <w:t>0.363</w:t>
            </w:r>
          </w:p>
        </w:tc>
      </w:tr>
      <w:tr w:rsidR="00000000">
        <w:trPr>
          <w:trHeight w:val="255"/>
          <w:tblCellSpacing w:w="20" w:type="dxa"/>
          <w:jc w:val="right"/>
        </w:trPr>
        <w:tc>
          <w:tcPr>
            <w:tcW w:w="1020" w:type="dxa"/>
            <w:noWrap/>
            <w:vAlign w:val="bottom"/>
          </w:tcPr>
          <w:p w:rsidR="00000000" w:rsidRDefault="00782BB1">
            <w:pPr>
              <w:ind w:left="-39" w:right="-188"/>
              <w:rPr>
                <w:rFonts w:ascii="Arial" w:hAnsi="Arial" w:cs="Arial"/>
                <w:sz w:val="16"/>
                <w:szCs w:val="20"/>
              </w:rPr>
            </w:pPr>
            <w:r>
              <w:rPr>
                <w:rFonts w:ascii="Arial" w:hAnsi="Arial" w:cs="Arial"/>
                <w:sz w:val="16"/>
                <w:szCs w:val="20"/>
              </w:rPr>
              <w:t>No continuó estudiando</w:t>
            </w:r>
          </w:p>
        </w:tc>
        <w:tc>
          <w:tcPr>
            <w:tcW w:w="467" w:type="dxa"/>
            <w:noWrap/>
            <w:vAlign w:val="center"/>
          </w:tcPr>
          <w:p w:rsidR="00000000" w:rsidRDefault="00782BB1">
            <w:pPr>
              <w:ind w:left="-149" w:right="-177"/>
              <w:jc w:val="center"/>
              <w:rPr>
                <w:rFonts w:ascii="Arial" w:hAnsi="Arial" w:cs="Arial"/>
                <w:sz w:val="16"/>
                <w:szCs w:val="20"/>
              </w:rPr>
            </w:pPr>
            <w:r>
              <w:rPr>
                <w:rFonts w:ascii="Arial" w:hAnsi="Arial" w:cs="Arial"/>
                <w:sz w:val="16"/>
                <w:szCs w:val="20"/>
              </w:rPr>
              <w:t>0.380</w:t>
            </w:r>
          </w:p>
        </w:tc>
        <w:tc>
          <w:tcPr>
            <w:tcW w:w="576" w:type="dxa"/>
            <w:noWrap/>
            <w:vAlign w:val="center"/>
          </w:tcPr>
          <w:p w:rsidR="00000000" w:rsidRDefault="00782BB1">
            <w:pPr>
              <w:ind w:left="-175" w:right="-156"/>
              <w:jc w:val="center"/>
              <w:rPr>
                <w:rFonts w:ascii="Arial" w:hAnsi="Arial" w:cs="Arial"/>
                <w:sz w:val="16"/>
                <w:szCs w:val="20"/>
              </w:rPr>
            </w:pPr>
            <w:r>
              <w:rPr>
                <w:rFonts w:ascii="Arial" w:hAnsi="Arial" w:cs="Arial"/>
                <w:sz w:val="16"/>
                <w:szCs w:val="20"/>
              </w:rPr>
              <w:t>0.000</w:t>
            </w:r>
          </w:p>
        </w:tc>
        <w:tc>
          <w:tcPr>
            <w:tcW w:w="519" w:type="dxa"/>
            <w:noWrap/>
            <w:vAlign w:val="center"/>
          </w:tcPr>
          <w:p w:rsidR="00000000" w:rsidRDefault="00782BB1">
            <w:pPr>
              <w:ind w:left="-74" w:right="-128"/>
              <w:jc w:val="center"/>
              <w:rPr>
                <w:rFonts w:ascii="Arial" w:hAnsi="Arial" w:cs="Arial"/>
                <w:sz w:val="16"/>
                <w:szCs w:val="20"/>
              </w:rPr>
            </w:pPr>
            <w:r>
              <w:rPr>
                <w:rFonts w:ascii="Arial" w:hAnsi="Arial" w:cs="Arial"/>
                <w:sz w:val="16"/>
                <w:szCs w:val="20"/>
              </w:rPr>
              <w:t>0.000</w:t>
            </w:r>
          </w:p>
        </w:tc>
        <w:tc>
          <w:tcPr>
            <w:tcW w:w="633" w:type="dxa"/>
            <w:noWrap/>
            <w:vAlign w:val="center"/>
          </w:tcPr>
          <w:p w:rsidR="00000000" w:rsidRDefault="00782BB1">
            <w:pPr>
              <w:ind w:right="-43"/>
              <w:jc w:val="center"/>
              <w:rPr>
                <w:rFonts w:ascii="Arial" w:hAnsi="Arial" w:cs="Arial"/>
                <w:sz w:val="16"/>
                <w:szCs w:val="20"/>
              </w:rPr>
            </w:pPr>
            <w:r>
              <w:rPr>
                <w:rFonts w:ascii="Arial" w:hAnsi="Arial" w:cs="Arial"/>
                <w:sz w:val="16"/>
                <w:szCs w:val="20"/>
              </w:rPr>
              <w:t>0.000</w:t>
            </w:r>
          </w:p>
        </w:tc>
        <w:tc>
          <w:tcPr>
            <w:tcW w:w="543" w:type="dxa"/>
            <w:noWrap/>
            <w:vAlign w:val="center"/>
          </w:tcPr>
          <w:p w:rsidR="00000000" w:rsidRDefault="00782BB1">
            <w:pPr>
              <w:ind w:left="-25" w:right="-123"/>
              <w:jc w:val="center"/>
              <w:rPr>
                <w:rFonts w:ascii="Arial" w:hAnsi="Arial" w:cs="Arial"/>
                <w:sz w:val="16"/>
                <w:szCs w:val="20"/>
              </w:rPr>
            </w:pPr>
            <w:r>
              <w:rPr>
                <w:rFonts w:ascii="Arial" w:hAnsi="Arial" w:cs="Arial"/>
                <w:sz w:val="16"/>
                <w:szCs w:val="20"/>
              </w:rPr>
              <w:t>0.000</w:t>
            </w:r>
          </w:p>
        </w:tc>
        <w:tc>
          <w:tcPr>
            <w:tcW w:w="668" w:type="dxa"/>
            <w:noWrap/>
            <w:vAlign w:val="center"/>
          </w:tcPr>
          <w:p w:rsidR="00000000" w:rsidRDefault="00782BB1">
            <w:pPr>
              <w:ind w:right="-42"/>
              <w:jc w:val="center"/>
              <w:rPr>
                <w:rFonts w:ascii="Arial" w:hAnsi="Arial" w:cs="Arial"/>
                <w:b/>
                <w:sz w:val="16"/>
                <w:szCs w:val="20"/>
              </w:rPr>
            </w:pPr>
            <w:r>
              <w:rPr>
                <w:rFonts w:ascii="Arial" w:hAnsi="Arial" w:cs="Arial"/>
                <w:b/>
                <w:sz w:val="16"/>
                <w:szCs w:val="20"/>
              </w:rPr>
              <w:t>0.380</w:t>
            </w:r>
          </w:p>
        </w:tc>
      </w:tr>
      <w:tr w:rsidR="00000000">
        <w:trPr>
          <w:trHeight w:val="255"/>
          <w:tblCellSpacing w:w="20" w:type="dxa"/>
          <w:jc w:val="right"/>
        </w:trPr>
        <w:tc>
          <w:tcPr>
            <w:tcW w:w="1020" w:type="dxa"/>
            <w:noWrap/>
            <w:vAlign w:val="bottom"/>
          </w:tcPr>
          <w:p w:rsidR="00000000" w:rsidRDefault="00782BB1">
            <w:pPr>
              <w:ind w:left="-39" w:right="-188"/>
              <w:rPr>
                <w:rFonts w:ascii="Arial" w:hAnsi="Arial" w:cs="Arial"/>
                <w:b/>
                <w:sz w:val="16"/>
                <w:szCs w:val="20"/>
              </w:rPr>
            </w:pPr>
            <w:r>
              <w:rPr>
                <w:rFonts w:ascii="Arial" w:hAnsi="Arial" w:cs="Arial"/>
                <w:b/>
                <w:sz w:val="16"/>
                <w:szCs w:val="20"/>
              </w:rPr>
              <w:t>Marginal de "Nivel Educativo Actual"</w:t>
            </w:r>
          </w:p>
        </w:tc>
        <w:tc>
          <w:tcPr>
            <w:tcW w:w="467" w:type="dxa"/>
            <w:noWrap/>
            <w:vAlign w:val="center"/>
          </w:tcPr>
          <w:p w:rsidR="00000000" w:rsidRDefault="00782BB1">
            <w:pPr>
              <w:ind w:left="-149" w:right="-177"/>
              <w:jc w:val="center"/>
              <w:rPr>
                <w:rFonts w:ascii="Arial" w:hAnsi="Arial" w:cs="Arial"/>
                <w:b/>
                <w:sz w:val="16"/>
                <w:szCs w:val="20"/>
              </w:rPr>
            </w:pPr>
            <w:r>
              <w:rPr>
                <w:rFonts w:ascii="Arial" w:hAnsi="Arial" w:cs="Arial"/>
                <w:b/>
                <w:sz w:val="16"/>
                <w:szCs w:val="20"/>
              </w:rPr>
              <w:t>0.480</w:t>
            </w:r>
          </w:p>
        </w:tc>
        <w:tc>
          <w:tcPr>
            <w:tcW w:w="576" w:type="dxa"/>
            <w:noWrap/>
            <w:vAlign w:val="center"/>
          </w:tcPr>
          <w:p w:rsidR="00000000" w:rsidRDefault="00782BB1">
            <w:pPr>
              <w:ind w:left="-175" w:right="-156"/>
              <w:jc w:val="center"/>
              <w:rPr>
                <w:rFonts w:ascii="Arial" w:hAnsi="Arial" w:cs="Arial"/>
                <w:b/>
                <w:sz w:val="16"/>
                <w:szCs w:val="20"/>
              </w:rPr>
            </w:pPr>
            <w:r>
              <w:rPr>
                <w:rFonts w:ascii="Arial" w:hAnsi="Arial" w:cs="Arial"/>
                <w:b/>
                <w:sz w:val="16"/>
                <w:szCs w:val="20"/>
              </w:rPr>
              <w:t>0.357</w:t>
            </w:r>
          </w:p>
        </w:tc>
        <w:tc>
          <w:tcPr>
            <w:tcW w:w="519" w:type="dxa"/>
            <w:noWrap/>
            <w:vAlign w:val="center"/>
          </w:tcPr>
          <w:p w:rsidR="00000000" w:rsidRDefault="00782BB1">
            <w:pPr>
              <w:ind w:left="-74" w:right="-128"/>
              <w:jc w:val="center"/>
              <w:rPr>
                <w:rFonts w:ascii="Arial" w:hAnsi="Arial" w:cs="Arial"/>
                <w:b/>
                <w:sz w:val="16"/>
                <w:szCs w:val="20"/>
              </w:rPr>
            </w:pPr>
            <w:r>
              <w:rPr>
                <w:rFonts w:ascii="Arial" w:hAnsi="Arial" w:cs="Arial"/>
                <w:b/>
                <w:sz w:val="16"/>
                <w:szCs w:val="20"/>
              </w:rPr>
              <w:t>0.135</w:t>
            </w:r>
          </w:p>
        </w:tc>
        <w:tc>
          <w:tcPr>
            <w:tcW w:w="633" w:type="dxa"/>
            <w:noWrap/>
            <w:vAlign w:val="center"/>
          </w:tcPr>
          <w:p w:rsidR="00000000" w:rsidRDefault="00782BB1">
            <w:pPr>
              <w:ind w:right="-43"/>
              <w:jc w:val="center"/>
              <w:rPr>
                <w:rFonts w:ascii="Arial" w:hAnsi="Arial" w:cs="Arial"/>
                <w:b/>
                <w:sz w:val="16"/>
                <w:szCs w:val="20"/>
              </w:rPr>
            </w:pPr>
            <w:r>
              <w:rPr>
                <w:rFonts w:ascii="Arial" w:hAnsi="Arial" w:cs="Arial"/>
                <w:b/>
                <w:sz w:val="16"/>
                <w:szCs w:val="20"/>
              </w:rPr>
              <w:t>0.023</w:t>
            </w:r>
          </w:p>
        </w:tc>
        <w:tc>
          <w:tcPr>
            <w:tcW w:w="543" w:type="dxa"/>
            <w:noWrap/>
            <w:vAlign w:val="center"/>
          </w:tcPr>
          <w:p w:rsidR="00000000" w:rsidRDefault="00782BB1">
            <w:pPr>
              <w:ind w:left="-25" w:right="-123"/>
              <w:jc w:val="center"/>
              <w:rPr>
                <w:rFonts w:ascii="Arial" w:hAnsi="Arial" w:cs="Arial"/>
                <w:b/>
                <w:sz w:val="16"/>
                <w:szCs w:val="20"/>
              </w:rPr>
            </w:pPr>
            <w:r>
              <w:rPr>
                <w:rFonts w:ascii="Arial" w:hAnsi="Arial" w:cs="Arial"/>
                <w:b/>
                <w:sz w:val="16"/>
                <w:szCs w:val="20"/>
              </w:rPr>
              <w:t>0.006</w:t>
            </w:r>
          </w:p>
        </w:tc>
        <w:tc>
          <w:tcPr>
            <w:tcW w:w="668" w:type="dxa"/>
            <w:noWrap/>
            <w:vAlign w:val="center"/>
          </w:tcPr>
          <w:p w:rsidR="00000000" w:rsidRDefault="00782BB1">
            <w:pPr>
              <w:ind w:right="-42"/>
              <w:jc w:val="center"/>
              <w:rPr>
                <w:rFonts w:ascii="Arial" w:hAnsi="Arial" w:cs="Arial"/>
                <w:b/>
                <w:sz w:val="16"/>
                <w:szCs w:val="20"/>
              </w:rPr>
            </w:pPr>
            <w:r>
              <w:rPr>
                <w:rFonts w:ascii="Arial" w:hAnsi="Arial" w:cs="Arial"/>
                <w:b/>
                <w:sz w:val="16"/>
                <w:szCs w:val="20"/>
              </w:rPr>
              <w:t>1,000</w:t>
            </w:r>
          </w:p>
        </w:tc>
      </w:tr>
    </w:tbl>
    <w:p w:rsidR="00000000" w:rsidRDefault="00782BB1">
      <w:pPr>
        <w:jc w:val="both"/>
        <w:rPr>
          <w:sz w:val="18"/>
        </w:rPr>
      </w:pPr>
    </w:p>
    <w:p w:rsidR="00000000" w:rsidRDefault="00782BB1">
      <w:pPr>
        <w:jc w:val="both"/>
        <w:rPr>
          <w:sz w:val="18"/>
        </w:rPr>
      </w:pPr>
    </w:p>
    <w:p w:rsidR="00000000" w:rsidRDefault="00782BB1">
      <w:pPr>
        <w:jc w:val="both"/>
        <w:rPr>
          <w:sz w:val="18"/>
        </w:rPr>
      </w:pPr>
    </w:p>
    <w:p w:rsidR="00000000" w:rsidRDefault="00782BB1">
      <w:pPr>
        <w:jc w:val="both"/>
        <w:rPr>
          <w:sz w:val="18"/>
        </w:rPr>
      </w:pPr>
      <w:r>
        <w:rPr>
          <w:i/>
          <w:iCs/>
          <w:sz w:val="18"/>
        </w:rPr>
        <w:t>Factor motivo de deserción  en orden de importancia y Edad de deserción .-</w:t>
      </w:r>
      <w:r>
        <w:rPr>
          <w:sz w:val="18"/>
        </w:rPr>
        <w:t xml:space="preserve"> El 21.10% de los entrevistados son de géne</w:t>
      </w:r>
      <w:r>
        <w:rPr>
          <w:sz w:val="18"/>
        </w:rPr>
        <w:t>ro masculino  y consideran como primer factor motivo de su deserción a las Causas atribuibles a su socioeconomía, mientras que el 21%,  se retiraron por causas, a su parecer, atribuibles a la ESPOL.  En el caso del género femenino el 7..6% se retiraron por</w:t>
      </w:r>
      <w:r>
        <w:rPr>
          <w:sz w:val="18"/>
        </w:rPr>
        <w:t xml:space="preserve"> causas atribuibles a la ESPOL, siendo este el mayor porcentaje para este género. </w:t>
      </w:r>
    </w:p>
    <w:p w:rsidR="00000000" w:rsidRDefault="00782BB1">
      <w:pPr>
        <w:jc w:val="both"/>
        <w:rPr>
          <w:sz w:val="18"/>
        </w:rPr>
      </w:pPr>
    </w:p>
    <w:tbl>
      <w:tblPr>
        <w:tblW w:w="4445" w:type="dxa"/>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Layout w:type="fixed"/>
        <w:tblCellMar>
          <w:left w:w="70" w:type="dxa"/>
          <w:right w:w="70" w:type="dxa"/>
        </w:tblCellMar>
        <w:tblLook w:val="0000"/>
      </w:tblPr>
      <w:tblGrid>
        <w:gridCol w:w="1484"/>
        <w:gridCol w:w="981"/>
        <w:gridCol w:w="1080"/>
        <w:gridCol w:w="900"/>
      </w:tblGrid>
      <w:tr w:rsidR="00000000">
        <w:trPr>
          <w:trHeight w:val="258"/>
          <w:tblCellSpacing w:w="20" w:type="dxa"/>
        </w:trPr>
        <w:tc>
          <w:tcPr>
            <w:tcW w:w="4365" w:type="dxa"/>
            <w:gridSpan w:val="4"/>
            <w:noWrap/>
            <w:vAlign w:val="bottom"/>
          </w:tcPr>
          <w:p w:rsidR="00000000" w:rsidRDefault="00782BB1">
            <w:pPr>
              <w:jc w:val="center"/>
              <w:rPr>
                <w:b/>
                <w:sz w:val="18"/>
              </w:rPr>
            </w:pPr>
            <w:r>
              <w:rPr>
                <w:b/>
                <w:sz w:val="18"/>
              </w:rPr>
              <w:t>Tabla VI</w:t>
            </w:r>
          </w:p>
          <w:p w:rsidR="00000000" w:rsidRDefault="00782BB1">
            <w:pPr>
              <w:jc w:val="center"/>
              <w:rPr>
                <w:sz w:val="18"/>
                <w:szCs w:val="20"/>
              </w:rPr>
            </w:pPr>
            <w:r>
              <w:rPr>
                <w:b/>
                <w:bCs/>
                <w:sz w:val="18"/>
                <w:szCs w:val="22"/>
              </w:rPr>
              <w:t xml:space="preserve">Distribución Conjunta de </w:t>
            </w:r>
            <w:r>
              <w:rPr>
                <w:b/>
                <w:bCs/>
                <w:i/>
                <w:sz w:val="18"/>
                <w:szCs w:val="22"/>
              </w:rPr>
              <w:t xml:space="preserve"> </w:t>
            </w:r>
            <w:r>
              <w:rPr>
                <w:b/>
                <w:i/>
                <w:sz w:val="18"/>
                <w:szCs w:val="22"/>
              </w:rPr>
              <w:t xml:space="preserve">Factor  de  deserción  de  importancia 1   </w:t>
            </w:r>
            <w:r>
              <w:rPr>
                <w:b/>
                <w:sz w:val="18"/>
                <w:szCs w:val="22"/>
              </w:rPr>
              <w:t>vs.</w:t>
            </w:r>
            <w:r>
              <w:rPr>
                <w:b/>
                <w:i/>
                <w:sz w:val="18"/>
                <w:szCs w:val="22"/>
              </w:rPr>
              <w:t xml:space="preserve"> Edad de deserción</w:t>
            </w:r>
          </w:p>
        </w:tc>
      </w:tr>
      <w:tr w:rsidR="00000000">
        <w:trPr>
          <w:cantSplit/>
          <w:trHeight w:val="258"/>
          <w:tblCellSpacing w:w="20" w:type="dxa"/>
        </w:trPr>
        <w:tc>
          <w:tcPr>
            <w:tcW w:w="1424" w:type="dxa"/>
            <w:vMerge w:val="restart"/>
            <w:noWrap/>
            <w:vAlign w:val="center"/>
          </w:tcPr>
          <w:p w:rsidR="00000000" w:rsidRDefault="00782BB1">
            <w:pPr>
              <w:jc w:val="center"/>
              <w:rPr>
                <w:rFonts w:ascii="Arial" w:hAnsi="Arial" w:cs="Arial"/>
                <w:b/>
                <w:bCs/>
                <w:sz w:val="18"/>
                <w:szCs w:val="20"/>
              </w:rPr>
            </w:pPr>
            <w:r>
              <w:rPr>
                <w:rFonts w:ascii="Arial" w:hAnsi="Arial" w:cs="Arial"/>
                <w:b/>
                <w:bCs/>
                <w:sz w:val="18"/>
                <w:szCs w:val="20"/>
              </w:rPr>
              <w:t xml:space="preserve">Factor </w:t>
            </w:r>
          </w:p>
          <w:p w:rsidR="00000000" w:rsidRDefault="00782BB1">
            <w:pPr>
              <w:jc w:val="center"/>
              <w:rPr>
                <w:rFonts w:ascii="Arial" w:hAnsi="Arial" w:cs="Arial"/>
                <w:b/>
                <w:sz w:val="18"/>
                <w:szCs w:val="20"/>
              </w:rPr>
            </w:pPr>
            <w:r>
              <w:rPr>
                <w:rFonts w:ascii="Arial" w:hAnsi="Arial" w:cs="Arial"/>
                <w:b/>
                <w:bCs/>
                <w:sz w:val="18"/>
                <w:szCs w:val="20"/>
              </w:rPr>
              <w:t>de Deserción importancia 1</w:t>
            </w:r>
          </w:p>
        </w:tc>
        <w:tc>
          <w:tcPr>
            <w:tcW w:w="2021" w:type="dxa"/>
            <w:gridSpan w:val="2"/>
            <w:noWrap/>
            <w:vAlign w:val="center"/>
          </w:tcPr>
          <w:p w:rsidR="00000000" w:rsidRDefault="00782BB1">
            <w:pPr>
              <w:jc w:val="center"/>
              <w:rPr>
                <w:rFonts w:ascii="Arial" w:hAnsi="Arial" w:cs="Arial"/>
                <w:b/>
                <w:bCs/>
                <w:sz w:val="18"/>
                <w:szCs w:val="20"/>
              </w:rPr>
            </w:pPr>
            <w:r>
              <w:rPr>
                <w:rFonts w:ascii="Arial" w:hAnsi="Arial" w:cs="Arial"/>
                <w:b/>
                <w:bCs/>
                <w:sz w:val="18"/>
                <w:szCs w:val="20"/>
              </w:rPr>
              <w:t>Edad de Deserción</w:t>
            </w:r>
          </w:p>
        </w:tc>
        <w:tc>
          <w:tcPr>
            <w:tcW w:w="840" w:type="dxa"/>
            <w:vMerge w:val="restart"/>
            <w:noWrap/>
            <w:textDirection w:val="btLr"/>
            <w:vAlign w:val="center"/>
          </w:tcPr>
          <w:p w:rsidR="00000000" w:rsidRDefault="00782BB1">
            <w:pPr>
              <w:ind w:left="113" w:right="113"/>
              <w:jc w:val="center"/>
              <w:rPr>
                <w:rFonts w:ascii="Arial" w:hAnsi="Arial" w:cs="Arial"/>
                <w:b/>
                <w:bCs/>
                <w:sz w:val="18"/>
                <w:szCs w:val="20"/>
              </w:rPr>
            </w:pPr>
            <w:r>
              <w:rPr>
                <w:rFonts w:ascii="Arial" w:hAnsi="Arial" w:cs="Arial"/>
                <w:b/>
                <w:bCs/>
                <w:sz w:val="18"/>
                <w:szCs w:val="20"/>
              </w:rPr>
              <w:t>Marginal de "Prime</w:t>
            </w:r>
            <w:r>
              <w:rPr>
                <w:rFonts w:ascii="Arial" w:hAnsi="Arial" w:cs="Arial"/>
                <w:b/>
                <w:bCs/>
                <w:sz w:val="18"/>
                <w:szCs w:val="20"/>
              </w:rPr>
              <w:t>r Factor"</w:t>
            </w:r>
          </w:p>
        </w:tc>
      </w:tr>
      <w:tr w:rsidR="00000000">
        <w:trPr>
          <w:cantSplit/>
          <w:trHeight w:val="1086"/>
          <w:tblCellSpacing w:w="20" w:type="dxa"/>
        </w:trPr>
        <w:tc>
          <w:tcPr>
            <w:tcW w:w="1424" w:type="dxa"/>
            <w:vMerge/>
            <w:vAlign w:val="center"/>
          </w:tcPr>
          <w:p w:rsidR="00000000" w:rsidRDefault="00782BB1">
            <w:pPr>
              <w:rPr>
                <w:rFonts w:ascii="Arial" w:hAnsi="Arial" w:cs="Arial"/>
                <w:sz w:val="18"/>
                <w:szCs w:val="20"/>
              </w:rPr>
            </w:pPr>
          </w:p>
        </w:tc>
        <w:tc>
          <w:tcPr>
            <w:tcW w:w="941" w:type="dxa"/>
            <w:noWrap/>
            <w:textDirection w:val="btLr"/>
            <w:vAlign w:val="center"/>
          </w:tcPr>
          <w:p w:rsidR="00000000" w:rsidRDefault="00782BB1">
            <w:pPr>
              <w:ind w:left="113" w:right="113"/>
              <w:jc w:val="center"/>
              <w:rPr>
                <w:rFonts w:ascii="Arial" w:hAnsi="Arial" w:cs="Arial"/>
                <w:bCs/>
                <w:sz w:val="18"/>
                <w:szCs w:val="18"/>
              </w:rPr>
            </w:pPr>
            <w:r>
              <w:rPr>
                <w:rFonts w:ascii="Arial" w:hAnsi="Arial" w:cs="Arial"/>
                <w:bCs/>
                <w:sz w:val="18"/>
                <w:szCs w:val="18"/>
              </w:rPr>
              <w:t>Masculino</w:t>
            </w:r>
          </w:p>
          <w:p w:rsidR="00000000" w:rsidRDefault="00782BB1">
            <w:pPr>
              <w:ind w:left="113" w:right="113"/>
              <w:jc w:val="center"/>
              <w:rPr>
                <w:rFonts w:ascii="Arial" w:hAnsi="Arial" w:cs="Arial"/>
                <w:bCs/>
                <w:sz w:val="18"/>
                <w:szCs w:val="18"/>
              </w:rPr>
            </w:pPr>
          </w:p>
        </w:tc>
        <w:tc>
          <w:tcPr>
            <w:tcW w:w="1040" w:type="dxa"/>
            <w:noWrap/>
            <w:textDirection w:val="btLr"/>
            <w:vAlign w:val="center"/>
          </w:tcPr>
          <w:p w:rsidR="00000000" w:rsidRDefault="00782BB1">
            <w:pPr>
              <w:ind w:left="113" w:right="113"/>
              <w:jc w:val="center"/>
              <w:rPr>
                <w:rFonts w:ascii="Arial" w:hAnsi="Arial" w:cs="Arial"/>
                <w:bCs/>
                <w:sz w:val="18"/>
                <w:szCs w:val="18"/>
              </w:rPr>
            </w:pPr>
            <w:r>
              <w:rPr>
                <w:rFonts w:ascii="Arial" w:hAnsi="Arial" w:cs="Arial"/>
                <w:bCs/>
                <w:sz w:val="18"/>
                <w:szCs w:val="18"/>
              </w:rPr>
              <w:t>Femenino</w:t>
            </w:r>
          </w:p>
        </w:tc>
        <w:tc>
          <w:tcPr>
            <w:tcW w:w="840" w:type="dxa"/>
            <w:vMerge/>
            <w:vAlign w:val="center"/>
          </w:tcPr>
          <w:p w:rsidR="00000000" w:rsidRDefault="00782BB1">
            <w:pPr>
              <w:rPr>
                <w:rFonts w:ascii="Arial" w:hAnsi="Arial" w:cs="Arial"/>
                <w:b/>
                <w:bCs/>
                <w:sz w:val="18"/>
                <w:szCs w:val="20"/>
              </w:rPr>
            </w:pPr>
          </w:p>
        </w:tc>
      </w:tr>
      <w:tr w:rsidR="00000000">
        <w:trPr>
          <w:cantSplit/>
          <w:trHeight w:val="258"/>
          <w:tblCellSpacing w:w="20" w:type="dxa"/>
        </w:trPr>
        <w:tc>
          <w:tcPr>
            <w:tcW w:w="1424" w:type="dxa"/>
            <w:noWrap/>
            <w:vAlign w:val="bottom"/>
          </w:tcPr>
          <w:p w:rsidR="00000000" w:rsidRDefault="00782BB1">
            <w:pPr>
              <w:rPr>
                <w:rFonts w:ascii="Arial" w:hAnsi="Arial" w:cs="Arial"/>
                <w:sz w:val="18"/>
                <w:szCs w:val="20"/>
              </w:rPr>
            </w:pPr>
            <w:r>
              <w:rPr>
                <w:rFonts w:ascii="Arial" w:hAnsi="Arial" w:cs="Arial"/>
                <w:sz w:val="18"/>
                <w:szCs w:val="20"/>
              </w:rPr>
              <w:t>Causas atribuibles a la socioeconomía del desertor</w:t>
            </w:r>
          </w:p>
        </w:tc>
        <w:tc>
          <w:tcPr>
            <w:tcW w:w="941" w:type="dxa"/>
            <w:noWrap/>
            <w:vAlign w:val="center"/>
          </w:tcPr>
          <w:p w:rsidR="00000000" w:rsidRDefault="00782BB1">
            <w:pPr>
              <w:jc w:val="center"/>
              <w:rPr>
                <w:rFonts w:ascii="Arial" w:hAnsi="Arial" w:cs="Arial"/>
                <w:sz w:val="18"/>
                <w:szCs w:val="20"/>
              </w:rPr>
            </w:pPr>
            <w:r>
              <w:rPr>
                <w:rFonts w:ascii="Arial" w:hAnsi="Arial" w:cs="Arial"/>
                <w:sz w:val="18"/>
                <w:szCs w:val="20"/>
              </w:rPr>
              <w:t>0.211</w:t>
            </w:r>
          </w:p>
        </w:tc>
        <w:tc>
          <w:tcPr>
            <w:tcW w:w="1040" w:type="dxa"/>
            <w:noWrap/>
            <w:vAlign w:val="center"/>
          </w:tcPr>
          <w:p w:rsidR="00000000" w:rsidRDefault="00782BB1">
            <w:pPr>
              <w:jc w:val="center"/>
              <w:rPr>
                <w:rFonts w:ascii="Arial" w:hAnsi="Arial" w:cs="Arial"/>
                <w:sz w:val="18"/>
                <w:szCs w:val="20"/>
              </w:rPr>
            </w:pPr>
            <w:r>
              <w:rPr>
                <w:rFonts w:ascii="Arial" w:hAnsi="Arial" w:cs="Arial"/>
                <w:sz w:val="18"/>
                <w:szCs w:val="20"/>
              </w:rPr>
              <w:t>0.064</w:t>
            </w:r>
          </w:p>
        </w:tc>
        <w:tc>
          <w:tcPr>
            <w:tcW w:w="840" w:type="dxa"/>
            <w:noWrap/>
            <w:vAlign w:val="center"/>
          </w:tcPr>
          <w:p w:rsidR="00000000" w:rsidRDefault="00782BB1">
            <w:pPr>
              <w:jc w:val="center"/>
              <w:rPr>
                <w:rFonts w:ascii="Arial" w:hAnsi="Arial" w:cs="Arial"/>
                <w:b/>
                <w:sz w:val="18"/>
                <w:szCs w:val="20"/>
              </w:rPr>
            </w:pPr>
            <w:r>
              <w:rPr>
                <w:rFonts w:ascii="Arial" w:hAnsi="Arial" w:cs="Arial"/>
                <w:b/>
                <w:sz w:val="18"/>
                <w:szCs w:val="20"/>
              </w:rPr>
              <w:t>0.275</w:t>
            </w:r>
          </w:p>
        </w:tc>
      </w:tr>
      <w:tr w:rsidR="00000000">
        <w:trPr>
          <w:cantSplit/>
          <w:trHeight w:val="258"/>
          <w:tblCellSpacing w:w="20" w:type="dxa"/>
        </w:trPr>
        <w:tc>
          <w:tcPr>
            <w:tcW w:w="1424" w:type="dxa"/>
            <w:noWrap/>
            <w:vAlign w:val="bottom"/>
          </w:tcPr>
          <w:p w:rsidR="00000000" w:rsidRDefault="00782BB1">
            <w:pPr>
              <w:rPr>
                <w:rFonts w:ascii="Arial" w:hAnsi="Arial" w:cs="Arial"/>
                <w:sz w:val="18"/>
                <w:szCs w:val="20"/>
              </w:rPr>
            </w:pPr>
            <w:r>
              <w:rPr>
                <w:rFonts w:ascii="Arial" w:hAnsi="Arial" w:cs="Arial"/>
                <w:sz w:val="18"/>
                <w:szCs w:val="20"/>
              </w:rPr>
              <w:t>Causas atribuibles a la ESPOL</w:t>
            </w:r>
          </w:p>
        </w:tc>
        <w:tc>
          <w:tcPr>
            <w:tcW w:w="941" w:type="dxa"/>
            <w:noWrap/>
            <w:vAlign w:val="center"/>
          </w:tcPr>
          <w:p w:rsidR="00000000" w:rsidRDefault="00782BB1">
            <w:pPr>
              <w:jc w:val="center"/>
              <w:rPr>
                <w:rFonts w:ascii="Arial" w:hAnsi="Arial" w:cs="Arial"/>
                <w:sz w:val="18"/>
                <w:szCs w:val="20"/>
              </w:rPr>
            </w:pPr>
            <w:r>
              <w:rPr>
                <w:rFonts w:ascii="Arial" w:hAnsi="Arial" w:cs="Arial"/>
                <w:sz w:val="18"/>
                <w:szCs w:val="20"/>
              </w:rPr>
              <w:t>0.210</w:t>
            </w:r>
          </w:p>
        </w:tc>
        <w:tc>
          <w:tcPr>
            <w:tcW w:w="1040" w:type="dxa"/>
            <w:noWrap/>
            <w:vAlign w:val="center"/>
          </w:tcPr>
          <w:p w:rsidR="00000000" w:rsidRDefault="00782BB1">
            <w:pPr>
              <w:jc w:val="center"/>
              <w:rPr>
                <w:rFonts w:ascii="Arial" w:hAnsi="Arial" w:cs="Arial"/>
                <w:sz w:val="18"/>
                <w:szCs w:val="20"/>
              </w:rPr>
            </w:pPr>
            <w:r>
              <w:rPr>
                <w:rFonts w:ascii="Arial" w:hAnsi="Arial" w:cs="Arial"/>
                <w:sz w:val="18"/>
                <w:szCs w:val="20"/>
              </w:rPr>
              <w:t>0.076</w:t>
            </w:r>
          </w:p>
        </w:tc>
        <w:tc>
          <w:tcPr>
            <w:tcW w:w="840" w:type="dxa"/>
            <w:noWrap/>
            <w:vAlign w:val="center"/>
          </w:tcPr>
          <w:p w:rsidR="00000000" w:rsidRDefault="00782BB1">
            <w:pPr>
              <w:jc w:val="center"/>
              <w:rPr>
                <w:rFonts w:ascii="Arial" w:hAnsi="Arial" w:cs="Arial"/>
                <w:b/>
                <w:sz w:val="18"/>
                <w:szCs w:val="20"/>
              </w:rPr>
            </w:pPr>
            <w:r>
              <w:rPr>
                <w:rFonts w:ascii="Arial" w:hAnsi="Arial" w:cs="Arial"/>
                <w:b/>
                <w:sz w:val="18"/>
                <w:szCs w:val="20"/>
              </w:rPr>
              <w:t>0.287</w:t>
            </w:r>
          </w:p>
        </w:tc>
      </w:tr>
      <w:tr w:rsidR="00000000">
        <w:trPr>
          <w:cantSplit/>
          <w:trHeight w:val="258"/>
          <w:tblCellSpacing w:w="20" w:type="dxa"/>
        </w:trPr>
        <w:tc>
          <w:tcPr>
            <w:tcW w:w="1424" w:type="dxa"/>
            <w:noWrap/>
            <w:vAlign w:val="bottom"/>
          </w:tcPr>
          <w:p w:rsidR="00000000" w:rsidRDefault="00782BB1">
            <w:pPr>
              <w:rPr>
                <w:rFonts w:ascii="Arial" w:hAnsi="Arial" w:cs="Arial"/>
                <w:sz w:val="18"/>
                <w:szCs w:val="20"/>
              </w:rPr>
            </w:pPr>
            <w:r>
              <w:rPr>
                <w:rFonts w:ascii="Arial" w:hAnsi="Arial" w:cs="Arial"/>
                <w:sz w:val="18"/>
                <w:szCs w:val="20"/>
              </w:rPr>
              <w:t>Deseo de Trabajar</w:t>
            </w:r>
          </w:p>
        </w:tc>
        <w:tc>
          <w:tcPr>
            <w:tcW w:w="941" w:type="dxa"/>
            <w:noWrap/>
            <w:vAlign w:val="center"/>
          </w:tcPr>
          <w:p w:rsidR="00000000" w:rsidRDefault="00782BB1">
            <w:pPr>
              <w:jc w:val="center"/>
              <w:rPr>
                <w:rFonts w:ascii="Arial" w:hAnsi="Arial" w:cs="Arial"/>
                <w:sz w:val="18"/>
                <w:szCs w:val="20"/>
              </w:rPr>
            </w:pPr>
            <w:r>
              <w:rPr>
                <w:rFonts w:ascii="Arial" w:hAnsi="Arial" w:cs="Arial"/>
                <w:sz w:val="18"/>
                <w:szCs w:val="20"/>
              </w:rPr>
              <w:t>0.205</w:t>
            </w:r>
          </w:p>
        </w:tc>
        <w:tc>
          <w:tcPr>
            <w:tcW w:w="1040" w:type="dxa"/>
            <w:noWrap/>
            <w:vAlign w:val="center"/>
          </w:tcPr>
          <w:p w:rsidR="00000000" w:rsidRDefault="00782BB1">
            <w:pPr>
              <w:jc w:val="center"/>
              <w:rPr>
                <w:rFonts w:ascii="Arial" w:hAnsi="Arial" w:cs="Arial"/>
                <w:sz w:val="18"/>
                <w:szCs w:val="20"/>
              </w:rPr>
            </w:pPr>
            <w:r>
              <w:rPr>
                <w:rFonts w:ascii="Arial" w:hAnsi="Arial" w:cs="Arial"/>
                <w:sz w:val="18"/>
                <w:szCs w:val="20"/>
              </w:rPr>
              <w:t>0.041</w:t>
            </w:r>
          </w:p>
        </w:tc>
        <w:tc>
          <w:tcPr>
            <w:tcW w:w="840" w:type="dxa"/>
            <w:noWrap/>
            <w:vAlign w:val="center"/>
          </w:tcPr>
          <w:p w:rsidR="00000000" w:rsidRDefault="00782BB1">
            <w:pPr>
              <w:jc w:val="center"/>
              <w:rPr>
                <w:rFonts w:ascii="Arial" w:hAnsi="Arial" w:cs="Arial"/>
                <w:b/>
                <w:sz w:val="18"/>
                <w:szCs w:val="20"/>
              </w:rPr>
            </w:pPr>
            <w:r>
              <w:rPr>
                <w:rFonts w:ascii="Arial" w:hAnsi="Arial" w:cs="Arial"/>
                <w:b/>
                <w:sz w:val="18"/>
                <w:szCs w:val="20"/>
              </w:rPr>
              <w:t>0.246</w:t>
            </w:r>
          </w:p>
        </w:tc>
      </w:tr>
      <w:tr w:rsidR="00000000">
        <w:trPr>
          <w:cantSplit/>
          <w:trHeight w:val="258"/>
          <w:tblCellSpacing w:w="20" w:type="dxa"/>
        </w:trPr>
        <w:tc>
          <w:tcPr>
            <w:tcW w:w="1424" w:type="dxa"/>
            <w:noWrap/>
            <w:vAlign w:val="bottom"/>
          </w:tcPr>
          <w:p w:rsidR="00000000" w:rsidRDefault="00782BB1">
            <w:pPr>
              <w:rPr>
                <w:rFonts w:ascii="Arial" w:hAnsi="Arial" w:cs="Arial"/>
                <w:sz w:val="18"/>
                <w:szCs w:val="20"/>
              </w:rPr>
            </w:pPr>
            <w:r>
              <w:rPr>
                <w:rFonts w:ascii="Arial" w:hAnsi="Arial" w:cs="Arial"/>
                <w:sz w:val="18"/>
                <w:szCs w:val="20"/>
              </w:rPr>
              <w:t>Mala  decisión  al escoger la carrera</w:t>
            </w:r>
          </w:p>
        </w:tc>
        <w:tc>
          <w:tcPr>
            <w:tcW w:w="941" w:type="dxa"/>
            <w:noWrap/>
            <w:vAlign w:val="center"/>
          </w:tcPr>
          <w:p w:rsidR="00000000" w:rsidRDefault="00782BB1">
            <w:pPr>
              <w:jc w:val="center"/>
              <w:rPr>
                <w:rFonts w:ascii="Arial" w:hAnsi="Arial" w:cs="Arial"/>
                <w:sz w:val="18"/>
                <w:szCs w:val="20"/>
              </w:rPr>
            </w:pPr>
            <w:r>
              <w:rPr>
                <w:rFonts w:ascii="Arial" w:hAnsi="Arial" w:cs="Arial"/>
                <w:sz w:val="18"/>
                <w:szCs w:val="20"/>
              </w:rPr>
              <w:t>0.070</w:t>
            </w:r>
          </w:p>
        </w:tc>
        <w:tc>
          <w:tcPr>
            <w:tcW w:w="1040" w:type="dxa"/>
            <w:noWrap/>
            <w:vAlign w:val="center"/>
          </w:tcPr>
          <w:p w:rsidR="00000000" w:rsidRDefault="00782BB1">
            <w:pPr>
              <w:jc w:val="center"/>
              <w:rPr>
                <w:rFonts w:ascii="Arial" w:hAnsi="Arial" w:cs="Arial"/>
                <w:sz w:val="18"/>
                <w:szCs w:val="20"/>
              </w:rPr>
            </w:pPr>
            <w:r>
              <w:rPr>
                <w:rFonts w:ascii="Arial" w:hAnsi="Arial" w:cs="Arial"/>
                <w:sz w:val="18"/>
                <w:szCs w:val="20"/>
              </w:rPr>
              <w:t>0.023</w:t>
            </w:r>
          </w:p>
        </w:tc>
        <w:tc>
          <w:tcPr>
            <w:tcW w:w="840" w:type="dxa"/>
            <w:noWrap/>
            <w:vAlign w:val="center"/>
          </w:tcPr>
          <w:p w:rsidR="00000000" w:rsidRDefault="00782BB1">
            <w:pPr>
              <w:jc w:val="center"/>
              <w:rPr>
                <w:rFonts w:ascii="Arial" w:hAnsi="Arial" w:cs="Arial"/>
                <w:b/>
                <w:sz w:val="18"/>
                <w:szCs w:val="20"/>
              </w:rPr>
            </w:pPr>
            <w:r>
              <w:rPr>
                <w:rFonts w:ascii="Arial" w:hAnsi="Arial" w:cs="Arial"/>
                <w:b/>
                <w:sz w:val="18"/>
                <w:szCs w:val="20"/>
              </w:rPr>
              <w:t>0.094</w:t>
            </w:r>
          </w:p>
        </w:tc>
      </w:tr>
      <w:tr w:rsidR="00000000">
        <w:trPr>
          <w:cantSplit/>
          <w:trHeight w:val="258"/>
          <w:tblCellSpacing w:w="20" w:type="dxa"/>
        </w:trPr>
        <w:tc>
          <w:tcPr>
            <w:tcW w:w="1424" w:type="dxa"/>
            <w:noWrap/>
            <w:vAlign w:val="bottom"/>
          </w:tcPr>
          <w:p w:rsidR="00000000" w:rsidRDefault="00782BB1">
            <w:pPr>
              <w:rPr>
                <w:rFonts w:ascii="Arial" w:hAnsi="Arial" w:cs="Arial"/>
                <w:sz w:val="18"/>
                <w:szCs w:val="20"/>
              </w:rPr>
            </w:pPr>
            <w:r>
              <w:rPr>
                <w:rFonts w:ascii="Arial" w:hAnsi="Arial" w:cs="Arial"/>
                <w:sz w:val="18"/>
                <w:szCs w:val="20"/>
              </w:rPr>
              <w:t>Otro</w:t>
            </w:r>
          </w:p>
        </w:tc>
        <w:tc>
          <w:tcPr>
            <w:tcW w:w="941" w:type="dxa"/>
            <w:noWrap/>
            <w:vAlign w:val="center"/>
          </w:tcPr>
          <w:p w:rsidR="00000000" w:rsidRDefault="00782BB1">
            <w:pPr>
              <w:jc w:val="center"/>
              <w:rPr>
                <w:rFonts w:ascii="Arial" w:hAnsi="Arial" w:cs="Arial"/>
                <w:sz w:val="18"/>
                <w:szCs w:val="20"/>
              </w:rPr>
            </w:pPr>
            <w:r>
              <w:rPr>
                <w:rFonts w:ascii="Arial" w:hAnsi="Arial" w:cs="Arial"/>
                <w:sz w:val="18"/>
                <w:szCs w:val="20"/>
              </w:rPr>
              <w:t>0.06</w:t>
            </w:r>
            <w:r>
              <w:rPr>
                <w:rFonts w:ascii="Arial" w:hAnsi="Arial" w:cs="Arial"/>
                <w:sz w:val="18"/>
                <w:szCs w:val="20"/>
              </w:rPr>
              <w:t>4</w:t>
            </w:r>
          </w:p>
        </w:tc>
        <w:tc>
          <w:tcPr>
            <w:tcW w:w="1040" w:type="dxa"/>
            <w:noWrap/>
            <w:vAlign w:val="center"/>
          </w:tcPr>
          <w:p w:rsidR="00000000" w:rsidRDefault="00782BB1">
            <w:pPr>
              <w:jc w:val="center"/>
              <w:rPr>
                <w:rFonts w:ascii="Arial" w:hAnsi="Arial" w:cs="Arial"/>
                <w:sz w:val="18"/>
                <w:szCs w:val="20"/>
              </w:rPr>
            </w:pPr>
            <w:r>
              <w:rPr>
                <w:rFonts w:ascii="Arial" w:hAnsi="Arial" w:cs="Arial"/>
                <w:sz w:val="18"/>
                <w:szCs w:val="20"/>
              </w:rPr>
              <w:t>0.035</w:t>
            </w:r>
          </w:p>
        </w:tc>
        <w:tc>
          <w:tcPr>
            <w:tcW w:w="840" w:type="dxa"/>
            <w:noWrap/>
            <w:vAlign w:val="center"/>
          </w:tcPr>
          <w:p w:rsidR="00000000" w:rsidRDefault="00782BB1">
            <w:pPr>
              <w:jc w:val="center"/>
              <w:rPr>
                <w:rFonts w:ascii="Arial" w:hAnsi="Arial" w:cs="Arial"/>
                <w:b/>
                <w:sz w:val="18"/>
                <w:szCs w:val="20"/>
              </w:rPr>
            </w:pPr>
            <w:r>
              <w:rPr>
                <w:rFonts w:ascii="Arial" w:hAnsi="Arial" w:cs="Arial"/>
                <w:b/>
                <w:sz w:val="18"/>
                <w:szCs w:val="20"/>
              </w:rPr>
              <w:t>0.099</w:t>
            </w:r>
          </w:p>
        </w:tc>
      </w:tr>
      <w:tr w:rsidR="00000000">
        <w:trPr>
          <w:cantSplit/>
          <w:trHeight w:val="258"/>
          <w:tblCellSpacing w:w="20" w:type="dxa"/>
        </w:trPr>
        <w:tc>
          <w:tcPr>
            <w:tcW w:w="1424" w:type="dxa"/>
            <w:noWrap/>
            <w:vAlign w:val="bottom"/>
          </w:tcPr>
          <w:p w:rsidR="00000000" w:rsidRDefault="00782BB1">
            <w:pPr>
              <w:rPr>
                <w:rFonts w:ascii="Arial" w:hAnsi="Arial" w:cs="Arial"/>
                <w:b/>
                <w:bCs/>
                <w:sz w:val="18"/>
                <w:szCs w:val="20"/>
              </w:rPr>
            </w:pPr>
            <w:r>
              <w:rPr>
                <w:rFonts w:ascii="Arial" w:hAnsi="Arial" w:cs="Arial"/>
                <w:b/>
                <w:bCs/>
                <w:sz w:val="18"/>
                <w:szCs w:val="20"/>
              </w:rPr>
              <w:t>Marginal de "Motivo de Ingreso"</w:t>
            </w:r>
          </w:p>
        </w:tc>
        <w:tc>
          <w:tcPr>
            <w:tcW w:w="941" w:type="dxa"/>
            <w:noWrap/>
            <w:vAlign w:val="center"/>
          </w:tcPr>
          <w:p w:rsidR="00000000" w:rsidRDefault="00782BB1">
            <w:pPr>
              <w:jc w:val="center"/>
              <w:rPr>
                <w:rFonts w:ascii="Arial" w:hAnsi="Arial" w:cs="Arial"/>
                <w:b/>
                <w:sz w:val="18"/>
                <w:szCs w:val="20"/>
              </w:rPr>
            </w:pPr>
            <w:r>
              <w:rPr>
                <w:rFonts w:ascii="Arial" w:hAnsi="Arial" w:cs="Arial"/>
                <w:b/>
                <w:sz w:val="18"/>
                <w:szCs w:val="20"/>
              </w:rPr>
              <w:t>0.760</w:t>
            </w:r>
          </w:p>
        </w:tc>
        <w:tc>
          <w:tcPr>
            <w:tcW w:w="1040" w:type="dxa"/>
            <w:noWrap/>
            <w:vAlign w:val="center"/>
          </w:tcPr>
          <w:p w:rsidR="00000000" w:rsidRDefault="00782BB1">
            <w:pPr>
              <w:jc w:val="center"/>
              <w:rPr>
                <w:rFonts w:ascii="Arial" w:hAnsi="Arial" w:cs="Arial"/>
                <w:b/>
                <w:sz w:val="18"/>
                <w:szCs w:val="20"/>
              </w:rPr>
            </w:pPr>
            <w:r>
              <w:rPr>
                <w:rFonts w:ascii="Arial" w:hAnsi="Arial" w:cs="Arial"/>
                <w:b/>
                <w:sz w:val="18"/>
                <w:szCs w:val="20"/>
              </w:rPr>
              <w:t>0.240</w:t>
            </w:r>
          </w:p>
        </w:tc>
        <w:tc>
          <w:tcPr>
            <w:tcW w:w="840" w:type="dxa"/>
            <w:noWrap/>
            <w:vAlign w:val="center"/>
          </w:tcPr>
          <w:p w:rsidR="00000000" w:rsidRDefault="00782BB1">
            <w:pPr>
              <w:jc w:val="center"/>
              <w:rPr>
                <w:rFonts w:ascii="Arial" w:hAnsi="Arial" w:cs="Arial"/>
                <w:b/>
                <w:sz w:val="18"/>
                <w:szCs w:val="20"/>
              </w:rPr>
            </w:pPr>
            <w:r>
              <w:rPr>
                <w:rFonts w:ascii="Arial" w:hAnsi="Arial" w:cs="Arial"/>
                <w:b/>
                <w:sz w:val="18"/>
                <w:szCs w:val="20"/>
              </w:rPr>
              <w:t>1.000</w:t>
            </w:r>
          </w:p>
        </w:tc>
      </w:tr>
    </w:tbl>
    <w:p w:rsidR="00000000" w:rsidRDefault="00782BB1">
      <w:pPr>
        <w:jc w:val="both"/>
        <w:rPr>
          <w:rFonts w:ascii="Arial" w:hAnsi="Arial" w:cs="Arial"/>
          <w:sz w:val="18"/>
        </w:rPr>
      </w:pPr>
    </w:p>
    <w:p w:rsidR="00000000" w:rsidRDefault="00782BB1">
      <w:pPr>
        <w:jc w:val="both"/>
        <w:rPr>
          <w:sz w:val="18"/>
        </w:rPr>
      </w:pPr>
    </w:p>
    <w:p w:rsidR="00000000" w:rsidRDefault="00782BB1">
      <w:pPr>
        <w:jc w:val="both"/>
        <w:rPr>
          <w:sz w:val="18"/>
        </w:rPr>
      </w:pPr>
    </w:p>
    <w:p w:rsidR="00000000" w:rsidRDefault="00782BB1">
      <w:pPr>
        <w:jc w:val="both"/>
        <w:rPr>
          <w:sz w:val="18"/>
        </w:rPr>
      </w:pPr>
    </w:p>
    <w:p w:rsidR="00000000" w:rsidRDefault="00782BB1">
      <w:pPr>
        <w:jc w:val="both"/>
        <w:rPr>
          <w:sz w:val="18"/>
        </w:rPr>
      </w:pPr>
    </w:p>
    <w:p w:rsidR="00000000" w:rsidRDefault="00782BB1">
      <w:pPr>
        <w:pStyle w:val="Textoindependiente"/>
        <w:rPr>
          <w:sz w:val="18"/>
        </w:rPr>
      </w:pPr>
      <w:r>
        <w:rPr>
          <w:sz w:val="18"/>
        </w:rPr>
        <w:t>Análisis de Componentes Principales</w:t>
      </w:r>
    </w:p>
    <w:p w:rsidR="00000000" w:rsidRDefault="00782BB1">
      <w:pPr>
        <w:pStyle w:val="Textoindependiente"/>
        <w:rPr>
          <w:sz w:val="18"/>
        </w:rPr>
      </w:pPr>
    </w:p>
    <w:p w:rsidR="00000000" w:rsidRDefault="00782BB1">
      <w:pPr>
        <w:pStyle w:val="Textoindependiente"/>
        <w:rPr>
          <w:sz w:val="18"/>
        </w:rPr>
      </w:pPr>
    </w:p>
    <w:p w:rsidR="00000000" w:rsidRDefault="00782BB1">
      <w:pPr>
        <w:pStyle w:val="Textoindependiente"/>
        <w:jc w:val="both"/>
        <w:rPr>
          <w:b w:val="0"/>
          <w:bCs w:val="0"/>
          <w:sz w:val="18"/>
        </w:rPr>
      </w:pPr>
      <w:r>
        <w:rPr>
          <w:b w:val="0"/>
          <w:sz w:val="18"/>
        </w:rPr>
        <w:t xml:space="preserve"> </w:t>
      </w:r>
      <w:r>
        <w:rPr>
          <w:b w:val="0"/>
          <w:bCs w:val="0"/>
          <w:sz w:val="18"/>
        </w:rPr>
        <w:t xml:space="preserve">El análisis de Componentes Principales es, en general, un instrumento de apoyo para otras técnicas multivariadas, que permiten la reducción de la </w:t>
      </w:r>
      <w:r>
        <w:rPr>
          <w:b w:val="0"/>
          <w:bCs w:val="0"/>
          <w:sz w:val="18"/>
        </w:rPr>
        <w:t xml:space="preserve">cantidad de variables o para agrupar las observaciones con las que se trabaja. Su objetivo principal es explicar la mayor proporción de la varianza de un conjunto de n variables observables por medio de un conjunto de </w:t>
      </w:r>
      <w:r>
        <w:rPr>
          <w:b w:val="0"/>
          <w:bCs w:val="0"/>
          <w:i/>
          <w:sz w:val="18"/>
        </w:rPr>
        <w:t>p</w:t>
      </w:r>
      <w:r>
        <w:rPr>
          <w:b w:val="0"/>
          <w:bCs w:val="0"/>
          <w:sz w:val="18"/>
        </w:rPr>
        <w:t xml:space="preserve"> variables no observables donde </w:t>
      </w:r>
      <w:r>
        <w:rPr>
          <w:b w:val="0"/>
          <w:bCs w:val="0"/>
          <w:i/>
          <w:sz w:val="18"/>
        </w:rPr>
        <w:t xml:space="preserve">p </w:t>
      </w:r>
      <w:r>
        <w:rPr>
          <w:b w:val="0"/>
          <w:bCs w:val="0"/>
          <w:sz w:val="18"/>
        </w:rPr>
        <w:sym w:font="Symbol" w:char="F0A3"/>
      </w:r>
      <w:r>
        <w:rPr>
          <w:b w:val="0"/>
          <w:bCs w:val="0"/>
          <w:i/>
          <w:sz w:val="18"/>
        </w:rPr>
        <w:t xml:space="preserve"> n</w:t>
      </w:r>
      <w:r>
        <w:rPr>
          <w:b w:val="0"/>
          <w:bCs w:val="0"/>
          <w:sz w:val="18"/>
        </w:rPr>
        <w:t>.</w:t>
      </w:r>
    </w:p>
    <w:p w:rsidR="00000000" w:rsidRDefault="00782BB1">
      <w:pPr>
        <w:pStyle w:val="Textoindependiente"/>
        <w:jc w:val="both"/>
        <w:rPr>
          <w:b w:val="0"/>
          <w:bCs w:val="0"/>
          <w:sz w:val="18"/>
        </w:rPr>
      </w:pPr>
    </w:p>
    <w:p w:rsidR="00000000" w:rsidRDefault="00782BB1">
      <w:pPr>
        <w:pStyle w:val="Textoindependiente"/>
        <w:jc w:val="both"/>
        <w:rPr>
          <w:b w:val="0"/>
          <w:bCs w:val="0"/>
          <w:sz w:val="18"/>
        </w:rPr>
      </w:pPr>
    </w:p>
    <w:p w:rsidR="00000000" w:rsidRDefault="00782BB1">
      <w:pPr>
        <w:pStyle w:val="Textoindependiente"/>
        <w:jc w:val="both"/>
        <w:rPr>
          <w:b w:val="0"/>
          <w:bCs w:val="0"/>
          <w:sz w:val="18"/>
        </w:rPr>
      </w:pPr>
      <w:r>
        <w:rPr>
          <w:b w:val="0"/>
          <w:bCs w:val="0"/>
          <w:sz w:val="18"/>
        </w:rPr>
        <w:t xml:space="preserve">Los Componentes Principales se presentan algebraicamente como  combinaciones lineales de las </w:t>
      </w:r>
      <w:r>
        <w:rPr>
          <w:b w:val="0"/>
          <w:bCs w:val="0"/>
          <w:i/>
          <w:sz w:val="18"/>
        </w:rPr>
        <w:t>p</w:t>
      </w:r>
      <w:r>
        <w:rPr>
          <w:b w:val="0"/>
          <w:bCs w:val="0"/>
          <w:sz w:val="18"/>
        </w:rPr>
        <w:t xml:space="preserve"> variables aleatorias observadas y geométricamente estas combinaciones lineales representan la creación de un nuevo sistema de coordenadas obtenidas al rotar </w:t>
      </w:r>
      <w:r>
        <w:rPr>
          <w:b w:val="0"/>
          <w:bCs w:val="0"/>
          <w:sz w:val="18"/>
        </w:rPr>
        <w:t xml:space="preserve">el sistema  original. Permite describir la estructura de interrelación de variables originales consideradas simultáneamente, determinando así </w:t>
      </w:r>
      <w:r>
        <w:rPr>
          <w:b w:val="0"/>
          <w:bCs w:val="0"/>
          <w:i/>
          <w:sz w:val="18"/>
        </w:rPr>
        <w:t>q</w:t>
      </w:r>
      <w:r>
        <w:rPr>
          <w:b w:val="0"/>
          <w:bCs w:val="0"/>
          <w:sz w:val="18"/>
        </w:rPr>
        <w:t xml:space="preserve"> combinaciones </w:t>
      </w:r>
      <w:r>
        <w:rPr>
          <w:b w:val="0"/>
          <w:bCs w:val="0"/>
          <w:sz w:val="18"/>
        </w:rPr>
        <w:lastRenderedPageBreak/>
        <w:t xml:space="preserve">lineales de </w:t>
      </w:r>
      <w:r>
        <w:rPr>
          <w:b w:val="0"/>
          <w:bCs w:val="0"/>
          <w:i/>
          <w:sz w:val="18"/>
        </w:rPr>
        <w:t>p</w:t>
      </w:r>
      <w:r>
        <w:rPr>
          <w:b w:val="0"/>
          <w:bCs w:val="0"/>
          <w:sz w:val="18"/>
        </w:rPr>
        <w:t xml:space="preserve"> variables observables que contengan la mayor parte de la variación total, y así resu</w:t>
      </w:r>
      <w:r>
        <w:rPr>
          <w:b w:val="0"/>
          <w:bCs w:val="0"/>
          <w:sz w:val="18"/>
        </w:rPr>
        <w:t>mir y reducir los datos disponibles.</w:t>
      </w:r>
    </w:p>
    <w:p w:rsidR="00000000" w:rsidRDefault="00782BB1">
      <w:pPr>
        <w:pStyle w:val="Textoindependiente"/>
        <w:jc w:val="both"/>
        <w:rPr>
          <w:b w:val="0"/>
          <w:bCs w:val="0"/>
          <w:sz w:val="18"/>
        </w:rPr>
      </w:pPr>
    </w:p>
    <w:p w:rsidR="00000000" w:rsidRDefault="00782BB1">
      <w:pPr>
        <w:pStyle w:val="Textoindependiente"/>
        <w:jc w:val="both"/>
        <w:rPr>
          <w:b w:val="0"/>
          <w:bCs w:val="0"/>
          <w:sz w:val="18"/>
        </w:rPr>
      </w:pPr>
    </w:p>
    <w:p w:rsidR="00000000" w:rsidRDefault="00782BB1">
      <w:pPr>
        <w:pStyle w:val="Textoindependiente"/>
        <w:jc w:val="both"/>
        <w:rPr>
          <w:b w:val="0"/>
          <w:bCs w:val="0"/>
          <w:sz w:val="18"/>
        </w:rPr>
      </w:pPr>
      <w:r>
        <w:rPr>
          <w:b w:val="0"/>
          <w:bCs w:val="0"/>
          <w:sz w:val="18"/>
        </w:rPr>
        <w:t xml:space="preserve">Sea </w:t>
      </w:r>
      <w:r>
        <w:rPr>
          <w:b w:val="0"/>
          <w:bCs w:val="0"/>
          <w:position w:val="-14"/>
          <w:sz w:val="18"/>
        </w:rPr>
        <w:object w:dxaOrig="2040" w:dyaOrig="400">
          <v:shape id="_x0000_i1034" type="#_x0000_t75" style="width:87pt;height:17pt" o:ole="">
            <v:imagedata r:id="rId27" o:title=""/>
          </v:shape>
          <o:OLEObject Type="Embed" ProgID="Equation.3" ShapeID="_x0000_i1034" DrawAspect="Content" ObjectID="_1346835661" r:id="rId28"/>
        </w:object>
      </w:r>
      <w:r>
        <w:rPr>
          <w:b w:val="0"/>
          <w:bCs w:val="0"/>
          <w:sz w:val="18"/>
        </w:rPr>
        <w:t xml:space="preserve"> un vector aleatorio </w:t>
      </w:r>
      <w:r>
        <w:rPr>
          <w:b w:val="0"/>
          <w:bCs w:val="0"/>
          <w:i/>
          <w:sz w:val="18"/>
        </w:rPr>
        <w:t>p</w:t>
      </w:r>
      <w:r>
        <w:rPr>
          <w:b w:val="0"/>
          <w:bCs w:val="0"/>
          <w:sz w:val="18"/>
        </w:rPr>
        <w:t xml:space="preserve"> – variado, donde cada una de las variables que la componen son variables aleatorias observables.  El vector p-variado X a </w:t>
      </w:r>
      <w:r>
        <w:rPr>
          <w:b w:val="0"/>
          <w:bCs w:val="0"/>
          <w:sz w:val="18"/>
        </w:rPr>
        <w:sym w:font="Symbol" w:char="F0E5"/>
      </w:r>
      <w:r>
        <w:rPr>
          <w:b w:val="0"/>
          <w:bCs w:val="0"/>
          <w:sz w:val="18"/>
        </w:rPr>
        <w:t xml:space="preserve"> tiene como matriz de varianzas y covarianza</w:t>
      </w:r>
      <w:r>
        <w:rPr>
          <w:b w:val="0"/>
          <w:bCs w:val="0"/>
          <w:sz w:val="18"/>
        </w:rPr>
        <w:t xml:space="preserve">s, y sean </w:t>
      </w:r>
      <w:r>
        <w:rPr>
          <w:b w:val="0"/>
          <w:bCs w:val="0"/>
          <w:position w:val="-14"/>
          <w:sz w:val="18"/>
        </w:rPr>
        <w:object w:dxaOrig="2120" w:dyaOrig="380">
          <v:shape id="_x0000_i1035" type="#_x0000_t75" style="width:106pt;height:19pt" o:ole="">
            <v:imagedata r:id="rId29" o:title=""/>
          </v:shape>
          <o:OLEObject Type="Embed" ProgID="Equation.3" ShapeID="_x0000_i1035" DrawAspect="Content" ObjectID="_1346835662" r:id="rId30"/>
        </w:object>
      </w:r>
      <w:r>
        <w:rPr>
          <w:b w:val="0"/>
          <w:bCs w:val="0"/>
          <w:sz w:val="18"/>
        </w:rPr>
        <w:t xml:space="preserve"> los valores propios correspondientes a  </w:t>
      </w:r>
      <w:r>
        <w:rPr>
          <w:b w:val="0"/>
          <w:bCs w:val="0"/>
          <w:sz w:val="18"/>
        </w:rPr>
        <w:sym w:font="Symbol" w:char="F0E5"/>
      </w:r>
      <w:r>
        <w:rPr>
          <w:b w:val="0"/>
          <w:bCs w:val="0"/>
          <w:sz w:val="18"/>
        </w:rPr>
        <w:t>.</w:t>
      </w:r>
    </w:p>
    <w:p w:rsidR="00000000" w:rsidRDefault="00782BB1">
      <w:pPr>
        <w:pStyle w:val="Textoindependiente"/>
        <w:jc w:val="both"/>
        <w:rPr>
          <w:b w:val="0"/>
          <w:bCs w:val="0"/>
          <w:sz w:val="18"/>
        </w:rPr>
      </w:pPr>
      <w:r>
        <w:rPr>
          <w:b w:val="0"/>
          <w:bCs w:val="0"/>
          <w:sz w:val="18"/>
        </w:rPr>
        <w:t>Se representan las componentes principales por medio de las siguientes combinaciones lineales:</w:t>
      </w:r>
    </w:p>
    <w:p w:rsidR="00000000" w:rsidRDefault="00782BB1">
      <w:pPr>
        <w:pStyle w:val="Textoindependiente"/>
        <w:jc w:val="both"/>
        <w:rPr>
          <w:b w:val="0"/>
          <w:bCs w:val="0"/>
          <w:sz w:val="18"/>
        </w:rPr>
      </w:pPr>
    </w:p>
    <w:p w:rsidR="00000000" w:rsidRDefault="00782BB1">
      <w:pPr>
        <w:pStyle w:val="Textoindependiente"/>
        <w:rPr>
          <w:b w:val="0"/>
          <w:bCs w:val="0"/>
          <w:sz w:val="18"/>
        </w:rPr>
      </w:pPr>
      <w:r>
        <w:rPr>
          <w:b w:val="0"/>
          <w:bCs w:val="0"/>
          <w:position w:val="-74"/>
          <w:sz w:val="18"/>
        </w:rPr>
        <w:object w:dxaOrig="4320" w:dyaOrig="1600">
          <v:shape id="_x0000_i1036" type="#_x0000_t75" style="width:197pt;height:73pt" o:ole="">
            <v:imagedata r:id="rId31" o:title=""/>
          </v:shape>
          <o:OLEObject Type="Embed" ProgID="Equation.3" ShapeID="_x0000_i1036" DrawAspect="Content" ObjectID="_1346835663" r:id="rId32"/>
        </w:object>
      </w:r>
      <w:r>
        <w:rPr>
          <w:b w:val="0"/>
          <w:bCs w:val="0"/>
          <w:sz w:val="18"/>
        </w:rPr>
        <w:t xml:space="preserve">  </w:t>
      </w:r>
    </w:p>
    <w:p w:rsidR="00000000" w:rsidRDefault="00782BB1">
      <w:pPr>
        <w:pStyle w:val="Textoindependiente"/>
        <w:tabs>
          <w:tab w:val="left" w:pos="8280"/>
        </w:tabs>
        <w:jc w:val="both"/>
        <w:rPr>
          <w:b w:val="0"/>
          <w:bCs w:val="0"/>
          <w:sz w:val="18"/>
        </w:rPr>
      </w:pPr>
    </w:p>
    <w:p w:rsidR="00000000" w:rsidRDefault="00782BB1">
      <w:pPr>
        <w:pStyle w:val="Textoindependiente"/>
        <w:tabs>
          <w:tab w:val="left" w:pos="8280"/>
        </w:tabs>
        <w:jc w:val="both"/>
        <w:rPr>
          <w:b w:val="0"/>
          <w:bCs w:val="0"/>
          <w:sz w:val="18"/>
        </w:rPr>
      </w:pPr>
      <w:r>
        <w:rPr>
          <w:b w:val="0"/>
          <w:bCs w:val="0"/>
          <w:sz w:val="18"/>
        </w:rPr>
        <w:t xml:space="preserve">Donde </w:t>
      </w:r>
      <w:r>
        <w:rPr>
          <w:b w:val="0"/>
          <w:bCs w:val="0"/>
          <w:position w:val="-10"/>
          <w:sz w:val="18"/>
        </w:rPr>
        <w:object w:dxaOrig="240" w:dyaOrig="340">
          <v:shape id="_x0000_i1037" type="#_x0000_t75" style="width:12pt;height:17pt" o:ole="">
            <v:imagedata r:id="rId33" o:title=""/>
          </v:shape>
          <o:OLEObject Type="Embed" ProgID="Equation.3" ShapeID="_x0000_i1037" DrawAspect="Content" ObjectID="_1346835664" r:id="rId34"/>
        </w:object>
      </w:r>
      <w:r>
        <w:rPr>
          <w:b w:val="0"/>
          <w:bCs w:val="0"/>
          <w:sz w:val="18"/>
        </w:rPr>
        <w:t xml:space="preserve">, </w:t>
      </w:r>
      <w:r>
        <w:rPr>
          <w:b w:val="0"/>
          <w:bCs w:val="0"/>
          <w:position w:val="-10"/>
          <w:sz w:val="18"/>
        </w:rPr>
        <w:object w:dxaOrig="260" w:dyaOrig="340">
          <v:shape id="_x0000_i1038" type="#_x0000_t75" style="width:13pt;height:17pt" o:ole="">
            <v:imagedata r:id="rId35" o:title=""/>
          </v:shape>
          <o:OLEObject Type="Embed" ProgID="Equation.3" ShapeID="_x0000_i1038" DrawAspect="Content" ObjectID="_1346835665" r:id="rId36"/>
        </w:object>
      </w:r>
      <w:r>
        <w:rPr>
          <w:b w:val="0"/>
          <w:bCs w:val="0"/>
          <w:sz w:val="18"/>
        </w:rPr>
        <w:t xml:space="preserve"> ,</w:t>
      </w:r>
      <w:r>
        <w:rPr>
          <w:b w:val="0"/>
          <w:bCs w:val="0"/>
          <w:sz w:val="18"/>
        </w:rPr>
        <w:t xml:space="preserve"> ..., </w:t>
      </w:r>
      <w:r>
        <w:rPr>
          <w:b w:val="0"/>
          <w:bCs w:val="0"/>
          <w:position w:val="-14"/>
          <w:sz w:val="18"/>
        </w:rPr>
        <w:object w:dxaOrig="279" w:dyaOrig="380">
          <v:shape id="_x0000_i1039" type="#_x0000_t75" style="width:14.25pt;height:18.75pt" o:ole="">
            <v:imagedata r:id="rId37" o:title=""/>
          </v:shape>
          <o:OLEObject Type="Embed" ProgID="Equation.3" ShapeID="_x0000_i1039" DrawAspect="Content" ObjectID="_1346835666" r:id="rId38"/>
        </w:object>
      </w:r>
      <w:r>
        <w:rPr>
          <w:b w:val="0"/>
          <w:bCs w:val="0"/>
          <w:sz w:val="18"/>
        </w:rPr>
        <w:t xml:space="preserve">  son las Componentes Principales; se supone que no están correlacionadas entre sí, son ortonormales y se cumple además que:</w:t>
      </w:r>
    </w:p>
    <w:p w:rsidR="00000000" w:rsidRDefault="00782BB1">
      <w:pPr>
        <w:pStyle w:val="Textoindependiente"/>
        <w:tabs>
          <w:tab w:val="left" w:pos="8280"/>
        </w:tabs>
        <w:rPr>
          <w:b w:val="0"/>
          <w:bCs w:val="0"/>
          <w:sz w:val="18"/>
        </w:rPr>
      </w:pPr>
      <w:r>
        <w:rPr>
          <w:b w:val="0"/>
          <w:bCs w:val="0"/>
          <w:sz w:val="18"/>
        </w:rPr>
        <w:t>Var(</w:t>
      </w:r>
      <w:r>
        <w:rPr>
          <w:b w:val="0"/>
          <w:bCs w:val="0"/>
          <w:position w:val="-10"/>
          <w:sz w:val="18"/>
        </w:rPr>
        <w:object w:dxaOrig="240" w:dyaOrig="340">
          <v:shape id="_x0000_i1040" type="#_x0000_t75" style="width:12pt;height:17.25pt" o:ole="">
            <v:imagedata r:id="rId39" o:title=""/>
          </v:shape>
          <o:OLEObject Type="Embed" ProgID="Equation.3" ShapeID="_x0000_i1040" DrawAspect="Content" ObjectID="_1346835667" r:id="rId40"/>
        </w:object>
      </w:r>
      <w:r>
        <w:rPr>
          <w:b w:val="0"/>
          <w:bCs w:val="0"/>
          <w:sz w:val="18"/>
        </w:rPr>
        <w:t>)≥Var(</w:t>
      </w:r>
      <w:r>
        <w:rPr>
          <w:b w:val="0"/>
          <w:bCs w:val="0"/>
          <w:position w:val="-10"/>
          <w:sz w:val="18"/>
        </w:rPr>
        <w:object w:dxaOrig="260" w:dyaOrig="340">
          <v:shape id="_x0000_i1041" type="#_x0000_t75" style="width:12.75pt;height:17.25pt" o:ole="">
            <v:imagedata r:id="rId35" o:title=""/>
          </v:shape>
          <o:OLEObject Type="Embed" ProgID="Equation.3" ShapeID="_x0000_i1041" DrawAspect="Content" ObjectID="_1346835668" r:id="rId41"/>
        </w:object>
      </w:r>
      <w:r>
        <w:rPr>
          <w:b w:val="0"/>
          <w:bCs w:val="0"/>
          <w:sz w:val="18"/>
        </w:rPr>
        <w:t>)≥...≥Var(</w:t>
      </w:r>
      <w:r>
        <w:rPr>
          <w:b w:val="0"/>
          <w:bCs w:val="0"/>
          <w:position w:val="-14"/>
          <w:sz w:val="18"/>
        </w:rPr>
        <w:object w:dxaOrig="279" w:dyaOrig="380">
          <v:shape id="_x0000_i1042" type="#_x0000_t75" style="width:14.25pt;height:18.75pt" o:ole="">
            <v:imagedata r:id="rId37" o:title=""/>
          </v:shape>
          <o:OLEObject Type="Embed" ProgID="Equation.3" ShapeID="_x0000_i1042" DrawAspect="Content" ObjectID="_1346835669" r:id="rId42"/>
        </w:object>
      </w:r>
      <w:r>
        <w:rPr>
          <w:b w:val="0"/>
          <w:bCs w:val="0"/>
          <w:sz w:val="18"/>
        </w:rPr>
        <w:t>)≥0 .</w:t>
      </w:r>
    </w:p>
    <w:p w:rsidR="00000000" w:rsidRDefault="00782BB1">
      <w:pPr>
        <w:pStyle w:val="Textoindependiente"/>
        <w:tabs>
          <w:tab w:val="left" w:pos="8280"/>
        </w:tabs>
        <w:jc w:val="both"/>
        <w:rPr>
          <w:b w:val="0"/>
          <w:bCs w:val="0"/>
          <w:sz w:val="18"/>
        </w:rPr>
      </w:pPr>
    </w:p>
    <w:p w:rsidR="00000000" w:rsidRDefault="00782BB1">
      <w:pPr>
        <w:pStyle w:val="Textoindependiente"/>
        <w:tabs>
          <w:tab w:val="left" w:pos="8280"/>
        </w:tabs>
        <w:jc w:val="both"/>
        <w:rPr>
          <w:b w:val="0"/>
          <w:bCs w:val="0"/>
          <w:sz w:val="18"/>
        </w:rPr>
      </w:pPr>
      <w:r>
        <w:rPr>
          <w:b w:val="0"/>
          <w:bCs w:val="0"/>
          <w:sz w:val="18"/>
        </w:rPr>
        <w:t>Se puede demostrar que:</w:t>
      </w:r>
    </w:p>
    <w:p w:rsidR="00000000" w:rsidRDefault="00782BB1">
      <w:pPr>
        <w:pStyle w:val="Textoindependiente"/>
        <w:tabs>
          <w:tab w:val="left" w:pos="8280"/>
        </w:tabs>
        <w:rPr>
          <w:b w:val="0"/>
          <w:bCs w:val="0"/>
          <w:sz w:val="18"/>
        </w:rPr>
      </w:pPr>
      <w:r>
        <w:rPr>
          <w:b w:val="0"/>
          <w:bCs w:val="0"/>
          <w:sz w:val="18"/>
        </w:rPr>
        <w:t>Var(Y</w:t>
      </w:r>
      <w:r>
        <w:rPr>
          <w:b w:val="0"/>
          <w:bCs w:val="0"/>
          <w:sz w:val="18"/>
          <w:vertAlign w:val="subscript"/>
        </w:rPr>
        <w:t>i</w:t>
      </w:r>
      <w:r>
        <w:rPr>
          <w:b w:val="0"/>
          <w:bCs w:val="0"/>
          <w:sz w:val="18"/>
        </w:rPr>
        <w:t xml:space="preserve">)=  </w:t>
      </w:r>
      <w:r>
        <w:rPr>
          <w:b w:val="0"/>
          <w:bCs w:val="0"/>
          <w:position w:val="-18"/>
          <w:sz w:val="18"/>
        </w:rPr>
        <w:object w:dxaOrig="900" w:dyaOrig="440">
          <v:shape id="_x0000_i1043" type="#_x0000_t75" style="width:45pt;height:21.75pt" o:ole="">
            <v:imagedata r:id="rId43" o:title=""/>
          </v:shape>
          <o:OLEObject Type="Embed" ProgID="Equation.3" ShapeID="_x0000_i1043" DrawAspect="Content" ObjectID="_1346835670" r:id="rId44"/>
        </w:object>
      </w:r>
      <w:r>
        <w:rPr>
          <w:b w:val="0"/>
          <w:bCs w:val="0"/>
          <w:sz w:val="18"/>
        </w:rPr>
        <w:t xml:space="preserve">   para j=1, 2, ..., p;</w:t>
      </w:r>
    </w:p>
    <w:p w:rsidR="00000000" w:rsidRDefault="00782BB1">
      <w:pPr>
        <w:pStyle w:val="Textoindependiente"/>
        <w:tabs>
          <w:tab w:val="left" w:pos="8280"/>
        </w:tabs>
        <w:rPr>
          <w:b w:val="0"/>
          <w:bCs w:val="0"/>
          <w:sz w:val="18"/>
          <w:lang w:val="en-US"/>
        </w:rPr>
      </w:pPr>
      <w:r>
        <w:rPr>
          <w:b w:val="0"/>
          <w:bCs w:val="0"/>
          <w:sz w:val="18"/>
          <w:lang w:val="en-US"/>
        </w:rPr>
        <w:t>Cov(Y</w:t>
      </w:r>
      <w:r>
        <w:rPr>
          <w:b w:val="0"/>
          <w:bCs w:val="0"/>
          <w:sz w:val="18"/>
          <w:vertAlign w:val="subscript"/>
          <w:lang w:val="en-US"/>
        </w:rPr>
        <w:t>i</w:t>
      </w:r>
      <w:r>
        <w:rPr>
          <w:b w:val="0"/>
          <w:bCs w:val="0"/>
          <w:sz w:val="18"/>
          <w:lang w:val="en-US"/>
        </w:rPr>
        <w:t>,Y</w:t>
      </w:r>
      <w:r>
        <w:rPr>
          <w:b w:val="0"/>
          <w:bCs w:val="0"/>
          <w:sz w:val="18"/>
          <w:vertAlign w:val="subscript"/>
          <w:lang w:val="en-US"/>
        </w:rPr>
        <w:t>j</w:t>
      </w:r>
      <w:r>
        <w:rPr>
          <w:b w:val="0"/>
          <w:bCs w:val="0"/>
          <w:sz w:val="18"/>
          <w:lang w:val="en-US"/>
        </w:rPr>
        <w:t xml:space="preserve">)=  </w:t>
      </w:r>
      <w:r>
        <w:rPr>
          <w:b w:val="0"/>
          <w:bCs w:val="0"/>
          <w:position w:val="-16"/>
          <w:sz w:val="18"/>
        </w:rPr>
        <w:object w:dxaOrig="940" w:dyaOrig="420">
          <v:shape id="_x0000_i1044" type="#_x0000_t75" style="width:47.25pt;height:21pt" o:ole="">
            <v:imagedata r:id="rId45" o:title=""/>
          </v:shape>
          <o:OLEObject Type="Embed" ProgID="Equation.3" ShapeID="_x0000_i1044" DrawAspect="Content" ObjectID="_1346835671" r:id="rId46"/>
        </w:object>
      </w:r>
      <w:r>
        <w:rPr>
          <w:b w:val="0"/>
          <w:bCs w:val="0"/>
          <w:sz w:val="18"/>
          <w:lang w:val="en-US"/>
        </w:rPr>
        <w:t xml:space="preserve">= 0  para i </w:t>
      </w:r>
      <w:r>
        <w:rPr>
          <w:b w:val="0"/>
          <w:bCs w:val="0"/>
          <w:sz w:val="18"/>
        </w:rPr>
        <w:sym w:font="Symbol" w:char="F0B9"/>
      </w:r>
      <w:r>
        <w:rPr>
          <w:b w:val="0"/>
          <w:bCs w:val="0"/>
          <w:sz w:val="18"/>
          <w:lang w:val="en-US"/>
        </w:rPr>
        <w:t xml:space="preserve"> j</w:t>
      </w:r>
    </w:p>
    <w:p w:rsidR="00000000" w:rsidRDefault="00782BB1">
      <w:pPr>
        <w:pStyle w:val="Textoindependiente"/>
        <w:tabs>
          <w:tab w:val="left" w:pos="8280"/>
        </w:tabs>
        <w:jc w:val="both"/>
        <w:rPr>
          <w:b w:val="0"/>
          <w:bCs w:val="0"/>
          <w:sz w:val="18"/>
        </w:rPr>
      </w:pPr>
      <w:r>
        <w:rPr>
          <w:b w:val="0"/>
          <w:bCs w:val="0"/>
          <w:sz w:val="18"/>
        </w:rPr>
        <w:t xml:space="preserve">Se debe cumplir además: </w:t>
      </w:r>
      <w:r>
        <w:rPr>
          <w:b w:val="0"/>
          <w:bCs w:val="0"/>
          <w:position w:val="-14"/>
          <w:sz w:val="18"/>
        </w:rPr>
        <w:object w:dxaOrig="380" w:dyaOrig="400">
          <v:shape id="_x0000_i1045" type="#_x0000_t75" style="width:31.5pt;height:21.75pt" o:ole="">
            <v:imagedata r:id="rId47" o:title=""/>
          </v:shape>
          <o:OLEObject Type="Embed" ProgID="Equation.3" ShapeID="_x0000_i1045" DrawAspect="Content" ObjectID="_1346835672" r:id="rId48"/>
        </w:object>
      </w:r>
      <w:r>
        <w:rPr>
          <w:b w:val="0"/>
          <w:bCs w:val="0"/>
          <w:sz w:val="18"/>
        </w:rPr>
        <w:t>=1 para</w:t>
      </w:r>
      <w:r>
        <w:rPr>
          <w:b w:val="0"/>
          <w:bCs w:val="0"/>
          <w:sz w:val="18"/>
        </w:rPr>
        <w:t xml:space="preserve"> i=1,2,..., p y  </w:t>
      </w:r>
      <w:r>
        <w:rPr>
          <w:b w:val="0"/>
          <w:bCs w:val="0"/>
          <w:position w:val="-16"/>
          <w:sz w:val="18"/>
        </w:rPr>
        <w:object w:dxaOrig="760" w:dyaOrig="440">
          <v:shape id="_x0000_i1046" type="#_x0000_t75" style="width:38.25pt;height:21.75pt" o:ole="">
            <v:imagedata r:id="rId49" o:title=""/>
          </v:shape>
          <o:OLEObject Type="Embed" ProgID="Equation.3" ShapeID="_x0000_i1046" DrawAspect="Content" ObjectID="_1346835673" r:id="rId50"/>
        </w:object>
      </w:r>
      <w:r>
        <w:rPr>
          <w:b w:val="0"/>
          <w:bCs w:val="0"/>
          <w:sz w:val="18"/>
        </w:rPr>
        <w:t>= 0 para i</w:t>
      </w:r>
      <w:r>
        <w:rPr>
          <w:b w:val="0"/>
          <w:bCs w:val="0"/>
          <w:sz w:val="18"/>
        </w:rPr>
        <w:sym w:font="Symbol" w:char="F0B9"/>
      </w:r>
      <w:r>
        <w:rPr>
          <w:b w:val="0"/>
          <w:bCs w:val="0"/>
          <w:sz w:val="18"/>
        </w:rPr>
        <w:t xml:space="preserve">j. Donde </w:t>
      </w:r>
      <w:r>
        <w:rPr>
          <w:b w:val="0"/>
          <w:bCs w:val="0"/>
          <w:position w:val="-14"/>
          <w:sz w:val="18"/>
        </w:rPr>
        <w:object w:dxaOrig="380" w:dyaOrig="400">
          <v:shape id="_x0000_i1047" type="#_x0000_t75" style="width:31.5pt;height:21.75pt" o:ole="">
            <v:imagedata r:id="rId47" o:title=""/>
          </v:shape>
          <o:OLEObject Type="Embed" ProgID="Equation.3" ShapeID="_x0000_i1047" DrawAspect="Content" ObjectID="_1346835674" r:id="rId51"/>
        </w:object>
      </w:r>
      <w:r>
        <w:rPr>
          <w:b w:val="0"/>
          <w:bCs w:val="0"/>
          <w:sz w:val="18"/>
        </w:rPr>
        <w:t xml:space="preserve"> es la norma del vector </w:t>
      </w:r>
      <w:r>
        <w:rPr>
          <w:b w:val="0"/>
          <w:bCs w:val="0"/>
          <w:position w:val="-12"/>
          <w:sz w:val="18"/>
        </w:rPr>
        <w:object w:dxaOrig="240" w:dyaOrig="360">
          <v:shape id="_x0000_i1048" type="#_x0000_t75" style="width:19.5pt;height:19.5pt" o:ole="">
            <v:imagedata r:id="rId52" o:title=""/>
          </v:shape>
          <o:OLEObject Type="Embed" ProgID="Equation.3" ShapeID="_x0000_i1048" DrawAspect="Content" ObjectID="_1346835675" r:id="rId53"/>
        </w:object>
      </w:r>
      <w:r>
        <w:rPr>
          <w:b w:val="0"/>
          <w:bCs w:val="0"/>
          <w:sz w:val="18"/>
        </w:rPr>
        <w:t xml:space="preserve">y </w:t>
      </w:r>
      <w:r>
        <w:rPr>
          <w:b w:val="0"/>
          <w:bCs w:val="0"/>
          <w:position w:val="-16"/>
          <w:sz w:val="18"/>
        </w:rPr>
        <w:object w:dxaOrig="760" w:dyaOrig="440">
          <v:shape id="_x0000_i1049" type="#_x0000_t75" style="width:38.25pt;height:21.75pt" o:ole="">
            <v:imagedata r:id="rId49" o:title=""/>
          </v:shape>
          <o:OLEObject Type="Embed" ProgID="Equation.3" ShapeID="_x0000_i1049" DrawAspect="Content" ObjectID="_1346835676" r:id="rId54"/>
        </w:object>
      </w:r>
      <w:r>
        <w:rPr>
          <w:b w:val="0"/>
          <w:bCs w:val="0"/>
          <w:sz w:val="18"/>
        </w:rPr>
        <w:t xml:space="preserve">es el Producto Interno de dos vectores en </w:t>
      </w:r>
      <w:r>
        <w:rPr>
          <w:b w:val="0"/>
          <w:bCs w:val="0"/>
          <w:position w:val="-6"/>
          <w:sz w:val="18"/>
        </w:rPr>
        <w:object w:dxaOrig="380" w:dyaOrig="320">
          <v:shape id="_x0000_i1050" type="#_x0000_t75" style="width:18.75pt;height:15.75pt" o:ole="">
            <v:imagedata r:id="rId55" o:title=""/>
          </v:shape>
          <o:OLEObject Type="Embed" ProgID="Equation.3" ShapeID="_x0000_i1050" DrawAspect="Content" ObjectID="_1346835677" r:id="rId56"/>
        </w:object>
      </w:r>
      <w:r>
        <w:rPr>
          <w:b w:val="0"/>
          <w:bCs w:val="0"/>
          <w:sz w:val="18"/>
        </w:rPr>
        <w:t>.</w:t>
      </w:r>
    </w:p>
    <w:p w:rsidR="00000000" w:rsidRDefault="00782BB1">
      <w:pPr>
        <w:pStyle w:val="Textoindependiente"/>
        <w:tabs>
          <w:tab w:val="left" w:pos="8280"/>
        </w:tabs>
        <w:jc w:val="both"/>
        <w:rPr>
          <w:b w:val="0"/>
          <w:bCs w:val="0"/>
          <w:sz w:val="18"/>
        </w:rPr>
      </w:pPr>
    </w:p>
    <w:p w:rsidR="00000000" w:rsidRDefault="00782BB1">
      <w:pPr>
        <w:pStyle w:val="Textoindependiente"/>
        <w:tabs>
          <w:tab w:val="left" w:pos="8280"/>
        </w:tabs>
        <w:jc w:val="both"/>
        <w:rPr>
          <w:b w:val="0"/>
          <w:bCs w:val="0"/>
          <w:sz w:val="18"/>
        </w:rPr>
      </w:pPr>
      <w:r>
        <w:rPr>
          <w:b w:val="0"/>
          <w:bCs w:val="0"/>
          <w:sz w:val="18"/>
        </w:rPr>
        <w:t>En general, la i-ésima Componente</w:t>
      </w:r>
      <w:r>
        <w:rPr>
          <w:b w:val="0"/>
          <w:bCs w:val="0"/>
          <w:sz w:val="18"/>
        </w:rPr>
        <w:t xml:space="preserve"> Principal es la combinación lineal que maximiza la varianza de  </w:t>
      </w:r>
      <w:r>
        <w:rPr>
          <w:b w:val="0"/>
          <w:bCs w:val="0"/>
          <w:position w:val="-12"/>
          <w:sz w:val="18"/>
        </w:rPr>
        <w:object w:dxaOrig="940" w:dyaOrig="380">
          <v:shape id="_x0000_i1051" type="#_x0000_t75" style="width:47.25pt;height:18.75pt" o:ole="">
            <v:imagedata r:id="rId57" o:title=""/>
          </v:shape>
          <o:OLEObject Type="Embed" ProgID="Equation.3" ShapeID="_x0000_i1051" DrawAspect="Content" ObjectID="_1346835678" r:id="rId58"/>
        </w:object>
      </w:r>
      <w:r>
        <w:rPr>
          <w:b w:val="0"/>
          <w:bCs w:val="0"/>
          <w:sz w:val="18"/>
        </w:rPr>
        <w:t xml:space="preserve">, sujeta a que la norma del vector </w:t>
      </w:r>
      <w:r>
        <w:rPr>
          <w:b w:val="0"/>
          <w:bCs w:val="0"/>
          <w:position w:val="-12"/>
          <w:sz w:val="18"/>
        </w:rPr>
        <w:object w:dxaOrig="279" w:dyaOrig="380">
          <v:shape id="_x0000_i1052" type="#_x0000_t75" style="width:14.25pt;height:18.75pt" o:ole="">
            <v:imagedata r:id="rId59" o:title=""/>
          </v:shape>
          <o:OLEObject Type="Embed" ProgID="Equation.3" ShapeID="_x0000_i1052" DrawAspect="Content" ObjectID="_1346835679" r:id="rId60"/>
        </w:object>
      </w:r>
      <w:r>
        <w:rPr>
          <w:b w:val="0"/>
          <w:bCs w:val="0"/>
          <w:sz w:val="18"/>
        </w:rPr>
        <w:t>sea unitaria y la Cov(</w:t>
      </w:r>
      <w:r>
        <w:rPr>
          <w:b w:val="0"/>
          <w:bCs w:val="0"/>
          <w:position w:val="-12"/>
          <w:sz w:val="18"/>
        </w:rPr>
        <w:object w:dxaOrig="240" w:dyaOrig="360">
          <v:shape id="_x0000_i1053" type="#_x0000_t75" style="width:12pt;height:18pt" o:ole="">
            <v:imagedata r:id="rId61" o:title=""/>
          </v:shape>
          <o:OLEObject Type="Embed" ProgID="Equation.3" ShapeID="_x0000_i1053" DrawAspect="Content" ObjectID="_1346835680" r:id="rId62"/>
        </w:object>
      </w:r>
      <w:r>
        <w:rPr>
          <w:b w:val="0"/>
          <w:bCs w:val="0"/>
          <w:sz w:val="18"/>
        </w:rPr>
        <w:t>,</w:t>
      </w:r>
      <w:r>
        <w:rPr>
          <w:b w:val="0"/>
          <w:bCs w:val="0"/>
          <w:position w:val="-12"/>
          <w:sz w:val="18"/>
        </w:rPr>
        <w:object w:dxaOrig="260" w:dyaOrig="360">
          <v:shape id="_x0000_i1054" type="#_x0000_t75" style="width:12.75pt;height:18pt" o:ole="">
            <v:imagedata r:id="rId63" o:title=""/>
          </v:shape>
          <o:OLEObject Type="Embed" ProgID="Equation.3" ShapeID="_x0000_i1054" DrawAspect="Content" ObjectID="_1346835681" r:id="rId64"/>
        </w:object>
      </w:r>
      <w:r>
        <w:rPr>
          <w:b w:val="0"/>
          <w:bCs w:val="0"/>
          <w:sz w:val="18"/>
        </w:rPr>
        <w:t xml:space="preserve">)=0 para k </w:t>
      </w:r>
      <w:r>
        <w:rPr>
          <w:b w:val="0"/>
          <w:bCs w:val="0"/>
          <w:sz w:val="18"/>
        </w:rPr>
        <w:sym w:font="Symbol" w:char="F0B9"/>
      </w:r>
      <w:r>
        <w:rPr>
          <w:b w:val="0"/>
          <w:bCs w:val="0"/>
          <w:sz w:val="18"/>
        </w:rPr>
        <w:t xml:space="preserve"> i.</w:t>
      </w:r>
    </w:p>
    <w:p w:rsidR="00000000" w:rsidRDefault="00782BB1">
      <w:pPr>
        <w:pStyle w:val="Textoindependiente"/>
        <w:tabs>
          <w:tab w:val="left" w:pos="8280"/>
        </w:tabs>
        <w:jc w:val="both"/>
        <w:rPr>
          <w:b w:val="0"/>
          <w:bCs w:val="0"/>
          <w:sz w:val="18"/>
        </w:rPr>
      </w:pPr>
    </w:p>
    <w:p w:rsidR="00000000" w:rsidRDefault="00782BB1">
      <w:pPr>
        <w:pStyle w:val="Textoindependiente"/>
        <w:tabs>
          <w:tab w:val="left" w:pos="8280"/>
        </w:tabs>
        <w:jc w:val="both"/>
        <w:rPr>
          <w:b w:val="0"/>
          <w:bCs w:val="0"/>
          <w:sz w:val="18"/>
        </w:rPr>
      </w:pPr>
      <w:r>
        <w:rPr>
          <w:b w:val="0"/>
          <w:bCs w:val="0"/>
          <w:sz w:val="18"/>
        </w:rPr>
        <w:t>Como resultado obtenemos</w:t>
      </w:r>
      <w:r>
        <w:rPr>
          <w:b w:val="0"/>
          <w:bCs w:val="0"/>
          <w:sz w:val="18"/>
        </w:rPr>
        <w:t xml:space="preserve"> que </w:t>
      </w:r>
      <w:r>
        <w:rPr>
          <w:b w:val="0"/>
          <w:bCs w:val="0"/>
          <w:sz w:val="18"/>
        </w:rPr>
        <w:sym w:font="Symbol" w:char="F0E5"/>
      </w:r>
      <w:r>
        <w:rPr>
          <w:b w:val="0"/>
          <w:bCs w:val="0"/>
          <w:sz w:val="18"/>
        </w:rPr>
        <w:t xml:space="preserve"> es la matriz de covarianzas asociadas con el vector aleatorio </w:t>
      </w:r>
      <w:r>
        <w:rPr>
          <w:b w:val="0"/>
          <w:bCs w:val="0"/>
          <w:position w:val="-14"/>
          <w:sz w:val="18"/>
        </w:rPr>
        <w:object w:dxaOrig="2160" w:dyaOrig="400">
          <v:shape id="_x0000_i1055" type="#_x0000_t75" style="width:108pt;height:20.25pt" o:ole="">
            <v:imagedata r:id="rId65" o:title=""/>
          </v:shape>
          <o:OLEObject Type="Embed" ProgID="Equation.3" ShapeID="_x0000_i1055" DrawAspect="Content" ObjectID="_1346835682" r:id="rId66"/>
        </w:object>
      </w:r>
      <w:r>
        <w:rPr>
          <w:b w:val="0"/>
          <w:bCs w:val="0"/>
          <w:sz w:val="18"/>
        </w:rPr>
        <w:t xml:space="preserve">, </w:t>
      </w:r>
      <w:r>
        <w:rPr>
          <w:b w:val="0"/>
          <w:bCs w:val="0"/>
          <w:sz w:val="18"/>
        </w:rPr>
        <w:sym w:font="Symbol" w:char="F0E5"/>
      </w:r>
      <w:r>
        <w:rPr>
          <w:b w:val="0"/>
          <w:bCs w:val="0"/>
          <w:sz w:val="18"/>
        </w:rPr>
        <w:t xml:space="preserve"> tiene los pares de valores propios y sus correspondientes vectores propios (</w:t>
      </w:r>
      <w:r>
        <w:rPr>
          <w:b w:val="0"/>
          <w:bCs w:val="0"/>
          <w:position w:val="-12"/>
          <w:sz w:val="18"/>
        </w:rPr>
        <w:object w:dxaOrig="260" w:dyaOrig="360">
          <v:shape id="_x0000_i1056" type="#_x0000_t75" style="width:12.75pt;height:18pt" o:ole="">
            <v:imagedata r:id="rId67" o:title=""/>
          </v:shape>
          <o:OLEObject Type="Embed" ProgID="Equation.3" ShapeID="_x0000_i1056" DrawAspect="Content" ObjectID="_1346835683" r:id="rId68"/>
        </w:object>
      </w:r>
      <w:r>
        <w:rPr>
          <w:b w:val="0"/>
          <w:bCs w:val="0"/>
          <w:sz w:val="18"/>
        </w:rPr>
        <w:t>,e</w:t>
      </w:r>
      <w:r>
        <w:rPr>
          <w:b w:val="0"/>
          <w:bCs w:val="0"/>
          <w:sz w:val="18"/>
          <w:vertAlign w:val="subscript"/>
        </w:rPr>
        <w:t>i</w:t>
      </w:r>
      <w:r>
        <w:rPr>
          <w:b w:val="0"/>
          <w:bCs w:val="0"/>
          <w:sz w:val="18"/>
        </w:rPr>
        <w:t>), (</w:t>
      </w:r>
      <w:r>
        <w:rPr>
          <w:b w:val="0"/>
          <w:bCs w:val="0"/>
          <w:position w:val="-10"/>
          <w:sz w:val="18"/>
        </w:rPr>
        <w:object w:dxaOrig="279" w:dyaOrig="340">
          <v:shape id="_x0000_i1057" type="#_x0000_t75" style="width:14.25pt;height:17.25pt" o:ole="">
            <v:imagedata r:id="rId69" o:title=""/>
          </v:shape>
          <o:OLEObject Type="Embed" ProgID="Equation.3" ShapeID="_x0000_i1057" DrawAspect="Content" ObjectID="_1346835684" r:id="rId70"/>
        </w:object>
      </w:r>
      <w:r>
        <w:rPr>
          <w:b w:val="0"/>
          <w:bCs w:val="0"/>
          <w:sz w:val="18"/>
        </w:rPr>
        <w:t>,e</w:t>
      </w:r>
      <w:r>
        <w:rPr>
          <w:b w:val="0"/>
          <w:bCs w:val="0"/>
          <w:sz w:val="18"/>
          <w:vertAlign w:val="subscript"/>
        </w:rPr>
        <w:t>2</w:t>
      </w:r>
      <w:r>
        <w:rPr>
          <w:b w:val="0"/>
          <w:bCs w:val="0"/>
          <w:sz w:val="18"/>
        </w:rPr>
        <w:t>), ..., (</w:t>
      </w:r>
      <w:r>
        <w:rPr>
          <w:b w:val="0"/>
          <w:bCs w:val="0"/>
          <w:position w:val="-14"/>
          <w:sz w:val="18"/>
        </w:rPr>
        <w:object w:dxaOrig="300" w:dyaOrig="380">
          <v:shape id="_x0000_i1058" type="#_x0000_t75" style="width:15pt;height:18.75pt" o:ole="">
            <v:imagedata r:id="rId71" o:title=""/>
          </v:shape>
          <o:OLEObject Type="Embed" ProgID="Equation.3" ShapeID="_x0000_i1058" DrawAspect="Content" ObjectID="_1346835685" r:id="rId72"/>
        </w:object>
      </w:r>
      <w:r>
        <w:rPr>
          <w:b w:val="0"/>
          <w:bCs w:val="0"/>
          <w:sz w:val="18"/>
        </w:rPr>
        <w:t>,e</w:t>
      </w:r>
      <w:r>
        <w:rPr>
          <w:b w:val="0"/>
          <w:bCs w:val="0"/>
          <w:sz w:val="18"/>
          <w:vertAlign w:val="subscript"/>
        </w:rPr>
        <w:t>p</w:t>
      </w:r>
      <w:r>
        <w:rPr>
          <w:b w:val="0"/>
          <w:bCs w:val="0"/>
          <w:sz w:val="18"/>
        </w:rPr>
        <w:t xml:space="preserve">) donde </w:t>
      </w:r>
      <w:r>
        <w:rPr>
          <w:b w:val="0"/>
          <w:bCs w:val="0"/>
          <w:position w:val="-10"/>
          <w:sz w:val="18"/>
        </w:rPr>
        <w:object w:dxaOrig="260" w:dyaOrig="340">
          <v:shape id="_x0000_i1059" type="#_x0000_t75" style="width:12.75pt;height:17.25pt" o:ole="">
            <v:imagedata r:id="rId73" o:title=""/>
          </v:shape>
          <o:OLEObject Type="Embed" ProgID="Equation.3" ShapeID="_x0000_i1059" DrawAspect="Content" ObjectID="_1346835686" r:id="rId74"/>
        </w:object>
      </w:r>
      <w:r>
        <w:rPr>
          <w:b w:val="0"/>
          <w:bCs w:val="0"/>
          <w:sz w:val="18"/>
        </w:rPr>
        <w:t>≥</w:t>
      </w:r>
      <w:r>
        <w:rPr>
          <w:b w:val="0"/>
          <w:bCs w:val="0"/>
          <w:position w:val="-10"/>
          <w:sz w:val="18"/>
        </w:rPr>
        <w:object w:dxaOrig="279" w:dyaOrig="340">
          <v:shape id="_x0000_i1060" type="#_x0000_t75" style="width:14.25pt;height:17.25pt" o:ole="">
            <v:imagedata r:id="rId75" o:title=""/>
          </v:shape>
          <o:OLEObject Type="Embed" ProgID="Equation.3" ShapeID="_x0000_i1060" DrawAspect="Content" ObjectID="_1346835687" r:id="rId76"/>
        </w:object>
      </w:r>
      <w:r>
        <w:rPr>
          <w:b w:val="0"/>
          <w:bCs w:val="0"/>
          <w:sz w:val="18"/>
        </w:rPr>
        <w:t>≥....≥</w:t>
      </w:r>
      <w:r>
        <w:rPr>
          <w:b w:val="0"/>
          <w:bCs w:val="0"/>
          <w:position w:val="-14"/>
          <w:sz w:val="18"/>
        </w:rPr>
        <w:object w:dxaOrig="300" w:dyaOrig="380">
          <v:shape id="_x0000_i1061" type="#_x0000_t75" style="width:15pt;height:18.75pt" o:ole="">
            <v:imagedata r:id="rId77" o:title=""/>
          </v:shape>
          <o:OLEObject Type="Embed" ProgID="Equation.3" ShapeID="_x0000_i1061" DrawAspect="Content" ObjectID="_1346835688" r:id="rId78"/>
        </w:object>
      </w:r>
      <w:r>
        <w:rPr>
          <w:b w:val="0"/>
          <w:bCs w:val="0"/>
          <w:sz w:val="18"/>
        </w:rPr>
        <w:t>≥0.</w:t>
      </w:r>
    </w:p>
    <w:p w:rsidR="00000000" w:rsidRDefault="00782BB1">
      <w:pPr>
        <w:pStyle w:val="Textoindependiente"/>
        <w:tabs>
          <w:tab w:val="left" w:pos="8280"/>
        </w:tabs>
        <w:jc w:val="both"/>
        <w:rPr>
          <w:b w:val="0"/>
          <w:bCs w:val="0"/>
          <w:sz w:val="18"/>
        </w:rPr>
      </w:pPr>
    </w:p>
    <w:p w:rsidR="00000000" w:rsidRDefault="00782BB1">
      <w:pPr>
        <w:pStyle w:val="Textoindependiente"/>
        <w:tabs>
          <w:tab w:val="left" w:pos="8280"/>
        </w:tabs>
        <w:jc w:val="both"/>
        <w:rPr>
          <w:b w:val="0"/>
          <w:bCs w:val="0"/>
          <w:sz w:val="18"/>
        </w:rPr>
      </w:pPr>
      <w:r>
        <w:rPr>
          <w:b w:val="0"/>
          <w:bCs w:val="0"/>
          <w:sz w:val="18"/>
        </w:rPr>
        <w:t>Entonces, se puede probar que la i-ésima componente principal viene dada por:</w:t>
      </w:r>
    </w:p>
    <w:p w:rsidR="00000000" w:rsidRDefault="00782BB1">
      <w:pPr>
        <w:pStyle w:val="Textoindependiente"/>
        <w:tabs>
          <w:tab w:val="left" w:pos="8280"/>
        </w:tabs>
        <w:jc w:val="both"/>
        <w:rPr>
          <w:b w:val="0"/>
          <w:bCs w:val="0"/>
          <w:sz w:val="18"/>
        </w:rPr>
      </w:pPr>
      <w:r>
        <w:rPr>
          <w:b w:val="0"/>
          <w:bCs w:val="0"/>
          <w:sz w:val="18"/>
        </w:rPr>
        <w:t xml:space="preserve">         </w:t>
      </w:r>
      <w:r>
        <w:rPr>
          <w:b w:val="0"/>
          <w:bCs w:val="0"/>
          <w:position w:val="-14"/>
          <w:sz w:val="18"/>
        </w:rPr>
        <w:object w:dxaOrig="3700" w:dyaOrig="400">
          <v:shape id="_x0000_i1062" type="#_x0000_t75" style="width:185.25pt;height:20.25pt" o:ole="">
            <v:imagedata r:id="rId79" o:title=""/>
          </v:shape>
          <o:OLEObject Type="Embed" ProgID="Equation.3" ShapeID="_x0000_i1062" DrawAspect="Content" ObjectID="_1346835689" r:id="rId80"/>
        </w:object>
      </w:r>
      <w:r>
        <w:rPr>
          <w:b w:val="0"/>
          <w:bCs w:val="0"/>
          <w:sz w:val="18"/>
        </w:rPr>
        <w:t>,  para i=1, 2,..., p</w:t>
      </w:r>
    </w:p>
    <w:p w:rsidR="00000000" w:rsidRDefault="00782BB1">
      <w:pPr>
        <w:pStyle w:val="Textoindependiente"/>
        <w:tabs>
          <w:tab w:val="left" w:pos="8280"/>
        </w:tabs>
        <w:jc w:val="both"/>
        <w:rPr>
          <w:b w:val="0"/>
          <w:bCs w:val="0"/>
          <w:sz w:val="18"/>
        </w:rPr>
      </w:pPr>
      <w:r>
        <w:rPr>
          <w:b w:val="0"/>
          <w:bCs w:val="0"/>
          <w:sz w:val="18"/>
        </w:rPr>
        <w:lastRenderedPageBreak/>
        <w:t>Además, se puede probar de igual manera que la Var(Y</w:t>
      </w:r>
      <w:r>
        <w:rPr>
          <w:b w:val="0"/>
          <w:bCs w:val="0"/>
          <w:sz w:val="18"/>
          <w:vertAlign w:val="subscript"/>
        </w:rPr>
        <w:t>i</w:t>
      </w:r>
      <w:r>
        <w:rPr>
          <w:b w:val="0"/>
          <w:bCs w:val="0"/>
          <w:sz w:val="18"/>
        </w:rPr>
        <w:t xml:space="preserve">) =  </w:t>
      </w:r>
      <w:r>
        <w:rPr>
          <w:b w:val="0"/>
          <w:bCs w:val="0"/>
          <w:position w:val="-14"/>
          <w:sz w:val="18"/>
        </w:rPr>
        <w:object w:dxaOrig="1260" w:dyaOrig="400">
          <v:shape id="_x0000_i1063" type="#_x0000_t75" style="width:63pt;height:20.25pt" o:ole="">
            <v:imagedata r:id="rId81" o:title=""/>
          </v:shape>
          <o:OLEObject Type="Embed" ProgID="Equation.3" ShapeID="_x0000_i1063" DrawAspect="Content" ObjectID="_1346835690" r:id="rId82"/>
        </w:object>
      </w:r>
      <w:r>
        <w:rPr>
          <w:b w:val="0"/>
          <w:bCs w:val="0"/>
          <w:sz w:val="18"/>
        </w:rPr>
        <w:t xml:space="preserve"> , para i= 1, 2,..., p y la Cov(Y</w:t>
      </w:r>
      <w:r>
        <w:rPr>
          <w:b w:val="0"/>
          <w:bCs w:val="0"/>
          <w:sz w:val="18"/>
          <w:vertAlign w:val="subscript"/>
        </w:rPr>
        <w:t>i</w:t>
      </w:r>
      <w:r>
        <w:rPr>
          <w:b w:val="0"/>
          <w:bCs w:val="0"/>
          <w:sz w:val="18"/>
        </w:rPr>
        <w:t>,Y</w:t>
      </w:r>
      <w:r>
        <w:rPr>
          <w:b w:val="0"/>
          <w:bCs w:val="0"/>
          <w:sz w:val="18"/>
          <w:vertAlign w:val="subscript"/>
        </w:rPr>
        <w:t>k</w:t>
      </w:r>
      <w:r>
        <w:rPr>
          <w:b w:val="0"/>
          <w:bCs w:val="0"/>
          <w:sz w:val="18"/>
        </w:rPr>
        <w:t xml:space="preserve">)=  </w:t>
      </w:r>
      <w:r>
        <w:rPr>
          <w:b w:val="0"/>
          <w:bCs w:val="0"/>
          <w:position w:val="-14"/>
          <w:sz w:val="18"/>
        </w:rPr>
        <w:object w:dxaOrig="800" w:dyaOrig="400">
          <v:shape id="_x0000_i1064" type="#_x0000_t75" style="width:39.75pt;height:20.25pt" o:ole="">
            <v:imagedata r:id="rId83" o:title=""/>
          </v:shape>
          <o:OLEObject Type="Embed" ProgID="Equation.3" ShapeID="_x0000_i1064" DrawAspect="Content" ObjectID="_1346835691" r:id="rId84"/>
        </w:object>
      </w:r>
      <w:r>
        <w:rPr>
          <w:b w:val="0"/>
          <w:bCs w:val="0"/>
          <w:sz w:val="18"/>
        </w:rPr>
        <w:t xml:space="preserve">, para i  </w:t>
      </w:r>
      <w:r>
        <w:rPr>
          <w:b w:val="0"/>
          <w:bCs w:val="0"/>
          <w:position w:val="-4"/>
          <w:sz w:val="18"/>
        </w:rPr>
        <w:object w:dxaOrig="220" w:dyaOrig="220">
          <v:shape id="_x0000_i1065" type="#_x0000_t75" style="width:11.25pt;height:11.25pt" o:ole="">
            <v:imagedata r:id="rId85" o:title=""/>
          </v:shape>
          <o:OLEObject Type="Embed" ProgID="Equation.3" ShapeID="_x0000_i1065" DrawAspect="Content" ObjectID="_1346835692" r:id="rId86"/>
        </w:object>
      </w:r>
      <w:r>
        <w:rPr>
          <w:b w:val="0"/>
          <w:bCs w:val="0"/>
          <w:sz w:val="18"/>
        </w:rPr>
        <w:t xml:space="preserve">  k.</w:t>
      </w:r>
    </w:p>
    <w:p w:rsidR="00000000" w:rsidRDefault="00782BB1">
      <w:pPr>
        <w:pStyle w:val="Textoindependiente"/>
        <w:tabs>
          <w:tab w:val="left" w:pos="8280"/>
        </w:tabs>
        <w:jc w:val="both"/>
        <w:rPr>
          <w:b w:val="0"/>
          <w:bCs w:val="0"/>
          <w:sz w:val="18"/>
        </w:rPr>
      </w:pPr>
    </w:p>
    <w:p w:rsidR="00000000" w:rsidRDefault="00782BB1">
      <w:pPr>
        <w:pStyle w:val="Textoindependiente"/>
        <w:tabs>
          <w:tab w:val="left" w:pos="8280"/>
        </w:tabs>
        <w:jc w:val="both"/>
        <w:rPr>
          <w:b w:val="0"/>
          <w:bCs w:val="0"/>
          <w:sz w:val="18"/>
        </w:rPr>
      </w:pPr>
      <w:r>
        <w:rPr>
          <w:b w:val="0"/>
          <w:bCs w:val="0"/>
          <w:sz w:val="18"/>
        </w:rPr>
        <w:t>Bajo estas condiciones, el  porcentaje de la varianza total contenida por la i-ésima componente principal, o su explicación viene dado por</w:t>
      </w:r>
      <w:r>
        <w:rPr>
          <w:b w:val="0"/>
          <w:bCs w:val="0"/>
          <w:sz w:val="18"/>
        </w:rPr>
        <w:t xml:space="preserve"> </w:t>
      </w:r>
      <w:r>
        <w:rPr>
          <w:b w:val="0"/>
          <w:bCs w:val="0"/>
          <w:position w:val="-62"/>
          <w:sz w:val="18"/>
        </w:rPr>
        <w:object w:dxaOrig="1340" w:dyaOrig="1020">
          <v:shape id="_x0000_i1066" type="#_x0000_t75" style="width:54pt;height:41.25pt" o:ole="">
            <v:imagedata r:id="rId87" o:title=""/>
          </v:shape>
          <o:OLEObject Type="Embed" ProgID="Equation.3" ShapeID="_x0000_i1066" DrawAspect="Content" ObjectID="_1346835693" r:id="rId88"/>
        </w:object>
      </w:r>
      <w:r>
        <w:rPr>
          <w:b w:val="0"/>
          <w:bCs w:val="0"/>
          <w:sz w:val="18"/>
        </w:rPr>
        <w:t>.</w:t>
      </w:r>
    </w:p>
    <w:p w:rsidR="00000000" w:rsidRDefault="00782BB1">
      <w:pPr>
        <w:pStyle w:val="Textoindependiente"/>
        <w:tabs>
          <w:tab w:val="left" w:pos="8280"/>
        </w:tabs>
        <w:jc w:val="both"/>
        <w:rPr>
          <w:b w:val="0"/>
          <w:bCs w:val="0"/>
          <w:sz w:val="18"/>
        </w:rPr>
      </w:pPr>
    </w:p>
    <w:p w:rsidR="00000000" w:rsidRDefault="00782BB1">
      <w:pPr>
        <w:pStyle w:val="Textoindependiente"/>
        <w:jc w:val="both"/>
        <w:rPr>
          <w:b w:val="0"/>
          <w:bCs w:val="0"/>
          <w:sz w:val="18"/>
        </w:rPr>
      </w:pPr>
      <w:r>
        <w:rPr>
          <w:b w:val="0"/>
          <w:bCs w:val="0"/>
          <w:sz w:val="18"/>
        </w:rPr>
        <w:t>Para verificar si la técnica de componentes principales puede ser aplicada a un grupo de datos, se debe aplicar la prueba de Significancia Estadística de Bartlett en la cual se plantea el contraste de hipótesis que aparecen en el</w:t>
      </w:r>
      <w:r>
        <w:rPr>
          <w:b w:val="0"/>
          <w:bCs w:val="0"/>
          <w:sz w:val="18"/>
        </w:rPr>
        <w:t xml:space="preserve"> Cuadro VII.</w:t>
      </w:r>
    </w:p>
    <w:p w:rsidR="00000000" w:rsidRDefault="00782BB1">
      <w:pPr>
        <w:jc w:val="both"/>
        <w:rPr>
          <w:sz w:val="18"/>
        </w:rPr>
      </w:pPr>
    </w:p>
    <w:tbl>
      <w:tblPr>
        <w:tblW w:w="0" w:type="auto"/>
        <w:tblCellSpacing w:w="20" w:type="dxa"/>
        <w:tblInd w:w="163" w:type="dxa"/>
        <w:tblBorders>
          <w:top w:val="inset" w:sz="6" w:space="0" w:color="C0C0C0"/>
          <w:left w:val="inset" w:sz="6" w:space="0" w:color="C0C0C0"/>
          <w:bottom w:val="outset" w:sz="6" w:space="0" w:color="C0C0C0"/>
          <w:right w:val="outset" w:sz="6" w:space="0" w:color="C0C0C0"/>
        </w:tblBorders>
        <w:tblLayout w:type="fixed"/>
        <w:tblLook w:val="01E0"/>
      </w:tblPr>
      <w:tblGrid>
        <w:gridCol w:w="3828"/>
      </w:tblGrid>
      <w:tr w:rsidR="00000000">
        <w:trPr>
          <w:trHeight w:val="444"/>
          <w:tblCellSpacing w:w="20" w:type="dxa"/>
        </w:trPr>
        <w:tc>
          <w:tcPr>
            <w:tcW w:w="3748" w:type="dxa"/>
          </w:tcPr>
          <w:p w:rsidR="00000000" w:rsidRDefault="00782BB1">
            <w:pPr>
              <w:jc w:val="center"/>
              <w:rPr>
                <w:i/>
                <w:sz w:val="18"/>
                <w:szCs w:val="18"/>
              </w:rPr>
            </w:pPr>
            <w:r>
              <w:rPr>
                <w:b/>
                <w:sz w:val="18"/>
              </w:rPr>
              <w:t>Cuadro VII</w:t>
            </w:r>
          </w:p>
          <w:p w:rsidR="00000000" w:rsidRDefault="00782BB1">
            <w:pPr>
              <w:tabs>
                <w:tab w:val="center" w:pos="2692"/>
              </w:tabs>
              <w:autoSpaceDE w:val="0"/>
              <w:autoSpaceDN w:val="0"/>
              <w:adjustRightInd w:val="0"/>
              <w:spacing w:line="480" w:lineRule="auto"/>
              <w:jc w:val="center"/>
              <w:rPr>
                <w:rFonts w:ascii="Arial" w:hAnsi="Arial" w:cs="Arial"/>
                <w:color w:val="000000"/>
                <w:sz w:val="18"/>
              </w:rPr>
            </w:pPr>
            <w:r>
              <w:rPr>
                <w:b/>
                <w:bCs/>
                <w:sz w:val="18"/>
                <w:szCs w:val="22"/>
              </w:rPr>
              <w:t>Prueba de Bartlett</w:t>
            </w:r>
          </w:p>
        </w:tc>
      </w:tr>
      <w:tr w:rsidR="00000000">
        <w:trPr>
          <w:tblCellSpacing w:w="20" w:type="dxa"/>
        </w:trPr>
        <w:tc>
          <w:tcPr>
            <w:tcW w:w="3748" w:type="dxa"/>
          </w:tcPr>
          <w:p w:rsidR="00000000" w:rsidRDefault="00782BB1">
            <w:pPr>
              <w:tabs>
                <w:tab w:val="center" w:pos="2692"/>
              </w:tabs>
              <w:autoSpaceDE w:val="0"/>
              <w:autoSpaceDN w:val="0"/>
              <w:adjustRightInd w:val="0"/>
              <w:jc w:val="center"/>
              <w:rPr>
                <w:color w:val="000000"/>
                <w:sz w:val="18"/>
              </w:rPr>
            </w:pPr>
            <w:r>
              <w:rPr>
                <w:color w:val="000000"/>
                <w:position w:val="-68"/>
                <w:sz w:val="18"/>
              </w:rPr>
              <w:object w:dxaOrig="3060" w:dyaOrig="1480">
                <v:shape id="_x0000_i1067" type="#_x0000_t75" style="width:119.25pt;height:57pt" o:ole="">
                  <v:imagedata r:id="rId89" o:title=""/>
                </v:shape>
                <o:OLEObject Type="Embed" ProgID="Equation.3" ShapeID="_x0000_i1067" DrawAspect="Content" ObjectID="_1346835694" r:id="rId90"/>
              </w:object>
            </w:r>
          </w:p>
          <w:p w:rsidR="00000000" w:rsidRDefault="00782BB1">
            <w:pPr>
              <w:tabs>
                <w:tab w:val="center" w:pos="2692"/>
              </w:tabs>
              <w:autoSpaceDE w:val="0"/>
              <w:autoSpaceDN w:val="0"/>
              <w:adjustRightInd w:val="0"/>
              <w:jc w:val="center"/>
              <w:rPr>
                <w:color w:val="000000"/>
                <w:sz w:val="18"/>
              </w:rPr>
            </w:pPr>
            <w:r>
              <w:rPr>
                <w:color w:val="000000"/>
                <w:sz w:val="18"/>
              </w:rPr>
              <w:t>vs.</w:t>
            </w:r>
          </w:p>
          <w:p w:rsidR="00000000" w:rsidRDefault="00782BB1">
            <w:pPr>
              <w:tabs>
                <w:tab w:val="center" w:pos="2692"/>
              </w:tabs>
              <w:autoSpaceDE w:val="0"/>
              <w:autoSpaceDN w:val="0"/>
              <w:adjustRightInd w:val="0"/>
              <w:jc w:val="center"/>
              <w:rPr>
                <w:b/>
                <w:bCs/>
                <w:color w:val="000000"/>
                <w:sz w:val="18"/>
              </w:rPr>
            </w:pPr>
            <w:r>
              <w:rPr>
                <w:b/>
                <w:bCs/>
                <w:color w:val="000000"/>
                <w:position w:val="-12"/>
                <w:sz w:val="18"/>
              </w:rPr>
              <w:object w:dxaOrig="2160" w:dyaOrig="360">
                <v:shape id="_x0000_i1068" type="#_x0000_t75" style="width:93pt;height:15pt" o:ole="">
                  <v:imagedata r:id="rId91" o:title=""/>
                </v:shape>
                <o:OLEObject Type="Embed" ProgID="Equation.3" ShapeID="_x0000_i1068" DrawAspect="Content" ObjectID="_1346835695" r:id="rId92"/>
              </w:object>
            </w:r>
          </w:p>
          <w:p w:rsidR="00000000" w:rsidRDefault="00782BB1">
            <w:pPr>
              <w:tabs>
                <w:tab w:val="center" w:pos="2692"/>
              </w:tabs>
              <w:autoSpaceDE w:val="0"/>
              <w:autoSpaceDN w:val="0"/>
              <w:adjustRightInd w:val="0"/>
              <w:jc w:val="center"/>
              <w:rPr>
                <w:bCs/>
                <w:color w:val="000000"/>
                <w:sz w:val="18"/>
              </w:rPr>
            </w:pPr>
            <w:r>
              <w:rPr>
                <w:bCs/>
                <w:color w:val="000000"/>
                <w:sz w:val="18"/>
              </w:rPr>
              <w:t>Estadístico de Prueba= 818.353</w:t>
            </w:r>
          </w:p>
          <w:p w:rsidR="00000000" w:rsidRDefault="00782BB1">
            <w:pPr>
              <w:tabs>
                <w:tab w:val="center" w:pos="2692"/>
              </w:tabs>
              <w:autoSpaceDE w:val="0"/>
              <w:autoSpaceDN w:val="0"/>
              <w:adjustRightInd w:val="0"/>
              <w:jc w:val="center"/>
              <w:rPr>
                <w:rFonts w:ascii="Arial" w:hAnsi="Arial" w:cs="Arial"/>
                <w:color w:val="000000"/>
                <w:sz w:val="18"/>
              </w:rPr>
            </w:pPr>
            <w:r>
              <w:rPr>
                <w:bCs/>
                <w:color w:val="000000"/>
                <w:sz w:val="18"/>
              </w:rPr>
              <w:t>Valor p =0.000</w:t>
            </w:r>
          </w:p>
        </w:tc>
      </w:tr>
    </w:tbl>
    <w:p w:rsidR="00000000" w:rsidRDefault="00782BB1">
      <w:pPr>
        <w:jc w:val="both"/>
        <w:rPr>
          <w:sz w:val="18"/>
        </w:rPr>
      </w:pPr>
    </w:p>
    <w:p w:rsidR="00000000" w:rsidRDefault="00782BB1">
      <w:pPr>
        <w:pStyle w:val="Encabezado"/>
        <w:tabs>
          <w:tab w:val="clear" w:pos="4252"/>
          <w:tab w:val="clear" w:pos="8504"/>
          <w:tab w:val="left" w:pos="1770"/>
        </w:tabs>
        <w:jc w:val="both"/>
        <w:rPr>
          <w:sz w:val="18"/>
        </w:rPr>
      </w:pPr>
      <w:r>
        <w:rPr>
          <w:sz w:val="18"/>
        </w:rPr>
        <w:t>Al aplicar la prueba a los datos de este estudio el valor p obtenido es de 0.000, de manera que existe evidenci</w:t>
      </w:r>
      <w:r>
        <w:rPr>
          <w:sz w:val="18"/>
        </w:rPr>
        <w:t xml:space="preserve">a estadística para rechazar la hipótesis nula, es decir algunos valores de las covarianzas, </w:t>
      </w:r>
      <w:r>
        <w:rPr>
          <w:color w:val="000000"/>
          <w:position w:val="-14"/>
          <w:sz w:val="18"/>
        </w:rPr>
        <w:object w:dxaOrig="320" w:dyaOrig="380">
          <v:shape id="_x0000_i1069" type="#_x0000_t75" style="width:15.75pt;height:18.75pt" o:ole="">
            <v:imagedata r:id="rId93" o:title=""/>
          </v:shape>
          <o:OLEObject Type="Embed" ProgID="Equation.3" ShapeID="_x0000_i1069" DrawAspect="Content" ObjectID="_1346835696" r:id="rId94"/>
        </w:object>
      </w:r>
      <w:r>
        <w:rPr>
          <w:sz w:val="18"/>
        </w:rPr>
        <w:t xml:space="preserve"> son diferentes de 0 para i</w:t>
      </w:r>
      <w:r>
        <w:rPr>
          <w:sz w:val="18"/>
        </w:rPr>
        <w:sym w:font="Symbol" w:char="F0B9"/>
      </w:r>
      <w:r>
        <w:rPr>
          <w:sz w:val="18"/>
        </w:rPr>
        <w:t>j, y podemos afirmar que no existe independencia entre las variables de la matriz de datos de los entrevistados y</w:t>
      </w:r>
      <w:r>
        <w:rPr>
          <w:sz w:val="18"/>
        </w:rPr>
        <w:t xml:space="preserve"> se concluye que se puede proceder con el análisis de componentes principales.</w:t>
      </w:r>
    </w:p>
    <w:p w:rsidR="00000000" w:rsidRDefault="00782BB1">
      <w:pPr>
        <w:pStyle w:val="Encabezado"/>
        <w:tabs>
          <w:tab w:val="clear" w:pos="4252"/>
          <w:tab w:val="clear" w:pos="8504"/>
          <w:tab w:val="left" w:pos="1770"/>
        </w:tabs>
        <w:jc w:val="both"/>
        <w:rPr>
          <w:sz w:val="18"/>
        </w:rPr>
      </w:pPr>
    </w:p>
    <w:p w:rsidR="00000000" w:rsidRDefault="00782BB1">
      <w:pPr>
        <w:jc w:val="both"/>
        <w:rPr>
          <w:sz w:val="18"/>
          <w:lang w:val="es-EC"/>
        </w:rPr>
      </w:pPr>
    </w:p>
    <w:p w:rsidR="00000000" w:rsidRDefault="00782BB1">
      <w:pPr>
        <w:pStyle w:val="Encabezado"/>
        <w:tabs>
          <w:tab w:val="clear" w:pos="4252"/>
          <w:tab w:val="clear" w:pos="8504"/>
          <w:tab w:val="left" w:pos="1770"/>
        </w:tabs>
        <w:jc w:val="both"/>
        <w:rPr>
          <w:sz w:val="18"/>
        </w:rPr>
      </w:pPr>
      <w:r>
        <w:rPr>
          <w:sz w:val="18"/>
        </w:rPr>
        <w:t>Debido a que algunas de las características, no se encuentran en la misma escala, se aplicará la técnica de Componentes Principales utilizando los datos estandarizados. La est</w:t>
      </w:r>
      <w:r>
        <w:rPr>
          <w:sz w:val="18"/>
        </w:rPr>
        <w:t>andarización significa que a cada dato observado se le resta la media estimada y se lo divide para la desviación estándar estimada de las variables; obteniéndose Z</w:t>
      </w:r>
      <w:r>
        <w:rPr>
          <w:sz w:val="18"/>
          <w:vertAlign w:val="subscript"/>
        </w:rPr>
        <w:t>1</w:t>
      </w:r>
      <w:r>
        <w:rPr>
          <w:sz w:val="18"/>
        </w:rPr>
        <w:t>, Z</w:t>
      </w:r>
      <w:r>
        <w:rPr>
          <w:sz w:val="18"/>
          <w:vertAlign w:val="subscript"/>
        </w:rPr>
        <w:t>2</w:t>
      </w:r>
      <w:r>
        <w:rPr>
          <w:sz w:val="18"/>
        </w:rPr>
        <w:t>, …, Z</w:t>
      </w:r>
      <w:r>
        <w:rPr>
          <w:sz w:val="18"/>
          <w:vertAlign w:val="subscript"/>
        </w:rPr>
        <w:t>p</w:t>
      </w:r>
      <w:r>
        <w:rPr>
          <w:sz w:val="18"/>
        </w:rPr>
        <w:t>, correspondientes a las variables X</w:t>
      </w:r>
      <w:r>
        <w:rPr>
          <w:sz w:val="18"/>
          <w:vertAlign w:val="subscript"/>
        </w:rPr>
        <w:t>1</w:t>
      </w:r>
      <w:r>
        <w:rPr>
          <w:sz w:val="18"/>
        </w:rPr>
        <w:t>, X</w:t>
      </w:r>
      <w:r>
        <w:rPr>
          <w:sz w:val="18"/>
          <w:vertAlign w:val="subscript"/>
        </w:rPr>
        <w:t>2</w:t>
      </w:r>
      <w:r>
        <w:rPr>
          <w:sz w:val="18"/>
        </w:rPr>
        <w:t>,…, X</w:t>
      </w:r>
      <w:r>
        <w:rPr>
          <w:sz w:val="18"/>
          <w:vertAlign w:val="subscript"/>
        </w:rPr>
        <w:t>p</w:t>
      </w:r>
      <w:r>
        <w:rPr>
          <w:sz w:val="18"/>
        </w:rPr>
        <w:t xml:space="preserve"> estandarizadas.</w:t>
      </w:r>
    </w:p>
    <w:p w:rsidR="00000000" w:rsidRDefault="00782BB1">
      <w:pPr>
        <w:pStyle w:val="Encabezado"/>
        <w:tabs>
          <w:tab w:val="clear" w:pos="4252"/>
          <w:tab w:val="clear" w:pos="8504"/>
          <w:tab w:val="left" w:pos="1770"/>
        </w:tabs>
        <w:jc w:val="both"/>
        <w:rPr>
          <w:sz w:val="18"/>
        </w:rPr>
      </w:pPr>
    </w:p>
    <w:p w:rsidR="00000000" w:rsidRDefault="00782BB1">
      <w:pPr>
        <w:pStyle w:val="Encabezado"/>
        <w:tabs>
          <w:tab w:val="clear" w:pos="4252"/>
          <w:tab w:val="clear" w:pos="8504"/>
          <w:tab w:val="left" w:pos="1770"/>
        </w:tabs>
        <w:jc w:val="center"/>
        <w:rPr>
          <w:sz w:val="18"/>
        </w:rPr>
      </w:pPr>
      <w:r>
        <w:rPr>
          <w:position w:val="-30"/>
          <w:sz w:val="18"/>
        </w:rPr>
        <w:object w:dxaOrig="1320" w:dyaOrig="720">
          <v:shape id="_x0000_i1070" type="#_x0000_t75" style="width:61.5pt;height:33.75pt" o:ole="">
            <v:imagedata r:id="rId95" o:title=""/>
          </v:shape>
          <o:OLEObject Type="Embed" ProgID="Equation.3" ShapeID="_x0000_i1070" DrawAspect="Content" ObjectID="_1346835697" r:id="rId96"/>
        </w:object>
      </w:r>
    </w:p>
    <w:p w:rsidR="00000000" w:rsidRDefault="00782BB1">
      <w:pPr>
        <w:pStyle w:val="Encabezado"/>
        <w:tabs>
          <w:tab w:val="clear" w:pos="4252"/>
          <w:tab w:val="clear" w:pos="8504"/>
          <w:tab w:val="left" w:pos="1770"/>
        </w:tabs>
        <w:jc w:val="both"/>
        <w:rPr>
          <w:sz w:val="18"/>
        </w:rPr>
      </w:pPr>
    </w:p>
    <w:p w:rsidR="00000000" w:rsidRDefault="00782BB1">
      <w:pPr>
        <w:pStyle w:val="Encabezado"/>
        <w:tabs>
          <w:tab w:val="clear" w:pos="4252"/>
          <w:tab w:val="clear" w:pos="8504"/>
          <w:tab w:val="left" w:pos="1770"/>
        </w:tabs>
        <w:jc w:val="both"/>
        <w:rPr>
          <w:sz w:val="18"/>
        </w:rPr>
      </w:pPr>
      <w:r>
        <w:rPr>
          <w:sz w:val="18"/>
        </w:rPr>
        <w:t>Al estandarizar la matriz de datos originales y aplicar el método de Componentes Principales, con seis Componentes Principales se explica el 51% de la varianza total. En este caso se puede concluir que la Técnica de Componentes Principales no prop</w:t>
      </w:r>
      <w:r>
        <w:rPr>
          <w:sz w:val="18"/>
        </w:rPr>
        <w:t>orciona una reducción significativa de las variables.</w:t>
      </w:r>
    </w:p>
    <w:p w:rsidR="00000000" w:rsidRDefault="00782BB1">
      <w:pPr>
        <w:jc w:val="both"/>
        <w:rPr>
          <w:sz w:val="18"/>
          <w:lang w:val="es-EC"/>
        </w:rPr>
      </w:pPr>
    </w:p>
    <w:p w:rsidR="00000000" w:rsidRDefault="00782BB1">
      <w:pPr>
        <w:jc w:val="both"/>
        <w:rPr>
          <w:sz w:val="18"/>
          <w:lang w:val="es-EC"/>
        </w:rPr>
      </w:pPr>
    </w:p>
    <w:p w:rsidR="00000000" w:rsidRDefault="00782BB1">
      <w:pPr>
        <w:jc w:val="both"/>
        <w:rPr>
          <w:sz w:val="18"/>
          <w:lang w:val="es-EC"/>
        </w:rPr>
      </w:pPr>
    </w:p>
    <w:p w:rsidR="00000000" w:rsidRDefault="00782BB1">
      <w:pPr>
        <w:pStyle w:val="Ttulo2"/>
        <w:rPr>
          <w:szCs w:val="24"/>
          <w:lang w:val="es-EC"/>
        </w:rPr>
      </w:pPr>
      <w:r>
        <w:rPr>
          <w:szCs w:val="24"/>
          <w:lang w:val="es-EC"/>
        </w:rPr>
        <w:lastRenderedPageBreak/>
        <w:t>Análisis de Correlación Canónica</w:t>
      </w:r>
    </w:p>
    <w:p w:rsidR="00000000" w:rsidRDefault="00782BB1">
      <w:pPr>
        <w:jc w:val="center"/>
        <w:rPr>
          <w:sz w:val="18"/>
          <w:lang w:val="es-EC"/>
        </w:rPr>
      </w:pPr>
    </w:p>
    <w:p w:rsidR="00000000" w:rsidRDefault="00782BB1">
      <w:pPr>
        <w:autoSpaceDE w:val="0"/>
        <w:autoSpaceDN w:val="0"/>
        <w:adjustRightInd w:val="0"/>
        <w:jc w:val="both"/>
        <w:rPr>
          <w:sz w:val="18"/>
        </w:rPr>
      </w:pPr>
    </w:p>
    <w:p w:rsidR="00000000" w:rsidRDefault="00782BB1">
      <w:pPr>
        <w:autoSpaceDE w:val="0"/>
        <w:autoSpaceDN w:val="0"/>
        <w:adjustRightInd w:val="0"/>
        <w:jc w:val="both"/>
        <w:rPr>
          <w:sz w:val="18"/>
        </w:rPr>
      </w:pPr>
      <w:r>
        <w:rPr>
          <w:sz w:val="18"/>
        </w:rPr>
        <w:t>El Análisis de Correlación Canónica es una técnica estadística multivariada que  permite identificar y cuantificar el grado de asociación lineal entre dos conjuntos</w:t>
      </w:r>
      <w:r>
        <w:rPr>
          <w:sz w:val="18"/>
        </w:rPr>
        <w:t xml:space="preserve"> de variables aleatorias observadas. </w:t>
      </w:r>
    </w:p>
    <w:p w:rsidR="00000000" w:rsidRDefault="00782BB1">
      <w:pPr>
        <w:autoSpaceDE w:val="0"/>
        <w:autoSpaceDN w:val="0"/>
        <w:adjustRightInd w:val="0"/>
        <w:jc w:val="both"/>
        <w:rPr>
          <w:sz w:val="18"/>
        </w:rPr>
      </w:pPr>
    </w:p>
    <w:p w:rsidR="00000000" w:rsidRDefault="00782BB1">
      <w:pPr>
        <w:autoSpaceDE w:val="0"/>
        <w:autoSpaceDN w:val="0"/>
        <w:adjustRightInd w:val="0"/>
        <w:jc w:val="both"/>
        <w:rPr>
          <w:sz w:val="18"/>
        </w:rPr>
      </w:pPr>
      <w:r>
        <w:rPr>
          <w:sz w:val="18"/>
        </w:rPr>
        <w:t xml:space="preserve">El primer grupo de variables se representa por el vector p-variado </w:t>
      </w:r>
      <w:r>
        <w:rPr>
          <w:b/>
          <w:sz w:val="18"/>
        </w:rPr>
        <w:t>X</w:t>
      </w:r>
      <w:r>
        <w:rPr>
          <w:sz w:val="18"/>
          <w:vertAlign w:val="superscript"/>
        </w:rPr>
        <w:t>(1)</w:t>
      </w:r>
      <w:r>
        <w:rPr>
          <w:sz w:val="18"/>
        </w:rPr>
        <w:t xml:space="preserve"> y el segundo de q variables se representa por el vector </w:t>
      </w:r>
      <w:r>
        <w:rPr>
          <w:b/>
          <w:sz w:val="18"/>
        </w:rPr>
        <w:t>X</w:t>
      </w:r>
      <w:r>
        <w:rPr>
          <w:sz w:val="18"/>
          <w:vertAlign w:val="superscript"/>
        </w:rPr>
        <w:t>(2)</w:t>
      </w:r>
      <w:r>
        <w:rPr>
          <w:sz w:val="18"/>
        </w:rPr>
        <w:t>, donde p</w:t>
      </w:r>
      <w:r>
        <w:rPr>
          <w:position w:val="-4"/>
          <w:sz w:val="18"/>
        </w:rPr>
        <w:object w:dxaOrig="200" w:dyaOrig="240">
          <v:shape id="_x0000_i1071" type="#_x0000_t75" style="width:9.75pt;height:12pt" o:ole="">
            <v:imagedata r:id="rId97" o:title=""/>
          </v:shape>
          <o:OLEObject Type="Embed" ProgID="Equation.3" ShapeID="_x0000_i1071" DrawAspect="Content" ObjectID="_1346835698" r:id="rId98"/>
        </w:object>
      </w:r>
      <w:r>
        <w:rPr>
          <w:sz w:val="18"/>
        </w:rPr>
        <w:t>q. Es decir:</w:t>
      </w:r>
    </w:p>
    <w:p w:rsidR="00000000" w:rsidRDefault="00782BB1">
      <w:pPr>
        <w:autoSpaceDE w:val="0"/>
        <w:autoSpaceDN w:val="0"/>
        <w:adjustRightInd w:val="0"/>
        <w:jc w:val="both"/>
        <w:rPr>
          <w:sz w:val="18"/>
        </w:rPr>
      </w:pPr>
    </w:p>
    <w:p w:rsidR="00000000" w:rsidRDefault="00782BB1">
      <w:pPr>
        <w:autoSpaceDE w:val="0"/>
        <w:autoSpaceDN w:val="0"/>
        <w:adjustRightInd w:val="0"/>
        <w:jc w:val="both"/>
        <w:rPr>
          <w:sz w:val="18"/>
        </w:rPr>
      </w:pPr>
    </w:p>
    <w:p w:rsidR="00000000" w:rsidRDefault="00782BB1">
      <w:pPr>
        <w:autoSpaceDE w:val="0"/>
        <w:autoSpaceDN w:val="0"/>
        <w:adjustRightInd w:val="0"/>
        <w:jc w:val="center"/>
        <w:rPr>
          <w:sz w:val="18"/>
        </w:rPr>
      </w:pPr>
      <w:r>
        <w:rPr>
          <w:position w:val="-122"/>
          <w:sz w:val="18"/>
        </w:rPr>
        <w:object w:dxaOrig="1820" w:dyaOrig="2560">
          <v:shape id="_x0000_i1072" type="#_x0000_t75" style="width:69.75pt;height:99pt" o:ole="">
            <v:imagedata r:id="rId99" o:title=""/>
          </v:shape>
          <o:OLEObject Type="Embed" ProgID="Equation.3" ShapeID="_x0000_i1072" DrawAspect="Content" ObjectID="_1346835699" r:id="rId100"/>
        </w:object>
      </w:r>
    </w:p>
    <w:p w:rsidR="00000000" w:rsidRDefault="00782BB1">
      <w:pPr>
        <w:autoSpaceDE w:val="0"/>
        <w:autoSpaceDN w:val="0"/>
        <w:adjustRightInd w:val="0"/>
        <w:jc w:val="both"/>
        <w:rPr>
          <w:sz w:val="18"/>
        </w:rPr>
      </w:pPr>
    </w:p>
    <w:p w:rsidR="00000000" w:rsidRDefault="00782BB1">
      <w:pPr>
        <w:autoSpaceDE w:val="0"/>
        <w:autoSpaceDN w:val="0"/>
        <w:adjustRightInd w:val="0"/>
        <w:jc w:val="both"/>
        <w:rPr>
          <w:sz w:val="18"/>
        </w:rPr>
      </w:pPr>
    </w:p>
    <w:p w:rsidR="00000000" w:rsidRDefault="00782BB1">
      <w:pPr>
        <w:autoSpaceDE w:val="0"/>
        <w:autoSpaceDN w:val="0"/>
        <w:adjustRightInd w:val="0"/>
        <w:jc w:val="both"/>
        <w:rPr>
          <w:sz w:val="18"/>
        </w:rPr>
      </w:pPr>
      <w:r>
        <w:rPr>
          <w:sz w:val="18"/>
        </w:rPr>
        <w:t>Para esto de</w:t>
      </w:r>
      <w:r>
        <w:rPr>
          <w:sz w:val="18"/>
        </w:rPr>
        <w:t xml:space="preserve">terminamos p pares de variables “canónicas” de tal forma que expliquen la relación entre un primer conjunto p-variado, </w:t>
      </w:r>
      <w:r>
        <w:rPr>
          <w:b/>
          <w:sz w:val="18"/>
        </w:rPr>
        <w:t>X</w:t>
      </w:r>
      <w:r>
        <w:rPr>
          <w:sz w:val="18"/>
          <w:vertAlign w:val="superscript"/>
        </w:rPr>
        <w:t>(1)</w:t>
      </w:r>
      <w:r>
        <w:rPr>
          <w:sz w:val="18"/>
        </w:rPr>
        <w:t xml:space="preserve"> y un segundo q-variado, </w:t>
      </w:r>
      <w:r>
        <w:rPr>
          <w:b/>
          <w:sz w:val="18"/>
        </w:rPr>
        <w:t>X</w:t>
      </w:r>
      <w:r>
        <w:rPr>
          <w:sz w:val="18"/>
          <w:vertAlign w:val="superscript"/>
        </w:rPr>
        <w:t>(2)</w:t>
      </w:r>
      <w:r>
        <w:rPr>
          <w:sz w:val="18"/>
        </w:rPr>
        <w:t xml:space="preserve">; </w:t>
      </w:r>
    </w:p>
    <w:p w:rsidR="00000000" w:rsidRDefault="00782BB1">
      <w:pPr>
        <w:autoSpaceDE w:val="0"/>
        <w:autoSpaceDN w:val="0"/>
        <w:adjustRightInd w:val="0"/>
        <w:jc w:val="both"/>
        <w:rPr>
          <w:sz w:val="18"/>
        </w:rPr>
      </w:pPr>
    </w:p>
    <w:p w:rsidR="00000000" w:rsidRDefault="00782BB1">
      <w:pPr>
        <w:autoSpaceDE w:val="0"/>
        <w:autoSpaceDN w:val="0"/>
        <w:adjustRightInd w:val="0"/>
        <w:jc w:val="both"/>
        <w:rPr>
          <w:sz w:val="18"/>
        </w:rPr>
      </w:pPr>
    </w:p>
    <w:p w:rsidR="00000000" w:rsidRDefault="00782BB1">
      <w:pPr>
        <w:autoSpaceDE w:val="0"/>
        <w:autoSpaceDN w:val="0"/>
        <w:adjustRightInd w:val="0"/>
        <w:jc w:val="both"/>
        <w:rPr>
          <w:sz w:val="18"/>
        </w:rPr>
      </w:pPr>
      <w:r>
        <w:rPr>
          <w:sz w:val="18"/>
        </w:rPr>
        <w:t>De tal modo que se determina la correlación canónica mayor entre una combinación lineal de variable</w:t>
      </w:r>
      <w:r>
        <w:rPr>
          <w:sz w:val="18"/>
        </w:rPr>
        <w:t xml:space="preserve">s de un conjunto </w:t>
      </w:r>
      <w:r>
        <w:rPr>
          <w:b/>
          <w:sz w:val="18"/>
        </w:rPr>
        <w:t>X</w:t>
      </w:r>
      <w:r>
        <w:rPr>
          <w:sz w:val="18"/>
          <w:vertAlign w:val="superscript"/>
        </w:rPr>
        <w:t>(1)</w:t>
      </w:r>
      <w:r>
        <w:rPr>
          <w:sz w:val="18"/>
        </w:rPr>
        <w:t xml:space="preserve"> y una combinación lineal de variables del otro </w:t>
      </w:r>
      <w:r>
        <w:rPr>
          <w:b/>
          <w:sz w:val="18"/>
        </w:rPr>
        <w:t>X</w:t>
      </w:r>
      <w:r>
        <w:rPr>
          <w:sz w:val="18"/>
          <w:vertAlign w:val="superscript"/>
        </w:rPr>
        <w:t>(2)</w:t>
      </w:r>
      <w:r>
        <w:rPr>
          <w:sz w:val="18"/>
        </w:rPr>
        <w:t>; para determinar la más alta entre todos los pares de variables U, V, donde, los pares de combinaciones lineales son las variables canónicas y sus correlaciones las “Correlaciones Ca</w:t>
      </w:r>
      <w:r>
        <w:rPr>
          <w:sz w:val="18"/>
        </w:rPr>
        <w:t>nónicas”, siendo:</w:t>
      </w:r>
    </w:p>
    <w:p w:rsidR="00000000" w:rsidRDefault="00782BB1">
      <w:pPr>
        <w:autoSpaceDE w:val="0"/>
        <w:autoSpaceDN w:val="0"/>
        <w:adjustRightInd w:val="0"/>
        <w:jc w:val="both"/>
        <w:rPr>
          <w:sz w:val="18"/>
        </w:rPr>
      </w:pPr>
    </w:p>
    <w:p w:rsidR="00000000" w:rsidRDefault="00782BB1">
      <w:pPr>
        <w:autoSpaceDE w:val="0"/>
        <w:autoSpaceDN w:val="0"/>
        <w:adjustRightInd w:val="0"/>
        <w:jc w:val="center"/>
        <w:rPr>
          <w:sz w:val="18"/>
        </w:rPr>
      </w:pPr>
      <w:r>
        <w:rPr>
          <w:sz w:val="18"/>
        </w:rPr>
        <w:t>U=</w:t>
      </w:r>
      <w:r>
        <w:rPr>
          <w:b/>
          <w:sz w:val="18"/>
        </w:rPr>
        <w:t>a</w:t>
      </w:r>
      <w:r>
        <w:rPr>
          <w:b/>
          <w:sz w:val="18"/>
          <w:vertAlign w:val="superscript"/>
        </w:rPr>
        <w:t>T</w:t>
      </w:r>
      <w:r>
        <w:rPr>
          <w:b/>
          <w:sz w:val="18"/>
        </w:rPr>
        <w:t xml:space="preserve"> X</w:t>
      </w:r>
      <w:r>
        <w:rPr>
          <w:b/>
          <w:sz w:val="18"/>
          <w:vertAlign w:val="superscript"/>
        </w:rPr>
        <w:t>(1)</w:t>
      </w:r>
    </w:p>
    <w:p w:rsidR="00000000" w:rsidRDefault="00782BB1">
      <w:pPr>
        <w:autoSpaceDE w:val="0"/>
        <w:autoSpaceDN w:val="0"/>
        <w:adjustRightInd w:val="0"/>
        <w:jc w:val="center"/>
        <w:rPr>
          <w:b/>
          <w:sz w:val="18"/>
        </w:rPr>
      </w:pPr>
      <w:r>
        <w:rPr>
          <w:sz w:val="18"/>
        </w:rPr>
        <w:t>V=</w:t>
      </w:r>
      <w:r>
        <w:rPr>
          <w:b/>
          <w:sz w:val="18"/>
        </w:rPr>
        <w:t>b</w:t>
      </w:r>
      <w:r>
        <w:rPr>
          <w:b/>
          <w:sz w:val="18"/>
          <w:vertAlign w:val="superscript"/>
        </w:rPr>
        <w:t>T</w:t>
      </w:r>
      <w:r>
        <w:rPr>
          <w:b/>
          <w:sz w:val="18"/>
        </w:rPr>
        <w:t xml:space="preserve"> X</w:t>
      </w:r>
      <w:r>
        <w:rPr>
          <w:b/>
          <w:sz w:val="18"/>
          <w:vertAlign w:val="superscript"/>
        </w:rPr>
        <w:t>(2)</w:t>
      </w:r>
    </w:p>
    <w:p w:rsidR="00000000" w:rsidRDefault="00782BB1">
      <w:pPr>
        <w:autoSpaceDE w:val="0"/>
        <w:autoSpaceDN w:val="0"/>
        <w:adjustRightInd w:val="0"/>
        <w:jc w:val="both"/>
        <w:rPr>
          <w:sz w:val="18"/>
        </w:rPr>
      </w:pPr>
    </w:p>
    <w:p w:rsidR="00000000" w:rsidRDefault="00782BB1">
      <w:pPr>
        <w:autoSpaceDE w:val="0"/>
        <w:autoSpaceDN w:val="0"/>
        <w:adjustRightInd w:val="0"/>
        <w:jc w:val="both"/>
        <w:rPr>
          <w:sz w:val="18"/>
        </w:rPr>
      </w:pPr>
      <w:r>
        <w:rPr>
          <w:sz w:val="18"/>
        </w:rPr>
        <w:t>Que cumplen:</w:t>
      </w:r>
    </w:p>
    <w:p w:rsidR="00000000" w:rsidRDefault="00782BB1">
      <w:pPr>
        <w:autoSpaceDE w:val="0"/>
        <w:autoSpaceDN w:val="0"/>
        <w:adjustRightInd w:val="0"/>
        <w:jc w:val="both"/>
        <w:rPr>
          <w:sz w:val="18"/>
        </w:rPr>
      </w:pPr>
    </w:p>
    <w:p w:rsidR="00000000" w:rsidRDefault="00782BB1">
      <w:pPr>
        <w:autoSpaceDE w:val="0"/>
        <w:autoSpaceDN w:val="0"/>
        <w:adjustRightInd w:val="0"/>
        <w:jc w:val="center"/>
        <w:rPr>
          <w:b/>
          <w:bCs/>
          <w:sz w:val="18"/>
        </w:rPr>
      </w:pPr>
      <w:r>
        <w:rPr>
          <w:sz w:val="18"/>
        </w:rPr>
        <w:t>Var(U)=</w:t>
      </w:r>
      <w:r>
        <w:rPr>
          <w:b/>
          <w:bCs/>
          <w:sz w:val="18"/>
        </w:rPr>
        <w:t xml:space="preserve"> </w:t>
      </w:r>
      <w:r>
        <w:rPr>
          <w:b/>
          <w:bCs/>
          <w:position w:val="-16"/>
          <w:sz w:val="18"/>
          <w:lang w:val="en-US"/>
        </w:rPr>
        <w:object w:dxaOrig="820" w:dyaOrig="420">
          <v:shape id="_x0000_i1073" type="#_x0000_t75" style="width:39.75pt;height:20.25pt" o:ole="">
            <v:imagedata r:id="rId101" o:title=""/>
          </v:shape>
          <o:OLEObject Type="Embed" ProgID="Equation.3" ShapeID="_x0000_i1073" DrawAspect="Content" ObjectID="_1346835700" r:id="rId102"/>
        </w:object>
      </w:r>
      <w:r>
        <w:rPr>
          <w:b/>
          <w:bCs/>
          <w:sz w:val="18"/>
        </w:rPr>
        <w:t xml:space="preserve">      </w:t>
      </w:r>
      <w:r>
        <w:rPr>
          <w:sz w:val="18"/>
        </w:rPr>
        <w:t>Var (V)</w:t>
      </w:r>
      <w:r>
        <w:rPr>
          <w:b/>
          <w:bCs/>
          <w:sz w:val="18"/>
        </w:rPr>
        <w:t xml:space="preserve">= </w:t>
      </w:r>
      <w:r>
        <w:rPr>
          <w:b/>
          <w:bCs/>
          <w:position w:val="-18"/>
          <w:sz w:val="18"/>
          <w:lang w:val="en-US"/>
        </w:rPr>
        <w:object w:dxaOrig="880" w:dyaOrig="440">
          <v:shape id="_x0000_i1074" type="#_x0000_t75" style="width:41.25pt;height:20.25pt" o:ole="">
            <v:imagedata r:id="rId103" o:title=""/>
          </v:shape>
          <o:OLEObject Type="Embed" ProgID="Equation.3" ShapeID="_x0000_i1074" DrawAspect="Content" ObjectID="_1346835701" r:id="rId104"/>
        </w:object>
      </w:r>
      <w:r>
        <w:rPr>
          <w:b/>
          <w:bCs/>
          <w:sz w:val="18"/>
        </w:rPr>
        <w:t xml:space="preserve">    </w:t>
      </w:r>
      <w:r>
        <w:rPr>
          <w:sz w:val="18"/>
        </w:rPr>
        <w:t>y</w:t>
      </w:r>
    </w:p>
    <w:p w:rsidR="00000000" w:rsidRDefault="00782BB1">
      <w:pPr>
        <w:autoSpaceDE w:val="0"/>
        <w:autoSpaceDN w:val="0"/>
        <w:adjustRightInd w:val="0"/>
        <w:jc w:val="center"/>
        <w:rPr>
          <w:b/>
          <w:bCs/>
          <w:sz w:val="18"/>
        </w:rPr>
      </w:pPr>
      <w:r>
        <w:rPr>
          <w:sz w:val="18"/>
        </w:rPr>
        <w:t>Cov(U,V)=</w:t>
      </w:r>
      <w:r>
        <w:rPr>
          <w:b/>
          <w:bCs/>
          <w:sz w:val="18"/>
        </w:rPr>
        <w:t xml:space="preserve"> </w:t>
      </w:r>
      <w:r>
        <w:rPr>
          <w:b/>
          <w:bCs/>
          <w:position w:val="-18"/>
          <w:sz w:val="18"/>
          <w:lang w:val="en-US"/>
        </w:rPr>
        <w:object w:dxaOrig="840" w:dyaOrig="440">
          <v:shape id="_x0000_i1075" type="#_x0000_t75" style="width:40.5pt;height:21pt" o:ole="">
            <v:imagedata r:id="rId105" o:title=""/>
          </v:shape>
          <o:OLEObject Type="Embed" ProgID="Equation.3" ShapeID="_x0000_i1075" DrawAspect="Content" ObjectID="_1346835702" r:id="rId106"/>
        </w:object>
      </w:r>
    </w:p>
    <w:p w:rsidR="00000000" w:rsidRDefault="00782BB1">
      <w:pPr>
        <w:autoSpaceDE w:val="0"/>
        <w:autoSpaceDN w:val="0"/>
        <w:adjustRightInd w:val="0"/>
        <w:jc w:val="both"/>
        <w:rPr>
          <w:bCs/>
          <w:sz w:val="18"/>
          <w:lang w:val="en-US"/>
        </w:rPr>
      </w:pPr>
      <w:r>
        <w:rPr>
          <w:bCs/>
          <w:sz w:val="18"/>
          <w:lang w:val="en-US"/>
        </w:rPr>
        <w:t xml:space="preserve">donde, </w:t>
      </w:r>
    </w:p>
    <w:p w:rsidR="00000000" w:rsidRDefault="00782BB1">
      <w:pPr>
        <w:autoSpaceDE w:val="0"/>
        <w:autoSpaceDN w:val="0"/>
        <w:adjustRightInd w:val="0"/>
        <w:jc w:val="center"/>
        <w:rPr>
          <w:b/>
          <w:bCs/>
          <w:sz w:val="18"/>
        </w:rPr>
      </w:pPr>
      <w:r>
        <w:rPr>
          <w:b/>
          <w:bCs/>
          <w:position w:val="-36"/>
          <w:sz w:val="18"/>
        </w:rPr>
        <w:object w:dxaOrig="1939" w:dyaOrig="840">
          <v:shape id="_x0000_i1076" type="#_x0000_t75" style="width:79.5pt;height:34.5pt" o:ole="">
            <v:imagedata r:id="rId107" o:title=""/>
          </v:shape>
          <o:OLEObject Type="Embed" ProgID="Equation.3" ShapeID="_x0000_i1076" DrawAspect="Content" ObjectID="_1346835703" r:id="rId108"/>
        </w:object>
      </w:r>
    </w:p>
    <w:p w:rsidR="00000000" w:rsidRDefault="00782BB1">
      <w:pPr>
        <w:autoSpaceDE w:val="0"/>
        <w:autoSpaceDN w:val="0"/>
        <w:adjustRightInd w:val="0"/>
        <w:jc w:val="both"/>
        <w:rPr>
          <w:sz w:val="18"/>
        </w:rPr>
      </w:pPr>
    </w:p>
    <w:p w:rsidR="00000000" w:rsidRDefault="00782BB1">
      <w:pPr>
        <w:autoSpaceDE w:val="0"/>
        <w:autoSpaceDN w:val="0"/>
        <w:adjustRightInd w:val="0"/>
        <w:jc w:val="both"/>
        <w:rPr>
          <w:sz w:val="18"/>
        </w:rPr>
      </w:pPr>
      <w:r>
        <w:rPr>
          <w:sz w:val="18"/>
        </w:rPr>
        <w:t xml:space="preserve">Se deben  hallar los </w:t>
      </w:r>
      <w:r>
        <w:rPr>
          <w:position w:val="-6"/>
          <w:sz w:val="18"/>
        </w:rPr>
        <w:object w:dxaOrig="200" w:dyaOrig="220">
          <v:shape id="_x0000_i1077" type="#_x0000_t75" style="width:9.75pt;height:11.25pt" o:ole="">
            <v:imagedata r:id="rId109" o:title=""/>
          </v:shape>
          <o:OLEObject Type="Embed" ProgID="Equation.3" ShapeID="_x0000_i1077" DrawAspect="Content" ObjectID="_1346835704" r:id="rId110"/>
        </w:object>
      </w:r>
      <w:r>
        <w:rPr>
          <w:sz w:val="18"/>
        </w:rPr>
        <w:t xml:space="preserve"> y </w:t>
      </w:r>
      <w:r>
        <w:rPr>
          <w:position w:val="-6"/>
          <w:sz w:val="18"/>
        </w:rPr>
        <w:object w:dxaOrig="200" w:dyaOrig="279">
          <v:shape id="_x0000_i1078" type="#_x0000_t75" style="width:9.75pt;height:14.25pt" o:ole="">
            <v:imagedata r:id="rId111" o:title=""/>
          </v:shape>
          <o:OLEObject Type="Embed" ProgID="Equation.3" ShapeID="_x0000_i1078" DrawAspect="Content" ObjectID="_1346835705" r:id="rId112"/>
        </w:object>
      </w:r>
      <w:r>
        <w:rPr>
          <w:sz w:val="18"/>
        </w:rPr>
        <w:t xml:space="preserve"> tal que:</w:t>
      </w:r>
    </w:p>
    <w:p w:rsidR="00000000" w:rsidRDefault="00782BB1">
      <w:pPr>
        <w:autoSpaceDE w:val="0"/>
        <w:autoSpaceDN w:val="0"/>
        <w:adjustRightInd w:val="0"/>
        <w:jc w:val="center"/>
        <w:rPr>
          <w:sz w:val="18"/>
        </w:rPr>
      </w:pPr>
      <w:r>
        <w:rPr>
          <w:sz w:val="18"/>
        </w:rPr>
        <w:t xml:space="preserve">Corr(U,V)= </w:t>
      </w:r>
      <w:r>
        <w:rPr>
          <w:position w:val="-44"/>
          <w:sz w:val="18"/>
        </w:rPr>
        <w:object w:dxaOrig="1960" w:dyaOrig="940">
          <v:shape id="_x0000_i1079" type="#_x0000_t75" style="width:77.25pt;height:36.75pt" o:ole="">
            <v:imagedata r:id="rId113" o:title=""/>
          </v:shape>
          <o:OLEObject Type="Embed" ProgID="Equation.3" ShapeID="_x0000_i1079" DrawAspect="Content" ObjectID="_1346835706" r:id="rId114"/>
        </w:object>
      </w:r>
    </w:p>
    <w:p w:rsidR="00000000" w:rsidRDefault="00782BB1">
      <w:pPr>
        <w:autoSpaceDE w:val="0"/>
        <w:autoSpaceDN w:val="0"/>
        <w:adjustRightInd w:val="0"/>
        <w:jc w:val="both"/>
        <w:rPr>
          <w:sz w:val="18"/>
        </w:rPr>
      </w:pPr>
      <w:r>
        <w:rPr>
          <w:sz w:val="18"/>
        </w:rPr>
        <w:t>Se define lo siguiente:</w:t>
      </w:r>
    </w:p>
    <w:p w:rsidR="00000000" w:rsidRDefault="00782BB1">
      <w:pPr>
        <w:autoSpaceDE w:val="0"/>
        <w:autoSpaceDN w:val="0"/>
        <w:adjustRightInd w:val="0"/>
        <w:jc w:val="both"/>
        <w:rPr>
          <w:sz w:val="18"/>
        </w:rPr>
      </w:pPr>
    </w:p>
    <w:p w:rsidR="00000000" w:rsidRDefault="00782BB1">
      <w:pPr>
        <w:autoSpaceDE w:val="0"/>
        <w:autoSpaceDN w:val="0"/>
        <w:adjustRightInd w:val="0"/>
        <w:jc w:val="both"/>
        <w:rPr>
          <w:sz w:val="18"/>
        </w:rPr>
      </w:pPr>
      <w:r>
        <w:rPr>
          <w:sz w:val="18"/>
        </w:rPr>
        <w:t>El primer par de variables canónicas, que es el par de combinaciones lineales (U</w:t>
      </w:r>
      <w:r>
        <w:rPr>
          <w:sz w:val="18"/>
          <w:vertAlign w:val="subscript"/>
        </w:rPr>
        <w:t>1</w:t>
      </w:r>
      <w:r>
        <w:rPr>
          <w:sz w:val="18"/>
        </w:rPr>
        <w:t>,V</w:t>
      </w:r>
      <w:r>
        <w:rPr>
          <w:sz w:val="18"/>
          <w:vertAlign w:val="subscript"/>
        </w:rPr>
        <w:t>1</w:t>
      </w:r>
      <w:r>
        <w:rPr>
          <w:sz w:val="18"/>
        </w:rPr>
        <w:t xml:space="preserve">) tiene varianza unitaria y maximiza la correlación entre ambas. </w:t>
      </w:r>
    </w:p>
    <w:p w:rsidR="00000000" w:rsidRDefault="00782BB1">
      <w:pPr>
        <w:autoSpaceDE w:val="0"/>
        <w:autoSpaceDN w:val="0"/>
        <w:adjustRightInd w:val="0"/>
        <w:jc w:val="both"/>
        <w:rPr>
          <w:sz w:val="18"/>
        </w:rPr>
      </w:pPr>
    </w:p>
    <w:p w:rsidR="00000000" w:rsidRDefault="00782BB1">
      <w:pPr>
        <w:autoSpaceDE w:val="0"/>
        <w:autoSpaceDN w:val="0"/>
        <w:adjustRightInd w:val="0"/>
        <w:jc w:val="both"/>
        <w:rPr>
          <w:sz w:val="18"/>
        </w:rPr>
      </w:pPr>
      <w:r>
        <w:rPr>
          <w:sz w:val="18"/>
        </w:rPr>
        <w:t xml:space="preserve"> El segundo par de variab</w:t>
      </w:r>
      <w:r>
        <w:rPr>
          <w:sz w:val="18"/>
        </w:rPr>
        <w:t>les canónicas, que es el par de combinaciones lineales (U</w:t>
      </w:r>
      <w:r>
        <w:rPr>
          <w:sz w:val="18"/>
          <w:vertAlign w:val="subscript"/>
        </w:rPr>
        <w:t>2</w:t>
      </w:r>
      <w:r>
        <w:rPr>
          <w:sz w:val="18"/>
        </w:rPr>
        <w:t>,V</w:t>
      </w:r>
      <w:r>
        <w:rPr>
          <w:sz w:val="18"/>
          <w:vertAlign w:val="subscript"/>
        </w:rPr>
        <w:t>2</w:t>
      </w:r>
      <w:r>
        <w:rPr>
          <w:sz w:val="18"/>
        </w:rPr>
        <w:t xml:space="preserve">) tiene varianza unitaria y maximiza la correlación entre ambas y además no está </w:t>
      </w:r>
      <w:r>
        <w:rPr>
          <w:sz w:val="18"/>
        </w:rPr>
        <w:lastRenderedPageBreak/>
        <w:t>correlacionada con el primer par de variables canónicas; para el caso del i-ésimo par (U</w:t>
      </w:r>
      <w:r>
        <w:rPr>
          <w:sz w:val="18"/>
          <w:vertAlign w:val="subscript"/>
        </w:rPr>
        <w:t>i</w:t>
      </w:r>
      <w:r>
        <w:rPr>
          <w:sz w:val="18"/>
        </w:rPr>
        <w:t>, V</w:t>
      </w:r>
      <w:r>
        <w:rPr>
          <w:sz w:val="18"/>
          <w:vertAlign w:val="subscript"/>
        </w:rPr>
        <w:t>i</w:t>
      </w:r>
      <w:r>
        <w:rPr>
          <w:sz w:val="18"/>
        </w:rPr>
        <w:t>)</w:t>
      </w:r>
    </w:p>
    <w:p w:rsidR="00000000" w:rsidRDefault="00782BB1">
      <w:pPr>
        <w:autoSpaceDE w:val="0"/>
        <w:autoSpaceDN w:val="0"/>
        <w:adjustRightInd w:val="0"/>
        <w:jc w:val="both"/>
        <w:rPr>
          <w:sz w:val="18"/>
        </w:rPr>
      </w:pPr>
    </w:p>
    <w:p w:rsidR="00000000" w:rsidRDefault="00782BB1">
      <w:pPr>
        <w:autoSpaceDE w:val="0"/>
        <w:autoSpaceDN w:val="0"/>
        <w:adjustRightInd w:val="0"/>
        <w:jc w:val="center"/>
        <w:rPr>
          <w:sz w:val="18"/>
        </w:rPr>
      </w:pPr>
      <w:r>
        <w:rPr>
          <w:position w:val="-36"/>
          <w:sz w:val="18"/>
        </w:rPr>
        <w:object w:dxaOrig="3519" w:dyaOrig="840">
          <v:shape id="_x0000_i1080" type="#_x0000_t75" style="width:148.5pt;height:35.25pt" o:ole="">
            <v:imagedata r:id="rId115" o:title=""/>
          </v:shape>
          <o:OLEObject Type="Embed" ProgID="Equation.3" ShapeID="_x0000_i1080" DrawAspect="Content" ObjectID="_1346835707" r:id="rId116"/>
        </w:object>
      </w:r>
    </w:p>
    <w:p w:rsidR="00000000" w:rsidRDefault="00782BB1">
      <w:pPr>
        <w:pStyle w:val="Encabezado"/>
        <w:tabs>
          <w:tab w:val="clear" w:pos="4252"/>
          <w:tab w:val="clear" w:pos="8504"/>
          <w:tab w:val="left" w:pos="1770"/>
        </w:tabs>
        <w:jc w:val="both"/>
        <w:rPr>
          <w:sz w:val="18"/>
        </w:rPr>
      </w:pPr>
    </w:p>
    <w:p w:rsidR="00000000" w:rsidRDefault="00782BB1">
      <w:pPr>
        <w:autoSpaceDE w:val="0"/>
        <w:autoSpaceDN w:val="0"/>
        <w:adjustRightInd w:val="0"/>
        <w:jc w:val="both"/>
        <w:rPr>
          <w:sz w:val="18"/>
        </w:rPr>
      </w:pPr>
      <w:r>
        <w:rPr>
          <w:sz w:val="18"/>
        </w:rPr>
        <w:t>Este análisis parte de la necesidad de encontrar asociación entre dos conjuntos de variables, para elegir cuales serán los conjuntos de estudio se considerará las combinaciones entre las secciones que conforman el cuestionario., de la siguiente mane</w:t>
      </w:r>
      <w:r>
        <w:rPr>
          <w:sz w:val="18"/>
        </w:rPr>
        <w:t xml:space="preserve">ra: para el primer conjunto de variables aleatorias que conforman el vector </w:t>
      </w:r>
      <w:r>
        <w:rPr>
          <w:b/>
          <w:sz w:val="18"/>
        </w:rPr>
        <w:t>X</w:t>
      </w:r>
      <w:r>
        <w:rPr>
          <w:sz w:val="18"/>
          <w:vertAlign w:val="superscript"/>
        </w:rPr>
        <w:t>(1)</w:t>
      </w:r>
      <w:r>
        <w:rPr>
          <w:sz w:val="18"/>
        </w:rPr>
        <w:t>, son las variables referentes a la sección “Pensamiento del desertor”, con un total de 10 variables y las concernientes a la “Trayectoria Académica del Entrevistado”, con un t</w:t>
      </w:r>
      <w:r>
        <w:rPr>
          <w:sz w:val="18"/>
        </w:rPr>
        <w:t xml:space="preserve">otal de 13 variables, el vector </w:t>
      </w:r>
      <w:r>
        <w:rPr>
          <w:b/>
          <w:sz w:val="18"/>
        </w:rPr>
        <w:t>X</w:t>
      </w:r>
      <w:r>
        <w:rPr>
          <w:sz w:val="18"/>
          <w:vertAlign w:val="superscript"/>
        </w:rPr>
        <w:t>(2)</w:t>
      </w:r>
      <w:r>
        <w:rPr>
          <w:sz w:val="18"/>
        </w:rPr>
        <w:t xml:space="preserve"> ,.</w:t>
      </w:r>
    </w:p>
    <w:p w:rsidR="00000000" w:rsidRDefault="00782BB1">
      <w:pPr>
        <w:autoSpaceDE w:val="0"/>
        <w:autoSpaceDN w:val="0"/>
        <w:adjustRightInd w:val="0"/>
        <w:jc w:val="both"/>
        <w:rPr>
          <w:b/>
          <w:sz w:val="18"/>
        </w:rPr>
      </w:pPr>
    </w:p>
    <w:p w:rsidR="00000000" w:rsidRDefault="00782BB1">
      <w:pPr>
        <w:autoSpaceDE w:val="0"/>
        <w:autoSpaceDN w:val="0"/>
        <w:adjustRightInd w:val="0"/>
        <w:jc w:val="both"/>
        <w:rPr>
          <w:b/>
          <w:sz w:val="18"/>
        </w:rPr>
      </w:pPr>
      <w:r>
        <w:rPr>
          <w:b/>
          <w:sz w:val="18"/>
        </w:rPr>
        <w:t>Grupo 1: “Pensamiento del Desertor”, X</w:t>
      </w:r>
      <w:r>
        <w:rPr>
          <w:b/>
          <w:sz w:val="18"/>
          <w:vertAlign w:val="superscript"/>
        </w:rPr>
        <w:t>(1)</w:t>
      </w:r>
      <w:r>
        <w:rPr>
          <w:b/>
          <w:sz w:val="18"/>
        </w:rPr>
        <w:t xml:space="preserve"> </w:t>
      </w:r>
    </w:p>
    <w:p w:rsidR="00000000" w:rsidRDefault="00782BB1">
      <w:pPr>
        <w:autoSpaceDE w:val="0"/>
        <w:autoSpaceDN w:val="0"/>
        <w:adjustRightInd w:val="0"/>
        <w:jc w:val="both"/>
        <w:rPr>
          <w:b/>
          <w:sz w:val="18"/>
        </w:rPr>
      </w:pPr>
    </w:p>
    <w:p w:rsidR="00000000" w:rsidRDefault="00782BB1">
      <w:pPr>
        <w:pStyle w:val="Textoindependiente3"/>
        <w:numPr>
          <w:ilvl w:val="0"/>
          <w:numId w:val="1"/>
        </w:numPr>
        <w:tabs>
          <w:tab w:val="clear" w:pos="720"/>
          <w:tab w:val="num" w:pos="142"/>
        </w:tabs>
        <w:spacing w:after="0"/>
        <w:ind w:left="142" w:hanging="215"/>
        <w:jc w:val="both"/>
        <w:rPr>
          <w:sz w:val="18"/>
          <w:szCs w:val="24"/>
        </w:rPr>
      </w:pPr>
      <w:r>
        <w:rPr>
          <w:sz w:val="18"/>
          <w:szCs w:val="24"/>
        </w:rPr>
        <w:t>Las relaciones con los compañeros de estudios son motivo de deserción.</w:t>
      </w:r>
    </w:p>
    <w:p w:rsidR="00000000" w:rsidRDefault="00782BB1">
      <w:pPr>
        <w:pStyle w:val="Textoindependiente3"/>
        <w:numPr>
          <w:ilvl w:val="0"/>
          <w:numId w:val="1"/>
        </w:numPr>
        <w:tabs>
          <w:tab w:val="clear" w:pos="720"/>
          <w:tab w:val="num" w:pos="142"/>
        </w:tabs>
        <w:spacing w:after="0"/>
        <w:ind w:left="142" w:hanging="215"/>
        <w:jc w:val="both"/>
        <w:rPr>
          <w:sz w:val="18"/>
          <w:szCs w:val="24"/>
        </w:rPr>
      </w:pPr>
      <w:r>
        <w:rPr>
          <w:sz w:val="18"/>
          <w:szCs w:val="24"/>
        </w:rPr>
        <w:t>Al trabajar en grupo solo el que se involucra adquiere conocimientos</w:t>
      </w:r>
    </w:p>
    <w:p w:rsidR="00000000" w:rsidRDefault="00782BB1">
      <w:pPr>
        <w:pStyle w:val="Textoindependiente3"/>
        <w:numPr>
          <w:ilvl w:val="0"/>
          <w:numId w:val="1"/>
        </w:numPr>
        <w:tabs>
          <w:tab w:val="clear" w:pos="720"/>
          <w:tab w:val="num" w:pos="142"/>
        </w:tabs>
        <w:spacing w:after="0"/>
        <w:ind w:left="142" w:hanging="215"/>
        <w:jc w:val="both"/>
        <w:rPr>
          <w:sz w:val="18"/>
          <w:szCs w:val="24"/>
        </w:rPr>
      </w:pPr>
      <w:r>
        <w:rPr>
          <w:sz w:val="18"/>
          <w:szCs w:val="24"/>
        </w:rPr>
        <w:t>Tener una buena nota, tener bue</w:t>
      </w:r>
      <w:r>
        <w:rPr>
          <w:sz w:val="18"/>
          <w:szCs w:val="24"/>
        </w:rPr>
        <w:t>nos apuntes.</w:t>
      </w:r>
    </w:p>
    <w:p w:rsidR="00000000" w:rsidRDefault="00782BB1">
      <w:pPr>
        <w:pStyle w:val="Textoindependiente3"/>
        <w:numPr>
          <w:ilvl w:val="0"/>
          <w:numId w:val="1"/>
        </w:numPr>
        <w:tabs>
          <w:tab w:val="clear" w:pos="720"/>
          <w:tab w:val="num" w:pos="142"/>
        </w:tabs>
        <w:spacing w:after="0"/>
        <w:ind w:left="142" w:hanging="215"/>
        <w:jc w:val="both"/>
        <w:rPr>
          <w:sz w:val="18"/>
          <w:szCs w:val="24"/>
        </w:rPr>
      </w:pPr>
      <w:r>
        <w:rPr>
          <w:sz w:val="18"/>
          <w:szCs w:val="24"/>
        </w:rPr>
        <w:t>Tener buena nota  es equivalente  a saber la materia.</w:t>
      </w:r>
    </w:p>
    <w:p w:rsidR="00000000" w:rsidRDefault="00782BB1">
      <w:pPr>
        <w:pStyle w:val="Textoindependiente3"/>
        <w:numPr>
          <w:ilvl w:val="0"/>
          <w:numId w:val="1"/>
        </w:numPr>
        <w:tabs>
          <w:tab w:val="clear" w:pos="720"/>
          <w:tab w:val="num" w:pos="142"/>
        </w:tabs>
        <w:spacing w:after="0"/>
        <w:ind w:left="142" w:hanging="215"/>
        <w:jc w:val="both"/>
        <w:rPr>
          <w:sz w:val="18"/>
        </w:rPr>
      </w:pPr>
      <w:r>
        <w:rPr>
          <w:sz w:val="18"/>
        </w:rPr>
        <w:t>Parar tener éxito en la vida es necesario tener un Título universitario.</w:t>
      </w:r>
    </w:p>
    <w:p w:rsidR="00000000" w:rsidRDefault="00782BB1">
      <w:pPr>
        <w:pStyle w:val="Textoindependiente3"/>
        <w:numPr>
          <w:ilvl w:val="0"/>
          <w:numId w:val="1"/>
        </w:numPr>
        <w:tabs>
          <w:tab w:val="clear" w:pos="720"/>
          <w:tab w:val="num" w:pos="142"/>
        </w:tabs>
        <w:spacing w:after="0"/>
        <w:ind w:left="142" w:hanging="215"/>
        <w:jc w:val="both"/>
        <w:rPr>
          <w:sz w:val="18"/>
        </w:rPr>
      </w:pPr>
      <w:r>
        <w:rPr>
          <w:sz w:val="18"/>
        </w:rPr>
        <w:t>Una de las razones para ingresar a la universidad es para tener amigos.</w:t>
      </w:r>
    </w:p>
    <w:p w:rsidR="00000000" w:rsidRDefault="00782BB1">
      <w:pPr>
        <w:pStyle w:val="Textoindependiente3"/>
        <w:numPr>
          <w:ilvl w:val="0"/>
          <w:numId w:val="1"/>
        </w:numPr>
        <w:tabs>
          <w:tab w:val="clear" w:pos="720"/>
          <w:tab w:val="num" w:pos="142"/>
        </w:tabs>
        <w:spacing w:after="0"/>
        <w:ind w:left="142" w:hanging="215"/>
        <w:jc w:val="both"/>
        <w:rPr>
          <w:sz w:val="18"/>
        </w:rPr>
      </w:pPr>
      <w:r>
        <w:rPr>
          <w:sz w:val="18"/>
        </w:rPr>
        <w:t>El estudiante politécnico  es muy  organizad</w:t>
      </w:r>
      <w:r>
        <w:rPr>
          <w:sz w:val="18"/>
        </w:rPr>
        <w:t>o.</w:t>
      </w:r>
    </w:p>
    <w:p w:rsidR="00000000" w:rsidRDefault="00782BB1">
      <w:pPr>
        <w:pStyle w:val="Textoindependiente3"/>
        <w:numPr>
          <w:ilvl w:val="0"/>
          <w:numId w:val="1"/>
        </w:numPr>
        <w:tabs>
          <w:tab w:val="clear" w:pos="720"/>
          <w:tab w:val="num" w:pos="142"/>
        </w:tabs>
        <w:spacing w:after="0"/>
        <w:ind w:left="142" w:hanging="215"/>
        <w:jc w:val="both"/>
        <w:rPr>
          <w:sz w:val="18"/>
        </w:rPr>
      </w:pPr>
      <w:r>
        <w:rPr>
          <w:sz w:val="18"/>
        </w:rPr>
        <w:t>La nota que se obtiene en un examen, depende de la forma en que  califique el profesor.</w:t>
      </w:r>
    </w:p>
    <w:p w:rsidR="00000000" w:rsidRDefault="00782BB1">
      <w:pPr>
        <w:pStyle w:val="Textoindependiente3"/>
        <w:numPr>
          <w:ilvl w:val="0"/>
          <w:numId w:val="1"/>
        </w:numPr>
        <w:tabs>
          <w:tab w:val="clear" w:pos="720"/>
          <w:tab w:val="num" w:pos="142"/>
        </w:tabs>
        <w:spacing w:after="0"/>
        <w:ind w:left="142" w:hanging="215"/>
        <w:jc w:val="both"/>
        <w:rPr>
          <w:sz w:val="18"/>
        </w:rPr>
      </w:pPr>
      <w:r>
        <w:rPr>
          <w:sz w:val="18"/>
        </w:rPr>
        <w:t>Las materias no serían comprensibles sin las ayudantías.</w:t>
      </w:r>
    </w:p>
    <w:p w:rsidR="00000000" w:rsidRDefault="00782BB1">
      <w:pPr>
        <w:pStyle w:val="Textoindependiente3"/>
        <w:numPr>
          <w:ilvl w:val="0"/>
          <w:numId w:val="1"/>
        </w:numPr>
        <w:tabs>
          <w:tab w:val="clear" w:pos="720"/>
          <w:tab w:val="num" w:pos="142"/>
        </w:tabs>
        <w:spacing w:after="0"/>
        <w:ind w:left="142" w:hanging="215"/>
        <w:jc w:val="both"/>
        <w:rPr>
          <w:sz w:val="18"/>
        </w:rPr>
      </w:pPr>
      <w:r>
        <w:rPr>
          <w:sz w:val="18"/>
        </w:rPr>
        <w:t>La relación con los profesores fue cordial.</w:t>
      </w:r>
    </w:p>
    <w:p w:rsidR="00000000" w:rsidRDefault="00782BB1">
      <w:pPr>
        <w:autoSpaceDE w:val="0"/>
        <w:autoSpaceDN w:val="0"/>
        <w:adjustRightInd w:val="0"/>
        <w:jc w:val="both"/>
        <w:rPr>
          <w:b/>
          <w:sz w:val="18"/>
        </w:rPr>
      </w:pPr>
    </w:p>
    <w:p w:rsidR="00000000" w:rsidRDefault="00782BB1">
      <w:pPr>
        <w:autoSpaceDE w:val="0"/>
        <w:autoSpaceDN w:val="0"/>
        <w:adjustRightInd w:val="0"/>
        <w:jc w:val="both"/>
        <w:rPr>
          <w:b/>
          <w:sz w:val="18"/>
        </w:rPr>
      </w:pPr>
    </w:p>
    <w:p w:rsidR="00000000" w:rsidRDefault="00782BB1">
      <w:pPr>
        <w:autoSpaceDE w:val="0"/>
        <w:autoSpaceDN w:val="0"/>
        <w:adjustRightInd w:val="0"/>
        <w:jc w:val="both"/>
        <w:rPr>
          <w:b/>
          <w:sz w:val="18"/>
        </w:rPr>
      </w:pPr>
    </w:p>
    <w:p w:rsidR="00000000" w:rsidRDefault="00782BB1">
      <w:pPr>
        <w:autoSpaceDE w:val="0"/>
        <w:autoSpaceDN w:val="0"/>
        <w:adjustRightInd w:val="0"/>
        <w:jc w:val="both"/>
        <w:rPr>
          <w:b/>
          <w:sz w:val="18"/>
          <w:vertAlign w:val="superscript"/>
        </w:rPr>
      </w:pPr>
      <w:r>
        <w:rPr>
          <w:b/>
          <w:sz w:val="18"/>
        </w:rPr>
        <w:t>Grupo 2: “Trayectoria Académica”, X</w:t>
      </w:r>
      <w:r>
        <w:rPr>
          <w:b/>
          <w:sz w:val="18"/>
          <w:vertAlign w:val="superscript"/>
        </w:rPr>
        <w:t>(2)</w:t>
      </w:r>
    </w:p>
    <w:p w:rsidR="00000000" w:rsidRDefault="00782BB1">
      <w:pPr>
        <w:autoSpaceDE w:val="0"/>
        <w:autoSpaceDN w:val="0"/>
        <w:adjustRightInd w:val="0"/>
        <w:jc w:val="both"/>
        <w:rPr>
          <w:b/>
          <w:sz w:val="18"/>
          <w:vertAlign w:val="superscript"/>
        </w:rPr>
      </w:pPr>
    </w:p>
    <w:p w:rsidR="00000000" w:rsidRDefault="00782BB1">
      <w:pPr>
        <w:numPr>
          <w:ilvl w:val="0"/>
          <w:numId w:val="1"/>
        </w:numPr>
        <w:tabs>
          <w:tab w:val="clear" w:pos="720"/>
          <w:tab w:val="num" w:pos="142"/>
        </w:tabs>
        <w:autoSpaceDE w:val="0"/>
        <w:autoSpaceDN w:val="0"/>
        <w:adjustRightInd w:val="0"/>
        <w:ind w:left="142" w:hanging="218"/>
        <w:jc w:val="both"/>
        <w:rPr>
          <w:sz w:val="18"/>
        </w:rPr>
      </w:pPr>
      <w:r>
        <w:rPr>
          <w:sz w:val="18"/>
        </w:rPr>
        <w:t>Edad al terminar la p</w:t>
      </w:r>
      <w:r>
        <w:rPr>
          <w:sz w:val="18"/>
        </w:rPr>
        <w:t>rimaria</w:t>
      </w:r>
    </w:p>
    <w:p w:rsidR="00000000" w:rsidRDefault="00782BB1">
      <w:pPr>
        <w:numPr>
          <w:ilvl w:val="0"/>
          <w:numId w:val="1"/>
        </w:numPr>
        <w:tabs>
          <w:tab w:val="clear" w:pos="720"/>
          <w:tab w:val="num" w:pos="142"/>
        </w:tabs>
        <w:autoSpaceDE w:val="0"/>
        <w:autoSpaceDN w:val="0"/>
        <w:adjustRightInd w:val="0"/>
        <w:ind w:left="142" w:hanging="218"/>
        <w:jc w:val="both"/>
        <w:rPr>
          <w:sz w:val="18"/>
        </w:rPr>
      </w:pPr>
      <w:r>
        <w:rPr>
          <w:sz w:val="18"/>
        </w:rPr>
        <w:t>Número de Hermanos dependientes económicamente de la familia</w:t>
      </w:r>
    </w:p>
    <w:p w:rsidR="00000000" w:rsidRDefault="00782BB1">
      <w:pPr>
        <w:numPr>
          <w:ilvl w:val="0"/>
          <w:numId w:val="1"/>
        </w:numPr>
        <w:tabs>
          <w:tab w:val="clear" w:pos="720"/>
          <w:tab w:val="num" w:pos="142"/>
        </w:tabs>
        <w:autoSpaceDE w:val="0"/>
        <w:autoSpaceDN w:val="0"/>
        <w:adjustRightInd w:val="0"/>
        <w:ind w:left="142" w:hanging="218"/>
        <w:jc w:val="both"/>
        <w:rPr>
          <w:sz w:val="18"/>
        </w:rPr>
      </w:pPr>
      <w:r>
        <w:rPr>
          <w:sz w:val="18"/>
        </w:rPr>
        <w:t>Ingreso mensual familiar promedio, cuando estudiaba en la ESPOL</w:t>
      </w:r>
    </w:p>
    <w:p w:rsidR="00000000" w:rsidRDefault="00782BB1">
      <w:pPr>
        <w:numPr>
          <w:ilvl w:val="0"/>
          <w:numId w:val="1"/>
        </w:numPr>
        <w:tabs>
          <w:tab w:val="clear" w:pos="720"/>
          <w:tab w:val="num" w:pos="142"/>
        </w:tabs>
        <w:autoSpaceDE w:val="0"/>
        <w:autoSpaceDN w:val="0"/>
        <w:adjustRightInd w:val="0"/>
        <w:ind w:left="142" w:hanging="218"/>
        <w:jc w:val="both"/>
        <w:rPr>
          <w:sz w:val="18"/>
        </w:rPr>
      </w:pPr>
      <w:r>
        <w:rPr>
          <w:sz w:val="18"/>
        </w:rPr>
        <w:t>Número de veces que tomó el curso prepolitécnico</w:t>
      </w:r>
    </w:p>
    <w:p w:rsidR="00000000" w:rsidRDefault="00782BB1">
      <w:pPr>
        <w:numPr>
          <w:ilvl w:val="0"/>
          <w:numId w:val="1"/>
        </w:numPr>
        <w:tabs>
          <w:tab w:val="clear" w:pos="720"/>
          <w:tab w:val="num" w:pos="142"/>
        </w:tabs>
        <w:autoSpaceDE w:val="0"/>
        <w:autoSpaceDN w:val="0"/>
        <w:adjustRightInd w:val="0"/>
        <w:ind w:left="142" w:hanging="218"/>
        <w:jc w:val="both"/>
        <w:rPr>
          <w:sz w:val="18"/>
        </w:rPr>
      </w:pPr>
      <w:r>
        <w:rPr>
          <w:sz w:val="18"/>
        </w:rPr>
        <w:t>Número de veces que tomó el examen de ingreso</w:t>
      </w:r>
    </w:p>
    <w:p w:rsidR="00000000" w:rsidRDefault="00782BB1">
      <w:pPr>
        <w:numPr>
          <w:ilvl w:val="0"/>
          <w:numId w:val="1"/>
        </w:numPr>
        <w:tabs>
          <w:tab w:val="clear" w:pos="720"/>
          <w:tab w:val="num" w:pos="142"/>
        </w:tabs>
        <w:autoSpaceDE w:val="0"/>
        <w:autoSpaceDN w:val="0"/>
        <w:adjustRightInd w:val="0"/>
        <w:ind w:left="142" w:hanging="218"/>
        <w:jc w:val="both"/>
        <w:rPr>
          <w:sz w:val="18"/>
        </w:rPr>
      </w:pPr>
      <w:r>
        <w:rPr>
          <w:sz w:val="18"/>
        </w:rPr>
        <w:t>Factor Socioeconómico (Facto</w:t>
      </w:r>
      <w:r>
        <w:rPr>
          <w:sz w:val="18"/>
        </w:rPr>
        <w:t>r P)</w:t>
      </w:r>
    </w:p>
    <w:p w:rsidR="00000000" w:rsidRDefault="00782BB1">
      <w:pPr>
        <w:numPr>
          <w:ilvl w:val="0"/>
          <w:numId w:val="1"/>
        </w:numPr>
        <w:tabs>
          <w:tab w:val="clear" w:pos="720"/>
          <w:tab w:val="num" w:pos="142"/>
        </w:tabs>
        <w:autoSpaceDE w:val="0"/>
        <w:autoSpaceDN w:val="0"/>
        <w:adjustRightInd w:val="0"/>
        <w:ind w:left="142" w:hanging="218"/>
        <w:jc w:val="both"/>
        <w:rPr>
          <w:sz w:val="18"/>
        </w:rPr>
      </w:pPr>
      <w:r>
        <w:rPr>
          <w:sz w:val="18"/>
        </w:rPr>
        <w:t xml:space="preserve">Número de materias tomadas en la ESPOL </w:t>
      </w:r>
    </w:p>
    <w:p w:rsidR="00000000" w:rsidRDefault="00782BB1">
      <w:pPr>
        <w:numPr>
          <w:ilvl w:val="0"/>
          <w:numId w:val="1"/>
        </w:numPr>
        <w:tabs>
          <w:tab w:val="clear" w:pos="720"/>
          <w:tab w:val="num" w:pos="142"/>
        </w:tabs>
        <w:autoSpaceDE w:val="0"/>
        <w:autoSpaceDN w:val="0"/>
        <w:adjustRightInd w:val="0"/>
        <w:ind w:left="142" w:hanging="218"/>
        <w:jc w:val="both"/>
        <w:rPr>
          <w:sz w:val="18"/>
        </w:rPr>
      </w:pPr>
      <w:r>
        <w:rPr>
          <w:sz w:val="18"/>
        </w:rPr>
        <w:t>Número de materias aprobadas en la ESPOL</w:t>
      </w:r>
    </w:p>
    <w:p w:rsidR="00000000" w:rsidRDefault="00782BB1">
      <w:pPr>
        <w:numPr>
          <w:ilvl w:val="0"/>
          <w:numId w:val="1"/>
        </w:numPr>
        <w:tabs>
          <w:tab w:val="clear" w:pos="720"/>
          <w:tab w:val="num" w:pos="142"/>
        </w:tabs>
        <w:autoSpaceDE w:val="0"/>
        <w:autoSpaceDN w:val="0"/>
        <w:adjustRightInd w:val="0"/>
        <w:ind w:left="142" w:hanging="218"/>
        <w:jc w:val="both"/>
        <w:rPr>
          <w:sz w:val="18"/>
        </w:rPr>
      </w:pPr>
      <w:r>
        <w:rPr>
          <w:sz w:val="18"/>
        </w:rPr>
        <w:t>Número de materias reprobadas en la ESPOL</w:t>
      </w:r>
    </w:p>
    <w:p w:rsidR="00000000" w:rsidRDefault="00782BB1">
      <w:pPr>
        <w:numPr>
          <w:ilvl w:val="0"/>
          <w:numId w:val="1"/>
        </w:numPr>
        <w:tabs>
          <w:tab w:val="clear" w:pos="720"/>
          <w:tab w:val="num" w:pos="142"/>
        </w:tabs>
        <w:autoSpaceDE w:val="0"/>
        <w:autoSpaceDN w:val="0"/>
        <w:adjustRightInd w:val="0"/>
        <w:ind w:left="142" w:hanging="218"/>
        <w:jc w:val="both"/>
        <w:rPr>
          <w:sz w:val="18"/>
        </w:rPr>
      </w:pPr>
      <w:r>
        <w:rPr>
          <w:sz w:val="18"/>
        </w:rPr>
        <w:t>Eficiencia (Proporción de materias tomadas que fueron aprobadas por el estudiante en la ESPOL)</w:t>
      </w:r>
    </w:p>
    <w:p w:rsidR="00000000" w:rsidRDefault="00782BB1">
      <w:pPr>
        <w:numPr>
          <w:ilvl w:val="0"/>
          <w:numId w:val="1"/>
        </w:numPr>
        <w:tabs>
          <w:tab w:val="clear" w:pos="720"/>
          <w:tab w:val="num" w:pos="142"/>
        </w:tabs>
        <w:autoSpaceDE w:val="0"/>
        <w:autoSpaceDN w:val="0"/>
        <w:adjustRightInd w:val="0"/>
        <w:ind w:left="142" w:hanging="218"/>
        <w:jc w:val="both"/>
        <w:rPr>
          <w:sz w:val="18"/>
        </w:rPr>
      </w:pPr>
      <w:r>
        <w:rPr>
          <w:sz w:val="18"/>
        </w:rPr>
        <w:t>Promedio General</w:t>
      </w:r>
    </w:p>
    <w:p w:rsidR="00000000" w:rsidRDefault="00782BB1">
      <w:pPr>
        <w:numPr>
          <w:ilvl w:val="0"/>
          <w:numId w:val="1"/>
        </w:numPr>
        <w:tabs>
          <w:tab w:val="clear" w:pos="720"/>
          <w:tab w:val="num" w:pos="142"/>
        </w:tabs>
        <w:autoSpaceDE w:val="0"/>
        <w:autoSpaceDN w:val="0"/>
        <w:adjustRightInd w:val="0"/>
        <w:ind w:left="142" w:hanging="218"/>
        <w:jc w:val="both"/>
        <w:rPr>
          <w:sz w:val="18"/>
        </w:rPr>
      </w:pPr>
      <w:r>
        <w:rPr>
          <w:sz w:val="18"/>
        </w:rPr>
        <w:t>Edad al desertar</w:t>
      </w:r>
      <w:r>
        <w:rPr>
          <w:sz w:val="18"/>
        </w:rPr>
        <w:t xml:space="preserve"> </w:t>
      </w:r>
    </w:p>
    <w:p w:rsidR="00000000" w:rsidRDefault="00782BB1">
      <w:pPr>
        <w:autoSpaceDE w:val="0"/>
        <w:autoSpaceDN w:val="0"/>
        <w:adjustRightInd w:val="0"/>
        <w:ind w:left="360"/>
        <w:jc w:val="both"/>
        <w:rPr>
          <w:sz w:val="18"/>
        </w:rPr>
      </w:pPr>
    </w:p>
    <w:p w:rsidR="00000000" w:rsidRDefault="00782BB1">
      <w:pPr>
        <w:autoSpaceDE w:val="0"/>
        <w:autoSpaceDN w:val="0"/>
        <w:adjustRightInd w:val="0"/>
        <w:ind w:left="360"/>
        <w:jc w:val="both"/>
        <w:rPr>
          <w:sz w:val="18"/>
        </w:rPr>
      </w:pPr>
    </w:p>
    <w:p w:rsidR="00000000" w:rsidRDefault="00782BB1">
      <w:pPr>
        <w:autoSpaceDE w:val="0"/>
        <w:autoSpaceDN w:val="0"/>
        <w:adjustRightInd w:val="0"/>
        <w:ind w:left="360"/>
        <w:jc w:val="both"/>
        <w:rPr>
          <w:sz w:val="18"/>
        </w:rPr>
      </w:pPr>
    </w:p>
    <w:p w:rsidR="00000000" w:rsidRDefault="00782BB1">
      <w:pPr>
        <w:autoSpaceDE w:val="0"/>
        <w:autoSpaceDN w:val="0"/>
        <w:adjustRightInd w:val="0"/>
        <w:jc w:val="both"/>
        <w:rPr>
          <w:sz w:val="18"/>
        </w:rPr>
      </w:pPr>
      <w:r>
        <w:rPr>
          <w:sz w:val="18"/>
        </w:rPr>
        <w:t>Se procede a determinar los coeficientes de las 10 variables canónicas entre los vectores denominados “</w:t>
      </w:r>
      <w:r>
        <w:rPr>
          <w:i/>
          <w:sz w:val="18"/>
        </w:rPr>
        <w:t>Pensamiento del Desertor</w:t>
      </w:r>
      <w:r>
        <w:rPr>
          <w:sz w:val="18"/>
        </w:rPr>
        <w:t>” y  “</w:t>
      </w:r>
      <w:r>
        <w:rPr>
          <w:i/>
          <w:sz w:val="18"/>
        </w:rPr>
        <w:t>Trayectoria Académica</w:t>
      </w:r>
      <w:r>
        <w:rPr>
          <w:sz w:val="18"/>
        </w:rPr>
        <w:t>”. Presentados en la Tabla VII.</w:t>
      </w:r>
    </w:p>
    <w:p w:rsidR="00000000" w:rsidRDefault="00782BB1">
      <w:pPr>
        <w:autoSpaceDE w:val="0"/>
        <w:autoSpaceDN w:val="0"/>
        <w:adjustRightInd w:val="0"/>
        <w:jc w:val="both"/>
        <w:rPr>
          <w:sz w:val="18"/>
        </w:rPr>
      </w:pPr>
    </w:p>
    <w:p w:rsidR="00000000" w:rsidRDefault="00782BB1">
      <w:pPr>
        <w:autoSpaceDE w:val="0"/>
        <w:autoSpaceDN w:val="0"/>
        <w:adjustRightInd w:val="0"/>
        <w:jc w:val="both"/>
        <w:rPr>
          <w:sz w:val="18"/>
        </w:rPr>
      </w:pPr>
    </w:p>
    <w:p w:rsidR="00000000" w:rsidRDefault="00782BB1">
      <w:pPr>
        <w:autoSpaceDE w:val="0"/>
        <w:autoSpaceDN w:val="0"/>
        <w:adjustRightInd w:val="0"/>
        <w:jc w:val="both"/>
        <w:rPr>
          <w:sz w:val="18"/>
        </w:rPr>
      </w:pPr>
    </w:p>
    <w:tbl>
      <w:tblPr>
        <w:tblW w:w="0" w:type="auto"/>
        <w:jc w:val="center"/>
        <w:tblCellSpacing w:w="20" w:type="dxa"/>
        <w:tblInd w:w="-558"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Look w:val="01E0"/>
      </w:tblPr>
      <w:tblGrid>
        <w:gridCol w:w="1129"/>
        <w:gridCol w:w="1487"/>
      </w:tblGrid>
      <w:tr w:rsidR="00000000">
        <w:trPr>
          <w:tblCellSpacing w:w="20" w:type="dxa"/>
          <w:jc w:val="center"/>
        </w:trPr>
        <w:tc>
          <w:tcPr>
            <w:tcW w:w="2536" w:type="dxa"/>
            <w:gridSpan w:val="2"/>
          </w:tcPr>
          <w:p w:rsidR="00000000" w:rsidRDefault="00782BB1">
            <w:pPr>
              <w:jc w:val="center"/>
              <w:rPr>
                <w:i/>
                <w:sz w:val="18"/>
                <w:szCs w:val="22"/>
              </w:rPr>
            </w:pPr>
            <w:r>
              <w:rPr>
                <w:b/>
                <w:sz w:val="18"/>
                <w:szCs w:val="22"/>
              </w:rPr>
              <w:lastRenderedPageBreak/>
              <w:t>Tabla VII</w:t>
            </w:r>
          </w:p>
          <w:p w:rsidR="00000000" w:rsidRDefault="00782BB1">
            <w:pPr>
              <w:pStyle w:val="Encabezado"/>
              <w:tabs>
                <w:tab w:val="clear" w:pos="4252"/>
                <w:tab w:val="clear" w:pos="8504"/>
                <w:tab w:val="left" w:pos="1770"/>
              </w:tabs>
              <w:jc w:val="center"/>
              <w:rPr>
                <w:sz w:val="18"/>
                <w:szCs w:val="16"/>
              </w:rPr>
            </w:pPr>
            <w:r>
              <w:rPr>
                <w:b/>
                <w:bCs/>
                <w:sz w:val="18"/>
                <w:szCs w:val="16"/>
              </w:rPr>
              <w:t>Correlación Canónica</w:t>
            </w:r>
          </w:p>
        </w:tc>
      </w:tr>
      <w:tr w:rsidR="00000000">
        <w:trPr>
          <w:tblCellSpacing w:w="20" w:type="dxa"/>
          <w:jc w:val="center"/>
        </w:trPr>
        <w:tc>
          <w:tcPr>
            <w:tcW w:w="1069" w:type="dxa"/>
            <w:vAlign w:val="center"/>
          </w:tcPr>
          <w:p w:rsidR="00000000" w:rsidRDefault="00782BB1">
            <w:pPr>
              <w:pStyle w:val="Encabezado"/>
              <w:tabs>
                <w:tab w:val="clear" w:pos="4252"/>
                <w:tab w:val="clear" w:pos="8504"/>
                <w:tab w:val="left" w:pos="1770"/>
              </w:tabs>
              <w:jc w:val="center"/>
              <w:rPr>
                <w:b/>
                <w:sz w:val="18"/>
                <w:szCs w:val="20"/>
              </w:rPr>
            </w:pPr>
            <w:r>
              <w:rPr>
                <w:b/>
                <w:sz w:val="18"/>
                <w:szCs w:val="20"/>
              </w:rPr>
              <w:t>Par de Variables</w:t>
            </w:r>
          </w:p>
        </w:tc>
        <w:tc>
          <w:tcPr>
            <w:tcW w:w="1427" w:type="dxa"/>
            <w:vAlign w:val="center"/>
          </w:tcPr>
          <w:p w:rsidR="00000000" w:rsidRDefault="00782BB1">
            <w:pPr>
              <w:pStyle w:val="Encabezado"/>
              <w:tabs>
                <w:tab w:val="clear" w:pos="4252"/>
                <w:tab w:val="clear" w:pos="8504"/>
                <w:tab w:val="left" w:pos="1770"/>
              </w:tabs>
              <w:jc w:val="center"/>
              <w:rPr>
                <w:b/>
                <w:sz w:val="18"/>
                <w:szCs w:val="20"/>
              </w:rPr>
            </w:pPr>
            <w:r>
              <w:rPr>
                <w:b/>
                <w:sz w:val="18"/>
                <w:szCs w:val="20"/>
              </w:rPr>
              <w:t>Correlación C</w:t>
            </w:r>
            <w:r>
              <w:rPr>
                <w:b/>
                <w:sz w:val="18"/>
                <w:szCs w:val="20"/>
              </w:rPr>
              <w:t>anónica</w:t>
            </w:r>
          </w:p>
        </w:tc>
      </w:tr>
      <w:tr w:rsidR="00000000">
        <w:trPr>
          <w:tblCellSpacing w:w="20" w:type="dxa"/>
          <w:jc w:val="center"/>
        </w:trPr>
        <w:tc>
          <w:tcPr>
            <w:tcW w:w="1069" w:type="dxa"/>
            <w:vAlign w:val="center"/>
          </w:tcPr>
          <w:p w:rsidR="00000000" w:rsidRDefault="00782BB1">
            <w:pPr>
              <w:pStyle w:val="Encabezado"/>
              <w:tabs>
                <w:tab w:val="clear" w:pos="4252"/>
                <w:tab w:val="clear" w:pos="8504"/>
                <w:tab w:val="left" w:pos="1770"/>
              </w:tabs>
              <w:jc w:val="center"/>
              <w:rPr>
                <w:sz w:val="18"/>
                <w:szCs w:val="20"/>
              </w:rPr>
            </w:pPr>
            <w:r>
              <w:rPr>
                <w:sz w:val="18"/>
                <w:szCs w:val="20"/>
              </w:rPr>
              <w:t>1</w:t>
            </w:r>
          </w:p>
        </w:tc>
        <w:tc>
          <w:tcPr>
            <w:tcW w:w="1427" w:type="dxa"/>
            <w:vAlign w:val="center"/>
          </w:tcPr>
          <w:p w:rsidR="00000000" w:rsidRDefault="00782BB1">
            <w:pPr>
              <w:pStyle w:val="Encabezado"/>
              <w:tabs>
                <w:tab w:val="clear" w:pos="4252"/>
                <w:tab w:val="clear" w:pos="8504"/>
                <w:tab w:val="left" w:pos="1770"/>
              </w:tabs>
              <w:jc w:val="center"/>
              <w:rPr>
                <w:sz w:val="18"/>
                <w:szCs w:val="20"/>
              </w:rPr>
            </w:pPr>
            <w:r>
              <w:rPr>
                <w:sz w:val="18"/>
                <w:szCs w:val="20"/>
              </w:rPr>
              <w:t>0.501</w:t>
            </w:r>
          </w:p>
        </w:tc>
      </w:tr>
      <w:tr w:rsidR="00000000">
        <w:trPr>
          <w:tblCellSpacing w:w="20" w:type="dxa"/>
          <w:jc w:val="center"/>
        </w:trPr>
        <w:tc>
          <w:tcPr>
            <w:tcW w:w="1069" w:type="dxa"/>
            <w:vAlign w:val="center"/>
          </w:tcPr>
          <w:p w:rsidR="00000000" w:rsidRDefault="00782BB1">
            <w:pPr>
              <w:pStyle w:val="Encabezado"/>
              <w:tabs>
                <w:tab w:val="clear" w:pos="4252"/>
                <w:tab w:val="clear" w:pos="8504"/>
                <w:tab w:val="left" w:pos="1770"/>
              </w:tabs>
              <w:jc w:val="center"/>
              <w:rPr>
                <w:sz w:val="18"/>
                <w:szCs w:val="20"/>
              </w:rPr>
            </w:pPr>
            <w:r>
              <w:rPr>
                <w:sz w:val="18"/>
                <w:szCs w:val="20"/>
              </w:rPr>
              <w:t>2</w:t>
            </w:r>
          </w:p>
        </w:tc>
        <w:tc>
          <w:tcPr>
            <w:tcW w:w="1427" w:type="dxa"/>
            <w:vAlign w:val="center"/>
          </w:tcPr>
          <w:p w:rsidR="00000000" w:rsidRDefault="00782BB1">
            <w:pPr>
              <w:pStyle w:val="Encabezado"/>
              <w:tabs>
                <w:tab w:val="clear" w:pos="4252"/>
                <w:tab w:val="clear" w:pos="8504"/>
                <w:tab w:val="left" w:pos="1770"/>
              </w:tabs>
              <w:jc w:val="center"/>
              <w:rPr>
                <w:sz w:val="18"/>
                <w:szCs w:val="20"/>
              </w:rPr>
            </w:pPr>
            <w:r>
              <w:rPr>
                <w:sz w:val="18"/>
                <w:szCs w:val="20"/>
              </w:rPr>
              <w:t>0.423</w:t>
            </w:r>
          </w:p>
        </w:tc>
      </w:tr>
      <w:tr w:rsidR="00000000">
        <w:trPr>
          <w:tblCellSpacing w:w="20" w:type="dxa"/>
          <w:jc w:val="center"/>
        </w:trPr>
        <w:tc>
          <w:tcPr>
            <w:tcW w:w="1069" w:type="dxa"/>
            <w:vAlign w:val="center"/>
          </w:tcPr>
          <w:p w:rsidR="00000000" w:rsidRDefault="00782BB1">
            <w:pPr>
              <w:pStyle w:val="Encabezado"/>
              <w:tabs>
                <w:tab w:val="clear" w:pos="4252"/>
                <w:tab w:val="clear" w:pos="8504"/>
                <w:tab w:val="left" w:pos="1770"/>
              </w:tabs>
              <w:jc w:val="center"/>
              <w:rPr>
                <w:sz w:val="18"/>
                <w:szCs w:val="20"/>
              </w:rPr>
            </w:pPr>
            <w:r>
              <w:rPr>
                <w:sz w:val="18"/>
                <w:szCs w:val="20"/>
              </w:rPr>
              <w:t>3</w:t>
            </w:r>
          </w:p>
        </w:tc>
        <w:tc>
          <w:tcPr>
            <w:tcW w:w="1427" w:type="dxa"/>
            <w:vAlign w:val="center"/>
          </w:tcPr>
          <w:p w:rsidR="00000000" w:rsidRDefault="00782BB1">
            <w:pPr>
              <w:pStyle w:val="Encabezado"/>
              <w:tabs>
                <w:tab w:val="clear" w:pos="4252"/>
                <w:tab w:val="clear" w:pos="8504"/>
                <w:tab w:val="left" w:pos="1770"/>
              </w:tabs>
              <w:jc w:val="center"/>
              <w:rPr>
                <w:sz w:val="18"/>
                <w:szCs w:val="20"/>
              </w:rPr>
            </w:pPr>
            <w:r>
              <w:rPr>
                <w:sz w:val="18"/>
                <w:szCs w:val="20"/>
              </w:rPr>
              <w:t>0.371</w:t>
            </w:r>
          </w:p>
        </w:tc>
      </w:tr>
      <w:tr w:rsidR="00000000">
        <w:trPr>
          <w:tblCellSpacing w:w="20" w:type="dxa"/>
          <w:jc w:val="center"/>
        </w:trPr>
        <w:tc>
          <w:tcPr>
            <w:tcW w:w="1069" w:type="dxa"/>
            <w:vAlign w:val="center"/>
          </w:tcPr>
          <w:p w:rsidR="00000000" w:rsidRDefault="00782BB1">
            <w:pPr>
              <w:pStyle w:val="Encabezado"/>
              <w:tabs>
                <w:tab w:val="clear" w:pos="4252"/>
                <w:tab w:val="clear" w:pos="8504"/>
                <w:tab w:val="left" w:pos="1770"/>
              </w:tabs>
              <w:jc w:val="center"/>
              <w:rPr>
                <w:sz w:val="18"/>
                <w:szCs w:val="20"/>
              </w:rPr>
            </w:pPr>
            <w:r>
              <w:rPr>
                <w:sz w:val="18"/>
                <w:szCs w:val="20"/>
              </w:rPr>
              <w:t>4</w:t>
            </w:r>
          </w:p>
        </w:tc>
        <w:tc>
          <w:tcPr>
            <w:tcW w:w="1427" w:type="dxa"/>
            <w:vAlign w:val="center"/>
          </w:tcPr>
          <w:p w:rsidR="00000000" w:rsidRDefault="00782BB1">
            <w:pPr>
              <w:pStyle w:val="Encabezado"/>
              <w:tabs>
                <w:tab w:val="clear" w:pos="4252"/>
                <w:tab w:val="clear" w:pos="8504"/>
                <w:tab w:val="left" w:pos="1770"/>
              </w:tabs>
              <w:jc w:val="center"/>
              <w:rPr>
                <w:sz w:val="18"/>
                <w:szCs w:val="20"/>
              </w:rPr>
            </w:pPr>
            <w:r>
              <w:rPr>
                <w:sz w:val="18"/>
                <w:szCs w:val="20"/>
              </w:rPr>
              <w:t>0.342</w:t>
            </w:r>
          </w:p>
        </w:tc>
      </w:tr>
      <w:tr w:rsidR="00000000">
        <w:trPr>
          <w:tblCellSpacing w:w="20" w:type="dxa"/>
          <w:jc w:val="center"/>
        </w:trPr>
        <w:tc>
          <w:tcPr>
            <w:tcW w:w="1069" w:type="dxa"/>
            <w:vAlign w:val="center"/>
          </w:tcPr>
          <w:p w:rsidR="00000000" w:rsidRDefault="00782BB1">
            <w:pPr>
              <w:pStyle w:val="Encabezado"/>
              <w:tabs>
                <w:tab w:val="clear" w:pos="4252"/>
                <w:tab w:val="clear" w:pos="8504"/>
                <w:tab w:val="left" w:pos="1770"/>
              </w:tabs>
              <w:jc w:val="center"/>
              <w:rPr>
                <w:sz w:val="18"/>
                <w:szCs w:val="20"/>
              </w:rPr>
            </w:pPr>
            <w:r>
              <w:rPr>
                <w:sz w:val="18"/>
                <w:szCs w:val="20"/>
              </w:rPr>
              <w:t>5</w:t>
            </w:r>
          </w:p>
        </w:tc>
        <w:tc>
          <w:tcPr>
            <w:tcW w:w="1427" w:type="dxa"/>
            <w:vAlign w:val="center"/>
          </w:tcPr>
          <w:p w:rsidR="00000000" w:rsidRDefault="00782BB1">
            <w:pPr>
              <w:pStyle w:val="Encabezado"/>
              <w:tabs>
                <w:tab w:val="clear" w:pos="4252"/>
                <w:tab w:val="clear" w:pos="8504"/>
                <w:tab w:val="left" w:pos="1770"/>
              </w:tabs>
              <w:jc w:val="center"/>
              <w:rPr>
                <w:sz w:val="18"/>
                <w:szCs w:val="20"/>
              </w:rPr>
            </w:pPr>
            <w:r>
              <w:rPr>
                <w:sz w:val="18"/>
                <w:szCs w:val="20"/>
              </w:rPr>
              <w:t>0.276</w:t>
            </w:r>
          </w:p>
        </w:tc>
      </w:tr>
      <w:tr w:rsidR="00000000">
        <w:trPr>
          <w:tblCellSpacing w:w="20" w:type="dxa"/>
          <w:jc w:val="center"/>
        </w:trPr>
        <w:tc>
          <w:tcPr>
            <w:tcW w:w="1069" w:type="dxa"/>
            <w:vAlign w:val="center"/>
          </w:tcPr>
          <w:p w:rsidR="00000000" w:rsidRDefault="00782BB1">
            <w:pPr>
              <w:pStyle w:val="Encabezado"/>
              <w:tabs>
                <w:tab w:val="clear" w:pos="4252"/>
                <w:tab w:val="clear" w:pos="8504"/>
                <w:tab w:val="left" w:pos="1770"/>
              </w:tabs>
              <w:jc w:val="center"/>
              <w:rPr>
                <w:sz w:val="18"/>
                <w:szCs w:val="20"/>
              </w:rPr>
            </w:pPr>
            <w:r>
              <w:rPr>
                <w:sz w:val="18"/>
                <w:szCs w:val="20"/>
              </w:rPr>
              <w:t>6</w:t>
            </w:r>
          </w:p>
        </w:tc>
        <w:tc>
          <w:tcPr>
            <w:tcW w:w="1427" w:type="dxa"/>
            <w:vAlign w:val="center"/>
          </w:tcPr>
          <w:p w:rsidR="00000000" w:rsidRDefault="00782BB1">
            <w:pPr>
              <w:pStyle w:val="Encabezado"/>
              <w:tabs>
                <w:tab w:val="clear" w:pos="4252"/>
                <w:tab w:val="clear" w:pos="8504"/>
                <w:tab w:val="left" w:pos="1770"/>
              </w:tabs>
              <w:jc w:val="center"/>
              <w:rPr>
                <w:sz w:val="18"/>
                <w:szCs w:val="20"/>
              </w:rPr>
            </w:pPr>
            <w:r>
              <w:rPr>
                <w:sz w:val="18"/>
                <w:szCs w:val="20"/>
              </w:rPr>
              <w:t>0.212</w:t>
            </w:r>
          </w:p>
        </w:tc>
      </w:tr>
      <w:tr w:rsidR="00000000">
        <w:trPr>
          <w:tblCellSpacing w:w="20" w:type="dxa"/>
          <w:jc w:val="center"/>
        </w:trPr>
        <w:tc>
          <w:tcPr>
            <w:tcW w:w="1069" w:type="dxa"/>
            <w:vAlign w:val="center"/>
          </w:tcPr>
          <w:p w:rsidR="00000000" w:rsidRDefault="00782BB1">
            <w:pPr>
              <w:pStyle w:val="Encabezado"/>
              <w:tabs>
                <w:tab w:val="clear" w:pos="4252"/>
                <w:tab w:val="clear" w:pos="8504"/>
                <w:tab w:val="left" w:pos="1770"/>
              </w:tabs>
              <w:jc w:val="center"/>
              <w:rPr>
                <w:sz w:val="18"/>
                <w:szCs w:val="20"/>
              </w:rPr>
            </w:pPr>
            <w:r>
              <w:rPr>
                <w:sz w:val="18"/>
                <w:szCs w:val="20"/>
              </w:rPr>
              <w:t>7</w:t>
            </w:r>
          </w:p>
        </w:tc>
        <w:tc>
          <w:tcPr>
            <w:tcW w:w="1427" w:type="dxa"/>
            <w:vAlign w:val="center"/>
          </w:tcPr>
          <w:p w:rsidR="00000000" w:rsidRDefault="00782BB1">
            <w:pPr>
              <w:pStyle w:val="Encabezado"/>
              <w:tabs>
                <w:tab w:val="clear" w:pos="4252"/>
                <w:tab w:val="clear" w:pos="8504"/>
                <w:tab w:val="left" w:pos="1770"/>
              </w:tabs>
              <w:jc w:val="center"/>
              <w:rPr>
                <w:sz w:val="18"/>
                <w:szCs w:val="20"/>
              </w:rPr>
            </w:pPr>
            <w:r>
              <w:rPr>
                <w:sz w:val="18"/>
                <w:szCs w:val="20"/>
              </w:rPr>
              <w:t>0.182</w:t>
            </w:r>
          </w:p>
        </w:tc>
      </w:tr>
      <w:tr w:rsidR="00000000">
        <w:trPr>
          <w:tblCellSpacing w:w="20" w:type="dxa"/>
          <w:jc w:val="center"/>
        </w:trPr>
        <w:tc>
          <w:tcPr>
            <w:tcW w:w="1069" w:type="dxa"/>
            <w:vAlign w:val="center"/>
          </w:tcPr>
          <w:p w:rsidR="00000000" w:rsidRDefault="00782BB1">
            <w:pPr>
              <w:pStyle w:val="Encabezado"/>
              <w:tabs>
                <w:tab w:val="clear" w:pos="4252"/>
                <w:tab w:val="clear" w:pos="8504"/>
                <w:tab w:val="left" w:pos="1770"/>
              </w:tabs>
              <w:jc w:val="center"/>
              <w:rPr>
                <w:sz w:val="18"/>
                <w:szCs w:val="20"/>
              </w:rPr>
            </w:pPr>
            <w:r>
              <w:rPr>
                <w:sz w:val="18"/>
                <w:szCs w:val="20"/>
              </w:rPr>
              <w:t>8</w:t>
            </w:r>
          </w:p>
        </w:tc>
        <w:tc>
          <w:tcPr>
            <w:tcW w:w="1427" w:type="dxa"/>
            <w:vAlign w:val="center"/>
          </w:tcPr>
          <w:p w:rsidR="00000000" w:rsidRDefault="00782BB1">
            <w:pPr>
              <w:pStyle w:val="Encabezado"/>
              <w:tabs>
                <w:tab w:val="clear" w:pos="4252"/>
                <w:tab w:val="clear" w:pos="8504"/>
                <w:tab w:val="left" w:pos="1770"/>
              </w:tabs>
              <w:jc w:val="center"/>
              <w:rPr>
                <w:sz w:val="18"/>
                <w:szCs w:val="20"/>
              </w:rPr>
            </w:pPr>
            <w:r>
              <w:rPr>
                <w:sz w:val="18"/>
                <w:szCs w:val="20"/>
              </w:rPr>
              <w:t>0.127</w:t>
            </w:r>
          </w:p>
        </w:tc>
      </w:tr>
      <w:tr w:rsidR="00000000">
        <w:trPr>
          <w:tblCellSpacing w:w="20" w:type="dxa"/>
          <w:jc w:val="center"/>
        </w:trPr>
        <w:tc>
          <w:tcPr>
            <w:tcW w:w="1069" w:type="dxa"/>
            <w:vAlign w:val="center"/>
          </w:tcPr>
          <w:p w:rsidR="00000000" w:rsidRDefault="00782BB1">
            <w:pPr>
              <w:pStyle w:val="Encabezado"/>
              <w:tabs>
                <w:tab w:val="clear" w:pos="4252"/>
                <w:tab w:val="clear" w:pos="8504"/>
                <w:tab w:val="left" w:pos="1770"/>
              </w:tabs>
              <w:jc w:val="center"/>
              <w:rPr>
                <w:sz w:val="18"/>
                <w:szCs w:val="20"/>
              </w:rPr>
            </w:pPr>
            <w:r>
              <w:rPr>
                <w:sz w:val="18"/>
                <w:szCs w:val="20"/>
              </w:rPr>
              <w:t>9</w:t>
            </w:r>
          </w:p>
        </w:tc>
        <w:tc>
          <w:tcPr>
            <w:tcW w:w="1427" w:type="dxa"/>
            <w:vAlign w:val="center"/>
          </w:tcPr>
          <w:p w:rsidR="00000000" w:rsidRDefault="00782BB1">
            <w:pPr>
              <w:pStyle w:val="Encabezado"/>
              <w:tabs>
                <w:tab w:val="clear" w:pos="4252"/>
                <w:tab w:val="clear" w:pos="8504"/>
                <w:tab w:val="left" w:pos="1770"/>
              </w:tabs>
              <w:jc w:val="center"/>
              <w:rPr>
                <w:sz w:val="18"/>
                <w:szCs w:val="20"/>
              </w:rPr>
            </w:pPr>
            <w:r>
              <w:rPr>
                <w:sz w:val="18"/>
                <w:szCs w:val="20"/>
              </w:rPr>
              <w:t>0.080</w:t>
            </w:r>
          </w:p>
        </w:tc>
      </w:tr>
      <w:tr w:rsidR="00000000">
        <w:trPr>
          <w:tblCellSpacing w:w="20" w:type="dxa"/>
          <w:jc w:val="center"/>
        </w:trPr>
        <w:tc>
          <w:tcPr>
            <w:tcW w:w="1069" w:type="dxa"/>
            <w:vAlign w:val="center"/>
          </w:tcPr>
          <w:p w:rsidR="00000000" w:rsidRDefault="00782BB1">
            <w:pPr>
              <w:pStyle w:val="Encabezado"/>
              <w:tabs>
                <w:tab w:val="clear" w:pos="4252"/>
                <w:tab w:val="clear" w:pos="8504"/>
                <w:tab w:val="left" w:pos="1770"/>
              </w:tabs>
              <w:jc w:val="center"/>
              <w:rPr>
                <w:sz w:val="18"/>
                <w:szCs w:val="20"/>
              </w:rPr>
            </w:pPr>
            <w:r>
              <w:rPr>
                <w:sz w:val="18"/>
                <w:szCs w:val="20"/>
              </w:rPr>
              <w:t>10</w:t>
            </w:r>
          </w:p>
        </w:tc>
        <w:tc>
          <w:tcPr>
            <w:tcW w:w="1427" w:type="dxa"/>
            <w:vAlign w:val="center"/>
          </w:tcPr>
          <w:p w:rsidR="00000000" w:rsidRDefault="00782BB1">
            <w:pPr>
              <w:pStyle w:val="Encabezado"/>
              <w:tabs>
                <w:tab w:val="clear" w:pos="4252"/>
                <w:tab w:val="clear" w:pos="8504"/>
                <w:tab w:val="left" w:pos="1770"/>
              </w:tabs>
              <w:jc w:val="center"/>
              <w:rPr>
                <w:sz w:val="18"/>
                <w:szCs w:val="20"/>
              </w:rPr>
            </w:pPr>
            <w:r>
              <w:rPr>
                <w:sz w:val="18"/>
                <w:szCs w:val="20"/>
              </w:rPr>
              <w:t>0.022</w:t>
            </w:r>
          </w:p>
        </w:tc>
      </w:tr>
    </w:tbl>
    <w:p w:rsidR="00000000" w:rsidRDefault="00782BB1">
      <w:pPr>
        <w:pStyle w:val="Encabezado"/>
        <w:tabs>
          <w:tab w:val="clear" w:pos="4252"/>
          <w:tab w:val="clear" w:pos="8504"/>
          <w:tab w:val="left" w:pos="1770"/>
        </w:tabs>
        <w:jc w:val="both"/>
        <w:rPr>
          <w:sz w:val="18"/>
        </w:rPr>
      </w:pPr>
    </w:p>
    <w:p w:rsidR="00000000" w:rsidRDefault="00782BB1">
      <w:pPr>
        <w:pStyle w:val="Encabezado"/>
        <w:tabs>
          <w:tab w:val="clear" w:pos="4252"/>
          <w:tab w:val="clear" w:pos="8504"/>
          <w:tab w:val="left" w:pos="1770"/>
        </w:tabs>
        <w:jc w:val="both"/>
        <w:rPr>
          <w:sz w:val="18"/>
        </w:rPr>
      </w:pPr>
    </w:p>
    <w:p w:rsidR="00000000" w:rsidRDefault="00782BB1">
      <w:pPr>
        <w:pStyle w:val="Encabezado"/>
        <w:tabs>
          <w:tab w:val="clear" w:pos="4252"/>
          <w:tab w:val="clear" w:pos="8504"/>
          <w:tab w:val="left" w:pos="1770"/>
        </w:tabs>
        <w:jc w:val="both"/>
        <w:rPr>
          <w:sz w:val="18"/>
        </w:rPr>
      </w:pPr>
      <w:r>
        <w:rPr>
          <w:sz w:val="18"/>
        </w:rPr>
        <w:t>Se consideran las Correlaciones Canónicas entre 0.5 y 1 ó -0.5 y -1. Como se puede observar en la Tabla  VII el valor más alto de correlación es 0..501 qu</w:t>
      </w:r>
      <w:r>
        <w:rPr>
          <w:sz w:val="18"/>
        </w:rPr>
        <w:t>e según el criterio anterior se  puede considerarse correlación  entre los grupos de variables.</w:t>
      </w:r>
    </w:p>
    <w:p w:rsidR="00000000" w:rsidRDefault="00782BB1">
      <w:pPr>
        <w:pStyle w:val="Encabezado"/>
        <w:tabs>
          <w:tab w:val="clear" w:pos="4252"/>
          <w:tab w:val="clear" w:pos="8504"/>
          <w:tab w:val="left" w:pos="1770"/>
        </w:tabs>
        <w:jc w:val="both"/>
        <w:rPr>
          <w:sz w:val="18"/>
        </w:rPr>
      </w:pPr>
    </w:p>
    <w:p w:rsidR="00000000" w:rsidRDefault="00782BB1">
      <w:pPr>
        <w:jc w:val="both"/>
        <w:rPr>
          <w:sz w:val="20"/>
          <w:szCs w:val="20"/>
        </w:rPr>
      </w:pPr>
      <w:r>
        <w:rPr>
          <w:sz w:val="20"/>
          <w:szCs w:val="20"/>
        </w:rPr>
        <w:t>Escogemos el primer par de variables canónicas (U1, V1), donde hay una correlación canónica de 0.501, lo que indica que existe una leve relación lineal entre e</w:t>
      </w:r>
      <w:r>
        <w:rPr>
          <w:sz w:val="20"/>
          <w:szCs w:val="20"/>
        </w:rPr>
        <w:t>ste par de variables</w:t>
      </w:r>
    </w:p>
    <w:p w:rsidR="00000000" w:rsidRDefault="00782BB1">
      <w:pPr>
        <w:jc w:val="both"/>
        <w:rPr>
          <w:sz w:val="20"/>
          <w:szCs w:val="20"/>
        </w:rPr>
      </w:pPr>
    </w:p>
    <w:p w:rsidR="00000000" w:rsidRDefault="00782BB1">
      <w:pPr>
        <w:jc w:val="both"/>
        <w:rPr>
          <w:sz w:val="20"/>
          <w:szCs w:val="20"/>
        </w:rPr>
      </w:pPr>
      <w:r>
        <w:rPr>
          <w:sz w:val="20"/>
          <w:szCs w:val="20"/>
        </w:rPr>
        <w:t>Se tiene que las características que aportan mayores pesos para la variable canónica U1 son:</w:t>
      </w:r>
    </w:p>
    <w:p w:rsidR="00000000" w:rsidRDefault="00782BB1">
      <w:pPr>
        <w:numPr>
          <w:ilvl w:val="1"/>
          <w:numId w:val="5"/>
        </w:numPr>
        <w:tabs>
          <w:tab w:val="clear" w:pos="1785"/>
          <w:tab w:val="num" w:pos="720"/>
        </w:tabs>
        <w:ind w:left="720"/>
        <w:jc w:val="both"/>
        <w:rPr>
          <w:sz w:val="20"/>
          <w:szCs w:val="20"/>
        </w:rPr>
      </w:pPr>
      <w:r>
        <w:rPr>
          <w:sz w:val="20"/>
          <w:szCs w:val="20"/>
        </w:rPr>
        <w:t>Ingreso a la universidad para tener amigos</w:t>
      </w:r>
    </w:p>
    <w:p w:rsidR="00000000" w:rsidRDefault="00782BB1">
      <w:pPr>
        <w:numPr>
          <w:ilvl w:val="1"/>
          <w:numId w:val="5"/>
        </w:numPr>
        <w:tabs>
          <w:tab w:val="clear" w:pos="1785"/>
          <w:tab w:val="num" w:pos="720"/>
        </w:tabs>
        <w:ind w:left="720"/>
        <w:jc w:val="both"/>
        <w:rPr>
          <w:sz w:val="20"/>
          <w:szCs w:val="20"/>
        </w:rPr>
      </w:pPr>
      <w:r>
        <w:rPr>
          <w:sz w:val="20"/>
          <w:szCs w:val="20"/>
        </w:rPr>
        <w:t>Relación con los profesores fue cordial</w:t>
      </w:r>
    </w:p>
    <w:p w:rsidR="00000000" w:rsidRDefault="00782BB1">
      <w:pPr>
        <w:pStyle w:val="Encabezado"/>
        <w:tabs>
          <w:tab w:val="clear" w:pos="4252"/>
          <w:tab w:val="clear" w:pos="8504"/>
          <w:tab w:val="left" w:pos="1770"/>
        </w:tabs>
        <w:jc w:val="both"/>
        <w:rPr>
          <w:sz w:val="18"/>
        </w:rPr>
      </w:pPr>
    </w:p>
    <w:p w:rsidR="00000000" w:rsidRDefault="00782BB1">
      <w:pPr>
        <w:pStyle w:val="Encabezado"/>
        <w:tabs>
          <w:tab w:val="clear" w:pos="4252"/>
          <w:tab w:val="clear" w:pos="8504"/>
          <w:tab w:val="left" w:pos="1770"/>
        </w:tabs>
        <w:jc w:val="both"/>
        <w:rPr>
          <w:sz w:val="18"/>
        </w:rPr>
      </w:pPr>
    </w:p>
    <w:p w:rsidR="00000000" w:rsidRDefault="00782BB1">
      <w:pPr>
        <w:pStyle w:val="Encabezado"/>
        <w:tabs>
          <w:tab w:val="clear" w:pos="4252"/>
          <w:tab w:val="clear" w:pos="8504"/>
          <w:tab w:val="left" w:pos="1770"/>
        </w:tabs>
        <w:jc w:val="both"/>
        <w:rPr>
          <w:sz w:val="18"/>
        </w:rPr>
      </w:pPr>
      <w:r>
        <w:rPr>
          <w:noProof/>
          <w:sz w:val="20"/>
        </w:rPr>
        <w:pict>
          <v:shape id="_x0000_s1033" type="#_x0000_t75" style="position:absolute;left:0;text-align:left;margin-left:-45pt;margin-top:16.65pt;width:243.1pt;height:258.05pt;z-index:251658240;visibility:visible;mso-wrap-edited:f">
            <v:imagedata r:id="rId117" o:title="" cropleft="7621f" cropright="7620f"/>
            <w10:wrap type="topAndBottom"/>
          </v:shape>
          <o:OLEObject Type="Embed" ProgID="Word.Picture.8" ShapeID="_x0000_s1033" DrawAspect="Content" ObjectID="_1346835708" r:id="rId118"/>
        </w:pict>
      </w:r>
    </w:p>
    <w:p w:rsidR="00000000" w:rsidRDefault="00782BB1">
      <w:pPr>
        <w:pStyle w:val="Encabezado"/>
        <w:tabs>
          <w:tab w:val="clear" w:pos="4252"/>
          <w:tab w:val="clear" w:pos="8504"/>
          <w:tab w:val="left" w:pos="1770"/>
        </w:tabs>
        <w:jc w:val="both"/>
        <w:rPr>
          <w:sz w:val="18"/>
        </w:rPr>
      </w:pPr>
    </w:p>
    <w:p w:rsidR="00000000" w:rsidRDefault="00782BB1">
      <w:pPr>
        <w:pStyle w:val="Encabezado"/>
        <w:tabs>
          <w:tab w:val="clear" w:pos="4252"/>
          <w:tab w:val="clear" w:pos="8504"/>
          <w:tab w:val="left" w:pos="1770"/>
        </w:tabs>
        <w:jc w:val="both"/>
        <w:rPr>
          <w:sz w:val="18"/>
        </w:rPr>
      </w:pPr>
    </w:p>
    <w:p w:rsidR="00000000" w:rsidRDefault="00782BB1">
      <w:pPr>
        <w:jc w:val="both"/>
        <w:rPr>
          <w:sz w:val="20"/>
          <w:szCs w:val="20"/>
        </w:rPr>
      </w:pPr>
      <w:r>
        <w:rPr>
          <w:sz w:val="20"/>
          <w:szCs w:val="20"/>
        </w:rPr>
        <w:lastRenderedPageBreak/>
        <w:t>La variable canónica V1  se presenta en la Tabla IX,</w:t>
      </w:r>
      <w:r>
        <w:rPr>
          <w:sz w:val="20"/>
          <w:szCs w:val="20"/>
        </w:rPr>
        <w:t xml:space="preserve"> las características que aportan mayor ponderación son:</w:t>
      </w:r>
    </w:p>
    <w:p w:rsidR="00000000" w:rsidRDefault="00782BB1">
      <w:pPr>
        <w:jc w:val="both"/>
        <w:rPr>
          <w:sz w:val="20"/>
          <w:szCs w:val="20"/>
        </w:rPr>
      </w:pPr>
    </w:p>
    <w:p w:rsidR="00000000" w:rsidRDefault="00782BB1">
      <w:pPr>
        <w:numPr>
          <w:ilvl w:val="1"/>
          <w:numId w:val="5"/>
        </w:numPr>
        <w:tabs>
          <w:tab w:val="clear" w:pos="1785"/>
          <w:tab w:val="num" w:pos="720"/>
        </w:tabs>
        <w:ind w:left="720"/>
        <w:jc w:val="both"/>
        <w:rPr>
          <w:sz w:val="20"/>
          <w:szCs w:val="20"/>
        </w:rPr>
      </w:pPr>
      <w:r>
        <w:rPr>
          <w:sz w:val="20"/>
          <w:szCs w:val="20"/>
        </w:rPr>
        <w:t xml:space="preserve">Número de  hermanos </w:t>
      </w:r>
    </w:p>
    <w:p w:rsidR="00000000" w:rsidRDefault="00782BB1">
      <w:pPr>
        <w:numPr>
          <w:ilvl w:val="1"/>
          <w:numId w:val="5"/>
        </w:numPr>
        <w:tabs>
          <w:tab w:val="clear" w:pos="1785"/>
          <w:tab w:val="num" w:pos="720"/>
        </w:tabs>
        <w:ind w:left="720"/>
        <w:jc w:val="both"/>
        <w:rPr>
          <w:sz w:val="20"/>
          <w:szCs w:val="20"/>
        </w:rPr>
      </w:pPr>
      <w:r>
        <w:rPr>
          <w:sz w:val="20"/>
          <w:szCs w:val="20"/>
        </w:rPr>
        <w:t>Número de exámenes de ingresos tomados</w:t>
      </w:r>
    </w:p>
    <w:p w:rsidR="00000000" w:rsidRDefault="00782BB1">
      <w:pPr>
        <w:numPr>
          <w:ilvl w:val="1"/>
          <w:numId w:val="5"/>
        </w:numPr>
        <w:tabs>
          <w:tab w:val="clear" w:pos="1785"/>
          <w:tab w:val="num" w:pos="720"/>
        </w:tabs>
        <w:ind w:left="720"/>
        <w:jc w:val="both"/>
        <w:rPr>
          <w:sz w:val="20"/>
          <w:szCs w:val="20"/>
        </w:rPr>
      </w:pPr>
      <w:r>
        <w:rPr>
          <w:sz w:val="20"/>
          <w:szCs w:val="20"/>
        </w:rPr>
        <w:t>Ingreso promedio mensual</w:t>
      </w:r>
    </w:p>
    <w:p w:rsidR="00000000" w:rsidRDefault="00782BB1">
      <w:pPr>
        <w:numPr>
          <w:ilvl w:val="1"/>
          <w:numId w:val="5"/>
        </w:numPr>
        <w:tabs>
          <w:tab w:val="clear" w:pos="1785"/>
          <w:tab w:val="num" w:pos="720"/>
        </w:tabs>
        <w:ind w:left="720"/>
        <w:jc w:val="both"/>
        <w:rPr>
          <w:sz w:val="20"/>
          <w:szCs w:val="20"/>
        </w:rPr>
      </w:pPr>
    </w:p>
    <w:p w:rsidR="00000000" w:rsidRDefault="00782BB1">
      <w:pPr>
        <w:tabs>
          <w:tab w:val="num" w:pos="720"/>
        </w:tabs>
        <w:ind w:left="1080"/>
        <w:jc w:val="both"/>
        <w:rPr>
          <w:sz w:val="20"/>
          <w:szCs w:val="20"/>
        </w:rPr>
      </w:pPr>
    </w:p>
    <w:p w:rsidR="00000000" w:rsidRDefault="00782BB1">
      <w:pPr>
        <w:pStyle w:val="Encabezado"/>
        <w:tabs>
          <w:tab w:val="clear" w:pos="4252"/>
          <w:tab w:val="clear" w:pos="8504"/>
          <w:tab w:val="left" w:pos="1770"/>
        </w:tabs>
        <w:jc w:val="both"/>
        <w:rPr>
          <w:sz w:val="18"/>
          <w:lang w:val="es-ES"/>
        </w:rPr>
      </w:pPr>
    </w:p>
    <w:p w:rsidR="00000000" w:rsidRDefault="00A42F44">
      <w:pPr>
        <w:pStyle w:val="Encabezado"/>
        <w:tabs>
          <w:tab w:val="clear" w:pos="4252"/>
          <w:tab w:val="clear" w:pos="8504"/>
          <w:tab w:val="left" w:pos="1770"/>
        </w:tabs>
        <w:jc w:val="both"/>
        <w:rPr>
          <w:sz w:val="18"/>
        </w:rPr>
      </w:pPr>
      <w:r>
        <w:rPr>
          <w:noProof/>
          <w:sz w:val="20"/>
          <w:lang w:val="en-US" w:eastAsia="en-US"/>
        </w:rPr>
        <w:drawing>
          <wp:anchor distT="0" distB="0" distL="114300" distR="114300" simplePos="0" relativeHeight="251659264" behindDoc="0" locked="0" layoutInCell="1" allowOverlap="1">
            <wp:simplePos x="0" y="0"/>
            <wp:positionH relativeFrom="column">
              <wp:posOffset>-132715</wp:posOffset>
            </wp:positionH>
            <wp:positionV relativeFrom="paragraph">
              <wp:posOffset>154305</wp:posOffset>
            </wp:positionV>
            <wp:extent cx="3429000" cy="3429000"/>
            <wp:effectExtent l="0" t="0" r="0" b="0"/>
            <wp:wrapTopAndBottom/>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9"/>
                    <a:srcRect l="10268" r="11694"/>
                    <a:stretch>
                      <a:fillRect/>
                    </a:stretch>
                  </pic:blipFill>
                  <pic:spPr bwMode="auto">
                    <a:xfrm>
                      <a:off x="0" y="0"/>
                      <a:ext cx="3429000" cy="3429000"/>
                    </a:xfrm>
                    <a:prstGeom prst="rect">
                      <a:avLst/>
                    </a:prstGeom>
                    <a:noFill/>
                    <a:ln w="9525">
                      <a:noFill/>
                      <a:miter lim="800000"/>
                      <a:headEnd/>
                      <a:tailEnd/>
                    </a:ln>
                  </pic:spPr>
                </pic:pic>
              </a:graphicData>
            </a:graphic>
          </wp:anchor>
        </w:drawing>
      </w:r>
    </w:p>
    <w:p w:rsidR="00000000" w:rsidRDefault="00782BB1">
      <w:pPr>
        <w:jc w:val="both"/>
        <w:rPr>
          <w:sz w:val="18"/>
          <w:lang w:val="es-EC"/>
        </w:rPr>
      </w:pPr>
    </w:p>
    <w:p w:rsidR="00000000" w:rsidRDefault="00782BB1">
      <w:pPr>
        <w:rPr>
          <w:b/>
          <w:bCs/>
          <w:sz w:val="18"/>
        </w:rPr>
      </w:pPr>
      <w:r>
        <w:rPr>
          <w:b/>
          <w:bCs/>
          <w:sz w:val="18"/>
        </w:rPr>
        <w:t>4. CONCLUSIONES</w:t>
      </w:r>
    </w:p>
    <w:p w:rsidR="00000000" w:rsidRDefault="00782BB1">
      <w:pPr>
        <w:jc w:val="both"/>
        <w:rPr>
          <w:bCs/>
          <w:sz w:val="18"/>
        </w:rPr>
      </w:pPr>
      <w:r>
        <w:rPr>
          <w:bCs/>
          <w:sz w:val="18"/>
        </w:rPr>
        <w:t xml:space="preserve"> </w:t>
      </w:r>
    </w:p>
    <w:p w:rsidR="00000000" w:rsidRDefault="00782BB1">
      <w:pPr>
        <w:jc w:val="both"/>
        <w:rPr>
          <w:bCs/>
          <w:sz w:val="18"/>
        </w:rPr>
      </w:pPr>
    </w:p>
    <w:p w:rsidR="00000000" w:rsidRDefault="00782BB1">
      <w:pPr>
        <w:jc w:val="both"/>
        <w:rPr>
          <w:sz w:val="18"/>
        </w:rPr>
      </w:pPr>
      <w:r>
        <w:rPr>
          <w:sz w:val="18"/>
        </w:rPr>
        <w:t>El estudiante desertor de las carreras  que se dictan en  el Instituto de Tecnologías por</w:t>
      </w:r>
      <w:r>
        <w:rPr>
          <w:sz w:val="18"/>
        </w:rPr>
        <w:t xml:space="preserve"> lo general es de género masculino, con edad  de deserción  entre 19 y 21  años, que culminó la primaria en una escuela Particular a la edad de 11 años. el colegio del que proviene es particular y  la especialización Informática.</w:t>
      </w:r>
    </w:p>
    <w:p w:rsidR="00000000" w:rsidRDefault="00782BB1">
      <w:pPr>
        <w:jc w:val="both"/>
        <w:rPr>
          <w:sz w:val="18"/>
        </w:rPr>
      </w:pPr>
    </w:p>
    <w:p w:rsidR="00000000" w:rsidRDefault="00782BB1">
      <w:pPr>
        <w:jc w:val="both"/>
        <w:rPr>
          <w:sz w:val="18"/>
        </w:rPr>
      </w:pPr>
      <w:r>
        <w:rPr>
          <w:sz w:val="18"/>
        </w:rPr>
        <w:t>Un considerable porcentaj</w:t>
      </w:r>
      <w:r>
        <w:rPr>
          <w:sz w:val="18"/>
        </w:rPr>
        <w:t>e de entrevistados, el 70% expresaron que su  ingresó a la Politécnica fue  por decisión propia, mediante la aprobación del Curso Prepolitécnico el cual tomó sólo una vez  y  no rindió el Examen de Ingreso. El Factor P asignado al desertor es menor o igual</w:t>
      </w:r>
      <w:r>
        <w:rPr>
          <w:sz w:val="18"/>
        </w:rPr>
        <w:t xml:space="preserve"> a 10.</w:t>
      </w:r>
    </w:p>
    <w:p w:rsidR="00000000" w:rsidRDefault="00782BB1">
      <w:pPr>
        <w:jc w:val="both"/>
        <w:rPr>
          <w:sz w:val="18"/>
        </w:rPr>
      </w:pPr>
    </w:p>
    <w:p w:rsidR="00000000" w:rsidRDefault="00782BB1">
      <w:pPr>
        <w:jc w:val="both"/>
        <w:rPr>
          <w:sz w:val="18"/>
        </w:rPr>
      </w:pPr>
    </w:p>
    <w:p w:rsidR="00000000" w:rsidRDefault="00782BB1">
      <w:pPr>
        <w:jc w:val="both"/>
        <w:rPr>
          <w:sz w:val="18"/>
        </w:rPr>
      </w:pPr>
      <w:r>
        <w:rPr>
          <w:sz w:val="18"/>
        </w:rPr>
        <w:t>El estudiante toma menos de 10 materias en la ESPOL,  permanece en la Politécnica menos de 3 semestres  y nunca obtuvo alguna Representación Estudiantil.</w:t>
      </w:r>
    </w:p>
    <w:p w:rsidR="00000000" w:rsidRDefault="00782BB1">
      <w:pPr>
        <w:jc w:val="both"/>
        <w:rPr>
          <w:sz w:val="18"/>
        </w:rPr>
      </w:pPr>
    </w:p>
    <w:p w:rsidR="00000000" w:rsidRDefault="00782BB1">
      <w:pPr>
        <w:jc w:val="both"/>
        <w:rPr>
          <w:sz w:val="18"/>
        </w:rPr>
      </w:pPr>
    </w:p>
    <w:p w:rsidR="00000000" w:rsidRDefault="00782BB1">
      <w:pPr>
        <w:jc w:val="both"/>
        <w:rPr>
          <w:sz w:val="18"/>
        </w:rPr>
      </w:pPr>
      <w:r>
        <w:rPr>
          <w:sz w:val="18"/>
        </w:rPr>
        <w:t>Al preguntar  al entrevistado sobre los factores que lo llevaron a desertar de la ESPOL, el</w:t>
      </w:r>
      <w:r>
        <w:rPr>
          <w:sz w:val="18"/>
        </w:rPr>
        <w:t xml:space="preserve"> Factor de  importancia 1,  corresponde a la “</w:t>
      </w:r>
      <w:r>
        <w:rPr>
          <w:i/>
          <w:sz w:val="18"/>
        </w:rPr>
        <w:t>Causas Atribuibles a la socioeconomía del desertor</w:t>
      </w:r>
      <w:r>
        <w:rPr>
          <w:sz w:val="18"/>
        </w:rPr>
        <w:t>” según lo indicado por el desertor, seguido por la “</w:t>
      </w:r>
      <w:r>
        <w:rPr>
          <w:i/>
          <w:sz w:val="18"/>
        </w:rPr>
        <w:t xml:space="preserve">Causas Atribuibles a la </w:t>
      </w:r>
      <w:r>
        <w:rPr>
          <w:i/>
          <w:sz w:val="18"/>
        </w:rPr>
        <w:lastRenderedPageBreak/>
        <w:t>ESPOL</w:t>
      </w:r>
      <w:r>
        <w:rPr>
          <w:sz w:val="18"/>
        </w:rPr>
        <w:t>”.   Para el caso del Factor de importancia 2, el mayor porcentaje de respuest</w:t>
      </w:r>
      <w:r>
        <w:rPr>
          <w:sz w:val="18"/>
        </w:rPr>
        <w:t>a se observó en la opción “</w:t>
      </w:r>
      <w:r>
        <w:rPr>
          <w:i/>
          <w:sz w:val="18"/>
        </w:rPr>
        <w:t>Causas Atribuibles a la ESPOL</w:t>
      </w:r>
      <w:r>
        <w:rPr>
          <w:sz w:val="18"/>
        </w:rPr>
        <w:t>”.</w:t>
      </w:r>
    </w:p>
    <w:p w:rsidR="00000000" w:rsidRDefault="00782BB1">
      <w:pPr>
        <w:jc w:val="both"/>
        <w:rPr>
          <w:sz w:val="18"/>
        </w:rPr>
      </w:pPr>
    </w:p>
    <w:p w:rsidR="00000000" w:rsidRDefault="00782BB1">
      <w:pPr>
        <w:jc w:val="both"/>
        <w:rPr>
          <w:sz w:val="18"/>
        </w:rPr>
      </w:pPr>
    </w:p>
    <w:p w:rsidR="00000000" w:rsidRDefault="00782BB1">
      <w:pPr>
        <w:jc w:val="both"/>
        <w:rPr>
          <w:sz w:val="18"/>
        </w:rPr>
      </w:pPr>
      <w:r>
        <w:rPr>
          <w:sz w:val="18"/>
        </w:rPr>
        <w:t>El desertor opina que las relaciones con los compañeros de estudio no pueden ser motivo para que un estudiante abandone la ESPOL y piensa que al trabajar en grupo solo el que realmente se involuc</w:t>
      </w:r>
      <w:r>
        <w:rPr>
          <w:sz w:val="18"/>
        </w:rPr>
        <w:t>ra gana conocimientos.</w:t>
      </w:r>
    </w:p>
    <w:p w:rsidR="00000000" w:rsidRDefault="00782BB1">
      <w:pPr>
        <w:jc w:val="both"/>
        <w:rPr>
          <w:sz w:val="18"/>
        </w:rPr>
      </w:pPr>
    </w:p>
    <w:p w:rsidR="00000000" w:rsidRDefault="00782BB1">
      <w:pPr>
        <w:jc w:val="both"/>
        <w:rPr>
          <w:sz w:val="18"/>
        </w:rPr>
      </w:pPr>
      <w:r>
        <w:rPr>
          <w:sz w:val="18"/>
        </w:rPr>
        <w:t>Opina también que sin las ayudantías la mayoría de las materias que se dictan en la ESPOL no serían comprensibles.  Por lo general la relación entre el desertor y los profesores fue cordial.</w:t>
      </w:r>
    </w:p>
    <w:p w:rsidR="00000000" w:rsidRDefault="00782BB1">
      <w:pPr>
        <w:jc w:val="both"/>
        <w:rPr>
          <w:sz w:val="18"/>
        </w:rPr>
      </w:pPr>
    </w:p>
    <w:p w:rsidR="00000000" w:rsidRDefault="00782BB1">
      <w:pPr>
        <w:jc w:val="both"/>
        <w:rPr>
          <w:sz w:val="18"/>
        </w:rPr>
      </w:pPr>
    </w:p>
    <w:p w:rsidR="00000000" w:rsidRDefault="00782BB1">
      <w:pPr>
        <w:jc w:val="both"/>
        <w:rPr>
          <w:sz w:val="18"/>
        </w:rPr>
      </w:pPr>
    </w:p>
    <w:p w:rsidR="00000000" w:rsidRDefault="00782BB1">
      <w:pPr>
        <w:jc w:val="both"/>
        <w:rPr>
          <w:sz w:val="18"/>
        </w:rPr>
      </w:pPr>
    </w:p>
    <w:p w:rsidR="00000000" w:rsidRDefault="00782BB1">
      <w:pPr>
        <w:rPr>
          <w:b/>
          <w:bCs/>
          <w:sz w:val="18"/>
        </w:rPr>
      </w:pPr>
    </w:p>
    <w:p w:rsidR="00000000" w:rsidRDefault="00782BB1">
      <w:pPr>
        <w:jc w:val="both"/>
        <w:rPr>
          <w:b/>
          <w:sz w:val="18"/>
        </w:rPr>
      </w:pPr>
      <w:r>
        <w:rPr>
          <w:b/>
          <w:sz w:val="18"/>
        </w:rPr>
        <w:t>5. BIBLIOGRAFIA</w:t>
      </w:r>
    </w:p>
    <w:p w:rsidR="00000000" w:rsidRDefault="00782BB1">
      <w:pPr>
        <w:jc w:val="both"/>
        <w:rPr>
          <w:b/>
          <w:sz w:val="18"/>
        </w:rPr>
      </w:pPr>
    </w:p>
    <w:p w:rsidR="00000000" w:rsidRDefault="00782BB1">
      <w:pPr>
        <w:jc w:val="both"/>
        <w:rPr>
          <w:b/>
          <w:sz w:val="18"/>
        </w:rPr>
      </w:pPr>
    </w:p>
    <w:p w:rsidR="00000000" w:rsidRDefault="00782BB1">
      <w:pPr>
        <w:jc w:val="both"/>
        <w:rPr>
          <w:sz w:val="18"/>
          <w:szCs w:val="20"/>
        </w:rPr>
      </w:pPr>
      <w:r>
        <w:rPr>
          <w:sz w:val="18"/>
        </w:rPr>
        <w:t xml:space="preserve">[1]. </w:t>
      </w:r>
      <w:r>
        <w:rPr>
          <w:b/>
          <w:bCs/>
          <w:sz w:val="18"/>
        </w:rPr>
        <w:t>Vera</w:t>
      </w:r>
      <w:r>
        <w:rPr>
          <w:b/>
          <w:sz w:val="18"/>
        </w:rPr>
        <w:t>,  K.</w:t>
      </w:r>
      <w:r>
        <w:rPr>
          <w:sz w:val="18"/>
          <w:szCs w:val="20"/>
        </w:rPr>
        <w:t>, “</w:t>
      </w:r>
      <w:r>
        <w:rPr>
          <w:i/>
          <w:sz w:val="18"/>
          <w:szCs w:val="20"/>
        </w:rPr>
        <w:t>D</w:t>
      </w:r>
      <w:r>
        <w:rPr>
          <w:i/>
          <w:sz w:val="18"/>
          <w:szCs w:val="20"/>
        </w:rPr>
        <w:t>eserción Estudiantil en la ESPOL: Caso de las carreras del  Instituto de Tecnologías, Tesis de Ingeniería en Estadística e Informática</w:t>
      </w:r>
      <w:r>
        <w:rPr>
          <w:sz w:val="18"/>
          <w:szCs w:val="20"/>
        </w:rPr>
        <w:t xml:space="preserve">”, ICM, ESPOL, 2005 </w:t>
      </w:r>
    </w:p>
    <w:p w:rsidR="00000000" w:rsidRDefault="00782BB1">
      <w:pPr>
        <w:jc w:val="both"/>
        <w:rPr>
          <w:sz w:val="18"/>
        </w:rPr>
      </w:pPr>
    </w:p>
    <w:p w:rsidR="00000000" w:rsidRDefault="00782BB1">
      <w:pPr>
        <w:jc w:val="both"/>
        <w:rPr>
          <w:sz w:val="18"/>
        </w:rPr>
      </w:pPr>
      <w:r>
        <w:rPr>
          <w:sz w:val="18"/>
        </w:rPr>
        <w:t xml:space="preserve">[2]. </w:t>
      </w:r>
      <w:r>
        <w:rPr>
          <w:b/>
          <w:sz w:val="18"/>
        </w:rPr>
        <w:t xml:space="preserve">ESPOL, </w:t>
      </w:r>
      <w:r>
        <w:rPr>
          <w:bCs/>
          <w:sz w:val="18"/>
        </w:rPr>
        <w:t>(2005)</w:t>
      </w:r>
      <w:r>
        <w:rPr>
          <w:sz w:val="18"/>
        </w:rPr>
        <w:t xml:space="preserve"> “</w:t>
      </w:r>
      <w:r>
        <w:rPr>
          <w:i/>
          <w:iCs/>
          <w:sz w:val="18"/>
        </w:rPr>
        <w:t>Guía de Admisión 2005</w:t>
      </w:r>
      <w:r>
        <w:rPr>
          <w:sz w:val="18"/>
        </w:rPr>
        <w:t>”, Grandes Hitos, Guayaquil, Ecuador.</w:t>
      </w:r>
    </w:p>
    <w:p w:rsidR="00000000" w:rsidRDefault="00782BB1">
      <w:pPr>
        <w:jc w:val="both"/>
        <w:rPr>
          <w:sz w:val="18"/>
        </w:rPr>
      </w:pPr>
    </w:p>
    <w:p w:rsidR="00000000" w:rsidRDefault="00782BB1">
      <w:pPr>
        <w:jc w:val="both"/>
        <w:rPr>
          <w:sz w:val="18"/>
        </w:rPr>
      </w:pPr>
      <w:r>
        <w:rPr>
          <w:sz w:val="18"/>
        </w:rPr>
        <w:t>[3].</w:t>
      </w:r>
      <w:r>
        <w:rPr>
          <w:b/>
          <w:bCs/>
          <w:sz w:val="18"/>
        </w:rPr>
        <w:t xml:space="preserve"> Meléndez, M., </w:t>
      </w:r>
      <w:r>
        <w:rPr>
          <w:sz w:val="18"/>
        </w:rPr>
        <w:t>(</w:t>
      </w:r>
      <w:r>
        <w:rPr>
          <w:sz w:val="18"/>
        </w:rPr>
        <w:t>1994)</w:t>
      </w:r>
      <w:r>
        <w:rPr>
          <w:b/>
          <w:bCs/>
          <w:sz w:val="18"/>
        </w:rPr>
        <w:t xml:space="preserve"> </w:t>
      </w:r>
      <w:r>
        <w:rPr>
          <w:i/>
          <w:iCs/>
          <w:sz w:val="18"/>
        </w:rPr>
        <w:t>“Reprobación y Deserción Estudiantil en el ITParral: un Estudio de Caso”</w:t>
      </w:r>
      <w:r>
        <w:rPr>
          <w:sz w:val="18"/>
        </w:rPr>
        <w:t>, México (Pág.1), http://www.uasnet.mx/ centro/deptos.html, última visita: 28 de Enero de 2005.</w:t>
      </w:r>
    </w:p>
    <w:p w:rsidR="00000000" w:rsidRDefault="00782BB1">
      <w:pPr>
        <w:pStyle w:val="NormalWeb"/>
        <w:jc w:val="both"/>
        <w:rPr>
          <w:sz w:val="18"/>
        </w:rPr>
      </w:pPr>
      <w:r>
        <w:rPr>
          <w:sz w:val="18"/>
        </w:rPr>
        <w:t xml:space="preserve">[4]. </w:t>
      </w:r>
      <w:r>
        <w:rPr>
          <w:b/>
          <w:bCs/>
          <w:sz w:val="18"/>
          <w:lang w:val="es-MX"/>
        </w:rPr>
        <w:t xml:space="preserve">Tinto, V., </w:t>
      </w:r>
      <w:r>
        <w:rPr>
          <w:i/>
          <w:iCs/>
          <w:sz w:val="18"/>
        </w:rPr>
        <w:t>"Una reconsideración de las teorías de deserción estudiantil"</w:t>
      </w:r>
      <w:r>
        <w:rPr>
          <w:b/>
          <w:bCs/>
          <w:sz w:val="18"/>
        </w:rPr>
        <w:t>,</w:t>
      </w:r>
      <w:r>
        <w:rPr>
          <w:sz w:val="18"/>
        </w:rPr>
        <w:t xml:space="preserve"> Han</w:t>
      </w:r>
      <w:r>
        <w:rPr>
          <w:sz w:val="18"/>
        </w:rPr>
        <w:t>dbook of theory and research, (Pág. 359-384), Agathon Press, New York, USA, 1986.</w:t>
      </w:r>
    </w:p>
    <w:p w:rsidR="00000000" w:rsidRDefault="00782BB1">
      <w:pPr>
        <w:pStyle w:val="NormalWeb"/>
        <w:jc w:val="both"/>
        <w:rPr>
          <w:sz w:val="18"/>
        </w:rPr>
      </w:pPr>
      <w:r>
        <w:rPr>
          <w:sz w:val="18"/>
        </w:rPr>
        <w:t xml:space="preserve"> [5]. </w:t>
      </w:r>
      <w:r>
        <w:rPr>
          <w:b/>
          <w:bCs/>
          <w:sz w:val="18"/>
        </w:rPr>
        <w:t xml:space="preserve">Freund, J., Miller, I., Miller, M. </w:t>
      </w:r>
      <w:r>
        <w:rPr>
          <w:sz w:val="18"/>
        </w:rPr>
        <w:t xml:space="preserve">(2000), </w:t>
      </w:r>
      <w:r>
        <w:rPr>
          <w:i/>
          <w:iCs/>
          <w:sz w:val="18"/>
        </w:rPr>
        <w:t>“Estadística Matemática con Aplicaciones”</w:t>
      </w:r>
      <w:r>
        <w:rPr>
          <w:sz w:val="18"/>
        </w:rPr>
        <w:t>, Editorial Pearson Educación, México D.F., México.</w:t>
      </w:r>
    </w:p>
    <w:p w:rsidR="00000000" w:rsidRDefault="00782BB1">
      <w:pPr>
        <w:pStyle w:val="NormalWeb"/>
        <w:jc w:val="both"/>
        <w:rPr>
          <w:sz w:val="18"/>
        </w:rPr>
      </w:pPr>
      <w:r>
        <w:rPr>
          <w:sz w:val="18"/>
        </w:rPr>
        <w:t xml:space="preserve">[6]. </w:t>
      </w:r>
      <w:r>
        <w:rPr>
          <w:b/>
          <w:sz w:val="18"/>
        </w:rPr>
        <w:t xml:space="preserve">Zurita, G., Maura, C. </w:t>
      </w:r>
      <w:r>
        <w:rPr>
          <w:sz w:val="18"/>
        </w:rPr>
        <w:t>(2003</w:t>
      </w:r>
      <w:r>
        <w:rPr>
          <w:sz w:val="18"/>
        </w:rPr>
        <w:t xml:space="preserve">), </w:t>
      </w:r>
      <w:r>
        <w:rPr>
          <w:i/>
          <w:sz w:val="18"/>
        </w:rPr>
        <w:t>“Estudio Estadístico acerca de la incidencia de Internet en la Educación Secundaria: El caso Urbano-Fiscal de la Provincia del Guayas”</w:t>
      </w:r>
      <w:r>
        <w:rPr>
          <w:sz w:val="18"/>
        </w:rPr>
        <w:t>,  Revista Tecnológica Vol. 16, N°1, Ecuador, Guayaquil.</w:t>
      </w:r>
    </w:p>
    <w:p w:rsidR="00000000" w:rsidRDefault="00782BB1">
      <w:pPr>
        <w:pStyle w:val="NormalWeb"/>
        <w:jc w:val="both"/>
        <w:rPr>
          <w:sz w:val="18"/>
          <w:lang w:val="en-US"/>
        </w:rPr>
      </w:pPr>
      <w:r>
        <w:rPr>
          <w:sz w:val="18"/>
          <w:lang w:val="en-US"/>
        </w:rPr>
        <w:t xml:space="preserve"> [7] </w:t>
      </w:r>
      <w:r>
        <w:rPr>
          <w:b/>
          <w:sz w:val="18"/>
          <w:lang w:val="en-US"/>
        </w:rPr>
        <w:t>Martínez, W.; Martínez, A.</w:t>
      </w:r>
      <w:r>
        <w:rPr>
          <w:sz w:val="18"/>
          <w:lang w:val="en-US"/>
        </w:rPr>
        <w:t xml:space="preserve"> (2002) “</w:t>
      </w:r>
      <w:r>
        <w:rPr>
          <w:i/>
          <w:sz w:val="18"/>
          <w:lang w:val="en-US"/>
        </w:rPr>
        <w:t>Computational Statisti</w:t>
      </w:r>
      <w:r>
        <w:rPr>
          <w:i/>
          <w:sz w:val="18"/>
          <w:lang w:val="en-US"/>
        </w:rPr>
        <w:t>cs Handbook with Matlab</w:t>
      </w:r>
      <w:r>
        <w:rPr>
          <w:sz w:val="18"/>
          <w:lang w:val="en-US"/>
        </w:rPr>
        <w:t>”,  Boca Raton, Chapman &amp; Hall/CRC</w:t>
      </w:r>
    </w:p>
    <w:p w:rsidR="00000000" w:rsidRDefault="00782BB1">
      <w:pPr>
        <w:pStyle w:val="titulo1"/>
        <w:spacing w:after="0" w:afterAutospacing="0"/>
        <w:rPr>
          <w:rFonts w:ascii="Times New Roman" w:hAnsi="Times New Roman" w:cs="Times New Roman"/>
          <w:b w:val="0"/>
          <w:bCs w:val="0"/>
          <w:sz w:val="18"/>
          <w:szCs w:val="24"/>
        </w:rPr>
      </w:pPr>
      <w:r>
        <w:rPr>
          <w:rFonts w:ascii="Times New Roman" w:hAnsi="Times New Roman" w:cs="Times New Roman"/>
          <w:b w:val="0"/>
          <w:bCs w:val="0"/>
          <w:sz w:val="18"/>
          <w:szCs w:val="24"/>
        </w:rPr>
        <w:t xml:space="preserve">[8] </w:t>
      </w:r>
      <w:r>
        <w:rPr>
          <w:rFonts w:ascii="Times New Roman" w:hAnsi="Times New Roman" w:cs="Times New Roman"/>
          <w:bCs w:val="0"/>
          <w:sz w:val="18"/>
          <w:szCs w:val="24"/>
        </w:rPr>
        <w:t xml:space="preserve">Pérez, C. </w:t>
      </w:r>
      <w:r>
        <w:rPr>
          <w:rFonts w:ascii="Times New Roman" w:hAnsi="Times New Roman" w:cs="Times New Roman"/>
          <w:b w:val="0"/>
          <w:bCs w:val="0"/>
          <w:sz w:val="18"/>
          <w:szCs w:val="24"/>
        </w:rPr>
        <w:t xml:space="preserve">(2004), </w:t>
      </w:r>
      <w:r>
        <w:rPr>
          <w:rFonts w:ascii="Times New Roman" w:hAnsi="Times New Roman" w:cs="Times New Roman"/>
          <w:b w:val="0"/>
          <w:bCs w:val="0"/>
          <w:i/>
          <w:sz w:val="18"/>
          <w:szCs w:val="24"/>
        </w:rPr>
        <w:t>“Técnicas estadísticas con SPSS”</w:t>
      </w:r>
      <w:r>
        <w:rPr>
          <w:rFonts w:ascii="Times New Roman" w:hAnsi="Times New Roman" w:cs="Times New Roman"/>
          <w:b w:val="0"/>
          <w:bCs w:val="0"/>
          <w:sz w:val="18"/>
          <w:szCs w:val="24"/>
        </w:rPr>
        <w:t>, Editorial  Pearson Prentice Hall, Madrid, España.</w:t>
      </w:r>
    </w:p>
    <w:p w:rsidR="00000000" w:rsidRDefault="00782BB1">
      <w:pPr>
        <w:pStyle w:val="titulo1"/>
        <w:spacing w:after="0" w:afterAutospacing="0"/>
        <w:rPr>
          <w:rFonts w:ascii="Times New Roman" w:hAnsi="Times New Roman" w:cs="Times New Roman"/>
          <w:b w:val="0"/>
          <w:bCs w:val="0"/>
          <w:i/>
          <w:sz w:val="18"/>
          <w:szCs w:val="24"/>
          <w:lang w:val="en-US"/>
        </w:rPr>
      </w:pPr>
      <w:r>
        <w:rPr>
          <w:rFonts w:ascii="Times New Roman" w:hAnsi="Times New Roman" w:cs="Times New Roman"/>
          <w:b w:val="0"/>
          <w:bCs w:val="0"/>
          <w:sz w:val="18"/>
          <w:szCs w:val="24"/>
          <w:lang w:val="en-US"/>
        </w:rPr>
        <w:t xml:space="preserve">[9] </w:t>
      </w:r>
      <w:r>
        <w:rPr>
          <w:rFonts w:ascii="Times New Roman" w:hAnsi="Times New Roman" w:cs="Times New Roman"/>
          <w:bCs w:val="0"/>
          <w:sz w:val="18"/>
          <w:szCs w:val="24"/>
          <w:lang w:val="en-US"/>
        </w:rPr>
        <w:t>Rencher, A.</w:t>
      </w:r>
      <w:r>
        <w:rPr>
          <w:rFonts w:ascii="Times New Roman" w:hAnsi="Times New Roman" w:cs="Times New Roman"/>
          <w:b w:val="0"/>
          <w:bCs w:val="0"/>
          <w:sz w:val="18"/>
          <w:szCs w:val="24"/>
          <w:lang w:val="en-US"/>
        </w:rPr>
        <w:t>(1998), “</w:t>
      </w:r>
      <w:r>
        <w:rPr>
          <w:rFonts w:ascii="Times New Roman" w:hAnsi="Times New Roman" w:cs="Times New Roman"/>
          <w:b w:val="0"/>
          <w:bCs w:val="0"/>
          <w:i/>
          <w:sz w:val="18"/>
          <w:szCs w:val="24"/>
          <w:lang w:val="en-US"/>
        </w:rPr>
        <w:t>Multivariate Statistical Analysis and Applications</w:t>
      </w:r>
      <w:r>
        <w:rPr>
          <w:rFonts w:ascii="Times New Roman" w:hAnsi="Times New Roman" w:cs="Times New Roman"/>
          <w:b w:val="0"/>
          <w:bCs w:val="0"/>
          <w:sz w:val="18"/>
          <w:szCs w:val="24"/>
          <w:lang w:val="en-US"/>
        </w:rPr>
        <w:t xml:space="preserve">” New York: Wiley </w:t>
      </w:r>
      <w:r>
        <w:rPr>
          <w:rFonts w:ascii="Times New Roman" w:hAnsi="Times New Roman" w:cs="Times New Roman"/>
          <w:b w:val="0"/>
          <w:bCs w:val="0"/>
          <w:sz w:val="18"/>
          <w:szCs w:val="24"/>
          <w:lang w:val="en-US"/>
        </w:rPr>
        <w:t>series in Probability and Statistics.</w:t>
      </w:r>
    </w:p>
    <w:p w:rsidR="00000000" w:rsidRDefault="00782BB1">
      <w:pPr>
        <w:jc w:val="both"/>
        <w:rPr>
          <w:sz w:val="18"/>
          <w:lang w:val="en-US"/>
        </w:rPr>
      </w:pPr>
    </w:p>
    <w:p w:rsidR="00000000" w:rsidRDefault="00782BB1">
      <w:pPr>
        <w:jc w:val="both"/>
        <w:rPr>
          <w:bCs/>
          <w:sz w:val="18"/>
        </w:rPr>
      </w:pPr>
      <w:r>
        <w:rPr>
          <w:sz w:val="18"/>
          <w:lang w:val="es-EC"/>
        </w:rPr>
        <w:t xml:space="preserve">[10] </w:t>
      </w:r>
      <w:r>
        <w:rPr>
          <w:b/>
          <w:bCs/>
          <w:sz w:val="18"/>
        </w:rPr>
        <w:t xml:space="preserve">CRECE – ESPOL  (Centro de Registros Calificaciones y Estadística),  </w:t>
      </w:r>
      <w:r>
        <w:rPr>
          <w:bCs/>
          <w:sz w:val="18"/>
        </w:rPr>
        <w:t>Archivos históricos de los estudiantes de las Facultades de Ingeniería de los años 1994 al  2003, Guayaquil, Ecuador.</w:t>
      </w:r>
    </w:p>
    <w:p w:rsidR="00000000" w:rsidRDefault="00782BB1">
      <w:pPr>
        <w:jc w:val="both"/>
        <w:rPr>
          <w:bCs/>
          <w:sz w:val="18"/>
        </w:rPr>
      </w:pPr>
    </w:p>
    <w:p w:rsidR="00000000" w:rsidRDefault="00782BB1">
      <w:pPr>
        <w:jc w:val="both"/>
        <w:rPr>
          <w:bCs/>
          <w:sz w:val="18"/>
        </w:rPr>
      </w:pPr>
      <w:r>
        <w:rPr>
          <w:bCs/>
          <w:sz w:val="18"/>
        </w:rPr>
        <w:lastRenderedPageBreak/>
        <w:t xml:space="preserve">[11] </w:t>
      </w:r>
      <w:r>
        <w:rPr>
          <w:b/>
          <w:sz w:val="18"/>
        </w:rPr>
        <w:t>Teobaldo, M.</w:t>
      </w:r>
      <w:r>
        <w:rPr>
          <w:bCs/>
          <w:sz w:val="18"/>
        </w:rPr>
        <w:t xml:space="preserve"> (1996),</w:t>
      </w:r>
      <w:r>
        <w:rPr>
          <w:bCs/>
          <w:sz w:val="18"/>
        </w:rPr>
        <w:t xml:space="preserve"> </w:t>
      </w:r>
      <w:r>
        <w:rPr>
          <w:bCs/>
          <w:i/>
          <w:iCs/>
          <w:sz w:val="18"/>
        </w:rPr>
        <w:t>“Evaluación de la Calidad Educativa en el  primer  año de  universitario”</w:t>
      </w:r>
      <w:r>
        <w:rPr>
          <w:bCs/>
          <w:sz w:val="18"/>
        </w:rPr>
        <w:t xml:space="preserve">  Universidad de Buenos Aires, UBA, Buenos Aires, Argentina.</w:t>
      </w:r>
    </w:p>
    <w:p w:rsidR="00000000" w:rsidRDefault="00782BB1">
      <w:pPr>
        <w:jc w:val="both"/>
        <w:rPr>
          <w:bCs/>
          <w:sz w:val="18"/>
        </w:rPr>
      </w:pPr>
    </w:p>
    <w:p w:rsidR="00000000" w:rsidRDefault="00782BB1">
      <w:pPr>
        <w:jc w:val="both"/>
        <w:rPr>
          <w:bCs/>
          <w:sz w:val="18"/>
        </w:rPr>
      </w:pPr>
      <w:r>
        <w:rPr>
          <w:bCs/>
          <w:sz w:val="18"/>
        </w:rPr>
        <w:t xml:space="preserve">[12] </w:t>
      </w:r>
      <w:r>
        <w:rPr>
          <w:b/>
          <w:sz w:val="18"/>
        </w:rPr>
        <w:t>Ricaurte, S.</w:t>
      </w:r>
      <w:r>
        <w:rPr>
          <w:bCs/>
          <w:sz w:val="18"/>
        </w:rPr>
        <w:t xml:space="preserve"> (2002), “ Un Análisis Estadístico de las carreras  Autofinanciadas de la ESPOL”, Tesis de grado ESPOL,</w:t>
      </w:r>
      <w:r>
        <w:rPr>
          <w:bCs/>
          <w:sz w:val="18"/>
        </w:rPr>
        <w:t xml:space="preserve"> Guayaquil, Ecuador.</w:t>
      </w:r>
    </w:p>
    <w:p w:rsidR="00000000" w:rsidRDefault="00782BB1">
      <w:pPr>
        <w:jc w:val="both"/>
        <w:rPr>
          <w:bCs/>
          <w:sz w:val="18"/>
        </w:rPr>
      </w:pPr>
    </w:p>
    <w:p w:rsidR="00000000" w:rsidRDefault="00782BB1">
      <w:pPr>
        <w:jc w:val="both"/>
        <w:rPr>
          <w:bCs/>
          <w:sz w:val="18"/>
        </w:rPr>
      </w:pPr>
      <w:r>
        <w:rPr>
          <w:bCs/>
          <w:sz w:val="18"/>
        </w:rPr>
        <w:t xml:space="preserve">[13] </w:t>
      </w:r>
      <w:r>
        <w:rPr>
          <w:b/>
          <w:sz w:val="18"/>
        </w:rPr>
        <w:t>Fernández , A.</w:t>
      </w:r>
      <w:r>
        <w:rPr>
          <w:bCs/>
          <w:sz w:val="18"/>
        </w:rPr>
        <w:t xml:space="preserve"> (1995), “La universidad pública en tiempos de  incertidumbre” , Universidad de Buenos Aires, UBA, Buenos Aires, Argentina. </w:t>
      </w:r>
    </w:p>
    <w:p w:rsidR="00000000" w:rsidRDefault="00782BB1">
      <w:pPr>
        <w:jc w:val="both"/>
        <w:rPr>
          <w:bCs/>
          <w:sz w:val="18"/>
        </w:rPr>
      </w:pPr>
    </w:p>
    <w:p w:rsidR="00000000" w:rsidRDefault="00782BB1">
      <w:pPr>
        <w:jc w:val="both"/>
        <w:rPr>
          <w:bCs/>
          <w:sz w:val="18"/>
          <w:lang w:val="en-US"/>
        </w:rPr>
      </w:pPr>
      <w:r>
        <w:rPr>
          <w:bCs/>
          <w:sz w:val="18"/>
          <w:lang w:val="en-US"/>
        </w:rPr>
        <w:t xml:space="preserve">[14] </w:t>
      </w:r>
      <w:r>
        <w:rPr>
          <w:b/>
          <w:sz w:val="18"/>
          <w:lang w:val="en-US"/>
        </w:rPr>
        <w:t>Bartlett, M.</w:t>
      </w:r>
      <w:r>
        <w:rPr>
          <w:bCs/>
          <w:sz w:val="18"/>
          <w:lang w:val="en-US"/>
        </w:rPr>
        <w:t xml:space="preserve"> (1957), “ A note on tests of significance in Multivariate Analysis”, Pr</w:t>
      </w:r>
      <w:r>
        <w:rPr>
          <w:bCs/>
          <w:sz w:val="18"/>
          <w:lang w:val="en-US"/>
        </w:rPr>
        <w:t>occedings of the Cambridge Philosophical Society, 34, 33-40.</w:t>
      </w:r>
    </w:p>
    <w:p w:rsidR="00000000" w:rsidRDefault="00782BB1">
      <w:pPr>
        <w:jc w:val="both"/>
        <w:rPr>
          <w:sz w:val="18"/>
          <w:lang w:val="en-US"/>
        </w:rPr>
      </w:pPr>
    </w:p>
    <w:p w:rsidR="00000000" w:rsidRDefault="00782BB1">
      <w:pPr>
        <w:jc w:val="both"/>
        <w:rPr>
          <w:sz w:val="18"/>
          <w:lang w:val="en-US"/>
        </w:rPr>
      </w:pPr>
    </w:p>
    <w:p w:rsidR="00000000" w:rsidRDefault="00782BB1">
      <w:pPr>
        <w:jc w:val="both"/>
        <w:rPr>
          <w:bCs/>
          <w:sz w:val="18"/>
          <w:lang w:val="en-US"/>
        </w:rPr>
      </w:pPr>
      <w:r>
        <w:rPr>
          <w:bCs/>
          <w:sz w:val="18"/>
          <w:lang w:val="en-US"/>
        </w:rPr>
        <w:t xml:space="preserve">[15] </w:t>
      </w:r>
      <w:r>
        <w:rPr>
          <w:b/>
          <w:sz w:val="18"/>
          <w:lang w:val="en-US"/>
        </w:rPr>
        <w:t>Mendenhall, W.,  Wackerly, D. Y Scheaffer, R</w:t>
      </w:r>
      <w:r>
        <w:rPr>
          <w:bCs/>
          <w:sz w:val="18"/>
          <w:lang w:val="en-US"/>
        </w:rPr>
        <w:t>. ; (1994). “Estadística Matemática con aplicaciones”, 2a Edición; Editorial Iberoamericana, México, México.</w:t>
      </w:r>
    </w:p>
    <w:p w:rsidR="00000000" w:rsidRDefault="00782BB1">
      <w:pPr>
        <w:jc w:val="both"/>
        <w:rPr>
          <w:bCs/>
          <w:sz w:val="18"/>
          <w:lang w:val="en-US"/>
        </w:rPr>
      </w:pPr>
    </w:p>
    <w:p w:rsidR="00000000" w:rsidRDefault="00782BB1">
      <w:pPr>
        <w:jc w:val="both"/>
        <w:rPr>
          <w:bCs/>
          <w:sz w:val="18"/>
          <w:lang w:val="en-US"/>
        </w:rPr>
      </w:pPr>
    </w:p>
    <w:p w:rsidR="00000000" w:rsidRDefault="00782BB1">
      <w:pPr>
        <w:jc w:val="both"/>
        <w:rPr>
          <w:bCs/>
          <w:sz w:val="18"/>
          <w:lang w:val="en-US"/>
        </w:rPr>
      </w:pPr>
      <w:r>
        <w:rPr>
          <w:bCs/>
          <w:sz w:val="18"/>
          <w:lang w:val="en-US"/>
        </w:rPr>
        <w:t xml:space="preserve">[16]  </w:t>
      </w:r>
      <w:r>
        <w:rPr>
          <w:b/>
          <w:sz w:val="18"/>
          <w:lang w:val="en-US"/>
        </w:rPr>
        <w:t>Wilkinson, L.</w:t>
      </w:r>
      <w:r>
        <w:rPr>
          <w:bCs/>
          <w:sz w:val="18"/>
          <w:lang w:val="en-US"/>
        </w:rPr>
        <w:t xml:space="preserve">  (1998).  “ S</w:t>
      </w:r>
      <w:r>
        <w:rPr>
          <w:bCs/>
          <w:sz w:val="18"/>
          <w:lang w:val="en-US"/>
        </w:rPr>
        <w:t>YSTAT  7.0  for   Windows”, SYSTAT PRODUCTS  SPSS INC, Chicago, USA.</w:t>
      </w:r>
    </w:p>
    <w:p w:rsidR="00000000" w:rsidRDefault="00782BB1">
      <w:pPr>
        <w:jc w:val="both"/>
        <w:rPr>
          <w:bCs/>
          <w:sz w:val="18"/>
          <w:lang w:val="en-US"/>
        </w:rPr>
      </w:pPr>
    </w:p>
    <w:p w:rsidR="00000000" w:rsidRDefault="00782BB1">
      <w:pPr>
        <w:jc w:val="both"/>
        <w:rPr>
          <w:bCs/>
          <w:sz w:val="18"/>
          <w:lang w:val="en-US"/>
        </w:rPr>
      </w:pPr>
      <w:r>
        <w:rPr>
          <w:bCs/>
          <w:sz w:val="18"/>
          <w:lang w:val="en-US"/>
        </w:rPr>
        <w:t>[17</w:t>
      </w:r>
      <w:r>
        <w:rPr>
          <w:b/>
          <w:sz w:val="18"/>
          <w:lang w:val="en-US"/>
        </w:rPr>
        <w:t>] Johnson, R.  Y   Wichern, W.</w:t>
      </w:r>
      <w:r>
        <w:rPr>
          <w:bCs/>
          <w:sz w:val="18"/>
          <w:lang w:val="en-US"/>
        </w:rPr>
        <w:t xml:space="preserve"> (1998). “ Applied Multivariate Statistical Analysis”. Prentice Hall, Uper Saddle river, New Yersey, USA.</w:t>
      </w:r>
    </w:p>
    <w:p w:rsidR="00000000" w:rsidRDefault="00782BB1">
      <w:pPr>
        <w:jc w:val="both"/>
        <w:rPr>
          <w:sz w:val="18"/>
          <w:lang w:val="en-GB"/>
        </w:rPr>
      </w:pPr>
    </w:p>
    <w:p w:rsidR="00000000" w:rsidRDefault="00782BB1">
      <w:pPr>
        <w:jc w:val="both"/>
        <w:rPr>
          <w:sz w:val="18"/>
          <w:lang w:val="en-GB"/>
        </w:rPr>
      </w:pPr>
    </w:p>
    <w:p w:rsidR="00000000" w:rsidRDefault="00782BB1">
      <w:pPr>
        <w:jc w:val="both"/>
        <w:rPr>
          <w:bCs/>
          <w:sz w:val="18"/>
          <w:lang w:val="en-US"/>
        </w:rPr>
      </w:pPr>
      <w:r>
        <w:rPr>
          <w:bCs/>
          <w:sz w:val="18"/>
          <w:lang w:val="en-US"/>
        </w:rPr>
        <w:t>[18] Software  Estadístico SPSS (1999),   (So</w:t>
      </w:r>
      <w:r>
        <w:rPr>
          <w:bCs/>
          <w:sz w:val="18"/>
          <w:lang w:val="en-US"/>
        </w:rPr>
        <w:t>cial Purpose Statistical  System), version 10 para Windows.</w:t>
      </w:r>
    </w:p>
    <w:p w:rsidR="00782BB1" w:rsidRDefault="00782BB1">
      <w:pPr>
        <w:jc w:val="both"/>
        <w:rPr>
          <w:sz w:val="18"/>
          <w:lang w:val="en-US"/>
        </w:rPr>
      </w:pPr>
    </w:p>
    <w:sectPr w:rsidR="00782BB1">
      <w:type w:val="continuous"/>
      <w:pgSz w:w="11906" w:h="16838"/>
      <w:pgMar w:top="1418" w:right="1418" w:bottom="1418" w:left="1418" w:header="709" w:footer="709" w:gutter="0"/>
      <w:cols w:num="2" w:space="708" w:equalWidth="0">
        <w:col w:w="4181" w:space="708"/>
        <w:col w:w="4181"/>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BB1" w:rsidRDefault="00782BB1">
      <w:r>
        <w:separator/>
      </w:r>
    </w:p>
  </w:endnote>
  <w:endnote w:type="continuationSeparator" w:id="1">
    <w:p w:rsidR="00782BB1" w:rsidRDefault="00782BB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82BB1">
    <w:pPr>
      <w:pStyle w:val="Piedepgina"/>
      <w:jc w:val="right"/>
      <w:rPr>
        <w:lang w:val="es-EC"/>
      </w:rPr>
    </w:pPr>
    <w:r>
      <w:rPr>
        <w:rStyle w:val="Nmerodepgina"/>
      </w:rPr>
      <w:fldChar w:fldCharType="begin"/>
    </w:r>
    <w:r>
      <w:rPr>
        <w:rStyle w:val="Nmerodepgina"/>
      </w:rPr>
      <w:instrText xml:space="preserve"> PAGE </w:instrText>
    </w:r>
    <w:r>
      <w:rPr>
        <w:rStyle w:val="Nmerodepgina"/>
      </w:rPr>
      <w:fldChar w:fldCharType="separate"/>
    </w:r>
    <w:r w:rsidR="00A42F44">
      <w:rPr>
        <w:rStyle w:val="Nmerodepgina"/>
        <w:noProof/>
      </w:rPr>
      <w:t>1</w:t>
    </w:r>
    <w:r>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BB1" w:rsidRDefault="00782BB1">
      <w:r>
        <w:separator/>
      </w:r>
    </w:p>
  </w:footnote>
  <w:footnote w:type="continuationSeparator" w:id="1">
    <w:p w:rsidR="00782BB1" w:rsidRDefault="00782B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B446E"/>
    <w:multiLevelType w:val="hybridMultilevel"/>
    <w:tmpl w:val="38DEF7E4"/>
    <w:lvl w:ilvl="0" w:tplc="0C0A000B">
      <w:start w:val="1"/>
      <w:numFmt w:val="bullet"/>
      <w:lvlText w:val=""/>
      <w:lvlJc w:val="left"/>
      <w:pPr>
        <w:tabs>
          <w:tab w:val="num" w:pos="720"/>
        </w:tabs>
        <w:ind w:left="720" w:hanging="360"/>
      </w:pPr>
      <w:rPr>
        <w:rFonts w:ascii="Wingdings" w:hAnsi="Wingdings" w:hint="default"/>
      </w:rPr>
    </w:lvl>
    <w:lvl w:ilvl="1" w:tplc="72C6B79E">
      <w:numFmt w:val="bullet"/>
      <w:lvlText w:val="-"/>
      <w:lvlJc w:val="left"/>
      <w:pPr>
        <w:tabs>
          <w:tab w:val="num" w:pos="1785"/>
        </w:tabs>
        <w:ind w:left="1785" w:hanging="705"/>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CC343BC"/>
    <w:multiLevelType w:val="hybridMultilevel"/>
    <w:tmpl w:val="7D3A9B5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7E02E82"/>
    <w:multiLevelType w:val="hybridMultilevel"/>
    <w:tmpl w:val="2FAA12BA"/>
    <w:lvl w:ilvl="0" w:tplc="EA7057A0">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1B10C0F"/>
    <w:multiLevelType w:val="hybridMultilevel"/>
    <w:tmpl w:val="645A2B1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8BD12AA"/>
    <w:multiLevelType w:val="hybridMultilevel"/>
    <w:tmpl w:val="4C92131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0"/>
    <w:footnote w:id="1"/>
  </w:footnotePr>
  <w:endnotePr>
    <w:endnote w:id="0"/>
    <w:endnote w:id="1"/>
  </w:endnotePr>
  <w:compat/>
  <w:rsids>
    <w:rsidRoot w:val="00A42F44"/>
    <w:rsid w:val="00782BB1"/>
    <w:rsid w:val="00A42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center"/>
      <w:outlineLvl w:val="0"/>
    </w:pPr>
    <w:rPr>
      <w:b/>
      <w:sz w:val="22"/>
      <w:szCs w:val="20"/>
    </w:rPr>
  </w:style>
  <w:style w:type="paragraph" w:styleId="Ttulo2">
    <w:name w:val="heading 2"/>
    <w:basedOn w:val="Normal"/>
    <w:next w:val="Normal"/>
    <w:qFormat/>
    <w:pPr>
      <w:keepNext/>
      <w:jc w:val="center"/>
      <w:outlineLvl w:val="1"/>
    </w:pPr>
    <w:rPr>
      <w:b/>
      <w:sz w:val="18"/>
      <w:szCs w:val="20"/>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semiHidden/>
    <w:pPr>
      <w:spacing w:line="360" w:lineRule="auto"/>
      <w:ind w:left="1260"/>
      <w:jc w:val="both"/>
    </w:pPr>
    <w:rPr>
      <w:rFonts w:ascii="Arial" w:hAnsi="Arial" w:cs="Arial"/>
      <w:color w:val="FF0000"/>
      <w:sz w:val="22"/>
      <w:lang w:val="es-EC"/>
    </w:rPr>
  </w:style>
  <w:style w:type="paragraph" w:styleId="Textoindependiente">
    <w:name w:val="Body Text"/>
    <w:basedOn w:val="Normal"/>
    <w:semiHidden/>
    <w:pPr>
      <w:jc w:val="center"/>
    </w:pPr>
    <w:rPr>
      <w:b/>
      <w:bCs/>
      <w:sz w:val="28"/>
    </w:rPr>
  </w:style>
  <w:style w:type="paragraph" w:styleId="Encabezado">
    <w:name w:val="header"/>
    <w:basedOn w:val="Normal"/>
    <w:semiHidden/>
    <w:pPr>
      <w:tabs>
        <w:tab w:val="center" w:pos="4252"/>
        <w:tab w:val="right" w:pos="8504"/>
      </w:tabs>
    </w:pPr>
    <w:rPr>
      <w:lang w:val="es-EC"/>
    </w:rPr>
  </w:style>
  <w:style w:type="paragraph" w:styleId="Textoindependiente3">
    <w:name w:val="Body Text 3"/>
    <w:basedOn w:val="Normal"/>
    <w:semiHidden/>
    <w:pPr>
      <w:spacing w:after="120"/>
    </w:pPr>
    <w:rPr>
      <w:sz w:val="16"/>
      <w:szCs w:val="16"/>
    </w:rPr>
  </w:style>
  <w:style w:type="paragraph" w:styleId="Textoindependiente2">
    <w:name w:val="Body Text 2"/>
    <w:basedOn w:val="Normal"/>
    <w:semiHidden/>
    <w:pPr>
      <w:spacing w:after="120" w:line="480" w:lineRule="auto"/>
    </w:pPr>
    <w:rPr>
      <w:lang w:val="es-EC"/>
    </w:rPr>
  </w:style>
  <w:style w:type="character" w:styleId="Textoennegrita">
    <w:name w:val="Strong"/>
    <w:basedOn w:val="Fuentedeprrafopredeter"/>
    <w:qFormat/>
    <w:rPr>
      <w:b/>
      <w:bCs/>
    </w:rPr>
  </w:style>
  <w:style w:type="paragraph" w:styleId="NormalWeb">
    <w:name w:val="Normal (Web)"/>
    <w:basedOn w:val="Normal"/>
    <w:semiHidden/>
    <w:pPr>
      <w:spacing w:before="100" w:beforeAutospacing="1" w:after="100" w:afterAutospacing="1"/>
    </w:pPr>
    <w:rPr>
      <w:lang w:val="es-EC" w:eastAsia="es-EC"/>
    </w:rPr>
  </w:style>
  <w:style w:type="character" w:styleId="Hipervnculo">
    <w:name w:val="Hyperlink"/>
    <w:basedOn w:val="Fuentedeprrafopredeter"/>
    <w:semiHidden/>
    <w:rPr>
      <w:color w:val="0000FF"/>
      <w:u w:val="single"/>
    </w:rPr>
  </w:style>
  <w:style w:type="paragraph" w:customStyle="1" w:styleId="titulo1">
    <w:name w:val="titulo1"/>
    <w:basedOn w:val="Normal"/>
    <w:pPr>
      <w:spacing w:before="100" w:beforeAutospacing="1" w:after="100" w:afterAutospacing="1"/>
    </w:pPr>
    <w:rPr>
      <w:rFonts w:ascii="Arial" w:eastAsia="Arial Unicode MS" w:hAnsi="Arial" w:cs="Arial"/>
      <w:b/>
      <w:bCs/>
      <w:sz w:val="28"/>
      <w:szCs w:val="28"/>
    </w:rPr>
  </w:style>
  <w:style w:type="paragraph" w:styleId="Textonotapie">
    <w:name w:val="footnote text"/>
    <w:basedOn w:val="Normal"/>
    <w:semiHidden/>
    <w:rPr>
      <w:sz w:val="20"/>
      <w:szCs w:val="20"/>
    </w:rPr>
  </w:style>
  <w:style w:type="character" w:styleId="Refdenotaalpie">
    <w:name w:val="footnote reference"/>
    <w:basedOn w:val="Fuentedeprrafopredeter"/>
    <w:semiHidden/>
    <w:rPr>
      <w:vertAlign w:val="superscript"/>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4.wmf"/><Relationship Id="rId21" Type="http://schemas.openxmlformats.org/officeDocument/2006/relationships/oleObject" Target="embeddings/oleObject6.bin"/><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image" Target="media/image27.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0.wmf"/><Relationship Id="rId112" Type="http://schemas.openxmlformats.org/officeDocument/2006/relationships/oleObject" Target="embeddings/oleObject54.bin"/><Relationship Id="rId16" Type="http://schemas.openxmlformats.org/officeDocument/2006/relationships/image" Target="media/image6.wmf"/><Relationship Id="rId107" Type="http://schemas.openxmlformats.org/officeDocument/2006/relationships/image" Target="media/image49.wmf"/><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5.wmf"/><Relationship Id="rId102" Type="http://schemas.openxmlformats.org/officeDocument/2006/relationships/oleObject" Target="embeddings/oleObject49.bin"/><Relationship Id="rId5" Type="http://schemas.openxmlformats.org/officeDocument/2006/relationships/footnotes" Target="footnotes.xml"/><Relationship Id="rId61" Type="http://schemas.openxmlformats.org/officeDocument/2006/relationships/image" Target="media/image26.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3.wmf"/><Relationship Id="rId19" Type="http://schemas.openxmlformats.org/officeDocument/2006/relationships/oleObject" Target="embeddings/oleObject5.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oleObject" Target="embeddings/oleObject48.bin"/><Relationship Id="rId105" Type="http://schemas.openxmlformats.org/officeDocument/2006/relationships/image" Target="media/image48.wmf"/><Relationship Id="rId113" Type="http://schemas.openxmlformats.org/officeDocument/2006/relationships/image" Target="media/image52.wmf"/><Relationship Id="rId118" Type="http://schemas.openxmlformats.org/officeDocument/2006/relationships/oleObject" Target="embeddings/oleObject57.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8.wmf"/><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20.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image" Target="media/image47.wmf"/><Relationship Id="rId108" Type="http://schemas.openxmlformats.org/officeDocument/2006/relationships/oleObject" Target="embeddings/oleObject52.bin"/><Relationship Id="rId116" Type="http://schemas.openxmlformats.org/officeDocument/2006/relationships/oleObject" Target="embeddings/oleObject56.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2.bin"/><Relationship Id="rId91" Type="http://schemas.openxmlformats.org/officeDocument/2006/relationships/image" Target="media/image41.wmf"/><Relationship Id="rId96" Type="http://schemas.openxmlformats.org/officeDocument/2006/relationships/oleObject" Target="embeddings/oleObject46.bin"/><Relationship Id="rId111" Type="http://schemas.openxmlformats.org/officeDocument/2006/relationships/image" Target="media/image51.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4.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5.wmf"/><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2.wmf"/><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7.bin"/><Relationship Id="rId81" Type="http://schemas.openxmlformats.org/officeDocument/2006/relationships/image" Target="media/image36.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image" Target="media/image50.wmf"/><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oleObject" Target="embeddings/oleObject36.bin"/><Relationship Id="rId97" Type="http://schemas.openxmlformats.org/officeDocument/2006/relationships/image" Target="media/image44.wmf"/><Relationship Id="rId104" Type="http://schemas.openxmlformats.org/officeDocument/2006/relationships/oleObject" Target="embeddings/oleObject50.bin"/><Relationship Id="rId120" Type="http://schemas.openxmlformats.org/officeDocument/2006/relationships/fontTable" Target="fontTable.xml"/><Relationship Id="rId7" Type="http://schemas.openxmlformats.org/officeDocument/2006/relationships/footer" Target="footer1.xml"/><Relationship Id="rId71" Type="http://schemas.openxmlformats.org/officeDocument/2006/relationships/image" Target="media/image31.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oleObject" Target="embeddings/oleObject53.bin"/><Relationship Id="rId115" Type="http://schemas.openxmlformats.org/officeDocument/2006/relationships/image" Target="media/image5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5085</Words>
  <Characters>28987</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ESTUDIO ESTADÍSTICO ACERCA DE LA DESERCIÓN ESTUDIANTIL DE LA ESPOL: EL CASO DE LAS FACULTADES DE INGENIERÍAS</vt:lpstr>
    </vt:vector>
  </TitlesOfParts>
  <Company>JP</Company>
  <LinksUpToDate>false</LinksUpToDate>
  <CharactersWithSpaces>34004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ESTUDIO ESTADÍSTICO ACERCA DE LA DESERCIÓN ESTUDIANTIL DE LA ESPOL: EL CASO DE LAS FACULTADES DE INGENIERÍAS</dc:title>
  <dc:subject/>
  <dc:creator>MAK</dc:creator>
  <cp:keywords/>
  <dc:description/>
  <cp:lastModifiedBy>ehernand</cp:lastModifiedBy>
  <cp:revision>2</cp:revision>
  <cp:lastPrinted>2005-12-23T04:30:00Z</cp:lastPrinted>
  <dcterms:created xsi:type="dcterms:W3CDTF">2010-09-24T17:14:00Z</dcterms:created>
  <dcterms:modified xsi:type="dcterms:W3CDTF">2010-09-24T17:14:00Z</dcterms:modified>
</cp:coreProperties>
</file>